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7C598" w14:textId="77777777" w:rsidR="00777FEE" w:rsidRPr="00F31194" w:rsidRDefault="00D65830" w:rsidP="00777FEE">
      <w:pPr>
        <w:pStyle w:val="NormalWeb"/>
        <w:spacing w:before="0" w:beforeAutospacing="0" w:after="0" w:afterAutospacing="0"/>
        <w:jc w:val="center"/>
        <w:rPr>
          <w:b/>
          <w:sz w:val="32"/>
          <w:szCs w:val="32"/>
          <w:lang w:val="lv-LV"/>
        </w:rPr>
      </w:pPr>
      <w:r w:rsidRPr="00F31194">
        <w:rPr>
          <w:b/>
          <w:sz w:val="32"/>
          <w:szCs w:val="32"/>
          <w:lang w:val="lv-LV"/>
        </w:rPr>
        <w:t>Informatīvais ziņojums</w:t>
      </w:r>
    </w:p>
    <w:p w14:paraId="55041BE1" w14:textId="77777777" w:rsidR="00D65830" w:rsidRPr="00F163BC" w:rsidRDefault="00D65830" w:rsidP="00777FEE">
      <w:pPr>
        <w:pStyle w:val="NormalWeb"/>
        <w:spacing w:before="0" w:beforeAutospacing="0" w:after="0" w:afterAutospacing="0"/>
        <w:jc w:val="center"/>
        <w:rPr>
          <w:b/>
          <w:sz w:val="32"/>
          <w:szCs w:val="32"/>
        </w:rPr>
      </w:pPr>
      <w:r w:rsidRPr="00F31194">
        <w:rPr>
          <w:b/>
          <w:sz w:val="32"/>
          <w:szCs w:val="32"/>
          <w:lang w:val="lv-LV"/>
        </w:rPr>
        <w:t xml:space="preserve"> par </w:t>
      </w:r>
      <w:r w:rsidR="00B105D4" w:rsidRPr="00F31194">
        <w:rPr>
          <w:b/>
          <w:sz w:val="32"/>
          <w:szCs w:val="32"/>
          <w:lang w:val="lv-LV"/>
        </w:rPr>
        <w:t>tehnisko līdzekļu (</w:t>
      </w:r>
      <w:r w:rsidRPr="00F31194">
        <w:rPr>
          <w:b/>
          <w:sz w:val="32"/>
          <w:szCs w:val="32"/>
          <w:lang w:val="lv-LV"/>
        </w:rPr>
        <w:t>fotoradaru</w:t>
      </w:r>
      <w:r w:rsidR="00B105D4" w:rsidRPr="00F31194">
        <w:rPr>
          <w:b/>
          <w:sz w:val="32"/>
          <w:szCs w:val="32"/>
          <w:lang w:val="lv-LV"/>
        </w:rPr>
        <w:t>)</w:t>
      </w:r>
      <w:r w:rsidRPr="00F31194">
        <w:rPr>
          <w:b/>
          <w:sz w:val="32"/>
          <w:szCs w:val="32"/>
          <w:lang w:val="lv-LV"/>
        </w:rPr>
        <w:t xml:space="preserve"> turpmākās darbības nodrošināšanu (atjaunošanu) un tās finansēšanas avotiem</w:t>
      </w:r>
    </w:p>
    <w:p w14:paraId="19AE6167" w14:textId="77777777" w:rsidR="00B105D4" w:rsidRPr="00F163BC" w:rsidRDefault="00B105D4" w:rsidP="00D65830">
      <w:pPr>
        <w:jc w:val="center"/>
        <w:rPr>
          <w:b/>
          <w:sz w:val="28"/>
          <w:szCs w:val="28"/>
        </w:rPr>
      </w:pPr>
    </w:p>
    <w:p w14:paraId="51DB7E04" w14:textId="77777777" w:rsidR="00C850EA" w:rsidRPr="00F163BC" w:rsidRDefault="00C850EA" w:rsidP="00D65830">
      <w:pPr>
        <w:jc w:val="center"/>
        <w:rPr>
          <w:b/>
          <w:sz w:val="28"/>
          <w:szCs w:val="28"/>
        </w:rPr>
      </w:pPr>
    </w:p>
    <w:p w14:paraId="6C7E31DF" w14:textId="77777777" w:rsidR="00D65830" w:rsidRPr="00F163BC" w:rsidRDefault="00D65830" w:rsidP="00D65830">
      <w:pPr>
        <w:jc w:val="center"/>
        <w:rPr>
          <w:b/>
          <w:sz w:val="28"/>
          <w:szCs w:val="28"/>
        </w:rPr>
      </w:pPr>
      <w:r w:rsidRPr="00F163BC">
        <w:rPr>
          <w:b/>
          <w:sz w:val="28"/>
          <w:szCs w:val="28"/>
        </w:rPr>
        <w:t>Ievads</w:t>
      </w:r>
    </w:p>
    <w:p w14:paraId="404C30B9" w14:textId="77777777" w:rsidR="00B105D4" w:rsidRPr="00F163BC" w:rsidRDefault="00D65830" w:rsidP="00BC0D70">
      <w:pPr>
        <w:pStyle w:val="liknoteik"/>
        <w:spacing w:before="0" w:beforeAutospacing="0" w:after="0" w:afterAutospacing="0"/>
        <w:jc w:val="both"/>
      </w:pPr>
      <w:r w:rsidRPr="00F163BC">
        <w:t xml:space="preserve">     </w:t>
      </w:r>
    </w:p>
    <w:p w14:paraId="45F5F4A9" w14:textId="77777777" w:rsidR="00B105D4" w:rsidRPr="00F163BC" w:rsidRDefault="00D65830" w:rsidP="00B105D4">
      <w:pPr>
        <w:pStyle w:val="liknoteik"/>
        <w:spacing w:before="0" w:beforeAutospacing="0" w:after="0" w:afterAutospacing="0"/>
        <w:ind w:firstLine="720"/>
        <w:jc w:val="both"/>
      </w:pPr>
      <w:r w:rsidRPr="00F163BC">
        <w:t>Ministru kabineta 2016. gada 14. novembra rīkojuma Nr. 678 “Par konceptuālo ziņojumu “Par valsts akciju sabiedrības “Ceļu satiksmes drošības direkcija” uzstādīto stacionāro fotoradaru darbības rezultātiem, priekšlikumiem par tehnisko līdzekļu (</w:t>
      </w:r>
      <w:proofErr w:type="spellStart"/>
      <w:r w:rsidRPr="00F163BC">
        <w:t>fotoiekārtu</w:t>
      </w:r>
      <w:proofErr w:type="spellEnd"/>
      <w:r w:rsidRPr="00F163BC">
        <w:t xml:space="preserve"> vai videoiekārtu) turpmāko izmantošanu un fotoradaru iegādes, uzstādīšanas un darbības nodrošināšanas finansēšanu” (turpmāk – rīkojums Nr.</w:t>
      </w:r>
      <w:r w:rsidR="006E24F8" w:rsidRPr="00F163BC">
        <w:t xml:space="preserve"> </w:t>
      </w:r>
      <w:r w:rsidRPr="00F163BC">
        <w:t>678) 5. punktā dots uzdevums Iekšlietu ministrijai kopīgi ar Satiksmes ministriju sagatavot un līdz 2019. gada 1. martam iesniegt Ministru kabinetā informatīvo ziņojumu par fotoradaru turpmākās darbības nodrošināšanu (atjaunošanu) un tās finansēšanas avotiem.</w:t>
      </w:r>
    </w:p>
    <w:p w14:paraId="07B7CDDE" w14:textId="77777777" w:rsidR="00DB017E" w:rsidRPr="00F163BC" w:rsidRDefault="00D65830" w:rsidP="00B105D4">
      <w:pPr>
        <w:pStyle w:val="liknoteik"/>
        <w:spacing w:before="0" w:beforeAutospacing="0" w:after="0" w:afterAutospacing="0"/>
        <w:ind w:firstLine="720"/>
        <w:jc w:val="both"/>
      </w:pPr>
      <w:r w:rsidRPr="00F163BC">
        <w:t xml:space="preserve">Ministru kabinets </w:t>
      </w:r>
      <w:proofErr w:type="gramStart"/>
      <w:r w:rsidRPr="00F163BC">
        <w:t>2018.gada</w:t>
      </w:r>
      <w:proofErr w:type="gramEnd"/>
      <w:r w:rsidRPr="00F163BC">
        <w:t xml:space="preserve"> 20.marta sēdē (prot. Nr.16, 12.§, 3.punkts), izskatot noteikumu projektu „Samaksas noteikumi valsts akciju sabiedrībai “Ceļu satiksmes drošības direkcija” par deleģēto valsts pārvaldes uzdevumu izpildi” (Ministru kabineta 2018. gada 20. marta noteikumi Nr. 170), ievērojot arī problemātiskos jautājumus, kas saistīti ar fotoradaru un to pamatņu nolietojuma izmaksu segšanas kārtību un atspoguļošanu grāmatvedības dokumentos, deva uzdevumu rīkojuma Nr.678 5.punktā paredzēto informatīvo ziņojumu par fotoradaru turpmākās darbības nodrošināšanu (atjaunošanu) un tās finansēšanas avotiem (turpmāk – informatīvais ziņojums) sagatavot un virzīt likumprojekta “Par valsts budžetu 2019.gadam” un “Par vidējā termiņa budžeta ietvaru 2019., 2020. un 2021. gadam” sagatavošanas procesā.</w:t>
      </w:r>
    </w:p>
    <w:p w14:paraId="3161624A" w14:textId="77777777" w:rsidR="00D65830" w:rsidRPr="00F163BC" w:rsidRDefault="00D65830" w:rsidP="00B105D4">
      <w:pPr>
        <w:pStyle w:val="liknoteik"/>
        <w:spacing w:before="0" w:beforeAutospacing="0" w:after="0" w:afterAutospacing="0"/>
        <w:ind w:firstLine="720"/>
        <w:jc w:val="both"/>
      </w:pPr>
      <w:r w:rsidRPr="00F163BC">
        <w:t xml:space="preserve">Informatīvo ziņojumu sagatavoja ar Iekšlietu ministrijas </w:t>
      </w:r>
      <w:proofErr w:type="gramStart"/>
      <w:r w:rsidRPr="00F163BC">
        <w:t>2018.gada</w:t>
      </w:r>
      <w:proofErr w:type="gramEnd"/>
      <w:r w:rsidRPr="00F163BC">
        <w:t xml:space="preserve"> 21.maija rīkojumu Nr.1-12/826 izveidotā darba grupa, kurā bija iekļaut</w:t>
      </w:r>
      <w:r w:rsidR="00CC096E" w:rsidRPr="00F163BC">
        <w:t>as</w:t>
      </w:r>
      <w:r w:rsidRPr="00F163BC">
        <w:t xml:space="preserve"> Iekšlietu ministrijas, Satiksmes ministrijas, Valsts policijas un valsts akciju sabiedrības “Ceļu satiksmes drošības direkcija” (turpmāk – CSDD) amatpersonas.</w:t>
      </w:r>
    </w:p>
    <w:p w14:paraId="000483E8" w14:textId="77777777" w:rsidR="00C850EA" w:rsidRPr="00F163BC" w:rsidRDefault="00C850EA" w:rsidP="00D65830">
      <w:pPr>
        <w:pStyle w:val="liknoteik"/>
        <w:spacing w:before="0" w:beforeAutospacing="0" w:after="0" w:afterAutospacing="0"/>
        <w:jc w:val="both"/>
        <w:rPr>
          <w:b/>
          <w:sz w:val="28"/>
          <w:szCs w:val="28"/>
        </w:rPr>
      </w:pPr>
    </w:p>
    <w:p w14:paraId="484518A6" w14:textId="77777777" w:rsidR="00B105D4" w:rsidRPr="00F163BC" w:rsidRDefault="009A47D3" w:rsidP="00217EE6">
      <w:pPr>
        <w:jc w:val="center"/>
        <w:rPr>
          <w:b/>
          <w:sz w:val="28"/>
          <w:szCs w:val="28"/>
        </w:rPr>
      </w:pPr>
      <w:r w:rsidRPr="00F163BC">
        <w:rPr>
          <w:b/>
          <w:sz w:val="28"/>
          <w:szCs w:val="28"/>
        </w:rPr>
        <w:t xml:space="preserve"> 1. </w:t>
      </w:r>
      <w:r w:rsidR="00D65830" w:rsidRPr="00F163BC">
        <w:rPr>
          <w:b/>
          <w:sz w:val="28"/>
          <w:szCs w:val="28"/>
        </w:rPr>
        <w:t xml:space="preserve">Pašreizējās situācijas raksturojums </w:t>
      </w:r>
      <w:r w:rsidR="00B105D4" w:rsidRPr="00F163BC">
        <w:rPr>
          <w:b/>
          <w:sz w:val="28"/>
          <w:szCs w:val="28"/>
        </w:rPr>
        <w:t xml:space="preserve">tehnisko līdzekļu </w:t>
      </w:r>
    </w:p>
    <w:p w14:paraId="1DCF6915" w14:textId="77777777" w:rsidR="00D65830" w:rsidRPr="00F163BC" w:rsidRDefault="00B105D4" w:rsidP="00217EE6">
      <w:pPr>
        <w:jc w:val="center"/>
        <w:rPr>
          <w:b/>
          <w:sz w:val="28"/>
          <w:szCs w:val="28"/>
        </w:rPr>
      </w:pPr>
      <w:r w:rsidRPr="00F163BC">
        <w:rPr>
          <w:b/>
          <w:sz w:val="28"/>
          <w:szCs w:val="28"/>
        </w:rPr>
        <w:t>(</w:t>
      </w:r>
      <w:r w:rsidR="00D65830" w:rsidRPr="00F163BC">
        <w:rPr>
          <w:b/>
          <w:sz w:val="28"/>
          <w:szCs w:val="28"/>
        </w:rPr>
        <w:t>fotoradaru</w:t>
      </w:r>
      <w:r w:rsidRPr="00F163BC">
        <w:rPr>
          <w:b/>
          <w:sz w:val="28"/>
          <w:szCs w:val="28"/>
        </w:rPr>
        <w:t>)</w:t>
      </w:r>
      <w:r w:rsidR="00D65830" w:rsidRPr="00F163BC">
        <w:rPr>
          <w:b/>
          <w:sz w:val="28"/>
          <w:szCs w:val="28"/>
        </w:rPr>
        <w:t xml:space="preserve"> ieviešanas jomā un darbības rezultāti</w:t>
      </w:r>
    </w:p>
    <w:p w14:paraId="38FF04A0" w14:textId="77777777" w:rsidR="0087438B" w:rsidRPr="00F163BC" w:rsidRDefault="0087438B" w:rsidP="00217EE6">
      <w:pPr>
        <w:jc w:val="center"/>
        <w:rPr>
          <w:b/>
          <w:sz w:val="28"/>
          <w:szCs w:val="28"/>
        </w:rPr>
      </w:pPr>
    </w:p>
    <w:p w14:paraId="2A61383B" w14:textId="77777777" w:rsidR="00B105D4" w:rsidRPr="00F163BC" w:rsidRDefault="00217EE6" w:rsidP="00B105D4">
      <w:pPr>
        <w:pStyle w:val="liknoteik"/>
        <w:spacing w:before="0" w:beforeAutospacing="0" w:after="0" w:afterAutospacing="0"/>
        <w:ind w:firstLine="284"/>
        <w:jc w:val="both"/>
      </w:pPr>
      <w:r w:rsidRPr="00F163BC">
        <w:t xml:space="preserve">    Saskaņā ar</w:t>
      </w:r>
      <w:proofErr w:type="gramStart"/>
      <w:r w:rsidR="001721F4" w:rsidRPr="00F163BC">
        <w:t xml:space="preserve"> </w:t>
      </w:r>
      <w:r w:rsidRPr="00F163BC">
        <w:t xml:space="preserve"> </w:t>
      </w:r>
      <w:proofErr w:type="gramEnd"/>
      <w:r w:rsidRPr="00F163BC">
        <w:t xml:space="preserve">Ceļu satiksmes likuma </w:t>
      </w:r>
      <w:r w:rsidR="003A15C1" w:rsidRPr="00F163BC">
        <w:t>43.</w:t>
      </w:r>
      <w:r w:rsidR="003A15C1" w:rsidRPr="00F163BC">
        <w:rPr>
          <w:vertAlign w:val="superscript"/>
        </w:rPr>
        <w:t>7</w:t>
      </w:r>
      <w:r w:rsidR="009D0EAA" w:rsidRPr="00F163BC">
        <w:t>panta</w:t>
      </w:r>
      <w:r w:rsidRPr="00F163BC">
        <w:t xml:space="preserve"> (Pārkāpumu fiksēšana ar tehniskiem līdzekļiem, neapturot transportlīdzekli) pirmo daļu, lai Valsts policija veiktu ceļu satiksmes uzraudzību, </w:t>
      </w:r>
      <w:r w:rsidR="001721F4" w:rsidRPr="00F163BC">
        <w:t>CSDD</w:t>
      </w:r>
      <w:r w:rsidRPr="00F163BC">
        <w:t>, pamatojoties uz deleģēšanas līgumu, kas noslēgts ar Valsts policiju, var nodrošināt tehnisko līdzekļu (</w:t>
      </w:r>
      <w:proofErr w:type="spellStart"/>
      <w:r w:rsidRPr="00F163BC">
        <w:t>fotoiekārtas</w:t>
      </w:r>
      <w:proofErr w:type="spellEnd"/>
      <w:r w:rsidRPr="00F163BC">
        <w:t xml:space="preserve"> vai videoiekārtas) uzstādīšanu un to darbību pārkāpumu fiksēšanai, neapturot transportlīdzekli.</w:t>
      </w:r>
    </w:p>
    <w:p w14:paraId="6EB6FB8F" w14:textId="77777777" w:rsidR="00217EE6" w:rsidRPr="00F163BC" w:rsidRDefault="00217EE6" w:rsidP="00B105D4">
      <w:pPr>
        <w:pStyle w:val="liknoteik"/>
        <w:spacing w:before="0" w:beforeAutospacing="0" w:after="0" w:afterAutospacing="0"/>
        <w:ind w:firstLine="720"/>
        <w:jc w:val="both"/>
      </w:pPr>
      <w:r w:rsidRPr="00F163BC">
        <w:t xml:space="preserve">Pamatojoties uz Ceļu satiksmes likuma </w:t>
      </w:r>
      <w:r w:rsidR="003A15C1" w:rsidRPr="00F163BC">
        <w:t>43.</w:t>
      </w:r>
      <w:proofErr w:type="gramStart"/>
      <w:r w:rsidR="003A15C1" w:rsidRPr="00F163BC">
        <w:rPr>
          <w:vertAlign w:val="superscript"/>
        </w:rPr>
        <w:t>7</w:t>
      </w:r>
      <w:r w:rsidR="00DB23F7" w:rsidRPr="00F163BC">
        <w:t>panta</w:t>
      </w:r>
      <w:proofErr w:type="gramEnd"/>
      <w:r w:rsidR="003A15C1" w:rsidRPr="00F163BC">
        <w:t xml:space="preserve"> </w:t>
      </w:r>
      <w:r w:rsidRPr="00F163BC">
        <w:t>pirmajā daļā noteikto:</w:t>
      </w:r>
    </w:p>
    <w:p w14:paraId="7CDD8BC4" w14:textId="77777777" w:rsidR="00217EE6" w:rsidRPr="00F163BC" w:rsidRDefault="00217EE6" w:rsidP="00B105D4">
      <w:pPr>
        <w:pStyle w:val="liknoteik"/>
        <w:spacing w:before="0" w:beforeAutospacing="0" w:after="0" w:afterAutospacing="0"/>
        <w:ind w:firstLine="720"/>
        <w:jc w:val="both"/>
      </w:pPr>
      <w:r w:rsidRPr="00F163BC">
        <w:t xml:space="preserve">- Valsts policija </w:t>
      </w:r>
      <w:r w:rsidR="006E24F8" w:rsidRPr="00F163BC">
        <w:t xml:space="preserve">ar CSDD </w:t>
      </w:r>
      <w:proofErr w:type="gramStart"/>
      <w:r w:rsidRPr="00F163BC">
        <w:t>2015.gada</w:t>
      </w:r>
      <w:proofErr w:type="gramEnd"/>
      <w:r w:rsidRPr="00F163BC">
        <w:t xml:space="preserve"> 3.februārī noslēdza deleģēšanas līgumu Nr.84 par stacionāro tehnisko līdzekļu (fotoradaru) iegādi, uzstādīšanu un to darbību administratīvo pārkāpumu fiksēšanā, neapturot transportlīdzekli, kā arī informācijas apstrādi un administratīvā pārkāpuma protokolu – lēmumu projektu sagatavošanu un nosūtīšanu Valsts policijai izvērtēšanai; </w:t>
      </w:r>
    </w:p>
    <w:p w14:paraId="5A47D0EB" w14:textId="77777777" w:rsidR="00B105D4" w:rsidRPr="00F163BC" w:rsidRDefault="00217EE6" w:rsidP="00B105D4">
      <w:pPr>
        <w:pStyle w:val="liknoteik"/>
        <w:spacing w:before="0" w:beforeAutospacing="0" w:after="0" w:afterAutospacing="0"/>
        <w:ind w:firstLine="720"/>
        <w:jc w:val="both"/>
      </w:pPr>
      <w:r w:rsidRPr="00F163BC">
        <w:t xml:space="preserve">- Valsts policija </w:t>
      </w:r>
      <w:r w:rsidR="006E24F8" w:rsidRPr="00F163BC">
        <w:t xml:space="preserve">ar CSDD </w:t>
      </w:r>
      <w:proofErr w:type="gramStart"/>
      <w:r w:rsidRPr="00F163BC">
        <w:t>2016.gada</w:t>
      </w:r>
      <w:proofErr w:type="gramEnd"/>
      <w:r w:rsidRPr="00F163BC">
        <w:t xml:space="preserve"> 5.decembrī noslēdza </w:t>
      </w:r>
      <w:r w:rsidR="00DB017E" w:rsidRPr="00F163BC">
        <w:t xml:space="preserve">jaunu </w:t>
      </w:r>
      <w:r w:rsidRPr="00F163BC">
        <w:t xml:space="preserve">deleģēšanas </w:t>
      </w:r>
      <w:r w:rsidR="006E24F8" w:rsidRPr="00F163BC">
        <w:t xml:space="preserve">līgumu </w:t>
      </w:r>
      <w:r w:rsidRPr="00F163BC">
        <w:t xml:space="preserve">Nr.2202 par stacionāro tehnisko līdzekļu (fotoradaru) iegādi, uzstādīšanu un to darbību administratīvo pārkāpumu fiksēšanā, neapturot transportlīdzekli, kā arī informācijas apstrādi un administratīvā pārkāpuma protokolu – lēmumu projektu </w:t>
      </w:r>
      <w:r w:rsidRPr="00F163BC">
        <w:lastRenderedPageBreak/>
        <w:t>sagatavošanu un nosūtīšanu Valsts policijai izvērtēšanai (ar šī līguma spēkā stāšanos 2015.gada 3.februārī noslēgtais deleģēšanas līgums Nr.84 zaudējis spēku).</w:t>
      </w:r>
    </w:p>
    <w:p w14:paraId="1026A4CF" w14:textId="77777777" w:rsidR="00DB23F7" w:rsidRPr="00F163BC" w:rsidRDefault="00DB23F7" w:rsidP="00B105D4">
      <w:pPr>
        <w:pStyle w:val="liknoteik"/>
        <w:spacing w:before="0" w:beforeAutospacing="0" w:after="0" w:afterAutospacing="0"/>
        <w:ind w:firstLine="720"/>
        <w:jc w:val="both"/>
      </w:pPr>
      <w:r w:rsidRPr="00F163BC">
        <w:t>Bez tam, Ceļu satiksmes likuma 43.</w:t>
      </w:r>
      <w:proofErr w:type="gramStart"/>
      <w:r w:rsidRPr="00F163BC">
        <w:rPr>
          <w:vertAlign w:val="superscript"/>
        </w:rPr>
        <w:t>7</w:t>
      </w:r>
      <w:r w:rsidRPr="00F163BC">
        <w:t>panta</w:t>
      </w:r>
      <w:proofErr w:type="gramEnd"/>
      <w:r w:rsidR="007B29DB" w:rsidRPr="00F163BC">
        <w:t xml:space="preserve"> otrā daļa paredz, ka Valsts policija ar Ceļu satiksmes drošības direkciju var noslēgt deleģēšanas līgumu, kurā paredz, ka Ceļu satiksmes drošības direkcija transportlīdzekļu un to vadītāju valsts reģistrā apstrādā to informāciju, kas par attiecīgo pārkāpumu saņemta no tehniskiem līdzekļiem (</w:t>
      </w:r>
      <w:proofErr w:type="spellStart"/>
      <w:r w:rsidR="007B29DB" w:rsidRPr="00F163BC">
        <w:t>fotoiekārtas</w:t>
      </w:r>
      <w:proofErr w:type="spellEnd"/>
      <w:r w:rsidR="007B29DB" w:rsidRPr="00F163BC">
        <w:t xml:space="preserve"> vai videoiekārtas), sagatavo šā likuma </w:t>
      </w:r>
      <w:hyperlink r:id="rId8" w:anchor="p43.6" w:history="1">
        <w:r w:rsidR="007B29DB" w:rsidRPr="00F163BC">
          <w:rPr>
            <w:rStyle w:val="Hyperlink"/>
            <w:color w:val="auto"/>
          </w:rPr>
          <w:t>43.</w:t>
        </w:r>
        <w:r w:rsidR="007B29DB" w:rsidRPr="00F163BC">
          <w:rPr>
            <w:rStyle w:val="Hyperlink"/>
            <w:color w:val="auto"/>
            <w:vertAlign w:val="superscript"/>
          </w:rPr>
          <w:t>6</w:t>
        </w:r>
        <w:r w:rsidR="007B29DB" w:rsidRPr="00F163BC">
          <w:rPr>
            <w:rStyle w:val="Hyperlink"/>
            <w:color w:val="auto"/>
          </w:rPr>
          <w:t xml:space="preserve"> panta</w:t>
        </w:r>
      </w:hyperlink>
      <w:r w:rsidR="007B29DB" w:rsidRPr="00F163BC">
        <w:t xml:space="preserve"> sestajā daļā minētā protokola–lēmuma projektu un nosūta to Valsts policijai izvērtēšanai un lēmuma par administratīvā soda piemērošanu pieņemšanai, bet pēc minētā Valsts policijas lēmuma pieņemšanas protokolu–lēmumu nosūta šā likuma </w:t>
      </w:r>
      <w:hyperlink r:id="rId9" w:anchor="p43.6" w:history="1">
        <w:r w:rsidR="007B29DB" w:rsidRPr="00F163BC">
          <w:rPr>
            <w:rStyle w:val="Hyperlink"/>
            <w:color w:val="auto"/>
          </w:rPr>
          <w:t>43.</w:t>
        </w:r>
        <w:r w:rsidR="007B29DB" w:rsidRPr="00F163BC">
          <w:rPr>
            <w:rStyle w:val="Hyperlink"/>
            <w:color w:val="auto"/>
            <w:vertAlign w:val="superscript"/>
          </w:rPr>
          <w:t>6</w:t>
        </w:r>
        <w:r w:rsidR="007B29DB" w:rsidRPr="00F163BC">
          <w:rPr>
            <w:rStyle w:val="Hyperlink"/>
            <w:color w:val="auto"/>
          </w:rPr>
          <w:t xml:space="preserve"> panta</w:t>
        </w:r>
      </w:hyperlink>
      <w:r w:rsidR="007B29DB" w:rsidRPr="00F163BC">
        <w:t xml:space="preserve"> astotajā daļā minētajai personai, kā arī veic atsevišķas </w:t>
      </w:r>
      <w:hyperlink r:id="rId10" w:tgtFrame="_blank" w:history="1">
        <w:r w:rsidR="007B29DB" w:rsidRPr="00F163BC">
          <w:rPr>
            <w:rStyle w:val="Hyperlink"/>
            <w:color w:val="auto"/>
          </w:rPr>
          <w:t>Latvijas Administratīvo pārkāpumu kodeksā</w:t>
        </w:r>
      </w:hyperlink>
      <w:r w:rsidR="007B29DB" w:rsidRPr="00F163BC">
        <w:t xml:space="preserve"> noteiktās darbības, kas saistītas ar uzlikto naudas sodu izpildi.</w:t>
      </w:r>
    </w:p>
    <w:p w14:paraId="358D6015" w14:textId="77777777" w:rsidR="00217EE6" w:rsidRPr="00F163BC" w:rsidRDefault="00976CE4" w:rsidP="00E20CE5">
      <w:pPr>
        <w:pStyle w:val="liknoteik"/>
        <w:spacing w:before="0" w:beforeAutospacing="0" w:after="0" w:afterAutospacing="0"/>
        <w:ind w:firstLine="720"/>
        <w:jc w:val="both"/>
      </w:pPr>
      <w:r w:rsidRPr="00F163BC">
        <w:t>M</w:t>
      </w:r>
      <w:r w:rsidR="004C1EFD" w:rsidRPr="00F163BC">
        <w:t>inēto valsts pārvaldes uzdevumu deleģēšana</w:t>
      </w:r>
      <w:r w:rsidR="00A373F9" w:rsidRPr="00F163BC">
        <w:t xml:space="preserve"> CSDD</w:t>
      </w:r>
      <w:r w:rsidR="00217EE6" w:rsidRPr="00F163BC">
        <w:t xml:space="preserve"> ir efektīvs </w:t>
      </w:r>
      <w:r w:rsidR="004C1EFD" w:rsidRPr="00F163BC">
        <w:t>risinājums, lai nodrošinātu ceļu</w:t>
      </w:r>
      <w:r w:rsidR="008C4D8E" w:rsidRPr="00F163BC">
        <w:t xml:space="preserve"> satiksmes uzraudzību un </w:t>
      </w:r>
      <w:r w:rsidR="004C1EFD" w:rsidRPr="00F163BC">
        <w:t xml:space="preserve">satiksmes </w:t>
      </w:r>
      <w:r w:rsidR="008C4D8E" w:rsidRPr="00F163BC">
        <w:t>noteikumu pārkāpumu fiksēšanu</w:t>
      </w:r>
      <w:r w:rsidR="004C1EFD" w:rsidRPr="00F163BC">
        <w:t xml:space="preserve"> ar </w:t>
      </w:r>
      <w:r w:rsidR="00217EE6" w:rsidRPr="00F163BC">
        <w:t>tehnisk</w:t>
      </w:r>
      <w:r w:rsidR="004C1EFD" w:rsidRPr="00F163BC">
        <w:t>ajiem</w:t>
      </w:r>
      <w:r w:rsidR="00217EE6" w:rsidRPr="00F163BC">
        <w:t xml:space="preserve"> līdzekļ</w:t>
      </w:r>
      <w:r w:rsidR="004C1EFD" w:rsidRPr="00F163BC">
        <w:t>iem</w:t>
      </w:r>
      <w:r w:rsidR="00217EE6" w:rsidRPr="00F163BC">
        <w:t xml:space="preserve"> (</w:t>
      </w:r>
      <w:r w:rsidR="005435EF" w:rsidRPr="00F163BC">
        <w:t>fotoradariem</w:t>
      </w:r>
      <w:r w:rsidR="00217EE6" w:rsidRPr="00F163BC">
        <w:t>)</w:t>
      </w:r>
      <w:r w:rsidRPr="00F163BC">
        <w:t>,</w:t>
      </w:r>
      <w:r w:rsidR="00217EE6" w:rsidRPr="00F163BC">
        <w:t xml:space="preserve"> </w:t>
      </w:r>
      <w:r w:rsidRPr="00F163BC">
        <w:t xml:space="preserve">kā arī </w:t>
      </w:r>
      <w:r w:rsidR="008C4D8E" w:rsidRPr="00F163BC">
        <w:t>pārkāpēju</w:t>
      </w:r>
      <w:r w:rsidRPr="00F163BC">
        <w:t xml:space="preserve"> saukšanu</w:t>
      </w:r>
      <w:r w:rsidR="008C4D8E" w:rsidRPr="00F163BC">
        <w:t xml:space="preserve"> pie administratīvās atbildības. </w:t>
      </w:r>
      <w:r w:rsidRPr="00F163BC">
        <w:t xml:space="preserve">Šo </w:t>
      </w:r>
      <w:r w:rsidR="00217EE6" w:rsidRPr="00F163BC">
        <w:t xml:space="preserve">uzdevumu deleģēšana CSDD </w:t>
      </w:r>
      <w:r w:rsidR="008C4D8E" w:rsidRPr="00F163BC">
        <w:t xml:space="preserve">ir </w:t>
      </w:r>
      <w:r w:rsidR="00217EE6" w:rsidRPr="00F163BC">
        <w:t>nodrošin</w:t>
      </w:r>
      <w:r w:rsidR="008C4D8E" w:rsidRPr="00F163BC">
        <w:t>ājusi</w:t>
      </w:r>
      <w:r w:rsidR="00217EE6" w:rsidRPr="00F163BC">
        <w:t xml:space="preserve"> valsts budžeta līdzekļu</w:t>
      </w:r>
      <w:r w:rsidR="00DB23F7" w:rsidRPr="00F163BC">
        <w:t xml:space="preserve"> taupīg</w:t>
      </w:r>
      <w:r w:rsidR="002754E1" w:rsidRPr="00F163BC">
        <w:t>āku</w:t>
      </w:r>
      <w:r w:rsidR="00DB23F7" w:rsidRPr="00F163BC">
        <w:t xml:space="preserve"> izlietojumu</w:t>
      </w:r>
      <w:r w:rsidR="00217EE6" w:rsidRPr="00F163BC">
        <w:t xml:space="preserve">, kā arī </w:t>
      </w:r>
      <w:r w:rsidR="008C4D8E" w:rsidRPr="00F163BC">
        <w:t>novērsusi</w:t>
      </w:r>
      <w:proofErr w:type="gramStart"/>
      <w:r w:rsidR="008C4D8E" w:rsidRPr="00F163BC">
        <w:t xml:space="preserve"> </w:t>
      </w:r>
      <w:r w:rsidR="00217EE6" w:rsidRPr="00F163BC">
        <w:t xml:space="preserve"> </w:t>
      </w:r>
      <w:proofErr w:type="gramEnd"/>
      <w:r w:rsidR="00217EE6" w:rsidRPr="00F163BC">
        <w:t>nepieciešam</w:t>
      </w:r>
      <w:r w:rsidR="008C4D8E" w:rsidRPr="00F163BC">
        <w:t>ību</w:t>
      </w:r>
      <w:r w:rsidR="00217EE6" w:rsidRPr="00F163BC">
        <w:t xml:space="preserve"> palielināt </w:t>
      </w:r>
      <w:r w:rsidRPr="00F163BC">
        <w:t xml:space="preserve">to </w:t>
      </w:r>
      <w:r w:rsidR="00217EE6" w:rsidRPr="00F163BC">
        <w:t xml:space="preserve">izpildē iesaistītos  </w:t>
      </w:r>
      <w:proofErr w:type="spellStart"/>
      <w:r w:rsidR="00217EE6" w:rsidRPr="00F163BC">
        <w:t>cilvēkresurus</w:t>
      </w:r>
      <w:proofErr w:type="spellEnd"/>
      <w:r w:rsidR="00217EE6" w:rsidRPr="00F163BC">
        <w:t>. Ir samazinājies Valsts policijas administratīvais slogs, kā arī  samazinājušās administratīvās izmaksas, kas saistītas ar administratīvo pārkāpumu protokolu – paziņojumu nosūtīšanu. Pie administratīvās atbildības sauktajām personām, kuras ir reģistrējušās elektroniskajā e-pakalpojumu sistēmā un piekritušas paziņojumu saņemšanai elektroniski, protokolu - lēmumu saņemšana ir pada</w:t>
      </w:r>
      <w:r w:rsidR="00B105D4" w:rsidRPr="00F163BC">
        <w:t>rīta ātrāka, ērtāka un drošāka.</w:t>
      </w:r>
    </w:p>
    <w:p w14:paraId="0BABD907" w14:textId="77777777" w:rsidR="00C850EA" w:rsidRPr="00F163BC" w:rsidRDefault="00C850EA" w:rsidP="00217EE6">
      <w:pPr>
        <w:jc w:val="center"/>
      </w:pPr>
    </w:p>
    <w:p w14:paraId="5AB19B63" w14:textId="77777777" w:rsidR="00D65830" w:rsidRPr="00F163BC" w:rsidRDefault="00D65830" w:rsidP="00D65830">
      <w:pPr>
        <w:jc w:val="center"/>
        <w:rPr>
          <w:b/>
          <w:sz w:val="28"/>
          <w:szCs w:val="28"/>
        </w:rPr>
      </w:pPr>
      <w:r w:rsidRPr="00F163BC">
        <w:rPr>
          <w:b/>
          <w:sz w:val="28"/>
          <w:szCs w:val="28"/>
        </w:rPr>
        <w:t xml:space="preserve">1.1. </w:t>
      </w:r>
      <w:r w:rsidR="0087438B" w:rsidRPr="00F163BC">
        <w:rPr>
          <w:b/>
          <w:sz w:val="28"/>
          <w:szCs w:val="28"/>
        </w:rPr>
        <w:t>Tehnisko līdzekļu (f</w:t>
      </w:r>
      <w:r w:rsidRPr="00F163BC">
        <w:rPr>
          <w:b/>
          <w:sz w:val="28"/>
          <w:szCs w:val="28"/>
        </w:rPr>
        <w:t>otoradaru</w:t>
      </w:r>
      <w:r w:rsidR="0087438B" w:rsidRPr="00F163BC">
        <w:rPr>
          <w:b/>
          <w:sz w:val="28"/>
          <w:szCs w:val="28"/>
        </w:rPr>
        <w:t>)</w:t>
      </w:r>
      <w:r w:rsidRPr="00F163BC">
        <w:rPr>
          <w:b/>
          <w:sz w:val="28"/>
          <w:szCs w:val="28"/>
        </w:rPr>
        <w:t xml:space="preserve"> ieviešanas gaita</w:t>
      </w:r>
      <w:r w:rsidR="006C3893" w:rsidRPr="00F163BC">
        <w:rPr>
          <w:b/>
          <w:sz w:val="28"/>
          <w:szCs w:val="28"/>
        </w:rPr>
        <w:t xml:space="preserve"> un darbības rezultāti</w:t>
      </w:r>
    </w:p>
    <w:p w14:paraId="6AA3077E" w14:textId="77777777" w:rsidR="00B105D4" w:rsidRPr="00F163BC" w:rsidRDefault="00B105D4" w:rsidP="00D65830">
      <w:pPr>
        <w:pStyle w:val="NormalWeb"/>
        <w:spacing w:before="0" w:beforeAutospacing="0" w:after="0" w:afterAutospacing="0"/>
        <w:jc w:val="both"/>
        <w:rPr>
          <w:b/>
          <w:sz w:val="28"/>
          <w:szCs w:val="28"/>
          <w:lang w:val="lv-LV"/>
        </w:rPr>
      </w:pPr>
    </w:p>
    <w:p w14:paraId="0B636782" w14:textId="77777777" w:rsidR="00B105D4" w:rsidRPr="00F163BC" w:rsidRDefault="00695544" w:rsidP="00B105D4">
      <w:pPr>
        <w:pStyle w:val="NormalWeb"/>
        <w:spacing w:before="0" w:beforeAutospacing="0" w:after="0" w:afterAutospacing="0"/>
        <w:ind w:firstLine="720"/>
        <w:jc w:val="both"/>
        <w:rPr>
          <w:iCs/>
          <w:lang w:val="lv-LV"/>
        </w:rPr>
      </w:pPr>
      <w:r w:rsidRPr="00F163BC">
        <w:rPr>
          <w:lang w:val="lv-LV"/>
        </w:rPr>
        <w:t>Laik</w:t>
      </w:r>
      <w:r w:rsidR="004528C8" w:rsidRPr="00F163BC">
        <w:rPr>
          <w:lang w:val="lv-LV"/>
        </w:rPr>
        <w:t xml:space="preserve">a </w:t>
      </w:r>
      <w:r w:rsidRPr="00F163BC">
        <w:rPr>
          <w:lang w:val="lv-LV"/>
        </w:rPr>
        <w:t xml:space="preserve">posmā no </w:t>
      </w:r>
      <w:proofErr w:type="gramStart"/>
      <w:r w:rsidRPr="00F163BC">
        <w:rPr>
          <w:lang w:val="lv-LV"/>
        </w:rPr>
        <w:t>2015.gada</w:t>
      </w:r>
      <w:proofErr w:type="gramEnd"/>
      <w:r w:rsidRPr="00F163BC">
        <w:rPr>
          <w:lang w:val="lv-LV"/>
        </w:rPr>
        <w:t xml:space="preserve"> </w:t>
      </w:r>
      <w:r w:rsidR="006C3893" w:rsidRPr="00F163BC">
        <w:rPr>
          <w:lang w:val="lv-LV"/>
        </w:rPr>
        <w:t>12.</w:t>
      </w:r>
      <w:r w:rsidRPr="00F163BC">
        <w:rPr>
          <w:lang w:val="lv-LV"/>
        </w:rPr>
        <w:t>februāra līdz 2018.gada</w:t>
      </w:r>
      <w:r w:rsidR="001721F4" w:rsidRPr="00F163BC">
        <w:rPr>
          <w:lang w:val="lv-LV"/>
        </w:rPr>
        <w:t xml:space="preserve"> 4</w:t>
      </w:r>
      <w:r w:rsidR="00031DE5" w:rsidRPr="00F163BC">
        <w:rPr>
          <w:lang w:val="lv-LV"/>
        </w:rPr>
        <w:t>.decembrim</w:t>
      </w:r>
      <w:r w:rsidRPr="00F163BC">
        <w:rPr>
          <w:b/>
          <w:lang w:val="lv-LV"/>
        </w:rPr>
        <w:t xml:space="preserve">, </w:t>
      </w:r>
      <w:r w:rsidRPr="00F163BC">
        <w:rPr>
          <w:lang w:val="lv-LV"/>
        </w:rPr>
        <w:t>ievērojot</w:t>
      </w:r>
      <w:r w:rsidRPr="00F163BC">
        <w:rPr>
          <w:b/>
          <w:lang w:val="lv-LV"/>
        </w:rPr>
        <w:t xml:space="preserve"> </w:t>
      </w:r>
      <w:r w:rsidRPr="00F163BC">
        <w:rPr>
          <w:lang w:val="lv-LV"/>
        </w:rPr>
        <w:t>rīkojuma Nr. 678 1.1.apakšpunktā atbalstīto turpmākās fotoradaru ieviešanas risinājuma 2.variant</w:t>
      </w:r>
      <w:r w:rsidR="004528C8" w:rsidRPr="00F163BC">
        <w:rPr>
          <w:lang w:val="lv-LV"/>
        </w:rPr>
        <w:t>u</w:t>
      </w:r>
      <w:r w:rsidRPr="00F163BC">
        <w:rPr>
          <w:lang w:val="lv-LV"/>
        </w:rPr>
        <w:t xml:space="preserve">, </w:t>
      </w:r>
      <w:r w:rsidR="006C3893" w:rsidRPr="00F163BC">
        <w:rPr>
          <w:lang w:val="lv-LV"/>
        </w:rPr>
        <w:t xml:space="preserve">CSDD </w:t>
      </w:r>
      <w:r w:rsidR="006C3893" w:rsidRPr="00F163BC">
        <w:rPr>
          <w:iCs/>
          <w:lang w:val="lv-LV"/>
        </w:rPr>
        <w:t xml:space="preserve">četrās kārtās </w:t>
      </w:r>
      <w:r w:rsidR="006C3893" w:rsidRPr="00F163BC">
        <w:rPr>
          <w:lang w:val="lv-LV"/>
        </w:rPr>
        <w:t xml:space="preserve">ir iegādājusies, uzstādījusi un nodevusi ekspluatācijā </w:t>
      </w:r>
      <w:r w:rsidR="00A401BA" w:rsidRPr="00F163BC">
        <w:rPr>
          <w:lang w:val="lv-LV"/>
        </w:rPr>
        <w:t>100</w:t>
      </w:r>
      <w:r w:rsidR="006C3893" w:rsidRPr="00F163BC">
        <w:rPr>
          <w:lang w:val="lv-LV"/>
        </w:rPr>
        <w:t xml:space="preserve"> fotoradarus. </w:t>
      </w:r>
    </w:p>
    <w:p w14:paraId="7F86ADEE" w14:textId="77777777" w:rsidR="00CC1E9D" w:rsidRPr="00F163BC" w:rsidRDefault="006C3893" w:rsidP="006C3893">
      <w:pPr>
        <w:pStyle w:val="NormalWeb"/>
        <w:spacing w:before="0" w:beforeAutospacing="0" w:after="0" w:afterAutospacing="0"/>
        <w:ind w:firstLine="720"/>
        <w:jc w:val="both"/>
        <w:rPr>
          <w:bCs/>
          <w:lang w:val="lv-LV"/>
        </w:rPr>
      </w:pPr>
      <w:r w:rsidRPr="00F163BC">
        <w:rPr>
          <w:b/>
          <w:bCs/>
          <w:lang w:val="lv-LV"/>
        </w:rPr>
        <w:t>Pirmajā kārtā</w:t>
      </w:r>
      <w:r w:rsidRPr="00F163BC">
        <w:rPr>
          <w:bCs/>
          <w:lang w:val="lv-LV"/>
        </w:rPr>
        <w:t xml:space="preserve">, kura </w:t>
      </w:r>
      <w:r w:rsidR="00C850EA" w:rsidRPr="00F163BC">
        <w:rPr>
          <w:bCs/>
          <w:lang w:val="lv-LV"/>
        </w:rPr>
        <w:t xml:space="preserve">tika </w:t>
      </w:r>
      <w:r w:rsidRPr="00F163BC">
        <w:rPr>
          <w:bCs/>
          <w:lang w:val="lv-LV"/>
        </w:rPr>
        <w:t xml:space="preserve">realizēta </w:t>
      </w:r>
      <w:proofErr w:type="gramStart"/>
      <w:r w:rsidRPr="00F163BC">
        <w:rPr>
          <w:bCs/>
          <w:lang w:val="lv-LV"/>
        </w:rPr>
        <w:t>2015.gada</w:t>
      </w:r>
      <w:proofErr w:type="gramEnd"/>
      <w:r w:rsidRPr="00F163BC">
        <w:rPr>
          <w:bCs/>
          <w:lang w:val="lv-LV"/>
        </w:rPr>
        <w:t xml:space="preserve"> laikā, uzstādīti</w:t>
      </w:r>
      <w:r w:rsidRPr="00F163BC">
        <w:rPr>
          <w:bCs/>
          <w:i/>
          <w:lang w:val="lv-LV"/>
        </w:rPr>
        <w:t xml:space="preserve"> </w:t>
      </w:r>
      <w:r w:rsidRPr="00F163BC">
        <w:rPr>
          <w:bCs/>
          <w:lang w:val="lv-LV"/>
        </w:rPr>
        <w:t>un darbību uzsāka 16 fotoradari. 2015.gadā ar šiem fotoradariem fiksēti 49 666 atļautā braukšanas ātruma pārkāpumi. Lai gan iedzīvotāju skaits, transportlīdzekļu skaits un attiecīgi satiksmes intensitāte Rīgas reģionā ir nesalīdzināmi lielāka nekā citur valstī, Zemgales reģionā vidēji viens fotoradars gadā fiksējis divreiz vairāk pārkāpumu nekā Rīgas reģionā.</w:t>
      </w:r>
    </w:p>
    <w:p w14:paraId="6CCB7D24" w14:textId="77777777" w:rsidR="00120639" w:rsidRPr="00F163BC" w:rsidRDefault="00120639" w:rsidP="006C3893">
      <w:pPr>
        <w:pStyle w:val="NormalWeb"/>
        <w:spacing w:before="0" w:beforeAutospacing="0" w:after="0" w:afterAutospacing="0"/>
        <w:ind w:firstLine="720"/>
        <w:jc w:val="both"/>
        <w:rPr>
          <w:bCs/>
          <w:lang w:val="lv-LV"/>
        </w:rPr>
      </w:pPr>
    </w:p>
    <w:p w14:paraId="558CCDAE" w14:textId="77777777" w:rsidR="006C3893" w:rsidRPr="00F163BC" w:rsidRDefault="00CC1E9D" w:rsidP="00C850EA">
      <w:pPr>
        <w:pStyle w:val="NormalWeb"/>
        <w:spacing w:before="0" w:beforeAutospacing="0" w:after="0" w:afterAutospacing="0"/>
        <w:ind w:firstLine="720"/>
        <w:jc w:val="right"/>
        <w:rPr>
          <w:bCs/>
          <w:lang w:val="lv-LV"/>
        </w:rPr>
      </w:pPr>
      <w:r w:rsidRPr="00F163BC">
        <w:rPr>
          <w:bCs/>
          <w:lang w:val="lv-LV"/>
        </w:rPr>
        <w:t>1.attēls</w:t>
      </w:r>
      <w:r w:rsidR="006C3893" w:rsidRPr="00F163BC">
        <w:rPr>
          <w:bCs/>
          <w:noProof/>
          <w:lang w:val="lv-LV"/>
        </w:rPr>
        <w:drawing>
          <wp:inline distT="0" distB="0" distL="0" distR="0" wp14:anchorId="0FA4B814" wp14:editId="3D368546">
            <wp:extent cx="5226050" cy="17780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BB72F1" w14:textId="77777777" w:rsidR="00120639" w:rsidRPr="00F163BC" w:rsidRDefault="00120639" w:rsidP="006C3893">
      <w:pPr>
        <w:pStyle w:val="NormalWeb"/>
        <w:spacing w:before="0" w:beforeAutospacing="0" w:after="0" w:afterAutospacing="0"/>
        <w:ind w:firstLine="720"/>
        <w:jc w:val="both"/>
        <w:rPr>
          <w:bCs/>
          <w:lang w:val="lv-LV"/>
        </w:rPr>
      </w:pPr>
    </w:p>
    <w:p w14:paraId="53353C26" w14:textId="77777777" w:rsidR="006C3893" w:rsidRPr="00F163BC" w:rsidRDefault="006C3893" w:rsidP="006C3893">
      <w:pPr>
        <w:pStyle w:val="NormalWeb"/>
        <w:spacing w:before="0" w:beforeAutospacing="0" w:after="0" w:afterAutospacing="0"/>
        <w:ind w:firstLine="720"/>
        <w:jc w:val="both"/>
        <w:rPr>
          <w:bCs/>
          <w:lang w:val="lv-LV"/>
        </w:rPr>
      </w:pPr>
      <w:r w:rsidRPr="00F163BC">
        <w:rPr>
          <w:b/>
          <w:bCs/>
          <w:lang w:val="lv-LV"/>
        </w:rPr>
        <w:lastRenderedPageBreak/>
        <w:t>Otrajā kārtā</w:t>
      </w:r>
      <w:r w:rsidRPr="00F163BC">
        <w:rPr>
          <w:bCs/>
          <w:lang w:val="lv-LV"/>
        </w:rPr>
        <w:t xml:space="preserve">, kura </w:t>
      </w:r>
      <w:r w:rsidR="00C850EA" w:rsidRPr="00F163BC">
        <w:rPr>
          <w:bCs/>
          <w:lang w:val="lv-LV"/>
        </w:rPr>
        <w:t xml:space="preserve">tika </w:t>
      </w:r>
      <w:r w:rsidRPr="00F163BC">
        <w:rPr>
          <w:bCs/>
          <w:lang w:val="lv-LV"/>
        </w:rPr>
        <w:t xml:space="preserve">realizēta </w:t>
      </w:r>
      <w:proofErr w:type="gramStart"/>
      <w:r w:rsidRPr="00F163BC">
        <w:rPr>
          <w:bCs/>
          <w:lang w:val="lv-LV"/>
        </w:rPr>
        <w:t>2016.gadā</w:t>
      </w:r>
      <w:proofErr w:type="gramEnd"/>
      <w:r w:rsidRPr="00F163BC">
        <w:rPr>
          <w:bCs/>
          <w:lang w:val="lv-LV"/>
        </w:rPr>
        <w:t xml:space="preserve">, uzstādīti un darbību uzsāka vēl 24 fotoradari. Tādējādi </w:t>
      </w:r>
      <w:proofErr w:type="gramStart"/>
      <w:r w:rsidRPr="00F163BC">
        <w:rPr>
          <w:bCs/>
          <w:lang w:val="lv-LV"/>
        </w:rPr>
        <w:t>2016.gadā</w:t>
      </w:r>
      <w:proofErr w:type="gramEnd"/>
      <w:r w:rsidRPr="00F163BC">
        <w:rPr>
          <w:bCs/>
          <w:lang w:val="lv-LV"/>
        </w:rPr>
        <w:t xml:space="preserve"> kopā darbojās 40 fotoradari, no kuriem Rīgas reģionā - 24 (60 %), Zemgales reģionā - 4 (10 %), Kurzemes reģionā - 4 (10 %), Vidzemes reģionā - 6 (15 %) un Latgales reģionā - 2 (5 %) fotoradari. </w:t>
      </w:r>
    </w:p>
    <w:p w14:paraId="3C516B47" w14:textId="77777777" w:rsidR="00C850EA" w:rsidRPr="00F163BC" w:rsidRDefault="006C3893" w:rsidP="00E20CE5">
      <w:pPr>
        <w:pStyle w:val="NormalWeb"/>
        <w:spacing w:before="0" w:beforeAutospacing="0" w:after="0" w:afterAutospacing="0"/>
        <w:ind w:firstLine="720"/>
        <w:jc w:val="both"/>
        <w:rPr>
          <w:bCs/>
          <w:lang w:val="lv-LV"/>
        </w:rPr>
      </w:pPr>
      <w:r w:rsidRPr="00F163BC">
        <w:rPr>
          <w:bCs/>
          <w:lang w:val="lv-LV"/>
        </w:rPr>
        <w:t xml:space="preserve">Kopumā abās kārtās ieviestie fotoradari </w:t>
      </w:r>
      <w:proofErr w:type="gramStart"/>
      <w:r w:rsidRPr="00F163BC">
        <w:rPr>
          <w:bCs/>
          <w:lang w:val="lv-LV"/>
        </w:rPr>
        <w:t>2016.gadā</w:t>
      </w:r>
      <w:proofErr w:type="gramEnd"/>
      <w:r w:rsidRPr="00F163BC">
        <w:rPr>
          <w:bCs/>
          <w:lang w:val="lv-LV"/>
        </w:rPr>
        <w:t xml:space="preserve"> fiksējuši 102 061 pārkāpumu.  Arī </w:t>
      </w:r>
      <w:proofErr w:type="gramStart"/>
      <w:r w:rsidRPr="00F163BC">
        <w:rPr>
          <w:bCs/>
          <w:lang w:val="lv-LV"/>
        </w:rPr>
        <w:t>2016.gadā</w:t>
      </w:r>
      <w:proofErr w:type="gramEnd"/>
      <w:r w:rsidRPr="00F163BC">
        <w:rPr>
          <w:bCs/>
          <w:lang w:val="lv-LV"/>
        </w:rPr>
        <w:t xml:space="preserve"> visvairāk pārkāpum</w:t>
      </w:r>
      <w:r w:rsidR="00AF72CE" w:rsidRPr="00F163BC">
        <w:rPr>
          <w:bCs/>
          <w:lang w:val="lv-LV"/>
        </w:rPr>
        <w:t>u</w:t>
      </w:r>
      <w:r w:rsidRPr="00F163BC">
        <w:rPr>
          <w:bCs/>
          <w:lang w:val="lv-LV"/>
        </w:rPr>
        <w:t xml:space="preserve"> (aprēķinot viena fotoradara vidēji gadā fiksētos pārkāpumus) fiksēti tieši Zemgales reģionā.</w:t>
      </w:r>
    </w:p>
    <w:p w14:paraId="1A8D44BC" w14:textId="77777777" w:rsidR="006C3893" w:rsidRPr="00F163BC" w:rsidRDefault="00CC1E9D" w:rsidP="001E31B4">
      <w:pPr>
        <w:pStyle w:val="NormalWeb"/>
        <w:spacing w:before="0" w:beforeAutospacing="0" w:after="0" w:afterAutospacing="0"/>
        <w:ind w:firstLine="720"/>
        <w:jc w:val="right"/>
        <w:rPr>
          <w:bCs/>
          <w:lang w:val="lv-LV"/>
        </w:rPr>
      </w:pPr>
      <w:r w:rsidRPr="00F163BC">
        <w:rPr>
          <w:bCs/>
          <w:lang w:val="lv-LV"/>
        </w:rPr>
        <w:t xml:space="preserve">2.attēls </w:t>
      </w:r>
    </w:p>
    <w:p w14:paraId="38928DC7" w14:textId="77777777" w:rsidR="006C3893" w:rsidRPr="00F163BC" w:rsidRDefault="006C3893" w:rsidP="006C3893">
      <w:pPr>
        <w:pStyle w:val="NormalWeb"/>
        <w:spacing w:before="0" w:beforeAutospacing="0" w:after="0" w:afterAutospacing="0"/>
        <w:jc w:val="both"/>
        <w:rPr>
          <w:bCs/>
          <w:lang w:val="lv-LV"/>
        </w:rPr>
      </w:pPr>
      <w:r w:rsidRPr="00F163BC">
        <w:rPr>
          <w:bCs/>
          <w:noProof/>
          <w:lang w:val="lv-LV"/>
        </w:rPr>
        <w:drawing>
          <wp:inline distT="0" distB="0" distL="0" distR="0" wp14:anchorId="6FA39622" wp14:editId="71C39008">
            <wp:extent cx="5281575" cy="2428647"/>
            <wp:effectExtent l="0" t="0" r="14605"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55EEF2" w14:textId="77777777" w:rsidR="006C3893" w:rsidRPr="00F163BC" w:rsidRDefault="006C3893" w:rsidP="006C3893">
      <w:pPr>
        <w:pStyle w:val="NormalWeb"/>
        <w:spacing w:before="0" w:beforeAutospacing="0" w:after="0" w:afterAutospacing="0"/>
        <w:jc w:val="both"/>
        <w:rPr>
          <w:bCs/>
          <w:lang w:val="lv-LV"/>
        </w:rPr>
      </w:pPr>
    </w:p>
    <w:p w14:paraId="20BCAA15" w14:textId="77777777" w:rsidR="002A396B" w:rsidRPr="00F163BC" w:rsidRDefault="006C3893" w:rsidP="002A396B">
      <w:pPr>
        <w:pStyle w:val="NormalWeb"/>
        <w:spacing w:before="0" w:beforeAutospacing="0" w:after="0" w:afterAutospacing="0"/>
        <w:ind w:firstLine="720"/>
        <w:jc w:val="both"/>
        <w:rPr>
          <w:bCs/>
          <w:lang w:val="lv-LV"/>
        </w:rPr>
      </w:pPr>
      <w:r w:rsidRPr="00F163BC">
        <w:rPr>
          <w:bCs/>
          <w:lang w:val="lv-LV"/>
        </w:rPr>
        <w:t xml:space="preserve">Realizējot fotoradaru ieviešanas </w:t>
      </w:r>
      <w:r w:rsidRPr="00F163BC">
        <w:rPr>
          <w:b/>
          <w:bCs/>
          <w:lang w:val="lv-LV"/>
        </w:rPr>
        <w:t>trešo kārtu</w:t>
      </w:r>
      <w:r w:rsidRPr="00F163BC">
        <w:rPr>
          <w:bCs/>
          <w:lang w:val="lv-LV"/>
        </w:rPr>
        <w:t xml:space="preserve">, </w:t>
      </w:r>
      <w:proofErr w:type="gramStart"/>
      <w:r w:rsidRPr="00F163BC">
        <w:rPr>
          <w:bCs/>
          <w:lang w:val="lv-LV"/>
        </w:rPr>
        <w:t>2017.gadā</w:t>
      </w:r>
      <w:proofErr w:type="gramEnd"/>
      <w:r w:rsidRPr="00F163BC">
        <w:rPr>
          <w:bCs/>
          <w:lang w:val="lv-LV"/>
        </w:rPr>
        <w:t xml:space="preserve"> Rīgas reģionā darbojās jau 33 (55 %) fotoradari, Zemgales reģionā - 7 (12 %), Kurzemes reģionā - 7 (12 %), Vidzemes reģionā - 10 (16 %) un Latgales reģionā - 3 (5 %) fotoradari. 60 darbojošies fotoradari 2017.gadā fiksējuši 237 765 pārkāpumus.</w:t>
      </w:r>
      <w:r w:rsidR="002A396B" w:rsidRPr="00F163BC">
        <w:rPr>
          <w:bCs/>
          <w:lang w:val="lv-LV"/>
        </w:rPr>
        <w:t xml:space="preserve"> Arī 2017.gadā visvairāk pārkāpumu (aprēķinot viena fotoradara vidēji gadā fiksētos pārkāpumus) fiksēti Zemgales reģionā.</w:t>
      </w:r>
    </w:p>
    <w:p w14:paraId="00D5BE40" w14:textId="77777777" w:rsidR="00CC1E9D" w:rsidRPr="00F163BC" w:rsidRDefault="00CC1E9D" w:rsidP="00CC1E9D">
      <w:pPr>
        <w:pStyle w:val="NormalWeb"/>
        <w:spacing w:before="0" w:beforeAutospacing="0" w:after="0" w:afterAutospacing="0"/>
        <w:ind w:firstLine="720"/>
        <w:jc w:val="right"/>
        <w:rPr>
          <w:bCs/>
          <w:lang w:val="lv-LV"/>
        </w:rPr>
      </w:pPr>
    </w:p>
    <w:p w14:paraId="22F04FD4" w14:textId="77777777" w:rsidR="00CC1E9D" w:rsidRPr="00F163BC" w:rsidRDefault="00CC1E9D" w:rsidP="00CC1E9D">
      <w:pPr>
        <w:pStyle w:val="NormalWeb"/>
        <w:spacing w:before="0" w:beforeAutospacing="0" w:after="0" w:afterAutospacing="0"/>
        <w:ind w:firstLine="720"/>
        <w:jc w:val="right"/>
        <w:rPr>
          <w:bCs/>
          <w:lang w:val="lv-LV"/>
        </w:rPr>
      </w:pPr>
      <w:r w:rsidRPr="00F163BC">
        <w:rPr>
          <w:bCs/>
          <w:lang w:val="lv-LV"/>
        </w:rPr>
        <w:t>3.attēls</w:t>
      </w:r>
    </w:p>
    <w:p w14:paraId="783342CB" w14:textId="77777777" w:rsidR="006C3893" w:rsidRPr="00F163BC" w:rsidRDefault="006C3893" w:rsidP="006C3893">
      <w:pPr>
        <w:pStyle w:val="NormalWeb"/>
        <w:spacing w:before="0" w:beforeAutospacing="0" w:after="0" w:afterAutospacing="0"/>
        <w:jc w:val="both"/>
        <w:rPr>
          <w:bCs/>
          <w:lang w:val="lv-LV"/>
        </w:rPr>
      </w:pPr>
      <w:r w:rsidRPr="00F163BC">
        <w:rPr>
          <w:bCs/>
          <w:noProof/>
          <w:lang w:val="lv-LV"/>
        </w:rPr>
        <w:drawing>
          <wp:inline distT="0" distB="0" distL="0" distR="0" wp14:anchorId="76798282" wp14:editId="2E909BF4">
            <wp:extent cx="5304790" cy="2172614"/>
            <wp:effectExtent l="0" t="0" r="1016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9655BA" w14:textId="77777777" w:rsidR="006C3893" w:rsidRPr="00F163BC" w:rsidRDefault="006C3893" w:rsidP="006C3893">
      <w:pPr>
        <w:pStyle w:val="NormalWeb"/>
        <w:spacing w:before="0" w:beforeAutospacing="0" w:after="0" w:afterAutospacing="0"/>
        <w:jc w:val="both"/>
        <w:rPr>
          <w:bCs/>
          <w:lang w:val="lv-LV"/>
        </w:rPr>
      </w:pPr>
    </w:p>
    <w:p w14:paraId="5F63990F" w14:textId="77777777" w:rsidR="00690AC6" w:rsidRPr="00F163BC" w:rsidRDefault="006C3893" w:rsidP="00690AC6">
      <w:pPr>
        <w:pStyle w:val="NormalWeb"/>
        <w:spacing w:before="0" w:beforeAutospacing="0" w:after="0" w:afterAutospacing="0"/>
        <w:ind w:firstLine="720"/>
        <w:jc w:val="both"/>
        <w:rPr>
          <w:bCs/>
          <w:lang w:val="lv-LV"/>
        </w:rPr>
      </w:pPr>
      <w:proofErr w:type="gramStart"/>
      <w:r w:rsidRPr="00F163BC">
        <w:rPr>
          <w:bCs/>
          <w:lang w:val="lv-LV"/>
        </w:rPr>
        <w:t>2018.gada</w:t>
      </w:r>
      <w:proofErr w:type="gramEnd"/>
      <w:r w:rsidRPr="00F163BC">
        <w:rPr>
          <w:bCs/>
          <w:lang w:val="lv-LV"/>
        </w:rPr>
        <w:t xml:space="preserve"> laikā pakāpeniski tika realizēta fotoradaru ieviešanas</w:t>
      </w:r>
      <w:r w:rsidR="00120639" w:rsidRPr="00F163BC">
        <w:rPr>
          <w:bCs/>
          <w:lang w:val="lv-LV"/>
        </w:rPr>
        <w:t xml:space="preserve"> </w:t>
      </w:r>
      <w:r w:rsidR="00120639" w:rsidRPr="00F163BC">
        <w:rPr>
          <w:b/>
          <w:bCs/>
          <w:lang w:val="lv-LV"/>
        </w:rPr>
        <w:t>ceturtā</w:t>
      </w:r>
      <w:r w:rsidR="00120639" w:rsidRPr="00F163BC" w:rsidDel="00120639">
        <w:rPr>
          <w:b/>
          <w:bCs/>
          <w:lang w:val="lv-LV"/>
        </w:rPr>
        <w:t xml:space="preserve"> </w:t>
      </w:r>
      <w:r w:rsidRPr="00F163BC">
        <w:rPr>
          <w:b/>
          <w:bCs/>
          <w:lang w:val="lv-LV"/>
        </w:rPr>
        <w:t>kārta</w:t>
      </w:r>
      <w:r w:rsidRPr="00F163BC">
        <w:rPr>
          <w:bCs/>
          <w:lang w:val="lv-LV"/>
        </w:rPr>
        <w:t xml:space="preserve">. </w:t>
      </w:r>
      <w:r w:rsidR="00031DE5" w:rsidRPr="00F163BC">
        <w:rPr>
          <w:bCs/>
          <w:lang w:val="lv-LV"/>
        </w:rPr>
        <w:t>2018.gadam noslēdzoties</w:t>
      </w:r>
      <w:r w:rsidR="00A120A6" w:rsidRPr="00F163BC">
        <w:rPr>
          <w:bCs/>
          <w:lang w:val="lv-LV"/>
        </w:rPr>
        <w:t>,</w:t>
      </w:r>
      <w:r w:rsidR="00031DE5" w:rsidRPr="00F163BC">
        <w:rPr>
          <w:bCs/>
          <w:lang w:val="lv-LV"/>
        </w:rPr>
        <w:t xml:space="preserve"> tika nodrošināta 100</w:t>
      </w:r>
      <w:r w:rsidRPr="00F163BC">
        <w:rPr>
          <w:bCs/>
          <w:lang w:val="lv-LV"/>
        </w:rPr>
        <w:t xml:space="preserve"> fotoradaru darbība, tai skaitā Rīgas reģionā - </w:t>
      </w:r>
      <w:r w:rsidR="00EB179A" w:rsidRPr="00F163BC">
        <w:rPr>
          <w:bCs/>
          <w:lang w:val="lv-LV"/>
        </w:rPr>
        <w:t>46</w:t>
      </w:r>
      <w:r w:rsidRPr="00F163BC">
        <w:rPr>
          <w:bCs/>
          <w:lang w:val="lv-LV"/>
        </w:rPr>
        <w:t xml:space="preserve"> (</w:t>
      </w:r>
      <w:r w:rsidR="006661F3" w:rsidRPr="00F163BC">
        <w:rPr>
          <w:bCs/>
          <w:lang w:val="lv-LV"/>
        </w:rPr>
        <w:t>46</w:t>
      </w:r>
      <w:r w:rsidRPr="00F163BC">
        <w:rPr>
          <w:bCs/>
          <w:lang w:val="lv-LV"/>
        </w:rPr>
        <w:t xml:space="preserve"> %) fotoradari, Ze</w:t>
      </w:r>
      <w:r w:rsidR="00D77203" w:rsidRPr="00F163BC">
        <w:rPr>
          <w:bCs/>
          <w:lang w:val="lv-LV"/>
        </w:rPr>
        <w:t>mgales reģionā - 13 (1</w:t>
      </w:r>
      <w:r w:rsidR="00EB179A" w:rsidRPr="00F163BC">
        <w:rPr>
          <w:bCs/>
          <w:lang w:val="lv-LV"/>
        </w:rPr>
        <w:t>3</w:t>
      </w:r>
      <w:r w:rsidR="00D77203" w:rsidRPr="00F163BC">
        <w:rPr>
          <w:bCs/>
          <w:lang w:val="lv-LV"/>
        </w:rPr>
        <w:t xml:space="preserve"> %), Kurzemes reģionā - 11 (1</w:t>
      </w:r>
      <w:r w:rsidR="00EB179A" w:rsidRPr="00F163BC">
        <w:rPr>
          <w:bCs/>
          <w:lang w:val="lv-LV"/>
        </w:rPr>
        <w:t>1</w:t>
      </w:r>
      <w:r w:rsidR="006661F3" w:rsidRPr="00F163BC">
        <w:rPr>
          <w:bCs/>
          <w:lang w:val="lv-LV"/>
        </w:rPr>
        <w:t xml:space="preserve"> </w:t>
      </w:r>
      <w:r w:rsidR="00EB179A" w:rsidRPr="00F163BC">
        <w:rPr>
          <w:bCs/>
          <w:lang w:val="lv-LV"/>
        </w:rPr>
        <w:t>%), Vidzemes reģionā - 21 (21 %) un Latgales reģionā - 9</w:t>
      </w:r>
      <w:r w:rsidRPr="00F163BC">
        <w:rPr>
          <w:bCs/>
          <w:lang w:val="lv-LV"/>
        </w:rPr>
        <w:t xml:space="preserve"> (</w:t>
      </w:r>
      <w:r w:rsidR="00816D75" w:rsidRPr="00F163BC">
        <w:rPr>
          <w:bCs/>
          <w:lang w:val="lv-LV"/>
        </w:rPr>
        <w:t>9</w:t>
      </w:r>
      <w:r w:rsidRPr="00F163BC">
        <w:rPr>
          <w:bCs/>
          <w:lang w:val="lv-LV"/>
        </w:rPr>
        <w:t xml:space="preserve"> %) fotoradari. Šajā laika posmā kopā fiksēti </w:t>
      </w:r>
      <w:r w:rsidR="00EB179A" w:rsidRPr="00F163BC">
        <w:rPr>
          <w:sz w:val="22"/>
          <w:szCs w:val="22"/>
          <w:lang w:val="lv-LV"/>
        </w:rPr>
        <w:t xml:space="preserve">256 374 </w:t>
      </w:r>
      <w:r w:rsidRPr="00F163BC">
        <w:rPr>
          <w:bCs/>
          <w:lang w:val="lv-LV"/>
        </w:rPr>
        <w:t xml:space="preserve">pārkāpumi. </w:t>
      </w:r>
      <w:r w:rsidR="00690AC6" w:rsidRPr="00F163BC">
        <w:rPr>
          <w:bCs/>
          <w:lang w:val="lv-LV"/>
        </w:rPr>
        <w:t>201</w:t>
      </w:r>
      <w:r w:rsidR="002A396B" w:rsidRPr="00F163BC">
        <w:rPr>
          <w:bCs/>
          <w:lang w:val="lv-LV"/>
        </w:rPr>
        <w:t>8</w:t>
      </w:r>
      <w:r w:rsidR="00690AC6" w:rsidRPr="00F163BC">
        <w:rPr>
          <w:bCs/>
          <w:lang w:val="lv-LV"/>
        </w:rPr>
        <w:t>.gad</w:t>
      </w:r>
      <w:r w:rsidR="00EB179A" w:rsidRPr="00F163BC">
        <w:rPr>
          <w:bCs/>
          <w:lang w:val="lv-LV"/>
        </w:rPr>
        <w:t xml:space="preserve">ā </w:t>
      </w:r>
      <w:r w:rsidR="00690AC6" w:rsidRPr="00F163BC">
        <w:rPr>
          <w:bCs/>
          <w:lang w:val="lv-LV"/>
        </w:rPr>
        <w:t xml:space="preserve">visvairāk pārkāpumu (aprēķinot viena fotoradara vidēji gadā fiksētos pārkāpumus) fiksēti </w:t>
      </w:r>
      <w:r w:rsidR="002A396B" w:rsidRPr="00F163BC">
        <w:rPr>
          <w:bCs/>
          <w:lang w:val="lv-LV"/>
        </w:rPr>
        <w:t xml:space="preserve">Rīgas </w:t>
      </w:r>
      <w:r w:rsidR="00690AC6" w:rsidRPr="00F163BC">
        <w:rPr>
          <w:bCs/>
          <w:lang w:val="lv-LV"/>
        </w:rPr>
        <w:t>reģionā.</w:t>
      </w:r>
    </w:p>
    <w:p w14:paraId="0AF3C226" w14:textId="77777777" w:rsidR="006C3893" w:rsidRPr="00F163BC" w:rsidRDefault="006C3893" w:rsidP="006C3893">
      <w:pPr>
        <w:pStyle w:val="NormalWeb"/>
        <w:spacing w:before="0" w:beforeAutospacing="0" w:after="0" w:afterAutospacing="0"/>
        <w:ind w:firstLine="720"/>
        <w:jc w:val="both"/>
        <w:rPr>
          <w:bCs/>
          <w:lang w:val="lv-LV"/>
        </w:rPr>
      </w:pPr>
    </w:p>
    <w:p w14:paraId="446BDC49" w14:textId="77777777" w:rsidR="00120639" w:rsidRPr="00F163BC" w:rsidRDefault="00120639" w:rsidP="001E31B4">
      <w:pPr>
        <w:pStyle w:val="NormalWeb"/>
        <w:spacing w:before="0" w:beforeAutospacing="0" w:after="0" w:afterAutospacing="0"/>
        <w:ind w:firstLine="720"/>
        <w:jc w:val="right"/>
        <w:rPr>
          <w:bCs/>
          <w:lang w:val="lv-LV"/>
        </w:rPr>
      </w:pPr>
    </w:p>
    <w:p w14:paraId="78EEA3FF" w14:textId="77777777" w:rsidR="00120639" w:rsidRPr="00F163BC" w:rsidRDefault="00120639" w:rsidP="001E31B4">
      <w:pPr>
        <w:pStyle w:val="NormalWeb"/>
        <w:spacing w:before="0" w:beforeAutospacing="0" w:after="0" w:afterAutospacing="0"/>
        <w:ind w:firstLine="720"/>
        <w:jc w:val="right"/>
        <w:rPr>
          <w:bCs/>
          <w:lang w:val="lv-LV"/>
        </w:rPr>
      </w:pPr>
    </w:p>
    <w:p w14:paraId="761678C7" w14:textId="77777777" w:rsidR="006C3893" w:rsidRPr="00F163BC" w:rsidRDefault="00CC1E9D" w:rsidP="001E31B4">
      <w:pPr>
        <w:pStyle w:val="NormalWeb"/>
        <w:spacing w:before="0" w:beforeAutospacing="0" w:after="0" w:afterAutospacing="0"/>
        <w:ind w:firstLine="720"/>
        <w:jc w:val="right"/>
        <w:rPr>
          <w:bCs/>
          <w:lang w:val="lv-LV"/>
        </w:rPr>
      </w:pPr>
      <w:r w:rsidRPr="00F163BC">
        <w:rPr>
          <w:bCs/>
          <w:lang w:val="lv-LV"/>
        </w:rPr>
        <w:t xml:space="preserve">4.attēls </w:t>
      </w:r>
    </w:p>
    <w:p w14:paraId="57244FF8" w14:textId="77777777" w:rsidR="006C3893" w:rsidRPr="00F163BC" w:rsidRDefault="006C3893" w:rsidP="006C3893">
      <w:pPr>
        <w:pStyle w:val="NormalWeb"/>
        <w:spacing w:before="0" w:beforeAutospacing="0" w:after="0" w:afterAutospacing="0"/>
        <w:jc w:val="both"/>
        <w:rPr>
          <w:bCs/>
          <w:lang w:val="lv-LV"/>
        </w:rPr>
      </w:pPr>
      <w:r w:rsidRPr="00F163BC">
        <w:rPr>
          <w:bCs/>
          <w:noProof/>
          <w:lang w:val="lv-LV"/>
        </w:rPr>
        <w:drawing>
          <wp:inline distT="0" distB="0" distL="0" distR="0" wp14:anchorId="7CBBBAAD" wp14:editId="48F57349">
            <wp:extent cx="5208270" cy="2790190"/>
            <wp:effectExtent l="0" t="0" r="1143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1CC9AB" w14:textId="77777777" w:rsidR="006C3893" w:rsidRPr="00F163BC" w:rsidRDefault="006C3893" w:rsidP="006C3893">
      <w:pPr>
        <w:pStyle w:val="NormalWeb"/>
        <w:spacing w:before="0" w:beforeAutospacing="0" w:after="0" w:afterAutospacing="0"/>
        <w:ind w:firstLine="720"/>
        <w:jc w:val="both"/>
        <w:rPr>
          <w:bCs/>
          <w:lang w:val="lv-LV"/>
        </w:rPr>
      </w:pPr>
    </w:p>
    <w:p w14:paraId="1671602B" w14:textId="77777777" w:rsidR="0092564F" w:rsidRPr="00F163BC" w:rsidRDefault="006D52A0" w:rsidP="0087438B">
      <w:pPr>
        <w:pStyle w:val="NormalWeb"/>
        <w:spacing w:before="0" w:beforeAutospacing="0" w:after="0" w:afterAutospacing="0"/>
        <w:ind w:firstLine="720"/>
        <w:jc w:val="both"/>
        <w:rPr>
          <w:lang w:val="lv-LV"/>
        </w:rPr>
      </w:pPr>
      <w:r w:rsidRPr="00F163BC">
        <w:rPr>
          <w:lang w:val="lv-LV"/>
        </w:rPr>
        <w:t xml:space="preserve">Atbilstoši grozījumiem </w:t>
      </w:r>
      <w:r w:rsidR="00E752D1" w:rsidRPr="00F163BC">
        <w:rPr>
          <w:lang w:val="lv-LV"/>
        </w:rPr>
        <w:t xml:space="preserve">Valsts policijas un CSDD </w:t>
      </w:r>
      <w:proofErr w:type="gramStart"/>
      <w:r w:rsidR="00E752D1" w:rsidRPr="00F163BC">
        <w:rPr>
          <w:lang w:val="lv-LV"/>
        </w:rPr>
        <w:t>2016.gada</w:t>
      </w:r>
      <w:proofErr w:type="gramEnd"/>
      <w:r w:rsidR="00E752D1" w:rsidRPr="00F163BC">
        <w:rPr>
          <w:lang w:val="lv-LV"/>
        </w:rPr>
        <w:t xml:space="preserve"> 5.decembra deleģēšanas līgumā Nr.2202</w:t>
      </w:r>
      <w:r w:rsidRPr="00F163BC">
        <w:rPr>
          <w:lang w:val="lv-LV"/>
        </w:rPr>
        <w:t>, kas izdarīti ar 2017.gada 12.septembra Vienošanos Nr.2</w:t>
      </w:r>
      <w:r w:rsidR="00C850EA" w:rsidRPr="00F163BC">
        <w:rPr>
          <w:lang w:val="lv-LV"/>
        </w:rPr>
        <w:t>,</w:t>
      </w:r>
      <w:r w:rsidR="0092564F" w:rsidRPr="00F163BC">
        <w:rPr>
          <w:lang w:val="lv-LV"/>
        </w:rPr>
        <w:t xml:space="preserve"> </w:t>
      </w:r>
      <w:r w:rsidR="00E752D1" w:rsidRPr="00F163BC">
        <w:rPr>
          <w:lang w:val="lv-LV"/>
        </w:rPr>
        <w:t xml:space="preserve">40 ceturtās </w:t>
      </w:r>
      <w:r w:rsidR="0092564F" w:rsidRPr="00F163BC">
        <w:rPr>
          <w:lang w:val="lv-LV"/>
        </w:rPr>
        <w:t>kārtas  fotoradariem 2018.gadā j</w:t>
      </w:r>
      <w:r w:rsidRPr="00F163BC">
        <w:rPr>
          <w:lang w:val="lv-LV"/>
        </w:rPr>
        <w:t>ādarbojas vismaz 4</w:t>
      </w:r>
      <w:r w:rsidR="006570B5" w:rsidRPr="00F163BC">
        <w:rPr>
          <w:lang w:val="lv-LV"/>
        </w:rPr>
        <w:t xml:space="preserve"> </w:t>
      </w:r>
      <w:r w:rsidRPr="00F163BC">
        <w:rPr>
          <w:lang w:val="lv-LV"/>
        </w:rPr>
        <w:t>800</w:t>
      </w:r>
      <w:r w:rsidR="0092564F" w:rsidRPr="00F163BC">
        <w:rPr>
          <w:lang w:val="lv-LV"/>
        </w:rPr>
        <w:t xml:space="preserve"> fotoradaru dienas</w:t>
      </w:r>
      <w:r w:rsidR="00AC7374" w:rsidRPr="00F163BC">
        <w:rPr>
          <w:lang w:val="lv-LV"/>
        </w:rPr>
        <w:t xml:space="preserve"> (vidēji 120 dienas)</w:t>
      </w:r>
      <w:r w:rsidR="0092564F" w:rsidRPr="00F163BC">
        <w:rPr>
          <w:lang w:val="lv-LV"/>
        </w:rPr>
        <w:t xml:space="preserve">. Uz </w:t>
      </w:r>
      <w:proofErr w:type="gramStart"/>
      <w:r w:rsidR="0092564F" w:rsidRPr="00F163BC">
        <w:rPr>
          <w:lang w:val="lv-LV"/>
        </w:rPr>
        <w:t>2018.gada</w:t>
      </w:r>
      <w:proofErr w:type="gramEnd"/>
      <w:r w:rsidR="0092564F" w:rsidRPr="00F163BC">
        <w:rPr>
          <w:lang w:val="lv-LV"/>
        </w:rPr>
        <w:t xml:space="preserve"> </w:t>
      </w:r>
      <w:r w:rsidR="00AC7374" w:rsidRPr="00F163BC">
        <w:rPr>
          <w:lang w:val="lv-LV"/>
        </w:rPr>
        <w:t xml:space="preserve">31.decembri </w:t>
      </w:r>
      <w:r w:rsidR="00B22795" w:rsidRPr="00F163BC">
        <w:rPr>
          <w:lang w:val="lv-LV"/>
        </w:rPr>
        <w:t xml:space="preserve">ceturtajā </w:t>
      </w:r>
      <w:r w:rsidR="0092564F" w:rsidRPr="00F163BC">
        <w:rPr>
          <w:lang w:val="lv-LV"/>
        </w:rPr>
        <w:t>kārtā ievie</w:t>
      </w:r>
      <w:r w:rsidR="00AC7374" w:rsidRPr="00F163BC">
        <w:rPr>
          <w:lang w:val="lv-LV"/>
        </w:rPr>
        <w:t>stie fotoradari darbojušies 6 322</w:t>
      </w:r>
      <w:r w:rsidRPr="00F163BC">
        <w:rPr>
          <w:lang w:val="lv-LV"/>
        </w:rPr>
        <w:t xml:space="preserve"> d</w:t>
      </w:r>
      <w:r w:rsidR="0092564F" w:rsidRPr="00F163BC">
        <w:rPr>
          <w:lang w:val="lv-LV"/>
        </w:rPr>
        <w:t>ienas.</w:t>
      </w:r>
      <w:r w:rsidRPr="00F163BC">
        <w:rPr>
          <w:lang w:val="lv-LV"/>
        </w:rPr>
        <w:t xml:space="preserve"> Tātad, vidēji </w:t>
      </w:r>
      <w:proofErr w:type="gramStart"/>
      <w:r w:rsidR="00AC7374" w:rsidRPr="00F163BC">
        <w:rPr>
          <w:lang w:val="lv-LV"/>
        </w:rPr>
        <w:t>2018.gadā</w:t>
      </w:r>
      <w:proofErr w:type="gramEnd"/>
      <w:r w:rsidR="00AC7374" w:rsidRPr="00F163BC">
        <w:rPr>
          <w:lang w:val="lv-LV"/>
        </w:rPr>
        <w:t xml:space="preserve"> </w:t>
      </w:r>
      <w:r w:rsidR="00B22795" w:rsidRPr="00F163BC">
        <w:rPr>
          <w:lang w:val="lv-LV"/>
        </w:rPr>
        <w:t xml:space="preserve">viens ceturtajā </w:t>
      </w:r>
      <w:r w:rsidR="00952032" w:rsidRPr="00F163BC">
        <w:rPr>
          <w:lang w:val="lv-LV"/>
        </w:rPr>
        <w:t xml:space="preserve">kārtā ieviestais </w:t>
      </w:r>
      <w:r w:rsidR="00AC7374" w:rsidRPr="00F163BC">
        <w:rPr>
          <w:lang w:val="lv-LV"/>
        </w:rPr>
        <w:t>fotoradars darbojies 158</w:t>
      </w:r>
      <w:r w:rsidRPr="00F163BC">
        <w:rPr>
          <w:lang w:val="lv-LV"/>
        </w:rPr>
        <w:t xml:space="preserve"> dienas.</w:t>
      </w:r>
    </w:p>
    <w:p w14:paraId="16830A32" w14:textId="77777777" w:rsidR="006C3893" w:rsidRPr="00F163BC" w:rsidRDefault="006C3893" w:rsidP="00B105D4">
      <w:pPr>
        <w:pStyle w:val="NormalWeb"/>
        <w:spacing w:before="0" w:beforeAutospacing="0" w:after="0" w:afterAutospacing="0"/>
        <w:ind w:firstLine="720"/>
        <w:jc w:val="both"/>
        <w:rPr>
          <w:lang w:val="lv-LV"/>
        </w:rPr>
      </w:pPr>
    </w:p>
    <w:p w14:paraId="3C2AD8F6" w14:textId="77777777" w:rsidR="0087438B" w:rsidRPr="00F163BC" w:rsidRDefault="006C3893" w:rsidP="00B105D4">
      <w:pPr>
        <w:pStyle w:val="NormalWeb"/>
        <w:spacing w:before="0" w:beforeAutospacing="0" w:after="0" w:afterAutospacing="0"/>
        <w:ind w:firstLine="720"/>
        <w:jc w:val="both"/>
        <w:rPr>
          <w:lang w:val="lv-LV"/>
        </w:rPr>
      </w:pPr>
      <w:r w:rsidRPr="00F163BC">
        <w:rPr>
          <w:lang w:val="lv-LV"/>
        </w:rPr>
        <w:t>Jā</w:t>
      </w:r>
      <w:r w:rsidR="0048483C" w:rsidRPr="00F163BC">
        <w:rPr>
          <w:lang w:val="lv-LV"/>
        </w:rPr>
        <w:t>a</w:t>
      </w:r>
      <w:r w:rsidRPr="00F163BC">
        <w:rPr>
          <w:lang w:val="lv-LV"/>
        </w:rPr>
        <w:t>tzīmē, ka f</w:t>
      </w:r>
      <w:r w:rsidR="00D65830" w:rsidRPr="00F163BC">
        <w:rPr>
          <w:lang w:val="lv-LV"/>
        </w:rPr>
        <w:t xml:space="preserve">otoradaru </w:t>
      </w:r>
      <w:r w:rsidRPr="00F163BC">
        <w:rPr>
          <w:lang w:val="lv-LV"/>
        </w:rPr>
        <w:t>izmantošana</w:t>
      </w:r>
      <w:r w:rsidR="00D65830" w:rsidRPr="00F163BC">
        <w:rPr>
          <w:lang w:val="lv-LV"/>
        </w:rPr>
        <w:t xml:space="preserve"> ceļu satiksmes uzraudzībā </w:t>
      </w:r>
      <w:r w:rsidRPr="00F163BC">
        <w:rPr>
          <w:lang w:val="lv-LV"/>
        </w:rPr>
        <w:t>nodrošina ne</w:t>
      </w:r>
      <w:r w:rsidR="00030046" w:rsidRPr="00F163BC">
        <w:rPr>
          <w:lang w:val="lv-LV"/>
        </w:rPr>
        <w:t xml:space="preserve"> tikai </w:t>
      </w:r>
      <w:r w:rsidR="00D65830" w:rsidRPr="00F163BC">
        <w:rPr>
          <w:lang w:val="lv-LV"/>
        </w:rPr>
        <w:t xml:space="preserve">atļautā braukšanas ātruma </w:t>
      </w:r>
      <w:r w:rsidRPr="00F163BC">
        <w:rPr>
          <w:lang w:val="lv-LV"/>
        </w:rPr>
        <w:t xml:space="preserve">pārkāpumu </w:t>
      </w:r>
      <w:r w:rsidR="00D65830" w:rsidRPr="00F163BC">
        <w:rPr>
          <w:lang w:val="lv-LV"/>
        </w:rPr>
        <w:t xml:space="preserve">fiksēšanu. Pēc atļautā braukšanas ātruma pārkāpumu fiksēšanas </w:t>
      </w:r>
      <w:r w:rsidR="005E4CE3" w:rsidRPr="00F163BC">
        <w:rPr>
          <w:lang w:val="lv-LV"/>
        </w:rPr>
        <w:t>i</w:t>
      </w:r>
      <w:r w:rsidR="00D65830" w:rsidRPr="00F163BC">
        <w:rPr>
          <w:lang w:val="lv-LV"/>
        </w:rPr>
        <w:t>nformācijas sistēmās</w:t>
      </w:r>
      <w:r w:rsidR="00D65830" w:rsidRPr="00F163BC">
        <w:rPr>
          <w:i/>
          <w:lang w:val="lv-LV"/>
        </w:rPr>
        <w:t xml:space="preserve"> </w:t>
      </w:r>
      <w:r w:rsidR="00D65830" w:rsidRPr="00F163BC">
        <w:rPr>
          <w:lang w:val="lv-LV"/>
        </w:rPr>
        <w:t xml:space="preserve">tiek </w:t>
      </w:r>
      <w:proofErr w:type="gramStart"/>
      <w:r w:rsidR="00D65830" w:rsidRPr="00F163BC">
        <w:rPr>
          <w:lang w:val="lv-LV"/>
        </w:rPr>
        <w:t>pārbaudīta arī tehniskās apskates un transportlīdzekļu īpašnieku obligātās civiltiesiskās atbildības apdrošināšanas</w:t>
      </w:r>
      <w:proofErr w:type="gramEnd"/>
      <w:r w:rsidR="00D65830" w:rsidRPr="00F163BC">
        <w:rPr>
          <w:lang w:val="lv-LV"/>
        </w:rPr>
        <w:t xml:space="preserve"> (turpmāk–OCTA) esamība, kā arī autoceļu lietošanas </w:t>
      </w:r>
      <w:r w:rsidR="00C63789" w:rsidRPr="00F163BC">
        <w:rPr>
          <w:lang w:val="lv-LV"/>
        </w:rPr>
        <w:t xml:space="preserve">nodevas </w:t>
      </w:r>
      <w:r w:rsidR="00D65830" w:rsidRPr="00F163BC">
        <w:rPr>
          <w:lang w:val="lv-LV"/>
        </w:rPr>
        <w:t xml:space="preserve">apmaksas fakts. Gadījumos, ja tiek konstatēts kāds no minētajiem pārkāpumiem, tiek pieņemts lēmums par </w:t>
      </w:r>
      <w:r w:rsidR="005E4CE3" w:rsidRPr="00F163BC">
        <w:rPr>
          <w:lang w:val="lv-LV"/>
        </w:rPr>
        <w:t xml:space="preserve">Ceļu satiksmes likuma </w:t>
      </w:r>
      <w:r w:rsidR="00D65830" w:rsidRPr="00F163BC">
        <w:rPr>
          <w:bCs/>
          <w:lang w:val="lv-LV"/>
        </w:rPr>
        <w:t>43.</w:t>
      </w:r>
      <w:proofErr w:type="gramStart"/>
      <w:r w:rsidR="00D65830" w:rsidRPr="00F163BC">
        <w:rPr>
          <w:bCs/>
          <w:vertAlign w:val="superscript"/>
          <w:lang w:val="lv-LV"/>
        </w:rPr>
        <w:t>6</w:t>
      </w:r>
      <w:r w:rsidR="00D65830" w:rsidRPr="00F163BC">
        <w:rPr>
          <w:bCs/>
          <w:lang w:val="lv-LV"/>
        </w:rPr>
        <w:t>panta</w:t>
      </w:r>
      <w:proofErr w:type="gramEnd"/>
      <w:r w:rsidR="00D65830" w:rsidRPr="00F163BC">
        <w:rPr>
          <w:bCs/>
          <w:lang w:val="lv-LV"/>
        </w:rPr>
        <w:t xml:space="preserve"> otrajā daļā minētās personas saukšanu pie administratīvās atbildības (</w:t>
      </w:r>
      <w:r w:rsidR="00D65830" w:rsidRPr="00F163BC">
        <w:rPr>
          <w:lang w:val="lv-LV"/>
        </w:rPr>
        <w:t>vienlaikus ar soda piemērošanu par atļautā braukšanas ātruma pārkāpumu)</w:t>
      </w:r>
      <w:r w:rsidR="006C68EC" w:rsidRPr="00F163BC">
        <w:rPr>
          <w:lang w:val="lv-LV"/>
        </w:rPr>
        <w:t>.</w:t>
      </w:r>
    </w:p>
    <w:p w14:paraId="52D22311" w14:textId="77777777" w:rsidR="00CC1E9D" w:rsidRPr="00F163BC" w:rsidRDefault="00CC1E9D" w:rsidP="00CC1E9D">
      <w:pPr>
        <w:pStyle w:val="NormalWeb"/>
        <w:spacing w:before="0" w:beforeAutospacing="0" w:after="0" w:afterAutospacing="0"/>
        <w:ind w:firstLine="720"/>
        <w:jc w:val="right"/>
        <w:rPr>
          <w:bCs/>
          <w:lang w:val="lv-LV"/>
        </w:rPr>
      </w:pPr>
    </w:p>
    <w:p w14:paraId="62982AE0" w14:textId="77777777" w:rsidR="00B578FF" w:rsidRPr="00F163BC" w:rsidRDefault="00CC1E9D" w:rsidP="001E31B4">
      <w:pPr>
        <w:pStyle w:val="NormalWeb"/>
        <w:spacing w:before="0" w:beforeAutospacing="0" w:after="0" w:afterAutospacing="0"/>
        <w:ind w:firstLine="720"/>
        <w:jc w:val="right"/>
        <w:rPr>
          <w:lang w:val="lv-LV"/>
        </w:rPr>
      </w:pPr>
      <w:r w:rsidRPr="00F163BC">
        <w:rPr>
          <w:bCs/>
          <w:lang w:val="lv-LV"/>
        </w:rPr>
        <w:t xml:space="preserve">5.attēls </w:t>
      </w:r>
    </w:p>
    <w:p w14:paraId="02B1BC34" w14:textId="77777777" w:rsidR="00AA191D" w:rsidRPr="00F163BC" w:rsidRDefault="00AA191D" w:rsidP="00AA191D">
      <w:pPr>
        <w:jc w:val="right"/>
      </w:pPr>
      <w:r w:rsidRPr="00F163BC">
        <w:rPr>
          <w:noProof/>
        </w:rPr>
        <w:drawing>
          <wp:inline distT="0" distB="0" distL="0" distR="0" wp14:anchorId="0B549BDA" wp14:editId="47EBB5FD">
            <wp:extent cx="5244643" cy="1952981"/>
            <wp:effectExtent l="0" t="0" r="1333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70F8A" w:rsidRPr="00F163BC">
        <w:t xml:space="preserve"> </w:t>
      </w:r>
    </w:p>
    <w:p w14:paraId="778DCEC9" w14:textId="77777777" w:rsidR="00F85623" w:rsidRPr="00F163BC" w:rsidRDefault="00F85623" w:rsidP="00B105D4">
      <w:pPr>
        <w:pStyle w:val="NormalWeb"/>
        <w:spacing w:before="0" w:beforeAutospacing="0" w:after="0" w:afterAutospacing="0"/>
        <w:ind w:firstLine="720"/>
        <w:jc w:val="both"/>
        <w:rPr>
          <w:lang w:val="lv-LV"/>
        </w:rPr>
      </w:pPr>
    </w:p>
    <w:p w14:paraId="1642E232" w14:textId="77777777" w:rsidR="00FF71B8" w:rsidRPr="00F163BC" w:rsidRDefault="00C94DC0" w:rsidP="0054498F">
      <w:pPr>
        <w:pStyle w:val="NormalWeb"/>
        <w:spacing w:before="0" w:beforeAutospacing="0" w:after="0" w:afterAutospacing="0"/>
        <w:ind w:firstLine="720"/>
        <w:jc w:val="both"/>
        <w:rPr>
          <w:b/>
          <w:sz w:val="28"/>
          <w:szCs w:val="28"/>
          <w:lang w:val="lv-LV"/>
        </w:rPr>
      </w:pPr>
      <w:r w:rsidRPr="00F163BC">
        <w:rPr>
          <w:bCs/>
          <w:lang w:val="lv-LV"/>
        </w:rPr>
        <w:lastRenderedPageBreak/>
        <w:t>Valsts policij</w:t>
      </w:r>
      <w:r w:rsidR="00936386" w:rsidRPr="00F163BC">
        <w:rPr>
          <w:bCs/>
          <w:lang w:val="lv-LV"/>
        </w:rPr>
        <w:t>a</w:t>
      </w:r>
      <w:r w:rsidRPr="00F163BC">
        <w:rPr>
          <w:bCs/>
          <w:lang w:val="lv-LV"/>
        </w:rPr>
        <w:t xml:space="preserve"> sadarbībā ar CSDD un </w:t>
      </w:r>
      <w:r w:rsidR="00D65830" w:rsidRPr="00F163BC">
        <w:rPr>
          <w:bCs/>
          <w:lang w:val="lv-LV"/>
        </w:rPr>
        <w:t>Latvijas Transportlīdzekļu apdrošināšanas biroj</w:t>
      </w:r>
      <w:r w:rsidRPr="00F163BC">
        <w:rPr>
          <w:bCs/>
          <w:lang w:val="lv-LV"/>
        </w:rPr>
        <w:t>u</w:t>
      </w:r>
      <w:proofErr w:type="gramStart"/>
      <w:r w:rsidR="00D65830" w:rsidRPr="00F163BC">
        <w:rPr>
          <w:bCs/>
          <w:lang w:val="lv-LV"/>
        </w:rPr>
        <w:t xml:space="preserve"> </w:t>
      </w:r>
      <w:r w:rsidR="005E4CE3" w:rsidRPr="00F163BC">
        <w:rPr>
          <w:bCs/>
          <w:lang w:val="lv-LV"/>
        </w:rPr>
        <w:t xml:space="preserve"> </w:t>
      </w:r>
      <w:r w:rsidRPr="00F163BC">
        <w:rPr>
          <w:bCs/>
          <w:lang w:val="lv-LV"/>
        </w:rPr>
        <w:t xml:space="preserve"> </w:t>
      </w:r>
      <w:proofErr w:type="gramEnd"/>
      <w:r w:rsidRPr="00F163BC">
        <w:rPr>
          <w:bCs/>
          <w:lang w:val="lv-LV"/>
        </w:rPr>
        <w:t xml:space="preserve">ir </w:t>
      </w:r>
      <w:r w:rsidR="00D65830" w:rsidRPr="00F163BC">
        <w:rPr>
          <w:bCs/>
          <w:lang w:val="lv-LV"/>
        </w:rPr>
        <w:t>īsteno</w:t>
      </w:r>
      <w:r w:rsidRPr="00F163BC">
        <w:rPr>
          <w:bCs/>
          <w:lang w:val="lv-LV"/>
        </w:rPr>
        <w:t>jusi vairākas</w:t>
      </w:r>
      <w:r w:rsidR="00D65830" w:rsidRPr="00F163BC">
        <w:rPr>
          <w:bCs/>
          <w:lang w:val="lv-LV"/>
        </w:rPr>
        <w:t xml:space="preserve"> kampaņas, kuru ietvaros noti</w:t>
      </w:r>
      <w:r w:rsidRPr="00F163BC">
        <w:rPr>
          <w:bCs/>
          <w:lang w:val="lv-LV"/>
        </w:rPr>
        <w:t>ka</w:t>
      </w:r>
      <w:r w:rsidR="00D65830" w:rsidRPr="00F163BC">
        <w:rPr>
          <w:bCs/>
          <w:lang w:val="lv-LV"/>
        </w:rPr>
        <w:t xml:space="preserve"> tehnisko apskašu un OCTA derīguma termiņu (esamības vai neesamības) kontrole</w:t>
      </w:r>
      <w:r w:rsidRPr="00F163BC">
        <w:rPr>
          <w:bCs/>
          <w:lang w:val="lv-LV"/>
        </w:rPr>
        <w:t>, izmantojot fo</w:t>
      </w:r>
      <w:r w:rsidR="00E752D1" w:rsidRPr="00F163BC">
        <w:rPr>
          <w:bCs/>
          <w:lang w:val="lv-LV"/>
        </w:rPr>
        <w:t>t</w:t>
      </w:r>
      <w:r w:rsidRPr="00F163BC">
        <w:rPr>
          <w:bCs/>
          <w:lang w:val="lv-LV"/>
        </w:rPr>
        <w:t>oradarus,</w:t>
      </w:r>
      <w:r w:rsidR="00D65830" w:rsidRPr="00F163BC">
        <w:rPr>
          <w:bCs/>
          <w:lang w:val="lv-LV"/>
        </w:rPr>
        <w:t xml:space="preserve"> arī gadījumos, kad neti</w:t>
      </w:r>
      <w:r w:rsidRPr="00F163BC">
        <w:rPr>
          <w:bCs/>
          <w:lang w:val="lv-LV"/>
        </w:rPr>
        <w:t>ka</w:t>
      </w:r>
      <w:r w:rsidR="00D65830" w:rsidRPr="00F163BC">
        <w:rPr>
          <w:bCs/>
          <w:lang w:val="lv-LV"/>
        </w:rPr>
        <w:t xml:space="preserve"> pārsnie</w:t>
      </w:r>
      <w:r w:rsidR="0082318F" w:rsidRPr="00F163BC">
        <w:rPr>
          <w:bCs/>
          <w:lang w:val="lv-LV"/>
        </w:rPr>
        <w:t>gts atļautais braukšanas ātrums.</w:t>
      </w:r>
    </w:p>
    <w:p w14:paraId="1EEC553C" w14:textId="77777777" w:rsidR="0054498F" w:rsidRPr="00F163BC" w:rsidRDefault="0054498F" w:rsidP="0054498F">
      <w:pPr>
        <w:pStyle w:val="NormalWeb"/>
        <w:spacing w:before="0" w:beforeAutospacing="0" w:after="0" w:afterAutospacing="0"/>
        <w:ind w:firstLine="720"/>
        <w:jc w:val="both"/>
        <w:rPr>
          <w:bCs/>
          <w:lang w:val="lv-LV"/>
        </w:rPr>
      </w:pPr>
    </w:p>
    <w:p w14:paraId="6B8E93B2" w14:textId="77777777" w:rsidR="009D0EAA" w:rsidRPr="00F163BC" w:rsidRDefault="0079778A" w:rsidP="0054498F">
      <w:pPr>
        <w:pStyle w:val="NormalWeb"/>
        <w:spacing w:before="0" w:beforeAutospacing="0" w:after="0" w:afterAutospacing="0"/>
        <w:ind w:firstLine="720"/>
        <w:jc w:val="both"/>
        <w:rPr>
          <w:lang w:val="lv-LV"/>
        </w:rPr>
      </w:pPr>
      <w:r w:rsidRPr="00F163BC">
        <w:rPr>
          <w:bCs/>
          <w:lang w:val="lv-LV"/>
        </w:rPr>
        <w:t>P</w:t>
      </w:r>
      <w:r w:rsidR="00DB017E" w:rsidRPr="00F163BC">
        <w:rPr>
          <w:bCs/>
          <w:lang w:val="lv-LV"/>
        </w:rPr>
        <w:t>irmajos</w:t>
      </w:r>
      <w:proofErr w:type="gramStart"/>
      <w:r w:rsidR="00DB017E" w:rsidRPr="00F163BC">
        <w:rPr>
          <w:bCs/>
          <w:lang w:val="lv-LV"/>
        </w:rPr>
        <w:t xml:space="preserve"> </w:t>
      </w:r>
      <w:r w:rsidR="00D65830" w:rsidRPr="00F163BC">
        <w:rPr>
          <w:bCs/>
          <w:lang w:val="lv-LV"/>
        </w:rPr>
        <w:t xml:space="preserve"> </w:t>
      </w:r>
      <w:proofErr w:type="gramEnd"/>
      <w:r w:rsidR="00D65830" w:rsidRPr="00F163BC">
        <w:rPr>
          <w:bCs/>
          <w:lang w:val="lv-LV"/>
        </w:rPr>
        <w:t>trīs gad</w:t>
      </w:r>
      <w:r w:rsidR="00DB017E" w:rsidRPr="00F163BC">
        <w:rPr>
          <w:bCs/>
          <w:lang w:val="lv-LV"/>
        </w:rPr>
        <w:t>o</w:t>
      </w:r>
      <w:r w:rsidR="00D65830" w:rsidRPr="00F163BC">
        <w:rPr>
          <w:bCs/>
          <w:lang w:val="lv-LV"/>
        </w:rPr>
        <w:t>s pēc fotoradaru ieviešanas visvairāk pārkāpum</w:t>
      </w:r>
      <w:r w:rsidR="006064D4" w:rsidRPr="00F163BC">
        <w:rPr>
          <w:bCs/>
          <w:lang w:val="lv-LV"/>
        </w:rPr>
        <w:t>u</w:t>
      </w:r>
      <w:r w:rsidR="00D65830" w:rsidRPr="00F163BC">
        <w:rPr>
          <w:bCs/>
          <w:lang w:val="lv-LV"/>
        </w:rPr>
        <w:t xml:space="preserve"> (ņemot vērā viena </w:t>
      </w:r>
      <w:r w:rsidR="006064D4" w:rsidRPr="00F163BC">
        <w:rPr>
          <w:bCs/>
          <w:lang w:val="lv-LV"/>
        </w:rPr>
        <w:t>foto</w:t>
      </w:r>
      <w:r w:rsidR="00D65830" w:rsidRPr="00F163BC">
        <w:rPr>
          <w:bCs/>
          <w:lang w:val="lv-LV"/>
        </w:rPr>
        <w:t>radara vidēji gadā fiksētos pārkāpumus) fiksēti Zemgales reģionā, kur fotoradari uzstādīti uz reģionālajiem autoceļiem ar intensī</w:t>
      </w:r>
      <w:r w:rsidR="0048483C" w:rsidRPr="00F163BC">
        <w:rPr>
          <w:bCs/>
          <w:lang w:val="lv-LV"/>
        </w:rPr>
        <w:t xml:space="preserve">vu satiksmes plūsmu. </w:t>
      </w:r>
      <w:r w:rsidR="00EB179A" w:rsidRPr="00F163BC">
        <w:rPr>
          <w:bCs/>
          <w:lang w:val="lv-LV"/>
        </w:rPr>
        <w:t xml:space="preserve">Savukārt, </w:t>
      </w:r>
      <w:proofErr w:type="gramStart"/>
      <w:r w:rsidR="00EB179A" w:rsidRPr="00F163BC">
        <w:rPr>
          <w:bCs/>
          <w:lang w:val="lv-LV"/>
        </w:rPr>
        <w:t>2018.gadā</w:t>
      </w:r>
      <w:proofErr w:type="gramEnd"/>
      <w:r w:rsidR="00EB179A" w:rsidRPr="00F163BC">
        <w:rPr>
          <w:bCs/>
          <w:lang w:val="lv-LV"/>
        </w:rPr>
        <w:t xml:space="preserve"> </w:t>
      </w:r>
      <w:r w:rsidR="00D65830" w:rsidRPr="00F163BC">
        <w:rPr>
          <w:bCs/>
          <w:lang w:val="lv-LV"/>
        </w:rPr>
        <w:t>visvairāk pārkāpum</w:t>
      </w:r>
      <w:r w:rsidR="006064D4" w:rsidRPr="00F163BC">
        <w:rPr>
          <w:bCs/>
          <w:lang w:val="lv-LV"/>
        </w:rPr>
        <w:t>u</w:t>
      </w:r>
      <w:r w:rsidR="00D65830" w:rsidRPr="00F163BC">
        <w:rPr>
          <w:bCs/>
          <w:lang w:val="lv-LV"/>
        </w:rPr>
        <w:t xml:space="preserve"> fiksēti Rīgas reģionā</w:t>
      </w:r>
      <w:r w:rsidR="00DB017E" w:rsidRPr="00F163BC">
        <w:rPr>
          <w:bCs/>
          <w:lang w:val="lv-LV"/>
        </w:rPr>
        <w:t>.</w:t>
      </w:r>
      <w:r w:rsidR="00D65830" w:rsidRPr="00F163BC">
        <w:rPr>
          <w:bCs/>
          <w:lang w:val="lv-LV"/>
        </w:rPr>
        <w:t xml:space="preserve"> </w:t>
      </w:r>
      <w:r w:rsidR="00DB017E" w:rsidRPr="00F163BC">
        <w:rPr>
          <w:bCs/>
          <w:lang w:val="lv-LV"/>
        </w:rPr>
        <w:t>Latgales</w:t>
      </w:r>
      <w:r w:rsidR="00D65830" w:rsidRPr="00F163BC">
        <w:rPr>
          <w:bCs/>
          <w:lang w:val="lv-LV"/>
        </w:rPr>
        <w:t xml:space="preserve"> </w:t>
      </w:r>
      <w:r w:rsidR="00DB017E" w:rsidRPr="00F163BC">
        <w:rPr>
          <w:bCs/>
          <w:lang w:val="lv-LV"/>
        </w:rPr>
        <w:t xml:space="preserve">reģionā </w:t>
      </w:r>
      <w:r w:rsidR="006064D4" w:rsidRPr="00F163BC">
        <w:rPr>
          <w:bCs/>
          <w:lang w:val="lv-LV"/>
        </w:rPr>
        <w:t xml:space="preserve">salīdzinoši </w:t>
      </w:r>
      <w:r w:rsidR="00D65830" w:rsidRPr="00F163BC">
        <w:rPr>
          <w:bCs/>
          <w:lang w:val="lv-LV"/>
        </w:rPr>
        <w:t xml:space="preserve">nelielās satiksmes </w:t>
      </w:r>
      <w:r w:rsidR="006064D4" w:rsidRPr="00F163BC">
        <w:rPr>
          <w:bCs/>
          <w:lang w:val="lv-LV"/>
        </w:rPr>
        <w:t xml:space="preserve">plūsmas </w:t>
      </w:r>
      <w:r w:rsidR="00D65830" w:rsidRPr="00F163BC">
        <w:rPr>
          <w:bCs/>
          <w:lang w:val="lv-LV"/>
        </w:rPr>
        <w:t>dēļ fiksēts vismazāk pārkāpumu.</w:t>
      </w:r>
    </w:p>
    <w:p w14:paraId="57C4F6A5" w14:textId="77777777" w:rsidR="0054498F" w:rsidRPr="00F163BC" w:rsidRDefault="009D0EAA" w:rsidP="00D65830">
      <w:pPr>
        <w:ind w:firstLine="720"/>
        <w:jc w:val="both"/>
      </w:pPr>
      <w:r w:rsidRPr="00F163BC">
        <w:t>B</w:t>
      </w:r>
      <w:r w:rsidR="00D65830" w:rsidRPr="00F163BC">
        <w:t xml:space="preserve">raukšanas ātrums visbiežāk tiek pārsniegts līdz 20 km/h virs konkrētajā ceļa posmā maksimāli atļautā braukšanas ātruma. Otrajā vietā stabili ik gadu ir braukšanas ātruma pārkāpumi no 21 km/h līdz 30 km/h virs </w:t>
      </w:r>
      <w:r w:rsidR="00E752D1" w:rsidRPr="00F163BC">
        <w:t>atļautā</w:t>
      </w:r>
      <w:r w:rsidR="00D65830" w:rsidRPr="00F163BC">
        <w:t xml:space="preserve"> braukšanas ātruma.</w:t>
      </w:r>
    </w:p>
    <w:p w14:paraId="3A36EFD5" w14:textId="51BC56F7" w:rsidR="006064D4" w:rsidRPr="00F163BC" w:rsidRDefault="00D65830" w:rsidP="006C68EC">
      <w:pPr>
        <w:ind w:firstLine="720"/>
        <w:jc w:val="both"/>
      </w:pPr>
      <w:r w:rsidRPr="00F163BC">
        <w:t xml:space="preserve">Salīdzinoši mazu daļu no visiem braukšanas ātruma pārkāpumiem ieņem ievērojami ātruma pārsniegšanas gadījumi, kad ātrums pārsniegts virs 51 km/h. Lai gan šie ievērojamā braukšanas ātruma pārkāpumi ir atsevišķi gadījumi, novērojama tendence, ka ar katru gadu tie tiek izdarīti arvien biežāk. Ja </w:t>
      </w:r>
      <w:proofErr w:type="gramStart"/>
      <w:r w:rsidRPr="00F163BC">
        <w:t>2015.gadā</w:t>
      </w:r>
      <w:proofErr w:type="gramEnd"/>
      <w:r w:rsidRPr="00F163BC">
        <w:t xml:space="preserve"> atļautais braukšanas ātrums </w:t>
      </w:r>
      <w:r w:rsidR="009768B7" w:rsidRPr="00F163BC">
        <w:t>virs 51 km/h tika pārsniegts 0,07 % gadījumos, tad 2018</w:t>
      </w:r>
      <w:r w:rsidRPr="00F163BC">
        <w:t>.gadā š</w:t>
      </w:r>
      <w:r w:rsidR="009768B7" w:rsidRPr="00F163BC">
        <w:t xml:space="preserve">ādi pārkāpumi konstatēti jau </w:t>
      </w:r>
      <w:r w:rsidR="00EA1906" w:rsidRPr="00F163BC">
        <w:t>0,3</w:t>
      </w:r>
      <w:r w:rsidR="00A120A6" w:rsidRPr="00F163BC">
        <w:t xml:space="preserve"> % gadījumu</w:t>
      </w:r>
      <w:r w:rsidRPr="00F163BC">
        <w:t>.</w:t>
      </w:r>
    </w:p>
    <w:p w14:paraId="689B9AB0" w14:textId="77777777" w:rsidR="00120639" w:rsidRPr="00F163BC" w:rsidRDefault="00120639" w:rsidP="001E31B4">
      <w:pPr>
        <w:pStyle w:val="NormalWeb"/>
        <w:spacing w:before="0" w:beforeAutospacing="0" w:after="0" w:afterAutospacing="0"/>
        <w:ind w:firstLine="720"/>
        <w:jc w:val="right"/>
        <w:rPr>
          <w:bCs/>
          <w:lang w:val="lv-LV"/>
        </w:rPr>
      </w:pPr>
    </w:p>
    <w:p w14:paraId="348A49C0" w14:textId="77777777" w:rsidR="00370F8A" w:rsidRPr="00F163BC" w:rsidRDefault="00CC1E9D" w:rsidP="001E31B4">
      <w:pPr>
        <w:pStyle w:val="NormalWeb"/>
        <w:spacing w:before="0" w:beforeAutospacing="0" w:after="0" w:afterAutospacing="0"/>
        <w:ind w:firstLine="720"/>
        <w:jc w:val="right"/>
      </w:pPr>
      <w:r w:rsidRPr="00F163BC">
        <w:rPr>
          <w:bCs/>
          <w:lang w:val="lv-LV"/>
        </w:rPr>
        <w:t xml:space="preserve">6.attēls </w:t>
      </w:r>
    </w:p>
    <w:p w14:paraId="383C0F3C" w14:textId="77777777" w:rsidR="00370F8A" w:rsidRPr="00F163BC" w:rsidRDefault="00E53C74" w:rsidP="00C57A20">
      <w:pPr>
        <w:jc w:val="both"/>
      </w:pPr>
      <w:r w:rsidRPr="00F163BC">
        <w:rPr>
          <w:noProof/>
        </w:rPr>
        <w:drawing>
          <wp:inline distT="0" distB="0" distL="0" distR="0" wp14:anchorId="38B182CD" wp14:editId="0CF3CECA">
            <wp:extent cx="5237683" cy="1938528"/>
            <wp:effectExtent l="0" t="0" r="127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214B62" w14:textId="77777777" w:rsidR="0065660E" w:rsidRPr="00F163BC" w:rsidRDefault="0065660E" w:rsidP="00AA5015">
      <w:pPr>
        <w:jc w:val="both"/>
      </w:pPr>
    </w:p>
    <w:p w14:paraId="5F55DF98" w14:textId="41611BF2" w:rsidR="00D65830" w:rsidRPr="00F163BC" w:rsidRDefault="00D65830" w:rsidP="00D65830">
      <w:pPr>
        <w:ind w:firstLine="720"/>
        <w:jc w:val="both"/>
      </w:pPr>
      <w:r w:rsidRPr="00F163BC">
        <w:t xml:space="preserve">Uz </w:t>
      </w:r>
      <w:proofErr w:type="gramStart"/>
      <w:r w:rsidRPr="00F163BC">
        <w:t>2010.gadu</w:t>
      </w:r>
      <w:proofErr w:type="gramEnd"/>
      <w:r w:rsidRPr="00F163BC">
        <w:t xml:space="preserve"> Latvija bija </w:t>
      </w:r>
      <w:r w:rsidR="00227144" w:rsidRPr="00F163BC">
        <w:t>sasniegusi Eiropas Savienībā</w:t>
      </w:r>
      <w:r w:rsidRPr="00F163BC">
        <w:t xml:space="preserve"> (turpmāk – ES) izvirzīto mērķi līdz 2010.gadam</w:t>
      </w:r>
      <w:r w:rsidR="00227144" w:rsidRPr="00F163BC">
        <w:t xml:space="preserve">, salīdzinot ar 2001.gadu, </w:t>
      </w:r>
      <w:r w:rsidRPr="00F163BC">
        <w:t xml:space="preserve">samazināt </w:t>
      </w:r>
      <w:r w:rsidR="00230A3C" w:rsidRPr="00F163BC">
        <w:t>ceļu satiksme</w:t>
      </w:r>
      <w:r w:rsidR="00E752D1" w:rsidRPr="00F163BC">
        <w:t>s</w:t>
      </w:r>
      <w:r w:rsidR="00230A3C" w:rsidRPr="00F163BC">
        <w:t xml:space="preserve"> negadījumos (turpmāk – </w:t>
      </w:r>
      <w:proofErr w:type="spellStart"/>
      <w:r w:rsidR="00230A3C" w:rsidRPr="00F163BC">
        <w:t>CSNg</w:t>
      </w:r>
      <w:proofErr w:type="spellEnd"/>
      <w:r w:rsidR="00230A3C" w:rsidRPr="00F163BC">
        <w:t xml:space="preserve">) </w:t>
      </w:r>
      <w:r w:rsidRPr="00F163BC">
        <w:t>bojāgājušo skaitu divas reizes</w:t>
      </w:r>
      <w:r w:rsidR="00227144" w:rsidRPr="00F163BC">
        <w:t>.</w:t>
      </w:r>
      <w:r w:rsidRPr="00F163BC">
        <w:t xml:space="preserve"> Tā brīža bojāgājušo skaita samazinājums 61</w:t>
      </w:r>
      <w:r w:rsidR="0079778A" w:rsidRPr="00F163BC">
        <w:t xml:space="preserve"> </w:t>
      </w:r>
      <w:r w:rsidRPr="00F163BC">
        <w:t>% apmērā bija viens no labākajiem ES</w:t>
      </w:r>
      <w:r w:rsidR="00230A3C" w:rsidRPr="00F163BC">
        <w:t xml:space="preserve"> dalībvalstīs</w:t>
      </w:r>
      <w:r w:rsidRPr="00F163BC">
        <w:t xml:space="preserve">.  </w:t>
      </w:r>
      <w:r w:rsidR="00230A3C" w:rsidRPr="00F163BC">
        <w:t>Tomēr</w:t>
      </w:r>
      <w:r w:rsidRPr="00F163BC">
        <w:t xml:space="preserve">, </w:t>
      </w:r>
      <w:r w:rsidR="00230A3C" w:rsidRPr="00F163BC">
        <w:t>j</w:t>
      </w:r>
      <w:r w:rsidRPr="00F163BC">
        <w:t xml:space="preserve">a pēc bojāgājušo skaita samazinājuma no </w:t>
      </w:r>
      <w:proofErr w:type="gramStart"/>
      <w:r w:rsidRPr="00F163BC">
        <w:t>2001.gada</w:t>
      </w:r>
      <w:proofErr w:type="gramEnd"/>
      <w:r w:rsidRPr="00F163BC">
        <w:t xml:space="preserve"> līdz 2010.gadam, Latvija atradās vienā no vadošajām vietām ES, bojāgājušo skaits uz miljons iedzīvotājiem</w:t>
      </w:r>
      <w:r w:rsidR="00EA1906" w:rsidRPr="00F163BC">
        <w:t xml:space="preserve"> (97 personas</w:t>
      </w:r>
      <w:r w:rsidRPr="00F163BC">
        <w:t xml:space="preserve">– 2010.gadā) bija </w:t>
      </w:r>
      <w:r w:rsidR="00230A3C" w:rsidRPr="00F163BC">
        <w:t>ievērojami</w:t>
      </w:r>
      <w:r w:rsidRPr="00F163BC">
        <w:t xml:space="preserve"> augstāks nekā vidējais </w:t>
      </w:r>
      <w:r w:rsidR="00230A3C" w:rsidRPr="00F163BC">
        <w:t xml:space="preserve">ES dalībvalstīs </w:t>
      </w:r>
      <w:r w:rsidRPr="00F163BC">
        <w:t>(70 personas – 2009.gadā)</w:t>
      </w:r>
      <w:r w:rsidR="006B2416" w:rsidRPr="00F163BC">
        <w:rPr>
          <w:rStyle w:val="FootnoteReference"/>
        </w:rPr>
        <w:t xml:space="preserve"> </w:t>
      </w:r>
      <w:r w:rsidR="006B2416" w:rsidRPr="00F163BC">
        <w:rPr>
          <w:rStyle w:val="FootnoteReference"/>
        </w:rPr>
        <w:footnoteReference w:id="2"/>
      </w:r>
      <w:r w:rsidRPr="00F163BC">
        <w:t>.</w:t>
      </w:r>
    </w:p>
    <w:p w14:paraId="7C6FA0C2" w14:textId="77777777" w:rsidR="00120639" w:rsidRPr="00F163BC" w:rsidRDefault="00120639" w:rsidP="001E31B4">
      <w:pPr>
        <w:pStyle w:val="NormalWeb"/>
        <w:spacing w:before="0" w:beforeAutospacing="0" w:after="0" w:afterAutospacing="0"/>
        <w:ind w:firstLine="720"/>
        <w:jc w:val="right"/>
        <w:rPr>
          <w:bCs/>
          <w:lang w:val="lv-LV"/>
        </w:rPr>
      </w:pPr>
    </w:p>
    <w:p w14:paraId="61772ACF" w14:textId="77777777" w:rsidR="00120639" w:rsidRPr="00F163BC" w:rsidRDefault="00120639" w:rsidP="001E31B4">
      <w:pPr>
        <w:pStyle w:val="NormalWeb"/>
        <w:spacing w:before="0" w:beforeAutospacing="0" w:after="0" w:afterAutospacing="0"/>
        <w:ind w:firstLine="720"/>
        <w:jc w:val="right"/>
        <w:rPr>
          <w:bCs/>
          <w:lang w:val="lv-LV"/>
        </w:rPr>
      </w:pPr>
    </w:p>
    <w:p w14:paraId="33B23C9D" w14:textId="77777777" w:rsidR="00120639" w:rsidRPr="00F163BC" w:rsidRDefault="00120639" w:rsidP="001E31B4">
      <w:pPr>
        <w:pStyle w:val="NormalWeb"/>
        <w:spacing w:before="0" w:beforeAutospacing="0" w:after="0" w:afterAutospacing="0"/>
        <w:ind w:firstLine="720"/>
        <w:jc w:val="right"/>
        <w:rPr>
          <w:bCs/>
          <w:lang w:val="lv-LV"/>
        </w:rPr>
      </w:pPr>
    </w:p>
    <w:p w14:paraId="57CC1EB6" w14:textId="77777777" w:rsidR="00120639" w:rsidRPr="00F163BC" w:rsidRDefault="00120639" w:rsidP="001E31B4">
      <w:pPr>
        <w:pStyle w:val="NormalWeb"/>
        <w:spacing w:before="0" w:beforeAutospacing="0" w:after="0" w:afterAutospacing="0"/>
        <w:ind w:firstLine="720"/>
        <w:jc w:val="right"/>
        <w:rPr>
          <w:bCs/>
          <w:lang w:val="lv-LV"/>
        </w:rPr>
      </w:pPr>
    </w:p>
    <w:p w14:paraId="4CC3177D" w14:textId="77777777" w:rsidR="00120639" w:rsidRPr="00F163BC" w:rsidRDefault="00120639" w:rsidP="001E31B4">
      <w:pPr>
        <w:pStyle w:val="NormalWeb"/>
        <w:spacing w:before="0" w:beforeAutospacing="0" w:after="0" w:afterAutospacing="0"/>
        <w:ind w:firstLine="720"/>
        <w:jc w:val="right"/>
        <w:rPr>
          <w:bCs/>
          <w:lang w:val="lv-LV"/>
        </w:rPr>
      </w:pPr>
    </w:p>
    <w:p w14:paraId="7368FB69" w14:textId="77777777" w:rsidR="00120639" w:rsidRPr="00F163BC" w:rsidRDefault="00120639" w:rsidP="001E31B4">
      <w:pPr>
        <w:pStyle w:val="NormalWeb"/>
        <w:spacing w:before="0" w:beforeAutospacing="0" w:after="0" w:afterAutospacing="0"/>
        <w:ind w:firstLine="720"/>
        <w:jc w:val="right"/>
        <w:rPr>
          <w:bCs/>
          <w:lang w:val="lv-LV"/>
        </w:rPr>
      </w:pPr>
    </w:p>
    <w:p w14:paraId="1D81E5A8" w14:textId="77777777" w:rsidR="00120639" w:rsidRPr="00F163BC" w:rsidRDefault="00120639" w:rsidP="001E31B4">
      <w:pPr>
        <w:pStyle w:val="NormalWeb"/>
        <w:spacing w:before="0" w:beforeAutospacing="0" w:after="0" w:afterAutospacing="0"/>
        <w:ind w:firstLine="720"/>
        <w:jc w:val="right"/>
        <w:rPr>
          <w:bCs/>
          <w:lang w:val="lv-LV"/>
        </w:rPr>
      </w:pPr>
    </w:p>
    <w:p w14:paraId="1B5410E9" w14:textId="77777777" w:rsidR="00120639" w:rsidRPr="00F163BC" w:rsidRDefault="00120639" w:rsidP="001E31B4">
      <w:pPr>
        <w:pStyle w:val="NormalWeb"/>
        <w:spacing w:before="0" w:beforeAutospacing="0" w:after="0" w:afterAutospacing="0"/>
        <w:ind w:firstLine="720"/>
        <w:jc w:val="right"/>
        <w:rPr>
          <w:bCs/>
          <w:lang w:val="lv-LV"/>
        </w:rPr>
      </w:pPr>
    </w:p>
    <w:p w14:paraId="03197AF0" w14:textId="77777777" w:rsidR="00120639" w:rsidRPr="00F163BC" w:rsidRDefault="00120639" w:rsidP="001E31B4">
      <w:pPr>
        <w:pStyle w:val="NormalWeb"/>
        <w:spacing w:before="0" w:beforeAutospacing="0" w:after="0" w:afterAutospacing="0"/>
        <w:ind w:firstLine="720"/>
        <w:jc w:val="right"/>
        <w:rPr>
          <w:bCs/>
          <w:lang w:val="lv-LV"/>
        </w:rPr>
      </w:pPr>
    </w:p>
    <w:p w14:paraId="502C4317" w14:textId="77777777" w:rsidR="0080318E" w:rsidRDefault="0080318E" w:rsidP="001E31B4">
      <w:pPr>
        <w:pStyle w:val="NormalWeb"/>
        <w:spacing w:before="0" w:beforeAutospacing="0" w:after="0" w:afterAutospacing="0"/>
        <w:ind w:firstLine="720"/>
        <w:jc w:val="right"/>
        <w:rPr>
          <w:bCs/>
          <w:lang w:val="lv-LV"/>
        </w:rPr>
      </w:pPr>
    </w:p>
    <w:p w14:paraId="038DF6D3" w14:textId="77777777" w:rsidR="006951B1" w:rsidRPr="00F163BC" w:rsidRDefault="00CC1E9D" w:rsidP="001E31B4">
      <w:pPr>
        <w:pStyle w:val="NormalWeb"/>
        <w:spacing w:before="0" w:beforeAutospacing="0" w:after="0" w:afterAutospacing="0"/>
        <w:ind w:firstLine="720"/>
        <w:jc w:val="right"/>
      </w:pPr>
      <w:r w:rsidRPr="00F163BC">
        <w:rPr>
          <w:bCs/>
          <w:lang w:val="lv-LV"/>
        </w:rPr>
        <w:t xml:space="preserve">7.attēls </w:t>
      </w:r>
    </w:p>
    <w:p w14:paraId="7842A184" w14:textId="77777777" w:rsidR="00627189" w:rsidRPr="00F163BC" w:rsidRDefault="006D113F" w:rsidP="006D113F">
      <w:pPr>
        <w:jc w:val="both"/>
      </w:pPr>
      <w:r w:rsidRPr="00F163BC">
        <w:rPr>
          <w:noProof/>
        </w:rPr>
        <w:drawing>
          <wp:inline distT="0" distB="0" distL="0" distR="0" wp14:anchorId="0050C679" wp14:editId="35DAAE14">
            <wp:extent cx="5238750" cy="21590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3B43E0" w14:textId="77777777" w:rsidR="00B22795" w:rsidRPr="00F163BC" w:rsidRDefault="00B22795" w:rsidP="00B32FC5">
      <w:pPr>
        <w:ind w:firstLine="720"/>
        <w:jc w:val="both"/>
      </w:pPr>
    </w:p>
    <w:p w14:paraId="0FA7A78B" w14:textId="77777777" w:rsidR="00230A3C" w:rsidRPr="00F163BC" w:rsidRDefault="00230A3C" w:rsidP="006D113F">
      <w:pPr>
        <w:ind w:firstLine="567"/>
        <w:jc w:val="both"/>
      </w:pPr>
      <w:r w:rsidRPr="00F163BC">
        <w:t xml:space="preserve">Analizējot </w:t>
      </w:r>
      <w:proofErr w:type="spellStart"/>
      <w:r w:rsidRPr="00F163BC">
        <w:rPr>
          <w:bCs/>
          <w:iCs/>
        </w:rPr>
        <w:t>CSNg</w:t>
      </w:r>
      <w:proofErr w:type="spellEnd"/>
      <w:r w:rsidRPr="00F163BC">
        <w:rPr>
          <w:bCs/>
          <w:iCs/>
        </w:rPr>
        <w:t xml:space="preserve"> skaita dinamiku valstī</w:t>
      </w:r>
      <w:r w:rsidRPr="00F163BC">
        <w:t xml:space="preserve"> kopumā, vērojama tendence, ka, salīdzinot ar </w:t>
      </w:r>
      <w:proofErr w:type="gramStart"/>
      <w:r w:rsidRPr="00F163BC">
        <w:t>2010.gadu</w:t>
      </w:r>
      <w:proofErr w:type="gramEnd"/>
      <w:r w:rsidRPr="00F163BC">
        <w:t xml:space="preserve">, ir samazinājies negadījumos bojāgājušo un smagi ievainoto personu skaits, bet palielinājies negadījumu ar cietušajiem un tajos ievainoto personu skaits. Minētais netieši liecina, ka veikto pasākumu rezultātā ir samazinājies vidējais transportlīdzekļu braukšanas ātrums un līdz ar to arī ceļu satiksmes negadījumu seku smagums. </w:t>
      </w:r>
    </w:p>
    <w:p w14:paraId="2DD337B2" w14:textId="77777777" w:rsidR="00FD3212" w:rsidRPr="00F163BC" w:rsidRDefault="005D631D" w:rsidP="00FD3212">
      <w:pPr>
        <w:ind w:firstLine="720"/>
        <w:jc w:val="both"/>
      </w:pPr>
      <w:r w:rsidRPr="00F163BC">
        <w:t>Kā redzams no statistikas datiem ceļu satiksmes negadījumos bojā gājušo skaits 2011.-</w:t>
      </w:r>
      <w:proofErr w:type="gramStart"/>
      <w:r w:rsidRPr="00F163BC">
        <w:t>2012.gadā</w:t>
      </w:r>
      <w:proofErr w:type="gramEnd"/>
      <w:r w:rsidRPr="00F163BC">
        <w:t xml:space="preserve">, kad, </w:t>
      </w:r>
      <w:r w:rsidRPr="00F163BC">
        <w:rPr>
          <w:rFonts w:eastAsia="Calibri"/>
          <w:lang w:eastAsia="en-US"/>
        </w:rPr>
        <w:t>pamatojoties uz Valsts policijas un komersanta “</w:t>
      </w:r>
      <w:proofErr w:type="spellStart"/>
      <w:r w:rsidRPr="00F163BC">
        <w:rPr>
          <w:rFonts w:eastAsia="Calibri"/>
          <w:lang w:eastAsia="en-US"/>
        </w:rPr>
        <w:t>Vitronic</w:t>
      </w:r>
      <w:proofErr w:type="spellEnd"/>
      <w:r w:rsidRPr="00F163BC">
        <w:rPr>
          <w:rFonts w:eastAsia="Calibri"/>
          <w:lang w:eastAsia="en-US"/>
        </w:rPr>
        <w:t xml:space="preserve"> Baltica</w:t>
      </w:r>
      <w:r w:rsidRPr="00F163BC">
        <w:rPr>
          <w:rFonts w:eastAsiaTheme="minorHAnsi"/>
          <w:lang w:eastAsia="en-US"/>
        </w:rPr>
        <w:t xml:space="preserve"> un Partneri” (iepriekš “V-</w:t>
      </w:r>
      <w:proofErr w:type="spellStart"/>
      <w:r w:rsidRPr="00F163BC">
        <w:rPr>
          <w:rFonts w:eastAsiaTheme="minorHAnsi"/>
          <w:lang w:eastAsia="en-US"/>
        </w:rPr>
        <w:t>Traffic</w:t>
      </w:r>
      <w:proofErr w:type="spellEnd"/>
      <w:r w:rsidRPr="00F163BC">
        <w:rPr>
          <w:rFonts w:eastAsiaTheme="minorHAnsi"/>
          <w:lang w:eastAsia="en-US"/>
        </w:rPr>
        <w:t xml:space="preserve">”) noslēgto līgumu, ceļu satiksmes uzraudzībā tika izmantoti 30 pārvietojamie un 25 stacionārie fotoradari, samazinājās, 2013.-2014.gadā, kad fotoradaru darbība tika pārtraukta, pieauga, bet no 2015.gada, kad CSDD uzsāka fotoradaru uzstādīšanu,  </w:t>
      </w:r>
      <w:r w:rsidR="00FD3212" w:rsidRPr="00F163BC">
        <w:rPr>
          <w:rFonts w:eastAsiaTheme="minorHAnsi"/>
          <w:lang w:eastAsia="en-US"/>
        </w:rPr>
        <w:t xml:space="preserve">līdz pat 2017.gada beigām, </w:t>
      </w:r>
      <w:r w:rsidRPr="00F163BC">
        <w:rPr>
          <w:rFonts w:eastAsiaTheme="minorHAnsi"/>
          <w:lang w:eastAsia="en-US"/>
        </w:rPr>
        <w:t>samazinā</w:t>
      </w:r>
      <w:r w:rsidR="00FD3212" w:rsidRPr="00F163BC">
        <w:rPr>
          <w:rFonts w:eastAsiaTheme="minorHAnsi"/>
          <w:lang w:eastAsia="en-US"/>
        </w:rPr>
        <w:t>jās</w:t>
      </w:r>
      <w:r w:rsidRPr="00F163BC">
        <w:rPr>
          <w:rFonts w:eastAsiaTheme="minorHAnsi"/>
          <w:lang w:eastAsia="en-US"/>
        </w:rPr>
        <w:t xml:space="preserve">. </w:t>
      </w:r>
    </w:p>
    <w:p w14:paraId="1B0C63FC" w14:textId="77777777" w:rsidR="00F7017F" w:rsidRPr="00F163BC" w:rsidRDefault="00785D9C" w:rsidP="00FD3212">
      <w:pPr>
        <w:ind w:firstLine="720"/>
        <w:jc w:val="both"/>
      </w:pPr>
      <w:r w:rsidRPr="00F163BC">
        <w:t>Tomēr</w:t>
      </w:r>
      <w:r w:rsidR="00FD3212" w:rsidRPr="00F163BC">
        <w:t>,</w:t>
      </w:r>
      <w:r w:rsidRPr="00F163BC">
        <w:t xml:space="preserve"> </w:t>
      </w:r>
      <w:proofErr w:type="gramStart"/>
      <w:r w:rsidRPr="00F163BC">
        <w:t>2018.gada</w:t>
      </w:r>
      <w:r w:rsidR="00F7017F" w:rsidRPr="00F163BC">
        <w:t>m</w:t>
      </w:r>
      <w:proofErr w:type="gramEnd"/>
      <w:r w:rsidRPr="00F163BC">
        <w:t xml:space="preserve"> noslēdzoties</w:t>
      </w:r>
      <w:r w:rsidR="00FD3212" w:rsidRPr="00F163BC">
        <w:t xml:space="preserve">, vērojams ceļu satiksmes negadījumos </w:t>
      </w:r>
      <w:r w:rsidR="00FE1123" w:rsidRPr="00F163BC">
        <w:t xml:space="preserve">bojāgājušo pieaugums, proti, </w:t>
      </w:r>
      <w:r w:rsidRPr="00F163BC">
        <w:t xml:space="preserve">tā laikā negadījumos gājuši bojā vairāk cilvēku kā 2017.gadā. Statistika rāda, ka </w:t>
      </w:r>
      <w:proofErr w:type="gramStart"/>
      <w:r w:rsidRPr="00F163BC">
        <w:t>2018.gadā</w:t>
      </w:r>
      <w:proofErr w:type="gramEnd"/>
      <w:r w:rsidRPr="00F163BC">
        <w:t xml:space="preserve"> </w:t>
      </w:r>
      <w:r w:rsidR="00F7017F" w:rsidRPr="00F163BC">
        <w:t>ceļu satiksmes negadījumos bojā gājuši</w:t>
      </w:r>
      <w:r w:rsidR="006570B5" w:rsidRPr="00F163BC">
        <w:t xml:space="preserve"> 148</w:t>
      </w:r>
      <w:r w:rsidR="00F7017F" w:rsidRPr="00F163BC">
        <w:t xml:space="preserve"> </w:t>
      </w:r>
      <w:r w:rsidRPr="00F163BC">
        <w:t>cilvēki</w:t>
      </w:r>
      <w:r w:rsidR="00F7017F" w:rsidRPr="00F163BC">
        <w:t>,</w:t>
      </w:r>
      <w:r w:rsidR="000545E1" w:rsidRPr="00F163BC">
        <w:t xml:space="preserve"> kas ir par 12</w:t>
      </w:r>
      <w:r w:rsidR="00F7017F" w:rsidRPr="00F163BC">
        <w:t xml:space="preserve"> vairāk kā 2017.gadā</w:t>
      </w:r>
      <w:r w:rsidRPr="00F163BC">
        <w:t>.</w:t>
      </w:r>
      <w:r w:rsidR="00F7017F" w:rsidRPr="00F163BC">
        <w:t xml:space="preserve"> </w:t>
      </w:r>
      <w:r w:rsidR="00207F2E" w:rsidRPr="00F163BC">
        <w:t xml:space="preserve">Ņemot vērā pēdējā gada drūmo statistiku, pastāv pamatotas bažas, vai </w:t>
      </w:r>
      <w:r w:rsidR="0073190F" w:rsidRPr="00F163BC">
        <w:t>Ceļu satiksmes drošības plānā 2017.- 2020.gadam</w:t>
      </w:r>
      <w:r w:rsidR="00207F2E" w:rsidRPr="00F163BC">
        <w:t xml:space="preserve">  izvirzītais mērķis līdz 2020. gadam par 50% samazināt ceļu satiksmes negadījumos bojāgājušo skaitu, salīdzinot ar 2010.gadu</w:t>
      </w:r>
      <w:r w:rsidR="00A120A6" w:rsidRPr="00F163BC">
        <w:rPr>
          <w:rStyle w:val="FootnoteReference"/>
        </w:rPr>
        <w:footnoteReference w:id="3"/>
      </w:r>
      <w:r w:rsidR="00207F2E" w:rsidRPr="00F163BC">
        <w:t>, tiks sasniegts.</w:t>
      </w:r>
    </w:p>
    <w:p w14:paraId="4564767D" w14:textId="77777777" w:rsidR="00785D9C" w:rsidRPr="00F163BC" w:rsidRDefault="00437642" w:rsidP="00F7017F">
      <w:pPr>
        <w:ind w:firstLine="720"/>
        <w:jc w:val="both"/>
      </w:pPr>
      <w:r w:rsidRPr="00F163BC">
        <w:t>Kā g</w:t>
      </w:r>
      <w:r w:rsidR="00785D9C" w:rsidRPr="00F163BC">
        <w:t>alvenie riska faktori smagiem negadījumiem</w:t>
      </w:r>
      <w:r w:rsidR="00F7017F" w:rsidRPr="00F163BC">
        <w:t xml:space="preserve"> joprojām saglabājas</w:t>
      </w:r>
      <w:r w:rsidR="00785D9C" w:rsidRPr="00F163BC">
        <w:t xml:space="preserve"> </w:t>
      </w:r>
      <w:r w:rsidRPr="00F163BC">
        <w:t xml:space="preserve">ceļu satiksmes dalībnieku </w:t>
      </w:r>
      <w:r w:rsidR="00785D9C" w:rsidRPr="00F163BC">
        <w:t>nihilistiskā attieksme pret satiksmes noteikumiem, transportlīdzekļa tehniskais stāvoklis un ceļu infrastruktūra. Nih</w:t>
      </w:r>
      <w:r w:rsidRPr="00F163BC">
        <w:t>ilismu pret satiksmes noteikumu ievērošanu apliecina</w:t>
      </w:r>
      <w:r w:rsidR="00785D9C" w:rsidRPr="00F163BC">
        <w:t xml:space="preserve"> </w:t>
      </w:r>
      <w:r w:rsidR="00120639" w:rsidRPr="00F163BC">
        <w:t>arī</w:t>
      </w:r>
      <w:proofErr w:type="gramStart"/>
      <w:r w:rsidR="00120639" w:rsidRPr="00F163BC">
        <w:t xml:space="preserve">  </w:t>
      </w:r>
      <w:proofErr w:type="gramEnd"/>
      <w:r w:rsidR="00F7017F" w:rsidRPr="00F163BC">
        <w:t xml:space="preserve">2018.gada </w:t>
      </w:r>
      <w:r w:rsidR="00785D9C" w:rsidRPr="00F163BC">
        <w:t>septembra statistika, kad vairāki no mirušiem gā</w:t>
      </w:r>
      <w:r w:rsidR="00F7017F" w:rsidRPr="00F163BC">
        <w:t>jējiem notriekti tumšajā</w:t>
      </w:r>
      <w:r w:rsidR="00120639" w:rsidRPr="00F163BC">
        <w:t xml:space="preserve"> diennakts</w:t>
      </w:r>
      <w:r w:rsidR="00F7017F" w:rsidRPr="00F163BC">
        <w:t xml:space="preserve"> laikā un </w:t>
      </w:r>
      <w:r w:rsidR="00785D9C" w:rsidRPr="00F163BC">
        <w:t>nevienam nav bijis atstarotājs.</w:t>
      </w:r>
    </w:p>
    <w:p w14:paraId="3A227F3D" w14:textId="77777777" w:rsidR="00402010" w:rsidRPr="00F163BC" w:rsidRDefault="00402010" w:rsidP="00F7017F">
      <w:pPr>
        <w:ind w:firstLine="720"/>
        <w:jc w:val="both"/>
      </w:pPr>
      <w:r w:rsidRPr="00F163BC">
        <w:t>Vienlaikus</w:t>
      </w:r>
      <w:r w:rsidR="00383F85" w:rsidRPr="00F163BC">
        <w:t>,</w:t>
      </w:r>
      <w:r w:rsidRPr="00F163BC">
        <w:t xml:space="preserve"> analizējot </w:t>
      </w:r>
      <w:proofErr w:type="gramStart"/>
      <w:r w:rsidRPr="00F163BC">
        <w:t>2018.gada</w:t>
      </w:r>
      <w:proofErr w:type="gramEnd"/>
      <w:r w:rsidRPr="00F163BC">
        <w:t xml:space="preserve"> statistiku, secināts, ka vairākos ceļu satiksmes negadījumos vienlaicīgi gāj</w:t>
      </w:r>
      <w:r w:rsidR="00383F85" w:rsidRPr="00F163BC">
        <w:t>uši</w:t>
      </w:r>
      <w:r w:rsidRPr="00F163BC">
        <w:t xml:space="preserve"> bojā vairāki cilvēki. </w:t>
      </w:r>
      <w:proofErr w:type="gramStart"/>
      <w:r w:rsidRPr="00F163BC">
        <w:t>Tā</w:t>
      </w:r>
      <w:r w:rsidR="00383F85" w:rsidRPr="00F163BC">
        <w:t>,</w:t>
      </w:r>
      <w:r w:rsidRPr="00F163BC">
        <w:t xml:space="preserve"> piemēram,</w:t>
      </w:r>
      <w:proofErr w:type="gramEnd"/>
      <w:r w:rsidRPr="00F163BC">
        <w:t xml:space="preserve"> pagājušā gadā </w:t>
      </w:r>
      <w:r w:rsidRPr="00F163BC">
        <w:lastRenderedPageBreak/>
        <w:t xml:space="preserve">notikušos 11 ceļu satiksmes negadījumos gājuši bojā 25 cilvēki. Vairāku cilvēku bojāeja vienlaicīgi vienā ceļu satiksmes negadījumā pēdējo reizi raksturīga bija </w:t>
      </w:r>
      <w:proofErr w:type="gramStart"/>
      <w:r w:rsidRPr="00F163BC">
        <w:t>2014.gadā</w:t>
      </w:r>
      <w:proofErr w:type="gramEnd"/>
      <w:r w:rsidRPr="00F163BC">
        <w:t xml:space="preserve">. Kopš </w:t>
      </w:r>
      <w:proofErr w:type="gramStart"/>
      <w:r w:rsidRPr="00F163BC">
        <w:t>2014.gada</w:t>
      </w:r>
      <w:proofErr w:type="gramEnd"/>
      <w:r w:rsidRPr="00F163BC">
        <w:t xml:space="preserve"> šādi ceļu satiksmes negadījumi nenotika bieži. </w:t>
      </w:r>
    </w:p>
    <w:p w14:paraId="58781B3B" w14:textId="77777777" w:rsidR="00C664F6" w:rsidRPr="00F163BC" w:rsidRDefault="00C664F6" w:rsidP="00F7017F">
      <w:pPr>
        <w:ind w:firstLine="720"/>
        <w:jc w:val="both"/>
      </w:pPr>
      <w:r w:rsidRPr="00F163BC">
        <w:t xml:space="preserve">Tāpat arī norādāms, ka </w:t>
      </w:r>
      <w:r w:rsidR="00383F85" w:rsidRPr="00F163BC">
        <w:t xml:space="preserve">personāla resursu </w:t>
      </w:r>
      <w:r w:rsidRPr="00F163BC">
        <w:t xml:space="preserve">trūkuma dēļ, kas ir gana būtiska </w:t>
      </w:r>
      <w:r w:rsidR="00383F85" w:rsidRPr="00F163BC">
        <w:t xml:space="preserve">Valsts policijas (turpmāk – </w:t>
      </w:r>
      <w:r w:rsidRPr="00F163BC">
        <w:t>VP</w:t>
      </w:r>
      <w:r w:rsidR="00383F85" w:rsidRPr="00F163BC">
        <w:t>)</w:t>
      </w:r>
      <w:r w:rsidRPr="00F163BC">
        <w:t xml:space="preserve"> problēma, policijas klātbūtne uz ceļiem nav pietiekama, lai novērstu iespējamo apdraudējumu ceļu satiksmes drošībai. </w:t>
      </w:r>
      <w:r w:rsidR="00402010" w:rsidRPr="00F163BC">
        <w:t>Neapšaubāmi, p</w:t>
      </w:r>
      <w:r w:rsidR="00402010" w:rsidRPr="00F163BC">
        <w:rPr>
          <w:rStyle w:val="arhhighlight"/>
        </w:rPr>
        <w:t>olicijas</w:t>
      </w:r>
      <w:r w:rsidR="00402010" w:rsidRPr="00F163BC">
        <w:t> klātbūtne uz ceļiem ir bieds transportlīdzekļu vadītājiem, jo liek viņiem samazināt ātrumu, lai izvairītos no soda.</w:t>
      </w:r>
      <w:r w:rsidR="00402010" w:rsidRPr="00F163BC">
        <w:rPr>
          <w:sz w:val="21"/>
          <w:szCs w:val="21"/>
        </w:rPr>
        <w:t xml:space="preserve"> </w:t>
      </w:r>
      <w:r w:rsidRPr="00F163BC">
        <w:t>Šo</w:t>
      </w:r>
      <w:r w:rsidR="00E553F9" w:rsidRPr="00F163BC">
        <w:t xml:space="preserve">brīd kopumā VP </w:t>
      </w:r>
      <w:r w:rsidR="00605E2E" w:rsidRPr="00F163BC">
        <w:t>ir vakantas</w:t>
      </w:r>
      <w:proofErr w:type="gramStart"/>
      <w:r w:rsidR="00605E2E" w:rsidRPr="00F163BC">
        <w:t xml:space="preserve">  </w:t>
      </w:r>
      <w:proofErr w:type="gramEnd"/>
      <w:r w:rsidR="00E553F9" w:rsidRPr="00F163BC">
        <w:t>aptuveni 14 % amata viet</w:t>
      </w:r>
      <w:r w:rsidR="00605E2E" w:rsidRPr="00F163BC">
        <w:t>u</w:t>
      </w:r>
      <w:r w:rsidRPr="00F163BC">
        <w:t>, bet</w:t>
      </w:r>
      <w:r w:rsidR="00E553F9" w:rsidRPr="00F163BC">
        <w:t xml:space="preserve"> ceļu satiksmes drošības uzraudzības jomā</w:t>
      </w:r>
      <w:r w:rsidRPr="00F163BC">
        <w:t xml:space="preserve"> </w:t>
      </w:r>
      <w:r w:rsidR="00E553F9" w:rsidRPr="00F163BC">
        <w:t xml:space="preserve"> - </w:t>
      </w:r>
      <w:r w:rsidR="008626B4" w:rsidRPr="00F163BC">
        <w:t xml:space="preserve">18 </w:t>
      </w:r>
      <w:r w:rsidR="00402010" w:rsidRPr="00F163BC">
        <w:t>%, kas ir par 3 % vairāk kā 2018.gada sākumā</w:t>
      </w:r>
      <w:r w:rsidR="008626B4" w:rsidRPr="00F163BC">
        <w:t xml:space="preserve">. Savukārt VP Rīgas reģionā ceļu satiksmes uzraudzības jomā iesaistīto darbinieku trūkums uz šo brīdi sastāda 30 </w:t>
      </w:r>
      <w:r w:rsidR="00402010" w:rsidRPr="00F163BC">
        <w:t>%, kas ir par 6 % vairāk kā 2018.gada sākumā</w:t>
      </w:r>
      <w:r w:rsidR="008626B4" w:rsidRPr="00F163BC">
        <w:t>.</w:t>
      </w:r>
      <w:r w:rsidR="008626B4" w:rsidRPr="00F163BC">
        <w:rPr>
          <w:rStyle w:val="FootnoteReference"/>
        </w:rPr>
        <w:footnoteReference w:id="4"/>
      </w:r>
      <w:r w:rsidR="008626B4" w:rsidRPr="00F163BC">
        <w:t xml:space="preserve"> </w:t>
      </w:r>
      <w:r w:rsidRPr="00F163BC">
        <w:t xml:space="preserve">Tieši Rīgas reģionā 2018.gadā gājuši </w:t>
      </w:r>
      <w:r w:rsidR="00E74204" w:rsidRPr="00F163BC">
        <w:t xml:space="preserve">bojā </w:t>
      </w:r>
      <w:r w:rsidR="00F52356" w:rsidRPr="00F163BC">
        <w:t>visvairāk cilvēku – 55</w:t>
      </w:r>
      <w:r w:rsidR="00DF1D62" w:rsidRPr="00F163BC">
        <w:t xml:space="preserve"> no 148</w:t>
      </w:r>
      <w:r w:rsidRPr="00F163BC">
        <w:t xml:space="preserve"> valstī ko</w:t>
      </w:r>
      <w:r w:rsidR="00F52356" w:rsidRPr="00F163BC">
        <w:t>pumā bojāgājušajiem, proti, 37</w:t>
      </w:r>
      <w:r w:rsidRPr="00F163BC">
        <w:t xml:space="preserve"> %</w:t>
      </w:r>
      <w:r w:rsidR="008626B4" w:rsidRPr="00F163BC">
        <w:t xml:space="preserve"> </w:t>
      </w:r>
      <w:r w:rsidR="00E74204" w:rsidRPr="00F163BC">
        <w:t>.</w:t>
      </w:r>
    </w:p>
    <w:p w14:paraId="12B978A2" w14:textId="77777777" w:rsidR="00B15A91" w:rsidRPr="00F163BC" w:rsidRDefault="00CC1E9D" w:rsidP="001E31B4">
      <w:pPr>
        <w:pStyle w:val="NormalWeb"/>
        <w:spacing w:before="0" w:beforeAutospacing="0" w:after="0" w:afterAutospacing="0"/>
        <w:ind w:firstLine="720"/>
        <w:jc w:val="right"/>
        <w:rPr>
          <w:lang w:val="lv-LV"/>
        </w:rPr>
      </w:pPr>
      <w:r w:rsidRPr="00F163BC">
        <w:rPr>
          <w:bCs/>
          <w:lang w:val="lv-LV"/>
        </w:rPr>
        <w:t>8.attēls</w:t>
      </w:r>
      <w:r w:rsidR="00B15A91" w:rsidRPr="00F163BC">
        <w:rPr>
          <w:noProof/>
          <w:lang w:val="lv-LV"/>
        </w:rPr>
        <w:drawing>
          <wp:inline distT="0" distB="0" distL="0" distR="0" wp14:anchorId="21550FDC" wp14:editId="574E1D93">
            <wp:extent cx="5347411" cy="2414016"/>
            <wp:effectExtent l="0" t="0" r="571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559C4A" w14:textId="77777777" w:rsidR="00C15ECB" w:rsidRPr="00F163BC" w:rsidRDefault="00C15ECB" w:rsidP="00D65830">
      <w:pPr>
        <w:ind w:firstLine="720"/>
        <w:jc w:val="both"/>
      </w:pPr>
    </w:p>
    <w:p w14:paraId="1F59C0FD" w14:textId="77777777" w:rsidR="0073190F" w:rsidRPr="00F163BC" w:rsidRDefault="0073190F" w:rsidP="00F8586B">
      <w:pPr>
        <w:pStyle w:val="NormalWeb"/>
        <w:spacing w:before="0" w:beforeAutospacing="0" w:after="0" w:afterAutospacing="0"/>
        <w:ind w:firstLine="720"/>
        <w:jc w:val="both"/>
        <w:rPr>
          <w:lang w:val="lv-LV"/>
        </w:rPr>
      </w:pPr>
    </w:p>
    <w:p w14:paraId="514D785C" w14:textId="77777777" w:rsidR="00F8586B" w:rsidRPr="00F163BC" w:rsidRDefault="00F8586B" w:rsidP="00F8586B">
      <w:pPr>
        <w:pStyle w:val="NormalWeb"/>
        <w:spacing w:before="0" w:beforeAutospacing="0" w:after="0" w:afterAutospacing="0"/>
        <w:ind w:firstLine="720"/>
        <w:jc w:val="both"/>
        <w:rPr>
          <w:lang w:val="lv-LV"/>
        </w:rPr>
      </w:pPr>
      <w:r w:rsidRPr="00F163BC">
        <w:rPr>
          <w:lang w:val="lv-LV"/>
        </w:rPr>
        <w:t xml:space="preserve">Fotoradaru atrašanās vietas un to darbības rezultāti laika posmā no uzstādīšanas brīža līdz </w:t>
      </w:r>
      <w:proofErr w:type="gramStart"/>
      <w:r w:rsidR="00EE1FC3" w:rsidRPr="00F163BC">
        <w:rPr>
          <w:lang w:val="lv-LV"/>
        </w:rPr>
        <w:t>2018.gada</w:t>
      </w:r>
      <w:proofErr w:type="gramEnd"/>
      <w:r w:rsidR="00EE1FC3" w:rsidRPr="00F163BC">
        <w:rPr>
          <w:lang w:val="lv-LV"/>
        </w:rPr>
        <w:t xml:space="preserve"> 31.decembrim</w:t>
      </w:r>
      <w:r w:rsidRPr="00F163BC">
        <w:rPr>
          <w:lang w:val="lv-LV"/>
        </w:rPr>
        <w:t xml:space="preserve"> atspoguļoti</w:t>
      </w:r>
      <w:r w:rsidR="00985CA2" w:rsidRPr="00F163BC">
        <w:rPr>
          <w:lang w:val="lv-LV"/>
        </w:rPr>
        <w:t xml:space="preserve"> </w:t>
      </w:r>
      <w:r w:rsidR="00FD0090" w:rsidRPr="00F163BC">
        <w:rPr>
          <w:lang w:val="lv-LV"/>
        </w:rPr>
        <w:t>1</w:t>
      </w:r>
      <w:r w:rsidR="00985CA2" w:rsidRPr="00F163BC">
        <w:rPr>
          <w:lang w:val="lv-LV"/>
        </w:rPr>
        <w:t>.</w:t>
      </w:r>
      <w:r w:rsidRPr="00F163BC">
        <w:rPr>
          <w:lang w:val="lv-LV"/>
        </w:rPr>
        <w:t xml:space="preserve"> pielikumā. </w:t>
      </w:r>
    </w:p>
    <w:p w14:paraId="240F4215" w14:textId="77777777" w:rsidR="00540318" w:rsidRPr="00F163BC" w:rsidRDefault="00540318" w:rsidP="00874248">
      <w:pPr>
        <w:ind w:firstLine="720"/>
        <w:jc w:val="both"/>
        <w:rPr>
          <w:rFonts w:eastAsiaTheme="minorHAnsi"/>
          <w:lang w:eastAsia="en-US"/>
        </w:rPr>
      </w:pPr>
      <w:r w:rsidRPr="00F163BC">
        <w:rPr>
          <w:rFonts w:eastAsiaTheme="minorHAnsi"/>
          <w:lang w:eastAsia="en-US"/>
        </w:rPr>
        <w:t xml:space="preserve">Izstrādājot un izvēloties </w:t>
      </w:r>
      <w:r w:rsidR="007165CE" w:rsidRPr="00F163BC">
        <w:rPr>
          <w:rFonts w:eastAsiaTheme="minorHAnsi"/>
          <w:lang w:eastAsia="en-US"/>
        </w:rPr>
        <w:t>foto</w:t>
      </w:r>
      <w:r w:rsidRPr="00F163BC">
        <w:rPr>
          <w:rFonts w:eastAsiaTheme="minorHAnsi"/>
          <w:lang w:eastAsia="en-US"/>
        </w:rPr>
        <w:t>radaru atrašanās vietas</w:t>
      </w:r>
      <w:r w:rsidR="007165CE" w:rsidRPr="00F163BC">
        <w:rPr>
          <w:rFonts w:eastAsiaTheme="minorHAnsi"/>
          <w:lang w:eastAsia="en-US"/>
        </w:rPr>
        <w:t>,</w:t>
      </w:r>
      <w:r w:rsidR="00F778DC" w:rsidRPr="00F163BC">
        <w:rPr>
          <w:rFonts w:eastAsiaTheme="minorHAnsi"/>
          <w:lang w:eastAsia="en-US"/>
        </w:rPr>
        <w:t xml:space="preserve"> atbilstoši </w:t>
      </w:r>
      <w:r w:rsidR="00CC1E9D" w:rsidRPr="00F163BC">
        <w:rPr>
          <w:rFonts w:eastAsiaTheme="minorHAnsi"/>
          <w:lang w:eastAsia="en-US"/>
        </w:rPr>
        <w:t xml:space="preserve">Ministru kabineta </w:t>
      </w:r>
      <w:proofErr w:type="gramStart"/>
      <w:r w:rsidR="00F778DC" w:rsidRPr="00F163BC">
        <w:rPr>
          <w:rFonts w:eastAsiaTheme="minorHAnsi"/>
          <w:lang w:eastAsia="en-US"/>
        </w:rPr>
        <w:t>2014.gada</w:t>
      </w:r>
      <w:proofErr w:type="gramEnd"/>
      <w:r w:rsidR="00F778DC" w:rsidRPr="00F163BC">
        <w:rPr>
          <w:rFonts w:eastAsiaTheme="minorHAnsi"/>
          <w:lang w:eastAsia="en-US"/>
        </w:rPr>
        <w:t xml:space="preserve"> 15.aprīļa noteikumu Nr.200 “Tehnisko līdzekļu (</w:t>
      </w:r>
      <w:proofErr w:type="spellStart"/>
      <w:r w:rsidR="00F778DC" w:rsidRPr="00F163BC">
        <w:rPr>
          <w:rFonts w:eastAsiaTheme="minorHAnsi"/>
          <w:lang w:eastAsia="en-US"/>
        </w:rPr>
        <w:t>fotoiekārtu</w:t>
      </w:r>
      <w:proofErr w:type="spellEnd"/>
      <w:r w:rsidR="00F778DC" w:rsidRPr="00F163BC">
        <w:rPr>
          <w:rFonts w:eastAsiaTheme="minorHAnsi"/>
          <w:lang w:eastAsia="en-US"/>
        </w:rPr>
        <w:t xml:space="preserve"> vai videoiekārtu) izmantošanas kārtība” noteiktajām prasībām</w:t>
      </w:r>
      <w:r w:rsidRPr="00F163BC">
        <w:rPr>
          <w:rFonts w:eastAsiaTheme="minorHAnsi"/>
          <w:lang w:eastAsia="en-US"/>
        </w:rPr>
        <w:t xml:space="preserve">, analizēta un ņemta vērā gan citu valstu pieredze, gan līdzšinējie ceļu satiksmes dati un faktori Latvijā: </w:t>
      </w:r>
    </w:p>
    <w:p w14:paraId="7866DF3D" w14:textId="77777777" w:rsidR="00540318" w:rsidRPr="00F163BC" w:rsidRDefault="00540318" w:rsidP="00874248">
      <w:pPr>
        <w:ind w:firstLine="720"/>
        <w:jc w:val="both"/>
        <w:rPr>
          <w:rFonts w:eastAsiaTheme="minorHAnsi"/>
          <w:lang w:eastAsia="en-US"/>
        </w:rPr>
      </w:pPr>
      <w:r w:rsidRPr="00F163BC">
        <w:rPr>
          <w:rFonts w:eastAsiaTheme="minorHAnsi"/>
          <w:lang w:eastAsia="en-US"/>
        </w:rPr>
        <w:t>- ceļu satiksmes negadījumu analīze (negadījumu, cietušo un bojāgājušo skaits konkrētajā vietā);</w:t>
      </w:r>
    </w:p>
    <w:p w14:paraId="1D8F2F88" w14:textId="77777777" w:rsidR="00540318" w:rsidRPr="00F163BC" w:rsidRDefault="00540318" w:rsidP="00874248">
      <w:pPr>
        <w:ind w:firstLine="720"/>
        <w:jc w:val="both"/>
        <w:rPr>
          <w:rFonts w:eastAsiaTheme="minorHAnsi"/>
          <w:lang w:eastAsia="en-US"/>
        </w:rPr>
      </w:pPr>
      <w:r w:rsidRPr="00F163BC">
        <w:rPr>
          <w:rFonts w:eastAsiaTheme="minorHAnsi"/>
          <w:lang w:eastAsia="en-US"/>
        </w:rPr>
        <w:t>- ceļa posma funkcionālā nozīme satiksmē;</w:t>
      </w:r>
    </w:p>
    <w:p w14:paraId="191F3E5D" w14:textId="77777777" w:rsidR="00540318" w:rsidRPr="00F163BC" w:rsidRDefault="00540318" w:rsidP="00874248">
      <w:pPr>
        <w:ind w:firstLine="720"/>
        <w:jc w:val="both"/>
        <w:rPr>
          <w:rFonts w:eastAsiaTheme="minorHAnsi"/>
          <w:lang w:eastAsia="en-US"/>
        </w:rPr>
      </w:pPr>
      <w:r w:rsidRPr="00F163BC">
        <w:rPr>
          <w:rFonts w:eastAsiaTheme="minorHAnsi"/>
          <w:lang w:eastAsia="en-US"/>
        </w:rPr>
        <w:t>- potenciālā braukšanas ātruma pārsniegšanas rezultātā radītais apdraudējums citiem satiksmes dalībniekiem</w:t>
      </w:r>
      <w:proofErr w:type="gramStart"/>
      <w:r w:rsidRPr="00F163BC">
        <w:rPr>
          <w:rFonts w:eastAsiaTheme="minorHAnsi"/>
          <w:lang w:eastAsia="en-US"/>
        </w:rPr>
        <w:t xml:space="preserve"> ;</w:t>
      </w:r>
      <w:proofErr w:type="gramEnd"/>
    </w:p>
    <w:p w14:paraId="5EA833F9" w14:textId="77777777" w:rsidR="00B73A0F" w:rsidRPr="00F163BC" w:rsidRDefault="00540318" w:rsidP="00874248">
      <w:pPr>
        <w:ind w:firstLine="720"/>
        <w:jc w:val="both"/>
        <w:rPr>
          <w:rFonts w:eastAsiaTheme="minorHAnsi"/>
          <w:lang w:eastAsia="en-US"/>
        </w:rPr>
      </w:pPr>
      <w:r w:rsidRPr="00F163BC">
        <w:rPr>
          <w:rFonts w:eastAsiaTheme="minorHAnsi"/>
          <w:lang w:eastAsia="en-US"/>
        </w:rPr>
        <w:t>- satiksmes intensitāte un raksturīgās braukšanas tendences.</w:t>
      </w:r>
    </w:p>
    <w:p w14:paraId="75DECE84" w14:textId="77777777" w:rsidR="00540318" w:rsidRPr="00F163BC" w:rsidRDefault="00540318" w:rsidP="00874248">
      <w:pPr>
        <w:ind w:firstLine="720"/>
        <w:jc w:val="both"/>
        <w:rPr>
          <w:rFonts w:eastAsiaTheme="minorHAnsi"/>
          <w:lang w:eastAsia="en-US"/>
        </w:rPr>
      </w:pPr>
      <w:r w:rsidRPr="00F163BC">
        <w:rPr>
          <w:rFonts w:eastAsiaTheme="minorHAnsi"/>
          <w:lang w:eastAsia="en-US"/>
        </w:rPr>
        <w:t>Vietas izvēlētas un saskaņotas, sadarbojoties CSDD un satiksmes drošībā un satiksmes organizācijā iesaistītajām atbildīgajām institūcijām –</w:t>
      </w:r>
      <w:r w:rsidR="003D7DEC" w:rsidRPr="00F163BC">
        <w:rPr>
          <w:rFonts w:eastAsiaTheme="minorHAnsi"/>
          <w:lang w:eastAsia="en-US"/>
        </w:rPr>
        <w:t xml:space="preserve"> VP</w:t>
      </w:r>
      <w:r w:rsidRPr="00F163BC">
        <w:rPr>
          <w:rFonts w:eastAsiaTheme="minorHAnsi"/>
          <w:lang w:eastAsia="en-US"/>
        </w:rPr>
        <w:t>, VAS „Latvijas Valsts ceļi”</w:t>
      </w:r>
      <w:r w:rsidR="007165CE" w:rsidRPr="00F163BC">
        <w:rPr>
          <w:rFonts w:eastAsiaTheme="minorHAnsi"/>
          <w:lang w:eastAsia="en-US"/>
        </w:rPr>
        <w:t>, pašvaldībām</w:t>
      </w:r>
      <w:r w:rsidRPr="00F163BC">
        <w:rPr>
          <w:rFonts w:eastAsiaTheme="minorHAnsi"/>
          <w:lang w:eastAsia="en-US"/>
        </w:rPr>
        <w:t xml:space="preserve"> un Rīgas domes Satiksmes departamentam, kā arī sadarbībā ar satiksmes drošības ekspertiem.</w:t>
      </w:r>
    </w:p>
    <w:p w14:paraId="7FA58FD7" w14:textId="77777777" w:rsidR="0073190F" w:rsidRPr="00F163BC" w:rsidRDefault="00F8586B" w:rsidP="00F8586B">
      <w:pPr>
        <w:pStyle w:val="NormalWeb"/>
        <w:spacing w:before="0" w:beforeAutospacing="0" w:after="0" w:afterAutospacing="0"/>
        <w:ind w:firstLine="720"/>
        <w:jc w:val="both"/>
        <w:rPr>
          <w:lang w:val="lv-LV"/>
        </w:rPr>
      </w:pPr>
      <w:r w:rsidRPr="00F163BC">
        <w:rPr>
          <w:lang w:val="lv-LV"/>
        </w:rPr>
        <w:lastRenderedPageBreak/>
        <w:t xml:space="preserve">Ceļa posmos, kuros </w:t>
      </w:r>
      <w:r w:rsidR="009E5DF0" w:rsidRPr="00F163BC">
        <w:rPr>
          <w:lang w:val="lv-LV"/>
        </w:rPr>
        <w:t xml:space="preserve">šobrīd darbojas </w:t>
      </w:r>
      <w:r w:rsidRPr="00F163BC">
        <w:rPr>
          <w:lang w:val="lv-LV"/>
        </w:rPr>
        <w:t xml:space="preserve">fotoradari, </w:t>
      </w:r>
      <w:r w:rsidR="00BC026A" w:rsidRPr="00F163BC">
        <w:rPr>
          <w:lang w:val="lv-LV"/>
        </w:rPr>
        <w:t xml:space="preserve">no </w:t>
      </w:r>
      <w:proofErr w:type="gramStart"/>
      <w:r w:rsidR="00BC026A" w:rsidRPr="00F163BC">
        <w:rPr>
          <w:lang w:val="lv-LV"/>
        </w:rPr>
        <w:t>2012.gada</w:t>
      </w:r>
      <w:proofErr w:type="gramEnd"/>
      <w:r w:rsidR="00BC026A" w:rsidRPr="00F163BC">
        <w:rPr>
          <w:lang w:val="lv-LV"/>
        </w:rPr>
        <w:t xml:space="preserve"> līdz fotoradaru uzstādīšanas brīdim satiksmes negadījumos</w:t>
      </w:r>
      <w:r w:rsidR="009E5DF0" w:rsidRPr="00F163BC">
        <w:rPr>
          <w:lang w:val="lv-LV"/>
        </w:rPr>
        <w:t xml:space="preserve"> bojā gājuši </w:t>
      </w:r>
      <w:r w:rsidR="003D0137" w:rsidRPr="00F163BC">
        <w:rPr>
          <w:lang w:val="lv-LV"/>
        </w:rPr>
        <w:t xml:space="preserve">32 </w:t>
      </w:r>
      <w:r w:rsidR="009E5DF0" w:rsidRPr="00F163BC">
        <w:rPr>
          <w:lang w:val="lv-LV"/>
        </w:rPr>
        <w:t>cilvēki.</w:t>
      </w:r>
      <w:r w:rsidR="00BC026A" w:rsidRPr="00F163BC">
        <w:rPr>
          <w:lang w:val="lv-LV"/>
        </w:rPr>
        <w:t xml:space="preserve"> Pēc fotoradaru ieviešanas attiecīgajos ceļa posmos </w:t>
      </w:r>
      <w:r w:rsidR="0073190F" w:rsidRPr="00F163BC">
        <w:rPr>
          <w:lang w:val="lv-LV"/>
        </w:rPr>
        <w:t>notikuši četri</w:t>
      </w:r>
      <w:r w:rsidRPr="00F163BC">
        <w:rPr>
          <w:lang w:val="lv-LV"/>
        </w:rPr>
        <w:t xml:space="preserve"> ceļu satiksmes negadījum</w:t>
      </w:r>
      <w:r w:rsidR="0073190F" w:rsidRPr="00F163BC">
        <w:rPr>
          <w:lang w:val="lv-LV"/>
        </w:rPr>
        <w:t>i</w:t>
      </w:r>
      <w:r w:rsidR="00BC026A" w:rsidRPr="00F163BC">
        <w:rPr>
          <w:lang w:val="lv-LV"/>
        </w:rPr>
        <w:t xml:space="preserve">, </w:t>
      </w:r>
      <w:r w:rsidR="003D0137" w:rsidRPr="00F163BC">
        <w:rPr>
          <w:lang w:val="lv-LV"/>
        </w:rPr>
        <w:t>kur</w:t>
      </w:r>
      <w:r w:rsidR="0073190F" w:rsidRPr="00F163BC">
        <w:rPr>
          <w:lang w:val="lv-LV"/>
        </w:rPr>
        <w:t>os</w:t>
      </w:r>
      <w:r w:rsidR="003D0137" w:rsidRPr="00F163BC">
        <w:rPr>
          <w:lang w:val="lv-LV"/>
        </w:rPr>
        <w:t xml:space="preserve"> bojā gājuši 4 cilvēki</w:t>
      </w:r>
      <w:r w:rsidRPr="00F163BC">
        <w:rPr>
          <w:lang w:val="lv-LV"/>
        </w:rPr>
        <w:t xml:space="preserve">. </w:t>
      </w:r>
      <w:r w:rsidR="00BC026A" w:rsidRPr="00F163BC">
        <w:rPr>
          <w:lang w:val="lv-LV"/>
        </w:rPr>
        <w:t>A</w:t>
      </w:r>
      <w:r w:rsidRPr="00F163BC">
        <w:rPr>
          <w:lang w:val="lv-LV"/>
        </w:rPr>
        <w:t xml:space="preserve">tsevišķos “melnajos punktos”, kuros uzstādīti fotoradari, vairs nav fiksēts neviens satiksmes negadījums ar </w:t>
      </w:r>
      <w:r w:rsidR="00BC026A" w:rsidRPr="00F163BC">
        <w:rPr>
          <w:lang w:val="lv-LV"/>
        </w:rPr>
        <w:t>cietušajiem.</w:t>
      </w:r>
    </w:p>
    <w:p w14:paraId="0D8C2EE8" w14:textId="77777777" w:rsidR="0073190F" w:rsidRPr="00F163BC" w:rsidRDefault="00F8586B" w:rsidP="0073190F">
      <w:pPr>
        <w:ind w:firstLine="720"/>
        <w:jc w:val="both"/>
      </w:pPr>
      <w:r w:rsidRPr="00F163BC">
        <w:rPr>
          <w:i/>
        </w:rPr>
        <w:t xml:space="preserve"> </w:t>
      </w:r>
      <w:r w:rsidR="0073190F" w:rsidRPr="00F163BC">
        <w:t xml:space="preserve">Līdz ar fotoradaru ieviešanu būtisks bojāgājušo skaita samazinājums vērojams tieši Vidzemes reģionā. Kopš fotoradaru ieviešanas Vidzemes reģionā ceļu satiksmes negadījumos bojāgājušo skaits ik gadu pakāpeniski samazinās, un </w:t>
      </w:r>
      <w:proofErr w:type="gramStart"/>
      <w:r w:rsidR="0073190F" w:rsidRPr="00F163BC">
        <w:t>2018.gadam</w:t>
      </w:r>
      <w:proofErr w:type="gramEnd"/>
      <w:r w:rsidR="0073190F" w:rsidRPr="00F163BC">
        <w:t xml:space="preserve"> noslēdzoties bojāgājušo skaits, salīdzinot ar 2015.gadu, samazinājies par pusi, proti, 50 %. Pārējos reģionos bojāgājušo skaita samazinājums nav tik ievērojams – Rīgas reģionā 20 %, Kurzemes reģionā 19 % un Latgales reģionā 15 %. Savukārt, Zemgales reģionā</w:t>
      </w:r>
      <w:proofErr w:type="gramStart"/>
      <w:r w:rsidR="0073190F" w:rsidRPr="00F163BC">
        <w:t xml:space="preserve">  </w:t>
      </w:r>
      <w:proofErr w:type="gramEnd"/>
      <w:r w:rsidR="0073190F" w:rsidRPr="00F163BC">
        <w:t>pēc fotoradaru ieviešanas sākotnēji bija vērojama pozitīva tendence, proti,  bojāgājušo skaits pakāpeniski samazinājās, taču 2018.gadā atkal pieauga.</w:t>
      </w:r>
    </w:p>
    <w:p w14:paraId="55F0413D" w14:textId="77777777" w:rsidR="00F8586B" w:rsidRPr="00F163BC" w:rsidRDefault="00F8586B" w:rsidP="00D65830">
      <w:pPr>
        <w:ind w:firstLine="720"/>
        <w:jc w:val="both"/>
      </w:pPr>
    </w:p>
    <w:p w14:paraId="7D039B85" w14:textId="77777777" w:rsidR="00047234" w:rsidRPr="00F163BC" w:rsidRDefault="00047234" w:rsidP="00047234">
      <w:pPr>
        <w:ind w:firstLine="720"/>
        <w:jc w:val="both"/>
        <w:rPr>
          <w:rFonts w:eastAsia="Calibri"/>
          <w:lang w:eastAsia="en-US"/>
        </w:rPr>
      </w:pPr>
      <w:r w:rsidRPr="00F163BC">
        <w:rPr>
          <w:rFonts w:eastAsia="Calibri"/>
          <w:lang w:eastAsia="en-US"/>
        </w:rPr>
        <w:t xml:space="preserve">Jāatzīmē, ka fotoradaru ieviešana nav vienīgais faktors, kas pozitīvi ietekmē satiksmes drošības stāvokļa izmaiņas. </w:t>
      </w:r>
      <w:proofErr w:type="gramStart"/>
      <w:r w:rsidRPr="00F163BC">
        <w:rPr>
          <w:rFonts w:eastAsia="Calibri"/>
          <w:lang w:eastAsia="en-US"/>
        </w:rPr>
        <w:t>2015.gada</w:t>
      </w:r>
      <w:proofErr w:type="gramEnd"/>
      <w:r w:rsidRPr="00F163BC">
        <w:rPr>
          <w:rFonts w:eastAsia="Calibri"/>
          <w:lang w:eastAsia="en-US"/>
        </w:rPr>
        <w:t xml:space="preserve"> 2.jūlijā stājās spēkā grozījumi Latvijas Administratīvo p</w:t>
      </w:r>
      <w:r w:rsidR="00882034" w:rsidRPr="00F163BC">
        <w:rPr>
          <w:rFonts w:eastAsia="Calibri"/>
          <w:lang w:eastAsia="en-US"/>
        </w:rPr>
        <w:t xml:space="preserve">ārkāpumu kodeksa (turpmāk-LAPK) </w:t>
      </w:r>
      <w:r w:rsidRPr="00F163BC">
        <w:rPr>
          <w:rFonts w:eastAsia="Calibri"/>
          <w:lang w:eastAsia="en-US"/>
        </w:rPr>
        <w:t>149.</w:t>
      </w:r>
      <w:r w:rsidRPr="00F163BC">
        <w:rPr>
          <w:rFonts w:eastAsia="Calibri"/>
          <w:vertAlign w:val="superscript"/>
          <w:lang w:eastAsia="en-US"/>
        </w:rPr>
        <w:t>8</w:t>
      </w:r>
      <w:r w:rsidRPr="00F163BC">
        <w:rPr>
          <w:rFonts w:eastAsia="Calibri"/>
          <w:lang w:eastAsia="en-US"/>
        </w:rPr>
        <w:t xml:space="preserve">pantā, kuri paredz augstākas soda sankcijas par atļautā braukšanas ātruma pārsniegšanu. Lielākoties ar pieņemtajiem grozījumiem sodi par ātruma pārsniegšanu, tika palielināti (dubultoti), būtiski paaugstinot sodus par lielākiem ātruma pārkāpumiem (ātruma pārsniegšanu par 41 km/h virs atļautā). Vien par atļautā braukšanas ātruma pārsniegšanu līdz 10 km/h jaunā kārtība noteica sodu samazinājumu, vieglo automobiļu vadītājiem paredzot tikai brīdinājumu, savukārt kravas automobiļu vadītājiem brīdinājumu vai naudas sodu 10 </w:t>
      </w:r>
      <w:r w:rsidRPr="00F163BC">
        <w:rPr>
          <w:rFonts w:eastAsia="Calibri"/>
          <w:i/>
          <w:lang w:eastAsia="en-US"/>
        </w:rPr>
        <w:t xml:space="preserve">euro </w:t>
      </w:r>
      <w:r w:rsidRPr="00F163BC">
        <w:rPr>
          <w:rFonts w:eastAsia="Calibri"/>
          <w:lang w:eastAsia="en-US"/>
        </w:rPr>
        <w:t>apmērā. Līdz grozījumu pieņemšana</w:t>
      </w:r>
      <w:r w:rsidR="00CC1E9D" w:rsidRPr="00F163BC">
        <w:rPr>
          <w:rFonts w:eastAsia="Calibri"/>
          <w:lang w:eastAsia="en-US"/>
        </w:rPr>
        <w:t>i</w:t>
      </w:r>
      <w:r w:rsidRPr="00F163BC">
        <w:rPr>
          <w:rFonts w:eastAsia="Calibri"/>
          <w:lang w:eastAsia="en-US"/>
        </w:rPr>
        <w:t xml:space="preserve"> par šādu pārkāpumu bija paredzēts brīdinājums vai naudas sods attiecīgi 7 vai 15 </w:t>
      </w:r>
      <w:r w:rsidRPr="00F163BC">
        <w:rPr>
          <w:rFonts w:eastAsia="Calibri"/>
          <w:i/>
          <w:lang w:eastAsia="en-US"/>
        </w:rPr>
        <w:t>euro</w:t>
      </w:r>
      <w:r w:rsidRPr="00F163BC">
        <w:rPr>
          <w:rFonts w:eastAsia="Calibri"/>
          <w:lang w:eastAsia="en-US"/>
        </w:rPr>
        <w:t>.</w:t>
      </w:r>
    </w:p>
    <w:p w14:paraId="0E723FC5" w14:textId="77777777" w:rsidR="00882034" w:rsidRPr="00F163BC" w:rsidRDefault="00047234" w:rsidP="00047234">
      <w:pPr>
        <w:spacing w:after="160" w:line="256" w:lineRule="auto"/>
        <w:ind w:firstLine="720"/>
        <w:jc w:val="both"/>
        <w:rPr>
          <w:rFonts w:eastAsia="Calibri"/>
          <w:lang w:eastAsia="en-US"/>
        </w:rPr>
      </w:pPr>
      <w:r w:rsidRPr="00F163BC">
        <w:rPr>
          <w:rFonts w:eastAsia="Calibri"/>
          <w:lang w:eastAsia="en-US"/>
        </w:rPr>
        <w:t xml:space="preserve">Tādējādi, ja līdz </w:t>
      </w:r>
      <w:proofErr w:type="gramStart"/>
      <w:r w:rsidRPr="00F163BC">
        <w:rPr>
          <w:rFonts w:eastAsia="Calibri"/>
          <w:lang w:eastAsia="en-US"/>
        </w:rPr>
        <w:t>2015.gada</w:t>
      </w:r>
      <w:proofErr w:type="gramEnd"/>
      <w:r w:rsidRPr="00F163BC">
        <w:rPr>
          <w:rFonts w:eastAsia="Calibri"/>
          <w:lang w:eastAsia="en-US"/>
        </w:rPr>
        <w:t xml:space="preserve"> jūlijam Latvijā sodi par ātruma pārsniegšanu bija mazākie Eiropā, pēc grozījumu izdarīšanas sodu apmērs ne tikai būtiski pārsniedza Lietuvā, kuras naudas sodu politika par atļautā braukšanas pārkāpumiem ir </w:t>
      </w:r>
      <w:r w:rsidR="00CC1E9D" w:rsidRPr="00F163BC">
        <w:rPr>
          <w:rFonts w:eastAsia="Calibri"/>
          <w:lang w:eastAsia="en-US"/>
        </w:rPr>
        <w:t>“</w:t>
      </w:r>
      <w:r w:rsidRPr="00F163BC">
        <w:rPr>
          <w:rFonts w:eastAsia="Calibri"/>
          <w:lang w:eastAsia="en-US"/>
        </w:rPr>
        <w:t>vispielaidīgākā</w:t>
      </w:r>
      <w:r w:rsidR="00CC1E9D" w:rsidRPr="00F163BC">
        <w:rPr>
          <w:rFonts w:eastAsia="Calibri"/>
          <w:lang w:eastAsia="en-US"/>
        </w:rPr>
        <w:t>”</w:t>
      </w:r>
      <w:r w:rsidRPr="00F163BC">
        <w:rPr>
          <w:rFonts w:eastAsia="Calibri"/>
          <w:lang w:eastAsia="en-US"/>
        </w:rPr>
        <w:t xml:space="preserve">,  noteiktos sodus, bet arī pārsniedza Igaunijā noteiktos </w:t>
      </w:r>
      <w:r w:rsidR="00CC1E9D" w:rsidRPr="00F163BC">
        <w:rPr>
          <w:rFonts w:eastAsia="Calibri"/>
          <w:lang w:eastAsia="en-US"/>
        </w:rPr>
        <w:t>“</w:t>
      </w:r>
      <w:r w:rsidRPr="00F163BC">
        <w:rPr>
          <w:rFonts w:eastAsia="Calibri"/>
          <w:lang w:eastAsia="en-US"/>
        </w:rPr>
        <w:t>bargos</w:t>
      </w:r>
      <w:r w:rsidR="00CC1E9D" w:rsidRPr="00F163BC">
        <w:rPr>
          <w:rFonts w:eastAsia="Calibri"/>
          <w:lang w:eastAsia="en-US"/>
        </w:rPr>
        <w:t>”</w:t>
      </w:r>
      <w:r w:rsidRPr="00F163BC">
        <w:rPr>
          <w:rFonts w:eastAsia="Calibri"/>
          <w:lang w:eastAsia="en-US"/>
        </w:rPr>
        <w:t xml:space="preserve"> sodus. </w:t>
      </w:r>
    </w:p>
    <w:p w14:paraId="5005252F" w14:textId="77777777" w:rsidR="00047234" w:rsidRPr="00F163BC" w:rsidRDefault="00047234" w:rsidP="00047234">
      <w:pPr>
        <w:spacing w:after="160" w:line="256" w:lineRule="auto"/>
        <w:ind w:firstLine="720"/>
        <w:jc w:val="both"/>
        <w:rPr>
          <w:rFonts w:eastAsia="Calibri"/>
          <w:lang w:eastAsia="en-US"/>
        </w:rPr>
      </w:pPr>
      <w:r w:rsidRPr="00F163BC">
        <w:rPr>
          <w:rFonts w:eastAsia="Calibri"/>
          <w:lang w:eastAsia="en-US"/>
        </w:rPr>
        <w:t>Atšķirībā no Latvijas un Lietuvas</w:t>
      </w:r>
      <w:r w:rsidRPr="00F163BC">
        <w:rPr>
          <w:rFonts w:eastAsia="Calibri"/>
          <w:vertAlign w:val="superscript"/>
          <w:lang w:eastAsia="en-US"/>
        </w:rPr>
        <w:footnoteReference w:id="5"/>
      </w:r>
      <w:r w:rsidRPr="00F163BC">
        <w:rPr>
          <w:rFonts w:eastAsia="Calibri"/>
          <w:lang w:eastAsia="en-US"/>
        </w:rPr>
        <w:t>, kurās administratīvais sods tiek piemērots par atļautā braukšanas ātruma pārsniegšanu 10 km/h robežās (0 – 10 km/h, 11- 20 km/h, 21 – 30 km/h</w:t>
      </w:r>
      <w:r w:rsidR="00CC1E9D" w:rsidRPr="00F163BC">
        <w:rPr>
          <w:rFonts w:eastAsia="Calibri"/>
          <w:lang w:eastAsia="en-US"/>
        </w:rPr>
        <w:t xml:space="preserve"> utt.</w:t>
      </w:r>
      <w:r w:rsidRPr="00F163BC">
        <w:rPr>
          <w:rFonts w:eastAsia="Calibri"/>
          <w:lang w:eastAsia="en-US"/>
        </w:rPr>
        <w:t>), Igaunijā</w:t>
      </w:r>
      <w:r w:rsidRPr="00F163BC">
        <w:rPr>
          <w:rFonts w:eastAsia="Calibri"/>
          <w:vertAlign w:val="superscript"/>
          <w:lang w:eastAsia="en-US"/>
        </w:rPr>
        <w:footnoteReference w:id="6"/>
      </w:r>
      <w:r w:rsidRPr="00F163BC">
        <w:rPr>
          <w:rFonts w:eastAsia="Calibri"/>
          <w:lang w:eastAsia="en-US"/>
        </w:rPr>
        <w:t xml:space="preserve"> piemērojamais naudas sods tiek noteikts, 1 naudas vienību (3 </w:t>
      </w:r>
      <w:r w:rsidRPr="00F163BC">
        <w:rPr>
          <w:rFonts w:eastAsia="Calibri"/>
          <w:i/>
          <w:lang w:eastAsia="en-US"/>
        </w:rPr>
        <w:t>euro</w:t>
      </w:r>
      <w:r w:rsidRPr="00F163BC">
        <w:rPr>
          <w:rFonts w:eastAsia="Calibri"/>
          <w:lang w:eastAsia="en-US"/>
        </w:rPr>
        <w:t xml:space="preserve">) reizinot ar pārsniegto kilometru skaitu.  Tāpat arī Igaunijā, salīdzinot ar abām pārējām Baltijas valstīm, piemērojamo sodu neietekmē transportlīdzekļa, ar kuru izdarīts pārkāpums, veids (vieglais vai kravas transportlīdzeklis </w:t>
      </w:r>
      <w:proofErr w:type="spellStart"/>
      <w:r w:rsidRPr="00F163BC">
        <w:rPr>
          <w:rFonts w:eastAsia="Calibri"/>
          <w:lang w:eastAsia="en-US"/>
        </w:rPr>
        <w:t>utml</w:t>
      </w:r>
      <w:proofErr w:type="spellEnd"/>
      <w:r w:rsidRPr="00F163BC">
        <w:rPr>
          <w:rFonts w:eastAsia="Calibri"/>
          <w:lang w:eastAsia="en-US"/>
        </w:rPr>
        <w:t>.)</w:t>
      </w:r>
    </w:p>
    <w:p w14:paraId="707053E3" w14:textId="77777777" w:rsidR="00CC1E9D" w:rsidRPr="00F163BC" w:rsidRDefault="00047234" w:rsidP="00047234">
      <w:pPr>
        <w:spacing w:after="160" w:line="256" w:lineRule="auto"/>
        <w:ind w:firstLine="720"/>
        <w:jc w:val="both"/>
        <w:rPr>
          <w:rFonts w:eastAsia="Calibri"/>
          <w:lang w:eastAsia="en-US"/>
        </w:rPr>
      </w:pPr>
      <w:r w:rsidRPr="00F163BC">
        <w:rPr>
          <w:rFonts w:eastAsia="Calibri"/>
          <w:lang w:eastAsia="en-US"/>
        </w:rPr>
        <w:t>Salīdzinot Baltijas valstīs piemērojamos sodus, jāatzīst, ka šobrīd</w:t>
      </w:r>
      <w:proofErr w:type="gramStart"/>
      <w:r w:rsidRPr="00F163BC">
        <w:rPr>
          <w:rFonts w:eastAsia="Calibri"/>
          <w:lang w:eastAsia="en-US"/>
        </w:rPr>
        <w:t xml:space="preserve">  </w:t>
      </w:r>
      <w:proofErr w:type="gramEnd"/>
      <w:r w:rsidRPr="00F163BC">
        <w:rPr>
          <w:rFonts w:eastAsia="Calibri"/>
          <w:lang w:eastAsia="en-US"/>
        </w:rPr>
        <w:t>par atļautā braukšanas ātruma pārkāpumiem tieši Latvijā ir bargākie sodi. Sodu palielināšana veicinājusi transportlīdzekļu vadītāju piesardzīgāku uzvedību, piedaloties ceļu satiksmē, pozitīvi ietekmējot ceļu satiksmes drošību kopumā.</w:t>
      </w:r>
    </w:p>
    <w:p w14:paraId="79696A71" w14:textId="77777777" w:rsidR="002C5884" w:rsidRDefault="002C5884" w:rsidP="009B59CA">
      <w:pPr>
        <w:spacing w:line="256" w:lineRule="auto"/>
        <w:ind w:firstLine="720"/>
        <w:jc w:val="right"/>
        <w:rPr>
          <w:rFonts w:eastAsia="Calibri"/>
          <w:lang w:eastAsia="en-US"/>
        </w:rPr>
      </w:pPr>
    </w:p>
    <w:p w14:paraId="5C255F6B" w14:textId="77777777" w:rsidR="002C5884" w:rsidRDefault="002C5884" w:rsidP="009B59CA">
      <w:pPr>
        <w:spacing w:line="256" w:lineRule="auto"/>
        <w:ind w:firstLine="720"/>
        <w:jc w:val="right"/>
        <w:rPr>
          <w:rFonts w:eastAsia="Calibri"/>
          <w:lang w:eastAsia="en-US"/>
        </w:rPr>
      </w:pPr>
    </w:p>
    <w:p w14:paraId="20CA7B24" w14:textId="77777777" w:rsidR="002C5884" w:rsidRDefault="002C5884" w:rsidP="009B59CA">
      <w:pPr>
        <w:spacing w:line="256" w:lineRule="auto"/>
        <w:ind w:firstLine="720"/>
        <w:jc w:val="right"/>
        <w:rPr>
          <w:rFonts w:eastAsia="Calibri"/>
          <w:lang w:eastAsia="en-US"/>
        </w:rPr>
      </w:pPr>
    </w:p>
    <w:p w14:paraId="12E2E3CE" w14:textId="77777777" w:rsidR="002C5884" w:rsidRDefault="002C5884" w:rsidP="009B59CA">
      <w:pPr>
        <w:spacing w:line="256" w:lineRule="auto"/>
        <w:ind w:firstLine="720"/>
        <w:jc w:val="right"/>
        <w:rPr>
          <w:rFonts w:eastAsia="Calibri"/>
          <w:lang w:eastAsia="en-US"/>
        </w:rPr>
      </w:pPr>
    </w:p>
    <w:p w14:paraId="204F272C" w14:textId="77777777" w:rsidR="00047234" w:rsidRPr="00F163BC" w:rsidRDefault="00CC1E9D" w:rsidP="009B59CA">
      <w:pPr>
        <w:spacing w:line="256" w:lineRule="auto"/>
        <w:ind w:firstLine="720"/>
        <w:jc w:val="right"/>
        <w:rPr>
          <w:rFonts w:eastAsia="Calibri"/>
          <w:lang w:eastAsia="en-US"/>
        </w:rPr>
      </w:pPr>
      <w:r w:rsidRPr="00F163BC">
        <w:rPr>
          <w:rFonts w:eastAsia="Calibri"/>
          <w:lang w:eastAsia="en-US"/>
        </w:rPr>
        <w:lastRenderedPageBreak/>
        <w:t>9.attēls</w:t>
      </w:r>
    </w:p>
    <w:tbl>
      <w:tblPr>
        <w:tblStyle w:val="GridTable1Light-Accent3"/>
        <w:tblW w:w="5000" w:type="pct"/>
        <w:tblInd w:w="0" w:type="dxa"/>
        <w:tblLook w:val="04A0" w:firstRow="1" w:lastRow="0" w:firstColumn="1" w:lastColumn="0" w:noHBand="0" w:noVBand="1"/>
      </w:tblPr>
      <w:tblGrid>
        <w:gridCol w:w="1267"/>
        <w:gridCol w:w="1729"/>
        <w:gridCol w:w="3342"/>
        <w:gridCol w:w="1958"/>
      </w:tblGrid>
      <w:tr w:rsidR="00047234" w:rsidRPr="00F163BC" w14:paraId="7C2B4BA9" w14:textId="77777777" w:rsidTr="00047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DBDBDB" w:themeColor="accent3" w:themeTint="66"/>
              <w:left w:val="single" w:sz="4" w:space="0" w:color="DBDBDB" w:themeColor="accent3" w:themeTint="66"/>
              <w:right w:val="single" w:sz="4" w:space="0" w:color="DBDBDB" w:themeColor="accent3" w:themeTint="66"/>
            </w:tcBorders>
          </w:tcPr>
          <w:p w14:paraId="179E98A1"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 xml:space="preserve">Pārskats par administratīvajiem sodiem Baltijas valstīs </w:t>
            </w:r>
          </w:p>
          <w:p w14:paraId="3A522391" w14:textId="77777777" w:rsidR="00047234" w:rsidRPr="00F163BC" w:rsidRDefault="00047234" w:rsidP="00047234">
            <w:pPr>
              <w:jc w:val="center"/>
              <w:rPr>
                <w:rFonts w:eastAsia="Calibri"/>
                <w:b w:val="0"/>
                <w:bCs w:val="0"/>
                <w:sz w:val="20"/>
                <w:szCs w:val="20"/>
                <w:lang w:eastAsia="en-US"/>
              </w:rPr>
            </w:pPr>
            <w:r w:rsidRPr="00F163BC">
              <w:rPr>
                <w:rFonts w:eastAsia="Calibri"/>
                <w:sz w:val="20"/>
                <w:szCs w:val="20"/>
                <w:lang w:eastAsia="en-US"/>
              </w:rPr>
              <w:t>par atļautā braukšanas ātruma pārkāpumiem.</w:t>
            </w:r>
          </w:p>
        </w:tc>
      </w:tr>
      <w:tr w:rsidR="00047234" w:rsidRPr="00F163BC" w14:paraId="056A5406"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right w:val="single" w:sz="4" w:space="0" w:color="DBDBDB" w:themeColor="accent3" w:themeTint="66"/>
            </w:tcBorders>
          </w:tcPr>
          <w:p w14:paraId="2402985E" w14:textId="77777777" w:rsidR="00047234" w:rsidRPr="00F163BC" w:rsidRDefault="00047234" w:rsidP="00047234">
            <w:pPr>
              <w:jc w:val="center"/>
              <w:rPr>
                <w:rFonts w:eastAsia="Calibri"/>
                <w:sz w:val="20"/>
                <w:szCs w:val="20"/>
                <w:lang w:eastAsia="en-US"/>
              </w:rPr>
            </w:pPr>
          </w:p>
        </w:tc>
        <w:tc>
          <w:tcPr>
            <w:tcW w:w="1042" w:type="pct"/>
            <w:tcBorders>
              <w:top w:val="single" w:sz="4" w:space="0" w:color="DBDBDB" w:themeColor="accent3" w:themeTint="66"/>
              <w:left w:val="single" w:sz="4" w:space="0" w:color="DBDBDB" w:themeColor="accent3" w:themeTint="66"/>
              <w:right w:val="single" w:sz="4" w:space="0" w:color="DBDBDB" w:themeColor="accent3" w:themeTint="66"/>
            </w:tcBorders>
            <w:hideMark/>
          </w:tcPr>
          <w:p w14:paraId="129C1F4D"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lang w:eastAsia="en-US"/>
              </w:rPr>
            </w:pPr>
            <w:r w:rsidRPr="00F163BC">
              <w:rPr>
                <w:rFonts w:eastAsia="Calibri"/>
                <w:b/>
                <w:bCs/>
                <w:sz w:val="20"/>
                <w:szCs w:val="20"/>
                <w:lang w:eastAsia="en-US"/>
              </w:rPr>
              <w:t>Igaunija</w:t>
            </w:r>
          </w:p>
        </w:tc>
        <w:tc>
          <w:tcPr>
            <w:tcW w:w="2014" w:type="pct"/>
            <w:tcBorders>
              <w:top w:val="single" w:sz="4" w:space="0" w:color="DBDBDB" w:themeColor="accent3" w:themeTint="66"/>
              <w:left w:val="single" w:sz="4" w:space="0" w:color="DBDBDB" w:themeColor="accent3" w:themeTint="66"/>
              <w:right w:val="single" w:sz="4" w:space="0" w:color="DBDBDB" w:themeColor="accent3" w:themeTint="66"/>
            </w:tcBorders>
            <w:hideMark/>
          </w:tcPr>
          <w:p w14:paraId="0A697596"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lang w:eastAsia="en-US"/>
              </w:rPr>
            </w:pPr>
            <w:r w:rsidRPr="00F163BC">
              <w:rPr>
                <w:rFonts w:eastAsia="Calibri"/>
                <w:b/>
                <w:bCs/>
                <w:sz w:val="20"/>
                <w:szCs w:val="20"/>
                <w:lang w:eastAsia="en-US"/>
              </w:rPr>
              <w:t>Latvija</w:t>
            </w:r>
          </w:p>
        </w:tc>
        <w:tc>
          <w:tcPr>
            <w:tcW w:w="1180" w:type="pct"/>
            <w:tcBorders>
              <w:top w:val="single" w:sz="4" w:space="0" w:color="DBDBDB" w:themeColor="accent3" w:themeTint="66"/>
              <w:left w:val="single" w:sz="4" w:space="0" w:color="DBDBDB" w:themeColor="accent3" w:themeTint="66"/>
              <w:right w:val="single" w:sz="4" w:space="0" w:color="DBDBDB" w:themeColor="accent3" w:themeTint="66"/>
            </w:tcBorders>
            <w:hideMark/>
          </w:tcPr>
          <w:p w14:paraId="0AD0C034"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lang w:eastAsia="en-US"/>
              </w:rPr>
            </w:pPr>
            <w:r w:rsidRPr="00F163BC">
              <w:rPr>
                <w:rFonts w:eastAsia="Calibri"/>
                <w:b/>
                <w:bCs/>
                <w:sz w:val="20"/>
                <w:szCs w:val="20"/>
                <w:lang w:eastAsia="en-US"/>
              </w:rPr>
              <w:t>Lietuva</w:t>
            </w:r>
          </w:p>
        </w:tc>
      </w:tr>
      <w:tr w:rsidR="00047234" w:rsidRPr="00F163BC" w14:paraId="0C08B91E"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5B262872"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0 – 10 km/h</w:t>
            </w:r>
          </w:p>
        </w:tc>
        <w:tc>
          <w:tcPr>
            <w:tcW w:w="1042"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1EA7514"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14:paraId="7A9A6E08"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14:paraId="117C2D1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90</w:t>
            </w:r>
            <w:r w:rsidRPr="00F163BC">
              <w:rPr>
                <w:rFonts w:eastAsia="Calibri"/>
                <w:noProof/>
                <w:sz w:val="20"/>
                <w:szCs w:val="20"/>
              </w:rPr>
              <w:t xml:space="preserve"> €</w:t>
            </w:r>
          </w:p>
          <w:p w14:paraId="63DA41FD"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47226C10"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6AD16226" wp14:editId="7DAF2C29">
                  <wp:extent cx="343535" cy="343535"/>
                  <wp:effectExtent l="0" t="0" r="0" b="0"/>
                  <wp:docPr id="211" name="Picture 50"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ttēlu rezultāti vaicājumam “&quot;skaļruņa ikonas&quo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0E9883E6"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443E1183" wp14:editId="1C32A8BB">
                  <wp:extent cx="343535" cy="343535"/>
                  <wp:effectExtent l="0" t="0" r="0" b="0"/>
                  <wp:docPr id="212" name="Picture 51"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ttēlu rezultāti vaicājumam “&quot;skaļruņa ikonas&quo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p>
        </w:tc>
      </w:tr>
      <w:tr w:rsidR="00047234" w:rsidRPr="00F163BC" w14:paraId="3AC8A5F4"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45B26DF8"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11 – 20 km/h</w:t>
            </w:r>
          </w:p>
        </w:tc>
        <w:tc>
          <w:tcPr>
            <w:tcW w:w="1042"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931942A" w14:textId="77777777"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2E0DFDA1"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5E7FD51D" wp14:editId="691FA8CD">
                  <wp:extent cx="263525" cy="263525"/>
                  <wp:effectExtent l="0" t="0" r="3175" b="3175"/>
                  <wp:docPr id="213" name="Picture 52"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sz w:val="20"/>
                <w:szCs w:val="20"/>
                <w:lang w:eastAsia="en-US"/>
              </w:rPr>
              <w:t xml:space="preserve"> vai 20 </w:t>
            </w:r>
            <w:r w:rsidRPr="00F163BC">
              <w:rPr>
                <w:rFonts w:eastAsia="Calibri"/>
                <w:noProof/>
                <w:sz w:val="20"/>
                <w:szCs w:val="20"/>
              </w:rPr>
              <w:t>€</w:t>
            </w:r>
            <w:r w:rsidRPr="00F163BC">
              <w:rPr>
                <w:rFonts w:eastAsia="Calibri"/>
                <w:sz w:val="20"/>
                <w:szCs w:val="20"/>
                <w:lang w:eastAsia="en-US"/>
              </w:rPr>
              <w:t xml:space="preserve"> *</w:t>
            </w:r>
          </w:p>
          <w:p w14:paraId="69C7D251"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7E9BB68E" wp14:editId="36B76FFB">
                  <wp:extent cx="263525" cy="263525"/>
                  <wp:effectExtent l="0" t="0" r="3175" b="3175"/>
                  <wp:docPr id="214" name="Picture 53"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sz w:val="20"/>
                <w:szCs w:val="20"/>
                <w:lang w:eastAsia="en-US"/>
              </w:rPr>
              <w:t xml:space="preserve"> vai 40 </w:t>
            </w:r>
            <w:r w:rsidRPr="00F163BC">
              <w:rPr>
                <w:rFonts w:eastAsia="Calibri"/>
                <w:noProof/>
                <w:sz w:val="20"/>
                <w:szCs w:val="20"/>
              </w:rPr>
              <w:t>€ **</w:t>
            </w:r>
          </w:p>
          <w:p w14:paraId="31DC5C8C" w14:textId="77777777" w:rsidR="00047234" w:rsidRPr="00F163BC" w:rsidRDefault="00047234" w:rsidP="00047234">
            <w:pPr>
              <w:ind w:left="360"/>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p>
          <w:p w14:paraId="6DD728A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noProof/>
                <w:sz w:val="20"/>
                <w:szCs w:val="20"/>
              </w:rPr>
              <w:drawing>
                <wp:inline distT="0" distB="0" distL="0" distR="0" wp14:anchorId="364FB68B" wp14:editId="2B1ABB7A">
                  <wp:extent cx="482600" cy="248920"/>
                  <wp:effectExtent l="0" t="0" r="0" b="0"/>
                  <wp:docPr id="215" name="Picture 54"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drawing>
                <wp:inline distT="0" distB="0" distL="0" distR="0" wp14:anchorId="3B970E03" wp14:editId="2D016900">
                  <wp:extent cx="263525" cy="263525"/>
                  <wp:effectExtent l="0" t="0" r="3175" b="3175"/>
                  <wp:docPr id="216" name="Picture 55"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noProof/>
                <w:sz w:val="20"/>
                <w:szCs w:val="20"/>
              </w:rPr>
              <w:t xml:space="preserve">vai 40 € </w:t>
            </w:r>
            <w:r w:rsidRPr="00F163BC">
              <w:rPr>
                <w:rFonts w:eastAsia="Calibri"/>
                <w:sz w:val="20"/>
                <w:szCs w:val="20"/>
                <w:lang w:eastAsia="en-US"/>
              </w:rPr>
              <w:t>*</w:t>
            </w:r>
          </w:p>
          <w:p w14:paraId="723F2E36"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noProof/>
                <w:sz w:val="20"/>
                <w:szCs w:val="20"/>
              </w:rPr>
              <w:drawing>
                <wp:inline distT="0" distB="0" distL="0" distR="0" wp14:anchorId="2A25EBA9" wp14:editId="0BCE70E3">
                  <wp:extent cx="482600" cy="248920"/>
                  <wp:effectExtent l="0" t="0" r="0" b="0"/>
                  <wp:docPr id="217" name="Picture 56"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drawing>
                <wp:inline distT="0" distB="0" distL="0" distR="0" wp14:anchorId="09CD7AAD" wp14:editId="2AE7F9E5">
                  <wp:extent cx="263525" cy="263525"/>
                  <wp:effectExtent l="0" t="0" r="3175" b="3175"/>
                  <wp:docPr id="218" name="Picture 57"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ttēlu rezultāti vaicājumam “&quot;skaļruņa ikonas&quot;”">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Pr="00F163BC">
              <w:rPr>
                <w:rFonts w:eastAsia="Calibri"/>
                <w:noProof/>
                <w:sz w:val="20"/>
                <w:szCs w:val="20"/>
              </w:rPr>
              <w:t xml:space="preserve">vai 80 €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7CDCB996"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12 – 30 </w:t>
            </w:r>
            <w:r w:rsidRPr="00F163BC">
              <w:rPr>
                <w:rFonts w:eastAsia="Calibri"/>
                <w:noProof/>
                <w:sz w:val="20"/>
                <w:szCs w:val="20"/>
              </w:rPr>
              <w:t>€</w:t>
            </w:r>
          </w:p>
        </w:tc>
      </w:tr>
      <w:tr w:rsidR="00047234" w:rsidRPr="00F163BC" w14:paraId="4CB68ADC"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3E936239"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21 – 30 km/h</w:t>
            </w:r>
          </w:p>
        </w:tc>
        <w:tc>
          <w:tcPr>
            <w:tcW w:w="1042"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72C03B8"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300</w:t>
            </w:r>
            <w:r w:rsidRPr="00F163BC">
              <w:rPr>
                <w:rFonts w:eastAsia="Calibri"/>
                <w:noProof/>
                <w:sz w:val="20"/>
                <w:szCs w:val="20"/>
              </w:rPr>
              <w:t xml:space="preserve"> €</w:t>
            </w:r>
          </w:p>
          <w:p w14:paraId="2E97699C"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vai </w:t>
            </w:r>
            <w:r w:rsidRPr="00F163BC">
              <w:rPr>
                <w:rFonts w:eastAsia="Calibri"/>
                <w:noProof/>
                <w:sz w:val="20"/>
                <w:szCs w:val="20"/>
              </w:rPr>
              <w:drawing>
                <wp:inline distT="0" distB="0" distL="0" distR="0" wp14:anchorId="206A7EC4" wp14:editId="308DDE00">
                  <wp:extent cx="461010" cy="336550"/>
                  <wp:effectExtent l="0" t="0" r="0" b="6350"/>
                  <wp:docPr id="21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līdz 6 mēnešiem</w:t>
            </w: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01BB4F41"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40 </w:t>
            </w:r>
            <w:r w:rsidRPr="00F163BC">
              <w:rPr>
                <w:rFonts w:eastAsia="Calibri"/>
                <w:noProof/>
                <w:sz w:val="20"/>
                <w:szCs w:val="20"/>
              </w:rPr>
              <w:t>€</w:t>
            </w:r>
            <w:r w:rsidRPr="00F163BC">
              <w:rPr>
                <w:rFonts w:eastAsia="Calibri"/>
                <w:sz w:val="20"/>
                <w:szCs w:val="20"/>
                <w:lang w:eastAsia="en-US"/>
              </w:rPr>
              <w:t xml:space="preserve"> */80 </w:t>
            </w:r>
            <w:r w:rsidRPr="00F163BC">
              <w:rPr>
                <w:rFonts w:eastAsia="Calibri"/>
                <w:noProof/>
                <w:sz w:val="20"/>
                <w:szCs w:val="20"/>
              </w:rPr>
              <w:t>€ **</w:t>
            </w:r>
          </w:p>
          <w:p w14:paraId="09DC3254"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4D8A73B3" wp14:editId="538581BA">
                  <wp:extent cx="482600" cy="248920"/>
                  <wp:effectExtent l="0" t="0" r="0" b="0"/>
                  <wp:docPr id="220" name="Picture 81"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80 € </w:t>
            </w:r>
            <w:r w:rsidRPr="00F163BC">
              <w:rPr>
                <w:rFonts w:eastAsia="Calibri"/>
                <w:sz w:val="20"/>
                <w:szCs w:val="20"/>
                <w:lang w:eastAsia="en-US"/>
              </w:rPr>
              <w:t>*</w:t>
            </w:r>
          </w:p>
          <w:p w14:paraId="5F837F7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noProof/>
                <w:sz w:val="20"/>
                <w:szCs w:val="20"/>
              </w:rPr>
              <w:drawing>
                <wp:inline distT="0" distB="0" distL="0" distR="0" wp14:anchorId="43CEA565" wp14:editId="69ABF1F3">
                  <wp:extent cx="482600" cy="248920"/>
                  <wp:effectExtent l="0" t="0" r="0" b="0"/>
                  <wp:docPr id="221" name="Picture 59"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160 €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2BD8C27"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30 – 90 </w:t>
            </w:r>
            <w:r w:rsidRPr="00F163BC">
              <w:rPr>
                <w:rFonts w:eastAsia="Calibri"/>
                <w:noProof/>
                <w:sz w:val="20"/>
                <w:szCs w:val="20"/>
              </w:rPr>
              <w:t>€</w:t>
            </w:r>
          </w:p>
        </w:tc>
      </w:tr>
      <w:tr w:rsidR="00047234" w:rsidRPr="00F163BC" w14:paraId="5220102C"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11F9F9D5"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31 – 40 km/h</w:t>
            </w:r>
          </w:p>
        </w:tc>
        <w:tc>
          <w:tcPr>
            <w:tcW w:w="1042"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3DF22709" w14:textId="77777777"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0DD06920"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80 </w:t>
            </w:r>
            <w:r w:rsidRPr="00F163BC">
              <w:rPr>
                <w:rFonts w:eastAsia="Calibri"/>
                <w:noProof/>
                <w:sz w:val="20"/>
                <w:szCs w:val="20"/>
              </w:rPr>
              <w:t>€</w:t>
            </w:r>
            <w:r w:rsidRPr="00F163BC">
              <w:rPr>
                <w:rFonts w:eastAsia="Calibri"/>
                <w:sz w:val="20"/>
                <w:szCs w:val="20"/>
                <w:lang w:eastAsia="en-US"/>
              </w:rPr>
              <w:t xml:space="preserve"> */160 </w:t>
            </w:r>
            <w:r w:rsidRPr="00F163BC">
              <w:rPr>
                <w:rFonts w:eastAsia="Calibri"/>
                <w:noProof/>
                <w:sz w:val="20"/>
                <w:szCs w:val="20"/>
              </w:rPr>
              <w:t>€ **</w:t>
            </w:r>
          </w:p>
          <w:p w14:paraId="0F5DB6D6"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046DE474" wp14:editId="06E1DC35">
                  <wp:extent cx="482600" cy="248920"/>
                  <wp:effectExtent l="0" t="0" r="0" b="0"/>
                  <wp:docPr id="222" name="Picture 60"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160 € </w:t>
            </w:r>
            <w:r w:rsidRPr="00F163BC">
              <w:rPr>
                <w:rFonts w:eastAsia="Calibri"/>
                <w:sz w:val="20"/>
                <w:szCs w:val="20"/>
                <w:lang w:eastAsia="en-US"/>
              </w:rPr>
              <w:t>*</w:t>
            </w:r>
          </w:p>
          <w:p w14:paraId="193BEACA"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21C99B39" wp14:editId="4E549580">
                  <wp:extent cx="482600" cy="248920"/>
                  <wp:effectExtent l="0" t="0" r="0" b="0"/>
                  <wp:docPr id="223" name="Picture 61"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320 €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2AAAFFF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120 – 170 </w:t>
            </w:r>
            <w:r w:rsidRPr="00F163BC">
              <w:rPr>
                <w:rFonts w:eastAsia="Calibri"/>
                <w:noProof/>
                <w:sz w:val="20"/>
                <w:szCs w:val="20"/>
              </w:rPr>
              <w:t>€</w:t>
            </w:r>
          </w:p>
          <w:p w14:paraId="7D2A12CC"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1DF82765" wp14:editId="540C03A4">
                  <wp:extent cx="461010" cy="336550"/>
                  <wp:effectExtent l="0" t="0" r="0" b="6350"/>
                  <wp:docPr id="22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no 3 līdz 6 mēnešiem***</w:t>
            </w:r>
          </w:p>
        </w:tc>
      </w:tr>
      <w:tr w:rsidR="00047234" w:rsidRPr="00F163BC" w14:paraId="1F075431"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33194FC3"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41 – 50 km/h</w:t>
            </w:r>
          </w:p>
        </w:tc>
        <w:tc>
          <w:tcPr>
            <w:tcW w:w="1042"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D15B544"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600</w:t>
            </w:r>
            <w:r w:rsidRPr="00F163BC">
              <w:rPr>
                <w:rFonts w:eastAsia="Calibri"/>
                <w:noProof/>
                <w:sz w:val="20"/>
                <w:szCs w:val="20"/>
              </w:rPr>
              <w:t xml:space="preserve"> €</w:t>
            </w:r>
          </w:p>
          <w:p w14:paraId="74D7F234"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6BF47C06" wp14:editId="1D46DD08">
                  <wp:extent cx="461010" cy="336550"/>
                  <wp:effectExtent l="0" t="0" r="0" b="6350"/>
                  <wp:docPr id="22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līdz 12 mēnešiem</w:t>
            </w: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1B73A283"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160</w:t>
            </w:r>
            <w:proofErr w:type="gramStart"/>
            <w:r w:rsidRPr="00F163BC">
              <w:rPr>
                <w:rFonts w:eastAsia="Calibri"/>
                <w:sz w:val="20"/>
                <w:szCs w:val="20"/>
                <w:lang w:eastAsia="en-US"/>
              </w:rPr>
              <w:t xml:space="preserve">  </w:t>
            </w:r>
            <w:proofErr w:type="gramEnd"/>
            <w:r w:rsidRPr="00F163BC">
              <w:rPr>
                <w:rFonts w:eastAsia="Calibri"/>
                <w:sz w:val="20"/>
                <w:szCs w:val="20"/>
                <w:lang w:eastAsia="en-US"/>
              </w:rPr>
              <w:t xml:space="preserve">- 220 </w:t>
            </w:r>
            <w:r w:rsidRPr="00F163BC">
              <w:rPr>
                <w:rFonts w:eastAsia="Calibri"/>
                <w:noProof/>
                <w:sz w:val="20"/>
                <w:szCs w:val="20"/>
              </w:rPr>
              <w:t>€</w:t>
            </w:r>
            <w:r w:rsidRPr="00F163BC">
              <w:rPr>
                <w:rFonts w:eastAsia="Calibri"/>
                <w:sz w:val="20"/>
                <w:szCs w:val="20"/>
                <w:lang w:eastAsia="en-US"/>
              </w:rPr>
              <w:t xml:space="preserve"> *</w:t>
            </w:r>
          </w:p>
          <w:p w14:paraId="3E2E4B8A"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240 - 320 </w:t>
            </w:r>
            <w:r w:rsidRPr="00F163BC">
              <w:rPr>
                <w:rFonts w:eastAsia="Calibri"/>
                <w:noProof/>
                <w:sz w:val="20"/>
                <w:szCs w:val="20"/>
              </w:rPr>
              <w:t>€ **</w:t>
            </w:r>
          </w:p>
          <w:p w14:paraId="1114BFB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429A3048" wp14:editId="303B12B9">
                  <wp:extent cx="482600" cy="248920"/>
                  <wp:effectExtent l="0" t="0" r="0" b="0"/>
                  <wp:docPr id="226" name="Picture 64"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320 - 440 € </w:t>
            </w:r>
            <w:r w:rsidRPr="00F163BC">
              <w:rPr>
                <w:rFonts w:eastAsia="Calibri"/>
                <w:sz w:val="20"/>
                <w:szCs w:val="20"/>
                <w:lang w:eastAsia="en-US"/>
              </w:rPr>
              <w:t>*</w:t>
            </w:r>
          </w:p>
          <w:p w14:paraId="640B3CAC"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654A1181" wp14:editId="658E7AF2">
                  <wp:extent cx="482600" cy="248920"/>
                  <wp:effectExtent l="0" t="0" r="0" b="0"/>
                  <wp:docPr id="227" name="Picture 65"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480 - 620 € </w:t>
            </w:r>
            <w:r w:rsidRPr="00F163BC">
              <w:rPr>
                <w:rFonts w:eastAsia="Calibri"/>
                <w:sz w:val="20"/>
                <w:szCs w:val="20"/>
                <w:lang w:eastAsia="en-US"/>
              </w:rPr>
              <w:t>**</w:t>
            </w:r>
          </w:p>
        </w:tc>
        <w:tc>
          <w:tcPr>
            <w:tcW w:w="1180"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1E237BFC"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170 – 230 </w:t>
            </w:r>
            <w:r w:rsidRPr="00F163BC">
              <w:rPr>
                <w:rFonts w:eastAsia="Calibri"/>
                <w:noProof/>
                <w:sz w:val="20"/>
                <w:szCs w:val="20"/>
              </w:rPr>
              <w:t>€</w:t>
            </w:r>
          </w:p>
          <w:p w14:paraId="525842CB"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260F8423" wp14:editId="3C4CED9C">
                  <wp:extent cx="461010" cy="336550"/>
                  <wp:effectExtent l="0" t="0" r="0" b="6350"/>
                  <wp:docPr id="2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no 6 līdz 12 mēnešiem***</w:t>
            </w:r>
          </w:p>
        </w:tc>
      </w:tr>
      <w:tr w:rsidR="00047234" w:rsidRPr="00F163BC" w14:paraId="4B7CAD2F"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7735AB99"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51 – 60 km/h</w:t>
            </w:r>
          </w:p>
        </w:tc>
        <w:tc>
          <w:tcPr>
            <w:tcW w:w="1042"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6104F794" w14:textId="77777777"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69AD14B"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240</w:t>
            </w:r>
            <w:proofErr w:type="gramStart"/>
            <w:r w:rsidRPr="00F163BC">
              <w:rPr>
                <w:rFonts w:eastAsia="Calibri"/>
                <w:sz w:val="20"/>
                <w:szCs w:val="20"/>
                <w:lang w:eastAsia="en-US"/>
              </w:rPr>
              <w:t xml:space="preserve">  </w:t>
            </w:r>
            <w:proofErr w:type="gramEnd"/>
            <w:r w:rsidRPr="00F163BC">
              <w:rPr>
                <w:rFonts w:eastAsia="Calibri"/>
                <w:sz w:val="20"/>
                <w:szCs w:val="20"/>
                <w:lang w:eastAsia="en-US"/>
              </w:rPr>
              <w:t xml:space="preserve">- 320 </w:t>
            </w:r>
            <w:r w:rsidRPr="00F163BC">
              <w:rPr>
                <w:rFonts w:eastAsia="Calibri"/>
                <w:noProof/>
                <w:sz w:val="20"/>
                <w:szCs w:val="20"/>
              </w:rPr>
              <w:t>€</w:t>
            </w:r>
            <w:r w:rsidRPr="00F163BC">
              <w:rPr>
                <w:rFonts w:eastAsia="Calibri"/>
                <w:sz w:val="20"/>
                <w:szCs w:val="20"/>
                <w:lang w:eastAsia="en-US"/>
              </w:rPr>
              <w:t xml:space="preserve"> + </w:t>
            </w:r>
            <w:r w:rsidRPr="00F163BC">
              <w:rPr>
                <w:rFonts w:eastAsia="Calibri"/>
                <w:noProof/>
                <w:sz w:val="20"/>
                <w:szCs w:val="20"/>
              </w:rPr>
              <w:drawing>
                <wp:inline distT="0" distB="0" distL="0" distR="0" wp14:anchorId="6E444AAB" wp14:editId="4CF16986">
                  <wp:extent cx="461010" cy="336550"/>
                  <wp:effectExtent l="0" t="0" r="0" b="6350"/>
                  <wp:docPr id="2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3 mēnešiem *</w:t>
            </w:r>
          </w:p>
          <w:p w14:paraId="4C5BECA2"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360 - 460 </w:t>
            </w:r>
            <w:r w:rsidRPr="00F163BC">
              <w:rPr>
                <w:rFonts w:eastAsia="Calibri"/>
                <w:noProof/>
                <w:sz w:val="20"/>
                <w:szCs w:val="20"/>
              </w:rPr>
              <w:t xml:space="preserve">€ </w:t>
            </w:r>
            <w:r w:rsidRPr="00F163BC">
              <w:rPr>
                <w:rFonts w:eastAsia="Calibri"/>
                <w:sz w:val="20"/>
                <w:szCs w:val="20"/>
                <w:lang w:eastAsia="en-US"/>
              </w:rPr>
              <w:t xml:space="preserve">+ </w:t>
            </w:r>
            <w:r w:rsidRPr="00F163BC">
              <w:rPr>
                <w:rFonts w:eastAsia="Calibri"/>
                <w:noProof/>
                <w:sz w:val="20"/>
                <w:szCs w:val="20"/>
              </w:rPr>
              <w:drawing>
                <wp:inline distT="0" distB="0" distL="0" distR="0" wp14:anchorId="646A06A1" wp14:editId="528D3D3B">
                  <wp:extent cx="461010" cy="336550"/>
                  <wp:effectExtent l="0" t="0" r="0" b="6350"/>
                  <wp:docPr id="23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 xml:space="preserve">uz 6 mēnešiem </w:t>
            </w:r>
            <w:r w:rsidRPr="00F163BC">
              <w:rPr>
                <w:rFonts w:eastAsia="Calibri"/>
                <w:noProof/>
                <w:sz w:val="20"/>
                <w:szCs w:val="20"/>
              </w:rPr>
              <w:t>**</w:t>
            </w:r>
          </w:p>
          <w:p w14:paraId="7D91DA24"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p>
          <w:p w14:paraId="5F6A885E"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0F72EC1C" wp14:editId="46D8A252">
                  <wp:extent cx="482600" cy="248920"/>
                  <wp:effectExtent l="0" t="0" r="0" b="0"/>
                  <wp:docPr id="231" name="Picture 69"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480 - 640 €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7FD80DCF" wp14:editId="1E96BF3A">
                  <wp:extent cx="461010" cy="336550"/>
                  <wp:effectExtent l="0" t="0" r="0" b="6350"/>
                  <wp:docPr id="23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6 līdz 12 mēnešiem *</w:t>
            </w:r>
          </w:p>
          <w:p w14:paraId="14FE7091"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1832E5D2" wp14:editId="73A76348">
                  <wp:extent cx="482600" cy="248920"/>
                  <wp:effectExtent l="0" t="0" r="0" b="0"/>
                  <wp:docPr id="233" name="Picture 71"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700 - 880 €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7798B19F" wp14:editId="37E31354">
                  <wp:extent cx="461010" cy="336550"/>
                  <wp:effectExtent l="0" t="0" r="0" b="6350"/>
                  <wp:docPr id="23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6 līdz 12 mēnešiem **</w:t>
            </w:r>
          </w:p>
          <w:p w14:paraId="00312C2B"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14:paraId="797817A7" w14:textId="77777777"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1180" w:type="pct"/>
            <w:vMerge w:val="restar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0F305E0E"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450 – 550 </w:t>
            </w:r>
            <w:r w:rsidRPr="00F163BC">
              <w:rPr>
                <w:rFonts w:eastAsia="Calibri"/>
                <w:noProof/>
                <w:sz w:val="20"/>
                <w:szCs w:val="20"/>
              </w:rPr>
              <w:t>€</w:t>
            </w:r>
          </w:p>
          <w:p w14:paraId="4D94EEAA"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1D694D04" wp14:editId="6BBC6193">
                  <wp:extent cx="461010" cy="336550"/>
                  <wp:effectExtent l="0" t="0" r="0" b="6350"/>
                  <wp:docPr id="23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no 1 līdz 6 mēnešiem</w:t>
            </w:r>
          </w:p>
          <w:p w14:paraId="6594D6B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p w14:paraId="19FDCDA0"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400 – 750 </w:t>
            </w:r>
            <w:r w:rsidRPr="00F163BC">
              <w:rPr>
                <w:rFonts w:eastAsia="Calibri"/>
                <w:noProof/>
                <w:sz w:val="20"/>
                <w:szCs w:val="20"/>
              </w:rPr>
              <w:t>€</w:t>
            </w:r>
          </w:p>
          <w:p w14:paraId="38C62DDF"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(tiem vadītājiem, kuriem nav iegūta vadītāja apliecība)</w:t>
            </w:r>
          </w:p>
          <w:p w14:paraId="25DA8713"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r>
      <w:tr w:rsidR="00047234" w:rsidRPr="00F163BC" w14:paraId="559106B2" w14:textId="77777777" w:rsidTr="00047234">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090CB048" w14:textId="77777777" w:rsidR="00047234" w:rsidRPr="00F163BC" w:rsidRDefault="00047234" w:rsidP="00047234">
            <w:pPr>
              <w:jc w:val="center"/>
              <w:rPr>
                <w:rFonts w:eastAsia="Calibri"/>
                <w:sz w:val="20"/>
                <w:szCs w:val="20"/>
                <w:lang w:eastAsia="en-US"/>
              </w:rPr>
            </w:pPr>
            <w:r w:rsidRPr="00F163BC">
              <w:rPr>
                <w:rFonts w:eastAsia="Calibri"/>
                <w:sz w:val="20"/>
                <w:szCs w:val="20"/>
                <w:lang w:eastAsia="en-US"/>
              </w:rPr>
              <w:t>61 - … km/h</w:t>
            </w:r>
          </w:p>
        </w:tc>
        <w:tc>
          <w:tcPr>
            <w:tcW w:w="1042"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6D36338"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līdz 900</w:t>
            </w:r>
            <w:r w:rsidRPr="00F163BC">
              <w:rPr>
                <w:rFonts w:eastAsia="Calibri"/>
                <w:noProof/>
                <w:sz w:val="20"/>
                <w:szCs w:val="20"/>
              </w:rPr>
              <w:t xml:space="preserve"> €</w:t>
            </w:r>
          </w:p>
          <w:p w14:paraId="36922380"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 xml:space="preserve">+ </w:t>
            </w:r>
            <w:r w:rsidRPr="00F163BC">
              <w:rPr>
                <w:rFonts w:eastAsia="Calibri"/>
                <w:noProof/>
                <w:sz w:val="20"/>
                <w:szCs w:val="20"/>
              </w:rPr>
              <w:drawing>
                <wp:inline distT="0" distB="0" distL="0" distR="0" wp14:anchorId="34F83D6A" wp14:editId="3258CC79">
                  <wp:extent cx="461010" cy="336550"/>
                  <wp:effectExtent l="0" t="0" r="0" b="6350"/>
                  <wp:docPr id="23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līdz 24 mēnešiem</w:t>
            </w:r>
          </w:p>
        </w:tc>
        <w:tc>
          <w:tcPr>
            <w:tcW w:w="2014" w:type="pct"/>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1F68BC4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sz w:val="20"/>
                <w:szCs w:val="20"/>
                <w:lang w:eastAsia="en-US"/>
              </w:rPr>
              <w:t>360</w:t>
            </w:r>
            <w:proofErr w:type="gramStart"/>
            <w:r w:rsidRPr="00F163BC">
              <w:rPr>
                <w:rFonts w:eastAsia="Calibri"/>
                <w:sz w:val="20"/>
                <w:szCs w:val="20"/>
                <w:lang w:eastAsia="en-US"/>
              </w:rPr>
              <w:t xml:space="preserve">  </w:t>
            </w:r>
            <w:proofErr w:type="gramEnd"/>
            <w:r w:rsidRPr="00F163BC">
              <w:rPr>
                <w:rFonts w:eastAsia="Calibri"/>
                <w:sz w:val="20"/>
                <w:szCs w:val="20"/>
                <w:lang w:eastAsia="en-US"/>
              </w:rPr>
              <w:t xml:space="preserve">- 480 </w:t>
            </w:r>
            <w:r w:rsidRPr="00F163BC">
              <w:rPr>
                <w:rFonts w:eastAsia="Calibri"/>
                <w:noProof/>
                <w:sz w:val="20"/>
                <w:szCs w:val="20"/>
              </w:rPr>
              <w:t>€</w:t>
            </w:r>
            <w:r w:rsidRPr="00F163BC">
              <w:rPr>
                <w:rFonts w:eastAsia="Calibri"/>
                <w:sz w:val="20"/>
                <w:szCs w:val="20"/>
                <w:lang w:eastAsia="en-US"/>
              </w:rPr>
              <w:t xml:space="preserve"> + </w:t>
            </w:r>
            <w:r w:rsidRPr="00F163BC">
              <w:rPr>
                <w:rFonts w:eastAsia="Calibri"/>
                <w:noProof/>
                <w:sz w:val="20"/>
                <w:szCs w:val="20"/>
              </w:rPr>
              <w:drawing>
                <wp:inline distT="0" distB="0" distL="0" distR="0" wp14:anchorId="13A903F1" wp14:editId="5609010D">
                  <wp:extent cx="461010" cy="336550"/>
                  <wp:effectExtent l="0" t="0" r="0" b="6350"/>
                  <wp:docPr id="23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6 mēnešiem *</w:t>
            </w:r>
          </w:p>
          <w:p w14:paraId="100B6395"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r w:rsidRPr="00F163BC">
              <w:rPr>
                <w:rFonts w:eastAsia="Calibri"/>
                <w:sz w:val="20"/>
                <w:szCs w:val="20"/>
                <w:lang w:eastAsia="en-US"/>
              </w:rPr>
              <w:t xml:space="preserve">540 - 680 </w:t>
            </w:r>
            <w:r w:rsidRPr="00F163BC">
              <w:rPr>
                <w:rFonts w:eastAsia="Calibri"/>
                <w:noProof/>
                <w:sz w:val="20"/>
                <w:szCs w:val="20"/>
              </w:rPr>
              <w:t xml:space="preserve">€ </w:t>
            </w:r>
            <w:r w:rsidRPr="00F163BC">
              <w:rPr>
                <w:rFonts w:eastAsia="Calibri"/>
                <w:sz w:val="20"/>
                <w:szCs w:val="20"/>
                <w:lang w:eastAsia="en-US"/>
              </w:rPr>
              <w:t xml:space="preserve">+ </w:t>
            </w:r>
            <w:r w:rsidRPr="00F163BC">
              <w:rPr>
                <w:rFonts w:eastAsia="Calibri"/>
                <w:noProof/>
                <w:sz w:val="20"/>
                <w:szCs w:val="20"/>
              </w:rPr>
              <w:drawing>
                <wp:inline distT="0" distB="0" distL="0" distR="0" wp14:anchorId="327A3B05" wp14:editId="16370CDB">
                  <wp:extent cx="461010" cy="336550"/>
                  <wp:effectExtent l="0" t="0" r="0" b="6350"/>
                  <wp:docPr id="23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 xml:space="preserve">uz 12 mēnešiem </w:t>
            </w:r>
            <w:r w:rsidRPr="00F163BC">
              <w:rPr>
                <w:rFonts w:eastAsia="Calibri"/>
                <w:noProof/>
                <w:sz w:val="20"/>
                <w:szCs w:val="20"/>
              </w:rPr>
              <w:t>**</w:t>
            </w:r>
          </w:p>
          <w:p w14:paraId="1FF80DAB"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noProof/>
                <w:sz w:val="20"/>
                <w:szCs w:val="20"/>
              </w:rPr>
            </w:pPr>
          </w:p>
          <w:p w14:paraId="0A3117FD"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drawing>
                <wp:inline distT="0" distB="0" distL="0" distR="0" wp14:anchorId="58F4DF76" wp14:editId="452D8AA8">
                  <wp:extent cx="482600" cy="248920"/>
                  <wp:effectExtent l="0" t="0" r="0" b="0"/>
                  <wp:docPr id="239" name="Picture 77"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720 - 960 €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7F2D323C" wp14:editId="03ED1486">
                  <wp:extent cx="461010" cy="336550"/>
                  <wp:effectExtent l="0" t="0" r="0" b="6350"/>
                  <wp:docPr id="24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12 mēnešiem *</w:t>
            </w:r>
          </w:p>
          <w:p w14:paraId="18720799" w14:textId="77777777" w:rsidR="00047234" w:rsidRPr="00F163BC" w:rsidRDefault="00047234" w:rsidP="0004723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163BC">
              <w:rPr>
                <w:rFonts w:eastAsia="Calibri"/>
                <w:noProof/>
                <w:sz w:val="20"/>
                <w:szCs w:val="20"/>
              </w:rPr>
              <w:lastRenderedPageBreak/>
              <w:drawing>
                <wp:inline distT="0" distB="0" distL="0" distR="0" wp14:anchorId="3938FB5F" wp14:editId="5A10492C">
                  <wp:extent cx="482600" cy="248920"/>
                  <wp:effectExtent l="0" t="0" r="0" b="0"/>
                  <wp:docPr id="241" name="Picture 79"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48920"/>
                          </a:xfrm>
                          <a:prstGeom prst="rect">
                            <a:avLst/>
                          </a:prstGeom>
                          <a:noFill/>
                          <a:ln>
                            <a:noFill/>
                          </a:ln>
                        </pic:spPr>
                      </pic:pic>
                    </a:graphicData>
                  </a:graphic>
                </wp:inline>
              </w:drawing>
            </w:r>
            <w:r w:rsidRPr="00F163BC">
              <w:rPr>
                <w:rFonts w:eastAsia="Calibri"/>
                <w:noProof/>
                <w:sz w:val="20"/>
                <w:szCs w:val="20"/>
              </w:rPr>
              <w:t xml:space="preserve">   1040 – 1400  € </w:t>
            </w:r>
            <w:r w:rsidRPr="00F163BC">
              <w:rPr>
                <w:rFonts w:eastAsia="Calibri"/>
                <w:sz w:val="20"/>
                <w:szCs w:val="20"/>
                <w:lang w:eastAsia="en-US"/>
              </w:rPr>
              <w:t xml:space="preserve">+ </w:t>
            </w:r>
            <w:r w:rsidRPr="00F163BC">
              <w:rPr>
                <w:rFonts w:eastAsia="Calibri"/>
                <w:noProof/>
                <w:sz w:val="20"/>
                <w:szCs w:val="20"/>
              </w:rPr>
              <w:drawing>
                <wp:inline distT="0" distB="0" distL="0" distR="0" wp14:anchorId="3DD3F8C6" wp14:editId="07FB8AF7">
                  <wp:extent cx="461010" cy="336550"/>
                  <wp:effectExtent l="0" t="0" r="0" b="6350"/>
                  <wp:docPr id="24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sz w:val="20"/>
                <w:szCs w:val="20"/>
                <w:lang w:eastAsia="en-US"/>
              </w:rPr>
              <w:t>uz 24 mēnešiem **</w:t>
            </w:r>
          </w:p>
          <w:p w14:paraId="699A4562" w14:textId="77777777"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c>
          <w:tcPr>
            <w:tcW w:w="1180" w:type="pct"/>
            <w:vMerge/>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E64A168" w14:textId="77777777" w:rsidR="00047234" w:rsidRPr="00F163BC" w:rsidRDefault="00047234" w:rsidP="00047234">
            <w:pPr>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p>
        </w:tc>
      </w:tr>
      <w:tr w:rsidR="00B22795" w:rsidRPr="00F163BC" w14:paraId="28651E11" w14:textId="77777777" w:rsidTr="00B22795">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37BAB46E" w14:textId="77777777" w:rsidR="00B22795" w:rsidRPr="00F163BC" w:rsidRDefault="00B22795" w:rsidP="00B22795">
            <w:pPr>
              <w:spacing w:after="160" w:line="256" w:lineRule="auto"/>
              <w:rPr>
                <w:rFonts w:eastAsia="Calibri"/>
                <w:b w:val="0"/>
                <w:sz w:val="20"/>
                <w:szCs w:val="20"/>
                <w:lang w:eastAsia="en-US"/>
              </w:rPr>
            </w:pPr>
            <w:r w:rsidRPr="00F163BC">
              <w:rPr>
                <w:rFonts w:eastAsia="Calibri"/>
                <w:noProof/>
                <w:sz w:val="20"/>
                <w:szCs w:val="20"/>
              </w:rPr>
              <w:drawing>
                <wp:inline distT="0" distB="0" distL="0" distR="0" wp14:anchorId="580EE0B3" wp14:editId="4DCF0AFE">
                  <wp:extent cx="285115" cy="285115"/>
                  <wp:effectExtent l="0" t="0" r="635" b="635"/>
                  <wp:docPr id="243" name="Picture 7" descr="Attēlu rezultāti vaicājumam “&quot;skaļruņa ikon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ēlu rezultāti vaicājumam “&quot;skaļruņa ikonas&quot;”">
                            <a:hlinkClick r:id="rId1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163BC">
              <w:rPr>
                <w:rFonts w:eastAsia="Calibri"/>
                <w:b w:val="0"/>
                <w:sz w:val="20"/>
                <w:szCs w:val="20"/>
                <w:lang w:eastAsia="en-US"/>
              </w:rPr>
              <w:t xml:space="preserve"> - brīdinājums;</w:t>
            </w:r>
          </w:p>
          <w:p w14:paraId="10A8AAAB" w14:textId="77777777" w:rsidR="00B22795" w:rsidRPr="00F163BC" w:rsidRDefault="00B22795" w:rsidP="00B22795">
            <w:pPr>
              <w:spacing w:after="160" w:line="256" w:lineRule="auto"/>
              <w:rPr>
                <w:rFonts w:eastAsia="Calibri"/>
                <w:b w:val="0"/>
                <w:sz w:val="20"/>
                <w:szCs w:val="20"/>
                <w:lang w:eastAsia="en-US"/>
              </w:rPr>
            </w:pPr>
            <w:r w:rsidRPr="00F163BC">
              <w:rPr>
                <w:rFonts w:eastAsia="Calibri"/>
                <w:noProof/>
                <w:sz w:val="20"/>
                <w:szCs w:val="20"/>
              </w:rPr>
              <w:drawing>
                <wp:inline distT="0" distB="0" distL="0" distR="0" wp14:anchorId="1AE5958E" wp14:editId="74A735E9">
                  <wp:extent cx="461010" cy="336550"/>
                  <wp:effectExtent l="0" t="0" r="0" b="6350"/>
                  <wp:docPr id="2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336550"/>
                          </a:xfrm>
                          <a:prstGeom prst="rect">
                            <a:avLst/>
                          </a:prstGeom>
                          <a:noFill/>
                          <a:ln>
                            <a:noFill/>
                          </a:ln>
                        </pic:spPr>
                      </pic:pic>
                    </a:graphicData>
                  </a:graphic>
                </wp:inline>
              </w:drawing>
            </w:r>
            <w:r w:rsidRPr="00F163BC">
              <w:rPr>
                <w:rFonts w:eastAsia="Calibri"/>
                <w:b w:val="0"/>
                <w:sz w:val="20"/>
                <w:szCs w:val="20"/>
                <w:lang w:eastAsia="en-US"/>
              </w:rPr>
              <w:t>- transportlīdzekļu vadīšanas tiesību atņemšana;</w:t>
            </w:r>
          </w:p>
          <w:p w14:paraId="31A81945" w14:textId="77777777" w:rsidR="00B22795" w:rsidRPr="00F163BC" w:rsidRDefault="00B22795" w:rsidP="00B22795">
            <w:pPr>
              <w:spacing w:after="160" w:line="256" w:lineRule="auto"/>
              <w:rPr>
                <w:rFonts w:eastAsia="Calibri"/>
                <w:b w:val="0"/>
                <w:sz w:val="20"/>
                <w:szCs w:val="20"/>
                <w:lang w:eastAsia="en-US"/>
              </w:rPr>
            </w:pPr>
            <w:r w:rsidRPr="00F163BC">
              <w:rPr>
                <w:rFonts w:eastAsia="Calibri"/>
                <w:noProof/>
                <w:sz w:val="20"/>
                <w:szCs w:val="20"/>
              </w:rPr>
              <w:drawing>
                <wp:inline distT="0" distB="0" distL="0" distR="0" wp14:anchorId="4DCC16DE" wp14:editId="299619CB">
                  <wp:extent cx="556260" cy="278130"/>
                  <wp:effectExtent l="0" t="0" r="0" b="7620"/>
                  <wp:docPr id="245" name="Picture 17" descr="https://likumi.lv/wwwraksti/2015/121/BILDES/N_279/IMAG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2015/121/BILDES/N_279/IMAGE3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 cy="278130"/>
                          </a:xfrm>
                          <a:prstGeom prst="rect">
                            <a:avLst/>
                          </a:prstGeom>
                          <a:noFill/>
                          <a:ln>
                            <a:noFill/>
                          </a:ln>
                        </pic:spPr>
                      </pic:pic>
                    </a:graphicData>
                  </a:graphic>
                </wp:inline>
              </w:drawing>
            </w:r>
            <w:r w:rsidRPr="00F163BC">
              <w:rPr>
                <w:rFonts w:eastAsia="Calibri"/>
                <w:b w:val="0"/>
                <w:sz w:val="20"/>
                <w:szCs w:val="20"/>
                <w:lang w:eastAsia="en-US"/>
              </w:rPr>
              <w:t xml:space="preserve"> - automobiļiem, kas velk piekabi, kravas automobiļiem, kuru pilna masa pārsniedz 7,5 tonnas, autobusiem un traktoriem;</w:t>
            </w:r>
          </w:p>
          <w:p w14:paraId="18DE39EB" w14:textId="77777777" w:rsidR="00B22795" w:rsidRPr="00F163BC" w:rsidRDefault="00B22795" w:rsidP="00B22795">
            <w:pPr>
              <w:spacing w:after="160" w:line="256" w:lineRule="auto"/>
              <w:rPr>
                <w:rFonts w:eastAsia="Calibri"/>
                <w:b w:val="0"/>
                <w:sz w:val="20"/>
                <w:szCs w:val="20"/>
                <w:lang w:eastAsia="en-US"/>
              </w:rPr>
            </w:pPr>
            <w:r w:rsidRPr="00F163BC">
              <w:rPr>
                <w:rFonts w:eastAsia="Calibri"/>
                <w:b w:val="0"/>
                <w:sz w:val="20"/>
                <w:szCs w:val="20"/>
                <w:lang w:eastAsia="en-US"/>
              </w:rPr>
              <w:t>* ārpus apdzīvotas vietas;</w:t>
            </w:r>
          </w:p>
          <w:p w14:paraId="2060BBA6" w14:textId="77777777" w:rsidR="00B22795" w:rsidRPr="00F163BC" w:rsidRDefault="00B22795" w:rsidP="00B22795">
            <w:pPr>
              <w:spacing w:after="160" w:line="256" w:lineRule="auto"/>
              <w:rPr>
                <w:rFonts w:eastAsia="Calibri"/>
                <w:b w:val="0"/>
                <w:sz w:val="20"/>
                <w:szCs w:val="20"/>
                <w:lang w:eastAsia="en-US"/>
              </w:rPr>
            </w:pPr>
            <w:r w:rsidRPr="00F163BC">
              <w:rPr>
                <w:rFonts w:eastAsia="Calibri"/>
                <w:b w:val="0"/>
                <w:sz w:val="20"/>
                <w:szCs w:val="20"/>
                <w:lang w:eastAsia="en-US"/>
              </w:rPr>
              <w:t>** vietā, kura apzīmēta ar 519. vai 555. ceļa zīmi "Apdzīvotas vietas sākums" vai ar 533. ceļa zīmi "Dzīvojamā zona";</w:t>
            </w:r>
          </w:p>
          <w:p w14:paraId="3A0B8986" w14:textId="77777777" w:rsidR="00B22795" w:rsidRPr="00F163BC" w:rsidRDefault="00B22795" w:rsidP="00B22795">
            <w:pPr>
              <w:spacing w:after="160" w:line="256" w:lineRule="auto"/>
              <w:rPr>
                <w:rFonts w:eastAsia="Calibri"/>
                <w:b w:val="0"/>
                <w:sz w:val="20"/>
                <w:szCs w:val="20"/>
                <w:lang w:eastAsia="en-US"/>
              </w:rPr>
            </w:pPr>
            <w:r w:rsidRPr="00F163BC">
              <w:rPr>
                <w:rFonts w:eastAsia="Calibri"/>
                <w:b w:val="0"/>
                <w:sz w:val="20"/>
                <w:szCs w:val="20"/>
                <w:lang w:eastAsia="en-US"/>
              </w:rPr>
              <w:t xml:space="preserve">*** nepieredzējušiem vadītājiem, kravas automobiļu, kuru pilna masa pārsniedz 3,5 tonnas, automobiļu ar </w:t>
            </w:r>
            <w:proofErr w:type="gramStart"/>
            <w:r w:rsidRPr="00F163BC">
              <w:rPr>
                <w:rFonts w:eastAsia="Calibri"/>
                <w:b w:val="0"/>
                <w:sz w:val="20"/>
                <w:szCs w:val="20"/>
                <w:lang w:eastAsia="en-US"/>
              </w:rPr>
              <w:t>vairāk kā</w:t>
            </w:r>
            <w:proofErr w:type="gramEnd"/>
            <w:r w:rsidRPr="00F163BC">
              <w:rPr>
                <w:rFonts w:eastAsia="Calibri"/>
                <w:b w:val="0"/>
                <w:sz w:val="20"/>
                <w:szCs w:val="20"/>
                <w:lang w:eastAsia="en-US"/>
              </w:rPr>
              <w:t xml:space="preserve"> 9 sēdvietām un motociklu vadītājiem.</w:t>
            </w:r>
          </w:p>
          <w:p w14:paraId="67A7B8B0" w14:textId="77777777" w:rsidR="00B22795" w:rsidRPr="00F163BC" w:rsidRDefault="00B22795" w:rsidP="00047234">
            <w:pPr>
              <w:rPr>
                <w:rFonts w:eastAsia="Calibri"/>
                <w:sz w:val="20"/>
                <w:szCs w:val="20"/>
                <w:lang w:eastAsia="en-US"/>
              </w:rPr>
            </w:pPr>
          </w:p>
        </w:tc>
      </w:tr>
    </w:tbl>
    <w:p w14:paraId="4A3F3BC1" w14:textId="77777777" w:rsidR="00FB1FC0" w:rsidRPr="00F163BC" w:rsidRDefault="00FB1FC0" w:rsidP="00BE0218">
      <w:pPr>
        <w:jc w:val="both"/>
      </w:pPr>
    </w:p>
    <w:p w14:paraId="76E44330" w14:textId="77777777" w:rsidR="00386296" w:rsidRPr="00F163BC" w:rsidRDefault="00386296" w:rsidP="00386296">
      <w:pPr>
        <w:ind w:firstLine="720"/>
        <w:jc w:val="both"/>
        <w:rPr>
          <w:sz w:val="18"/>
          <w:szCs w:val="18"/>
        </w:rPr>
      </w:pPr>
      <w:r w:rsidRPr="00F163BC">
        <w:t xml:space="preserve">Ik gadu ievērojams skaits pārkāpumu tiek fiksēts ar ārvalstīs reģistrētiem transportlīdzekļiem, bet lēmums par administratīvā soda piemērošanu netiek pieņemts, jo transportlīdzeklis reģistrēts citā ES dalībvalstī vai trešajā valstī (Krievijā, </w:t>
      </w:r>
      <w:proofErr w:type="spellStart"/>
      <w:r w:rsidRPr="00F163BC">
        <w:t>Balkrievijā</w:t>
      </w:r>
      <w:proofErr w:type="spellEnd"/>
      <w:r w:rsidRPr="00F163BC">
        <w:t xml:space="preserve">, Ukrainā u.c.). </w:t>
      </w:r>
      <w:proofErr w:type="gramStart"/>
      <w:r w:rsidRPr="00F163BC">
        <w:t>2015.gadā</w:t>
      </w:r>
      <w:proofErr w:type="gramEnd"/>
      <w:r w:rsidRPr="00F163BC">
        <w:t xml:space="preserve"> lēmums par administratīvā soda piemērošanu netika pieņemts 18 551 gadījumā, 2016.gadā - 18 786 gadījumos, 2017.gadā - 57 896 gadījumos, </w:t>
      </w:r>
      <w:r w:rsidR="002B7E3A" w:rsidRPr="00F163BC">
        <w:t>savukārt 2018.gadā – 75 907</w:t>
      </w:r>
      <w:r w:rsidRPr="00F163BC">
        <w:t xml:space="preserve"> gadījumos.</w:t>
      </w:r>
    </w:p>
    <w:p w14:paraId="2DF26DBE" w14:textId="77777777" w:rsidR="00386296" w:rsidRPr="00F163BC" w:rsidRDefault="00386296" w:rsidP="006A40DC">
      <w:pPr>
        <w:ind w:firstLine="720"/>
        <w:jc w:val="both"/>
      </w:pPr>
    </w:p>
    <w:p w14:paraId="4868DBAE" w14:textId="77777777" w:rsidR="006A40DC" w:rsidRPr="00F163BC" w:rsidRDefault="006959CE" w:rsidP="006A40DC">
      <w:pPr>
        <w:ind w:firstLine="720"/>
        <w:jc w:val="both"/>
      </w:pPr>
      <w:r w:rsidRPr="00F163BC">
        <w:t>Pamatojoties uz Eiropas Parlamenta un Padomes direktīvā (ES) 2015/413 (2015. gada 11. marts), ar ko veicina pārrobežu informācijas apmaiņu par ceļu satiksmes drošības noteikumu pārkāpumiem noteiktajām procedūrām, s</w:t>
      </w:r>
      <w:r w:rsidR="00D65830" w:rsidRPr="00F163BC">
        <w:t xml:space="preserve">ākot ar </w:t>
      </w:r>
      <w:proofErr w:type="gramStart"/>
      <w:r w:rsidR="00D65830" w:rsidRPr="00F163BC">
        <w:t>2015.gada</w:t>
      </w:r>
      <w:proofErr w:type="gramEnd"/>
      <w:r w:rsidR="00D65830" w:rsidRPr="00F163BC">
        <w:t xml:space="preserve"> 1.novembri, protokoli–lēmumi tiek sūtīti </w:t>
      </w:r>
      <w:r w:rsidR="00386296" w:rsidRPr="00F163BC">
        <w:t xml:space="preserve">ne tikai Latvijā, bet arī citās </w:t>
      </w:r>
      <w:r w:rsidRPr="00F163BC">
        <w:t>Eiropas Savienības dalībvalstīs</w:t>
      </w:r>
      <w:r w:rsidR="00D65830" w:rsidRPr="00F163BC">
        <w:t xml:space="preserve"> reģistrēto transportlīdzekļu īpašniekiem</w:t>
      </w:r>
      <w:r w:rsidR="00E74232" w:rsidRPr="00F163BC">
        <w:t xml:space="preserve"> (</w:t>
      </w:r>
      <w:r w:rsidR="00D65830" w:rsidRPr="00F163BC">
        <w:t>turētājiem</w:t>
      </w:r>
      <w:r w:rsidR="00E74232" w:rsidRPr="00F163BC">
        <w:t>)</w:t>
      </w:r>
      <w:r w:rsidR="00D65830" w:rsidRPr="00F163BC">
        <w:t>.</w:t>
      </w:r>
      <w:r w:rsidRPr="00F163BC">
        <w:t xml:space="preserve"> </w:t>
      </w:r>
      <w:r w:rsidR="006A40DC" w:rsidRPr="00F163BC">
        <w:t xml:space="preserve">2015.gadā uzsākta protokolu-lēmumu nosūtīšana Lietuvā reģistrēto transportlīdzekļu īpašniekiem. No 2016.gada protokoli-lēmumi tiek sastādīti un nosūtīti </w:t>
      </w:r>
      <w:r w:rsidRPr="00F163BC">
        <w:t xml:space="preserve">arī </w:t>
      </w:r>
      <w:r w:rsidR="006A40DC" w:rsidRPr="00F163BC">
        <w:t>Igaunijā un Polijā reģistrēto transportlīdzekļu īpašniekiem (turētājiem). 2017.gada decembrī tika uzsākta protokolu</w:t>
      </w:r>
      <w:r w:rsidR="0064518D" w:rsidRPr="00F163BC">
        <w:t>-</w:t>
      </w:r>
      <w:r w:rsidR="006A40DC" w:rsidRPr="00F163BC">
        <w:t>lēmumu sūtīšana Somijā, Vācijā, Zviedrijā un Slovākijā</w:t>
      </w:r>
      <w:r w:rsidR="0064518D" w:rsidRPr="00F163BC">
        <w:t xml:space="preserve"> </w:t>
      </w:r>
      <w:r w:rsidR="006A40DC" w:rsidRPr="00F163BC">
        <w:t>reģistrēto transportlīdzekļu īpašniekiem</w:t>
      </w:r>
      <w:r w:rsidR="0064518D" w:rsidRPr="00F163BC">
        <w:t xml:space="preserve"> (</w:t>
      </w:r>
      <w:r w:rsidR="006A40DC" w:rsidRPr="00F163BC">
        <w:t>turētājiem</w:t>
      </w:r>
      <w:r w:rsidR="0064518D" w:rsidRPr="00F163BC">
        <w:t>)</w:t>
      </w:r>
      <w:r w:rsidR="009D20CE" w:rsidRPr="00F163BC">
        <w:t>.</w:t>
      </w:r>
      <w:r w:rsidR="00600D37" w:rsidRPr="00F163BC">
        <w:t xml:space="preserve"> </w:t>
      </w:r>
      <w:r w:rsidR="009D20CE" w:rsidRPr="00F163BC">
        <w:t xml:space="preserve">Savukārt </w:t>
      </w:r>
      <w:r w:rsidR="00600D37" w:rsidRPr="00F163BC">
        <w:t xml:space="preserve">2018.gada decembrī </w:t>
      </w:r>
      <w:r w:rsidR="00DF7A52" w:rsidRPr="00F163BC">
        <w:t xml:space="preserve">uzsākta administratīvo sodu piemērošana </w:t>
      </w:r>
      <w:r w:rsidR="00600D37" w:rsidRPr="00F163BC">
        <w:t>Lielbritānijā reģistrēto transportlīdzekļu īpašniekiem (turētājiem).</w:t>
      </w:r>
    </w:p>
    <w:p w14:paraId="79C06AE3" w14:textId="77777777" w:rsidR="00AE704E" w:rsidRPr="00F163BC" w:rsidRDefault="00AE704E" w:rsidP="006A40DC">
      <w:pPr>
        <w:ind w:firstLine="720"/>
        <w:jc w:val="both"/>
      </w:pPr>
    </w:p>
    <w:p w14:paraId="65D18E02" w14:textId="77777777" w:rsidR="005C439C" w:rsidRPr="00F163BC" w:rsidRDefault="00AE704E" w:rsidP="001E31B4">
      <w:pPr>
        <w:ind w:firstLine="720"/>
        <w:jc w:val="right"/>
      </w:pPr>
      <w:r w:rsidRPr="00F163BC">
        <w:rPr>
          <w:bCs/>
        </w:rPr>
        <w:t xml:space="preserve">10.attēls </w:t>
      </w:r>
    </w:p>
    <w:p w14:paraId="3341D332" w14:textId="77777777" w:rsidR="00190234" w:rsidRPr="00F163BC" w:rsidRDefault="00190234" w:rsidP="00190234">
      <w:pPr>
        <w:jc w:val="both"/>
      </w:pPr>
      <w:r w:rsidRPr="00F163BC">
        <w:rPr>
          <w:noProof/>
        </w:rPr>
        <w:lastRenderedPageBreak/>
        <w:drawing>
          <wp:inline distT="0" distB="0" distL="0" distR="0" wp14:anchorId="7E683DBC" wp14:editId="00154FF5">
            <wp:extent cx="5276850" cy="20002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4FF14A" w14:textId="77777777" w:rsidR="004E3325" w:rsidRPr="00F163BC" w:rsidRDefault="004E3325" w:rsidP="007453AF">
      <w:pPr>
        <w:ind w:firstLine="720"/>
        <w:jc w:val="both"/>
      </w:pPr>
    </w:p>
    <w:p w14:paraId="38E892B4" w14:textId="77777777" w:rsidR="001A5B15" w:rsidRPr="00F163BC" w:rsidRDefault="00D65830" w:rsidP="001E31B4">
      <w:pPr>
        <w:pStyle w:val="NormalWeb"/>
        <w:spacing w:before="0" w:beforeAutospacing="0" w:after="0" w:afterAutospacing="0"/>
        <w:jc w:val="both"/>
        <w:rPr>
          <w:b/>
          <w:sz w:val="28"/>
          <w:szCs w:val="28"/>
        </w:rPr>
      </w:pPr>
      <w:r w:rsidRPr="00F163BC">
        <w:rPr>
          <w:lang w:val="lv-LV"/>
        </w:rPr>
        <w:t xml:space="preserve">   </w:t>
      </w:r>
      <w:r w:rsidR="00B62D84" w:rsidRPr="00F163BC">
        <w:rPr>
          <w:lang w:val="lv-LV"/>
        </w:rPr>
        <w:tab/>
      </w:r>
      <w:r w:rsidRPr="00F163BC">
        <w:rPr>
          <w:lang w:val="lv-LV"/>
        </w:rPr>
        <w:t xml:space="preserve">        </w:t>
      </w:r>
    </w:p>
    <w:p w14:paraId="4D50CFBE" w14:textId="4FDAA4DF" w:rsidR="0087438B" w:rsidRPr="00F163BC" w:rsidRDefault="00D65830" w:rsidP="00D65830">
      <w:pPr>
        <w:jc w:val="center"/>
        <w:rPr>
          <w:b/>
          <w:sz w:val="28"/>
          <w:szCs w:val="28"/>
        </w:rPr>
      </w:pPr>
      <w:r w:rsidRPr="00F163BC">
        <w:rPr>
          <w:b/>
          <w:sz w:val="28"/>
          <w:szCs w:val="28"/>
        </w:rPr>
        <w:t>1.</w:t>
      </w:r>
      <w:r w:rsidR="00470025">
        <w:rPr>
          <w:b/>
          <w:sz w:val="28"/>
          <w:szCs w:val="28"/>
        </w:rPr>
        <w:t>2</w:t>
      </w:r>
      <w:r w:rsidRPr="00F163BC">
        <w:rPr>
          <w:b/>
          <w:sz w:val="28"/>
          <w:szCs w:val="28"/>
        </w:rPr>
        <w:t>. Pašvaldību, pilsētu domju un nevalstisko organizāciju</w:t>
      </w:r>
    </w:p>
    <w:p w14:paraId="303E8963" w14:textId="77777777" w:rsidR="00D65830" w:rsidRPr="00F163BC" w:rsidRDefault="00D65830" w:rsidP="00D65830">
      <w:pPr>
        <w:jc w:val="center"/>
        <w:rPr>
          <w:b/>
          <w:sz w:val="28"/>
          <w:szCs w:val="28"/>
        </w:rPr>
      </w:pPr>
      <w:r w:rsidRPr="00F163BC">
        <w:rPr>
          <w:b/>
          <w:sz w:val="28"/>
          <w:szCs w:val="28"/>
        </w:rPr>
        <w:t xml:space="preserve"> viedokļi un priekšlikumi </w:t>
      </w:r>
    </w:p>
    <w:p w14:paraId="6A295AE0" w14:textId="77777777" w:rsidR="00D65830" w:rsidRPr="00F163BC" w:rsidRDefault="00D65830" w:rsidP="00D65830">
      <w:pPr>
        <w:jc w:val="center"/>
        <w:rPr>
          <w:b/>
          <w:sz w:val="28"/>
          <w:szCs w:val="28"/>
        </w:rPr>
      </w:pPr>
    </w:p>
    <w:p w14:paraId="4F904141" w14:textId="77777777" w:rsidR="0087438B" w:rsidRPr="00F163BC" w:rsidRDefault="00D65830" w:rsidP="00D65830">
      <w:pPr>
        <w:pStyle w:val="NormalWeb"/>
        <w:spacing w:before="0" w:beforeAutospacing="0" w:after="0" w:afterAutospacing="0"/>
        <w:jc w:val="both"/>
        <w:rPr>
          <w:lang w:val="lv-LV"/>
        </w:rPr>
      </w:pPr>
      <w:r w:rsidRPr="00F163BC">
        <w:rPr>
          <w:lang w:val="lv-LV"/>
        </w:rPr>
        <w:t xml:space="preserve">        Par stacionāro fotoradaru darbību </w:t>
      </w:r>
      <w:proofErr w:type="gramStart"/>
      <w:r w:rsidRPr="00F163BC">
        <w:rPr>
          <w:lang w:val="lv-LV"/>
        </w:rPr>
        <w:t>2017.gadā</w:t>
      </w:r>
      <w:proofErr w:type="gramEnd"/>
      <w:r w:rsidRPr="00F163BC">
        <w:rPr>
          <w:lang w:val="lv-LV"/>
        </w:rPr>
        <w:t xml:space="preserve"> saņemti viedokļi</w:t>
      </w:r>
      <w:r w:rsidRPr="00F163BC">
        <w:rPr>
          <w:i/>
          <w:lang w:val="lv-LV"/>
        </w:rPr>
        <w:t xml:space="preserve"> </w:t>
      </w:r>
      <w:r w:rsidRPr="00F163BC">
        <w:rPr>
          <w:lang w:val="lv-LV"/>
        </w:rPr>
        <w:t>no 27 novad</w:t>
      </w:r>
      <w:r w:rsidR="00BF667F" w:rsidRPr="00F163BC">
        <w:rPr>
          <w:lang w:val="lv-LV"/>
        </w:rPr>
        <w:t>u</w:t>
      </w:r>
      <w:r w:rsidRPr="00F163BC">
        <w:rPr>
          <w:lang w:val="lv-LV"/>
        </w:rPr>
        <w:t xml:space="preserve"> pašvaldībām (Aknīstes, Ādažu, Babītes, Baldones, Bauskas, Brocēnu, Carnikavas, Daugavpils, Durbes, Engures, Grobiņas, Iecavas, Jelgavas, Kocēnu, Ķeguma, Ķekavas, Līgatnes, Mārupes, Olaines, Ozolnieku, Priekuļu, Ropažu, Salacgrīvas, Salaspils, Skrundas, Stopiņu</w:t>
      </w:r>
      <w:r w:rsidR="00BF667F" w:rsidRPr="00F163BC">
        <w:rPr>
          <w:lang w:val="lv-LV"/>
        </w:rPr>
        <w:t xml:space="preserve"> un</w:t>
      </w:r>
      <w:r w:rsidRPr="00F163BC">
        <w:rPr>
          <w:lang w:val="lv-LV"/>
        </w:rPr>
        <w:t xml:space="preserve"> Ventspils</w:t>
      </w:r>
      <w:r w:rsidR="00BF667F" w:rsidRPr="00F163BC">
        <w:rPr>
          <w:lang w:val="lv-LV"/>
        </w:rPr>
        <w:t xml:space="preserve"> novads</w:t>
      </w:r>
      <w:r w:rsidRPr="00F163BC">
        <w:rPr>
          <w:lang w:val="lv-LV"/>
        </w:rPr>
        <w:t>), 3 pilsētu domēm (Jelgava, Rīga, Rēzekne) un 2 nevalstiskajām organizācijām (Latvijas Transportlīdzekļu apdrošinātāju biroj</w:t>
      </w:r>
      <w:r w:rsidR="00BF667F" w:rsidRPr="00F163BC">
        <w:rPr>
          <w:lang w:val="lv-LV"/>
        </w:rPr>
        <w:t>s</w:t>
      </w:r>
      <w:r w:rsidRPr="00F163BC">
        <w:rPr>
          <w:lang w:val="lv-LV"/>
        </w:rPr>
        <w:t xml:space="preserve">, Latvijas </w:t>
      </w:r>
      <w:r w:rsidR="00E20499" w:rsidRPr="00F163BC">
        <w:rPr>
          <w:lang w:val="lv-LV"/>
        </w:rPr>
        <w:t xml:space="preserve">Automoto </w:t>
      </w:r>
      <w:r w:rsidRPr="00F163BC">
        <w:rPr>
          <w:lang w:val="lv-LV"/>
        </w:rPr>
        <w:t>biedrība).</w:t>
      </w:r>
    </w:p>
    <w:p w14:paraId="6C243A72" w14:textId="77777777" w:rsidR="0087438B" w:rsidRPr="00F163BC" w:rsidRDefault="00D65830" w:rsidP="0087438B">
      <w:pPr>
        <w:pStyle w:val="NormalWeb"/>
        <w:spacing w:before="0" w:beforeAutospacing="0" w:after="0" w:afterAutospacing="0"/>
        <w:ind w:firstLine="720"/>
        <w:jc w:val="both"/>
        <w:rPr>
          <w:lang w:val="lv-LV"/>
        </w:rPr>
      </w:pPr>
      <w:r w:rsidRPr="00F163BC">
        <w:rPr>
          <w:lang w:val="lv-LV"/>
        </w:rPr>
        <w:t>√ Kopumā pašvaldības novadu un pilsētu teritorijās izvietoto fotoradaru darbības ietekmi uz ceļu satiksmes drošības uzlabošanu, kā arī vairāk apdraudēto ceļu satiksmes dalībnieku gājēju, velosipēdistu drošību uz ceļiem, vērtē pozitīvi, norādot, ka uzstādītie fotoradari disciplinē gan vietējos autovadītājus, gan tos, kas brauc tranzītā, ievērot atļautā braukšanas ātruma ierobežojumus. Fotoradaru uzstādīšanas vietās kopējais transportlīdzekļu plūsmas ātrums ir samazinājies, satiksmes plūsma ir mierīgāka un paredzamāka, avārijas situācijas ar cietušajiem un b</w:t>
      </w:r>
      <w:r w:rsidR="0087438B" w:rsidRPr="00F163BC">
        <w:rPr>
          <w:lang w:val="lv-LV"/>
        </w:rPr>
        <w:t>ojāgājušajiem nav konstatētas.</w:t>
      </w:r>
    </w:p>
    <w:p w14:paraId="44E30D77" w14:textId="77777777" w:rsidR="00D65830" w:rsidRPr="00F163BC" w:rsidRDefault="00D65830" w:rsidP="0087438B">
      <w:pPr>
        <w:pStyle w:val="NormalWeb"/>
        <w:spacing w:before="0" w:beforeAutospacing="0" w:after="0" w:afterAutospacing="0"/>
        <w:ind w:firstLine="720"/>
        <w:jc w:val="both"/>
        <w:rPr>
          <w:lang w:val="lv-LV"/>
        </w:rPr>
      </w:pPr>
      <w:r w:rsidRPr="00F163BC">
        <w:rPr>
          <w:lang w:val="lv-LV"/>
        </w:rPr>
        <w:t xml:space="preserve">√ Atsauksmes par izvēlētām </w:t>
      </w:r>
      <w:r w:rsidR="00BF667F" w:rsidRPr="00F163BC">
        <w:rPr>
          <w:lang w:val="lv-LV"/>
        </w:rPr>
        <w:t>stacionāro fotoradaru</w:t>
      </w:r>
      <w:r w:rsidR="00BF667F" w:rsidRPr="00F163BC">
        <w:rPr>
          <w:i/>
          <w:lang w:val="lv-LV"/>
        </w:rPr>
        <w:t xml:space="preserve"> </w:t>
      </w:r>
      <w:r w:rsidRPr="00F163BC">
        <w:rPr>
          <w:lang w:val="lv-LV"/>
        </w:rPr>
        <w:t>vietām ir dažādas. Piemēram, Aknīstes, Ādažu, Baldones, Carnikavas, Daugavpils, Durbes, Jelgavas, Grobiņas, Stopiņu</w:t>
      </w:r>
      <w:r w:rsidR="00BF667F" w:rsidRPr="00F163BC">
        <w:rPr>
          <w:lang w:val="lv-LV"/>
        </w:rPr>
        <w:t xml:space="preserve"> un</w:t>
      </w:r>
      <w:r w:rsidRPr="00F163BC">
        <w:rPr>
          <w:lang w:val="lv-LV"/>
        </w:rPr>
        <w:t xml:space="preserve"> Ventspils novadu pašvaldības uzskata, ka izvēlētā fotoradara atrašanās vieta novada teritorijā ir efektīva, jo fotoradars veic ne tikai ātruma kontroles režīma ievērošanu, bet arī darbojas preventīvi, kas kopumā ilgtermiņā veicina vidējā satiksmes plūsmas ātruma samazināšanu. Mārupes novada pašvaldība uzskata, ka </w:t>
      </w:r>
      <w:r w:rsidR="00BF667F" w:rsidRPr="00F163BC">
        <w:rPr>
          <w:lang w:val="lv-LV"/>
        </w:rPr>
        <w:t xml:space="preserve">stacionāro fotoradaru </w:t>
      </w:r>
      <w:r w:rsidRPr="00F163BC">
        <w:rPr>
          <w:lang w:val="lv-LV"/>
        </w:rPr>
        <w:t>uzstādīšana novada teritorijā ir jāturpina, bet vēlams uzklausīt arī pašvaldības speciālistu viedokļus par uzstādīšanas vietu prioritātēm. Babītes novada pašvaldīb</w:t>
      </w:r>
      <w:r w:rsidR="00BF667F" w:rsidRPr="00F163BC">
        <w:rPr>
          <w:lang w:val="lv-LV"/>
        </w:rPr>
        <w:t>a norāda, ka</w:t>
      </w:r>
      <w:r w:rsidRPr="00F163BC">
        <w:rPr>
          <w:lang w:val="lv-LV"/>
        </w:rPr>
        <w:t xml:space="preserve"> stacionārais fotoradars ir uzstādīts vienā vietā, līdz ar to spriest par tā efektīvu darbību nevar, jo, lai to darbība būtu efektīva, būtu nepieciešams izveidot fotoradaru tīklu, kas paaugstinātu satiksmes drošību pašvaldības teritorijā.</w:t>
      </w:r>
      <w:r w:rsidR="0087438B" w:rsidRPr="00F163BC">
        <w:rPr>
          <w:lang w:val="lv-LV"/>
        </w:rPr>
        <w:tab/>
      </w:r>
      <w:r w:rsidRPr="00F163BC">
        <w:rPr>
          <w:lang w:val="lv-LV"/>
        </w:rPr>
        <w:t xml:space="preserve">√ Papildus </w:t>
      </w:r>
      <w:r w:rsidR="00630032" w:rsidRPr="00F163BC">
        <w:rPr>
          <w:lang w:val="lv-LV"/>
        </w:rPr>
        <w:t xml:space="preserve">novadu </w:t>
      </w:r>
      <w:r w:rsidRPr="00F163BC">
        <w:rPr>
          <w:lang w:val="lv-LV"/>
        </w:rPr>
        <w:t>pašvaldības izsaka vēlmi pašvaldības teritorijās gan uz autoceļiem, gan pilsētu ielās izvietot vēl papildus stacionāros un pārvietojamos fotoradarus, norādot jau konkrētas vietas.</w:t>
      </w:r>
    </w:p>
    <w:p w14:paraId="5588775B" w14:textId="77777777" w:rsidR="00D65830" w:rsidRPr="00F163BC" w:rsidRDefault="00D65830" w:rsidP="0087438B">
      <w:pPr>
        <w:pStyle w:val="NormalWeb"/>
        <w:spacing w:before="0" w:beforeAutospacing="0" w:after="0" w:afterAutospacing="0"/>
        <w:ind w:firstLine="720"/>
        <w:jc w:val="both"/>
        <w:rPr>
          <w:lang w:val="lv-LV"/>
        </w:rPr>
      </w:pPr>
      <w:r w:rsidRPr="00F163BC">
        <w:rPr>
          <w:lang w:val="lv-LV"/>
        </w:rPr>
        <w:t>√ Aknīstes un Olaines novada pašvaldības speciālisti kā visefektīvāko un ekonomiski pamatotāko risinājumu atļautā braukšanas ātruma ievērošanai ierosina uzstādīt uz saviem novada ceļiem vidējā ātruma kontroles sistēmu.</w:t>
      </w:r>
    </w:p>
    <w:p w14:paraId="6F57B1D3" w14:textId="77777777" w:rsidR="00D65830" w:rsidRPr="00F163BC" w:rsidRDefault="00D65830" w:rsidP="0087438B">
      <w:pPr>
        <w:pStyle w:val="NormalWeb"/>
        <w:spacing w:before="0" w:beforeAutospacing="0" w:after="0" w:afterAutospacing="0"/>
        <w:ind w:firstLine="720"/>
        <w:jc w:val="both"/>
        <w:rPr>
          <w:i/>
          <w:lang w:val="lv-LV"/>
        </w:rPr>
      </w:pPr>
      <w:r w:rsidRPr="00F163BC">
        <w:rPr>
          <w:lang w:val="lv-LV"/>
        </w:rPr>
        <w:t xml:space="preserve">√ Jelgavas pilsētas pašvaldība </w:t>
      </w:r>
      <w:r w:rsidR="008117C2" w:rsidRPr="00F163BC">
        <w:rPr>
          <w:lang w:val="lv-LV"/>
        </w:rPr>
        <w:t xml:space="preserve">aicina </w:t>
      </w:r>
      <w:r w:rsidRPr="00F163BC">
        <w:rPr>
          <w:lang w:val="lv-LV"/>
        </w:rPr>
        <w:t>izvērtēt iespēju palielināt fotoradaru skaitu pilsētā.</w:t>
      </w:r>
    </w:p>
    <w:p w14:paraId="124DEEB4" w14:textId="77777777" w:rsidR="00D65830" w:rsidRPr="00F163BC" w:rsidRDefault="00D65830" w:rsidP="0087438B">
      <w:pPr>
        <w:pStyle w:val="NormalWeb"/>
        <w:spacing w:before="0" w:beforeAutospacing="0" w:after="0" w:afterAutospacing="0"/>
        <w:ind w:firstLine="720"/>
        <w:jc w:val="both"/>
        <w:rPr>
          <w:lang w:val="lv-LV"/>
        </w:rPr>
      </w:pPr>
      <w:r w:rsidRPr="00F163BC">
        <w:rPr>
          <w:lang w:val="lv-LV"/>
        </w:rPr>
        <w:lastRenderedPageBreak/>
        <w:t>√ Latvijas Automoto biedrība</w:t>
      </w:r>
      <w:r w:rsidR="004E3325" w:rsidRPr="00F163BC">
        <w:rPr>
          <w:lang w:val="lv-LV"/>
        </w:rPr>
        <w:t xml:space="preserve"> </w:t>
      </w:r>
      <w:r w:rsidRPr="00F163BC">
        <w:rPr>
          <w:lang w:val="lv-LV"/>
        </w:rPr>
        <w:t xml:space="preserve">(turpmāk – LAMB) norāda, ka </w:t>
      </w:r>
      <w:proofErr w:type="gramStart"/>
      <w:r w:rsidRPr="00F163BC">
        <w:rPr>
          <w:lang w:val="lv-LV"/>
        </w:rPr>
        <w:t>2017.gads</w:t>
      </w:r>
      <w:proofErr w:type="gramEnd"/>
      <w:r w:rsidRPr="00F163BC">
        <w:rPr>
          <w:lang w:val="lv-LV"/>
        </w:rPr>
        <w:t xml:space="preserve"> kļuvis par drošāko uz Latvijas ceļiem</w:t>
      </w:r>
      <w:r w:rsidR="00AE704E" w:rsidRPr="00F163BC">
        <w:rPr>
          <w:lang w:val="lv-LV"/>
        </w:rPr>
        <w:t xml:space="preserve"> –</w:t>
      </w:r>
      <w:r w:rsidRPr="00F163BC">
        <w:rPr>
          <w:lang w:val="lv-LV"/>
        </w:rPr>
        <w:t xml:space="preserve"> salīdzinājumā ar 2016.gadu par 9 % ir samazinājies bojāgājušo gājēju skaits. Viens no iemesliem ir fotoradaru ieviešana. Fotoradaru tīkla izveide visā Latvijā, izvietojot tos bīstamās vietās, kur pārsniegtais ātrums var izraisīt nopietnas sekas dalībnieku veselībai un pat dzīvībai, ir loģiska un saprotama.</w:t>
      </w:r>
    </w:p>
    <w:p w14:paraId="52CB3D64" w14:textId="77777777" w:rsidR="00D65830" w:rsidRPr="00F163BC" w:rsidRDefault="00D65830" w:rsidP="0087438B">
      <w:pPr>
        <w:pStyle w:val="NormalWeb"/>
        <w:spacing w:before="0" w:beforeAutospacing="0" w:after="0" w:afterAutospacing="0"/>
        <w:ind w:firstLine="720"/>
        <w:jc w:val="both"/>
        <w:rPr>
          <w:lang w:val="lv-LV"/>
        </w:rPr>
      </w:pPr>
      <w:r w:rsidRPr="00F163BC">
        <w:rPr>
          <w:lang w:val="lv-LV"/>
        </w:rPr>
        <w:t xml:space="preserve">LAMB aicina izvērtēt iespēju Latvijā ieviest Zviedrijas piemēru, kur ir </w:t>
      </w:r>
      <w:proofErr w:type="gramStart"/>
      <w:r w:rsidRPr="00F163BC">
        <w:rPr>
          <w:lang w:val="lv-LV"/>
        </w:rPr>
        <w:t>vairāk kā</w:t>
      </w:r>
      <w:proofErr w:type="gramEnd"/>
      <w:r w:rsidRPr="00F163BC">
        <w:rPr>
          <w:lang w:val="lv-LV"/>
        </w:rPr>
        <w:t xml:space="preserve"> 1700 stacionāro fotoradaru, tomēr vienlaikus strādā tikai 5 procenti no tiem, jo īpašs algoritms ar datorprogrammas palīdzību nosaka, kuri fotoradari kurā brīdī darbojas, bet autovadītāji to nezina. Viņuprāt, fotoradaru galvenais uzdevums ir atgādināt par ātruma ierobežojumiem, nevis sodīt, jo svarīgāk ir panākt, lai autovadītāji ievēro atļauto braukšanas ātrumu, nevis iekasēt pēc iespējas vairāk naudas. LAMB atbalsta valsts institūciju centienus stiprināt satiksmes drošību. </w:t>
      </w:r>
    </w:p>
    <w:p w14:paraId="59FF028A" w14:textId="77777777" w:rsidR="00D65830" w:rsidRPr="00F163BC" w:rsidRDefault="00D65830" w:rsidP="0087438B">
      <w:pPr>
        <w:pStyle w:val="NormalWeb"/>
        <w:spacing w:before="0" w:beforeAutospacing="0" w:after="0" w:afterAutospacing="0"/>
        <w:ind w:firstLine="720"/>
        <w:jc w:val="both"/>
        <w:rPr>
          <w:lang w:val="lv-LV"/>
        </w:rPr>
      </w:pPr>
      <w:r w:rsidRPr="00F163BC">
        <w:rPr>
          <w:lang w:val="lv-LV"/>
        </w:rPr>
        <w:t>√ Latvijas Transportlīdzekļu apdrošinātāju birojs (turpmāk – LTAB)</w:t>
      </w:r>
      <w:r w:rsidR="00630032" w:rsidRPr="00F163BC">
        <w:rPr>
          <w:lang w:val="lv-LV"/>
        </w:rPr>
        <w:t xml:space="preserve"> </w:t>
      </w:r>
      <w:r w:rsidRPr="00F163BC">
        <w:rPr>
          <w:lang w:val="lv-LV"/>
        </w:rPr>
        <w:t>uzskata, ka fotoradaru tīkla izveide visā Latvijā ir efektīvs rīks, kā ikdienā ierobežot ātruma pārsniegšanu, tādējādi sekmējot arī satiksmes drošības situācijas uzlabošanu. LTAB veiktajā aptaujā secināts, ka 30% autovadītāju, kuri tendēti pārsniegt ātruma ierobežojumu, pirms fotoradariem to samazina. LTAB ieteikums rūpīgāk izanalizēt fotoradaru izvietošanas vietas, uzstādot tos ne tikai t.s. “melnajos punktos”, bet arī ņemt vērā citu</w:t>
      </w:r>
      <w:r w:rsidR="004C243F" w:rsidRPr="00F163BC">
        <w:rPr>
          <w:lang w:val="lv-LV"/>
        </w:rPr>
        <w:t>s</w:t>
      </w:r>
      <w:r w:rsidRPr="00F163BC">
        <w:rPr>
          <w:lang w:val="lv-LV"/>
        </w:rPr>
        <w:t xml:space="preserve"> apstākļus, </w:t>
      </w:r>
      <w:proofErr w:type="gramStart"/>
      <w:r w:rsidRPr="00F163BC">
        <w:rPr>
          <w:lang w:val="lv-LV"/>
        </w:rPr>
        <w:t>piemēram</w:t>
      </w:r>
      <w:proofErr w:type="gramEnd"/>
      <w:r w:rsidRPr="00F163BC">
        <w:rPr>
          <w:lang w:val="lv-LV"/>
        </w:rPr>
        <w:t xml:space="preserve"> vietās, kurās visbiežāk ir fiksēti ātruma pārsniegumi, pirms grūti pārredzamajiem krustojumiem u.tml. Vienlaikus LTAB ierosina rīkot regulāras akcijas, kas atsevišķus fotoradarus uz laiku ieslēdz pilnas satiksmes plūsmas kontrolei, lai tos fokusētu ne tikai uz atļautā braukšanas ātruma pārsniegšanas fiksēšanu, bet arī transportlīdzekļu īpašnieku obligātās civiltiesiskās atbildības apdrošināšanas spēkā esamības kontroli, kā arī to, vai transportlīdzeklim ir izieta tehniskā apskate, jo autovadītāji izdara arī citus pārkāpumus, kurus var konstatēt ar fotoradariem.</w:t>
      </w:r>
    </w:p>
    <w:p w14:paraId="2711407A" w14:textId="77777777" w:rsidR="00D65830" w:rsidRPr="00F163BC" w:rsidRDefault="00D65830" w:rsidP="00D65830">
      <w:pPr>
        <w:jc w:val="center"/>
        <w:rPr>
          <w:b/>
          <w:sz w:val="28"/>
          <w:szCs w:val="28"/>
        </w:rPr>
      </w:pPr>
    </w:p>
    <w:p w14:paraId="5BE341B7" w14:textId="77777777" w:rsidR="005F26E5" w:rsidRPr="00F163BC" w:rsidRDefault="005F26E5" w:rsidP="00FA41F3">
      <w:pPr>
        <w:jc w:val="center"/>
        <w:rPr>
          <w:b/>
          <w:sz w:val="28"/>
          <w:szCs w:val="28"/>
        </w:rPr>
      </w:pPr>
    </w:p>
    <w:p w14:paraId="385CE891" w14:textId="77777777" w:rsidR="00FA41F3" w:rsidRPr="00F163BC" w:rsidRDefault="00FA41F3" w:rsidP="00FA41F3">
      <w:pPr>
        <w:jc w:val="center"/>
        <w:rPr>
          <w:b/>
          <w:sz w:val="28"/>
          <w:szCs w:val="28"/>
        </w:rPr>
      </w:pPr>
      <w:r w:rsidRPr="00F163BC">
        <w:rPr>
          <w:b/>
          <w:sz w:val="28"/>
          <w:szCs w:val="28"/>
        </w:rPr>
        <w:t xml:space="preserve">2. </w:t>
      </w:r>
      <w:r w:rsidR="00D65830" w:rsidRPr="00F163BC">
        <w:rPr>
          <w:b/>
          <w:sz w:val="28"/>
          <w:szCs w:val="28"/>
        </w:rPr>
        <w:t>Priekšlikumi par turpmāko rīcību</w:t>
      </w:r>
    </w:p>
    <w:p w14:paraId="5F52C968" w14:textId="77777777" w:rsidR="00FA41F3" w:rsidRPr="00F163BC" w:rsidRDefault="00FA41F3" w:rsidP="00FA41F3">
      <w:pPr>
        <w:ind w:left="1080"/>
        <w:rPr>
          <w:b/>
          <w:sz w:val="28"/>
          <w:szCs w:val="28"/>
        </w:rPr>
      </w:pPr>
    </w:p>
    <w:p w14:paraId="0605869B" w14:textId="77777777" w:rsidR="00D65830" w:rsidRPr="00F163BC" w:rsidRDefault="00FA41F3" w:rsidP="00FA41F3">
      <w:pPr>
        <w:ind w:firstLine="720"/>
        <w:rPr>
          <w:b/>
          <w:sz w:val="28"/>
          <w:szCs w:val="28"/>
        </w:rPr>
      </w:pPr>
      <w:r w:rsidRPr="00F163BC">
        <w:rPr>
          <w:b/>
          <w:sz w:val="28"/>
          <w:szCs w:val="28"/>
        </w:rPr>
        <w:t xml:space="preserve">2.1. 2015. -2018. gadā uzstādīto fotoradaru </w:t>
      </w:r>
      <w:r w:rsidR="00985CA2" w:rsidRPr="00F163BC">
        <w:rPr>
          <w:b/>
          <w:sz w:val="28"/>
          <w:szCs w:val="28"/>
        </w:rPr>
        <w:t xml:space="preserve">(I posms) </w:t>
      </w:r>
      <w:r w:rsidRPr="00F163BC">
        <w:rPr>
          <w:b/>
          <w:sz w:val="28"/>
          <w:szCs w:val="28"/>
        </w:rPr>
        <w:t>darbības nodrošināšana</w:t>
      </w:r>
    </w:p>
    <w:p w14:paraId="1D09AA66" w14:textId="77777777" w:rsidR="00D65830" w:rsidRPr="00F163BC" w:rsidRDefault="00D65830" w:rsidP="00D65830">
      <w:pPr>
        <w:jc w:val="center"/>
        <w:rPr>
          <w:b/>
          <w:sz w:val="28"/>
          <w:szCs w:val="28"/>
        </w:rPr>
      </w:pPr>
    </w:p>
    <w:p w14:paraId="16DAC67A" w14:textId="17CE5A7E" w:rsidR="00D65830" w:rsidRPr="00F163BC" w:rsidRDefault="00D65830" w:rsidP="00D65830">
      <w:pPr>
        <w:jc w:val="both"/>
        <w:rPr>
          <w:rFonts w:eastAsia="Calibri"/>
          <w:lang w:eastAsia="en-US"/>
        </w:rPr>
      </w:pPr>
      <w:r w:rsidRPr="00F163BC">
        <w:t xml:space="preserve">    </w:t>
      </w:r>
      <w:r w:rsidR="00D806DB" w:rsidRPr="00F163BC">
        <w:tab/>
      </w:r>
      <w:r w:rsidRPr="00F163BC">
        <w:t xml:space="preserve">Ņemot vērā </w:t>
      </w:r>
      <w:r w:rsidR="003D7DEC" w:rsidRPr="00F163BC">
        <w:t xml:space="preserve">VP </w:t>
      </w:r>
      <w:r w:rsidRPr="00F163BC">
        <w:t xml:space="preserve">pieredzi darbā ar tehniskiem līdzekļiem (fotoradariem), paredzams, ka </w:t>
      </w:r>
      <w:r w:rsidR="0079778A" w:rsidRPr="00F163BC">
        <w:t xml:space="preserve">2015.- </w:t>
      </w:r>
      <w:proofErr w:type="gramStart"/>
      <w:r w:rsidR="0079778A" w:rsidRPr="00F163BC">
        <w:t>2018.gadā</w:t>
      </w:r>
      <w:proofErr w:type="gramEnd"/>
      <w:r w:rsidR="0079778A" w:rsidRPr="00F163BC">
        <w:t xml:space="preserve"> </w:t>
      </w:r>
      <w:r w:rsidRPr="00F163BC">
        <w:t xml:space="preserve"> </w:t>
      </w:r>
      <w:r w:rsidR="0079778A" w:rsidRPr="00F163BC">
        <w:t xml:space="preserve">CSDD uzstādītos 100 </w:t>
      </w:r>
      <w:r w:rsidRPr="00F163BC">
        <w:t xml:space="preserve">“GATSO” fotoradarus būs iespējams izmantot </w:t>
      </w:r>
      <w:r w:rsidR="00C52B96" w:rsidRPr="00F163BC">
        <w:t xml:space="preserve">arī </w:t>
      </w:r>
      <w:r w:rsidRPr="00F163BC">
        <w:t xml:space="preserve">pēc </w:t>
      </w:r>
      <w:r w:rsidRPr="00F163BC">
        <w:rPr>
          <w:bCs/>
        </w:rPr>
        <w:t xml:space="preserve">Ministru kabineta </w:t>
      </w:r>
      <w:r w:rsidR="00334A94" w:rsidRPr="00F163BC">
        <w:t>2014.gada 29.</w:t>
      </w:r>
      <w:r w:rsidRPr="00F163BC">
        <w:t xml:space="preserve">jūlija rīkojumā Nr. 382 “Par Iekšlietu ministrijas ilgtermiņa saistībām ceļu satiksmes pārkāpumu fiksēšanas tehnisko līdzekļu (fotoradaru) darbības nodrošināšanai” (turpmāk – </w:t>
      </w:r>
      <w:r w:rsidRPr="00F163BC">
        <w:rPr>
          <w:bCs/>
        </w:rPr>
        <w:t>rīkojums Nr.382)</w:t>
      </w:r>
      <w:r w:rsidRPr="00F163BC">
        <w:t xml:space="preserve"> noteiktā termiņa, proti, 2023.gada 31.decembra, </w:t>
      </w:r>
      <w:r w:rsidR="00334A94" w:rsidRPr="00F163BC">
        <w:t xml:space="preserve">līdz brīdim, kamēr </w:t>
      </w:r>
      <w:r w:rsidR="00F1131E">
        <w:t xml:space="preserve">tie </w:t>
      </w:r>
      <w:r w:rsidR="00334A94" w:rsidRPr="00F163BC">
        <w:t>tiks</w:t>
      </w:r>
      <w:r w:rsidRPr="00F163BC">
        <w:t xml:space="preserve"> atzīt</w:t>
      </w:r>
      <w:r w:rsidR="00F1131E">
        <w:t xml:space="preserve">i par derīgiem (atkārtoti verificēti) atbilstoši </w:t>
      </w:r>
      <w:r w:rsidR="00334A94" w:rsidRPr="00F163BC">
        <w:rPr>
          <w:rFonts w:eastAsia="Calibri"/>
          <w:lang w:eastAsia="en-US"/>
        </w:rPr>
        <w:t>normatīvajos aktos noteiktajām metroloģiskajām prasībām.</w:t>
      </w:r>
      <w:r w:rsidR="00785C7F" w:rsidRPr="00F163BC">
        <w:rPr>
          <w:rFonts w:eastAsia="Calibri"/>
          <w:lang w:eastAsia="en-US"/>
        </w:rPr>
        <w:t xml:space="preserve"> </w:t>
      </w:r>
      <w:r w:rsidR="008117C2" w:rsidRPr="00F163BC">
        <w:rPr>
          <w:rFonts w:eastAsia="Calibri"/>
          <w:lang w:eastAsia="en-US"/>
        </w:rPr>
        <w:t>Nevar objektīvi p</w:t>
      </w:r>
      <w:r w:rsidR="00785C7F" w:rsidRPr="00F163BC">
        <w:rPr>
          <w:rFonts w:eastAsia="Calibri"/>
          <w:lang w:eastAsia="en-US"/>
        </w:rPr>
        <w:t>rognozēt, kad 2015.-2018.gadā uzstādītos fotoradarus būs nepieciešams aizvietot ar jauniem fotoradariem</w:t>
      </w:r>
      <w:r w:rsidR="0001643F" w:rsidRPr="00F163BC">
        <w:rPr>
          <w:rFonts w:eastAsia="Calibri"/>
          <w:lang w:eastAsia="en-US"/>
        </w:rPr>
        <w:t>. J</w:t>
      </w:r>
      <w:r w:rsidR="008117C2" w:rsidRPr="00F163BC">
        <w:rPr>
          <w:rFonts w:eastAsia="Calibri"/>
          <w:lang w:eastAsia="en-US"/>
        </w:rPr>
        <w:t xml:space="preserve">a samazināsies braukšanas ātruma pārkāpumu skaits un uzlabosies satiksmes drošība, </w:t>
      </w:r>
      <w:r w:rsidR="0001643F" w:rsidRPr="00F163BC">
        <w:rPr>
          <w:rFonts w:eastAsia="Calibri"/>
          <w:lang w:eastAsia="en-US"/>
        </w:rPr>
        <w:t>iespējams</w:t>
      </w:r>
      <w:r w:rsidR="00985CA2" w:rsidRPr="00F163BC">
        <w:rPr>
          <w:rFonts w:eastAsia="Calibri"/>
          <w:lang w:eastAsia="en-US"/>
        </w:rPr>
        <w:t>,</w:t>
      </w:r>
      <w:r w:rsidR="0001643F" w:rsidRPr="00F163BC">
        <w:rPr>
          <w:rFonts w:eastAsia="Calibri"/>
          <w:lang w:eastAsia="en-US"/>
        </w:rPr>
        <w:t xml:space="preserve"> </w:t>
      </w:r>
      <w:r w:rsidR="008117C2" w:rsidRPr="00F163BC">
        <w:rPr>
          <w:rFonts w:eastAsia="Calibri"/>
          <w:lang w:eastAsia="en-US"/>
        </w:rPr>
        <w:t>šos fotoradarus</w:t>
      </w:r>
      <w:r w:rsidR="00E20499" w:rsidRPr="00F163BC">
        <w:rPr>
          <w:rFonts w:eastAsia="Calibri"/>
          <w:lang w:eastAsia="en-US"/>
        </w:rPr>
        <w:t xml:space="preserve"> perspektīvā</w:t>
      </w:r>
      <w:r w:rsidR="008117C2" w:rsidRPr="00F163BC">
        <w:rPr>
          <w:rFonts w:eastAsia="Calibri"/>
          <w:lang w:eastAsia="en-US"/>
        </w:rPr>
        <w:t xml:space="preserve"> </w:t>
      </w:r>
      <w:r w:rsidR="00E20499" w:rsidRPr="00F163BC">
        <w:rPr>
          <w:rFonts w:eastAsia="Calibri"/>
          <w:lang w:eastAsia="en-US"/>
        </w:rPr>
        <w:t xml:space="preserve">daļēji </w:t>
      </w:r>
      <w:r w:rsidR="008117C2" w:rsidRPr="00F163BC">
        <w:rPr>
          <w:rFonts w:eastAsia="Calibri"/>
          <w:lang w:eastAsia="en-US"/>
        </w:rPr>
        <w:t>varēs aizvietot ar fotoradaru mulāžām</w:t>
      </w:r>
      <w:r w:rsidR="00785C7F" w:rsidRPr="00F163BC">
        <w:rPr>
          <w:rFonts w:eastAsia="Calibri"/>
          <w:lang w:eastAsia="en-US"/>
        </w:rPr>
        <w:t>.</w:t>
      </w:r>
      <w:r w:rsidR="008117C2" w:rsidRPr="00F163BC">
        <w:rPr>
          <w:rFonts w:eastAsia="Calibri"/>
          <w:lang w:eastAsia="en-US"/>
        </w:rPr>
        <w:t xml:space="preserve"> </w:t>
      </w:r>
    </w:p>
    <w:p w14:paraId="61FCEB5E" w14:textId="77777777" w:rsidR="00D65830" w:rsidRPr="00F163BC" w:rsidRDefault="008E4F9A" w:rsidP="00010246">
      <w:pPr>
        <w:jc w:val="both"/>
        <w:rPr>
          <w:b/>
        </w:rPr>
      </w:pPr>
      <w:r w:rsidRPr="00F163BC">
        <w:rPr>
          <w:rFonts w:eastAsia="Calibri"/>
          <w:lang w:eastAsia="en-US"/>
        </w:rPr>
        <w:t xml:space="preserve">    </w:t>
      </w:r>
      <w:r w:rsidR="00D806DB" w:rsidRPr="00F163BC">
        <w:rPr>
          <w:rFonts w:eastAsia="Calibri"/>
          <w:lang w:eastAsia="en-US"/>
        </w:rPr>
        <w:tab/>
      </w:r>
      <w:r w:rsidR="00AE704E" w:rsidRPr="00F163BC">
        <w:rPr>
          <w:rFonts w:eastAsia="Calibri"/>
          <w:lang w:eastAsia="en-US"/>
        </w:rPr>
        <w:t xml:space="preserve">Veicot finanšu aprēķinus par šo </w:t>
      </w:r>
      <w:r w:rsidR="00985CA2" w:rsidRPr="00F163BC">
        <w:rPr>
          <w:rFonts w:eastAsia="Calibri"/>
          <w:lang w:eastAsia="en-US"/>
        </w:rPr>
        <w:t>foto</w:t>
      </w:r>
      <w:r w:rsidR="00AE704E" w:rsidRPr="00F163BC">
        <w:rPr>
          <w:rFonts w:eastAsia="Calibri"/>
          <w:lang w:eastAsia="en-US"/>
        </w:rPr>
        <w:t xml:space="preserve">radaru turpmākas darbības rezultātā prognozētajiem valsts pamatbudžeta ieņēmumiem un ar to uzturēšanu, darbības nodrošināšanu un administratīvo sodu </w:t>
      </w:r>
      <w:r w:rsidR="004845A3" w:rsidRPr="00F163BC">
        <w:rPr>
          <w:rFonts w:eastAsia="Calibri"/>
          <w:lang w:eastAsia="en-US"/>
        </w:rPr>
        <w:t>uzl</w:t>
      </w:r>
      <w:r w:rsidR="00AE704E" w:rsidRPr="00F163BC">
        <w:rPr>
          <w:rFonts w:eastAsia="Calibri"/>
          <w:lang w:eastAsia="en-US"/>
        </w:rPr>
        <w:t xml:space="preserve">ikšanu saistītajiem izdevumiem, pieņemts, ka </w:t>
      </w:r>
      <w:r w:rsidR="004845A3" w:rsidRPr="00F163BC">
        <w:rPr>
          <w:rFonts w:eastAsia="Calibri"/>
          <w:lang w:eastAsia="en-US"/>
        </w:rPr>
        <w:t xml:space="preserve">katrs fotoradars darbojas no 7 līdz 8 gadiem (piemēram, ja fotoradars uzsācis darboties </w:t>
      </w:r>
      <w:proofErr w:type="gramStart"/>
      <w:r w:rsidR="004845A3" w:rsidRPr="00F163BC">
        <w:rPr>
          <w:rFonts w:eastAsia="Calibri"/>
          <w:lang w:eastAsia="en-US"/>
        </w:rPr>
        <w:t>2015.gada</w:t>
      </w:r>
      <w:proofErr w:type="gramEnd"/>
      <w:r w:rsidR="004845A3" w:rsidRPr="00F163BC">
        <w:rPr>
          <w:rFonts w:eastAsia="Calibri"/>
          <w:lang w:eastAsia="en-US"/>
        </w:rPr>
        <w:t xml:space="preserve"> februārī, tad darbību tas varētu beigt 2022.gada 31.decembrī, tas ir, līdz attiecīgā kalendāra gada beigām).</w:t>
      </w:r>
    </w:p>
    <w:p w14:paraId="3EDE6611" w14:textId="77777777" w:rsidR="00D65830" w:rsidRPr="00F163BC" w:rsidRDefault="00D65830" w:rsidP="00D65830">
      <w:pPr>
        <w:rPr>
          <w:rFonts w:eastAsia="Arial Unicode MS"/>
          <w:b/>
          <w:sz w:val="28"/>
          <w:szCs w:val="28"/>
        </w:rPr>
      </w:pPr>
    </w:p>
    <w:p w14:paraId="74FE69BF" w14:textId="77777777" w:rsidR="004B1524" w:rsidRPr="00F163BC" w:rsidRDefault="00FA41F3" w:rsidP="00FA41F3">
      <w:pPr>
        <w:ind w:firstLine="720"/>
        <w:rPr>
          <w:rFonts w:eastAsia="Arial Unicode MS"/>
          <w:b/>
          <w:sz w:val="28"/>
          <w:szCs w:val="28"/>
        </w:rPr>
      </w:pPr>
      <w:r w:rsidRPr="00F163BC">
        <w:rPr>
          <w:rFonts w:eastAsia="Arial Unicode MS"/>
          <w:b/>
          <w:sz w:val="28"/>
          <w:szCs w:val="28"/>
        </w:rPr>
        <w:t>2.2. F</w:t>
      </w:r>
      <w:r w:rsidR="00010246" w:rsidRPr="00F163BC">
        <w:rPr>
          <w:rFonts w:eastAsia="Arial Unicode MS"/>
          <w:b/>
          <w:sz w:val="28"/>
          <w:szCs w:val="28"/>
        </w:rPr>
        <w:t>otoradaru skaita palielināšan</w:t>
      </w:r>
      <w:r w:rsidRPr="00F163BC">
        <w:rPr>
          <w:rFonts w:eastAsia="Arial Unicode MS"/>
          <w:b/>
          <w:sz w:val="28"/>
          <w:szCs w:val="28"/>
        </w:rPr>
        <w:t>a</w:t>
      </w:r>
      <w:r w:rsidR="00315812" w:rsidRPr="00F163BC">
        <w:rPr>
          <w:rFonts w:eastAsia="Arial Unicode MS"/>
          <w:b/>
          <w:sz w:val="28"/>
          <w:szCs w:val="28"/>
        </w:rPr>
        <w:t xml:space="preserve"> un fotoradaru mulāžu ieviešana 2020.-</w:t>
      </w:r>
      <w:proofErr w:type="gramStart"/>
      <w:r w:rsidR="00315812" w:rsidRPr="00F163BC">
        <w:rPr>
          <w:rFonts w:eastAsia="Arial Unicode MS"/>
          <w:b/>
          <w:sz w:val="28"/>
          <w:szCs w:val="28"/>
        </w:rPr>
        <w:t>2022.gadā</w:t>
      </w:r>
      <w:proofErr w:type="gramEnd"/>
      <w:r w:rsidR="00315812" w:rsidRPr="00F163BC">
        <w:rPr>
          <w:rFonts w:eastAsia="Arial Unicode MS"/>
          <w:b/>
          <w:sz w:val="28"/>
          <w:szCs w:val="28"/>
        </w:rPr>
        <w:t xml:space="preserve"> </w:t>
      </w:r>
      <w:r w:rsidR="00985CA2" w:rsidRPr="00F163BC">
        <w:rPr>
          <w:b/>
          <w:sz w:val="28"/>
          <w:szCs w:val="28"/>
        </w:rPr>
        <w:t>(II posms)</w:t>
      </w:r>
    </w:p>
    <w:p w14:paraId="5F2BC0D7" w14:textId="77777777" w:rsidR="00315812" w:rsidRPr="00F163BC" w:rsidRDefault="00315812" w:rsidP="00FA41F3">
      <w:pPr>
        <w:ind w:firstLine="720"/>
        <w:rPr>
          <w:rFonts w:eastAsia="Arial Unicode MS"/>
          <w:b/>
          <w:sz w:val="28"/>
          <w:szCs w:val="28"/>
        </w:rPr>
      </w:pPr>
    </w:p>
    <w:p w14:paraId="2C91ED12" w14:textId="77777777" w:rsidR="00F95AA1" w:rsidRPr="00F163BC" w:rsidRDefault="004B1524" w:rsidP="00F95AA1">
      <w:pPr>
        <w:ind w:firstLine="720"/>
        <w:jc w:val="both"/>
      </w:pPr>
      <w:r w:rsidRPr="00F163BC">
        <w:t xml:space="preserve">Lai arī saskaņā ar </w:t>
      </w:r>
      <w:r w:rsidR="00FB49DA" w:rsidRPr="00F163BC">
        <w:t>Eiropas Komisija</w:t>
      </w:r>
      <w:r w:rsidR="005F6B57" w:rsidRPr="00F163BC">
        <w:t>s</w:t>
      </w:r>
      <w:r w:rsidR="00FB49DA" w:rsidRPr="00F163BC">
        <w:t xml:space="preserve"> (EK) ikgadējo</w:t>
      </w:r>
      <w:r w:rsidR="00FB49DA" w:rsidRPr="00F163BC">
        <w:rPr>
          <w:b/>
        </w:rPr>
        <w:t xml:space="preserve"> </w:t>
      </w:r>
      <w:r w:rsidR="00FB49DA" w:rsidRPr="00F163BC">
        <w:t>ziņojumu, kurā ietverts pārskats par situāciju ceļ</w:t>
      </w:r>
      <w:r w:rsidRPr="00F163BC">
        <w:t xml:space="preserve">u satiksmes drošības jomā </w:t>
      </w:r>
      <w:proofErr w:type="gramStart"/>
      <w:r w:rsidRPr="00F163BC">
        <w:t>2017.gadā</w:t>
      </w:r>
      <w:proofErr w:type="gramEnd"/>
      <w:r w:rsidR="00093476" w:rsidRPr="00F163BC">
        <w:rPr>
          <w:rStyle w:val="FootnoteReference"/>
        </w:rPr>
        <w:footnoteReference w:id="7"/>
      </w:r>
      <w:r w:rsidRPr="00F163BC">
        <w:t>, atzīts</w:t>
      </w:r>
      <w:r w:rsidR="00FB49DA" w:rsidRPr="00F163BC">
        <w:t>, ka Latvijā ir joprojām viens no straujākajiem ceļu satiksmes negadījumos bojāgājušo skaita samazinājumiem Ei</w:t>
      </w:r>
      <w:r w:rsidR="00F95AA1" w:rsidRPr="00F163BC">
        <w:t>ropas Savienībā (ES), vienlaikus norādīts</w:t>
      </w:r>
      <w:r w:rsidR="00FB49DA" w:rsidRPr="00F163BC">
        <w:t xml:space="preserve">, ka Latvijai ir jāturpina ceļu satiksmes drošības uzlabošanas jomā iesāktais darbs, lai pietuvotos vidējam ES bojā gājušo skaita rādītājam uz </w:t>
      </w:r>
      <w:r w:rsidR="004845A3" w:rsidRPr="00F163BC">
        <w:t xml:space="preserve">vienu </w:t>
      </w:r>
      <w:r w:rsidR="00FB49DA" w:rsidRPr="00F163BC">
        <w:t xml:space="preserve">miljonu iedzīvotāju - 49. </w:t>
      </w:r>
    </w:p>
    <w:p w14:paraId="754093C4" w14:textId="77777777" w:rsidR="0053273B" w:rsidRPr="00F163BC" w:rsidRDefault="0053273B" w:rsidP="000172B2">
      <w:pPr>
        <w:ind w:firstLine="720"/>
        <w:jc w:val="both"/>
      </w:pPr>
      <w:r w:rsidRPr="00F163BC">
        <w:t>Satiksmes ministrijas, Tieslietu ministrijas Valsts tiesu ekspertīžu biroja</w:t>
      </w:r>
      <w:r w:rsidR="0094337C" w:rsidRPr="00F163BC">
        <w:t xml:space="preserve"> (turpmāk – VTEB)</w:t>
      </w:r>
      <w:r w:rsidRPr="00F163BC">
        <w:t xml:space="preserve">, VAS “Latvijas Valsts ceļi” un </w:t>
      </w:r>
      <w:r w:rsidR="0094337C" w:rsidRPr="00F163BC">
        <w:t>CSDD</w:t>
      </w:r>
      <w:r w:rsidRPr="00F163BC">
        <w:t xml:space="preserve"> eksperti </w:t>
      </w:r>
      <w:proofErr w:type="gramStart"/>
      <w:r w:rsidRPr="00F163BC">
        <w:t>2017.gadā</w:t>
      </w:r>
      <w:proofErr w:type="gramEnd"/>
      <w:r w:rsidRPr="00F163BC">
        <w:t xml:space="preserve"> ir veikuši pētījum</w:t>
      </w:r>
      <w:r w:rsidR="0094337C" w:rsidRPr="00F163BC">
        <w:t>a</w:t>
      </w:r>
      <w:r w:rsidRPr="00F163BC">
        <w:t xml:space="preserve"> “Visaptverošs pētījums par ceļu satiksmes drošību ietekmējošiem riska faktoriem Rīgas reģionā”</w:t>
      </w:r>
      <w:r w:rsidR="0094337C" w:rsidRPr="00F163BC">
        <w:t xml:space="preserve"> pirmo kārtu</w:t>
      </w:r>
      <w:r w:rsidRPr="00F163BC">
        <w:t>. Šajā pētījum</w:t>
      </w:r>
      <w:r w:rsidR="0094337C" w:rsidRPr="00F163BC">
        <w:t>a kārt</w:t>
      </w:r>
      <w:r w:rsidRPr="00F163BC">
        <w:t>ā ir analizēta informācija, ko Valsts policijas pārstāvji ir snieguši par 84 ceļu satiksmes negadījumiem ar cietušajiem Rīgas reģionā</w:t>
      </w:r>
      <w:r w:rsidR="0094337C" w:rsidRPr="00F163BC">
        <w:t xml:space="preserve"> 2016.gadā</w:t>
      </w:r>
      <w:r w:rsidRPr="00F163BC">
        <w:t xml:space="preserve">.  Pētījumā </w:t>
      </w:r>
      <w:r w:rsidR="0094337C" w:rsidRPr="00F163BC">
        <w:t>tika</w:t>
      </w:r>
      <w:r w:rsidRPr="00F163BC">
        <w:t xml:space="preserve"> vērtēti un analizēti visi ceļu satiksmes negadījumus ietekmējošie faktori – satiksmes dalībnieki, transportlīdzekļi un apkārtējā vide (infrastruktūra un laika apstākļi).</w:t>
      </w:r>
    </w:p>
    <w:p w14:paraId="4971CA4D" w14:textId="77777777" w:rsidR="0053273B" w:rsidRPr="00F163BC" w:rsidRDefault="0053273B" w:rsidP="000172B2">
      <w:pPr>
        <w:pStyle w:val="Default"/>
        <w:ind w:firstLine="720"/>
        <w:jc w:val="both"/>
        <w:rPr>
          <w:rFonts w:ascii="Times New Roman" w:hAnsi="Times New Roman" w:cs="Times New Roman"/>
          <w:color w:val="auto"/>
        </w:rPr>
      </w:pPr>
      <w:r w:rsidRPr="00F163BC">
        <w:rPr>
          <w:rFonts w:ascii="Times New Roman" w:hAnsi="Times New Roman" w:cs="Times New Roman"/>
          <w:color w:val="auto"/>
        </w:rPr>
        <w:t xml:space="preserve">VTEB eksperti noteica, ka 18 gadījumos no 41 (41 no 84 lietām bija iespējams noteikt transportlīdzekļa kustības ātrumu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brīdī vai tieši pirms tā) pieejamās informācijas analīze norāda, ka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brīdī ir noticis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vietā atļautā braukšanas ātruma pārsniegums kādam no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iesaistītajiem transportlīdzekļiem, tātad tas ir bijis vai varētu būt kā viens no iemesliem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norisei vai tā smaguma pakāpei. Eksperti norādīja, ka 9 gadījumos no 18 tika konstatēts ātruma pārsniegums robežās no 20 līdz 40 km/st., 8 gadījumos tika konstatēts ātruma pārsniegums robežās no 5 līdz 20 km/st., savukārt 1 gadījumā tika konstatēts ātruma pārsniegums virs 100 km/st. (</w:t>
      </w:r>
      <w:r w:rsidR="004845A3" w:rsidRPr="00F163BC">
        <w:rPr>
          <w:rFonts w:ascii="Times New Roman" w:hAnsi="Times New Roman" w:cs="Times New Roman"/>
          <w:color w:val="auto"/>
        </w:rPr>
        <w:t xml:space="preserve">transportlīdzekļa </w:t>
      </w:r>
      <w:r w:rsidRPr="00F163BC">
        <w:rPr>
          <w:rFonts w:ascii="Times New Roman" w:hAnsi="Times New Roman" w:cs="Times New Roman"/>
          <w:color w:val="auto"/>
        </w:rPr>
        <w:t xml:space="preserve">kustības ātrums ~174-199 km/st.), kas ir bijis tiešs faktors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smaguma pakāpei. Pieļaujamā ātruma pārsniegums savukārt nav novērots 23 gadījumos no 41, tātad no izskatāmajiem gadījumiem lielākajā daļā. Vienlaikus eksperti piebilst, ka ātruma pārsniegumu var konstatēt tikai pirms iespējamo pēdu (piemēram, bremzēšanas pēdu) konstatēšanas. Nevar izslēgt tādus gadījumus, kuros autovadītājs īsi pirms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ir pārvietojies virs atļautā ātruma, taču tieši pirms </w:t>
      </w:r>
      <w:proofErr w:type="spellStart"/>
      <w:r w:rsidRPr="00F163BC">
        <w:rPr>
          <w:rFonts w:ascii="Times New Roman" w:hAnsi="Times New Roman" w:cs="Times New Roman"/>
          <w:color w:val="auto"/>
        </w:rPr>
        <w:t>CSNg</w:t>
      </w:r>
      <w:proofErr w:type="spellEnd"/>
      <w:r w:rsidRPr="00F163BC">
        <w:rPr>
          <w:rFonts w:ascii="Times New Roman" w:hAnsi="Times New Roman" w:cs="Times New Roman"/>
          <w:color w:val="auto"/>
        </w:rPr>
        <w:t xml:space="preserve"> (pamanot gājēju pāreju, krustojumu u.c.) to ir samazinājis.</w:t>
      </w:r>
      <w:r w:rsidR="0094337C" w:rsidRPr="00F163BC">
        <w:rPr>
          <w:rStyle w:val="FootnoteReference"/>
          <w:rFonts w:ascii="Times New Roman" w:hAnsi="Times New Roman" w:cs="Times New Roman"/>
          <w:color w:val="auto"/>
        </w:rPr>
        <w:footnoteReference w:id="8"/>
      </w:r>
      <w:r w:rsidRPr="00F163BC">
        <w:rPr>
          <w:rFonts w:ascii="Times New Roman" w:hAnsi="Times New Roman" w:cs="Times New Roman"/>
          <w:color w:val="auto"/>
          <w:sz w:val="28"/>
          <w:szCs w:val="28"/>
        </w:rPr>
        <w:t xml:space="preserve"> </w:t>
      </w:r>
    </w:p>
    <w:p w14:paraId="2D6ACECE" w14:textId="77777777" w:rsidR="00FC77CC" w:rsidRPr="00F163BC" w:rsidRDefault="00FC77CC" w:rsidP="00FC77CC">
      <w:pPr>
        <w:ind w:firstLine="720"/>
        <w:jc w:val="both"/>
      </w:pPr>
      <w:r w:rsidRPr="00F163BC">
        <w:t>Lai straujāk pietuvotos vidējiem rādītājiem ES un kopumā panāktu ceļu satiksmes negadījumu un tajos ievainoto un bojāgājušo personu skaita samazināšanos, nepieciešams aktīvi turpināt ceļu satiksmes uzraudzības pasākumu īstenošanu, tai skaitā, transportlīdzekļu braukšanas ātruma kontroli ar fotoradariem, palielinot to skaitu.</w:t>
      </w:r>
    </w:p>
    <w:p w14:paraId="758C7EB6" w14:textId="77777777" w:rsidR="006C1332" w:rsidRPr="00F163BC" w:rsidRDefault="00BF2BA0" w:rsidP="00FB49DA">
      <w:pPr>
        <w:ind w:firstLine="720"/>
        <w:jc w:val="both"/>
      </w:pPr>
      <w:r w:rsidRPr="00F163BC">
        <w:t>Jau uzstādītie un darbību uzsākušie fotoradari uz Latvijas ceļiem primāri izvietoti “melnajos punktos”</w:t>
      </w:r>
      <w:r w:rsidR="00AB56DB" w:rsidRPr="00F163BC">
        <w:t>, lai</w:t>
      </w:r>
      <w:r w:rsidRPr="00F163BC">
        <w:t xml:space="preserve"> pēc iespējas vairāk kalpotu satiksmes drošības uzlabošanai.</w:t>
      </w:r>
      <w:r w:rsidR="00FB01E2" w:rsidRPr="00F163BC">
        <w:t xml:space="preserve"> Šī iemesla dēļ pēdējo gadu laik</w:t>
      </w:r>
      <w:r w:rsidR="005812DE" w:rsidRPr="00F163BC">
        <w:t>ā “m</w:t>
      </w:r>
      <w:r w:rsidR="00FB01E2" w:rsidRPr="00F163BC">
        <w:t>elno punktu” skaits ir samazinājies, tomēr daudzviet</w:t>
      </w:r>
      <w:proofErr w:type="gramStart"/>
      <w:r w:rsidR="00FB01E2" w:rsidRPr="00F163BC">
        <w:t xml:space="preserve"> </w:t>
      </w:r>
      <w:r w:rsidRPr="00F163BC">
        <w:t xml:space="preserve"> </w:t>
      </w:r>
      <w:proofErr w:type="gramEnd"/>
      <w:r w:rsidR="00FB01E2" w:rsidRPr="00F163BC">
        <w:t>aizvien īpaši apdraudēti ir gājēji un citi mazāk aizsargātie satiksmes dalībnieki, tāpat arī arvien vairāk “melnie punkti” parādās reģionos.</w:t>
      </w:r>
    </w:p>
    <w:p w14:paraId="29E61011" w14:textId="77777777" w:rsidR="004649F1" w:rsidRPr="00F163BC" w:rsidRDefault="001D582E" w:rsidP="00FB01E2">
      <w:pPr>
        <w:ind w:firstLine="720"/>
        <w:jc w:val="both"/>
      </w:pPr>
      <w:r w:rsidRPr="00F163BC">
        <w:t>Kā jau norādīts iepriekš</w:t>
      </w:r>
      <w:proofErr w:type="gramStart"/>
      <w:r w:rsidRPr="00F163BC">
        <w:t xml:space="preserve"> </w:t>
      </w:r>
      <w:r w:rsidR="009B4567" w:rsidRPr="00F163BC">
        <w:t xml:space="preserve"> </w:t>
      </w:r>
      <w:proofErr w:type="gramEnd"/>
      <w:r w:rsidR="009B4567" w:rsidRPr="00F163BC">
        <w:t>atsevišķos “melnajos punktos”, kur</w:t>
      </w:r>
      <w:r w:rsidRPr="00F163BC">
        <w:t>os</w:t>
      </w:r>
      <w:r w:rsidR="009B4567" w:rsidRPr="00F163BC">
        <w:t xml:space="preserve"> </w:t>
      </w:r>
      <w:r w:rsidRPr="00F163BC">
        <w:t>ir</w:t>
      </w:r>
      <w:r w:rsidR="009B4567" w:rsidRPr="00F163BC">
        <w:t xml:space="preserve"> uzstādīti fotoradari, vairs nav fiksēts neviens satiksmes negadījums ar bojāgājušajiem</w:t>
      </w:r>
      <w:r w:rsidRPr="00F163BC">
        <w:t>.</w:t>
      </w:r>
      <w:r w:rsidR="009B4567" w:rsidRPr="00F163BC">
        <w:t xml:space="preserve"> </w:t>
      </w:r>
      <w:r w:rsidRPr="00F163BC">
        <w:t>Minētais apstiprina</w:t>
      </w:r>
      <w:proofErr w:type="gramStart"/>
      <w:r w:rsidRPr="00F163BC">
        <w:t xml:space="preserve"> </w:t>
      </w:r>
      <w:r w:rsidR="009B4567" w:rsidRPr="00F163BC">
        <w:t xml:space="preserve"> </w:t>
      </w:r>
      <w:proofErr w:type="gramEnd"/>
      <w:r w:rsidR="009B4567" w:rsidRPr="00F163BC">
        <w:t xml:space="preserve">fotoradaru </w:t>
      </w:r>
      <w:r w:rsidRPr="00F163BC">
        <w:t xml:space="preserve">augsto </w:t>
      </w:r>
      <w:r w:rsidR="009B4567" w:rsidRPr="00F163BC">
        <w:t>efektivitāt</w:t>
      </w:r>
      <w:r w:rsidRPr="00F163BC">
        <w:t xml:space="preserve">i. </w:t>
      </w:r>
      <w:r w:rsidR="009B4567" w:rsidRPr="00F163BC">
        <w:t xml:space="preserve"> </w:t>
      </w:r>
      <w:r w:rsidRPr="00F163BC">
        <w:t>L</w:t>
      </w:r>
      <w:r w:rsidR="009B4567" w:rsidRPr="00F163BC">
        <w:t xml:space="preserve">īdz ar to arī </w:t>
      </w:r>
      <w:r w:rsidR="0053273B" w:rsidRPr="00F163BC">
        <w:t xml:space="preserve">citos </w:t>
      </w:r>
      <w:r w:rsidR="000F1666" w:rsidRPr="00F163BC">
        <w:t xml:space="preserve">identificētajos </w:t>
      </w:r>
      <w:r w:rsidR="009B4567" w:rsidRPr="00F163BC">
        <w:t xml:space="preserve">bīstamajos </w:t>
      </w:r>
      <w:r w:rsidR="009B4567" w:rsidRPr="00F163BC">
        <w:lastRenderedPageBreak/>
        <w:t>ceļa posmos ceļu satiksmes d</w:t>
      </w:r>
      <w:r w:rsidR="00D11869" w:rsidRPr="00F163BC">
        <w:t>rošības uzlabošanas nolūkos nepieciešams</w:t>
      </w:r>
      <w:r w:rsidR="009B4567" w:rsidRPr="00F163BC">
        <w:t xml:space="preserve"> </w:t>
      </w:r>
      <w:r w:rsidR="0053273B" w:rsidRPr="00F163BC">
        <w:t xml:space="preserve">uzstādīt </w:t>
      </w:r>
      <w:r w:rsidR="009B4567" w:rsidRPr="00F163BC">
        <w:t>ievie</w:t>
      </w:r>
      <w:r w:rsidR="00D11869" w:rsidRPr="00F163BC">
        <w:t xml:space="preserve">st </w:t>
      </w:r>
      <w:r w:rsidR="009E5C62" w:rsidRPr="00F163BC">
        <w:t xml:space="preserve">papildus </w:t>
      </w:r>
      <w:r w:rsidR="00D11869" w:rsidRPr="00F163BC">
        <w:t>fotoradarus</w:t>
      </w:r>
      <w:r w:rsidR="009B4567" w:rsidRPr="00F163BC">
        <w:t>.</w:t>
      </w:r>
      <w:r w:rsidR="0053273B" w:rsidRPr="00F163BC">
        <w:t xml:space="preserve"> </w:t>
      </w:r>
    </w:p>
    <w:p w14:paraId="7A033111" w14:textId="77777777" w:rsidR="006F7A1D" w:rsidRPr="00F163BC" w:rsidRDefault="00985CA2" w:rsidP="0053273B">
      <w:pPr>
        <w:spacing w:after="120"/>
        <w:ind w:firstLine="720"/>
        <w:jc w:val="both"/>
      </w:pPr>
      <w:r w:rsidRPr="00F163BC">
        <w:t xml:space="preserve">Priekšlikums </w:t>
      </w:r>
      <w:r w:rsidR="00445077" w:rsidRPr="00F163BC">
        <w:t xml:space="preserve">nodrošināt tehnisko līdzekļu uzstādīšanu un darbības nodrošināšanu, kā arī citu ar to saistīto Ceļu satiksmes likumā minēto valsts pārvaldes uzdevumu īstenošanu arī turpmāk uzticēt </w:t>
      </w:r>
      <w:r w:rsidR="00D07D0A" w:rsidRPr="00F163BC">
        <w:t xml:space="preserve">CSDD </w:t>
      </w:r>
      <w:r w:rsidR="005279F9" w:rsidRPr="00F163BC">
        <w:t>pamato</w:t>
      </w:r>
      <w:r w:rsidR="006F7A1D" w:rsidRPr="00F163BC">
        <w:t>ts</w:t>
      </w:r>
      <w:r w:rsidR="005279F9" w:rsidRPr="00F163BC">
        <w:t xml:space="preserve"> ar to, ka k</w:t>
      </w:r>
      <w:r w:rsidR="0053273B" w:rsidRPr="00F163BC">
        <w:t>opš 201</w:t>
      </w:r>
      <w:r w:rsidR="00F069EC" w:rsidRPr="00F163BC">
        <w:t>4</w:t>
      </w:r>
      <w:r w:rsidR="0053273B" w:rsidRPr="00F163BC">
        <w:t xml:space="preserve">. gada </w:t>
      </w:r>
      <w:r w:rsidR="005279F9" w:rsidRPr="00F163BC">
        <w:t xml:space="preserve">tā </w:t>
      </w:r>
      <w:r w:rsidR="006F7A1D" w:rsidRPr="00F163BC">
        <w:t xml:space="preserve">sekmīgi </w:t>
      </w:r>
      <w:r w:rsidR="0053273B" w:rsidRPr="00F163BC">
        <w:t xml:space="preserve">veic stacionāro fotoradaru </w:t>
      </w:r>
      <w:r w:rsidR="006F7A1D" w:rsidRPr="00F163BC">
        <w:t xml:space="preserve">iepirkumu, </w:t>
      </w:r>
      <w:r w:rsidR="0053273B" w:rsidRPr="00F163BC">
        <w:t xml:space="preserve">uzstādīšanu un darbības </w:t>
      </w:r>
      <w:r w:rsidR="006F7A1D" w:rsidRPr="00F163BC">
        <w:t xml:space="preserve">nodrošināšanu </w:t>
      </w:r>
      <w:r w:rsidR="0053273B" w:rsidRPr="00F163BC">
        <w:t>visā valsts teritorijā</w:t>
      </w:r>
      <w:r w:rsidR="006F7A1D" w:rsidRPr="00F163BC">
        <w:t>, tādējādi būtiski atslogojot Valsts policiju no šāda veida atbalsta funkciju izpildes.</w:t>
      </w:r>
    </w:p>
    <w:p w14:paraId="677E51A9" w14:textId="77777777" w:rsidR="0053273B" w:rsidRPr="00F163BC" w:rsidRDefault="0053273B" w:rsidP="00672906">
      <w:pPr>
        <w:ind w:firstLine="720"/>
        <w:jc w:val="both"/>
      </w:pPr>
      <w:r w:rsidRPr="00F163BC">
        <w:t xml:space="preserve">Braukšanas ātruma kontroles vietu izvēle ir </w:t>
      </w:r>
      <w:proofErr w:type="gramStart"/>
      <w:r w:rsidRPr="00F163BC">
        <w:t>pamatota ar kritēriju kopumu, tostarp būtiskāko: satiksmes drošības statistikas dati</w:t>
      </w:r>
      <w:proofErr w:type="gramEnd"/>
      <w:r w:rsidRPr="00F163BC">
        <w:t>, posma potenciālā bīstamība, satiksmes intensitāte, ceļa vai ielas funkcija, pārklājums visas valsts teritorijā, attālums starp izvietojuma vietām u.c. Fotoradaru izvietojuma mērķis ir gan uzlabot lokālo ceļu posmu drošību, gan, nodrošinot fotoradaru izkliedi visas valsts teritorijā, mazināt braukšanas ātruma pārsniegšanu kopumā, pakāpeniski tuvojoties deklarētajiem mērķiem par ceļu satiksmes negadījumos bojāgājušo un ievainoto personu skaita samazināšanu.</w:t>
      </w:r>
    </w:p>
    <w:p w14:paraId="740F9D3A" w14:textId="77777777" w:rsidR="0053273B" w:rsidRPr="00F163BC" w:rsidRDefault="0053273B" w:rsidP="00672906">
      <w:pPr>
        <w:ind w:firstLine="720"/>
        <w:jc w:val="both"/>
      </w:pPr>
      <w:r w:rsidRPr="00F163BC">
        <w:t xml:space="preserve">Pēdējo nepilnu piecu gadu laikā, kopš uzsākta stacionāro fotoradaru ieviešana, satiksmes drošības rādītāji ir uzlabojušies gan lokālajās radaru izvietojuma vietās, gan valstī kopumā. Jāņem vērā apstāklis, ka </w:t>
      </w:r>
      <w:proofErr w:type="gramStart"/>
      <w:r w:rsidRPr="00F163BC">
        <w:t>tikai nelielas daļa stacionāro fotoradaru</w:t>
      </w:r>
      <w:proofErr w:type="gramEnd"/>
      <w:r w:rsidRPr="00F163BC">
        <w:t xml:space="preserve"> (16) pilns darbības laiks pārsniedz 3 gadus. Pēdējo uzstādīto radaru ieguldījums satiksmes drošībā būs vērojams turpmākajos gados.</w:t>
      </w:r>
    </w:p>
    <w:p w14:paraId="160FBC4C" w14:textId="77777777" w:rsidR="0053273B" w:rsidRPr="00F163BC" w:rsidRDefault="0053273B" w:rsidP="00DF7A52">
      <w:pPr>
        <w:ind w:firstLine="720"/>
        <w:jc w:val="both"/>
      </w:pPr>
      <w:r w:rsidRPr="00F163BC">
        <w:t>Atbilstoši stacionāro fotoradaru lokālā izvietojuma vietām un pārklājumam valsts teritorijā, rezultāti ir jāvērtē gan konkrēto ierīču izvietojuma vietās (tiek apskatīti 3 km posmi), gan valsts mērogā.</w:t>
      </w:r>
    </w:p>
    <w:p w14:paraId="74B77DC2" w14:textId="77777777" w:rsidR="0053273B" w:rsidRPr="00F163BC" w:rsidRDefault="00BB4026" w:rsidP="00BB4026">
      <w:pPr>
        <w:ind w:firstLine="720"/>
        <w:jc w:val="both"/>
      </w:pPr>
      <w:proofErr w:type="gramStart"/>
      <w:r w:rsidRPr="00F163BC">
        <w:t>2018.gadam</w:t>
      </w:r>
      <w:proofErr w:type="gramEnd"/>
      <w:r w:rsidRPr="00F163BC">
        <w:t xml:space="preserve"> noslēdzoties, ceļa posmos, kuros ir uzstādīti un darbojas fotoradari, ceļu satiksmes negadījumu skaits samazin</w:t>
      </w:r>
      <w:r w:rsidR="003F4C90" w:rsidRPr="00F163BC">
        <w:t>ājies par 43</w:t>
      </w:r>
      <w:r w:rsidRPr="00F163BC">
        <w:t xml:space="preserve"> %, salīdzinot ar to skaitu pirms fotoradaru uzstādīšanas</w:t>
      </w:r>
      <w:r w:rsidR="003D7DEC" w:rsidRPr="00F163BC">
        <w:t xml:space="preserve"> </w:t>
      </w:r>
      <w:r w:rsidR="003F4C90" w:rsidRPr="00F163BC">
        <w:t>(pirms fotoradaru uzstādīšanas – 1 084, pēc – 613)</w:t>
      </w:r>
      <w:r w:rsidRPr="00F163BC">
        <w:t>. Savukārt, šajos ceļa posmos ceļu satiksmes negadījumos bojāgājušo skaits samazin</w:t>
      </w:r>
      <w:r w:rsidR="003F4C90" w:rsidRPr="00F163BC">
        <w:t>ājies par 87</w:t>
      </w:r>
      <w:r w:rsidRPr="00F163BC">
        <w:t xml:space="preserve"> % (pirms uzskaites periodā bojā gāja</w:t>
      </w:r>
      <w:r w:rsidR="003F4C90" w:rsidRPr="00F163BC">
        <w:t xml:space="preserve"> 32</w:t>
      </w:r>
      <w:r w:rsidRPr="00F163BC">
        <w:t xml:space="preserve"> cilvēki</w:t>
      </w:r>
      <w:r w:rsidR="0053273B" w:rsidRPr="00F163BC">
        <w:t xml:space="preserve">, </w:t>
      </w:r>
      <w:r w:rsidRPr="00F163BC">
        <w:t>foto</w:t>
      </w:r>
      <w:r w:rsidR="0053273B" w:rsidRPr="00F163BC">
        <w:t>radaru darbības periodā</w:t>
      </w:r>
      <w:proofErr w:type="gramStart"/>
      <w:r w:rsidR="0053273B" w:rsidRPr="00F163BC">
        <w:t xml:space="preserve"> </w:t>
      </w:r>
      <w:r w:rsidRPr="00F163BC">
        <w:t xml:space="preserve"> </w:t>
      </w:r>
      <w:proofErr w:type="gramEnd"/>
      <w:r w:rsidRPr="00F163BC">
        <w:t>- 4)</w:t>
      </w:r>
      <w:r w:rsidR="0053273B" w:rsidRPr="00F163BC">
        <w:t>,</w:t>
      </w:r>
    </w:p>
    <w:p w14:paraId="3E6066A0" w14:textId="77777777" w:rsidR="0053273B" w:rsidRPr="00F163BC" w:rsidRDefault="0053273B" w:rsidP="00672906">
      <w:pPr>
        <w:ind w:firstLine="720"/>
        <w:jc w:val="both"/>
      </w:pPr>
      <w:r w:rsidRPr="00F163BC">
        <w:t xml:space="preserve">Valstī kopumā </w:t>
      </w:r>
      <w:r w:rsidR="00BB4026" w:rsidRPr="00F163BC">
        <w:t>ceļu satiksmes negadījumos</w:t>
      </w:r>
      <w:r w:rsidR="00C96458" w:rsidRPr="00F163BC">
        <w:t xml:space="preserve"> bojā gājušo skaits kopš </w:t>
      </w:r>
      <w:proofErr w:type="gramStart"/>
      <w:r w:rsidR="00C96458" w:rsidRPr="00F163BC">
        <w:t>2014.</w:t>
      </w:r>
      <w:r w:rsidRPr="00F163BC">
        <w:t>gada</w:t>
      </w:r>
      <w:proofErr w:type="gramEnd"/>
      <w:r w:rsidRPr="00F163BC">
        <w:t xml:space="preserve"> samazinājies no </w:t>
      </w:r>
      <w:r w:rsidR="00F52356" w:rsidRPr="00F163BC">
        <w:t>184 līdz 148, t.i. -20</w:t>
      </w:r>
      <w:r w:rsidR="00C96458" w:rsidRPr="00F163BC">
        <w:t xml:space="preserve"> </w:t>
      </w:r>
      <w:r w:rsidRPr="00F163BC">
        <w:t>%</w:t>
      </w:r>
      <w:r w:rsidR="00672906" w:rsidRPr="00F163BC">
        <w:t xml:space="preserve">. </w:t>
      </w:r>
      <w:r w:rsidRPr="00F163BC">
        <w:t>Šajā laikā valsts autoceļu tīklā satiksmes intensitāte ir pieaugusi par 15-20</w:t>
      </w:r>
      <w:r w:rsidR="00BB4026" w:rsidRPr="00F163BC">
        <w:t xml:space="preserve"> </w:t>
      </w:r>
      <w:r w:rsidRPr="00F163BC">
        <w:t>%</w:t>
      </w:r>
      <w:r w:rsidR="003D7DEC" w:rsidRPr="00F163BC">
        <w:t>.</w:t>
      </w:r>
    </w:p>
    <w:p w14:paraId="134DD860" w14:textId="77777777" w:rsidR="0053273B" w:rsidRPr="00F163BC" w:rsidRDefault="0053273B" w:rsidP="00672906">
      <w:pPr>
        <w:ind w:firstLine="720"/>
        <w:jc w:val="both"/>
      </w:pPr>
      <w:r w:rsidRPr="00F163BC">
        <w:t xml:space="preserve">Pēc stacionāro fotoradaru darbības uzsākšanas </w:t>
      </w:r>
      <w:r w:rsidR="005279F9" w:rsidRPr="00F163BC">
        <w:t>CSDD</w:t>
      </w:r>
      <w:r w:rsidRPr="00F163BC">
        <w:t xml:space="preserve"> saņēmu</w:t>
      </w:r>
      <w:r w:rsidR="005279F9" w:rsidRPr="00F163BC">
        <w:t>si</w:t>
      </w:r>
      <w:r w:rsidRPr="00F163BC">
        <w:t xml:space="preserve"> daudz pozitīvu atsauksmju no vietējām pašvaldībām (Rīgas, Carnikavas, Salacgrīvas, Kocēnu, Līvānu nov. u.c.) par satiksmes drošības apstākļu uzlabošanos attiecīgajos ceļu un ielu posmos. Sabiedrība, redzot fotoradaru izvietojumu vietās, kas kļuvušas daudz drošākas (iespējas vieglāk šķērsot ceļu apdzīvotās vietās, atvieglota izbraukšana no mazāksvarīgiem ceļiem, pārgalvīgu apdzīšanu samazināšanās) vairumā gadījumu pauž atbalstošu attieksmi</w:t>
      </w:r>
      <w:proofErr w:type="gramStart"/>
      <w:r w:rsidRPr="00F163BC">
        <w:t xml:space="preserve"> un</w:t>
      </w:r>
      <w:proofErr w:type="gramEnd"/>
      <w:r w:rsidRPr="00F163BC">
        <w:t xml:space="preserve"> daļa priekšlikumu jaunu </w:t>
      </w:r>
      <w:r w:rsidR="00175FAD" w:rsidRPr="00F163BC">
        <w:t xml:space="preserve">fotoradaru </w:t>
      </w:r>
      <w:r w:rsidRPr="00F163BC">
        <w:t xml:space="preserve">uzstādīšanai ir tieši iedzīvotāju iniciatīva. Autovadītāji akceptē šo </w:t>
      </w:r>
      <w:proofErr w:type="spellStart"/>
      <w:r w:rsidRPr="00F163BC">
        <w:t>kontro</w:t>
      </w:r>
      <w:proofErr w:type="spellEnd"/>
      <w:r w:rsidR="00BB4026" w:rsidRPr="00F163BC">
        <w:t xml:space="preserve"> </w:t>
      </w:r>
      <w:proofErr w:type="spellStart"/>
      <w:r w:rsidRPr="00F163BC">
        <w:t>les</w:t>
      </w:r>
      <w:proofErr w:type="spellEnd"/>
      <w:r w:rsidRPr="00F163BC">
        <w:t xml:space="preserve"> veidu, jo tas uz ceļa ir iepriekš paredzams, par kontroli ir brīdināts ar atbilstošām ceļa zīmēm. Vienlaikus ir</w:t>
      </w:r>
      <w:proofErr w:type="gramStart"/>
      <w:r w:rsidRPr="00F163BC">
        <w:t xml:space="preserve"> un</w:t>
      </w:r>
      <w:proofErr w:type="gramEnd"/>
      <w:r w:rsidRPr="00F163BC">
        <w:t xml:space="preserve"> joprojām tiek saņemti pieprasījumi un lūgumi no </w:t>
      </w:r>
      <w:r w:rsidR="00175FAD" w:rsidRPr="00F163BC">
        <w:t xml:space="preserve">pārējām </w:t>
      </w:r>
      <w:r w:rsidRPr="00F163BC">
        <w:t xml:space="preserve">m pašvaldībām par stacionāro fotoradaru izbūvi viņu pārvaldītajās teritorijās. </w:t>
      </w:r>
    </w:p>
    <w:p w14:paraId="2C72A2F5" w14:textId="77777777" w:rsidR="0053273B" w:rsidRPr="00F163BC" w:rsidRDefault="0053273B" w:rsidP="0053273B">
      <w:pPr>
        <w:spacing w:after="120"/>
        <w:ind w:firstLine="720"/>
        <w:jc w:val="both"/>
      </w:pPr>
      <w:r w:rsidRPr="00F163BC">
        <w:t xml:space="preserve">100 </w:t>
      </w:r>
      <w:r w:rsidR="00175FAD" w:rsidRPr="00F163BC">
        <w:t xml:space="preserve">fotoradaru </w:t>
      </w:r>
      <w:r w:rsidRPr="00F163BC">
        <w:t xml:space="preserve">izvietojums valsts teritorijā aptver ceļu bīstamākās vietas ar augstāko satiksmes intensitāti un kritiskākajiem </w:t>
      </w:r>
      <w:proofErr w:type="spellStart"/>
      <w:r w:rsidRPr="00F163BC">
        <w:t>CSNg</w:t>
      </w:r>
      <w:proofErr w:type="spellEnd"/>
      <w:r w:rsidRPr="00F163BC">
        <w:t xml:space="preserve"> statistikas rādītājiem, taču vietu skaitliskais daudzums nenosaka to, ka ir novērstas visas problēmas, ko rada braukšanas ātruma pārsniegšana. Laika gaitā tiek identificētas jaunas vietas, kur braukšanas ātruma pārsniegšana var radīt bīstamu apdraudējumu un pašlaik ir apzināt</w:t>
      </w:r>
      <w:r w:rsidR="00175FAD" w:rsidRPr="00F163BC">
        <w:t>i</w:t>
      </w:r>
      <w:r w:rsidRPr="00F163BC">
        <w:t xml:space="preserve"> jau vairāki desmiti</w:t>
      </w:r>
      <w:r w:rsidR="00175FAD" w:rsidRPr="00F163BC">
        <w:t xml:space="preserve"> šādu vietu</w:t>
      </w:r>
      <w:r w:rsidRPr="00F163BC">
        <w:t xml:space="preserve">. </w:t>
      </w:r>
    </w:p>
    <w:p w14:paraId="44E260CD" w14:textId="77777777" w:rsidR="0053273B" w:rsidRPr="00F163BC" w:rsidRDefault="0053273B" w:rsidP="00672906">
      <w:pPr>
        <w:spacing w:after="120"/>
        <w:ind w:firstLine="720"/>
        <w:jc w:val="both"/>
      </w:pPr>
      <w:r w:rsidRPr="00F163BC">
        <w:lastRenderedPageBreak/>
        <w:t xml:space="preserve">Fotoradari kā inteliģento satiksmes kontroles sistēmu daļa ir aktualitāte jebkuras valsts satiksmes pārvaldībā. Arī Latvijā </w:t>
      </w:r>
      <w:r w:rsidR="00175FAD" w:rsidRPr="00F163BC">
        <w:t>fotoradaru skaita palielināšana</w:t>
      </w:r>
      <w:r w:rsidRPr="00F163BC">
        <w:t>, identificējot jaunas bīstamas vietas</w:t>
      </w:r>
      <w:r w:rsidR="00175FAD" w:rsidRPr="00F163BC">
        <w:t>,</w:t>
      </w:r>
      <w:r w:rsidRPr="00F163BC">
        <w:t xml:space="preserve"> un pārvietošana no vietām, kas pārbūves rezultātā zaudējušas savu bīstamību</w:t>
      </w:r>
      <w:r w:rsidR="00175FAD" w:rsidRPr="00F163BC">
        <w:t>,</w:t>
      </w:r>
      <w:r w:rsidRPr="00F163BC">
        <w:t xml:space="preserve"> ir dinamisks process, kas nākotnē būtu turpināms, nepiesaistoties pie </w:t>
      </w:r>
      <w:r w:rsidR="00175FAD" w:rsidRPr="00F163BC">
        <w:t xml:space="preserve">nemainīga </w:t>
      </w:r>
      <w:r w:rsidRPr="00F163BC">
        <w:t>ar fo</w:t>
      </w:r>
      <w:r w:rsidR="00175FAD" w:rsidRPr="00F163BC">
        <w:t>t</w:t>
      </w:r>
      <w:r w:rsidRPr="00F163BC">
        <w:t xml:space="preserve">oradariem kontrolējamo vietu skaita, bet izbūvējot tos atbilstoši vajadzībai. Vienlaikus ar stacionāro </w:t>
      </w:r>
      <w:r w:rsidR="00175FAD" w:rsidRPr="00F163BC">
        <w:t xml:space="preserve">fotoradaru </w:t>
      </w:r>
      <w:r w:rsidRPr="00F163BC">
        <w:t>sistēmu attīstāmas arī citas inteliģentās satiksmes kontroles un vadības sistēmas tādām pārvaldības pozīcijām kā: luksoforu signālu kontrole, speciālo atļauju (vinješu u.c.) kontrole, vidējā ātruma ceļa posmā kontrole, distances ievērošanas kontrole, sabiedrisko transporta joslu izmantošanas kontrole u.c. noteikto prasību kontroles veidi.</w:t>
      </w:r>
    </w:p>
    <w:p w14:paraId="3BA88379" w14:textId="55D66BE7" w:rsidR="00FB01E2" w:rsidRPr="00F163BC" w:rsidRDefault="005279F9" w:rsidP="000172B2">
      <w:pPr>
        <w:ind w:firstLine="720"/>
        <w:jc w:val="both"/>
        <w:rPr>
          <w:sz w:val="28"/>
          <w:szCs w:val="20"/>
          <w:lang w:eastAsia="en-US"/>
        </w:rPr>
      </w:pPr>
      <w:r w:rsidRPr="0080318E">
        <w:t xml:space="preserve">CSDD ierosina laika periodā </w:t>
      </w:r>
      <w:r w:rsidR="00FB1FC0" w:rsidRPr="0080318E">
        <w:rPr>
          <w:lang w:eastAsia="en-US"/>
        </w:rPr>
        <w:t xml:space="preserve">no </w:t>
      </w:r>
      <w:proofErr w:type="gramStart"/>
      <w:r w:rsidR="00E25EB2" w:rsidRPr="0080318E">
        <w:rPr>
          <w:lang w:eastAsia="en-US"/>
        </w:rPr>
        <w:t>2021</w:t>
      </w:r>
      <w:r w:rsidR="00FB1FC0" w:rsidRPr="0080318E">
        <w:rPr>
          <w:lang w:eastAsia="en-US"/>
        </w:rPr>
        <w:t>.gada</w:t>
      </w:r>
      <w:proofErr w:type="gramEnd"/>
      <w:r w:rsidR="00FB1FC0" w:rsidRPr="0080318E">
        <w:rPr>
          <w:lang w:eastAsia="en-US"/>
        </w:rPr>
        <w:t xml:space="preserve"> (maija) līdz </w:t>
      </w:r>
      <w:r w:rsidR="00E25EB2" w:rsidRPr="0080318E">
        <w:rPr>
          <w:lang w:eastAsia="en-US"/>
        </w:rPr>
        <w:t>2023</w:t>
      </w:r>
      <w:r w:rsidR="00FB1FC0" w:rsidRPr="0080318E">
        <w:rPr>
          <w:lang w:eastAsia="en-US"/>
        </w:rPr>
        <w:t>.gadam (oktobris)</w:t>
      </w:r>
      <w:r w:rsidR="00E25EB2" w:rsidRPr="0080318E">
        <w:rPr>
          <w:lang w:eastAsia="en-US"/>
        </w:rPr>
        <w:t xml:space="preserve"> (termiņš indikatīvs,</w:t>
      </w:r>
      <w:r w:rsidR="00FF1CFE" w:rsidRPr="0080318E">
        <w:rPr>
          <w:lang w:eastAsia="en-US"/>
        </w:rPr>
        <w:t xml:space="preserve"> </w:t>
      </w:r>
      <w:r w:rsidR="00FF1CFE" w:rsidRPr="00F31194">
        <w:rPr>
          <w:lang w:eastAsia="en-US"/>
        </w:rPr>
        <w:t>balstīts uz pieņēmumu, ka Ministru kabineta l</w:t>
      </w:r>
      <w:r w:rsidR="00FF1CFE" w:rsidRPr="0080318E">
        <w:rPr>
          <w:lang w:eastAsia="en-US"/>
        </w:rPr>
        <w:t>ēmum</w:t>
      </w:r>
      <w:r w:rsidR="00FF1CFE" w:rsidRPr="00F31194">
        <w:rPr>
          <w:lang w:eastAsia="en-US"/>
        </w:rPr>
        <w:t>s par šāda priekšlikuma atbalstīšanu tiks pieņemts 2019.gada augusta mēnesī)</w:t>
      </w:r>
      <w:r w:rsidR="00FF1CFE" w:rsidRPr="0080318E">
        <w:rPr>
          <w:lang w:eastAsia="en-US"/>
        </w:rPr>
        <w:t xml:space="preserve"> </w:t>
      </w:r>
      <w:r w:rsidR="00FB1FC0" w:rsidRPr="0080318E">
        <w:rPr>
          <w:lang w:eastAsia="en-US"/>
        </w:rPr>
        <w:t xml:space="preserve">,  katru gadu  izbūvēt 30-36 </w:t>
      </w:r>
      <w:r w:rsidR="000172B2" w:rsidRPr="001236D1">
        <w:rPr>
          <w:lang w:eastAsia="en-US"/>
        </w:rPr>
        <w:t xml:space="preserve">fotoradaru </w:t>
      </w:r>
      <w:r w:rsidR="00FB1FC0" w:rsidRPr="001236D1">
        <w:rPr>
          <w:lang w:eastAsia="en-US"/>
        </w:rPr>
        <w:t xml:space="preserve">vietas, uzstādīt 15-18 </w:t>
      </w:r>
      <w:r w:rsidR="000172B2" w:rsidRPr="00C77293">
        <w:rPr>
          <w:lang w:eastAsia="en-US"/>
        </w:rPr>
        <w:t xml:space="preserve">fotoradarus </w:t>
      </w:r>
      <w:r w:rsidR="00FB1FC0" w:rsidRPr="00C77293">
        <w:rPr>
          <w:lang w:eastAsia="en-US"/>
        </w:rPr>
        <w:t>un 15-18 fotoradaru “mulāžas” (kopā - 100/50/50).</w:t>
      </w:r>
      <w:r w:rsidR="00FB1FC0" w:rsidRPr="00C77293">
        <w:rPr>
          <w:sz w:val="28"/>
          <w:szCs w:val="20"/>
          <w:lang w:eastAsia="en-US"/>
        </w:rPr>
        <w:t xml:space="preserve"> </w:t>
      </w:r>
      <w:r w:rsidR="00A00915" w:rsidRPr="0080318E">
        <w:t xml:space="preserve">Periodiski, analizējot konkrētās vietas rādītājus, nepieciešamības gadījumā </w:t>
      </w:r>
      <w:r w:rsidRPr="001236D1">
        <w:t>veikt</w:t>
      </w:r>
      <w:r w:rsidR="00A00915" w:rsidRPr="001236D1">
        <w:t xml:space="preserve"> </w:t>
      </w:r>
      <w:r w:rsidRPr="00C77293">
        <w:t xml:space="preserve">fotoradara </w:t>
      </w:r>
      <w:r w:rsidR="00A00915" w:rsidRPr="00C77293">
        <w:t>aizvietošan</w:t>
      </w:r>
      <w:r w:rsidRPr="00C77293">
        <w:t>u</w:t>
      </w:r>
      <w:r w:rsidR="00D11869" w:rsidRPr="00C77293">
        <w:t xml:space="preserve"> ar</w:t>
      </w:r>
      <w:r w:rsidR="00A00915" w:rsidRPr="00C77293">
        <w:t xml:space="preserve"> tā “mulāžu” vai </w:t>
      </w:r>
      <w:r w:rsidR="002F3D44" w:rsidRPr="00C77293">
        <w:t xml:space="preserve">pretēji </w:t>
      </w:r>
      <w:r w:rsidR="00175FAD" w:rsidRPr="00C77293">
        <w:t xml:space="preserve">– </w:t>
      </w:r>
      <w:r w:rsidR="002F3D44" w:rsidRPr="00C77293">
        <w:t xml:space="preserve">“mulāžas” </w:t>
      </w:r>
      <w:r w:rsidRPr="00C77293">
        <w:t xml:space="preserve">aizvietošanu </w:t>
      </w:r>
      <w:r w:rsidR="002F3D44" w:rsidRPr="00C77293">
        <w:t>ar fotoradaru.</w:t>
      </w:r>
    </w:p>
    <w:p w14:paraId="4AC87B1E" w14:textId="77777777" w:rsidR="005279F9" w:rsidRPr="00F163BC" w:rsidRDefault="005279F9" w:rsidP="005279F9">
      <w:pPr>
        <w:ind w:firstLine="720"/>
        <w:jc w:val="both"/>
        <w:rPr>
          <w:i/>
          <w:iCs/>
        </w:rPr>
      </w:pPr>
    </w:p>
    <w:p w14:paraId="082816A7" w14:textId="77777777" w:rsidR="005279F9" w:rsidRPr="00F163BC" w:rsidRDefault="005279F9" w:rsidP="005279F9">
      <w:pPr>
        <w:ind w:firstLine="720"/>
        <w:jc w:val="both"/>
        <w:rPr>
          <w:b/>
        </w:rPr>
      </w:pPr>
      <w:r w:rsidRPr="00F163BC">
        <w:rPr>
          <w:b/>
          <w:i/>
          <w:iCs/>
        </w:rPr>
        <w:t>Darba grupa</w:t>
      </w:r>
      <w:r w:rsidR="0094337C" w:rsidRPr="00F163BC">
        <w:rPr>
          <w:b/>
          <w:i/>
          <w:iCs/>
        </w:rPr>
        <w:t>,</w:t>
      </w:r>
      <w:r w:rsidRPr="00F163BC">
        <w:rPr>
          <w:b/>
          <w:i/>
          <w:iCs/>
        </w:rPr>
        <w:t xml:space="preserve"> </w:t>
      </w:r>
      <w:r w:rsidR="0094337C" w:rsidRPr="00F163BC">
        <w:rPr>
          <w:b/>
          <w:i/>
          <w:iCs/>
        </w:rPr>
        <w:t xml:space="preserve">ievērojot CSDD iesniegto statistikas datu analīzi, satiksmes drošības risku prognozes un konsultējoties ar </w:t>
      </w:r>
      <w:r w:rsidR="003D7DEC" w:rsidRPr="00F163BC">
        <w:rPr>
          <w:b/>
          <w:i/>
          <w:iCs/>
        </w:rPr>
        <w:t xml:space="preserve">VP </w:t>
      </w:r>
      <w:r w:rsidR="0094337C" w:rsidRPr="00F163BC">
        <w:rPr>
          <w:b/>
          <w:i/>
          <w:iCs/>
        </w:rPr>
        <w:t xml:space="preserve">Galvenās Kārtības policijas pārvaldes Satiksmes drošības pārvaldi, </w:t>
      </w:r>
      <w:r w:rsidRPr="00F163BC">
        <w:rPr>
          <w:b/>
          <w:i/>
          <w:iCs/>
        </w:rPr>
        <w:t>atbalsta CSDD priekšlikumu par fotoradaru vietu skaita palielināšanu</w:t>
      </w:r>
      <w:r w:rsidR="00175FAD" w:rsidRPr="00F163BC">
        <w:rPr>
          <w:b/>
          <w:i/>
          <w:iCs/>
        </w:rPr>
        <w:t xml:space="preserve"> –</w:t>
      </w:r>
      <w:r w:rsidRPr="00F163BC">
        <w:rPr>
          <w:b/>
          <w:i/>
          <w:iCs/>
        </w:rPr>
        <w:t xml:space="preserve"> papildus fotoradaru un to mulāžu uzstādīšanu</w:t>
      </w:r>
      <w:r w:rsidR="0094337C" w:rsidRPr="00F163BC">
        <w:rPr>
          <w:b/>
          <w:i/>
          <w:iCs/>
        </w:rPr>
        <w:t>.</w:t>
      </w:r>
      <w:r w:rsidRPr="00F163BC">
        <w:rPr>
          <w:b/>
          <w:i/>
          <w:iCs/>
        </w:rPr>
        <w:t xml:space="preserve"> </w:t>
      </w:r>
    </w:p>
    <w:p w14:paraId="04F9B59A" w14:textId="77777777" w:rsidR="00A913D9" w:rsidRPr="00F163BC" w:rsidRDefault="00A913D9" w:rsidP="00A913D9">
      <w:pPr>
        <w:ind w:firstLine="720"/>
      </w:pPr>
      <w:r w:rsidRPr="00F163BC">
        <w:tab/>
      </w:r>
    </w:p>
    <w:p w14:paraId="7AB87982" w14:textId="77777777" w:rsidR="00D65830" w:rsidRPr="00F163BC" w:rsidRDefault="00FA41F3" w:rsidP="00FA41F3">
      <w:pPr>
        <w:ind w:firstLine="720"/>
        <w:rPr>
          <w:b/>
          <w:sz w:val="28"/>
          <w:szCs w:val="28"/>
        </w:rPr>
      </w:pPr>
      <w:r w:rsidRPr="00F163BC">
        <w:rPr>
          <w:b/>
          <w:sz w:val="28"/>
          <w:szCs w:val="28"/>
        </w:rPr>
        <w:t>2.3. J</w:t>
      </w:r>
      <w:r w:rsidR="00D65830" w:rsidRPr="00F163BC">
        <w:rPr>
          <w:b/>
          <w:sz w:val="28"/>
          <w:szCs w:val="28"/>
        </w:rPr>
        <w:t>aunu tehnisko</w:t>
      </w:r>
      <w:r w:rsidRPr="00F163BC">
        <w:rPr>
          <w:b/>
          <w:sz w:val="28"/>
          <w:szCs w:val="28"/>
        </w:rPr>
        <w:t xml:space="preserve"> risinājumu ieviešana</w:t>
      </w:r>
    </w:p>
    <w:p w14:paraId="121A62A5" w14:textId="77777777" w:rsidR="00F27D6C" w:rsidRPr="00F163BC" w:rsidRDefault="00F27D6C" w:rsidP="00D65830">
      <w:pPr>
        <w:pStyle w:val="NormalWeb"/>
        <w:spacing w:before="0" w:beforeAutospacing="0" w:after="0" w:afterAutospacing="0"/>
        <w:jc w:val="both"/>
        <w:rPr>
          <w:b/>
          <w:sz w:val="28"/>
          <w:szCs w:val="28"/>
          <w:lang w:val="lv-LV"/>
        </w:rPr>
      </w:pPr>
    </w:p>
    <w:p w14:paraId="19471582" w14:textId="77777777" w:rsidR="00587A87" w:rsidRPr="00F163BC" w:rsidRDefault="00287E52" w:rsidP="00612F7D">
      <w:pPr>
        <w:ind w:firstLine="720"/>
        <w:jc w:val="both"/>
      </w:pPr>
      <w:r w:rsidRPr="00F163BC">
        <w:rPr>
          <w:b/>
        </w:rPr>
        <w:t xml:space="preserve">2.3.1. </w:t>
      </w:r>
      <w:r w:rsidR="0092163F" w:rsidRPr="00F163BC">
        <w:rPr>
          <w:b/>
        </w:rPr>
        <w:t>L</w:t>
      </w:r>
      <w:r w:rsidR="00587A87" w:rsidRPr="00F163BC">
        <w:rPr>
          <w:b/>
          <w:bCs/>
        </w:rPr>
        <w:t>uksofor</w:t>
      </w:r>
      <w:r w:rsidR="0092163F" w:rsidRPr="00F163BC">
        <w:rPr>
          <w:b/>
          <w:bCs/>
        </w:rPr>
        <w:t>u</w:t>
      </w:r>
      <w:r w:rsidR="00587A87" w:rsidRPr="00F163BC">
        <w:rPr>
          <w:b/>
          <w:bCs/>
        </w:rPr>
        <w:t xml:space="preserve"> signālu, </w:t>
      </w:r>
      <w:r w:rsidR="0092163F" w:rsidRPr="00F163BC">
        <w:rPr>
          <w:b/>
          <w:bCs/>
        </w:rPr>
        <w:t xml:space="preserve">kas aizliedz braukšanu, pārkāpumu </w:t>
      </w:r>
      <w:r w:rsidR="00587A87" w:rsidRPr="00F163BC">
        <w:rPr>
          <w:b/>
          <w:bCs/>
        </w:rPr>
        <w:t>fiksēšan</w:t>
      </w:r>
      <w:r w:rsidR="0092163F" w:rsidRPr="00F163BC">
        <w:rPr>
          <w:b/>
          <w:bCs/>
        </w:rPr>
        <w:t>a</w:t>
      </w:r>
      <w:r w:rsidR="00587A87" w:rsidRPr="00F163BC">
        <w:rPr>
          <w:b/>
          <w:bCs/>
        </w:rPr>
        <w:t xml:space="preserve"> ar fotoradaru</w:t>
      </w:r>
    </w:p>
    <w:p w14:paraId="5710CD3B" w14:textId="77777777" w:rsidR="00F27D6C" w:rsidRPr="00F163BC" w:rsidRDefault="00F27D6C" w:rsidP="00D65830">
      <w:pPr>
        <w:pStyle w:val="NormalWeb"/>
        <w:spacing w:before="0" w:beforeAutospacing="0" w:after="0" w:afterAutospacing="0"/>
        <w:jc w:val="both"/>
        <w:rPr>
          <w:lang w:val="lv-LV"/>
        </w:rPr>
      </w:pPr>
    </w:p>
    <w:p w14:paraId="3A9E2255" w14:textId="77777777" w:rsidR="0043502A" w:rsidRPr="00F163BC" w:rsidRDefault="0043502A" w:rsidP="00C70068">
      <w:pPr>
        <w:ind w:firstLine="720"/>
        <w:jc w:val="both"/>
      </w:pPr>
      <w:r w:rsidRPr="00F163BC">
        <w:t>Mūsdienu aprīkojuma tehniskās iespējas ļauj fiksēt virkni pārkāpumu ceļu satiksmē</w:t>
      </w:r>
      <w:proofErr w:type="gramStart"/>
      <w:r w:rsidRPr="00F163BC">
        <w:t xml:space="preserve"> un</w:t>
      </w:r>
      <w:proofErr w:type="gramEnd"/>
      <w:r w:rsidRPr="00F163BC">
        <w:t xml:space="preserve"> tam nav nepieciešams apturēt transportlīdzekli. Tāpēc, papildinot fotoradaru funkcionalitāti, ir paredzēts ieviest luksoforu signālu</w:t>
      </w:r>
      <w:r w:rsidR="0092163F" w:rsidRPr="00F163BC">
        <w:t xml:space="preserve"> pārkāpumu</w:t>
      </w:r>
      <w:r w:rsidRPr="00F163BC">
        <w:t xml:space="preserve"> kontroli, stacionāros fotoradarus saslēdzot ar luksoforu kontrolieriem (automatizētu luksofora signāla ievērošanas kontroli) 3 vietās, kurās iespējams veikt gan ātruma kontroli, gan pie apstāšanās līnijas fiksēt tos transportlīdzekļus, kas šķērso to pie aizliedzošā luksofora gaismas signāla - Rīgā, Brīvības gatvē pie ēkas Nr.441 (Berģos) un Rīgas apvedceļa (Salaspils – Babīte) (A5) 37,3.km (Piņķos) abos virzienos braucošajai transportlīdzekļu plūsmai. Fotoradaru uzstādīšanas </w:t>
      </w:r>
      <w:r w:rsidR="0092163F" w:rsidRPr="00F163BC">
        <w:t xml:space="preserve">ceturtās </w:t>
      </w:r>
      <w:r w:rsidRPr="00F163BC">
        <w:t xml:space="preserve">kārtas  realizācijas gaitā tika precizēts tehniskais risinājums esošo fotoradaru </w:t>
      </w:r>
      <w:proofErr w:type="spellStart"/>
      <w:r w:rsidRPr="00F163BC">
        <w:t>Gatso</w:t>
      </w:r>
      <w:proofErr w:type="spellEnd"/>
      <w:r w:rsidRPr="00F163BC">
        <w:t xml:space="preserve"> RT4 saslēgšanai ar esošajiem luksoforu kontrolieriem, saņemti tehniskie noteikumi no iesaistītajām institūcijām un precizētas izmaksas. </w:t>
      </w:r>
    </w:p>
    <w:p w14:paraId="5F97DECF" w14:textId="77777777" w:rsidR="006D141E" w:rsidRPr="00F163BC" w:rsidRDefault="0043502A" w:rsidP="00C70068">
      <w:pPr>
        <w:ind w:firstLine="709"/>
        <w:jc w:val="both"/>
      </w:pPr>
      <w:r w:rsidRPr="00F163BC">
        <w:t>Turpmāk, lai samazinātu izmaksas, kas rodas fotoradaru uzstādīšanas vietu izbūves procesā, regulējamu gājēju pāreju vai krustojumu tiešā tuvumā uzstādāmajām mērierīcēm, uzreiz jāparedz to funkcionalitātes papildināšan</w:t>
      </w:r>
      <w:r w:rsidR="00587A87" w:rsidRPr="00F163BC">
        <w:t>a</w:t>
      </w:r>
      <w:r w:rsidRPr="00F163BC">
        <w:t xml:space="preserve"> ar luksoforu signālu kontroles iespējām.</w:t>
      </w:r>
      <w:r w:rsidR="00C70068" w:rsidRPr="00F163BC">
        <w:t xml:space="preserve">   </w:t>
      </w:r>
      <w:r w:rsidR="00587A87" w:rsidRPr="00F163BC">
        <w:t>B</w:t>
      </w:r>
      <w:r w:rsidR="006D141E" w:rsidRPr="00F163BC">
        <w:t xml:space="preserve">raukšanas ātruma pārsniegšana bieži ir par iemeslu tam, ka pirms tuvošanās gājēju pārejai ātrums netiek pietiekami un savlaicīgi samazināts. Rezultātā tiek apdraudēti mazaizsargātie ceļu satiksmes dalībnieki, kas atrodas pie gājēju pārejas vai šķērso brauktuvi. </w:t>
      </w:r>
      <w:r w:rsidR="00901B6E" w:rsidRPr="00F163BC">
        <w:t xml:space="preserve">VP </w:t>
      </w:r>
      <w:r w:rsidR="006D141E" w:rsidRPr="00F163BC">
        <w:t>ieskatā fotoradaru funkcionalitātes papildināšana ar iespēju fiksēt aizliedzošo luksofora signālu neievērotājus ilgtermiņā var pozitīvi ietekmēt ceļu satiksmes drošību kopumā.</w:t>
      </w:r>
    </w:p>
    <w:p w14:paraId="604B936C" w14:textId="77777777" w:rsidR="006D141E" w:rsidRPr="00F163BC" w:rsidRDefault="006D141E" w:rsidP="00286DC0">
      <w:pPr>
        <w:ind w:firstLine="720"/>
        <w:jc w:val="both"/>
      </w:pPr>
      <w:r w:rsidRPr="00F163BC">
        <w:lastRenderedPageBreak/>
        <w:t>Ņemot vērā, ka minētajās vietās deleģēšanas līgumu ietvaros jau ir uzstādīti fotoradari, kas veic ātruma kontroli, attiecīgajiem fotoradariem ir nepieciešams nodrošināt papildu policijas prasīto funkcionalitāti.</w:t>
      </w:r>
    </w:p>
    <w:p w14:paraId="4E638979" w14:textId="77777777" w:rsidR="006D141E" w:rsidRPr="00F163BC" w:rsidRDefault="006D141E" w:rsidP="00286DC0">
      <w:pPr>
        <w:ind w:firstLine="720"/>
        <w:jc w:val="both"/>
      </w:pPr>
      <w:r w:rsidRPr="00F163BC">
        <w:t>Lai īstenotu jaunas funkcionalitātes darbību esošajā fotoradaru sistēmā, ir jāveic izmaiņas esošajā iekārtu pārvaldības sistēmā un attiecīgajās vietās esošie fotoradari jāsaslēdz ar luksoforu. Esošās iekārtu pārvaldības sistēmas darbības nodrošināšanai tiek izmantots SIA “RECK” izstrādātais un uzturētais programmnodrošinājums, kas tika iepirkts publiska iepirkuma rezultātā. Ņemot vērā, ka konstatējamas SIA “RECK” izņēmuma tiesības veikt izmaiņas iekārtu pārvaldības sistēmā, SIA “RECK” ir vienīgais, kas ir tiesīgs veikt izmaiņas programmatūrā, jo izstrādātais produkts pieder SIA “RECK”. Ja izmaiņas tajā veiks trešās personas, SIA “RECK” negarantē fotoradaru un minētās sistēmas funkcionēšanu un nepārtrauktu darbību.</w:t>
      </w:r>
    </w:p>
    <w:p w14:paraId="5B9DCEBB" w14:textId="77777777" w:rsidR="006D141E" w:rsidRPr="00F163BC" w:rsidRDefault="006D141E" w:rsidP="00286DC0">
      <w:pPr>
        <w:ind w:firstLine="720"/>
        <w:jc w:val="both"/>
      </w:pPr>
      <w:r w:rsidRPr="00F163BC">
        <w:t xml:space="preserve">Līdz ar to CSDD par minēto vajadzību veica iepirkumu saskaņā ar Publisko iepirkumu likuma </w:t>
      </w:r>
      <w:proofErr w:type="gramStart"/>
      <w:r w:rsidRPr="00F163BC">
        <w:t>9.panta</w:t>
      </w:r>
      <w:proofErr w:type="gramEnd"/>
      <w:r w:rsidRPr="00F163BC">
        <w:t xml:space="preserve"> </w:t>
      </w:r>
      <w:r w:rsidR="00246BDC" w:rsidRPr="00F163BC">
        <w:t xml:space="preserve"> divdesmit pirmās </w:t>
      </w:r>
      <w:r w:rsidRPr="00F163BC">
        <w:t xml:space="preserve">daļas 1.punkta noteikumiem, kurā uzaicināja SIA “RECK” iesniegt piedāvājumu. SIA “RECK” iesniedza piedāvājumu par kopējo summu 29 </w:t>
      </w:r>
      <w:r w:rsidR="007B1FEB" w:rsidRPr="00F163BC">
        <w:t>3</w:t>
      </w:r>
      <w:r w:rsidRPr="00F163BC">
        <w:t>44,92</w:t>
      </w:r>
      <w:r w:rsidR="00246BDC" w:rsidRPr="00F163BC">
        <w:t xml:space="preserve"> </w:t>
      </w:r>
      <w:r w:rsidR="00246BDC" w:rsidRPr="00F163BC">
        <w:rPr>
          <w:i/>
        </w:rPr>
        <w:t>euro</w:t>
      </w:r>
      <w:r w:rsidR="00246BDC" w:rsidRPr="00F163BC">
        <w:t xml:space="preserve"> (bez PVN)</w:t>
      </w:r>
      <w:r w:rsidRPr="00F163BC">
        <w:t xml:space="preserve">. CSDD iepirkumā norādīja, ka tā patur tiesības neslēgt līgumu, kamēr nav piešķirts finansējums šī iepirkuma realizēšanai. </w:t>
      </w:r>
    </w:p>
    <w:p w14:paraId="5010CBBA" w14:textId="0F9948EE" w:rsidR="008D32B1" w:rsidRPr="00F31194" w:rsidRDefault="008D32B1" w:rsidP="008D32B1">
      <w:pPr>
        <w:ind w:firstLine="709"/>
        <w:jc w:val="both"/>
      </w:pPr>
      <w:r w:rsidRPr="0080318E">
        <w:t xml:space="preserve">Lai varētu uzsākt praktisku luksoforu signālu kontroli, izmantojot fotoradarus, uz Latvijas Republikas ceļiem, VP </w:t>
      </w:r>
      <w:r w:rsidR="00E25EB2" w:rsidRPr="00F31194">
        <w:t xml:space="preserve">un CSDD </w:t>
      </w:r>
      <w:r w:rsidRPr="0080318E">
        <w:t>lūdza</w:t>
      </w:r>
      <w:r w:rsidR="009F16C4" w:rsidRPr="0080318E">
        <w:t xml:space="preserve"> Ekonomikas ministrijai sniegt viedokli </w:t>
      </w:r>
      <w:r w:rsidRPr="0080318E">
        <w:t xml:space="preserve">par to, vai attiecībā uz luksoforu signālu kontrolē izmantojamām ierīcēm ir attiecināmas likuma “Par mērījumu vienotību” vispārīgās metroloģiskās prasības, kas izvirzāmas </w:t>
      </w:r>
      <w:r w:rsidRPr="001236D1">
        <w:t>mērīšanas līdzekļiem, proti, vai šiem tehniskajiem līdzekļiem ir jāveic tipa apstiprināšana un verifikācija.</w:t>
      </w:r>
    </w:p>
    <w:p w14:paraId="3AEA58EE" w14:textId="1DF66359" w:rsidR="00E25EB2" w:rsidRPr="00F31194" w:rsidRDefault="00E25EB2" w:rsidP="008D32B1">
      <w:pPr>
        <w:ind w:firstLine="709"/>
        <w:jc w:val="both"/>
      </w:pPr>
      <w:r w:rsidRPr="0080318E">
        <w:t xml:space="preserve">Secināts, ka tā kā fotoradariem </w:t>
      </w:r>
      <w:proofErr w:type="spellStart"/>
      <w:r w:rsidRPr="0080318E">
        <w:t>Gatso</w:t>
      </w:r>
      <w:proofErr w:type="spellEnd"/>
      <w:r w:rsidRPr="0080318E">
        <w:t xml:space="preserve"> RT4 no ražošanas brīža ir iestrādāta luksoforu signālu pārkāpumu kontroles funkcija, kas tiks aktivizēta un</w:t>
      </w:r>
      <w:proofErr w:type="gramStart"/>
      <w:r w:rsidRPr="0080318E">
        <w:t xml:space="preserve"> </w:t>
      </w:r>
      <w:r w:rsidRPr="001236D1">
        <w:t xml:space="preserve"> </w:t>
      </w:r>
      <w:proofErr w:type="gramEnd"/>
      <w:r w:rsidRPr="001236D1">
        <w:t>izmantota luksoforu signālu pārkāpumu fiksācijai</w:t>
      </w:r>
      <w:r w:rsidRPr="00C77293">
        <w:t>, grozījumi normatīvajos aktos metroloģijas jomā nav nepieciešami.</w:t>
      </w:r>
    </w:p>
    <w:p w14:paraId="550D43E0" w14:textId="73AF201C" w:rsidR="006F3236" w:rsidRPr="0080318E" w:rsidRDefault="008D2774" w:rsidP="00286DC0">
      <w:pPr>
        <w:ind w:firstLine="720"/>
        <w:jc w:val="both"/>
      </w:pPr>
      <w:r w:rsidRPr="00C77293">
        <w:t xml:space="preserve">Luksoforu signālu kontroli paredzēts ieviest </w:t>
      </w:r>
      <w:proofErr w:type="gramStart"/>
      <w:r w:rsidRPr="00C77293">
        <w:t>2019.gada</w:t>
      </w:r>
      <w:proofErr w:type="gramEnd"/>
      <w:r w:rsidRPr="00C77293">
        <w:t xml:space="preserve"> beigās</w:t>
      </w:r>
      <w:r w:rsidR="00263DCB" w:rsidRPr="00C77293">
        <w:t xml:space="preserve"> (indikatīvi – ar 01.10.2019)</w:t>
      </w:r>
      <w:r w:rsidRPr="00C77293">
        <w:t>.</w:t>
      </w:r>
      <w:r w:rsidR="00F808EA" w:rsidRPr="00C77293">
        <w:t xml:space="preserve"> Prognozējams, ka vienas ierīces darbības dienā tiks fiksēti 2 luksoforu signālu prasību neievērošanas pārkāpumi.</w:t>
      </w:r>
    </w:p>
    <w:p w14:paraId="78F1DE75" w14:textId="77777777" w:rsidR="004C2DA7" w:rsidRPr="00F163BC" w:rsidRDefault="004C2DA7" w:rsidP="001E31B4">
      <w:pPr>
        <w:jc w:val="both"/>
      </w:pPr>
    </w:p>
    <w:p w14:paraId="27C395EA" w14:textId="77777777" w:rsidR="00FB4C83" w:rsidRPr="00F163BC" w:rsidRDefault="00FB4C83" w:rsidP="00F31194">
      <w:pPr>
        <w:jc w:val="center"/>
        <w:rPr>
          <w:b/>
        </w:rPr>
      </w:pPr>
      <w:r w:rsidRPr="00F163BC">
        <w:rPr>
          <w:b/>
        </w:rPr>
        <w:t>2.3.2. Pārkāpumu fiksēšana, automātiski nolasot transportlīdzekļu reģistrācijas numura zīmes</w:t>
      </w:r>
    </w:p>
    <w:p w14:paraId="155AFB11" w14:textId="77777777" w:rsidR="00FB4C83" w:rsidRPr="00F163BC" w:rsidRDefault="00FB4C83" w:rsidP="00FB4C83">
      <w:pPr>
        <w:pStyle w:val="NormalWeb"/>
        <w:spacing w:before="0" w:beforeAutospacing="0" w:after="0" w:afterAutospacing="0"/>
        <w:ind w:firstLine="720"/>
        <w:jc w:val="both"/>
        <w:rPr>
          <w:b/>
          <w:lang w:val="lv-LV"/>
        </w:rPr>
      </w:pPr>
    </w:p>
    <w:p w14:paraId="5E5E7279" w14:textId="77777777" w:rsidR="0073190F" w:rsidRPr="00F163BC" w:rsidRDefault="00FB4C83" w:rsidP="0073190F">
      <w:pPr>
        <w:pStyle w:val="NormalWeb"/>
        <w:spacing w:before="0" w:beforeAutospacing="0" w:after="0" w:afterAutospacing="0"/>
        <w:ind w:firstLine="720"/>
        <w:jc w:val="both"/>
        <w:rPr>
          <w:lang w:val="lv-LV"/>
        </w:rPr>
      </w:pPr>
      <w:r w:rsidRPr="00F163BC">
        <w:rPr>
          <w:lang w:val="lv-LV"/>
        </w:rPr>
        <w:t>Īstenojot “Ceļu satiksmes drošības plānā 2017.-</w:t>
      </w:r>
      <w:proofErr w:type="gramStart"/>
      <w:r w:rsidRPr="00F163BC">
        <w:rPr>
          <w:lang w:val="lv-LV"/>
        </w:rPr>
        <w:t>2020.gadam</w:t>
      </w:r>
      <w:proofErr w:type="gramEnd"/>
      <w:r w:rsidRPr="00F163BC">
        <w:rPr>
          <w:lang w:val="lv-LV"/>
        </w:rPr>
        <w:t xml:space="preserve">” (apstiprināts ar Ministru kabineta 2017.gada 4.aprīļa rīkojumu Nr.180) ietverto pasākumu,  plānots ieviest ierīces, kas veic automātisku transportlīdzekļu reģistrācijas numura zīmju nolasīšanu. Šīs ierīces ļaus fiksēt tālruņa lietošanas pārkāpumus, transportlīdzeklim atrodoties kustībā. </w:t>
      </w:r>
      <w:r w:rsidR="0073190F" w:rsidRPr="00F163BC">
        <w:rPr>
          <w:lang w:val="lv-LV"/>
        </w:rPr>
        <w:t xml:space="preserve">Šīs ierīces ļaus fiksēt tālruņa, piezīmjdatora, planšetdatora vai </w:t>
      </w:r>
      <w:proofErr w:type="spellStart"/>
      <w:r w:rsidR="0073190F" w:rsidRPr="00F163BC">
        <w:rPr>
          <w:lang w:val="lv-LV"/>
        </w:rPr>
        <w:t>viedierīces</w:t>
      </w:r>
      <w:proofErr w:type="spellEnd"/>
      <w:r w:rsidR="0073190F" w:rsidRPr="00F163BC">
        <w:rPr>
          <w:lang w:val="lv-LV"/>
        </w:rPr>
        <w:t xml:space="preserve"> lietošanas pārkāpumus, transportlīdzeklim atrodoties kustībā, to noteikumu pārkāpšanu, kuri reglamentē brīdinājumu signāla došanas kārtību, drošības jostas nelietošanu, luksoforu signālu prasību neievērošanu, kā arī citus ceļu satiksmes noteikumu pārkāpumus.</w:t>
      </w:r>
    </w:p>
    <w:p w14:paraId="6F4AD16B" w14:textId="77777777" w:rsidR="00FB4C83" w:rsidRPr="00F163BC" w:rsidRDefault="00FB4C83" w:rsidP="00FB4C83">
      <w:pPr>
        <w:pStyle w:val="NormalWeb"/>
        <w:spacing w:before="0" w:beforeAutospacing="0" w:after="0" w:afterAutospacing="0"/>
        <w:ind w:firstLine="720"/>
        <w:jc w:val="both"/>
        <w:rPr>
          <w:lang w:val="lv-LV"/>
        </w:rPr>
      </w:pPr>
      <w:r w:rsidRPr="00F163BC">
        <w:rPr>
          <w:lang w:val="lv-LV"/>
        </w:rPr>
        <w:t xml:space="preserve">Viens no VP </w:t>
      </w:r>
      <w:proofErr w:type="spellStart"/>
      <w:r w:rsidRPr="00F163BC">
        <w:rPr>
          <w:lang w:val="lv-LV"/>
        </w:rPr>
        <w:t>netrafarētajiem</w:t>
      </w:r>
      <w:proofErr w:type="spellEnd"/>
      <w:r w:rsidRPr="00F163BC">
        <w:rPr>
          <w:lang w:val="lv-LV"/>
        </w:rPr>
        <w:t xml:space="preserve"> operatīvajiem transportlīdzekļiem tiks aprīkots ar sistēmu, kas veiks automātisku transportlīdzekļu reģistrācijas numura zīmju nolasīšanu, veicot ceļu satiksmes uzraudzību kustībā, notiks iepriekš minēto pārkāpumu fiksēšana, neapturot transportlīdzekļus, ar kuriem izdarīti pārkāpumi. Jāatzīmē, ka šī sistēma nodrošinās iespēju automātiski konstatēt, vai transportlīdzeklis nav meklēšanā, vai attiecībā uz to ir izdarītā tā īpašnieka civiltiesiskās atbildības obligātā apdrošināšana un ir izieta tehniskā apskate, kā arī iespējams, citu svarīgu informāciju.</w:t>
      </w:r>
    </w:p>
    <w:p w14:paraId="2450D734" w14:textId="77777777" w:rsidR="0073190F" w:rsidRPr="00F163BC" w:rsidRDefault="00FB4C83" w:rsidP="0073190F">
      <w:pPr>
        <w:pStyle w:val="NormalWeb"/>
        <w:spacing w:before="0" w:beforeAutospacing="0" w:after="0" w:afterAutospacing="0"/>
        <w:jc w:val="both"/>
        <w:rPr>
          <w:lang w:val="lv-LV"/>
        </w:rPr>
      </w:pPr>
      <w:r w:rsidRPr="00F163BC">
        <w:rPr>
          <w:lang w:val="lv-LV"/>
        </w:rPr>
        <w:lastRenderedPageBreak/>
        <w:t xml:space="preserve">    </w:t>
      </w:r>
      <w:r w:rsidRPr="00F163BC">
        <w:rPr>
          <w:lang w:val="lv-LV"/>
        </w:rPr>
        <w:tab/>
      </w:r>
      <w:r w:rsidR="0073190F" w:rsidRPr="00F163BC">
        <w:rPr>
          <w:lang w:val="lv-LV"/>
        </w:rPr>
        <w:t xml:space="preserve">Būtiski norādīt, ka tālruņu un citu viedo ierīču lietošana braukšanas laikā ir kļuvusi par ļoti izplatītu parādību, kas novērš vadītāja uzmanību un rada virkni bīstamu situāciju uz ceļa. Liela daļa gājēju, šķērsojot ielu, mēdz izmantot mobilo telefonu, kas var radīt bīstamas situācijas gan gājējiem, gan autovadītājiem. Vēl bīstamāk ir lietot mobilo telefonu, vadot transportlīdzekli, kad ir nepieciešams pievērst īpašu uzmanību apkārt notiekošajam. Ņemot vērā, ka transportlīdzekļa vadīšana nozīmē aktīvu dalību satiksmē, blakus darbības, kas neattiecas uz automašīnas vadību, šajā procesā nopietni apdraud citus satiksmes dalībniekus. Arī luksoforu prasību neievērošana un savlaicīga virzienrādītāju ieslēgšana nereti ir ceļu satiksmes negadījumu cēlonis. </w:t>
      </w:r>
    </w:p>
    <w:p w14:paraId="4C5CBDEE" w14:textId="77777777" w:rsidR="0073190F" w:rsidRPr="00F163BC" w:rsidRDefault="0073190F" w:rsidP="0073190F">
      <w:pPr>
        <w:pStyle w:val="NormalWeb"/>
        <w:spacing w:before="0" w:beforeAutospacing="0" w:after="0" w:afterAutospacing="0"/>
        <w:ind w:firstLine="709"/>
        <w:jc w:val="both"/>
        <w:rPr>
          <w:lang w:val="lv-LV"/>
        </w:rPr>
      </w:pPr>
      <w:r w:rsidRPr="00F163BC">
        <w:rPr>
          <w:lang w:val="lv-LV"/>
        </w:rPr>
        <w:t xml:space="preserve">Saskaņā ar Valsts policijas datiem </w:t>
      </w:r>
      <w:proofErr w:type="gramStart"/>
      <w:r w:rsidRPr="00F163BC">
        <w:rPr>
          <w:lang w:val="lv-LV"/>
        </w:rPr>
        <w:t>2018.gadā</w:t>
      </w:r>
      <w:proofErr w:type="gramEnd"/>
      <w:r w:rsidRPr="00F163BC">
        <w:rPr>
          <w:lang w:val="lv-LV"/>
        </w:rPr>
        <w:t xml:space="preserve">, apturot transportlīdzekļus visā Latvijas teritorijā, pret to vadītājiem pieņemti: 1) 2 912 lēmumi par tālruņa, piezīmjdatora, planšetdatora vai </w:t>
      </w:r>
      <w:proofErr w:type="spellStart"/>
      <w:r w:rsidRPr="00F163BC">
        <w:rPr>
          <w:lang w:val="lv-LV"/>
        </w:rPr>
        <w:t>viedierīces</w:t>
      </w:r>
      <w:proofErr w:type="spellEnd"/>
      <w:r w:rsidRPr="00F163BC">
        <w:rPr>
          <w:lang w:val="lv-LV"/>
        </w:rPr>
        <w:t xml:space="preserve"> lietošanu, transportlīdzeklim atrodoties kustībām (vidēji nedēļā 56 lēmumi); 2) 2 340 lēmumi par luksoforu signālu prasību pārkāpumiem (vidēji nedēļā 45 lēmumi); 3) 1 403 lēmumi par to noteikumu pārkāpšanu, kuri reglamentē brīdinājuma signāla došanas kārtību (vidēji nedēļā 27 lēmumi). Vidēji nedēļā par šiem tīs pārkāpumu veidiem tiek pieņemti 43 lēmumi nedēļā. Jāņem vērā, ka satiksmes uzraudzību veicošās policijas struktūrvienības, patrulējot fiksē visus ceļu satiksmi reglamentējošo normatīvo aktu pārkāpumus, veic transportlīdzekļu apturēšanu, administratīvo pārkāpumu protokolu sastādīšanu un citas ar administratīvo lietvedības nodrošināšanu saistītās darbības, kas ir laikietilpīgs process.</w:t>
      </w:r>
    </w:p>
    <w:p w14:paraId="1CEF3DB6" w14:textId="77777777" w:rsidR="00FB4C83" w:rsidRPr="00F163BC" w:rsidRDefault="00FB4C83" w:rsidP="00286DC0">
      <w:pPr>
        <w:pStyle w:val="NormalWeb"/>
        <w:spacing w:before="0" w:beforeAutospacing="0" w:after="0" w:afterAutospacing="0"/>
        <w:jc w:val="both"/>
        <w:rPr>
          <w:lang w:val="lv-LV"/>
        </w:rPr>
      </w:pPr>
      <w:r w:rsidRPr="00F163BC">
        <w:rPr>
          <w:lang w:val="lv-LV"/>
        </w:rPr>
        <w:t xml:space="preserve">    </w:t>
      </w:r>
      <w:r w:rsidRPr="00F163BC">
        <w:rPr>
          <w:lang w:val="lv-LV"/>
        </w:rPr>
        <w:tab/>
        <w:t>Ņemot vērā to, ka ierīce, kas veic automātisku transportlīdzekļu reģistrācijas numura zīmju nolasīšanu, tiks mērķtiecīgi izmantota tieši iepriekš minēto pārkāpumu fiksēšanai, turklāt pārkāpumu fiksēšana notiks, neapturot pārkāpumus izdarījušos transportlīdzekļus, var provizoriski paredzēt, ka, ieviešot iepriekš minēto ierīci ceļu satiksmes uzraudzībā, vidēji sistēmas darbības nedēļā tiks sastādīti 40 administratīvā pārkāpuma protokoli–lēmumi par minētajiem pārkāpumiem.</w:t>
      </w:r>
    </w:p>
    <w:p w14:paraId="211F3853" w14:textId="77777777" w:rsidR="00E56099" w:rsidRPr="00F163BC" w:rsidRDefault="00E56099" w:rsidP="00E56099">
      <w:pPr>
        <w:pStyle w:val="NormalWeb"/>
        <w:spacing w:before="0" w:beforeAutospacing="0" w:after="0" w:afterAutospacing="0"/>
        <w:ind w:firstLine="720"/>
        <w:jc w:val="both"/>
        <w:rPr>
          <w:lang w:val="lv-LV"/>
        </w:rPr>
      </w:pPr>
      <w:r w:rsidRPr="00F163BC">
        <w:rPr>
          <w:lang w:val="lv-LV"/>
        </w:rPr>
        <w:t>Pēc pretendentu atbilstības kvalifikācijas un piedāvājumu atbilstības pārbaude</w:t>
      </w:r>
      <w:r w:rsidRPr="00F163BC">
        <w:rPr>
          <w:rFonts w:eastAsiaTheme="minorHAnsi"/>
          <w:lang w:val="lv-LV" w:eastAsia="en-US"/>
        </w:rPr>
        <w:t xml:space="preserve">s </w:t>
      </w:r>
      <w:r w:rsidRPr="00F163BC">
        <w:rPr>
          <w:lang w:val="lv-LV"/>
        </w:rPr>
        <w:t xml:space="preserve">VP izsludinātā atklātā konkursā </w:t>
      </w:r>
      <w:r w:rsidRPr="00F163BC">
        <w:rPr>
          <w:bCs/>
          <w:lang w:val="lv-LV"/>
        </w:rPr>
        <w:t>“Par mērierīču un kontroles ierīču iegādi Valsts policijas Galvenās kārtības policijas pārvaldes vajadzībām</w:t>
      </w:r>
      <w:r w:rsidRPr="00F163BC">
        <w:rPr>
          <w:lang w:val="lv-LV"/>
        </w:rPr>
        <w:t xml:space="preserve">” (iepirkuma identifikācijas Nr. IeM VP 2018/32) līguma par </w:t>
      </w:r>
      <w:r w:rsidRPr="00F163BC">
        <w:rPr>
          <w:rFonts w:eastAsiaTheme="minorHAnsi"/>
          <w:lang w:val="lv-LV" w:eastAsia="en-US"/>
        </w:rPr>
        <w:t>automātiska transportlīdzekļu valsts reģistrācijas numura zīmju nolasīšanas/atpazīšanas un ceļu satiksmē izdarītu pārkāpumu fiksēšanas sistēmas iegādi slēgšanas tiesības piešķirtas SIA “</w:t>
      </w:r>
      <w:proofErr w:type="spellStart"/>
      <w:r w:rsidRPr="00F163BC">
        <w:rPr>
          <w:rFonts w:eastAsiaTheme="minorHAnsi"/>
          <w:lang w:val="lv-LV" w:eastAsia="en-US"/>
        </w:rPr>
        <w:t>NemTex</w:t>
      </w:r>
      <w:proofErr w:type="spellEnd"/>
      <w:r w:rsidRPr="00F163BC">
        <w:rPr>
          <w:rFonts w:eastAsiaTheme="minorHAnsi"/>
          <w:lang w:val="lv-LV" w:eastAsia="en-US"/>
        </w:rPr>
        <w:t xml:space="preserve">”. 2019.gada 14.janvārī VP minētā konkursa ietvaros noslēgts iepirkuma līgumu Nr.26.  Prognozējams, ka automātiska transportlīdzekļu valsts reģistrācijas numura zīmju nolasīšanas/atpazīšanas un ceļu satiksmē izdarītu pārkāpumu fiksēšanas sistēma ceļu satiksmes uzraudzībā tiks ieviesta 2019.gada aprīlī. </w:t>
      </w:r>
    </w:p>
    <w:p w14:paraId="45C08D63" w14:textId="77777777" w:rsidR="00E56099" w:rsidRPr="00F163BC" w:rsidRDefault="00350520" w:rsidP="00286DC0">
      <w:pPr>
        <w:pStyle w:val="NormalWeb"/>
        <w:spacing w:before="0" w:beforeAutospacing="0" w:after="0" w:afterAutospacing="0"/>
        <w:jc w:val="both"/>
        <w:rPr>
          <w:lang w:val="lv-LV"/>
        </w:rPr>
      </w:pPr>
      <w:r w:rsidRPr="00F163BC">
        <w:rPr>
          <w:lang w:val="lv-LV"/>
        </w:rPr>
        <w:t xml:space="preserve">             Protokolu-lēmumu projektus sagatavos VP. </w:t>
      </w:r>
    </w:p>
    <w:p w14:paraId="06FCE284" w14:textId="77777777" w:rsidR="00350520" w:rsidRPr="00F163BC" w:rsidRDefault="00350520" w:rsidP="00286DC0">
      <w:pPr>
        <w:pStyle w:val="NormalWeb"/>
        <w:spacing w:before="0" w:beforeAutospacing="0" w:after="0" w:afterAutospacing="0"/>
        <w:jc w:val="both"/>
        <w:rPr>
          <w:lang w:val="lv-LV"/>
        </w:rPr>
      </w:pPr>
    </w:p>
    <w:p w14:paraId="2E8A835F" w14:textId="77777777" w:rsidR="0022389E" w:rsidRPr="00F163BC" w:rsidRDefault="0022389E" w:rsidP="0022389E">
      <w:pPr>
        <w:pStyle w:val="NormalWeb"/>
        <w:spacing w:before="0" w:beforeAutospacing="0" w:after="0" w:afterAutospacing="0"/>
        <w:ind w:firstLine="720"/>
        <w:jc w:val="both"/>
        <w:rPr>
          <w:b/>
          <w:lang w:val="lv-LV"/>
        </w:rPr>
      </w:pPr>
      <w:r w:rsidRPr="00F163BC">
        <w:rPr>
          <w:b/>
          <w:lang w:val="lv-LV"/>
        </w:rPr>
        <w:t>2.3.3. Transportlīdzekļu vidējā braukšanas ātruma noteikšana</w:t>
      </w:r>
    </w:p>
    <w:p w14:paraId="12DEADCE" w14:textId="77777777" w:rsidR="0022389E" w:rsidRPr="00F163BC" w:rsidRDefault="0022389E" w:rsidP="00F27D6C">
      <w:pPr>
        <w:pStyle w:val="NormalWeb"/>
        <w:spacing w:before="0" w:beforeAutospacing="0" w:after="0" w:afterAutospacing="0"/>
        <w:ind w:firstLine="720"/>
        <w:jc w:val="both"/>
        <w:rPr>
          <w:lang w:val="lv-LV"/>
        </w:rPr>
      </w:pPr>
    </w:p>
    <w:p w14:paraId="03BE6698" w14:textId="77777777" w:rsidR="00FF7397" w:rsidRPr="00F163BC" w:rsidRDefault="00926692" w:rsidP="00F27D6C">
      <w:pPr>
        <w:pStyle w:val="NormalWeb"/>
        <w:spacing w:before="0" w:beforeAutospacing="0" w:after="0" w:afterAutospacing="0"/>
        <w:ind w:firstLine="720"/>
        <w:jc w:val="both"/>
        <w:rPr>
          <w:lang w:val="lv-LV"/>
        </w:rPr>
      </w:pPr>
      <w:r w:rsidRPr="00F163BC">
        <w:rPr>
          <w:lang w:val="lv-LV"/>
        </w:rPr>
        <w:t xml:space="preserve"> </w:t>
      </w:r>
      <w:r w:rsidR="00FF7397" w:rsidRPr="00F163BC">
        <w:rPr>
          <w:lang w:val="lv-LV"/>
        </w:rPr>
        <w:t>Ceļu satiksmes drošības plānā 2017.-</w:t>
      </w:r>
      <w:proofErr w:type="gramStart"/>
      <w:r w:rsidR="00FF7397" w:rsidRPr="00F163BC">
        <w:rPr>
          <w:lang w:val="lv-LV"/>
        </w:rPr>
        <w:t>2020.gadam</w:t>
      </w:r>
      <w:proofErr w:type="gramEnd"/>
      <w:r w:rsidR="00FF7397" w:rsidRPr="00F163BC">
        <w:rPr>
          <w:lang w:val="lv-LV"/>
        </w:rPr>
        <w:t xml:space="preserve"> </w:t>
      </w:r>
      <w:r w:rsidR="00110259" w:rsidRPr="00F163BC">
        <w:rPr>
          <w:lang w:val="lv-LV"/>
        </w:rPr>
        <w:t>kā viens no pasākumiem ceļu satiksmes dalībnieku kontrolei, paredzēts</w:t>
      </w:r>
      <w:r w:rsidR="00E37FEE" w:rsidRPr="00F163BC">
        <w:rPr>
          <w:lang w:val="lv-LV"/>
        </w:rPr>
        <w:t xml:space="preserve"> veikt izpēti un sagatavot priekšlikumus, lai </w:t>
      </w:r>
      <w:r w:rsidR="00110259" w:rsidRPr="00F163BC">
        <w:rPr>
          <w:lang w:val="lv-LV"/>
        </w:rPr>
        <w:t xml:space="preserve"> ceļu satiksmes uzraudzībā ieviest</w:t>
      </w:r>
      <w:r w:rsidR="00E37FEE" w:rsidRPr="00F163BC">
        <w:rPr>
          <w:lang w:val="lv-LV"/>
        </w:rPr>
        <w:t>u</w:t>
      </w:r>
      <w:r w:rsidR="00110259" w:rsidRPr="00F163BC">
        <w:rPr>
          <w:lang w:val="lv-LV"/>
        </w:rPr>
        <w:t xml:space="preserve"> </w:t>
      </w:r>
      <w:r w:rsidR="004C243F" w:rsidRPr="00F163BC">
        <w:rPr>
          <w:lang w:val="lv-LV"/>
        </w:rPr>
        <w:t>tehnisko</w:t>
      </w:r>
      <w:r w:rsidR="00110259" w:rsidRPr="00F163BC">
        <w:rPr>
          <w:lang w:val="lv-LV"/>
        </w:rPr>
        <w:t>s</w:t>
      </w:r>
      <w:r w:rsidR="004C243F" w:rsidRPr="00F163BC">
        <w:rPr>
          <w:lang w:val="lv-LV"/>
        </w:rPr>
        <w:t xml:space="preserve"> līdzekļu</w:t>
      </w:r>
      <w:r w:rsidR="00110259" w:rsidRPr="00F163BC">
        <w:rPr>
          <w:lang w:val="lv-LV"/>
        </w:rPr>
        <w:t>s</w:t>
      </w:r>
      <w:r w:rsidR="004C243F" w:rsidRPr="00F163BC">
        <w:rPr>
          <w:lang w:val="lv-LV"/>
        </w:rPr>
        <w:t xml:space="preserve"> </w:t>
      </w:r>
      <w:r w:rsidR="00FF7397" w:rsidRPr="00F163BC">
        <w:rPr>
          <w:lang w:val="lv-LV"/>
        </w:rPr>
        <w:t>transportlīdzekļu vidējā braukšanas ātruma noteikšana</w:t>
      </w:r>
      <w:r w:rsidR="004C243F" w:rsidRPr="00F163BC">
        <w:rPr>
          <w:lang w:val="lv-LV"/>
        </w:rPr>
        <w:t>i</w:t>
      </w:r>
      <w:r w:rsidR="00110259" w:rsidRPr="00F163BC">
        <w:rPr>
          <w:lang w:val="lv-LV"/>
        </w:rPr>
        <w:t>.</w:t>
      </w:r>
      <w:r w:rsidR="00FF7397" w:rsidRPr="00F163BC">
        <w:rPr>
          <w:lang w:val="lv-LV"/>
        </w:rPr>
        <w:t xml:space="preserve"> </w:t>
      </w:r>
    </w:p>
    <w:p w14:paraId="3A7295E2" w14:textId="77777777" w:rsidR="00F50A2F" w:rsidRPr="00F163BC" w:rsidRDefault="00F50A2F" w:rsidP="00C45C76">
      <w:pPr>
        <w:pStyle w:val="NormalWeb"/>
        <w:spacing w:before="0" w:beforeAutospacing="0" w:after="0" w:afterAutospacing="0"/>
        <w:ind w:firstLine="720"/>
        <w:jc w:val="both"/>
        <w:rPr>
          <w:lang w:val="lv-LV"/>
        </w:rPr>
      </w:pPr>
      <w:r w:rsidRPr="00F163BC">
        <w:rPr>
          <w:lang w:val="lv-LV"/>
        </w:rPr>
        <w:t>T</w:t>
      </w:r>
      <w:r w:rsidR="00FF7397" w:rsidRPr="00F163BC">
        <w:rPr>
          <w:lang w:val="lv-LV"/>
        </w:rPr>
        <w:t>ransportlīdzekļu vidējā braukšanas ātruma noteikšanā izmantojamie tehniskie līdzekļi neveic mērīšanas funkciju. Transportlīdzekļu braukšanas vidējā ātruma noteikšana notiek, izmērot, cik ilgā laikā transportlīdzeklis veicis attālumu starp diviem punktiem, attiecīgi nofiksējot precīzu transportlīdzekļa atrašanās laiku katrā no punktiem.</w:t>
      </w:r>
      <w:r w:rsidR="00C45C76" w:rsidRPr="00F163BC">
        <w:rPr>
          <w:lang w:val="lv-LV"/>
        </w:rPr>
        <w:t xml:space="preserve"> </w:t>
      </w:r>
      <w:r w:rsidR="00FF7397" w:rsidRPr="00F163BC">
        <w:rPr>
          <w:lang w:val="lv-LV"/>
        </w:rPr>
        <w:t>Ja transportlīdzekļa vidējais braukšanas ātrums ir lielāks par ceļa posmā noteikto braukšanas ātrumu, konstatējams atļautā braukšanas ātruma pārkāpums.</w:t>
      </w:r>
      <w:r w:rsidR="00C45C76" w:rsidRPr="00F163BC">
        <w:rPr>
          <w:lang w:val="lv-LV"/>
        </w:rPr>
        <w:t xml:space="preserve"> Šādas </w:t>
      </w:r>
      <w:r w:rsidR="00C45C76" w:rsidRPr="00F163BC">
        <w:rPr>
          <w:lang w:val="lv-LV"/>
        </w:rPr>
        <w:lastRenderedPageBreak/>
        <w:t>kontroles sistēmas</w:t>
      </w:r>
      <w:r w:rsidR="00A2630E" w:rsidRPr="00F163BC">
        <w:rPr>
          <w:lang w:val="lv-LV"/>
        </w:rPr>
        <w:t xml:space="preserve"> varētu būt vēl </w:t>
      </w:r>
      <w:r w:rsidR="00C45C76" w:rsidRPr="00F163BC">
        <w:rPr>
          <w:lang w:val="lv-LV"/>
        </w:rPr>
        <w:t xml:space="preserve">efektīvākas </w:t>
      </w:r>
      <w:r w:rsidR="00A2630E" w:rsidRPr="00F163BC">
        <w:rPr>
          <w:lang w:val="lv-LV"/>
        </w:rPr>
        <w:t>par foto</w:t>
      </w:r>
      <w:r w:rsidR="00BD1587" w:rsidRPr="00F163BC">
        <w:rPr>
          <w:lang w:val="lv-LV"/>
        </w:rPr>
        <w:t xml:space="preserve">radaru </w:t>
      </w:r>
      <w:r w:rsidR="00A2630E" w:rsidRPr="00F163BC">
        <w:rPr>
          <w:lang w:val="lv-LV"/>
        </w:rPr>
        <w:t>sistēmām</w:t>
      </w:r>
      <w:r w:rsidR="00BD1587" w:rsidRPr="00F163BC">
        <w:rPr>
          <w:lang w:val="lv-LV"/>
        </w:rPr>
        <w:t xml:space="preserve">, jo </w:t>
      </w:r>
      <w:r w:rsidR="00A2630E" w:rsidRPr="00F163BC">
        <w:rPr>
          <w:lang w:val="lv-LV"/>
        </w:rPr>
        <w:t xml:space="preserve">tās </w:t>
      </w:r>
      <w:r w:rsidR="00BD1587" w:rsidRPr="00F163BC">
        <w:rPr>
          <w:lang w:val="lv-LV"/>
        </w:rPr>
        <w:t>preventīvi novēr</w:t>
      </w:r>
      <w:r w:rsidR="00A2630E" w:rsidRPr="00F163BC">
        <w:rPr>
          <w:lang w:val="lv-LV"/>
        </w:rPr>
        <w:t>sīs</w:t>
      </w:r>
      <w:r w:rsidR="00BD1587" w:rsidRPr="00F163BC">
        <w:rPr>
          <w:lang w:val="lv-LV"/>
        </w:rPr>
        <w:t xml:space="preserve"> iespējamos braukšanas ātruma pārkāpumus garākos ceļa posmos.</w:t>
      </w:r>
    </w:p>
    <w:p w14:paraId="58ECCF93" w14:textId="77777777" w:rsidR="00F50A2F" w:rsidRPr="00F163BC" w:rsidRDefault="00F50A2F" w:rsidP="00F27D6C">
      <w:pPr>
        <w:pStyle w:val="NormalWeb"/>
        <w:spacing w:before="0" w:beforeAutospacing="0" w:after="0" w:afterAutospacing="0"/>
        <w:ind w:firstLine="720"/>
        <w:jc w:val="both"/>
        <w:rPr>
          <w:lang w:val="lv-LV"/>
        </w:rPr>
      </w:pPr>
      <w:r w:rsidRPr="00F163BC">
        <w:rPr>
          <w:lang w:val="lv-LV"/>
        </w:rPr>
        <w:t>Saskaņā ar Ekonomikas ministrijas norādīto</w:t>
      </w:r>
      <w:r w:rsidR="005C05DF" w:rsidRPr="00F163BC">
        <w:rPr>
          <w:rStyle w:val="FootnoteReference"/>
          <w:lang w:val="lv-LV"/>
        </w:rPr>
        <w:footnoteReference w:id="9"/>
      </w:r>
      <w:r w:rsidRPr="00F163BC">
        <w:rPr>
          <w:lang w:val="lv-LV"/>
        </w:rPr>
        <w:t xml:space="preserve"> (atbilde sniegta, pamatojoties uz VP pieprasījumu), uz transportlīdzekļu vidējā braukšanas ātruma noteikšanas tehniskajiem līdzekļiem nav attiecināmas likuma “Par mērījumu vienotību” vispārīgās metroloģiskās prasības, kas izvirzāmas mērīšanas līdzekļiem, proti, šiem tehniskajiem līdzekļiem nav jāveic tipa apstiprināšana un verifikācija.</w:t>
      </w:r>
    </w:p>
    <w:p w14:paraId="0FE41764" w14:textId="77777777" w:rsidR="00201CE0" w:rsidRPr="00F163BC" w:rsidRDefault="008D101B" w:rsidP="00B84B12">
      <w:pPr>
        <w:pStyle w:val="NormalWeb"/>
        <w:spacing w:before="0" w:beforeAutospacing="0" w:after="0" w:afterAutospacing="0"/>
        <w:ind w:firstLine="720"/>
        <w:jc w:val="both"/>
        <w:rPr>
          <w:lang w:val="lv-LV"/>
        </w:rPr>
      </w:pPr>
      <w:r w:rsidRPr="00F163BC">
        <w:rPr>
          <w:lang w:val="lv-LV"/>
        </w:rPr>
        <w:t>Savukārt, Tieslietu</w:t>
      </w:r>
      <w:r w:rsidR="00C45C76" w:rsidRPr="00F163BC">
        <w:rPr>
          <w:lang w:val="lv-LV"/>
        </w:rPr>
        <w:t xml:space="preserve"> </w:t>
      </w:r>
      <w:r w:rsidR="00A052B4" w:rsidRPr="00F163BC">
        <w:rPr>
          <w:lang w:val="lv-LV"/>
        </w:rPr>
        <w:t>ministrija</w:t>
      </w:r>
      <w:r w:rsidR="00201CE0" w:rsidRPr="00F163BC">
        <w:rPr>
          <w:rStyle w:val="FootnoteReference"/>
        </w:rPr>
        <w:footnoteReference w:id="10"/>
      </w:r>
      <w:r w:rsidR="00A052B4" w:rsidRPr="00F163BC">
        <w:rPr>
          <w:lang w:val="lv-LV"/>
        </w:rPr>
        <w:t>, atbildot</w:t>
      </w:r>
      <w:r w:rsidR="000C65C8" w:rsidRPr="00F163BC">
        <w:rPr>
          <w:lang w:val="lv-LV"/>
        </w:rPr>
        <w:t xml:space="preserve"> uz VP lūgumu sniegt viedokli par transportlīdzekļu kustības vidējā ātruma kontroles iespējām atbilstoši spēkā esošajam </w:t>
      </w:r>
      <w:r w:rsidR="00201CE0" w:rsidRPr="00F163BC">
        <w:rPr>
          <w:lang w:val="lv-LV"/>
        </w:rPr>
        <w:t xml:space="preserve">Ceļu satiksmes likuma </w:t>
      </w:r>
      <w:r w:rsidR="000C65C8" w:rsidRPr="00F163BC">
        <w:rPr>
          <w:lang w:val="lv-LV"/>
        </w:rPr>
        <w:t>un LAPK regulējumam, norāda, ka nesaskata juridiska rakstura šķēršļus spēkā esoš</w:t>
      </w:r>
      <w:r w:rsidR="00201CE0" w:rsidRPr="00F163BC">
        <w:rPr>
          <w:lang w:val="lv-LV"/>
        </w:rPr>
        <w:t>aj</w:t>
      </w:r>
      <w:r w:rsidR="000C65C8" w:rsidRPr="00F163BC">
        <w:rPr>
          <w:lang w:val="lv-LV"/>
        </w:rPr>
        <w:t>ā</w:t>
      </w:r>
      <w:proofErr w:type="gramStart"/>
      <w:r w:rsidR="000C65C8" w:rsidRPr="00F163BC">
        <w:rPr>
          <w:lang w:val="lv-LV"/>
        </w:rPr>
        <w:t xml:space="preserve">  </w:t>
      </w:r>
      <w:proofErr w:type="gramEnd"/>
      <w:r w:rsidR="00201CE0" w:rsidRPr="00F163BC">
        <w:rPr>
          <w:lang w:val="lv-LV"/>
        </w:rPr>
        <w:t xml:space="preserve">Ceļu satiksmes likumā </w:t>
      </w:r>
      <w:r w:rsidR="000C65C8" w:rsidRPr="00F163BC">
        <w:rPr>
          <w:lang w:val="lv-LV"/>
        </w:rPr>
        <w:t>paredzētā regulējuma piemērošanai</w:t>
      </w:r>
      <w:r w:rsidR="00B84B12" w:rsidRPr="00F163BC">
        <w:rPr>
          <w:lang w:val="lv-LV"/>
        </w:rPr>
        <w:t xml:space="preserve">, kā arī LAPK </w:t>
      </w:r>
      <w:r w:rsidR="00B84B12" w:rsidRPr="00F163BC">
        <w:rPr>
          <w:bCs/>
          <w:lang w:val="lv-LV"/>
        </w:rPr>
        <w:t>149.</w:t>
      </w:r>
      <w:r w:rsidR="00B84B12" w:rsidRPr="00F163BC">
        <w:rPr>
          <w:bCs/>
          <w:vertAlign w:val="superscript"/>
          <w:lang w:val="lv-LV"/>
        </w:rPr>
        <w:t>8</w:t>
      </w:r>
      <w:r w:rsidR="00B84B12" w:rsidRPr="00F163BC">
        <w:rPr>
          <w:bCs/>
          <w:lang w:val="lv-LV"/>
        </w:rPr>
        <w:t>pants administratīvo atbildību par atļautā braukšanas ātruma pārsniegšanu, tāpēc administratīvā pārkāpuma definīcija ir ar pietiekamu vispārinājuma pakāpi un korekta dažādiem pārkāpuma konstatēšanas gadījumiem</w:t>
      </w:r>
      <w:r w:rsidR="00201CE0" w:rsidRPr="00F163BC">
        <w:rPr>
          <w:bCs/>
          <w:lang w:val="lv-LV"/>
        </w:rPr>
        <w:t>.</w:t>
      </w:r>
      <w:r w:rsidR="00B84B12" w:rsidRPr="00F163BC">
        <w:rPr>
          <w:bCs/>
          <w:lang w:val="lv-LV"/>
        </w:rPr>
        <w:t xml:space="preserve"> Vienlaikus, lai novērstu iespējamos strīdus par administratīvo sodu piemērošanu, Tieslietu ministrijas ieskatā nepieciešams, lai atbilstoši aprēķina formulai pirmajā un otrajā transportlīdzekļa fiksēšanas iekārtā būtu sinhronizēta laika atskaite, kā arī attālums starp iekārtām būtu precīzi noteikts.</w:t>
      </w:r>
      <w:r w:rsidR="00B84B12" w:rsidRPr="00F163BC" w:rsidDel="00B84B12">
        <w:rPr>
          <w:lang w:val="lv-LV"/>
        </w:rPr>
        <w:t xml:space="preserve"> </w:t>
      </w:r>
    </w:p>
    <w:p w14:paraId="3C621AC4" w14:textId="77777777" w:rsidR="00783BE6" w:rsidRPr="00F163BC" w:rsidRDefault="00287E52" w:rsidP="00783BE6">
      <w:pPr>
        <w:jc w:val="both"/>
      </w:pPr>
      <w:r w:rsidRPr="00F163BC">
        <w:tab/>
      </w:r>
      <w:r w:rsidR="00E37FEE" w:rsidRPr="00F163BC">
        <w:t xml:space="preserve">Ceļu satiksmes drošības padome </w:t>
      </w:r>
      <w:proofErr w:type="gramStart"/>
      <w:r w:rsidR="00E37FEE" w:rsidRPr="00F163BC">
        <w:t>2018.gada</w:t>
      </w:r>
      <w:proofErr w:type="gramEnd"/>
      <w:r w:rsidR="00E37FEE" w:rsidRPr="00F163BC">
        <w:t xml:space="preserve"> 31.janvāra sēdē (protokola</w:t>
      </w:r>
      <w:r w:rsidR="00C45C76" w:rsidRPr="00F163BC">
        <w:t xml:space="preserve"> 6.4.1.1.apakšpunkts, 6.4.10.apakšpunkts, 6.6.apakšpunkts) atbalstīja finanšu līdzekļu piešķiršanu Valsts policijai un Satiksmes ministrijai no apdrošināšanas līdzekļiem, ko apdrošinātāji ceļu satiksmes negadījumu novēršanas pasākumu veikšanai ieskaita LTAB kontā saskaņā ar Sauszemes transportlīdzekļu īpašnieku civiltiesiskās atbildības obligātās apdrošināšanas likumu,</w:t>
      </w:r>
      <w:r w:rsidR="00E37FEE" w:rsidRPr="00F163BC">
        <w:t xml:space="preserve"> </w:t>
      </w:r>
      <w:r w:rsidR="00C45C76" w:rsidRPr="00F163BC">
        <w:t>pilotprojekta īstenošanai transportlīdzekļu vidējā ātruma kontroles sistēmas ieviešanai.</w:t>
      </w:r>
      <w:r w:rsidR="008117C2" w:rsidRPr="00F163BC">
        <w:t xml:space="preserve"> </w:t>
      </w:r>
      <w:r w:rsidR="00192C4D" w:rsidRPr="00F163BC">
        <w:t>Ceļu satiksmes drošības padomes 2018.gada 20.septembra sēdē (protokola</w:t>
      </w:r>
      <w:r w:rsidR="00783BE6" w:rsidRPr="00F163BC">
        <w:t xml:space="preserve"> 7.1.</w:t>
      </w:r>
      <w:r w:rsidR="00192C4D" w:rsidRPr="00F163BC">
        <w:t>punkts) nolemts</w:t>
      </w:r>
      <w:r w:rsidR="00783BE6" w:rsidRPr="00F163BC">
        <w:t xml:space="preserve"> minētos līdzekļus </w:t>
      </w:r>
      <w:r w:rsidR="00882034" w:rsidRPr="00F163BC">
        <w:t>(</w:t>
      </w:r>
      <w:r w:rsidR="00783BE6" w:rsidRPr="00F163BC">
        <w:t>200 000 EUR bez PVN apmērā</w:t>
      </w:r>
      <w:r w:rsidR="00882034" w:rsidRPr="00F163BC">
        <w:t>)</w:t>
      </w:r>
      <w:r w:rsidR="00783BE6" w:rsidRPr="00F163BC">
        <w:t xml:space="preserve"> vidējā braukšanas ātruma kontroles sistēmas pilotprojekta īstenošanai iedalīt CSDD.</w:t>
      </w:r>
    </w:p>
    <w:p w14:paraId="1AA996F7" w14:textId="206FCEB4" w:rsidR="00FD670F" w:rsidRPr="00F163BC" w:rsidRDefault="00FD670F" w:rsidP="00882034">
      <w:pPr>
        <w:ind w:firstLine="720"/>
        <w:jc w:val="both"/>
      </w:pPr>
      <w:r w:rsidRPr="00F163BC">
        <w:t xml:space="preserve">Pilotprojekta ietvaros plānots iegādāties pakalpojumu par vidējā ātruma </w:t>
      </w:r>
      <w:r w:rsidR="005E4B60">
        <w:t xml:space="preserve">noteikšanu </w:t>
      </w:r>
      <w:r w:rsidRPr="00F163BC">
        <w:t>ceļa posmā uz noteiktu laiku – 12 mēnešiem. Pakalpojumā iekļauta gan iekārtu montāža, gan nepieciešamie fotoradaru fiksēto pārkāpumu apstrādes sistēmas (FITS) programmatūras pielāgojumi, kā arī sistēmas testēšana 12 mēnešu periodā.</w:t>
      </w:r>
    </w:p>
    <w:p w14:paraId="77113953" w14:textId="77777777" w:rsidR="00FD670F" w:rsidRPr="00F163BC" w:rsidRDefault="00FD670F" w:rsidP="00882034">
      <w:pPr>
        <w:ind w:firstLine="720"/>
        <w:jc w:val="both"/>
      </w:pPr>
      <w:r w:rsidRPr="00F163BC">
        <w:t>Vidējā braukšanas ātruma kontroles iekārtas darbības princips – iekārta fiksē un nofotografē transportlīdzekli, kurš šķērso punktu A. Savukārt, fiksējot transportlīdzekli punktā B, tiek izrēķināts vidējais braukšanas ātrums, ar kuru transportlīdzeklis pārvietojies konkrētajā ceļa posmā. Visos gadījumos, kad transportlīdzeklis vidējo ātrumu nav pārsniedzis, informācija automātiski no datu bāzes tiek dzēsta. Savukārt, ja vidējais ātrums tiek pārsniegts, tad, analoģiski kā fotoradaru fiksēto pārkāpumu gadījumos, tiek sagatavots protokols un nosūtīts transportlīdzekļa īpašniekam vai turētājam.</w:t>
      </w:r>
    </w:p>
    <w:p w14:paraId="6AD11CCF" w14:textId="77777777" w:rsidR="00FD670F" w:rsidRPr="00F163BC" w:rsidRDefault="00FD670F" w:rsidP="00882034">
      <w:pPr>
        <w:ind w:firstLine="720"/>
        <w:jc w:val="both"/>
      </w:pPr>
      <w:r w:rsidRPr="00F163BC">
        <w:t xml:space="preserve">Vidējā braukšanas ātruma kontroles sistēmai ir vairākas priekšrocības, ko arī pierāda citu valstu pieredze. Izmantojot sistēmu, konkrētajos ceļu posmos samazinās gan </w:t>
      </w:r>
      <w:proofErr w:type="spellStart"/>
      <w:r w:rsidRPr="00F163BC">
        <w:t>CSNg</w:t>
      </w:r>
      <w:proofErr w:type="spellEnd"/>
      <w:r w:rsidRPr="00F163BC">
        <w:t xml:space="preserve"> skaits ar cietušajiem un bojā gājušajiem, gan to vadītāju skaits, kuri pārkāpj atļauto braukšanas ātrumu. Piemēram, Zviedrijā, kur satiksmes drošības situācija ir ievērojami labāka nekā Latvijā, ir uzstādītas aptuveni 870 ātruma fiksēšanas iekārtas, kontrolējot ceļu posmus aptuveni 2500 km garumā. Pēc sistēmas ieviešanas </w:t>
      </w:r>
      <w:proofErr w:type="spellStart"/>
      <w:r w:rsidRPr="00F163BC">
        <w:t>CSNg</w:t>
      </w:r>
      <w:proofErr w:type="spellEnd"/>
      <w:r w:rsidRPr="00F163BC">
        <w:t xml:space="preserve"> skaits ar smagām sekām ir samazinājies par 50%, ievainoto skaits par 25%. </w:t>
      </w:r>
    </w:p>
    <w:p w14:paraId="734B348C" w14:textId="00C37F43" w:rsidR="00FD670F" w:rsidRPr="00C77293" w:rsidRDefault="00FD670F" w:rsidP="00AF6FFC">
      <w:pPr>
        <w:ind w:firstLine="720"/>
        <w:jc w:val="both"/>
      </w:pPr>
      <w:r w:rsidRPr="001236D1">
        <w:lastRenderedPageBreak/>
        <w:t xml:space="preserve">Pilotprojekta ietvaros </w:t>
      </w:r>
      <w:proofErr w:type="gramStart"/>
      <w:r w:rsidR="009E24C1" w:rsidRPr="00F31194">
        <w:t>2019.gada</w:t>
      </w:r>
      <w:proofErr w:type="gramEnd"/>
      <w:r w:rsidR="009E24C1" w:rsidRPr="00F31194">
        <w:t xml:space="preserve"> 1.martā tika uzsākta </w:t>
      </w:r>
      <w:r w:rsidR="000C7447" w:rsidRPr="00F31194">
        <w:t xml:space="preserve">vidējā braukšanas ātruma kontroles </w:t>
      </w:r>
      <w:r w:rsidR="009E24C1" w:rsidRPr="001236D1">
        <w:t>sistēm</w:t>
      </w:r>
      <w:r w:rsidR="009E24C1" w:rsidRPr="00F31194">
        <w:t>as</w:t>
      </w:r>
      <w:r w:rsidR="009E24C1" w:rsidRPr="001236D1">
        <w:t xml:space="preserve"> </w:t>
      </w:r>
      <w:r w:rsidR="009E24C1" w:rsidRPr="00F31194">
        <w:t xml:space="preserve">testēšana </w:t>
      </w:r>
      <w:r w:rsidRPr="001236D1">
        <w:t xml:space="preserve"> </w:t>
      </w:r>
      <w:r w:rsidRPr="00C77293">
        <w:t xml:space="preserve"> </w:t>
      </w:r>
      <w:r w:rsidR="00990D76" w:rsidRPr="00F31194">
        <w:t xml:space="preserve">autoceļa </w:t>
      </w:r>
      <w:r w:rsidRPr="001236D1">
        <w:t>Tīnūži – Koknese</w:t>
      </w:r>
      <w:r w:rsidR="000C7447" w:rsidRPr="00F31194">
        <w:t xml:space="preserve"> (P80) posmā no </w:t>
      </w:r>
      <w:r w:rsidR="000C7447" w:rsidRPr="001236D1">
        <w:t xml:space="preserve">13,5.km līdz 20,4.km. Vidējā ātruma </w:t>
      </w:r>
      <w:r w:rsidR="000C7447" w:rsidRPr="00C77293">
        <w:t xml:space="preserve">kontroles sistēma darbosies </w:t>
      </w:r>
      <w:r w:rsidR="009E24C1" w:rsidRPr="00C77293">
        <w:t xml:space="preserve">ceļa posmā </w:t>
      </w:r>
      <w:r w:rsidR="000C7447" w:rsidRPr="00C77293">
        <w:t>starp iepriekš uzstādītajiem</w:t>
      </w:r>
      <w:r w:rsidR="009E24C1" w:rsidRPr="00C77293">
        <w:t xml:space="preserve"> stacionār</w:t>
      </w:r>
      <w:r w:rsidR="000C7447" w:rsidRPr="00C77293">
        <w:t>ajiem</w:t>
      </w:r>
      <w:r w:rsidR="009E24C1" w:rsidRPr="00C77293">
        <w:t xml:space="preserve"> fotoradari</w:t>
      </w:r>
      <w:r w:rsidR="000C7447" w:rsidRPr="00C77293">
        <w:t>em.</w:t>
      </w:r>
      <w:proofErr w:type="gramStart"/>
      <w:r w:rsidR="009E24C1" w:rsidRPr="00C77293">
        <w:t xml:space="preserve"> </w:t>
      </w:r>
      <w:r w:rsidR="00AF6FFC" w:rsidRPr="00C77293">
        <w:t>.</w:t>
      </w:r>
      <w:proofErr w:type="gramEnd"/>
      <w:r w:rsidR="00AF6FFC" w:rsidRPr="00C77293">
        <w:t xml:space="preserve"> </w:t>
      </w:r>
      <w:r w:rsidR="009E24C1" w:rsidRPr="00F31194">
        <w:t>P</w:t>
      </w:r>
      <w:r w:rsidR="00C96458" w:rsidRPr="001236D1">
        <w:t>ēc sistēmas testēšanas</w:t>
      </w:r>
      <w:r w:rsidR="00AF6FFC" w:rsidRPr="001236D1">
        <w:t xml:space="preserve"> </w:t>
      </w:r>
      <w:proofErr w:type="gramStart"/>
      <w:r w:rsidR="000C7447" w:rsidRPr="00F31194">
        <w:t>2019.gada</w:t>
      </w:r>
      <w:proofErr w:type="gramEnd"/>
      <w:r w:rsidR="000C7447" w:rsidRPr="00F31194">
        <w:t xml:space="preserve"> 1.aprīlī</w:t>
      </w:r>
      <w:r w:rsidR="009E24C1" w:rsidRPr="00F31194">
        <w:t xml:space="preserve"> </w:t>
      </w:r>
      <w:r w:rsidR="00AF6FFC" w:rsidRPr="001236D1">
        <w:t xml:space="preserve">tā </w:t>
      </w:r>
      <w:r w:rsidR="0003222F" w:rsidRPr="001236D1">
        <w:t>sāk</w:t>
      </w:r>
      <w:r w:rsidR="009E24C1" w:rsidRPr="00F31194">
        <w:t>a</w:t>
      </w:r>
      <w:r w:rsidR="0003222F" w:rsidRPr="001236D1">
        <w:t xml:space="preserve"> funkcionēt darba režīmā</w:t>
      </w:r>
      <w:r w:rsidR="009E24C1" w:rsidRPr="00F31194">
        <w:t>.</w:t>
      </w:r>
      <w:r w:rsidR="0003222F" w:rsidRPr="001236D1">
        <w:t xml:space="preserve">   </w:t>
      </w:r>
      <w:r w:rsidR="009E24C1" w:rsidRPr="00F31194">
        <w:t xml:space="preserve">Paredzēts, ka </w:t>
      </w:r>
      <w:r w:rsidR="0003222F" w:rsidRPr="001236D1">
        <w:t xml:space="preserve">pilotprojekts noslēgsies </w:t>
      </w:r>
      <w:proofErr w:type="gramStart"/>
      <w:r w:rsidR="0003222F" w:rsidRPr="001236D1">
        <w:t>2019.gada</w:t>
      </w:r>
      <w:proofErr w:type="gramEnd"/>
      <w:r w:rsidR="0003222F" w:rsidRPr="001236D1">
        <w:t xml:space="preserve"> </w:t>
      </w:r>
      <w:r w:rsidR="00317690" w:rsidRPr="001236D1">
        <w:t>1.oktobrī</w:t>
      </w:r>
      <w:r w:rsidR="00AF6FFC" w:rsidRPr="001236D1">
        <w:t>.</w:t>
      </w:r>
      <w:r w:rsidR="00C96458" w:rsidRPr="00C77293">
        <w:t xml:space="preserve"> </w:t>
      </w:r>
      <w:r w:rsidR="00AF6FFC" w:rsidRPr="00C77293">
        <w:t xml:space="preserve">Projekta ietvaros tiks izvērtēta </w:t>
      </w:r>
      <w:r w:rsidR="000C7447" w:rsidRPr="00F31194">
        <w:t xml:space="preserve">vidējā braukšanas ātruma kontroles </w:t>
      </w:r>
      <w:r w:rsidR="00AF6FFC" w:rsidRPr="001236D1">
        <w:t xml:space="preserve">sistēmas efektivitāte un tās </w:t>
      </w:r>
      <w:r w:rsidR="000C7447" w:rsidRPr="001236D1">
        <w:t>ie</w:t>
      </w:r>
      <w:r w:rsidR="000C7447" w:rsidRPr="00F31194">
        <w:t>tekme</w:t>
      </w:r>
      <w:r w:rsidR="000C7447" w:rsidRPr="001236D1">
        <w:t xml:space="preserve"> </w:t>
      </w:r>
      <w:r w:rsidR="00AF6FFC" w:rsidRPr="001236D1">
        <w:t>uz satiksmes drošību minētajā ceļa posmā.</w:t>
      </w:r>
    </w:p>
    <w:p w14:paraId="272BC8BC" w14:textId="7B5B92B2" w:rsidR="00AF6FFC" w:rsidRPr="00F163BC" w:rsidRDefault="00EF65A0" w:rsidP="0055421B">
      <w:pPr>
        <w:ind w:firstLine="720"/>
        <w:jc w:val="both"/>
      </w:pPr>
      <w:r w:rsidRPr="00C77293">
        <w:t>Provizoriski paredzams, ka</w:t>
      </w:r>
      <w:r w:rsidR="001236D1">
        <w:t>,</w:t>
      </w:r>
      <w:r w:rsidRPr="001236D1">
        <w:t xml:space="preserve"> ieviešot iepriekš minēto sistēmu ceļu satiksmes</w:t>
      </w:r>
      <w:r w:rsidRPr="00F163BC">
        <w:t xml:space="preserve"> uzraudzībā, vidēji sistēmas darbības dienā tiks sastādīti 11 administratīvā pārkāpuma protokoli–lēmumi. </w:t>
      </w:r>
      <w:r w:rsidR="00AF6FFC" w:rsidRPr="00F163BC">
        <w:t xml:space="preserve">Prognozējot </w:t>
      </w:r>
      <w:r w:rsidRPr="00F163BC">
        <w:t xml:space="preserve">šādus </w:t>
      </w:r>
      <w:r w:rsidR="00AF6FFC" w:rsidRPr="00F163BC">
        <w:t>sistēmas</w:t>
      </w:r>
      <w:r w:rsidRPr="00F163BC">
        <w:t xml:space="preserve"> darbības rezultātus, tika ņemts vērā ceļa posmā, kurā darbosies vidējā ātruma </w:t>
      </w:r>
      <w:r w:rsidR="005E4B60">
        <w:t xml:space="preserve">noteikšanas </w:t>
      </w:r>
      <w:r w:rsidRPr="00F163BC">
        <w:t xml:space="preserve">sistēma, proti, autoceļa Tīnūži-Koknese (P-80) 32,2.km uzstādītā un </w:t>
      </w:r>
      <w:proofErr w:type="gramStart"/>
      <w:r w:rsidRPr="00F163BC">
        <w:t>2018.gada</w:t>
      </w:r>
      <w:proofErr w:type="gramEnd"/>
      <w:r w:rsidRPr="00F163BC">
        <w:t xml:space="preserve"> 18.aprīlī darbību uzsākušā fotoradara fiksēto pārkāpumu skaits, par kuriem pieņemts lēmums. Minētā fotoradara 255 darbības dienās sastādīti 2 807 administratīvā pārkāpuma protokoli </w:t>
      </w:r>
      <w:r w:rsidR="0055421B" w:rsidRPr="00F163BC">
        <w:t>–</w:t>
      </w:r>
      <w:r w:rsidRPr="00F163BC">
        <w:t xml:space="preserve"> lēmumi</w:t>
      </w:r>
      <w:r w:rsidR="0055421B" w:rsidRPr="00F163BC">
        <w:t>, vidēji dienā 11</w:t>
      </w:r>
      <w:proofErr w:type="gramStart"/>
      <w:r w:rsidR="0055421B" w:rsidRPr="00F163BC">
        <w:t xml:space="preserve"> </w:t>
      </w:r>
      <w:r w:rsidRPr="00F163BC">
        <w:t xml:space="preserve"> </w:t>
      </w:r>
      <w:proofErr w:type="gramEnd"/>
      <w:r w:rsidR="0055421B" w:rsidRPr="00F163BC">
        <w:t xml:space="preserve">administratīvā pārkāpuma protokoli – lēmumi </w:t>
      </w:r>
      <w:r w:rsidR="008B36E9" w:rsidRPr="00F163BC">
        <w:t>(</w:t>
      </w:r>
      <w:r w:rsidR="0055421B" w:rsidRPr="00F163BC">
        <w:t xml:space="preserve">2 807:255). </w:t>
      </w:r>
      <w:r w:rsidR="0003222F" w:rsidRPr="00F163BC">
        <w:t>Ņemta vērā a</w:t>
      </w:r>
      <w:r w:rsidR="0055421B" w:rsidRPr="00F163BC">
        <w:t xml:space="preserve">rī </w:t>
      </w:r>
      <w:r w:rsidR="0003222F" w:rsidRPr="00F163BC">
        <w:t xml:space="preserve">kaimiņvalsts </w:t>
      </w:r>
      <w:r w:rsidR="00AF6FFC" w:rsidRPr="00F163BC">
        <w:t xml:space="preserve">Lietuvas </w:t>
      </w:r>
      <w:r w:rsidR="00D320A3" w:rsidRPr="00F163BC">
        <w:t xml:space="preserve">pieredze, kur vidējā ātruma </w:t>
      </w:r>
      <w:r w:rsidR="005E4B60">
        <w:t xml:space="preserve">noteikšana </w:t>
      </w:r>
      <w:r w:rsidR="00D320A3" w:rsidRPr="00F163BC">
        <w:t xml:space="preserve">tika </w:t>
      </w:r>
      <w:r w:rsidR="0055421B" w:rsidRPr="00F163BC">
        <w:t>uzsā</w:t>
      </w:r>
      <w:r w:rsidR="000F13F9" w:rsidRPr="00F163BC">
        <w:t>kta jau 2018.gada septembrī un</w:t>
      </w:r>
      <w:r w:rsidR="0055421B" w:rsidRPr="00F163BC">
        <w:t xml:space="preserve"> katra sistēma (kopumā Lietuvā darbojas 25 vidējā ātruma </w:t>
      </w:r>
      <w:r w:rsidR="005E4B60">
        <w:t xml:space="preserve">noteikšanas </w:t>
      </w:r>
      <w:r w:rsidR="0055421B" w:rsidRPr="00F163BC">
        <w:t xml:space="preserve">sistēmas) vidēji mēnesī fiksē 200 ātruma pārkāpumus, dienā – 11 pārkāpumus. </w:t>
      </w:r>
    </w:p>
    <w:p w14:paraId="55C0A119" w14:textId="77777777" w:rsidR="00215DF1" w:rsidRPr="00F163BC" w:rsidRDefault="00215DF1" w:rsidP="00C96458">
      <w:pPr>
        <w:ind w:firstLine="709"/>
        <w:jc w:val="both"/>
      </w:pPr>
    </w:p>
    <w:p w14:paraId="59F11CE3" w14:textId="77777777" w:rsidR="00287E52" w:rsidRPr="00F163BC" w:rsidRDefault="00287E52" w:rsidP="00E20CE5">
      <w:pPr>
        <w:rPr>
          <w:b/>
        </w:rPr>
      </w:pPr>
      <w:r w:rsidRPr="00F163BC">
        <w:tab/>
      </w:r>
      <w:r w:rsidRPr="00F163BC">
        <w:rPr>
          <w:b/>
        </w:rPr>
        <w:t xml:space="preserve">2.3.4. Autoceļu lietošanas nodevas </w:t>
      </w:r>
      <w:r w:rsidR="004A49BC" w:rsidRPr="00F163BC">
        <w:rPr>
          <w:b/>
        </w:rPr>
        <w:t>sa</w:t>
      </w:r>
      <w:r w:rsidRPr="00F163BC">
        <w:rPr>
          <w:b/>
        </w:rPr>
        <w:t>maksas kontrole</w:t>
      </w:r>
    </w:p>
    <w:p w14:paraId="11EE2462" w14:textId="77777777" w:rsidR="00287E52" w:rsidRPr="00F163BC" w:rsidRDefault="00287E52" w:rsidP="001D4786">
      <w:pPr>
        <w:pStyle w:val="NormalWeb"/>
        <w:spacing w:before="0" w:beforeAutospacing="0" w:after="0" w:afterAutospacing="0"/>
        <w:jc w:val="both"/>
        <w:rPr>
          <w:b/>
          <w:lang w:val="lv-LV"/>
        </w:rPr>
      </w:pPr>
    </w:p>
    <w:p w14:paraId="77F67700" w14:textId="6C277712" w:rsidR="007D3B1E" w:rsidRPr="00F163BC" w:rsidRDefault="00287E52" w:rsidP="007D3B1E">
      <w:pPr>
        <w:pStyle w:val="NormalWeb"/>
        <w:spacing w:before="0" w:beforeAutospacing="0" w:after="0" w:afterAutospacing="0"/>
        <w:ind w:firstLine="284"/>
        <w:jc w:val="both"/>
        <w:rPr>
          <w:lang w:val="lv-LV"/>
        </w:rPr>
      </w:pPr>
      <w:r w:rsidRPr="00F163BC">
        <w:rPr>
          <w:b/>
          <w:lang w:val="lv-LV"/>
        </w:rPr>
        <w:tab/>
      </w:r>
      <w:r w:rsidR="007D3B1E" w:rsidRPr="00F163BC">
        <w:rPr>
          <w:lang w:val="lv-LV"/>
        </w:rPr>
        <w:t xml:space="preserve">Lai veiktu autoceļu lietošanas nodevas jeb tā saucamās </w:t>
      </w:r>
      <w:r w:rsidR="00D50046">
        <w:rPr>
          <w:lang w:val="lv-LV"/>
        </w:rPr>
        <w:t>“</w:t>
      </w:r>
      <w:r w:rsidR="007D3B1E" w:rsidRPr="00F163BC">
        <w:rPr>
          <w:lang w:val="lv-LV"/>
        </w:rPr>
        <w:t>vinjetes</w:t>
      </w:r>
      <w:r w:rsidR="00D50046">
        <w:rPr>
          <w:lang w:val="lv-LV"/>
        </w:rPr>
        <w:t>”</w:t>
      </w:r>
      <w:r w:rsidR="007D3B1E" w:rsidRPr="00F163BC">
        <w:rPr>
          <w:lang w:val="lv-LV"/>
        </w:rPr>
        <w:t xml:space="preserve"> samaksas kontroli</w:t>
      </w:r>
      <w:r w:rsidR="00201CE0" w:rsidRPr="00F163BC">
        <w:rPr>
          <w:lang w:val="lv-LV"/>
        </w:rPr>
        <w:t>,</w:t>
      </w:r>
      <w:r w:rsidR="007D3B1E" w:rsidRPr="00F163BC">
        <w:rPr>
          <w:lang w:val="lv-LV"/>
        </w:rPr>
        <w:t xml:space="preserve"> uz valsts galvenajiem un reģionālajiem autoceļiem iespējams pielietot mūsdienīgus risinājumus, kas var šo kontroli veikt</w:t>
      </w:r>
      <w:r w:rsidR="00201CE0" w:rsidRPr="00F163BC">
        <w:rPr>
          <w:lang w:val="lv-LV"/>
        </w:rPr>
        <w:t>,</w:t>
      </w:r>
      <w:r w:rsidR="007D3B1E" w:rsidRPr="00F163BC">
        <w:rPr>
          <w:lang w:val="lv-LV"/>
        </w:rPr>
        <w:t xml:space="preserve"> neapturot transportlīdzekli. Šo kontroli iespējams veikt ar tehniskajām ierīcēm, kas ir aprīkotas ar fotokamerām. Šīs fotokameras fiksē to transportlīdzekļu dimensijas, kas šķērso kameru darbības laukumu. Ierīces spēj automatizēti apstrādāt fotokameru fiksēto informāciju un iegūt no tās datus par transportlīdzekli.</w:t>
      </w:r>
    </w:p>
    <w:p w14:paraId="45402C11" w14:textId="77777777" w:rsidR="007D3B1E" w:rsidRPr="00F163BC" w:rsidRDefault="007D3B1E" w:rsidP="00286DC0">
      <w:pPr>
        <w:pStyle w:val="NormalWeb"/>
        <w:spacing w:before="0" w:beforeAutospacing="0" w:after="0" w:afterAutospacing="0"/>
        <w:ind w:firstLine="644"/>
        <w:jc w:val="both"/>
        <w:rPr>
          <w:lang w:val="lv-LV"/>
        </w:rPr>
      </w:pPr>
      <w:proofErr w:type="gramStart"/>
      <w:r w:rsidRPr="00F163BC">
        <w:rPr>
          <w:lang w:val="lv-LV"/>
        </w:rPr>
        <w:t>Apstrādājot no fotokamerām</w:t>
      </w:r>
      <w:proofErr w:type="gramEnd"/>
      <w:r w:rsidRPr="00F163BC">
        <w:rPr>
          <w:lang w:val="lv-LV"/>
        </w:rPr>
        <w:t xml:space="preserve"> iegūtos datus</w:t>
      </w:r>
      <w:r w:rsidR="00201CE0" w:rsidRPr="00F163BC">
        <w:rPr>
          <w:lang w:val="lv-LV"/>
        </w:rPr>
        <w:t>,</w:t>
      </w:r>
      <w:r w:rsidRPr="00F163BC">
        <w:rPr>
          <w:lang w:val="lv-LV"/>
        </w:rPr>
        <w:t xml:space="preserve"> iespējams noteikt:</w:t>
      </w:r>
    </w:p>
    <w:p w14:paraId="49E765C3" w14:textId="77777777"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 xml:space="preserve">transportlīdzekļa tipu; </w:t>
      </w:r>
    </w:p>
    <w:p w14:paraId="4D37BEA8" w14:textId="77777777"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masas klasi;</w:t>
      </w:r>
    </w:p>
    <w:p w14:paraId="6E9A248C" w14:textId="77777777"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transportlīdzekļa reģistrācijas numuru;</w:t>
      </w:r>
    </w:p>
    <w:p w14:paraId="2A78EFD1" w14:textId="77777777" w:rsidR="007D3B1E" w:rsidRPr="00F163BC" w:rsidRDefault="007D3B1E" w:rsidP="007D3B1E">
      <w:pPr>
        <w:pStyle w:val="NormalWeb"/>
        <w:numPr>
          <w:ilvl w:val="0"/>
          <w:numId w:val="15"/>
        </w:numPr>
        <w:spacing w:before="0" w:beforeAutospacing="0" w:after="0" w:afterAutospacing="0"/>
        <w:jc w:val="both"/>
        <w:rPr>
          <w:lang w:val="lv-LV"/>
        </w:rPr>
      </w:pPr>
      <w:r w:rsidRPr="00F163BC">
        <w:rPr>
          <w:lang w:val="lv-LV"/>
        </w:rPr>
        <w:t xml:space="preserve">transportlīdzekļa reģistrācijas valsti. </w:t>
      </w:r>
    </w:p>
    <w:p w14:paraId="553AC07C" w14:textId="77777777" w:rsidR="00D50046" w:rsidRDefault="007D3B1E" w:rsidP="00286DC0">
      <w:pPr>
        <w:pStyle w:val="NormalWeb"/>
        <w:spacing w:before="0" w:beforeAutospacing="0" w:after="0" w:afterAutospacing="0"/>
        <w:ind w:firstLine="644"/>
        <w:jc w:val="both"/>
        <w:rPr>
          <w:lang w:val="lv-LV"/>
        </w:rPr>
      </w:pPr>
      <w:r w:rsidRPr="00F163BC">
        <w:rPr>
          <w:lang w:val="lv-LV"/>
        </w:rPr>
        <w:t xml:space="preserve">No </w:t>
      </w:r>
      <w:proofErr w:type="gramStart"/>
      <w:r w:rsidRPr="00F163BC">
        <w:rPr>
          <w:lang w:val="lv-LV"/>
        </w:rPr>
        <w:t>2017.gada</w:t>
      </w:r>
      <w:proofErr w:type="gramEnd"/>
      <w:r w:rsidRPr="00F163BC">
        <w:rPr>
          <w:lang w:val="lv-LV"/>
        </w:rPr>
        <w:t xml:space="preserve"> 15.decembra līdz 2018.gada 15.jūnijam pēc </w:t>
      </w:r>
      <w:bookmarkStart w:id="0" w:name="_Hlk523315760"/>
      <w:r w:rsidRPr="00F163BC">
        <w:rPr>
          <w:lang w:val="lv-LV"/>
        </w:rPr>
        <w:t xml:space="preserve">VAS “Latvijas Valsts ceļi” </w:t>
      </w:r>
      <w:bookmarkEnd w:id="0"/>
      <w:r w:rsidRPr="00F163BC">
        <w:rPr>
          <w:lang w:val="lv-LV"/>
        </w:rPr>
        <w:t>pasūtījuma tika veikts šo tehnisko ierīču pilotprojekts, kura ietvaros tika izvietotas divas dažāda veida tehniskās ierīces – viena Feimaņos (valsts galvenā autoceļa A13 Krievijas robeža (Grebņeva)-Rēzekne-Daugavpils-Lietuvas robeža (Medumi) 81km) un otra Saulkalnē (valsts galvenā autoceļa A6 Rīga-Daugavpils-Krāslava-Baltkrievijas robeža (Pāternieki) 22km), kuras fiksēja transporta līdzekļu plūsmu</w:t>
      </w:r>
      <w:r w:rsidRPr="00D50046">
        <w:rPr>
          <w:lang w:val="lv-LV"/>
        </w:rPr>
        <w:t>.</w:t>
      </w:r>
    </w:p>
    <w:p w14:paraId="26D89A1D" w14:textId="15FE763D" w:rsidR="007D3B1E" w:rsidRPr="00F31194" w:rsidRDefault="007D3B1E" w:rsidP="00286DC0">
      <w:pPr>
        <w:pStyle w:val="NormalWeb"/>
        <w:spacing w:before="0" w:beforeAutospacing="0" w:after="0" w:afterAutospacing="0"/>
        <w:ind w:firstLine="644"/>
        <w:jc w:val="both"/>
        <w:rPr>
          <w:strike/>
          <w:lang w:val="lv-LV"/>
        </w:rPr>
      </w:pPr>
      <w:r w:rsidRPr="00D50046">
        <w:rPr>
          <w:lang w:val="lv-LV"/>
        </w:rPr>
        <w:t xml:space="preserve"> Šī pilotprojekta mērķis bija</w:t>
      </w:r>
      <w:r w:rsidR="00192C4D" w:rsidRPr="00D50046">
        <w:rPr>
          <w:lang w:val="lv-LV"/>
        </w:rPr>
        <w:t xml:space="preserve"> </w:t>
      </w:r>
      <w:r w:rsidRPr="00D50046">
        <w:rPr>
          <w:lang w:val="lv-LV"/>
        </w:rPr>
        <w:t>s</w:t>
      </w:r>
      <w:r w:rsidR="00F1131E" w:rsidRPr="00F31194">
        <w:rPr>
          <w:lang w:val="lv-LV"/>
        </w:rPr>
        <w:t>t</w:t>
      </w:r>
      <w:r w:rsidRPr="00D50046">
        <w:rPr>
          <w:lang w:val="lv-LV"/>
        </w:rPr>
        <w:t>imulēt Latvijas valsts budžeta papildus ieņēmumus un potenciāli iekasējamās soda naudas, ieviešot autoceļu nodevas samaksas kontroles risinājumu</w:t>
      </w:r>
      <w:r w:rsidR="00D50046" w:rsidRPr="00F31194">
        <w:rPr>
          <w:lang w:val="lv-LV"/>
        </w:rPr>
        <w:t>.</w:t>
      </w:r>
      <w:r w:rsidRPr="00D50046">
        <w:rPr>
          <w:lang w:val="lv-LV"/>
        </w:rPr>
        <w:t xml:space="preserve"> </w:t>
      </w:r>
    </w:p>
    <w:p w14:paraId="5E9D0D38" w14:textId="77777777" w:rsidR="007D3B1E" w:rsidRPr="00F163BC" w:rsidRDefault="007D3B1E" w:rsidP="00783BE6">
      <w:pPr>
        <w:pStyle w:val="NormalWeb"/>
        <w:spacing w:before="0" w:beforeAutospacing="0" w:after="0" w:afterAutospacing="0"/>
        <w:ind w:firstLine="644"/>
        <w:jc w:val="both"/>
        <w:rPr>
          <w:lang w:val="lv-LV"/>
        </w:rPr>
      </w:pPr>
      <w:r w:rsidRPr="00F163BC">
        <w:rPr>
          <w:lang w:val="lv-LV"/>
        </w:rPr>
        <w:t xml:space="preserve">Feimaņos tika uzstādīta kopnes (vārtu) konstrukcija, uz kuras tika izvietotas fotokameras, kuru darbības laukums noklāj pilnu </w:t>
      </w:r>
      <w:proofErr w:type="gramStart"/>
      <w:r w:rsidRPr="00F163BC">
        <w:rPr>
          <w:lang w:val="lv-LV"/>
        </w:rPr>
        <w:t>transporta līdzekļu</w:t>
      </w:r>
      <w:proofErr w:type="gramEnd"/>
      <w:r w:rsidRPr="00F163BC">
        <w:rPr>
          <w:lang w:val="lv-LV"/>
        </w:rPr>
        <w:t xml:space="preserve"> plūsmu abos virzienos;</w:t>
      </w:r>
    </w:p>
    <w:p w14:paraId="4A111082" w14:textId="77777777" w:rsidR="007D3B1E" w:rsidRPr="00F163BC" w:rsidRDefault="007D3B1E" w:rsidP="00783BE6">
      <w:pPr>
        <w:pStyle w:val="NormalWeb"/>
        <w:spacing w:before="0" w:beforeAutospacing="0" w:after="0" w:afterAutospacing="0"/>
        <w:ind w:firstLine="644"/>
        <w:jc w:val="both"/>
        <w:rPr>
          <w:lang w:val="lv-LV"/>
        </w:rPr>
      </w:pPr>
      <w:r w:rsidRPr="00F163BC">
        <w:rPr>
          <w:lang w:val="lv-LV"/>
        </w:rPr>
        <w:t>Savukārt Saulkalnē tika uzstādīta ceļmalas staba instalācijas, kurā tika izvietotas fotokameras, kuru darbības laukums noklāj 2 ceļa joslas vienā virzienā no Rīgas uz Daugavpili.</w:t>
      </w:r>
    </w:p>
    <w:p w14:paraId="0BB32C0A" w14:textId="77777777" w:rsidR="007D3B1E" w:rsidRPr="00F163BC" w:rsidRDefault="007D3B1E" w:rsidP="00286DC0">
      <w:pPr>
        <w:pStyle w:val="NormalWeb"/>
        <w:spacing w:before="0" w:beforeAutospacing="0" w:after="0" w:afterAutospacing="0"/>
        <w:ind w:firstLine="720"/>
        <w:jc w:val="both"/>
        <w:rPr>
          <w:lang w:val="lv-LV"/>
        </w:rPr>
      </w:pPr>
      <w:r w:rsidRPr="00F163BC">
        <w:rPr>
          <w:lang w:val="lv-LV"/>
        </w:rPr>
        <w:t xml:space="preserve">No plūsmā fiksētajiem 174 195 smagajiem </w:t>
      </w:r>
      <w:proofErr w:type="gramStart"/>
      <w:r w:rsidRPr="00F163BC">
        <w:rPr>
          <w:lang w:val="lv-LV"/>
        </w:rPr>
        <w:t>transporta līdzekļiem</w:t>
      </w:r>
      <w:proofErr w:type="gramEnd"/>
      <w:r w:rsidRPr="00F163BC">
        <w:rPr>
          <w:lang w:val="lv-LV"/>
        </w:rPr>
        <w:t xml:space="preserve">, kas ir autoceļu lietošanas nodevas subjekti, pilotprojektā konstatēti 25 870 jeb 15% gadījumos, kad </w:t>
      </w:r>
      <w:r w:rsidRPr="00F163BC">
        <w:rPr>
          <w:lang w:val="lv-LV"/>
        </w:rPr>
        <w:lastRenderedPageBreak/>
        <w:t>autoceļu lietošanas nodeva nav samaksāta vispār, savukārt 1951 gadījumos jeb 1% gadījumu autoceļu lietošanas nodevas samaksa veikta par nepareizo termiņu.</w:t>
      </w:r>
    </w:p>
    <w:p w14:paraId="73AD22D1" w14:textId="77777777" w:rsidR="007D3B1E" w:rsidRPr="00F163BC" w:rsidRDefault="007D3B1E" w:rsidP="00286DC0">
      <w:pPr>
        <w:pStyle w:val="NormalWeb"/>
        <w:spacing w:before="0" w:beforeAutospacing="0" w:after="0" w:afterAutospacing="0"/>
        <w:ind w:firstLine="720"/>
        <w:jc w:val="both"/>
        <w:rPr>
          <w:lang w:val="lv-LV"/>
        </w:rPr>
      </w:pPr>
      <w:r w:rsidRPr="00F163BC">
        <w:rPr>
          <w:lang w:val="lv-LV"/>
        </w:rPr>
        <w:t xml:space="preserve">Papildus tika veikta arī OCTA pārbaude visiem </w:t>
      </w:r>
      <w:proofErr w:type="gramStart"/>
      <w:r w:rsidRPr="00F163BC">
        <w:rPr>
          <w:lang w:val="lv-LV"/>
        </w:rPr>
        <w:t>transporta līdzekļiem</w:t>
      </w:r>
      <w:proofErr w:type="gramEnd"/>
      <w:r w:rsidRPr="00F163BC">
        <w:rPr>
          <w:lang w:val="lv-LV"/>
        </w:rPr>
        <w:t xml:space="preserve">, kuri ir autoceļu lietošanas nodevas subjekti. Pilotprojekta laikā 3 482 gadījumos ir konstatēts, ka </w:t>
      </w:r>
      <w:proofErr w:type="gramStart"/>
      <w:r w:rsidRPr="00F163BC">
        <w:rPr>
          <w:lang w:val="lv-LV"/>
        </w:rPr>
        <w:t>transporta līdzeklim</w:t>
      </w:r>
      <w:proofErr w:type="gramEnd"/>
      <w:r w:rsidRPr="00F163BC">
        <w:rPr>
          <w:lang w:val="lv-LV"/>
        </w:rPr>
        <w:t xml:space="preserve"> nav iegādāta OCTA polise. Papildus konstatēts, ka 477 gadījumos </w:t>
      </w:r>
      <w:proofErr w:type="gramStart"/>
      <w:r w:rsidRPr="00F163BC">
        <w:rPr>
          <w:lang w:val="lv-LV"/>
        </w:rPr>
        <w:t>transporta līdzekļu</w:t>
      </w:r>
      <w:proofErr w:type="gramEnd"/>
      <w:r w:rsidRPr="00F163BC">
        <w:rPr>
          <w:lang w:val="lv-LV"/>
        </w:rPr>
        <w:t>, kuri ir autoceļu lietošanas nodevas subjekti, nav laicīgi veikuši transporta līdzekļa tehnisko apskati.</w:t>
      </w:r>
    </w:p>
    <w:p w14:paraId="541DAC0D" w14:textId="77777777" w:rsidR="007D3B1E" w:rsidRPr="00F163BC" w:rsidRDefault="007D3B1E" w:rsidP="00286DC0">
      <w:pPr>
        <w:pStyle w:val="NormalWeb"/>
        <w:shd w:val="clear" w:color="auto" w:fill="FFFFFF" w:themeFill="background1"/>
        <w:spacing w:before="0" w:beforeAutospacing="0" w:after="0" w:afterAutospacing="0"/>
        <w:ind w:firstLine="720"/>
        <w:jc w:val="both"/>
        <w:rPr>
          <w:lang w:val="lv-LV"/>
        </w:rPr>
      </w:pPr>
      <w:r w:rsidRPr="00F163BC">
        <w:rPr>
          <w:lang w:val="lv-LV"/>
        </w:rPr>
        <w:t>Tāpat pilotprojektā aprēķināts, ka neiekasēto soda naudu apjoms par fiksētajiem autoceļu lietošanas nodevas pārkāpumiem, neiegādātas OCTA un laicīgi neveiktas tehniskās apskates pārkāpumiem pilotprojekta darbības laikā, sastāda vairāk par 5 miljoniem eiro.</w:t>
      </w:r>
    </w:p>
    <w:p w14:paraId="6C9365A2" w14:textId="36147CAE" w:rsidR="00035DE3" w:rsidRPr="00F31194" w:rsidRDefault="00035DE3" w:rsidP="00286DC0">
      <w:pPr>
        <w:pStyle w:val="NormalWeb"/>
        <w:shd w:val="clear" w:color="auto" w:fill="FFFFFF" w:themeFill="background1"/>
        <w:spacing w:before="0" w:beforeAutospacing="0" w:after="0" w:afterAutospacing="0"/>
        <w:ind w:firstLine="720"/>
        <w:jc w:val="both"/>
        <w:rPr>
          <w:strike/>
          <w:lang w:val="lv-LV"/>
        </w:rPr>
      </w:pPr>
      <w:r w:rsidRPr="00F31194">
        <w:rPr>
          <w:lang w:val="lv-LV"/>
        </w:rPr>
        <w:t xml:space="preserve">Autoceļu lietošanas nodevas samaksas kontroles tehniskā risinājuma ieviešanas finansiālā ietekme prognozēta 4 miljonu </w:t>
      </w:r>
      <w:r w:rsidRPr="00F31194">
        <w:rPr>
          <w:i/>
          <w:lang w:val="lv-LV"/>
        </w:rPr>
        <w:t>e</w:t>
      </w:r>
      <w:r w:rsidR="008B15B2" w:rsidRPr="00F31194">
        <w:rPr>
          <w:i/>
          <w:lang w:val="lv-LV"/>
        </w:rPr>
        <w:t>u</w:t>
      </w:r>
      <w:r w:rsidRPr="00F31194">
        <w:rPr>
          <w:i/>
          <w:lang w:val="lv-LV"/>
        </w:rPr>
        <w:t>ro</w:t>
      </w:r>
      <w:r w:rsidRPr="00F31194">
        <w:rPr>
          <w:lang w:val="lv-LV"/>
        </w:rPr>
        <w:t xml:space="preserve"> apmērā</w:t>
      </w:r>
      <w:r w:rsidR="00D50046">
        <w:rPr>
          <w:lang w:val="lv-LV"/>
        </w:rPr>
        <w:t>.</w:t>
      </w:r>
    </w:p>
    <w:p w14:paraId="6DAEE3D2" w14:textId="77777777" w:rsidR="007D3B1E" w:rsidRPr="00F163BC" w:rsidRDefault="007D3B1E" w:rsidP="00286DC0">
      <w:pPr>
        <w:pStyle w:val="NormalWeb"/>
        <w:shd w:val="clear" w:color="auto" w:fill="FFFFFF" w:themeFill="background1"/>
        <w:spacing w:before="0" w:beforeAutospacing="0" w:after="0" w:afterAutospacing="0"/>
        <w:ind w:firstLine="720"/>
        <w:jc w:val="both"/>
        <w:rPr>
          <w:lang w:val="lv-LV"/>
        </w:rPr>
      </w:pPr>
      <w:r w:rsidRPr="00F163BC">
        <w:rPr>
          <w:lang w:val="lv-LV"/>
        </w:rPr>
        <w:t>Ievērojot minēto, VAS “Latvijas Valsts ceļi”</w:t>
      </w:r>
      <w:proofErr w:type="gramStart"/>
      <w:r w:rsidRPr="00F163BC">
        <w:rPr>
          <w:lang w:val="lv-LV"/>
        </w:rPr>
        <w:t xml:space="preserve">  </w:t>
      </w:r>
      <w:proofErr w:type="gramEnd"/>
      <w:r w:rsidRPr="00F163BC">
        <w:rPr>
          <w:lang w:val="lv-LV"/>
        </w:rPr>
        <w:t xml:space="preserve">pasūtītā autoceļu lietošanas nodevas kontroles projekta ietvaros, pirmā posmā paredzēts izstrādāt integrāciju ar </w:t>
      </w:r>
      <w:r w:rsidR="009907E6" w:rsidRPr="00F163BC">
        <w:rPr>
          <w:lang w:val="lv-LV"/>
        </w:rPr>
        <w:t xml:space="preserve">CSDD </w:t>
      </w:r>
      <w:r w:rsidRPr="00F163BC">
        <w:rPr>
          <w:lang w:val="lv-LV"/>
        </w:rPr>
        <w:t>rīcībā esošo informēšanas sistēmu, lai sagatavotu un nodotu informāciju Valsts policijai administratīvo pārkāpumu protokolu sagatavošanai un  projekta otrā posmā nodrošināt autoceļu lietošanas apmaksas uzraudzību veicot autoceļa lietošanas nodevas kontroli ar tehniskajiem līdzekļiem 12 (divpadsmit) mēnešus 2 vietās:</w:t>
      </w:r>
    </w:p>
    <w:p w14:paraId="6966E5C0" w14:textId="77777777" w:rsidR="007D3B1E" w:rsidRPr="00F163BC" w:rsidRDefault="006505ED" w:rsidP="00E20CE5">
      <w:pPr>
        <w:pStyle w:val="NormalWeb"/>
        <w:shd w:val="clear" w:color="auto" w:fill="FFFFFF" w:themeFill="background1"/>
        <w:spacing w:before="0" w:beforeAutospacing="0" w:after="0" w:afterAutospacing="0"/>
        <w:ind w:firstLine="720"/>
        <w:jc w:val="both"/>
        <w:rPr>
          <w:lang w:val="lv-LV"/>
        </w:rPr>
      </w:pPr>
      <w:r w:rsidRPr="00F163BC">
        <w:rPr>
          <w:lang w:val="lv-LV"/>
        </w:rPr>
        <w:t>6.1. “</w:t>
      </w:r>
      <w:proofErr w:type="spellStart"/>
      <w:r w:rsidRPr="00F163BC">
        <w:rPr>
          <w:lang w:val="lv-LV"/>
        </w:rPr>
        <w:t>Feimani</w:t>
      </w:r>
      <w:proofErr w:type="spellEnd"/>
      <w:r w:rsidRPr="00F163BC">
        <w:rPr>
          <w:lang w:val="lv-LV"/>
        </w:rPr>
        <w:t>”, autoceļš</w:t>
      </w:r>
      <w:r w:rsidR="007D3B1E" w:rsidRPr="00F163BC">
        <w:rPr>
          <w:lang w:val="lv-LV"/>
        </w:rPr>
        <w:t xml:space="preserve"> A13, Krievijas robeža (Grebņeva)—Rēzekne—Daugavpils—Lietuvas robeža (Medumi), 81km</w:t>
      </w:r>
    </w:p>
    <w:p w14:paraId="2B88D756" w14:textId="77777777" w:rsidR="007D3B1E" w:rsidRPr="00F163BC" w:rsidRDefault="007D3B1E" w:rsidP="00E20CE5">
      <w:pPr>
        <w:pStyle w:val="NormalWeb"/>
        <w:shd w:val="clear" w:color="auto" w:fill="FFFFFF" w:themeFill="background1"/>
        <w:spacing w:before="0" w:beforeAutospacing="0" w:after="0" w:afterAutospacing="0"/>
        <w:ind w:firstLine="720"/>
        <w:jc w:val="both"/>
        <w:rPr>
          <w:lang w:val="lv-LV"/>
        </w:rPr>
      </w:pPr>
      <w:r w:rsidRPr="00F163BC">
        <w:rPr>
          <w:lang w:val="lv-LV"/>
        </w:rPr>
        <w:t>6.2. “Saulkalne”, autoceļš A6 Rīga—Daugavpils—Krāslava—Baltkrievijas robeža (Pāternieki), 23 km</w:t>
      </w:r>
    </w:p>
    <w:p w14:paraId="3BB9B6E3" w14:textId="56F148AD" w:rsidR="00E8363F" w:rsidRPr="00F163BC" w:rsidRDefault="00E8363F" w:rsidP="00E20CE5">
      <w:pPr>
        <w:pStyle w:val="NormalWeb"/>
        <w:shd w:val="clear" w:color="auto" w:fill="FFFFFF" w:themeFill="background1"/>
        <w:spacing w:before="0" w:beforeAutospacing="0" w:after="0" w:afterAutospacing="0"/>
        <w:ind w:firstLine="720"/>
        <w:jc w:val="both"/>
        <w:rPr>
          <w:lang w:val="lv-LV"/>
        </w:rPr>
      </w:pPr>
      <w:r w:rsidRPr="00F163BC">
        <w:rPr>
          <w:lang w:val="lv-LV"/>
        </w:rPr>
        <w:t>Ievērojot, ka autoceļu lietošanas nodevas samaksas kontroles ieviešanai ir sagatavoti atsevišķi normatīvo aktu projekti</w:t>
      </w:r>
      <w:r w:rsidR="008B15B2">
        <w:rPr>
          <w:rStyle w:val="FootnoteReference"/>
          <w:lang w:val="lv-LV"/>
        </w:rPr>
        <w:footnoteReference w:id="11"/>
      </w:r>
      <w:r w:rsidRPr="00F163BC">
        <w:rPr>
          <w:lang w:val="lv-LV"/>
        </w:rPr>
        <w:t>, šī tehniskā risinājuma ieviešanas prognozētā finansiālā ietekme atspoguļota attiecīgo normatīvo aktu projektu sākotnējās ietekmes novērtējuma ziņojumos (anotācijās).</w:t>
      </w:r>
    </w:p>
    <w:p w14:paraId="5EAA0897" w14:textId="77777777" w:rsidR="00071822" w:rsidRPr="00F163BC" w:rsidRDefault="00071822" w:rsidP="002949A6">
      <w:pPr>
        <w:pStyle w:val="NormalWeb"/>
        <w:spacing w:before="0" w:beforeAutospacing="0" w:after="0" w:afterAutospacing="0"/>
        <w:jc w:val="both"/>
        <w:rPr>
          <w:lang w:val="lv-LV"/>
        </w:rPr>
      </w:pPr>
    </w:p>
    <w:p w14:paraId="3C1878CD" w14:textId="77777777" w:rsidR="00071822" w:rsidRPr="00F163BC" w:rsidRDefault="00071822" w:rsidP="00FF294C">
      <w:pPr>
        <w:pStyle w:val="NormalWeb"/>
        <w:spacing w:before="0" w:beforeAutospacing="0" w:after="0" w:afterAutospacing="0"/>
        <w:ind w:firstLine="720"/>
        <w:jc w:val="both"/>
        <w:rPr>
          <w:b/>
          <w:lang w:val="lv-LV"/>
        </w:rPr>
      </w:pPr>
      <w:r w:rsidRPr="00F163BC">
        <w:rPr>
          <w:b/>
          <w:lang w:val="lv-LV"/>
        </w:rPr>
        <w:t xml:space="preserve">2.3.5. Jaunu tehnisko risinājumu ieviešanas prognozētā finansiālā ietekme </w:t>
      </w:r>
    </w:p>
    <w:p w14:paraId="11DF1230" w14:textId="77777777" w:rsidR="009907E6" w:rsidRPr="00F163BC" w:rsidRDefault="009907E6" w:rsidP="002949A6">
      <w:pPr>
        <w:pStyle w:val="NormalWeb"/>
        <w:spacing w:before="0" w:beforeAutospacing="0" w:after="0" w:afterAutospacing="0"/>
        <w:jc w:val="both"/>
        <w:rPr>
          <w:b/>
          <w:lang w:val="lv-LV"/>
        </w:rPr>
      </w:pPr>
    </w:p>
    <w:p w14:paraId="35C97A61" w14:textId="77777777" w:rsidR="009907E6" w:rsidRPr="00F163BC" w:rsidRDefault="009907E6" w:rsidP="00E20CE5">
      <w:pPr>
        <w:pStyle w:val="NormalWeb"/>
        <w:shd w:val="clear" w:color="auto" w:fill="FFFFFF" w:themeFill="background1"/>
        <w:spacing w:before="0" w:beforeAutospacing="0" w:after="0" w:afterAutospacing="0"/>
        <w:ind w:firstLine="720"/>
        <w:jc w:val="both"/>
        <w:rPr>
          <w:lang w:val="lv-LV"/>
        </w:rPr>
      </w:pPr>
      <w:r w:rsidRPr="00F163BC">
        <w:rPr>
          <w:lang w:val="lv-LV"/>
        </w:rPr>
        <w:t>Detalizēti finansiālās ietekmes aprēķini un izdevumu finansēšanas avoti atspoguļoti 2.pielikumā.</w:t>
      </w:r>
    </w:p>
    <w:p w14:paraId="3AF06B06" w14:textId="77777777" w:rsidR="00071822" w:rsidRPr="00F163BC" w:rsidRDefault="00071822" w:rsidP="002949A6">
      <w:pPr>
        <w:pStyle w:val="NormalWeb"/>
        <w:spacing w:before="0" w:beforeAutospacing="0" w:after="0" w:afterAutospacing="0"/>
        <w:jc w:val="both"/>
        <w:rPr>
          <w:b/>
          <w:lang w:val="lv-LV"/>
        </w:rPr>
      </w:pPr>
    </w:p>
    <w:p w14:paraId="34468E29" w14:textId="77777777" w:rsidR="007577EF" w:rsidRPr="00F163BC" w:rsidRDefault="007577EF" w:rsidP="007577EF">
      <w:pPr>
        <w:ind w:left="1080"/>
        <w:jc w:val="center"/>
        <w:rPr>
          <w:b/>
          <w:sz w:val="28"/>
          <w:szCs w:val="28"/>
        </w:rPr>
      </w:pPr>
      <w:r w:rsidRPr="00F163BC">
        <w:rPr>
          <w:b/>
          <w:sz w:val="28"/>
          <w:szCs w:val="28"/>
        </w:rPr>
        <w:t>3. Fotoradaru ieviešanas (iegādes un uzstādīšanas) un darbības nodrošināšanas finansēšana</w:t>
      </w:r>
    </w:p>
    <w:p w14:paraId="11C89197" w14:textId="77777777" w:rsidR="007577EF" w:rsidRPr="00F163BC" w:rsidRDefault="007577EF" w:rsidP="007577EF">
      <w:pPr>
        <w:rPr>
          <w:b/>
          <w:sz w:val="28"/>
          <w:szCs w:val="28"/>
        </w:rPr>
      </w:pPr>
    </w:p>
    <w:p w14:paraId="56860766" w14:textId="77777777" w:rsidR="007577EF" w:rsidRPr="00F163BC" w:rsidRDefault="007577EF" w:rsidP="007577EF">
      <w:pPr>
        <w:jc w:val="center"/>
        <w:rPr>
          <w:b/>
          <w:sz w:val="28"/>
          <w:szCs w:val="28"/>
        </w:rPr>
      </w:pPr>
      <w:r w:rsidRPr="00F163BC">
        <w:rPr>
          <w:b/>
          <w:sz w:val="28"/>
          <w:szCs w:val="28"/>
        </w:rPr>
        <w:t>3.1. Pašreizējās situācijas raksturojums, identificētās problēmas un risinājumi</w:t>
      </w:r>
    </w:p>
    <w:p w14:paraId="6ED6C113" w14:textId="3E2EEA42" w:rsidR="007577EF" w:rsidRPr="00F163BC" w:rsidRDefault="007577EF" w:rsidP="007577EF">
      <w:pPr>
        <w:pStyle w:val="tv213"/>
        <w:jc w:val="both"/>
      </w:pPr>
      <w:r w:rsidRPr="00F163BC">
        <w:t xml:space="preserve">    </w:t>
      </w:r>
      <w:r w:rsidRPr="00F163BC">
        <w:tab/>
        <w:t>3.1.1. Attiecībā uz laikposmā no 2015.-</w:t>
      </w:r>
      <w:proofErr w:type="gramStart"/>
      <w:r w:rsidRPr="00F163BC">
        <w:t>2018.gadam</w:t>
      </w:r>
      <w:proofErr w:type="gramEnd"/>
      <w:r w:rsidRPr="00F163BC">
        <w:t xml:space="preserve"> ekspluatācijā nodotajiem 100 fotoradariem (I posms), neraugoties uz  ar rīkojumu Nr.678 atbalstītajā konceptuālajā ziņojumā paredzētajiem risinājumiem un noteikumos Nr.170 nostiprinātajiem finansēšanas principiem, par līdz galam neatrisinātām</w:t>
      </w:r>
      <w:r w:rsidR="00E57B0C">
        <w:t xml:space="preserve">, ievērojot iesaistīto institūciju atšķirīgo viedokli, </w:t>
      </w:r>
      <w:r w:rsidRPr="00F163BC">
        <w:t xml:space="preserve"> ir uzskatāmas šādas </w:t>
      </w:r>
      <w:r w:rsidRPr="00F163BC">
        <w:rPr>
          <w:b/>
          <w:i/>
        </w:rPr>
        <w:t>problēmas</w:t>
      </w:r>
      <w:r w:rsidRPr="00F163BC">
        <w:t>:</w:t>
      </w:r>
    </w:p>
    <w:p w14:paraId="3FB9DAC2" w14:textId="77777777" w:rsidR="007577EF" w:rsidRPr="00F163BC" w:rsidRDefault="007577EF" w:rsidP="007577EF">
      <w:pPr>
        <w:pStyle w:val="tv213"/>
        <w:jc w:val="both"/>
        <w:rPr>
          <w:i/>
        </w:rPr>
      </w:pPr>
      <w:r w:rsidRPr="00F163BC">
        <w:rPr>
          <w:i/>
        </w:rPr>
        <w:t xml:space="preserve">1. CSDD valstij izmaksājamo </w:t>
      </w:r>
      <w:r w:rsidRPr="00F31194">
        <w:rPr>
          <w:b/>
          <w:i/>
        </w:rPr>
        <w:t>dividenžu, kas ar Ministru kabineta rīkojumu novirzītas fotoradaru iegādei un uzstādīšanai, statuss</w:t>
      </w:r>
      <w:r w:rsidRPr="00F163BC">
        <w:rPr>
          <w:i/>
        </w:rPr>
        <w:t xml:space="preserve"> (naudas līdzekļi uzskatāmi</w:t>
      </w:r>
      <w:proofErr w:type="gramStart"/>
      <w:r w:rsidRPr="00F163BC">
        <w:rPr>
          <w:i/>
        </w:rPr>
        <w:t xml:space="preserve">  </w:t>
      </w:r>
      <w:proofErr w:type="gramEnd"/>
      <w:r w:rsidRPr="00F163BC">
        <w:rPr>
          <w:i/>
        </w:rPr>
        <w:t xml:space="preserve">par valsts </w:t>
      </w:r>
      <w:r w:rsidRPr="00F163BC">
        <w:rPr>
          <w:i/>
        </w:rPr>
        <w:lastRenderedPageBreak/>
        <w:t xml:space="preserve">finansējumu vai CSDD pašu finansējumu). </w:t>
      </w:r>
      <w:r w:rsidRPr="00F31194">
        <w:rPr>
          <w:b/>
          <w:i/>
        </w:rPr>
        <w:t>Nolietojuma uzkrājuma veidošana no valsts budžeta līdzekļiem,</w:t>
      </w:r>
      <w:r w:rsidRPr="00F163BC">
        <w:rPr>
          <w:i/>
        </w:rPr>
        <w:t xml:space="preserve"> lai nodrošinātu fotoradaru atjaunošanu.  </w:t>
      </w:r>
    </w:p>
    <w:p w14:paraId="580A0AD5" w14:textId="77777777" w:rsidR="007577EF" w:rsidRPr="00F163BC" w:rsidRDefault="007577EF" w:rsidP="007577EF">
      <w:pPr>
        <w:pStyle w:val="tv213"/>
        <w:spacing w:before="0" w:beforeAutospacing="0" w:after="0" w:afterAutospacing="0"/>
        <w:ind w:left="357"/>
        <w:jc w:val="both"/>
      </w:pPr>
      <w:r w:rsidRPr="00F163BC">
        <w:t>Ar rīkojumu Nr.678</w:t>
      </w:r>
      <w:proofErr w:type="gramStart"/>
      <w:r w:rsidRPr="00F163BC">
        <w:t xml:space="preserve">  </w:t>
      </w:r>
      <w:proofErr w:type="gramEnd"/>
      <w:r w:rsidRPr="00F163BC">
        <w:t xml:space="preserve">atbalstīts konceptuālajā ziņojumā ietvertais </w:t>
      </w:r>
    </w:p>
    <w:p w14:paraId="144E7CBA" w14:textId="77777777" w:rsidR="007577EF" w:rsidRPr="00F163BC" w:rsidRDefault="007577EF" w:rsidP="007577EF">
      <w:pPr>
        <w:pStyle w:val="tv213"/>
        <w:spacing w:before="0" w:beforeAutospacing="0" w:after="0" w:afterAutospacing="0"/>
        <w:ind w:left="357"/>
        <w:jc w:val="both"/>
        <w:rPr>
          <w:i/>
          <w:iCs/>
        </w:rPr>
      </w:pPr>
      <w:r w:rsidRPr="00F163BC">
        <w:t xml:space="preserve">√ </w:t>
      </w:r>
      <w:r w:rsidRPr="00F163BC">
        <w:rPr>
          <w:i/>
          <w:iCs/>
        </w:rPr>
        <w:t xml:space="preserve">turpmākās fotoradaru ieviešanas risinājuma 2.variants, kas paredz pagarināt fotoradaru ieviešanas termiņu, </w:t>
      </w:r>
      <w:r w:rsidRPr="00F163BC">
        <w:rPr>
          <w:b/>
          <w:i/>
          <w:iCs/>
        </w:rPr>
        <w:t xml:space="preserve">izdevumus sedzot tikai no CSDD dividendēm </w:t>
      </w:r>
      <w:r w:rsidRPr="00F163BC">
        <w:rPr>
          <w:i/>
          <w:iCs/>
        </w:rPr>
        <w:t xml:space="preserve">(prognozētais apjoms, proti, ieviest 100 fotoradarus 4 kārtās šādos termiņos: (1.kārta - 16 (realizēta </w:t>
      </w:r>
      <w:proofErr w:type="gramStart"/>
      <w:r w:rsidRPr="00F163BC">
        <w:rPr>
          <w:i/>
          <w:iCs/>
        </w:rPr>
        <w:t>2015.gadā</w:t>
      </w:r>
      <w:proofErr w:type="gramEnd"/>
      <w:r w:rsidRPr="00F163BC">
        <w:rPr>
          <w:i/>
          <w:iCs/>
        </w:rPr>
        <w:t>), 2.kārta - 24 (tiek realizēta 2016.gada laikā), 3.kārta - 20 (2017.gadā), 4.kārta - 40 (2018.gadā)</w:t>
      </w:r>
      <w:r w:rsidR="00AC1C1A" w:rsidRPr="00F163BC">
        <w:rPr>
          <w:i/>
          <w:iCs/>
        </w:rPr>
        <w:t>.</w:t>
      </w:r>
    </w:p>
    <w:p w14:paraId="22139BE7" w14:textId="77777777" w:rsidR="007577EF" w:rsidRPr="00F163BC" w:rsidRDefault="007577EF" w:rsidP="007577EF">
      <w:pPr>
        <w:pStyle w:val="tv213"/>
        <w:ind w:firstLine="720"/>
        <w:jc w:val="both"/>
        <w:rPr>
          <w:i/>
          <w:iCs/>
        </w:rPr>
      </w:pPr>
      <w:r w:rsidRPr="00F163BC">
        <w:rPr>
          <w:i/>
          <w:iCs/>
        </w:rPr>
        <w:t xml:space="preserve">Fotoradaru iegādi un uzstādīšanu nodrošina CSDD no valstij izmaksājamām dividendēm, kas netiek ieskaitītas valsts pamatbudžeta ieņēmumos, bet ar Ministru kabineta lēmumu atstātas CSDD, lai nodrošinātu valsts pārvaldes deleģētā uzdevuma izpildi. </w:t>
      </w:r>
    </w:p>
    <w:p w14:paraId="6550A676" w14:textId="23A91106" w:rsidR="007577EF" w:rsidRPr="00F163BC" w:rsidRDefault="00FF24A3" w:rsidP="007577EF">
      <w:pPr>
        <w:pStyle w:val="tv213"/>
        <w:spacing w:before="0" w:beforeAutospacing="0" w:after="0" w:afterAutospacing="0"/>
        <w:ind w:left="357"/>
        <w:jc w:val="right"/>
      </w:pPr>
      <w:r>
        <w:t>1</w:t>
      </w:r>
      <w:r w:rsidR="00AC1C1A" w:rsidRPr="00F163BC">
        <w:t>.</w:t>
      </w:r>
      <w:r w:rsidR="007577EF" w:rsidRPr="00F163BC">
        <w:t>tabula</w:t>
      </w:r>
    </w:p>
    <w:p w14:paraId="620EE9E3" w14:textId="77777777" w:rsidR="007577EF" w:rsidRPr="00F31194" w:rsidRDefault="007577EF" w:rsidP="007577EF">
      <w:pPr>
        <w:pStyle w:val="NormalWeb"/>
        <w:jc w:val="center"/>
        <w:rPr>
          <w:b/>
          <w:i/>
          <w:lang w:val="lv-LV"/>
        </w:rPr>
      </w:pPr>
      <w:r w:rsidRPr="00F31194">
        <w:rPr>
          <w:b/>
          <w:i/>
          <w:lang w:val="lv-LV"/>
        </w:rPr>
        <w:t>Ministru kabineta pieņemtie lēmumi par valstij dividendēs izmaksājamo CSDD peļņas daļu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47"/>
        <w:gridCol w:w="2095"/>
        <w:gridCol w:w="2087"/>
      </w:tblGrid>
      <w:tr w:rsidR="007577EF" w:rsidRPr="00F31194" w14:paraId="4354F883" w14:textId="77777777" w:rsidTr="00EE1FC3">
        <w:tc>
          <w:tcPr>
            <w:tcW w:w="890" w:type="dxa"/>
            <w:tcBorders>
              <w:top w:val="single" w:sz="4" w:space="0" w:color="auto"/>
              <w:left w:val="single" w:sz="4" w:space="0" w:color="auto"/>
              <w:bottom w:val="single" w:sz="4" w:space="0" w:color="auto"/>
              <w:right w:val="single" w:sz="4" w:space="0" w:color="auto"/>
            </w:tcBorders>
            <w:hideMark/>
          </w:tcPr>
          <w:p w14:paraId="712F8E51" w14:textId="77777777" w:rsidR="007577EF" w:rsidRPr="00F31194" w:rsidRDefault="007577EF" w:rsidP="00EE1FC3">
            <w:pPr>
              <w:jc w:val="center"/>
              <w:rPr>
                <w:sz w:val="20"/>
                <w:szCs w:val="20"/>
              </w:rPr>
            </w:pPr>
            <w:proofErr w:type="spellStart"/>
            <w:r w:rsidRPr="00F31194">
              <w:rPr>
                <w:sz w:val="20"/>
                <w:szCs w:val="20"/>
              </w:rPr>
              <w:t>Nr.p.k</w:t>
            </w:r>
            <w:proofErr w:type="spellEnd"/>
            <w:r w:rsidRPr="00F31194">
              <w:rPr>
                <w:sz w:val="20"/>
                <w:szCs w:val="20"/>
              </w:rPr>
              <w:t>.</w:t>
            </w:r>
          </w:p>
        </w:tc>
        <w:tc>
          <w:tcPr>
            <w:tcW w:w="3783" w:type="dxa"/>
            <w:tcBorders>
              <w:top w:val="single" w:sz="4" w:space="0" w:color="auto"/>
              <w:left w:val="single" w:sz="4" w:space="0" w:color="auto"/>
              <w:bottom w:val="single" w:sz="4" w:space="0" w:color="auto"/>
              <w:right w:val="single" w:sz="4" w:space="0" w:color="auto"/>
            </w:tcBorders>
            <w:hideMark/>
          </w:tcPr>
          <w:p w14:paraId="4873A5FF" w14:textId="77777777" w:rsidR="007577EF" w:rsidRPr="00F31194" w:rsidRDefault="007577EF" w:rsidP="00EE1FC3">
            <w:pPr>
              <w:jc w:val="center"/>
              <w:rPr>
                <w:sz w:val="20"/>
                <w:szCs w:val="20"/>
              </w:rPr>
            </w:pPr>
            <w:r w:rsidRPr="00F31194">
              <w:rPr>
                <w:sz w:val="20"/>
                <w:szCs w:val="20"/>
              </w:rPr>
              <w:t>Rīkojums</w:t>
            </w:r>
          </w:p>
        </w:tc>
        <w:tc>
          <w:tcPr>
            <w:tcW w:w="2307" w:type="dxa"/>
            <w:tcBorders>
              <w:top w:val="single" w:sz="4" w:space="0" w:color="auto"/>
              <w:left w:val="single" w:sz="4" w:space="0" w:color="auto"/>
              <w:bottom w:val="single" w:sz="4" w:space="0" w:color="auto"/>
              <w:right w:val="single" w:sz="4" w:space="0" w:color="auto"/>
            </w:tcBorders>
            <w:hideMark/>
          </w:tcPr>
          <w:p w14:paraId="17B4091F" w14:textId="77777777" w:rsidR="007577EF" w:rsidRPr="00F31194" w:rsidRDefault="007577EF" w:rsidP="00EE1FC3">
            <w:pPr>
              <w:jc w:val="center"/>
              <w:rPr>
                <w:sz w:val="20"/>
                <w:szCs w:val="20"/>
              </w:rPr>
            </w:pPr>
            <w:r w:rsidRPr="00F31194">
              <w:rPr>
                <w:sz w:val="20"/>
                <w:szCs w:val="20"/>
              </w:rPr>
              <w:t>Nosacījumi</w:t>
            </w:r>
            <w:r w:rsidRPr="00F31194">
              <w:rPr>
                <w:rStyle w:val="FootnoteReference"/>
                <w:sz w:val="20"/>
                <w:szCs w:val="20"/>
              </w:rPr>
              <w:footnoteReference w:id="12"/>
            </w:r>
          </w:p>
        </w:tc>
        <w:tc>
          <w:tcPr>
            <w:tcW w:w="2307" w:type="dxa"/>
            <w:tcBorders>
              <w:top w:val="single" w:sz="4" w:space="0" w:color="auto"/>
              <w:left w:val="single" w:sz="4" w:space="0" w:color="auto"/>
              <w:bottom w:val="single" w:sz="4" w:space="0" w:color="auto"/>
              <w:right w:val="single" w:sz="4" w:space="0" w:color="auto"/>
            </w:tcBorders>
            <w:hideMark/>
          </w:tcPr>
          <w:p w14:paraId="70CEA9CC" w14:textId="77777777" w:rsidR="007577EF" w:rsidRPr="00F31194" w:rsidRDefault="007577EF" w:rsidP="00EE1FC3">
            <w:pPr>
              <w:jc w:val="center"/>
              <w:rPr>
                <w:sz w:val="20"/>
                <w:szCs w:val="20"/>
              </w:rPr>
            </w:pPr>
            <w:r w:rsidRPr="00F31194">
              <w:rPr>
                <w:sz w:val="20"/>
                <w:szCs w:val="20"/>
              </w:rPr>
              <w:t xml:space="preserve">Fotoradaru iegādei un uzstādīšanai paredzētais finansējums, </w:t>
            </w:r>
            <w:r w:rsidRPr="00F31194">
              <w:rPr>
                <w:i/>
                <w:sz w:val="20"/>
                <w:szCs w:val="20"/>
              </w:rPr>
              <w:t>euro</w:t>
            </w:r>
          </w:p>
        </w:tc>
      </w:tr>
      <w:tr w:rsidR="007577EF" w:rsidRPr="00F31194" w14:paraId="0E08AFF1" w14:textId="77777777" w:rsidTr="00EE1FC3">
        <w:trPr>
          <w:trHeight w:val="826"/>
        </w:trPr>
        <w:tc>
          <w:tcPr>
            <w:tcW w:w="890" w:type="dxa"/>
            <w:tcBorders>
              <w:top w:val="single" w:sz="4" w:space="0" w:color="auto"/>
              <w:left w:val="single" w:sz="4" w:space="0" w:color="auto"/>
              <w:bottom w:val="single" w:sz="4" w:space="0" w:color="auto"/>
              <w:right w:val="single" w:sz="4" w:space="0" w:color="auto"/>
            </w:tcBorders>
            <w:hideMark/>
          </w:tcPr>
          <w:p w14:paraId="2DCE87BE" w14:textId="77777777" w:rsidR="007577EF" w:rsidRPr="00F31194" w:rsidRDefault="007577EF" w:rsidP="00EE1FC3">
            <w:pPr>
              <w:pStyle w:val="NormalWeb"/>
              <w:rPr>
                <w:sz w:val="20"/>
                <w:szCs w:val="20"/>
                <w:lang w:val="lv-LV"/>
              </w:rPr>
            </w:pPr>
            <w:r w:rsidRPr="00F31194">
              <w:rPr>
                <w:sz w:val="20"/>
                <w:szCs w:val="20"/>
                <w:lang w:val="lv-LV"/>
              </w:rPr>
              <w:t>1.</w:t>
            </w:r>
          </w:p>
        </w:tc>
        <w:tc>
          <w:tcPr>
            <w:tcW w:w="3783" w:type="dxa"/>
            <w:tcBorders>
              <w:top w:val="single" w:sz="4" w:space="0" w:color="auto"/>
              <w:left w:val="single" w:sz="4" w:space="0" w:color="auto"/>
              <w:bottom w:val="single" w:sz="4" w:space="0" w:color="auto"/>
              <w:right w:val="single" w:sz="4" w:space="0" w:color="auto"/>
            </w:tcBorders>
            <w:hideMark/>
          </w:tcPr>
          <w:p w14:paraId="673A48CE" w14:textId="77777777" w:rsidR="007577EF" w:rsidRPr="00F31194" w:rsidRDefault="007577EF" w:rsidP="00EE1FC3">
            <w:pPr>
              <w:pStyle w:val="NormalWeb"/>
              <w:rPr>
                <w:sz w:val="20"/>
                <w:szCs w:val="20"/>
                <w:lang w:val="lv-LV"/>
              </w:rPr>
            </w:pPr>
            <w:r w:rsidRPr="00F31194">
              <w:rPr>
                <w:sz w:val="20"/>
                <w:szCs w:val="20"/>
                <w:lang w:val="lv-LV"/>
              </w:rPr>
              <w:t>30.05.2014. rīkojums Nr.257</w:t>
            </w:r>
          </w:p>
        </w:tc>
        <w:tc>
          <w:tcPr>
            <w:tcW w:w="2307" w:type="dxa"/>
            <w:tcBorders>
              <w:top w:val="single" w:sz="4" w:space="0" w:color="auto"/>
              <w:left w:val="single" w:sz="4" w:space="0" w:color="auto"/>
              <w:bottom w:val="single" w:sz="4" w:space="0" w:color="auto"/>
              <w:right w:val="single" w:sz="4" w:space="0" w:color="auto"/>
            </w:tcBorders>
            <w:hideMark/>
          </w:tcPr>
          <w:p w14:paraId="4207FD4C" w14:textId="77777777" w:rsidR="007577EF" w:rsidRPr="00F31194" w:rsidRDefault="007577EF" w:rsidP="00EE1FC3">
            <w:pPr>
              <w:pStyle w:val="NormalWeb"/>
              <w:jc w:val="both"/>
              <w:rPr>
                <w:sz w:val="20"/>
                <w:szCs w:val="20"/>
                <w:lang w:val="lv-LV"/>
              </w:rPr>
            </w:pPr>
            <w:r w:rsidRPr="00F31194">
              <w:rPr>
                <w:sz w:val="20"/>
                <w:szCs w:val="20"/>
                <w:lang w:val="lv-LV"/>
              </w:rPr>
              <w:t xml:space="preserve">CSDD nav jāmaksā dividendes no tīrās peļņas par </w:t>
            </w:r>
            <w:proofErr w:type="gramStart"/>
            <w:r w:rsidRPr="00F31194">
              <w:rPr>
                <w:sz w:val="20"/>
                <w:szCs w:val="20"/>
                <w:lang w:val="lv-LV"/>
              </w:rPr>
              <w:t>2013.gadu</w:t>
            </w:r>
            <w:proofErr w:type="gramEnd"/>
          </w:p>
        </w:tc>
        <w:tc>
          <w:tcPr>
            <w:tcW w:w="2307" w:type="dxa"/>
            <w:tcBorders>
              <w:top w:val="single" w:sz="4" w:space="0" w:color="auto"/>
              <w:left w:val="single" w:sz="4" w:space="0" w:color="auto"/>
              <w:bottom w:val="single" w:sz="4" w:space="0" w:color="auto"/>
              <w:right w:val="single" w:sz="4" w:space="0" w:color="auto"/>
            </w:tcBorders>
            <w:hideMark/>
          </w:tcPr>
          <w:p w14:paraId="478D2D1E" w14:textId="77777777" w:rsidR="007577EF" w:rsidRPr="00F31194" w:rsidRDefault="007577EF" w:rsidP="00EE1FC3">
            <w:pPr>
              <w:pStyle w:val="NormalWeb"/>
              <w:jc w:val="center"/>
              <w:rPr>
                <w:sz w:val="20"/>
                <w:szCs w:val="20"/>
                <w:lang w:val="lv-LV"/>
              </w:rPr>
            </w:pPr>
            <w:r w:rsidRPr="00F31194">
              <w:rPr>
                <w:sz w:val="20"/>
                <w:szCs w:val="20"/>
                <w:lang w:val="lv-LV"/>
              </w:rPr>
              <w:t>996 010</w:t>
            </w:r>
          </w:p>
        </w:tc>
      </w:tr>
      <w:tr w:rsidR="007577EF" w:rsidRPr="00F31194" w14:paraId="2E15711D" w14:textId="77777777" w:rsidTr="00EE1FC3">
        <w:tc>
          <w:tcPr>
            <w:tcW w:w="890" w:type="dxa"/>
            <w:tcBorders>
              <w:top w:val="single" w:sz="4" w:space="0" w:color="auto"/>
              <w:left w:val="single" w:sz="4" w:space="0" w:color="auto"/>
              <w:bottom w:val="single" w:sz="4" w:space="0" w:color="auto"/>
              <w:right w:val="single" w:sz="4" w:space="0" w:color="auto"/>
            </w:tcBorders>
            <w:hideMark/>
          </w:tcPr>
          <w:p w14:paraId="7E52746F" w14:textId="77777777" w:rsidR="007577EF" w:rsidRPr="00F31194" w:rsidRDefault="007577EF" w:rsidP="00EE1FC3">
            <w:pPr>
              <w:pStyle w:val="NormalWeb"/>
              <w:rPr>
                <w:sz w:val="20"/>
                <w:szCs w:val="20"/>
                <w:lang w:val="lv-LV"/>
              </w:rPr>
            </w:pPr>
            <w:r w:rsidRPr="00F31194">
              <w:rPr>
                <w:sz w:val="20"/>
                <w:szCs w:val="20"/>
                <w:lang w:val="lv-LV"/>
              </w:rPr>
              <w:t>2.</w:t>
            </w:r>
          </w:p>
        </w:tc>
        <w:tc>
          <w:tcPr>
            <w:tcW w:w="3783" w:type="dxa"/>
            <w:tcBorders>
              <w:top w:val="single" w:sz="4" w:space="0" w:color="auto"/>
              <w:left w:val="single" w:sz="4" w:space="0" w:color="auto"/>
              <w:bottom w:val="single" w:sz="4" w:space="0" w:color="auto"/>
              <w:right w:val="single" w:sz="4" w:space="0" w:color="auto"/>
            </w:tcBorders>
            <w:hideMark/>
          </w:tcPr>
          <w:p w14:paraId="3C49B5E5" w14:textId="77777777" w:rsidR="007577EF" w:rsidRPr="00F31194" w:rsidRDefault="007577EF" w:rsidP="00EE1FC3">
            <w:pPr>
              <w:pStyle w:val="NormalWeb"/>
              <w:rPr>
                <w:sz w:val="20"/>
                <w:szCs w:val="20"/>
                <w:lang w:val="lv-LV"/>
              </w:rPr>
            </w:pPr>
            <w:r w:rsidRPr="00F31194">
              <w:rPr>
                <w:sz w:val="20"/>
                <w:szCs w:val="20"/>
                <w:lang w:val="lv-LV"/>
              </w:rPr>
              <w:t>10.07.2015. rīkojums Nr.377</w:t>
            </w:r>
          </w:p>
        </w:tc>
        <w:tc>
          <w:tcPr>
            <w:tcW w:w="2307" w:type="dxa"/>
            <w:tcBorders>
              <w:top w:val="single" w:sz="4" w:space="0" w:color="auto"/>
              <w:left w:val="single" w:sz="4" w:space="0" w:color="auto"/>
              <w:bottom w:val="single" w:sz="4" w:space="0" w:color="auto"/>
              <w:right w:val="single" w:sz="4" w:space="0" w:color="auto"/>
            </w:tcBorders>
            <w:hideMark/>
          </w:tcPr>
          <w:p w14:paraId="72D3D77F" w14:textId="77777777" w:rsidR="007577EF" w:rsidRPr="00F31194" w:rsidRDefault="007577EF" w:rsidP="00EE1FC3">
            <w:pPr>
              <w:pStyle w:val="NormalWeb"/>
              <w:jc w:val="both"/>
              <w:rPr>
                <w:b/>
                <w:i/>
                <w:sz w:val="20"/>
                <w:szCs w:val="20"/>
                <w:lang w:val="lv-LV"/>
              </w:rPr>
            </w:pPr>
            <w:r w:rsidRPr="00F31194">
              <w:rPr>
                <w:sz w:val="20"/>
                <w:szCs w:val="20"/>
                <w:lang w:val="lv-LV"/>
              </w:rPr>
              <w:t xml:space="preserve">CSDD nav jāmaksā dividendes no tīrās peļņas par </w:t>
            </w:r>
            <w:proofErr w:type="gramStart"/>
            <w:r w:rsidRPr="00F31194">
              <w:rPr>
                <w:sz w:val="20"/>
                <w:szCs w:val="20"/>
                <w:lang w:val="lv-LV"/>
              </w:rPr>
              <w:t>2014.gadu</w:t>
            </w:r>
            <w:proofErr w:type="gramEnd"/>
          </w:p>
        </w:tc>
        <w:tc>
          <w:tcPr>
            <w:tcW w:w="2307" w:type="dxa"/>
            <w:tcBorders>
              <w:top w:val="single" w:sz="4" w:space="0" w:color="auto"/>
              <w:left w:val="single" w:sz="4" w:space="0" w:color="auto"/>
              <w:bottom w:val="single" w:sz="4" w:space="0" w:color="auto"/>
              <w:right w:val="single" w:sz="4" w:space="0" w:color="auto"/>
            </w:tcBorders>
            <w:hideMark/>
          </w:tcPr>
          <w:p w14:paraId="43FF2403" w14:textId="77777777" w:rsidR="007577EF" w:rsidRPr="00F31194" w:rsidRDefault="007577EF" w:rsidP="00EE1FC3">
            <w:pPr>
              <w:pStyle w:val="NormalWeb"/>
              <w:jc w:val="center"/>
              <w:rPr>
                <w:b/>
                <w:i/>
                <w:sz w:val="20"/>
                <w:szCs w:val="20"/>
                <w:lang w:val="lv-LV"/>
              </w:rPr>
            </w:pPr>
            <w:r w:rsidRPr="00F31194">
              <w:rPr>
                <w:sz w:val="20"/>
                <w:szCs w:val="20"/>
                <w:lang w:val="lv-LV"/>
              </w:rPr>
              <w:t>1 144 000</w:t>
            </w:r>
          </w:p>
        </w:tc>
      </w:tr>
      <w:tr w:rsidR="007577EF" w:rsidRPr="00F31194" w14:paraId="2061ED22" w14:textId="77777777" w:rsidTr="00EE1FC3">
        <w:tc>
          <w:tcPr>
            <w:tcW w:w="890" w:type="dxa"/>
            <w:tcBorders>
              <w:top w:val="single" w:sz="4" w:space="0" w:color="auto"/>
              <w:left w:val="single" w:sz="4" w:space="0" w:color="auto"/>
              <w:bottom w:val="single" w:sz="4" w:space="0" w:color="auto"/>
              <w:right w:val="single" w:sz="4" w:space="0" w:color="auto"/>
            </w:tcBorders>
            <w:hideMark/>
          </w:tcPr>
          <w:p w14:paraId="07A14034" w14:textId="77777777" w:rsidR="007577EF" w:rsidRPr="00F31194" w:rsidRDefault="007577EF" w:rsidP="00EE1FC3">
            <w:pPr>
              <w:pStyle w:val="NormalWeb"/>
              <w:rPr>
                <w:sz w:val="20"/>
                <w:szCs w:val="20"/>
                <w:lang w:val="lv-LV"/>
              </w:rPr>
            </w:pPr>
            <w:r w:rsidRPr="00F31194">
              <w:rPr>
                <w:sz w:val="20"/>
                <w:szCs w:val="20"/>
                <w:lang w:val="lv-LV"/>
              </w:rPr>
              <w:t>3.</w:t>
            </w:r>
          </w:p>
        </w:tc>
        <w:tc>
          <w:tcPr>
            <w:tcW w:w="3783" w:type="dxa"/>
            <w:tcBorders>
              <w:top w:val="single" w:sz="4" w:space="0" w:color="auto"/>
              <w:left w:val="single" w:sz="4" w:space="0" w:color="auto"/>
              <w:bottom w:val="single" w:sz="4" w:space="0" w:color="auto"/>
              <w:right w:val="single" w:sz="4" w:space="0" w:color="auto"/>
            </w:tcBorders>
            <w:hideMark/>
          </w:tcPr>
          <w:p w14:paraId="5028B620" w14:textId="77777777" w:rsidR="007577EF" w:rsidRPr="00F31194" w:rsidRDefault="007577EF" w:rsidP="00EE1FC3">
            <w:pPr>
              <w:pStyle w:val="NormalWeb"/>
              <w:rPr>
                <w:sz w:val="20"/>
                <w:szCs w:val="20"/>
                <w:lang w:val="lv-LV"/>
              </w:rPr>
            </w:pPr>
            <w:r w:rsidRPr="00F31194">
              <w:rPr>
                <w:sz w:val="20"/>
                <w:szCs w:val="20"/>
                <w:lang w:val="lv-LV"/>
              </w:rPr>
              <w:t>22.08.2016. rīkojums Nr. 463</w:t>
            </w:r>
          </w:p>
        </w:tc>
        <w:tc>
          <w:tcPr>
            <w:tcW w:w="2307" w:type="dxa"/>
            <w:tcBorders>
              <w:top w:val="single" w:sz="4" w:space="0" w:color="auto"/>
              <w:left w:val="single" w:sz="4" w:space="0" w:color="auto"/>
              <w:bottom w:val="single" w:sz="4" w:space="0" w:color="auto"/>
              <w:right w:val="single" w:sz="4" w:space="0" w:color="auto"/>
            </w:tcBorders>
            <w:hideMark/>
          </w:tcPr>
          <w:p w14:paraId="44DFBC0C" w14:textId="77777777" w:rsidR="007577EF" w:rsidRPr="00F31194" w:rsidRDefault="007577EF" w:rsidP="00EE1FC3">
            <w:pPr>
              <w:pStyle w:val="NormalWeb"/>
              <w:jc w:val="both"/>
              <w:rPr>
                <w:b/>
                <w:i/>
                <w:sz w:val="20"/>
                <w:szCs w:val="20"/>
                <w:lang w:val="lv-LV"/>
              </w:rPr>
            </w:pPr>
            <w:r w:rsidRPr="00F31194">
              <w:rPr>
                <w:sz w:val="20"/>
                <w:szCs w:val="20"/>
                <w:lang w:val="lv-LV"/>
              </w:rPr>
              <w:t xml:space="preserve">CSDD maksā atšķirīgu dividendēs izmaksājamo peļņas daļu no tīrās peļņas par </w:t>
            </w:r>
            <w:proofErr w:type="gramStart"/>
            <w:r w:rsidRPr="00F31194">
              <w:rPr>
                <w:sz w:val="20"/>
                <w:szCs w:val="20"/>
                <w:lang w:val="lv-LV"/>
              </w:rPr>
              <w:t>2015.gadu</w:t>
            </w:r>
            <w:proofErr w:type="gramEnd"/>
          </w:p>
        </w:tc>
        <w:tc>
          <w:tcPr>
            <w:tcW w:w="2307" w:type="dxa"/>
            <w:tcBorders>
              <w:top w:val="single" w:sz="4" w:space="0" w:color="auto"/>
              <w:left w:val="single" w:sz="4" w:space="0" w:color="auto"/>
              <w:bottom w:val="single" w:sz="4" w:space="0" w:color="auto"/>
              <w:right w:val="single" w:sz="4" w:space="0" w:color="auto"/>
            </w:tcBorders>
            <w:hideMark/>
          </w:tcPr>
          <w:p w14:paraId="563DEAB4" w14:textId="77777777" w:rsidR="007577EF" w:rsidRPr="00F31194" w:rsidRDefault="007577EF" w:rsidP="00EE1FC3">
            <w:pPr>
              <w:pStyle w:val="NormalWeb"/>
              <w:jc w:val="center"/>
              <w:rPr>
                <w:b/>
                <w:i/>
                <w:sz w:val="20"/>
                <w:szCs w:val="20"/>
                <w:lang w:val="lv-LV"/>
              </w:rPr>
            </w:pPr>
            <w:r w:rsidRPr="00F31194">
              <w:rPr>
                <w:sz w:val="20"/>
                <w:szCs w:val="20"/>
                <w:lang w:val="lv-LV"/>
              </w:rPr>
              <w:t>1 327 953</w:t>
            </w:r>
          </w:p>
        </w:tc>
      </w:tr>
      <w:tr w:rsidR="007577EF" w:rsidRPr="00F31194" w14:paraId="510D0FC8" w14:textId="77777777" w:rsidTr="00EE1FC3">
        <w:tc>
          <w:tcPr>
            <w:tcW w:w="890" w:type="dxa"/>
            <w:tcBorders>
              <w:top w:val="single" w:sz="4" w:space="0" w:color="auto"/>
              <w:left w:val="single" w:sz="4" w:space="0" w:color="auto"/>
              <w:bottom w:val="single" w:sz="4" w:space="0" w:color="auto"/>
              <w:right w:val="single" w:sz="4" w:space="0" w:color="auto"/>
            </w:tcBorders>
            <w:hideMark/>
          </w:tcPr>
          <w:p w14:paraId="67D300D9" w14:textId="77777777" w:rsidR="007577EF" w:rsidRPr="00F31194" w:rsidRDefault="007577EF" w:rsidP="00EE1FC3">
            <w:pPr>
              <w:pStyle w:val="NormalWeb"/>
              <w:rPr>
                <w:sz w:val="20"/>
                <w:szCs w:val="20"/>
                <w:lang w:val="lv-LV"/>
              </w:rPr>
            </w:pPr>
            <w:r w:rsidRPr="00F31194">
              <w:rPr>
                <w:sz w:val="20"/>
                <w:szCs w:val="20"/>
                <w:lang w:val="lv-LV"/>
              </w:rPr>
              <w:t>4.</w:t>
            </w:r>
          </w:p>
        </w:tc>
        <w:tc>
          <w:tcPr>
            <w:tcW w:w="3783" w:type="dxa"/>
            <w:tcBorders>
              <w:top w:val="single" w:sz="4" w:space="0" w:color="auto"/>
              <w:left w:val="single" w:sz="4" w:space="0" w:color="auto"/>
              <w:bottom w:val="single" w:sz="4" w:space="0" w:color="auto"/>
              <w:right w:val="single" w:sz="4" w:space="0" w:color="auto"/>
            </w:tcBorders>
            <w:hideMark/>
          </w:tcPr>
          <w:p w14:paraId="24D47A52" w14:textId="77777777" w:rsidR="007577EF" w:rsidRPr="00F31194" w:rsidRDefault="007577EF" w:rsidP="00EE1FC3">
            <w:pPr>
              <w:pStyle w:val="NormalWeb"/>
              <w:rPr>
                <w:sz w:val="20"/>
                <w:szCs w:val="20"/>
                <w:lang w:val="lv-LV"/>
              </w:rPr>
            </w:pPr>
            <w:r w:rsidRPr="00F31194">
              <w:rPr>
                <w:sz w:val="20"/>
                <w:szCs w:val="20"/>
                <w:lang w:val="lv-LV"/>
              </w:rPr>
              <w:t>04.10.2017. rīkojums Nr. 553</w:t>
            </w:r>
          </w:p>
        </w:tc>
        <w:tc>
          <w:tcPr>
            <w:tcW w:w="2307" w:type="dxa"/>
            <w:tcBorders>
              <w:top w:val="single" w:sz="4" w:space="0" w:color="auto"/>
              <w:left w:val="single" w:sz="4" w:space="0" w:color="auto"/>
              <w:bottom w:val="single" w:sz="4" w:space="0" w:color="auto"/>
              <w:right w:val="single" w:sz="4" w:space="0" w:color="auto"/>
            </w:tcBorders>
            <w:hideMark/>
          </w:tcPr>
          <w:p w14:paraId="06656E70" w14:textId="77777777" w:rsidR="007577EF" w:rsidRPr="00F31194" w:rsidRDefault="007577EF" w:rsidP="00EE1FC3">
            <w:pPr>
              <w:pStyle w:val="NormalWeb"/>
              <w:jc w:val="both"/>
              <w:rPr>
                <w:b/>
                <w:i/>
                <w:sz w:val="20"/>
                <w:szCs w:val="20"/>
                <w:lang w:val="lv-LV"/>
              </w:rPr>
            </w:pPr>
            <w:r w:rsidRPr="00F31194">
              <w:rPr>
                <w:sz w:val="20"/>
                <w:szCs w:val="20"/>
                <w:lang w:val="lv-LV"/>
              </w:rPr>
              <w:t>CSDD maksā atšķirīgu dividendēs izmaksājamo peļņas daļu par 2016. gadu</w:t>
            </w:r>
          </w:p>
        </w:tc>
        <w:tc>
          <w:tcPr>
            <w:tcW w:w="2307" w:type="dxa"/>
            <w:tcBorders>
              <w:top w:val="single" w:sz="4" w:space="0" w:color="auto"/>
              <w:left w:val="single" w:sz="4" w:space="0" w:color="auto"/>
              <w:bottom w:val="single" w:sz="4" w:space="0" w:color="auto"/>
              <w:right w:val="single" w:sz="4" w:space="0" w:color="auto"/>
            </w:tcBorders>
            <w:hideMark/>
          </w:tcPr>
          <w:p w14:paraId="7C4A7F92" w14:textId="77777777" w:rsidR="007577EF" w:rsidRPr="00F31194" w:rsidRDefault="007577EF" w:rsidP="00EE1FC3">
            <w:pPr>
              <w:pStyle w:val="NormalWeb"/>
              <w:jc w:val="center"/>
              <w:rPr>
                <w:b/>
                <w:i/>
                <w:sz w:val="20"/>
                <w:szCs w:val="20"/>
                <w:lang w:val="lv-LV"/>
              </w:rPr>
            </w:pPr>
            <w:r w:rsidRPr="00F31194">
              <w:rPr>
                <w:sz w:val="20"/>
                <w:szCs w:val="20"/>
                <w:lang w:val="lv-LV"/>
              </w:rPr>
              <w:t>2 370 641</w:t>
            </w:r>
          </w:p>
        </w:tc>
      </w:tr>
      <w:tr w:rsidR="007577EF" w:rsidRPr="00F31194" w14:paraId="29CF815E" w14:textId="77777777" w:rsidTr="00EE1FC3">
        <w:tc>
          <w:tcPr>
            <w:tcW w:w="890" w:type="dxa"/>
            <w:tcBorders>
              <w:top w:val="single" w:sz="4" w:space="0" w:color="auto"/>
              <w:left w:val="single" w:sz="4" w:space="0" w:color="auto"/>
              <w:bottom w:val="single" w:sz="4" w:space="0" w:color="auto"/>
              <w:right w:val="single" w:sz="4" w:space="0" w:color="auto"/>
            </w:tcBorders>
          </w:tcPr>
          <w:p w14:paraId="7D233C5A" w14:textId="77777777" w:rsidR="007577EF" w:rsidRPr="00F31194" w:rsidRDefault="007577EF" w:rsidP="00EE1FC3">
            <w:pPr>
              <w:pStyle w:val="NormalWeb"/>
              <w:rPr>
                <w:sz w:val="20"/>
                <w:szCs w:val="20"/>
                <w:lang w:val="lv-LV"/>
              </w:rPr>
            </w:pPr>
            <w:r w:rsidRPr="00F31194">
              <w:rPr>
                <w:sz w:val="20"/>
                <w:szCs w:val="20"/>
                <w:lang w:val="lv-LV"/>
              </w:rPr>
              <w:t>5.</w:t>
            </w:r>
          </w:p>
        </w:tc>
        <w:tc>
          <w:tcPr>
            <w:tcW w:w="3783" w:type="dxa"/>
            <w:tcBorders>
              <w:top w:val="single" w:sz="4" w:space="0" w:color="auto"/>
              <w:left w:val="single" w:sz="4" w:space="0" w:color="auto"/>
              <w:bottom w:val="single" w:sz="4" w:space="0" w:color="auto"/>
              <w:right w:val="single" w:sz="4" w:space="0" w:color="auto"/>
            </w:tcBorders>
          </w:tcPr>
          <w:p w14:paraId="4BCF3A96" w14:textId="77777777" w:rsidR="007577EF" w:rsidRPr="00F31194" w:rsidRDefault="007577EF" w:rsidP="00EE1FC3">
            <w:pPr>
              <w:pStyle w:val="NormalWeb"/>
              <w:rPr>
                <w:sz w:val="20"/>
                <w:szCs w:val="20"/>
                <w:lang w:val="lv-LV"/>
              </w:rPr>
            </w:pPr>
            <w:r w:rsidRPr="00F31194">
              <w:rPr>
                <w:sz w:val="20"/>
                <w:szCs w:val="20"/>
                <w:lang w:val="lv-LV"/>
              </w:rPr>
              <w:t>02.11.2018. rīkojums Nr.571</w:t>
            </w:r>
          </w:p>
        </w:tc>
        <w:tc>
          <w:tcPr>
            <w:tcW w:w="2307" w:type="dxa"/>
            <w:tcBorders>
              <w:top w:val="single" w:sz="4" w:space="0" w:color="auto"/>
              <w:left w:val="single" w:sz="4" w:space="0" w:color="auto"/>
              <w:bottom w:val="single" w:sz="4" w:space="0" w:color="auto"/>
              <w:right w:val="single" w:sz="4" w:space="0" w:color="auto"/>
            </w:tcBorders>
          </w:tcPr>
          <w:p w14:paraId="680769ED" w14:textId="77777777" w:rsidR="007577EF" w:rsidRPr="00F31194" w:rsidRDefault="007577EF" w:rsidP="00EE1FC3">
            <w:pPr>
              <w:pStyle w:val="NormalWeb"/>
              <w:jc w:val="both"/>
              <w:rPr>
                <w:sz w:val="20"/>
                <w:szCs w:val="20"/>
                <w:lang w:val="lv-LV"/>
              </w:rPr>
            </w:pPr>
            <w:r w:rsidRPr="00F31194">
              <w:rPr>
                <w:sz w:val="20"/>
                <w:szCs w:val="20"/>
                <w:lang w:val="lv-LV"/>
              </w:rPr>
              <w:t>CSDD maksā atšķirīgu dividendēs izmaksājamo peļņas daļu par 2017. gadu</w:t>
            </w:r>
          </w:p>
        </w:tc>
        <w:tc>
          <w:tcPr>
            <w:tcW w:w="2307" w:type="dxa"/>
            <w:tcBorders>
              <w:top w:val="single" w:sz="4" w:space="0" w:color="auto"/>
              <w:left w:val="single" w:sz="4" w:space="0" w:color="auto"/>
              <w:bottom w:val="single" w:sz="4" w:space="0" w:color="auto"/>
              <w:right w:val="single" w:sz="4" w:space="0" w:color="auto"/>
            </w:tcBorders>
          </w:tcPr>
          <w:p w14:paraId="7F779657" w14:textId="77777777" w:rsidR="007577EF" w:rsidRPr="00F31194" w:rsidRDefault="007577EF" w:rsidP="00EE1FC3">
            <w:pPr>
              <w:pStyle w:val="NormalWeb"/>
              <w:jc w:val="center"/>
              <w:rPr>
                <w:sz w:val="20"/>
                <w:szCs w:val="20"/>
                <w:lang w:val="lv-LV"/>
              </w:rPr>
            </w:pPr>
            <w:r w:rsidRPr="00F31194">
              <w:rPr>
                <w:sz w:val="20"/>
                <w:szCs w:val="20"/>
                <w:lang w:val="lv-LV"/>
              </w:rPr>
              <w:t>1 369 579</w:t>
            </w:r>
          </w:p>
        </w:tc>
      </w:tr>
      <w:tr w:rsidR="007577EF" w:rsidRPr="00F31194" w14:paraId="0C31110F" w14:textId="77777777" w:rsidTr="00EE1FC3">
        <w:tc>
          <w:tcPr>
            <w:tcW w:w="890" w:type="dxa"/>
            <w:tcBorders>
              <w:top w:val="single" w:sz="4" w:space="0" w:color="auto"/>
              <w:left w:val="single" w:sz="4" w:space="0" w:color="auto"/>
              <w:bottom w:val="single" w:sz="4" w:space="0" w:color="auto"/>
              <w:right w:val="single" w:sz="4" w:space="0" w:color="auto"/>
            </w:tcBorders>
          </w:tcPr>
          <w:p w14:paraId="18A2AD12" w14:textId="77777777" w:rsidR="007577EF" w:rsidRPr="00F31194" w:rsidRDefault="007577EF" w:rsidP="00EE1FC3">
            <w:pPr>
              <w:pStyle w:val="NormalWeb"/>
              <w:rPr>
                <w:b/>
                <w:i/>
                <w:sz w:val="20"/>
                <w:szCs w:val="20"/>
                <w:lang w:val="lv-LV"/>
              </w:rPr>
            </w:pPr>
          </w:p>
        </w:tc>
        <w:tc>
          <w:tcPr>
            <w:tcW w:w="3783" w:type="dxa"/>
            <w:tcBorders>
              <w:top w:val="single" w:sz="4" w:space="0" w:color="auto"/>
              <w:left w:val="single" w:sz="4" w:space="0" w:color="auto"/>
              <w:bottom w:val="single" w:sz="4" w:space="0" w:color="auto"/>
              <w:right w:val="single" w:sz="4" w:space="0" w:color="auto"/>
            </w:tcBorders>
            <w:hideMark/>
          </w:tcPr>
          <w:p w14:paraId="33D64EAD" w14:textId="77777777" w:rsidR="007577EF" w:rsidRPr="00F31194" w:rsidRDefault="007577EF" w:rsidP="00EE1FC3">
            <w:pPr>
              <w:pStyle w:val="NormalWeb"/>
              <w:rPr>
                <w:b/>
                <w:i/>
                <w:sz w:val="20"/>
                <w:szCs w:val="20"/>
                <w:lang w:val="lv-LV"/>
              </w:rPr>
            </w:pPr>
            <w:r w:rsidRPr="00F31194">
              <w:rPr>
                <w:b/>
                <w:i/>
                <w:sz w:val="20"/>
                <w:szCs w:val="20"/>
                <w:lang w:val="lv-LV"/>
              </w:rPr>
              <w:t>KOPĀ</w:t>
            </w:r>
          </w:p>
        </w:tc>
        <w:tc>
          <w:tcPr>
            <w:tcW w:w="2307" w:type="dxa"/>
            <w:tcBorders>
              <w:top w:val="single" w:sz="4" w:space="0" w:color="auto"/>
              <w:left w:val="single" w:sz="4" w:space="0" w:color="auto"/>
              <w:bottom w:val="single" w:sz="4" w:space="0" w:color="auto"/>
              <w:right w:val="single" w:sz="4" w:space="0" w:color="auto"/>
            </w:tcBorders>
          </w:tcPr>
          <w:p w14:paraId="3F951319" w14:textId="77777777" w:rsidR="007577EF" w:rsidRPr="00F31194" w:rsidRDefault="007577EF" w:rsidP="00EE1FC3">
            <w:pPr>
              <w:pStyle w:val="NormalWeb"/>
              <w:rPr>
                <w:b/>
                <w:i/>
                <w:sz w:val="20"/>
                <w:szCs w:val="20"/>
                <w:lang w:val="lv-LV"/>
              </w:rPr>
            </w:pPr>
          </w:p>
        </w:tc>
        <w:tc>
          <w:tcPr>
            <w:tcW w:w="2307" w:type="dxa"/>
            <w:tcBorders>
              <w:top w:val="single" w:sz="4" w:space="0" w:color="auto"/>
              <w:left w:val="single" w:sz="4" w:space="0" w:color="auto"/>
              <w:bottom w:val="single" w:sz="4" w:space="0" w:color="auto"/>
              <w:right w:val="single" w:sz="4" w:space="0" w:color="auto"/>
            </w:tcBorders>
          </w:tcPr>
          <w:p w14:paraId="550A6E29" w14:textId="77777777" w:rsidR="007577EF" w:rsidRPr="00F31194" w:rsidRDefault="007577EF" w:rsidP="00EE1FC3">
            <w:pPr>
              <w:pStyle w:val="NormalWeb"/>
              <w:jc w:val="center"/>
              <w:rPr>
                <w:b/>
                <w:i/>
                <w:sz w:val="20"/>
                <w:szCs w:val="20"/>
                <w:lang w:val="lv-LV"/>
              </w:rPr>
            </w:pPr>
            <w:r w:rsidRPr="00F31194">
              <w:rPr>
                <w:b/>
                <w:i/>
                <w:sz w:val="20"/>
                <w:szCs w:val="20"/>
                <w:lang w:val="lv-LV"/>
              </w:rPr>
              <w:t>7 208 183</w:t>
            </w:r>
          </w:p>
        </w:tc>
      </w:tr>
    </w:tbl>
    <w:p w14:paraId="51683115" w14:textId="77777777" w:rsidR="007577EF" w:rsidRPr="00F31194" w:rsidRDefault="007577EF" w:rsidP="006B3444">
      <w:pPr>
        <w:pStyle w:val="NormalWeb"/>
        <w:ind w:firstLine="720"/>
        <w:jc w:val="both"/>
        <w:rPr>
          <w:lang w:val="lv-LV"/>
        </w:rPr>
      </w:pPr>
      <w:r w:rsidRPr="00F31194">
        <w:rPr>
          <w:lang w:val="lv-LV"/>
        </w:rPr>
        <w:lastRenderedPageBreak/>
        <w:t>No tabulā atspoguļotās informācijas secināms, ka CSDD vai</w:t>
      </w:r>
      <w:proofErr w:type="gramStart"/>
      <w:r w:rsidRPr="00F31194">
        <w:rPr>
          <w:lang w:val="lv-LV"/>
        </w:rPr>
        <w:t xml:space="preserve">  </w:t>
      </w:r>
      <w:proofErr w:type="gramEnd"/>
      <w:r w:rsidRPr="00F31194">
        <w:rPr>
          <w:lang w:val="lv-LV"/>
        </w:rPr>
        <w:t>nu nav bijis jāmaksā valsts budžetā dividendes no tīrās peļņas vai arī jāmaksā atšķirīgu dividendēs izmaksājamo peļņas daļu</w:t>
      </w:r>
      <w:r w:rsidRPr="00F31194">
        <w:rPr>
          <w:szCs w:val="28"/>
          <w:lang w:val="lv-LV"/>
        </w:rPr>
        <w:t xml:space="preserve"> (maksājumus valsts budžetā par valsts kapitāla izmantošanu)</w:t>
      </w:r>
      <w:r w:rsidRPr="00F31194">
        <w:rPr>
          <w:lang w:val="lv-LV"/>
        </w:rPr>
        <w:t xml:space="preserve">. </w:t>
      </w:r>
    </w:p>
    <w:p w14:paraId="252FDB28" w14:textId="77777777" w:rsidR="007577EF" w:rsidRPr="00F31194" w:rsidRDefault="007577EF" w:rsidP="007577EF">
      <w:pPr>
        <w:pStyle w:val="NormalWeb"/>
        <w:jc w:val="both"/>
        <w:rPr>
          <w:lang w:val="lv-LV"/>
        </w:rPr>
      </w:pPr>
      <w:r w:rsidRPr="00F31194">
        <w:rPr>
          <w:lang w:val="lv-LV"/>
        </w:rPr>
        <w:t xml:space="preserve">Ar </w:t>
      </w:r>
      <w:hyperlink r:id="rId26" w:tgtFrame="_blank" w:history="1">
        <w:r w:rsidRPr="00F31194">
          <w:rPr>
            <w:lang w:val="lv-LV"/>
          </w:rPr>
          <w:t>MK rīkojumu Nr.678</w:t>
        </w:r>
      </w:hyperlink>
      <w:r w:rsidRPr="00F31194">
        <w:rPr>
          <w:lang w:val="lv-LV"/>
        </w:rPr>
        <w:t> tika atbalstīts: </w:t>
      </w:r>
    </w:p>
    <w:p w14:paraId="37F74FEB" w14:textId="43862D19" w:rsidR="007577EF" w:rsidRPr="00F31194" w:rsidRDefault="0018081E" w:rsidP="007577EF">
      <w:pPr>
        <w:pStyle w:val="NormalWeb"/>
        <w:rPr>
          <w:lang w:val="lv-LV"/>
        </w:rPr>
      </w:pPr>
      <w:r w:rsidRPr="00F31194">
        <w:rPr>
          <w:i/>
          <w:lang w:val="lv-LV"/>
        </w:rPr>
        <w:t>“</w:t>
      </w:r>
      <w:r w:rsidR="007577EF" w:rsidRPr="00F31194">
        <w:rPr>
          <w:i/>
          <w:lang w:val="lv-LV"/>
        </w:rPr>
        <w:t xml:space="preserve">√ samaksas apmēra noteikšanas </w:t>
      </w:r>
      <w:r w:rsidR="007577EF" w:rsidRPr="00F31194">
        <w:rPr>
          <w:bCs/>
          <w:i/>
          <w:iCs/>
          <w:lang w:val="lv-LV"/>
        </w:rPr>
        <w:t>2.A. modelis</w:t>
      </w:r>
      <w:r w:rsidR="007577EF" w:rsidRPr="00F31194">
        <w:rPr>
          <w:lang w:val="lv-LV"/>
        </w:rPr>
        <w:t>, kas paredz, ka izmaksas tiek noteiktas pēc šāda principa:</w:t>
      </w:r>
    </w:p>
    <w:p w14:paraId="25C1C1AA" w14:textId="77777777" w:rsidR="007577EF" w:rsidRPr="00F163BC" w:rsidRDefault="007577EF" w:rsidP="006B3444">
      <w:pPr>
        <w:pStyle w:val="NormalWeb"/>
        <w:ind w:firstLine="720"/>
        <w:jc w:val="both"/>
        <w:rPr>
          <w:lang w:val="lv-LV"/>
        </w:rPr>
      </w:pPr>
      <w:r w:rsidRPr="00877211">
        <w:rPr>
          <w:lang w:val="lv-LV"/>
        </w:rPr>
        <w:t xml:space="preserve">• </w:t>
      </w:r>
      <w:r w:rsidRPr="00F163BC">
        <w:rPr>
          <w:lang w:val="lv-LV"/>
        </w:rPr>
        <w:t xml:space="preserve">izmaksās netiek iekļauta summa, kas atbilst CSDD fotoradaru 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fotoradaru ikgadējam nolietojumam, uzkrājums tiek veidots no valsts budžeta līdzekļiem. Pašlaik nav zināms, kad esošos fotoradarus būs nepieciešams nomainīt (atjaunot) </w:t>
      </w:r>
      <w:r w:rsidRPr="0018081E">
        <w:rPr>
          <w:lang w:val="lv-LV"/>
        </w:rPr>
        <w:t xml:space="preserve">(plānots, ka tie darbosies 5 gadus, bet var tikt izskatīta iespēja pagarināt darbības termiņu līdz 7 gadiem), </w:t>
      </w:r>
      <w:r w:rsidRPr="00F163BC">
        <w:rPr>
          <w:lang w:val="lv-LV"/>
        </w:rPr>
        <w:t xml:space="preserve">kā arī, kādi finanšu līdzekļi tam būs nepieciešami un kāds būs to avots </w:t>
      </w:r>
      <w:proofErr w:type="gramStart"/>
      <w:r w:rsidRPr="00F163BC">
        <w:rPr>
          <w:lang w:val="lv-LV"/>
        </w:rPr>
        <w:t>(</w:t>
      </w:r>
      <w:proofErr w:type="gramEnd"/>
      <w:r w:rsidRPr="00F163BC">
        <w:rPr>
          <w:lang w:val="lv-LV"/>
        </w:rPr>
        <w:t>iespējams, tiks turpināta pašreizējā kārtība, ka fotoradaru iegādei tiks novirzītas CSDD dividendes);</w:t>
      </w:r>
    </w:p>
    <w:p w14:paraId="152F61B0" w14:textId="77777777" w:rsidR="007577EF" w:rsidRPr="00F163BC" w:rsidRDefault="007577EF" w:rsidP="006B3444">
      <w:pPr>
        <w:pStyle w:val="NormalWeb"/>
        <w:ind w:firstLine="720"/>
        <w:jc w:val="both"/>
        <w:rPr>
          <w:lang w:val="lv-LV"/>
        </w:rPr>
      </w:pPr>
      <w:r w:rsidRPr="00F163BC">
        <w:rPr>
          <w:lang w:val="lv-LV"/>
        </w:rPr>
        <w:t>• izmaksās tiek iekļauta plānotā peļņa 5% apmērā no fotoradaru uzstādīšanas un darbības nodrošināšanas izmaksām;</w:t>
      </w:r>
    </w:p>
    <w:p w14:paraId="55C368FD" w14:textId="1EDAC120" w:rsidR="007577EF" w:rsidRPr="00F163BC" w:rsidRDefault="007577EF" w:rsidP="006B3444">
      <w:pPr>
        <w:pStyle w:val="NormalWeb"/>
        <w:ind w:firstLine="720"/>
        <w:jc w:val="both"/>
        <w:rPr>
          <w:lang w:val="lv-LV"/>
        </w:rPr>
      </w:pPr>
      <w:r w:rsidRPr="00F163BC">
        <w:rPr>
          <w:lang w:val="lv-LV"/>
        </w:rPr>
        <w:t>• izmaksās tiek iekļauta tā PVN daļa, kas netiek atgūta. CSDD ir tiesības aprēķināt atskaitāmo priekšnodokli, izmantojot proporciju par precēm un pakalpojumiem, kas saistīti ne tikai ar deleģēto valsts pārvaldes uzdevumu, ja nav iespējams nodrošināt atsevišķu šo preču un pakalpojumu uzskaiti</w:t>
      </w:r>
      <w:r w:rsidR="0018081E">
        <w:rPr>
          <w:lang w:val="lv-LV"/>
        </w:rPr>
        <w:t>”</w:t>
      </w:r>
      <w:r w:rsidR="003818AF">
        <w:rPr>
          <w:rStyle w:val="FootnoteReference"/>
          <w:lang w:val="lv-LV"/>
        </w:rPr>
        <w:footnoteReference w:id="13"/>
      </w:r>
      <w:r w:rsidRPr="00F163BC">
        <w:rPr>
          <w:lang w:val="lv-LV"/>
        </w:rPr>
        <w:t>.</w:t>
      </w:r>
    </w:p>
    <w:p w14:paraId="449F99C3" w14:textId="77777777" w:rsidR="007577EF" w:rsidRPr="00F163BC" w:rsidRDefault="007577EF" w:rsidP="006B3444">
      <w:pPr>
        <w:ind w:firstLine="720"/>
        <w:jc w:val="both"/>
      </w:pPr>
      <w:r w:rsidRPr="00F163BC">
        <w:t xml:space="preserve">Sedzamo izdevumu veidi un samaksas kārtība CSDD noteikta Ministru kabineta </w:t>
      </w:r>
      <w:proofErr w:type="gramStart"/>
      <w:r w:rsidRPr="00F163BC">
        <w:t>2018.gada</w:t>
      </w:r>
      <w:proofErr w:type="gramEnd"/>
      <w:r w:rsidRPr="00F163BC">
        <w:t xml:space="preserve"> 20. marta noteikumos Nr. 170</w:t>
      </w:r>
      <w:r w:rsidRPr="00F163BC">
        <w:rPr>
          <w:b/>
          <w:bCs/>
        </w:rPr>
        <w:t xml:space="preserve"> “</w:t>
      </w:r>
      <w:r w:rsidRPr="00F163BC">
        <w:t>Samaksas noteikumi valsts akciju sabiedrībai “Ceļu satiksmes drošības direkcija” par deleģēto valsts pārvaldes uzdevumu izpildi” (turpmāk – noteikumi Nr.170).</w:t>
      </w:r>
    </w:p>
    <w:p w14:paraId="39DA9E3D" w14:textId="77777777" w:rsidR="007577EF" w:rsidRPr="00F163BC" w:rsidRDefault="007577EF" w:rsidP="007577EF">
      <w:pPr>
        <w:jc w:val="both"/>
      </w:pPr>
    </w:p>
    <w:p w14:paraId="12F5602E" w14:textId="77777777" w:rsidR="007577EF" w:rsidRPr="00F163BC" w:rsidRDefault="007577EF" w:rsidP="007577EF">
      <w:pPr>
        <w:jc w:val="both"/>
      </w:pPr>
      <w:r w:rsidRPr="00F163BC">
        <w:t xml:space="preserve">    </w:t>
      </w:r>
      <w:r w:rsidR="006B3444" w:rsidRPr="00F163BC">
        <w:tab/>
      </w:r>
      <w:r w:rsidRPr="00F163BC">
        <w:t>CSDD izmaksu, kas saistītas ar fotoradaru darbības nodrošināšanu, finansēšanas avots ir valsts budžeta līdzekļi –</w:t>
      </w:r>
      <w:proofErr w:type="gramStart"/>
      <w:r w:rsidRPr="00F163BC">
        <w:t xml:space="preserve">  </w:t>
      </w:r>
      <w:proofErr w:type="gramEnd"/>
      <w:r w:rsidRPr="00F163BC">
        <w:t xml:space="preserve">valsts pamatbudžeta ieņēmumi no naudas sodiem, ko uzliek Valsts policija par pārkāpumiem ceļu satiksmē, kas fiksēti ar komersanta tehniskajiem līdzekļiem. Ministru kabineta rīkojumā Nr.382 noteikta šo ieņēmumu daļa, kas kā dotācija tiek piešķirta Iekšlietu ministrijai budžeta apakšprogrammā 06.01.00 “Valsts policija” attiecīgo izdevumu segšanai – </w:t>
      </w:r>
      <w:r w:rsidRPr="00F163BC">
        <w:lastRenderedPageBreak/>
        <w:t xml:space="preserve">izdevumiem, </w:t>
      </w:r>
      <w:proofErr w:type="gramStart"/>
      <w:r w:rsidRPr="00F163BC">
        <w:t>kas rodas Iekšlietu ministrijas padotības iestādēm Valsts policijai</w:t>
      </w:r>
      <w:proofErr w:type="gramEnd"/>
      <w:r w:rsidRPr="00F163BC">
        <w:t xml:space="preserve"> un Iekšlietu ministrijas Informācijas centram, kā arī CSDD izdevumiem par valsts pārvaldes deleģēto uzdevumu izpildi, piešķirot tai valsts budžeta līdzekļus kā dotāciju. </w:t>
      </w:r>
    </w:p>
    <w:p w14:paraId="6A778C44" w14:textId="77777777" w:rsidR="007577EF" w:rsidRPr="00F163BC" w:rsidRDefault="007577EF" w:rsidP="007577EF">
      <w:pPr>
        <w:jc w:val="both"/>
      </w:pPr>
      <w:r w:rsidRPr="00F163BC">
        <w:t xml:space="preserve">   </w:t>
      </w:r>
      <w:r w:rsidR="006B3444" w:rsidRPr="00F163BC">
        <w:tab/>
      </w:r>
      <w:r w:rsidRPr="00F163BC">
        <w:t>Vienlaikus par atrisinātu nav uzskatāms jautājums, kas saistīts ar fotoradaru nolietojuma uzkrājuma naudā, lai veiktu to turpmāku atjaunošanu (jaunu fotoradaru uzstādīšanu), veidošanu no valsts budžeta līdzekļiem.</w:t>
      </w:r>
    </w:p>
    <w:p w14:paraId="074CF874" w14:textId="77777777" w:rsidR="007577EF" w:rsidRPr="00F163BC" w:rsidRDefault="007577EF" w:rsidP="007577EF">
      <w:pPr>
        <w:jc w:val="both"/>
      </w:pPr>
      <w:r w:rsidRPr="00F163BC">
        <w:t xml:space="preserve">    </w:t>
      </w:r>
      <w:r w:rsidR="006B3444" w:rsidRPr="00F163BC">
        <w:tab/>
      </w:r>
      <w:proofErr w:type="gramStart"/>
      <w:r w:rsidRPr="00F163BC">
        <w:t>Tā, piemēram,</w:t>
      </w:r>
      <w:proofErr w:type="gramEnd"/>
      <w:r w:rsidRPr="00F163BC">
        <w:t xml:space="preserve"> Satiksmes ministrija, sniedzot atzinumu par noteikumu Nr.170 projektu, norāda:</w:t>
      </w:r>
    </w:p>
    <w:p w14:paraId="2EE43543" w14:textId="77777777" w:rsidR="007577EF" w:rsidRPr="00F163BC" w:rsidRDefault="007577EF" w:rsidP="007577EF">
      <w:pPr>
        <w:ind w:firstLine="720"/>
        <w:jc w:val="both"/>
      </w:pPr>
      <w:r w:rsidRPr="00F163BC">
        <w:t xml:space="preserve">“Papildināt noteikumu projektu, ietverot nosacījumu, ka Valsts policija sedz fotoradaru un to pamatņu nolietojuma izmaksas CSDD.  Ja šāds nosacījums netiek ietverts, tad nav atrunāta kārtība, kādā veidā tiks nodrošināta </w:t>
      </w:r>
      <w:r w:rsidRPr="00F163BC">
        <w:rPr>
          <w:b/>
        </w:rPr>
        <w:t>izdevumu segšana nolietoto fotoradaru atjaunošanai vai iegādei un fotoradaru remontiem</w:t>
      </w:r>
      <w:r w:rsidRPr="00F163BC">
        <w:t xml:space="preserve"> (gadījumā, ja tādi būs nepieciešami pēc iekārtu garantijas perioda beigām). Vadoties pēc saimnieciskās darbības ekonomiskajiem principiem, lai nodrošinātu nepārtrauktu un kvalitatīvu valsts deleģētā uzdevuma izpildi, CSDD ir nepieciešams </w:t>
      </w:r>
      <w:r w:rsidRPr="00F163BC">
        <w:rPr>
          <w:b/>
        </w:rPr>
        <w:t xml:space="preserve">fotoradaru darbības nodrošināšanas pakalpojumu </w:t>
      </w:r>
      <w:r w:rsidRPr="00F163BC">
        <w:t xml:space="preserve">izmaksās ietvert fotoradaru un to pamatņu nolietojuma summu. Esošā prakse, ka nolietojums netiek iekļauts tehnisko līdzekļu darbības izmaksās, ir </w:t>
      </w:r>
      <w:r w:rsidRPr="00F163BC">
        <w:rPr>
          <w:b/>
        </w:rPr>
        <w:t>normālu  komercpraksi un konkurenci kropļojoša</w:t>
      </w:r>
      <w:r w:rsidRPr="00F163BC">
        <w:t xml:space="preserve">, jo neiekļautais CSDD nolietojums rada finansiālus zaudējumus (par nolietojuma summu samazinās kopējie izdevumi un samazinās peļņa). Šīs izmaksas CSDD ir  jāfinansē no citiem CSDD  pakalpojumiem, un tas veido kropļojošu iespaidu par CSDD saimniecisko darbību,  kā arī </w:t>
      </w:r>
      <w:r w:rsidRPr="00F163BC">
        <w:rPr>
          <w:b/>
        </w:rPr>
        <w:t>mākslīgi palētina Valsts policijas saņemto pakalpojumu</w:t>
      </w:r>
      <w:r w:rsidRPr="00F163BC">
        <w:t>.”</w:t>
      </w:r>
    </w:p>
    <w:p w14:paraId="03DC0AE2" w14:textId="77777777" w:rsidR="007577EF" w:rsidRPr="00F163BC" w:rsidRDefault="007577EF" w:rsidP="007577EF">
      <w:pPr>
        <w:ind w:firstLine="720"/>
        <w:jc w:val="both"/>
      </w:pPr>
      <w:r w:rsidRPr="00F163BC">
        <w:t>Iekšlietu ministrijas ieskatā valsts pārvaldes deleģēts uzdevums nav uzskatāms par pakalpojumu un izmaksu noteikšanā nav pielietojami saimnieciskās darbības principi. Fotoradaru uzstādīšana un darbības nodrošināšana nav uzskatāma par CSDD pamatdarbības veidu.</w:t>
      </w:r>
    </w:p>
    <w:p w14:paraId="2B9A34C7" w14:textId="77777777" w:rsidR="007577EF" w:rsidRPr="00F163BC" w:rsidRDefault="007577EF" w:rsidP="007577EF">
      <w:pPr>
        <w:ind w:firstLine="720"/>
        <w:jc w:val="both"/>
      </w:pPr>
      <w:r w:rsidRPr="00F163BC">
        <w:t>Savukārt, Finanšu ministrija noteikumu Nr.170 projekta saskaņošanas gaitā sniedza šādu viedokli:</w:t>
      </w:r>
    </w:p>
    <w:p w14:paraId="55E7845E" w14:textId="77777777" w:rsidR="007577EF" w:rsidRPr="00F163BC" w:rsidRDefault="007577EF" w:rsidP="006B3444">
      <w:pPr>
        <w:pStyle w:val="NormalWeb"/>
        <w:ind w:firstLine="720"/>
        <w:jc w:val="both"/>
        <w:rPr>
          <w:szCs w:val="28"/>
          <w:lang w:val="lv-LV"/>
        </w:rPr>
      </w:pPr>
      <w:r w:rsidRPr="00F163BC">
        <w:rPr>
          <w:szCs w:val="28"/>
          <w:lang w:val="lv-LV"/>
        </w:rPr>
        <w:t xml:space="preserve">“Saskaņā ar Likuma par budžetu un finanšu vadību </w:t>
      </w:r>
      <w:proofErr w:type="gramStart"/>
      <w:r w:rsidRPr="00F163BC">
        <w:rPr>
          <w:szCs w:val="28"/>
          <w:lang w:val="lv-LV"/>
        </w:rPr>
        <w:t>5.panta</w:t>
      </w:r>
      <w:proofErr w:type="gramEnd"/>
      <w:r w:rsidRPr="00F163BC">
        <w:rPr>
          <w:szCs w:val="28"/>
          <w:lang w:val="lv-LV"/>
        </w:rPr>
        <w:t xml:space="preserve"> otro daļu valsts budžeta līdzekļi ir arī maksājumi par valsts kapitāla izmantošanu, kurus katru gadu veic valsts uzņēmumi, kā arī uzņēmējsabiedrības, kurās ir valsts kapitāla daļa. Apmēru un kārtību, kādā maksājumi par valsts kapitāla izmantošanu tiek veikti un ieskaitīti valsts budžetā, nosaka Ministru kabineta </w:t>
      </w:r>
      <w:proofErr w:type="gramStart"/>
      <w:r w:rsidRPr="00F163BC">
        <w:rPr>
          <w:szCs w:val="28"/>
          <w:lang w:val="lv-LV"/>
        </w:rPr>
        <w:t>2015.gada</w:t>
      </w:r>
      <w:proofErr w:type="gramEnd"/>
      <w:r w:rsidRPr="00F163BC">
        <w:rPr>
          <w:szCs w:val="28"/>
          <w:lang w:val="lv-LV"/>
        </w:rPr>
        <w:t xml:space="preserve"> 22.decembra noteikumi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Noteikumu Nr.806 5.punkts paredz, ka Ministru kabinets pēc kapitāla daļu turētāja pamatota priekšlikuma var noteikt atšķirīgu dividendēs izmaksājamo minimālo peļņas daļu par attiecīgo pārskata gadu. </w:t>
      </w:r>
    </w:p>
    <w:p w14:paraId="2DCDEE54" w14:textId="77777777" w:rsidR="007577EF" w:rsidRPr="00F163BC" w:rsidRDefault="007577EF" w:rsidP="006B3444">
      <w:pPr>
        <w:pStyle w:val="NormalWeb"/>
        <w:ind w:firstLine="720"/>
        <w:jc w:val="both"/>
        <w:rPr>
          <w:b/>
          <w:szCs w:val="28"/>
          <w:lang w:val="lv-LV"/>
        </w:rPr>
      </w:pPr>
      <w:r w:rsidRPr="00F163BC">
        <w:rPr>
          <w:szCs w:val="28"/>
          <w:lang w:val="lv-LV"/>
        </w:rPr>
        <w:t xml:space="preserve">Likuma par budžetu un finanšu vadību izpratnē un noteikumu Nr.806 kontekstā, novirzot daļu no valstij piekritīgajām dividendēm CSDD valsts pārvaldes deleģētā uzdevuma izpildei (fotoradaru iegādei un uzstādīšanai), tās ir uzskatāmas par valsts budžeta finansējumu. Attiecībā uz Valsts policijas deleģēto valsts pārvaldes uzdevumu (fotoradaru iegāde un uzstādīšana) Ministru kabinets faktiski ir piešķīris līdzekļus šā valsts pārvaldes uzdevuma veikšanai – atstājot dividendes CSDD rīcībā (kas citādi būtu nonākušas valsts budžetā) konkrēta mērķa īstenošanai. </w:t>
      </w:r>
      <w:r w:rsidRPr="00F163BC">
        <w:rPr>
          <w:b/>
          <w:szCs w:val="28"/>
          <w:lang w:val="lv-LV"/>
        </w:rPr>
        <w:t>Tādējādi fotoradari tiek iegādāti un uzstādīti par valstij pienākošiem dividenžu maksājumiem, kas ar īpašu Ministru kabineta lēmumu paredzēti šim mērķim.</w:t>
      </w:r>
    </w:p>
    <w:p w14:paraId="503CE0BC" w14:textId="77777777" w:rsidR="007577EF" w:rsidRPr="00F163BC" w:rsidRDefault="007577EF" w:rsidP="006B3444">
      <w:pPr>
        <w:pStyle w:val="NormalWeb"/>
        <w:ind w:firstLine="720"/>
        <w:jc w:val="both"/>
        <w:rPr>
          <w:szCs w:val="28"/>
          <w:lang w:val="lv-LV"/>
        </w:rPr>
      </w:pPr>
      <w:r w:rsidRPr="00F163BC">
        <w:rPr>
          <w:szCs w:val="28"/>
          <w:lang w:val="lv-LV"/>
        </w:rPr>
        <w:lastRenderedPageBreak/>
        <w:t xml:space="preserve">Tā kā CSDD, izmantojot Gada pārskatu un konsolidēto gada pārskatu likumā </w:t>
      </w:r>
      <w:proofErr w:type="gramStart"/>
      <w:r w:rsidRPr="00F163BC">
        <w:rPr>
          <w:szCs w:val="28"/>
          <w:lang w:val="lv-LV"/>
        </w:rPr>
        <w:t>3.pantā</w:t>
      </w:r>
      <w:proofErr w:type="gramEnd"/>
      <w:r w:rsidRPr="00F163BC">
        <w:rPr>
          <w:szCs w:val="28"/>
          <w:lang w:val="lv-LV"/>
        </w:rPr>
        <w:t xml:space="preserve"> doto izvēles iespēju, gada pārskatu sagatavo atbilstoši Starptautiskajiem grāmatvedības standartiem, pamatlīdzekļu uzskaite un to vērtību izmaiņas (arī pamatlīdzekļu nolietojums) veicama saskaņā ar starptautisko grāmatvedības standartu prasībām. Šobrīd   fotoradariem aprēķinātais nolietojums peļņas vai zaudējumu aprēķinā tiek iekļauts kā izmaksas, kā rezultātā par nolietojuma summu samazinās pārskatu gada peļņa. Taču līdz ar to, ka tiek palielināti pārskata gada izdevumi, attiecīgi samazinās dividendēs izmaksājamā peļņa un  tādā veidā tiek saglabāti līdzekļi uzņēmumu tālākajai attīstībai. Finanšu ministrijas ieskatā,  ja piešķirtais valsts budžeta finansējums sākotnēji tiktu uzskaitīts bilances postenī “Nākamo periodu ieņēmumi”, kas pēc tam sistemātiski tiktu iekļauts ieņēmumos iegādāto fotoradaru atlikušajā lietderīgās lietošanas laikā, tad par nolietojumu summu  netiktu samazināts kārtējā gada peļņas rezultāts </w:t>
      </w:r>
      <w:r w:rsidRPr="00F163BC">
        <w:rPr>
          <w:rStyle w:val="FootnoteReference"/>
          <w:szCs w:val="28"/>
        </w:rPr>
        <w:footnoteReference w:id="14"/>
      </w:r>
      <w:r w:rsidRPr="00F163BC">
        <w:rPr>
          <w:szCs w:val="28"/>
          <w:lang w:val="lv-LV"/>
        </w:rPr>
        <w:t>.”</w:t>
      </w:r>
    </w:p>
    <w:p w14:paraId="4A866C6E" w14:textId="77777777" w:rsidR="007577EF" w:rsidRPr="00F163BC" w:rsidRDefault="007577EF" w:rsidP="006B3444">
      <w:pPr>
        <w:pStyle w:val="NormalWeb"/>
        <w:ind w:firstLine="720"/>
        <w:jc w:val="both"/>
        <w:rPr>
          <w:szCs w:val="28"/>
          <w:lang w:val="lv-LV"/>
        </w:rPr>
      </w:pPr>
      <w:r w:rsidRPr="00F163BC">
        <w:rPr>
          <w:szCs w:val="28"/>
          <w:lang w:val="lv-LV"/>
        </w:rPr>
        <w:t xml:space="preserve">Ministru kabinets, </w:t>
      </w:r>
      <w:proofErr w:type="gramStart"/>
      <w:r w:rsidRPr="00F163BC">
        <w:rPr>
          <w:szCs w:val="28"/>
          <w:lang w:val="lv-LV"/>
        </w:rPr>
        <w:t>2018.gada</w:t>
      </w:r>
      <w:proofErr w:type="gramEnd"/>
      <w:r w:rsidRPr="00F163BC">
        <w:rPr>
          <w:szCs w:val="28"/>
          <w:lang w:val="lv-LV"/>
        </w:rPr>
        <w:t xml:space="preserve"> 20.marta sēdē (prot.Nr.16, 12.§, 2.punkts), izskatot noteikumu Nr.170 projektu, nolēma:</w:t>
      </w:r>
    </w:p>
    <w:p w14:paraId="21FA9387" w14:textId="77777777" w:rsidR="007577EF" w:rsidRPr="00F163BC" w:rsidRDefault="007577EF" w:rsidP="006B3444">
      <w:pPr>
        <w:pStyle w:val="NormalWeb"/>
        <w:ind w:firstLine="720"/>
        <w:jc w:val="both"/>
        <w:rPr>
          <w:lang w:val="lv-LV"/>
        </w:rPr>
      </w:pPr>
      <w:r w:rsidRPr="00F163BC">
        <w:rPr>
          <w:szCs w:val="28"/>
          <w:lang w:val="lv-LV"/>
        </w:rPr>
        <w:t>“</w:t>
      </w:r>
      <w:r w:rsidRPr="00F163BC">
        <w:rPr>
          <w:lang w:val="lv-LV"/>
        </w:rPr>
        <w:t>Pieņemt zināšanai Finanšu ministrijas viedokli, ka:</w:t>
      </w:r>
      <w:r w:rsidRPr="00F163BC">
        <w:rPr>
          <w:lang w:val="lv-LV"/>
        </w:rPr>
        <w:br/>
        <w:t>2.1. fotoradaru un to pamatņu (turpmāk – fotoradari) iegāde un uzstādīšana tiek finansēta no valstij piekritīgajām dividendēm, kas ir uzskatāms par valsts budžeta finansējumu, līdz ar to nav pamata izdevumos, kurus par valsts pārvaldes uzdevuma izpildi Valsts policija sedz valsts akciju sabiedrībai “Ceļu satiksmes drošības direkcija” (turpmāk – Ceļu satiksmes drošības direkcija), paredzēt fotoradaru nolietojumu;</w:t>
      </w:r>
      <w:r w:rsidRPr="00F163BC">
        <w:rPr>
          <w:lang w:val="lv-LV"/>
        </w:rPr>
        <w:br/>
        <w:t>2.2. ja Ceļu satiksmes drošības direkcijai piešķirtais valsts budžeta finansējums tiktu uzskaitīts bilances postenī “Nākamo periodu ieņēmumi”, un pēc tam sistemātiski iekļauts ieņēmumos iegādāto fotoradaru atlikušajā lietderīgās lietošanas laikā, tad par nolietojuma summu netiktu samazināts kārtējā gada peļņas rezultāts, tādējādi nodrošinot peļņas vai zaudējumu aprēķinā ieņēmumu un izdevumu līdzsvaru.”</w:t>
      </w:r>
    </w:p>
    <w:p w14:paraId="24FA542C" w14:textId="77777777" w:rsidR="007577EF" w:rsidRPr="00F163BC" w:rsidRDefault="007577EF" w:rsidP="006B3444">
      <w:pPr>
        <w:pStyle w:val="NormalWeb"/>
        <w:ind w:firstLine="720"/>
        <w:jc w:val="both"/>
        <w:rPr>
          <w:lang w:val="lv-LV"/>
        </w:rPr>
      </w:pPr>
      <w:r w:rsidRPr="00F163BC">
        <w:rPr>
          <w:lang w:val="lv-LV"/>
        </w:rPr>
        <w:t>Vienlaikus tika uzdots paātrināt šī informatīvā ziņojuma sagatavošanu.</w:t>
      </w:r>
    </w:p>
    <w:p w14:paraId="327BE351" w14:textId="77777777" w:rsidR="007577EF" w:rsidRPr="00F163BC" w:rsidRDefault="007577EF" w:rsidP="006B3444">
      <w:pPr>
        <w:pStyle w:val="NormalWeb"/>
        <w:spacing w:after="0" w:afterAutospacing="0"/>
        <w:ind w:firstLine="720"/>
        <w:jc w:val="both"/>
        <w:rPr>
          <w:lang w:val="lv-LV"/>
        </w:rPr>
      </w:pPr>
      <w:r w:rsidRPr="00F163BC">
        <w:rPr>
          <w:lang w:val="lv-LV"/>
        </w:rPr>
        <w:t xml:space="preserve"> Iepriekš minētā problēma norāda uz </w:t>
      </w:r>
      <w:r w:rsidRPr="00F31194">
        <w:rPr>
          <w:b/>
          <w:lang w:val="lv-LV"/>
        </w:rPr>
        <w:t>nepilnīgu normatīvo regulējumu un/vai atšķirīgu jautājuma izpratni no publiskas personas un privātpersonas viedokļa</w:t>
      </w:r>
      <w:r w:rsidRPr="00F163BC">
        <w:rPr>
          <w:lang w:val="lv-LV"/>
        </w:rPr>
        <w:t xml:space="preserve">. Pie tam, problēma tiek aktualizēta ik gadu kopš Valsts kontrole finanšu revīzijas par Iekšlietu ministrijas </w:t>
      </w:r>
      <w:proofErr w:type="gramStart"/>
      <w:r w:rsidRPr="00F163BC">
        <w:rPr>
          <w:lang w:val="lv-LV"/>
        </w:rPr>
        <w:t>2015.gada</w:t>
      </w:r>
      <w:proofErr w:type="gramEnd"/>
      <w:r w:rsidRPr="00F163BC">
        <w:rPr>
          <w:lang w:val="lv-LV"/>
        </w:rPr>
        <w:t xml:space="preserve"> pārskata sagatavošanas pareizību ietvaros ir veikusi plānotās pārbaudes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Pirms revīzijas no valsts budžeta līdzekļiem tika izveidots nolietojuma uzkrājums, kas ir  CSDD rīcībā esoši valsts budžeta līdzekļi  310 643,32 </w:t>
      </w:r>
      <w:r w:rsidRPr="00F163BC">
        <w:rPr>
          <w:i/>
          <w:lang w:val="lv-LV"/>
        </w:rPr>
        <w:t>euro</w:t>
      </w:r>
      <w:r w:rsidRPr="00F163BC">
        <w:rPr>
          <w:lang w:val="lv-LV"/>
        </w:rPr>
        <w:t xml:space="preserve"> apmērā un kas līdz šim nav izlietoti fotoradaru atjaunošanai. </w:t>
      </w:r>
    </w:p>
    <w:p w14:paraId="2DC383AA" w14:textId="4A1C3A8B" w:rsidR="007577EF" w:rsidRPr="00F163BC" w:rsidRDefault="007577EF" w:rsidP="006B3444">
      <w:pPr>
        <w:pStyle w:val="tv213"/>
        <w:ind w:firstLine="720"/>
        <w:jc w:val="both"/>
        <w:rPr>
          <w:i/>
        </w:rPr>
      </w:pPr>
      <w:r w:rsidRPr="00F163BC">
        <w:rPr>
          <w:i/>
        </w:rPr>
        <w:t>2. Jāatrisina jautājums par vienas radara darbības dienas izmaksu turpmāku piemērošanu norēķiniem ar CSDD</w:t>
      </w:r>
      <w:r w:rsidR="00B8675C">
        <w:rPr>
          <w:i/>
        </w:rPr>
        <w:t>.</w:t>
      </w:r>
      <w:r w:rsidRPr="00F163BC">
        <w:rPr>
          <w:i/>
        </w:rPr>
        <w:t xml:space="preserve">. Problēmas risinājums varētu būt </w:t>
      </w:r>
      <w:r w:rsidRPr="00F31194">
        <w:rPr>
          <w:b/>
          <w:i/>
        </w:rPr>
        <w:t xml:space="preserve">CSDD faktisko </w:t>
      </w:r>
      <w:r w:rsidRPr="00F31194">
        <w:rPr>
          <w:b/>
          <w:i/>
        </w:rPr>
        <w:lastRenderedPageBreak/>
        <w:t>izmaksu segšana</w:t>
      </w:r>
      <w:r w:rsidRPr="00F163BC">
        <w:rPr>
          <w:i/>
        </w:rPr>
        <w:t xml:space="preserve"> konkrētam saimnieciskajam gadam šim mērķim apstiprināto ilgtermiņa saistību ietvaros</w:t>
      </w:r>
      <w:r w:rsidR="00E823D9">
        <w:rPr>
          <w:i/>
        </w:rPr>
        <w:t>, deleģēšanas līgumā paredzot attiecīgus</w:t>
      </w:r>
      <w:proofErr w:type="gramStart"/>
      <w:r w:rsidR="00E823D9">
        <w:rPr>
          <w:i/>
        </w:rPr>
        <w:t xml:space="preserve">  </w:t>
      </w:r>
      <w:proofErr w:type="gramEnd"/>
      <w:r w:rsidR="00E823D9">
        <w:rPr>
          <w:i/>
        </w:rPr>
        <w:t>izmaksu ierobežošanas nosacījumus.</w:t>
      </w:r>
    </w:p>
    <w:p w14:paraId="409EDC70" w14:textId="77777777" w:rsidR="007577EF" w:rsidRPr="00F163BC" w:rsidRDefault="007577EF" w:rsidP="006B3444">
      <w:pPr>
        <w:pStyle w:val="tv213"/>
        <w:ind w:firstLine="720"/>
        <w:jc w:val="both"/>
      </w:pPr>
      <w:r w:rsidRPr="00F163BC">
        <w:t>2016. gada 14. novembrī Ministru kabinetā izskatītajā Konceptuālajā ziņojumā “Par valsts akciju sabiedrības “Ceļu satiksmes drošības direkcija” uzstādīto stacionāro fotoradaru darbības rezultātiem, priekšlikumiem par tehnisko līdzekļu (</w:t>
      </w:r>
      <w:proofErr w:type="spellStart"/>
      <w:r w:rsidRPr="00F163BC">
        <w:t>fotoiekārtu</w:t>
      </w:r>
      <w:proofErr w:type="spellEnd"/>
      <w:r w:rsidRPr="00F163BC">
        <w:t xml:space="preserve"> vai videoiekārtu) turpmāko izmantošanu un fotoradaru iegādes, uzstādīšanas un darbības nodrošināšanas finansēšanu” tika piedāvāti divi deleģētā valsts pārvaldes uzdevuma samaksas kārtības modeļi:</w:t>
      </w:r>
    </w:p>
    <w:p w14:paraId="297B79B3" w14:textId="77777777" w:rsidR="007577EF" w:rsidRPr="00F163BC" w:rsidRDefault="007577EF" w:rsidP="007577EF">
      <w:pPr>
        <w:pStyle w:val="tv213"/>
        <w:jc w:val="both"/>
      </w:pPr>
      <w:r w:rsidRPr="00F163BC">
        <w:t>1. modelis – “vienības cena” (vienas radara darbības dienas izmaksas) - samaksas apmērs atkarīgs no faktisko radara darbības dienu skaita.</w:t>
      </w:r>
    </w:p>
    <w:p w14:paraId="00F886AC" w14:textId="77777777" w:rsidR="007577EF" w:rsidRPr="00F163BC" w:rsidRDefault="007577EF" w:rsidP="007577EF">
      <w:pPr>
        <w:pStyle w:val="tv213"/>
        <w:jc w:val="both"/>
      </w:pPr>
      <w:r w:rsidRPr="00F163BC">
        <w:t>2. modelis – “izmaksu atlīdzība” (finansējums atbilstoši faktisko izmaksu apjomam, kas CSDD radies valsts pārvaldes deleģētā uzdevuma izpildes procesā un pamatojas uz darījumu attaisnojošiem dokumentiem, pieskaitot arī netiešos izdevumus).</w:t>
      </w:r>
    </w:p>
    <w:p w14:paraId="593C2E4E" w14:textId="77777777" w:rsidR="005F57C0" w:rsidRDefault="007577EF" w:rsidP="006B3444">
      <w:pPr>
        <w:pStyle w:val="tv213"/>
        <w:ind w:firstLine="720"/>
        <w:jc w:val="both"/>
      </w:pPr>
      <w:r w:rsidRPr="00F163BC">
        <w:t xml:space="preserve">Ar </w:t>
      </w:r>
      <w:hyperlink r:id="rId27" w:tgtFrame="_blank" w:history="1">
        <w:r w:rsidRPr="00F163BC">
          <w:t>MK rīkojumu Nr.678</w:t>
        </w:r>
      </w:hyperlink>
      <w:r w:rsidRPr="00F163BC">
        <w:t xml:space="preserve"> tika atbalstīts deleģēto uzdevumu apmaksas kārtības 1. modelis, ko par atbilstošāko uzskatīja </w:t>
      </w:r>
      <w:r w:rsidR="006225FC">
        <w:t xml:space="preserve">Satiksmes ministrija un </w:t>
      </w:r>
      <w:r w:rsidRPr="00F163BC">
        <w:t>CSDD. Balstoties uz šo lēmumu, tika sagatavots un noslēgts deleģēšanas līgums, kā arī izstrādāti </w:t>
      </w:r>
      <w:hyperlink r:id="rId28" w:tgtFrame="_blank" w:history="1">
        <w:r w:rsidRPr="00F31194">
          <w:rPr>
            <w:b/>
          </w:rPr>
          <w:t>MK noteikumi Nr. 170.Tomēr faktisko situāciju </w:t>
        </w:r>
      </w:hyperlink>
      <w:r w:rsidRPr="00F31194">
        <w:rPr>
          <w:b/>
        </w:rPr>
        <w:t xml:space="preserve"> ietekmēja riski, kuru būtiskums</w:t>
      </w:r>
      <w:proofErr w:type="gramStart"/>
      <w:r w:rsidRPr="00F31194">
        <w:rPr>
          <w:b/>
        </w:rPr>
        <w:t xml:space="preserve">  </w:t>
      </w:r>
      <w:proofErr w:type="gramEnd"/>
      <w:r w:rsidRPr="00F31194">
        <w:rPr>
          <w:b/>
        </w:rPr>
        <w:t>sākotnēji netika attiecīgi novērtēts</w:t>
      </w:r>
      <w:r w:rsidR="005F57C0">
        <w:t>:</w:t>
      </w:r>
    </w:p>
    <w:p w14:paraId="678D5192" w14:textId="37FEB9DB" w:rsidR="005F57C0" w:rsidRDefault="007577EF" w:rsidP="006B3444">
      <w:pPr>
        <w:pStyle w:val="tv213"/>
        <w:ind w:firstLine="720"/>
        <w:jc w:val="both"/>
      </w:pPr>
      <w:r w:rsidRPr="00F163BC">
        <w:t>- atsevišķi izdevumi bija lielāki par prognozētajiem</w:t>
      </w:r>
      <w:r w:rsidR="005F57C0">
        <w:t xml:space="preserve"> </w:t>
      </w:r>
      <w:r w:rsidR="005F57C0" w:rsidRPr="00F31194">
        <w:t xml:space="preserve">(piemēram, </w:t>
      </w:r>
      <w:r w:rsidR="005F57C0" w:rsidRPr="00F163BC">
        <w:t>sakarā ar vandālisma aktiem ievērojami pieauga apdrošināšanas izdevumi, bija nepieciešams fotoradarus aprīkot ar novērošanas kamerām un signalizāciju</w:t>
      </w:r>
      <w:r w:rsidR="005F57C0" w:rsidRPr="00F31194">
        <w:t>)</w:t>
      </w:r>
      <w:r w:rsidR="005F57C0">
        <w:t>;</w:t>
      </w:r>
    </w:p>
    <w:p w14:paraId="0B076C77" w14:textId="2788F092" w:rsidR="005F57C0" w:rsidRDefault="005F57C0" w:rsidP="006B3444">
      <w:pPr>
        <w:pStyle w:val="tv213"/>
        <w:ind w:firstLine="720"/>
        <w:jc w:val="both"/>
      </w:pPr>
      <w:r w:rsidRPr="00F31194">
        <w:t>- izmaksu apjomu ietekmējis par prognozēto lielāks fotoradaru “dīkstāves” dienu skaits, ko, savukārt, ietekmē no CSDD neatkarīgi</w:t>
      </w:r>
      <w:proofErr w:type="gramStart"/>
      <w:r w:rsidRPr="00F31194">
        <w:t xml:space="preserve">  </w:t>
      </w:r>
      <w:proofErr w:type="gramEnd"/>
      <w:r w:rsidRPr="00F31194">
        <w:t>apstākļi (piemēram, ceļu remonts, vandālisms, elektrības atslēgums)</w:t>
      </w:r>
      <w:r>
        <w:t xml:space="preserve">, </w:t>
      </w:r>
      <w:r w:rsidRPr="00F31194">
        <w:t>tomēr par šo laiku  ir jāsedz izmaksas, kas ir stabilas un nav atkarīgas no faktiskā no fotoradara darbības ilguma (piemēram, apdrošināšana)</w:t>
      </w:r>
      <w:r>
        <w:t>;</w:t>
      </w:r>
      <w:r w:rsidR="00B8675C" w:rsidRPr="00B8675C">
        <w:rPr>
          <w:i/>
        </w:rPr>
        <w:t xml:space="preserve"> </w:t>
      </w:r>
      <w:r w:rsidR="00B8675C" w:rsidRPr="00F31194">
        <w:t>noteikumos Nr.170 tika noteikts, ka par vienu radara darbības dienu uzskata laiku, ja tehniskais līdzeklis ir darbojies vismaz 16 stundas diennaktī. Tas nozīmē, ka nevar tikt apmaksātas dienas, kad fotoradars darbojies mazāk par 16 stundām;</w:t>
      </w:r>
    </w:p>
    <w:p w14:paraId="666848DC" w14:textId="672AC4FF" w:rsidR="005F57C0" w:rsidRDefault="005F57C0" w:rsidP="006B3444">
      <w:pPr>
        <w:pStyle w:val="tv213"/>
        <w:ind w:firstLine="720"/>
        <w:jc w:val="both"/>
      </w:pPr>
      <w:r w:rsidRPr="00F31194">
        <w:t>- faktiski CSDD atsevišķus izdevumus aprēķinā atspoguļojusi pēc maksas pakalpojuma izcenojuma aprēķina</w:t>
      </w:r>
      <w:r>
        <w:rPr>
          <w:sz w:val="20"/>
          <w:szCs w:val="20"/>
        </w:rPr>
        <w:t xml:space="preserve"> </w:t>
      </w:r>
      <w:r w:rsidRPr="00F31194">
        <w:t>principa, tos “izkliedējot“ ilgākā laikposmā, neuzrādot tos pilnā apmērā gadā, kad tie faktiski tiek veikti.</w:t>
      </w:r>
    </w:p>
    <w:p w14:paraId="6775DD4C" w14:textId="66A9FCE6" w:rsidR="00660B19" w:rsidRDefault="00660B19" w:rsidP="008304A4">
      <w:pPr>
        <w:pStyle w:val="tv213"/>
        <w:spacing w:before="0" w:beforeAutospacing="0" w:after="0" w:afterAutospacing="0"/>
        <w:jc w:val="both"/>
      </w:pPr>
      <w:r>
        <w:t>Saskaņā ar CSDD sniegto informāciju</w:t>
      </w:r>
      <w:proofErr w:type="gramStart"/>
      <w:r>
        <w:t xml:space="preserve"> </w:t>
      </w:r>
      <w:r w:rsidR="007577EF" w:rsidRPr="00F163BC">
        <w:t xml:space="preserve"> </w:t>
      </w:r>
      <w:proofErr w:type="gramEnd"/>
      <w:r w:rsidR="007577EF" w:rsidRPr="00F163BC">
        <w:t>atbalstītā samaksas  modeļa piemērošana laikposmā no 2015.-2017.gadam ir radījusi CSDD būtiskas papildu izmaksa</w:t>
      </w:r>
      <w:r w:rsidR="00A7479E">
        <w:t>s</w:t>
      </w:r>
      <w:r w:rsidR="007577EF" w:rsidRPr="00F163BC">
        <w:t xml:space="preserve"> </w:t>
      </w:r>
      <w:r w:rsidR="00376406" w:rsidRPr="00F31194">
        <w:t>165 340</w:t>
      </w:r>
      <w:r w:rsidR="00376406">
        <w:t xml:space="preserve"> </w:t>
      </w:r>
      <w:r w:rsidR="007577EF" w:rsidRPr="00F163BC">
        <w:rPr>
          <w:i/>
        </w:rPr>
        <w:t>euro</w:t>
      </w:r>
      <w:r w:rsidR="007577EF" w:rsidRPr="00F163BC">
        <w:t xml:space="preserve"> apmērā, ko CSDD segusi no saviem līdzekļiem</w:t>
      </w:r>
      <w:r w:rsidR="00F40AD9" w:rsidRPr="00F163BC">
        <w:t>.</w:t>
      </w:r>
      <w:r w:rsidR="00A7479E">
        <w:t xml:space="preserve"> </w:t>
      </w:r>
      <w:r w:rsidR="00E823D9">
        <w:t xml:space="preserve">Valsts policijas grāmatvedības uzskaitē </w:t>
      </w:r>
      <w:r w:rsidR="00A7479E">
        <w:t>šādas saistības nav reģistrētas.</w:t>
      </w:r>
      <w:r w:rsidRPr="00660B19">
        <w:t xml:space="preserve"> </w:t>
      </w:r>
      <w:r>
        <w:t xml:space="preserve">Savukārt, </w:t>
      </w:r>
      <w:proofErr w:type="gramStart"/>
      <w:r>
        <w:t>2018.gadā</w:t>
      </w:r>
      <w:proofErr w:type="gramEnd"/>
      <w:r>
        <w:t xml:space="preserve"> Valsts policijas  piešķirtā dotācija ir par 159 747 </w:t>
      </w:r>
      <w:r w:rsidRPr="00E85467">
        <w:rPr>
          <w:i/>
        </w:rPr>
        <w:t>euro</w:t>
      </w:r>
      <w:r>
        <w:t xml:space="preserve"> lielāka nekā faktiskās CSDD izmaksas. </w:t>
      </w:r>
    </w:p>
    <w:p w14:paraId="254A1381" w14:textId="77777777" w:rsidR="002C5884" w:rsidRDefault="002C5884" w:rsidP="008304A4">
      <w:pPr>
        <w:pStyle w:val="tv213"/>
        <w:spacing w:before="0" w:beforeAutospacing="0" w:after="0" w:afterAutospacing="0"/>
        <w:jc w:val="right"/>
      </w:pPr>
    </w:p>
    <w:p w14:paraId="25DB0226" w14:textId="77777777" w:rsidR="002C5884" w:rsidRDefault="002C5884" w:rsidP="008304A4">
      <w:pPr>
        <w:pStyle w:val="tv213"/>
        <w:spacing w:before="0" w:beforeAutospacing="0" w:after="0" w:afterAutospacing="0"/>
        <w:jc w:val="right"/>
      </w:pPr>
    </w:p>
    <w:p w14:paraId="5DEE2DD1" w14:textId="77777777" w:rsidR="002C5884" w:rsidRDefault="002C5884" w:rsidP="008304A4">
      <w:pPr>
        <w:pStyle w:val="tv213"/>
        <w:spacing w:before="0" w:beforeAutospacing="0" w:after="0" w:afterAutospacing="0"/>
        <w:jc w:val="right"/>
      </w:pPr>
    </w:p>
    <w:p w14:paraId="156085BE" w14:textId="77777777" w:rsidR="002C5884" w:rsidRDefault="002C5884" w:rsidP="008304A4">
      <w:pPr>
        <w:pStyle w:val="tv213"/>
        <w:spacing w:before="0" w:beforeAutospacing="0" w:after="0" w:afterAutospacing="0"/>
        <w:jc w:val="right"/>
      </w:pPr>
    </w:p>
    <w:p w14:paraId="32F78332" w14:textId="77777777" w:rsidR="002C5884" w:rsidRDefault="002C5884" w:rsidP="008304A4">
      <w:pPr>
        <w:pStyle w:val="tv213"/>
        <w:spacing w:before="0" w:beforeAutospacing="0" w:after="0" w:afterAutospacing="0"/>
        <w:jc w:val="right"/>
      </w:pPr>
    </w:p>
    <w:p w14:paraId="0AD73036" w14:textId="2257E4BD" w:rsidR="007577EF" w:rsidRPr="00F31194" w:rsidRDefault="00FF24A3" w:rsidP="008304A4">
      <w:pPr>
        <w:pStyle w:val="tv213"/>
        <w:spacing w:before="0" w:beforeAutospacing="0" w:after="0" w:afterAutospacing="0"/>
        <w:jc w:val="right"/>
      </w:pPr>
      <w:r w:rsidRPr="00797A8F">
        <w:lastRenderedPageBreak/>
        <w:t>2</w:t>
      </w:r>
      <w:r w:rsidR="00F40AD9" w:rsidRPr="00797A8F">
        <w:t>.</w:t>
      </w:r>
      <w:r w:rsidR="007577EF" w:rsidRPr="00F31194">
        <w:t>tabula</w:t>
      </w:r>
      <w:r w:rsidR="007577EF" w:rsidRPr="00F31194">
        <w:rPr>
          <w:sz w:val="19"/>
          <w:szCs w:val="19"/>
        </w:rPr>
        <w:t> </w:t>
      </w:r>
    </w:p>
    <w:tbl>
      <w:tblPr>
        <w:tblStyle w:val="TableGrid"/>
        <w:tblW w:w="5298" w:type="pct"/>
        <w:tblInd w:w="-147" w:type="dxa"/>
        <w:tblLook w:val="04A0" w:firstRow="1" w:lastRow="0" w:firstColumn="1" w:lastColumn="0" w:noHBand="0" w:noVBand="1"/>
      </w:tblPr>
      <w:tblGrid>
        <w:gridCol w:w="3403"/>
        <w:gridCol w:w="5387"/>
      </w:tblGrid>
      <w:tr w:rsidR="00F31194" w:rsidRPr="00F31194" w14:paraId="2C2F7B10" w14:textId="77777777" w:rsidTr="00F31194">
        <w:tc>
          <w:tcPr>
            <w:tcW w:w="1936" w:type="pct"/>
          </w:tcPr>
          <w:p w14:paraId="7C6141C2" w14:textId="77777777" w:rsidR="007577EF" w:rsidRPr="008304A4" w:rsidRDefault="007577EF" w:rsidP="00F31194">
            <w:pPr>
              <w:pStyle w:val="NormalWeb"/>
              <w:spacing w:before="0" w:beforeAutospacing="0" w:after="0" w:afterAutospacing="0"/>
              <w:jc w:val="center"/>
              <w:rPr>
                <w:sz w:val="20"/>
                <w:szCs w:val="20"/>
                <w:lang w:val="lv-LV"/>
              </w:rPr>
            </w:pPr>
            <w:r w:rsidRPr="008304A4">
              <w:rPr>
                <w:sz w:val="20"/>
                <w:szCs w:val="20"/>
                <w:lang w:val="lv-LV"/>
              </w:rPr>
              <w:t>Gads</w:t>
            </w:r>
          </w:p>
        </w:tc>
        <w:tc>
          <w:tcPr>
            <w:tcW w:w="3064" w:type="pct"/>
          </w:tcPr>
          <w:p w14:paraId="3A24ADE2" w14:textId="77777777" w:rsidR="007577EF" w:rsidRPr="008304A4" w:rsidRDefault="007577EF" w:rsidP="00EE1FC3">
            <w:pPr>
              <w:pStyle w:val="NormalWeb"/>
              <w:spacing w:before="0" w:beforeAutospacing="0" w:after="0" w:afterAutospacing="0"/>
              <w:ind w:left="360"/>
              <w:rPr>
                <w:sz w:val="20"/>
                <w:szCs w:val="20"/>
                <w:lang w:val="lv-LV"/>
              </w:rPr>
            </w:pPr>
            <w:r w:rsidRPr="008304A4">
              <w:rPr>
                <w:sz w:val="20"/>
                <w:szCs w:val="20"/>
                <w:lang w:val="lv-LV"/>
              </w:rPr>
              <w:t>Faktiskie izdevumi, kas nav apmaksāti, jo faktiskās vienas radardienas izmaksas bija lielākas par plānotajām</w:t>
            </w:r>
          </w:p>
        </w:tc>
      </w:tr>
      <w:tr w:rsidR="00F31194" w:rsidRPr="00F31194" w14:paraId="5BEEDD19" w14:textId="77777777" w:rsidTr="00F31194">
        <w:tc>
          <w:tcPr>
            <w:tcW w:w="1936" w:type="pct"/>
          </w:tcPr>
          <w:p w14:paraId="3490E4FD" w14:textId="77777777" w:rsidR="007577EF" w:rsidRPr="008304A4" w:rsidRDefault="007577EF" w:rsidP="00F31194">
            <w:pPr>
              <w:pStyle w:val="NormalWeb"/>
              <w:spacing w:before="0" w:beforeAutospacing="0" w:after="0" w:afterAutospacing="0"/>
              <w:jc w:val="center"/>
              <w:rPr>
                <w:sz w:val="20"/>
                <w:szCs w:val="20"/>
              </w:rPr>
            </w:pPr>
            <w:r w:rsidRPr="008304A4">
              <w:rPr>
                <w:sz w:val="20"/>
                <w:szCs w:val="20"/>
              </w:rPr>
              <w:t>2015</w:t>
            </w:r>
          </w:p>
        </w:tc>
        <w:tc>
          <w:tcPr>
            <w:tcW w:w="3064" w:type="pct"/>
          </w:tcPr>
          <w:p w14:paraId="35AD7F06" w14:textId="77777777" w:rsidR="007577EF" w:rsidRPr="008304A4" w:rsidRDefault="007577EF" w:rsidP="00EE1FC3">
            <w:pPr>
              <w:pStyle w:val="NormalWeb"/>
              <w:spacing w:before="0" w:beforeAutospacing="0" w:after="0" w:afterAutospacing="0"/>
              <w:ind w:left="360"/>
              <w:rPr>
                <w:sz w:val="20"/>
                <w:szCs w:val="20"/>
              </w:rPr>
            </w:pPr>
            <w:r w:rsidRPr="008304A4">
              <w:rPr>
                <w:sz w:val="20"/>
                <w:szCs w:val="20"/>
              </w:rPr>
              <w:t>13 027</w:t>
            </w:r>
          </w:p>
        </w:tc>
      </w:tr>
      <w:tr w:rsidR="00F31194" w:rsidRPr="00F31194" w14:paraId="17C5D2D5" w14:textId="77777777" w:rsidTr="00F31194">
        <w:tc>
          <w:tcPr>
            <w:tcW w:w="1936" w:type="pct"/>
          </w:tcPr>
          <w:p w14:paraId="75A4F2B4" w14:textId="77777777" w:rsidR="007577EF" w:rsidRPr="008304A4" w:rsidRDefault="007577EF" w:rsidP="00F31194">
            <w:pPr>
              <w:pStyle w:val="NormalWeb"/>
              <w:spacing w:before="0" w:beforeAutospacing="0" w:after="0" w:afterAutospacing="0"/>
              <w:jc w:val="center"/>
              <w:rPr>
                <w:sz w:val="20"/>
                <w:szCs w:val="20"/>
              </w:rPr>
            </w:pPr>
            <w:r w:rsidRPr="008304A4">
              <w:rPr>
                <w:sz w:val="20"/>
                <w:szCs w:val="20"/>
              </w:rPr>
              <w:t>2016</w:t>
            </w:r>
          </w:p>
        </w:tc>
        <w:tc>
          <w:tcPr>
            <w:tcW w:w="3064" w:type="pct"/>
          </w:tcPr>
          <w:p w14:paraId="53FFCF70" w14:textId="20EEF0B1" w:rsidR="007577EF" w:rsidRPr="008304A4" w:rsidRDefault="00376406" w:rsidP="006225FC">
            <w:pPr>
              <w:pStyle w:val="NormalWeb"/>
              <w:spacing w:before="0" w:beforeAutospacing="0" w:after="0" w:afterAutospacing="0"/>
              <w:ind w:left="360"/>
              <w:rPr>
                <w:sz w:val="20"/>
                <w:szCs w:val="20"/>
              </w:rPr>
            </w:pPr>
            <w:r w:rsidRPr="008304A4">
              <w:rPr>
                <w:sz w:val="20"/>
                <w:szCs w:val="20"/>
              </w:rPr>
              <w:t>116 566,10</w:t>
            </w:r>
          </w:p>
        </w:tc>
      </w:tr>
      <w:tr w:rsidR="00F31194" w:rsidRPr="00F31194" w14:paraId="376597F0" w14:textId="77777777" w:rsidTr="00F31194">
        <w:tc>
          <w:tcPr>
            <w:tcW w:w="1936" w:type="pct"/>
          </w:tcPr>
          <w:p w14:paraId="1B35F260" w14:textId="77777777" w:rsidR="007577EF" w:rsidRPr="008304A4" w:rsidRDefault="007577EF" w:rsidP="00F31194">
            <w:pPr>
              <w:pStyle w:val="NormalWeb"/>
              <w:spacing w:before="0" w:beforeAutospacing="0" w:after="0" w:afterAutospacing="0"/>
              <w:jc w:val="center"/>
              <w:rPr>
                <w:sz w:val="20"/>
                <w:szCs w:val="20"/>
              </w:rPr>
            </w:pPr>
            <w:r w:rsidRPr="008304A4">
              <w:rPr>
                <w:sz w:val="20"/>
                <w:szCs w:val="20"/>
              </w:rPr>
              <w:t>2017</w:t>
            </w:r>
          </w:p>
        </w:tc>
        <w:tc>
          <w:tcPr>
            <w:tcW w:w="3064" w:type="pct"/>
          </w:tcPr>
          <w:p w14:paraId="7F9FFACD" w14:textId="09947B77" w:rsidR="007577EF" w:rsidRPr="008304A4" w:rsidRDefault="007577EF" w:rsidP="00376406">
            <w:pPr>
              <w:pStyle w:val="NormalWeb"/>
              <w:spacing w:before="0" w:beforeAutospacing="0" w:after="0" w:afterAutospacing="0"/>
              <w:ind w:left="360"/>
              <w:rPr>
                <w:sz w:val="20"/>
                <w:szCs w:val="20"/>
              </w:rPr>
            </w:pPr>
            <w:r w:rsidRPr="008304A4">
              <w:rPr>
                <w:sz w:val="20"/>
                <w:szCs w:val="20"/>
              </w:rPr>
              <w:t>35 74</w:t>
            </w:r>
            <w:r w:rsidR="00376406" w:rsidRPr="008304A4">
              <w:rPr>
                <w:sz w:val="20"/>
                <w:szCs w:val="20"/>
              </w:rPr>
              <w:t>6,83</w:t>
            </w:r>
          </w:p>
        </w:tc>
      </w:tr>
      <w:tr w:rsidR="00F31194" w:rsidRPr="00F31194" w14:paraId="6FDA8CDE" w14:textId="77777777" w:rsidTr="00F31194">
        <w:tc>
          <w:tcPr>
            <w:tcW w:w="1936" w:type="pct"/>
          </w:tcPr>
          <w:p w14:paraId="4F82A9A1" w14:textId="77777777" w:rsidR="007577EF" w:rsidRPr="008304A4" w:rsidRDefault="007577EF" w:rsidP="00F31194">
            <w:pPr>
              <w:pStyle w:val="NormalWeb"/>
              <w:spacing w:before="0" w:beforeAutospacing="0" w:after="0" w:afterAutospacing="0"/>
              <w:jc w:val="center"/>
              <w:rPr>
                <w:sz w:val="20"/>
                <w:szCs w:val="20"/>
              </w:rPr>
            </w:pPr>
            <w:r w:rsidRPr="008304A4">
              <w:rPr>
                <w:sz w:val="20"/>
                <w:szCs w:val="20"/>
              </w:rPr>
              <w:t>KOPĀ</w:t>
            </w:r>
          </w:p>
        </w:tc>
        <w:tc>
          <w:tcPr>
            <w:tcW w:w="3064" w:type="pct"/>
          </w:tcPr>
          <w:p w14:paraId="62B25E5A" w14:textId="20512A72" w:rsidR="007577EF" w:rsidRPr="008304A4" w:rsidRDefault="00376406" w:rsidP="00EE1FC3">
            <w:pPr>
              <w:pStyle w:val="NormalWeb"/>
              <w:spacing w:before="0" w:beforeAutospacing="0" w:after="0" w:afterAutospacing="0"/>
              <w:ind w:left="360"/>
              <w:rPr>
                <w:sz w:val="20"/>
                <w:szCs w:val="20"/>
              </w:rPr>
            </w:pPr>
            <w:r w:rsidRPr="008304A4">
              <w:rPr>
                <w:sz w:val="20"/>
                <w:szCs w:val="20"/>
              </w:rPr>
              <w:t>165 339,93</w:t>
            </w:r>
          </w:p>
        </w:tc>
      </w:tr>
      <w:tr w:rsidR="00F31194" w:rsidRPr="00F31194" w14:paraId="3B3C474B" w14:textId="77777777" w:rsidTr="00F31194">
        <w:tc>
          <w:tcPr>
            <w:tcW w:w="1936" w:type="pct"/>
          </w:tcPr>
          <w:p w14:paraId="0C4D969E" w14:textId="77777777" w:rsidR="00F6745F" w:rsidRPr="008304A4" w:rsidRDefault="00F6745F" w:rsidP="00F31194">
            <w:pPr>
              <w:pStyle w:val="NormalWeb"/>
              <w:spacing w:before="0" w:beforeAutospacing="0" w:after="0" w:afterAutospacing="0"/>
              <w:jc w:val="center"/>
              <w:rPr>
                <w:sz w:val="20"/>
                <w:szCs w:val="20"/>
              </w:rPr>
            </w:pPr>
          </w:p>
        </w:tc>
        <w:tc>
          <w:tcPr>
            <w:tcW w:w="3064" w:type="pct"/>
          </w:tcPr>
          <w:p w14:paraId="1797F26F" w14:textId="1E8230D6" w:rsidR="00F6745F" w:rsidRPr="008304A4" w:rsidDel="006225FC" w:rsidRDefault="00F6745F" w:rsidP="00EE1FC3">
            <w:pPr>
              <w:pStyle w:val="NormalWeb"/>
              <w:spacing w:before="0" w:beforeAutospacing="0" w:after="0" w:afterAutospacing="0"/>
              <w:ind w:left="360"/>
              <w:rPr>
                <w:sz w:val="20"/>
                <w:szCs w:val="20"/>
                <w:lang w:val="lv-LV"/>
              </w:rPr>
            </w:pPr>
            <w:r w:rsidRPr="008304A4">
              <w:rPr>
                <w:sz w:val="20"/>
                <w:szCs w:val="20"/>
                <w:lang w:val="lv-LV"/>
              </w:rPr>
              <w:t>Finansēšanas avoti:</w:t>
            </w:r>
          </w:p>
        </w:tc>
      </w:tr>
      <w:tr w:rsidR="00F31194" w:rsidRPr="00F31194" w14:paraId="2545CB6E" w14:textId="77777777" w:rsidTr="00F31194">
        <w:tc>
          <w:tcPr>
            <w:tcW w:w="1936" w:type="pct"/>
          </w:tcPr>
          <w:p w14:paraId="0BF8F6E2" w14:textId="75D59038" w:rsidR="00F6745F" w:rsidRPr="008304A4" w:rsidRDefault="00F6745F" w:rsidP="00F31194">
            <w:pPr>
              <w:pStyle w:val="NormalWeb"/>
              <w:spacing w:before="0" w:beforeAutospacing="0" w:after="0" w:afterAutospacing="0"/>
              <w:jc w:val="center"/>
              <w:rPr>
                <w:sz w:val="20"/>
                <w:szCs w:val="20"/>
                <w:lang w:val="lv-LV"/>
              </w:rPr>
            </w:pPr>
            <w:proofErr w:type="gramStart"/>
            <w:r w:rsidRPr="008304A4">
              <w:rPr>
                <w:sz w:val="20"/>
                <w:szCs w:val="20"/>
                <w:lang w:val="lv-LV"/>
              </w:rPr>
              <w:t>2018.gadā</w:t>
            </w:r>
            <w:proofErr w:type="gramEnd"/>
            <w:r w:rsidRPr="008304A4">
              <w:rPr>
                <w:sz w:val="20"/>
                <w:szCs w:val="20"/>
                <w:lang w:val="lv-LV"/>
              </w:rPr>
              <w:t xml:space="preserve"> piešķirtā valsts budžeta finansējuma, kas pārsniedz faktiskos izdevumus</w:t>
            </w:r>
          </w:p>
        </w:tc>
        <w:tc>
          <w:tcPr>
            <w:tcW w:w="3064" w:type="pct"/>
          </w:tcPr>
          <w:p w14:paraId="692400F6" w14:textId="1B0F64B3" w:rsidR="00F6745F" w:rsidRPr="008304A4" w:rsidDel="006225FC" w:rsidRDefault="00F6745F" w:rsidP="00F6745F">
            <w:pPr>
              <w:pStyle w:val="NormalWeb"/>
              <w:spacing w:before="0" w:beforeAutospacing="0" w:after="0" w:afterAutospacing="0"/>
              <w:ind w:left="360"/>
              <w:rPr>
                <w:sz w:val="20"/>
                <w:szCs w:val="20"/>
                <w:lang w:val="lv-LV"/>
              </w:rPr>
            </w:pPr>
            <w:r w:rsidRPr="008304A4">
              <w:rPr>
                <w:sz w:val="20"/>
                <w:szCs w:val="20"/>
                <w:lang w:val="lv-LV"/>
              </w:rPr>
              <w:t>159 747</w:t>
            </w:r>
          </w:p>
        </w:tc>
      </w:tr>
      <w:tr w:rsidR="00F31194" w:rsidRPr="00F31194" w14:paraId="55F8D35F" w14:textId="77777777" w:rsidTr="00F31194">
        <w:tc>
          <w:tcPr>
            <w:tcW w:w="1936" w:type="pct"/>
          </w:tcPr>
          <w:p w14:paraId="182396EF" w14:textId="5D8E0F46" w:rsidR="00F6745F" w:rsidRPr="008304A4" w:rsidRDefault="00F6745F" w:rsidP="00F31194">
            <w:pPr>
              <w:pStyle w:val="NormalWeb"/>
              <w:spacing w:before="0" w:beforeAutospacing="0" w:after="0" w:afterAutospacing="0"/>
              <w:jc w:val="center"/>
              <w:rPr>
                <w:sz w:val="20"/>
                <w:szCs w:val="20"/>
                <w:lang w:val="lv-LV"/>
              </w:rPr>
            </w:pPr>
            <w:proofErr w:type="gramStart"/>
            <w:r w:rsidRPr="008304A4">
              <w:rPr>
                <w:sz w:val="20"/>
                <w:szCs w:val="20"/>
                <w:lang w:val="lv-LV"/>
              </w:rPr>
              <w:t>2018.gadā</w:t>
            </w:r>
            <w:proofErr w:type="gramEnd"/>
            <w:r w:rsidRPr="008304A4">
              <w:rPr>
                <w:sz w:val="20"/>
                <w:szCs w:val="20"/>
                <w:lang w:val="lv-LV"/>
              </w:rPr>
              <w:t xml:space="preserve"> piešķirtais valsts budžeta finansējums</w:t>
            </w:r>
          </w:p>
        </w:tc>
        <w:tc>
          <w:tcPr>
            <w:tcW w:w="3064" w:type="pct"/>
          </w:tcPr>
          <w:p w14:paraId="28621628" w14:textId="2DECD642" w:rsidR="00F6745F" w:rsidRPr="008304A4" w:rsidRDefault="00F6745F" w:rsidP="00F6745F">
            <w:pPr>
              <w:pStyle w:val="NormalWeb"/>
              <w:spacing w:before="0" w:beforeAutospacing="0" w:after="0" w:afterAutospacing="0"/>
              <w:ind w:left="360"/>
              <w:rPr>
                <w:sz w:val="20"/>
                <w:szCs w:val="20"/>
                <w:lang w:val="lv-LV"/>
              </w:rPr>
            </w:pPr>
            <w:r w:rsidRPr="008304A4">
              <w:rPr>
                <w:sz w:val="20"/>
                <w:szCs w:val="20"/>
                <w:lang w:val="lv-LV"/>
              </w:rPr>
              <w:t>5593</w:t>
            </w:r>
          </w:p>
        </w:tc>
      </w:tr>
    </w:tbl>
    <w:p w14:paraId="2E5B0940" w14:textId="64D62351" w:rsidR="007577EF" w:rsidRDefault="007577EF" w:rsidP="007577EF">
      <w:pPr>
        <w:pStyle w:val="tv213"/>
        <w:jc w:val="both"/>
      </w:pPr>
      <w:r w:rsidRPr="00F163BC">
        <w:t xml:space="preserve">CSDD ir ierosinājusi minētos izdevumus kompensēt no </w:t>
      </w:r>
      <w:proofErr w:type="gramStart"/>
      <w:r w:rsidR="00E823D9">
        <w:t>2018.gadā</w:t>
      </w:r>
      <w:proofErr w:type="gramEnd"/>
      <w:r w:rsidR="00E823D9">
        <w:t xml:space="preserve"> piešķirtās dotācijas, kas pārsniedz faktiskos izdevumus.</w:t>
      </w:r>
    </w:p>
    <w:p w14:paraId="52A670BE" w14:textId="615CE212" w:rsidR="00660B19" w:rsidRDefault="00E823D9" w:rsidP="00660B19">
      <w:pPr>
        <w:pStyle w:val="tv213"/>
        <w:jc w:val="both"/>
      </w:pPr>
      <w:r>
        <w:t xml:space="preserve">Ievērojot iepriekš minēto attiecībā uz normatīvo regulējumu, kā arī objektīviem apstākļiem, kuru dēļ papildu izmaksas radušās, </w:t>
      </w:r>
      <w:r w:rsidR="00660B19">
        <w:t xml:space="preserve">ierosināts </w:t>
      </w:r>
      <w:r>
        <w:t>Ministru kabinetam pieņem</w:t>
      </w:r>
      <w:r w:rsidR="00660B19">
        <w:t>t</w:t>
      </w:r>
      <w:r>
        <w:t xml:space="preserve"> lēmum</w:t>
      </w:r>
      <w:r w:rsidR="00F6745F">
        <w:t>u</w:t>
      </w:r>
      <w:r>
        <w:t xml:space="preserve"> par faktisko izmaksu </w:t>
      </w:r>
      <w:r w:rsidR="00660B19">
        <w:t xml:space="preserve">kompensēšanu no </w:t>
      </w:r>
      <w:proofErr w:type="gramStart"/>
      <w:r w:rsidR="00660B19">
        <w:t>2018.</w:t>
      </w:r>
      <w:r w:rsidR="00660B19" w:rsidRPr="00797A8F">
        <w:t>gadā</w:t>
      </w:r>
      <w:proofErr w:type="gramEnd"/>
      <w:r w:rsidR="00660B19" w:rsidRPr="00797A8F">
        <w:t xml:space="preserve"> piešķirtā</w:t>
      </w:r>
      <w:r w:rsidR="00F6745F" w:rsidRPr="00797A8F">
        <w:t xml:space="preserve"> valsts budžeta finansējuma</w:t>
      </w:r>
      <w:r w:rsidR="00660B19" w:rsidRPr="00797A8F">
        <w:t>, kas pārsniedz faktiskos izdevumus</w:t>
      </w:r>
      <w:r w:rsidR="00376406" w:rsidRPr="00797A8F">
        <w:t xml:space="preserve"> (159 747 </w:t>
      </w:r>
      <w:r w:rsidR="00376406" w:rsidRPr="00797A8F">
        <w:rPr>
          <w:i/>
        </w:rPr>
        <w:t>euro</w:t>
      </w:r>
      <w:r w:rsidR="00376406" w:rsidRPr="00797A8F">
        <w:t xml:space="preserve">),  bet atlikušo daļu 5593 </w:t>
      </w:r>
      <w:r w:rsidR="00376406" w:rsidRPr="00797A8F">
        <w:rPr>
          <w:i/>
        </w:rPr>
        <w:t xml:space="preserve">euro </w:t>
      </w:r>
      <w:r w:rsidR="00376406" w:rsidRPr="00797A8F">
        <w:t>apmērā- no 2019.gada</w:t>
      </w:r>
      <w:r w:rsidR="00F6745F" w:rsidRPr="00797A8F">
        <w:t xml:space="preserve"> valsts budžeta finansējuma</w:t>
      </w:r>
      <w:r w:rsidR="00376406" w:rsidRPr="00797A8F">
        <w:t>.</w:t>
      </w:r>
    </w:p>
    <w:p w14:paraId="757EA59A" w14:textId="0615B458" w:rsidR="007577EF" w:rsidRPr="00F163BC" w:rsidRDefault="007577EF" w:rsidP="007577EF">
      <w:pPr>
        <w:pStyle w:val="tv213"/>
        <w:jc w:val="both"/>
        <w:rPr>
          <w:i/>
        </w:rPr>
      </w:pPr>
      <w:r w:rsidRPr="00F163BC">
        <w:rPr>
          <w:i/>
        </w:rPr>
        <w:t>3. Ievērojot fotoradaru darbības mērķi -</w:t>
      </w:r>
      <w:r w:rsidRPr="00F163BC" w:rsidDel="00A5543E">
        <w:rPr>
          <w:i/>
        </w:rPr>
        <w:t xml:space="preserve"> </w:t>
      </w:r>
      <w:r w:rsidRPr="00F163BC">
        <w:rPr>
          <w:i/>
        </w:rPr>
        <w:t xml:space="preserve">uzlabot satiksmes drošību, novēršot braukšanas ātruma pārkāpumus, prognozēts, ka </w:t>
      </w:r>
      <w:r w:rsidRPr="00F31194">
        <w:rPr>
          <w:b/>
          <w:i/>
        </w:rPr>
        <w:t>faktiskie ieņēmumi no naudas sodiem ievērojami samazināsies</w:t>
      </w:r>
      <w:r w:rsidRPr="00F163BC">
        <w:rPr>
          <w:i/>
        </w:rPr>
        <w:t>. Vienlaikus fotoradaru skaits būtu palielināms. Iecerēts</w:t>
      </w:r>
      <w:proofErr w:type="gramStart"/>
      <w:r w:rsidRPr="00F163BC">
        <w:rPr>
          <w:i/>
        </w:rPr>
        <w:t xml:space="preserve">  </w:t>
      </w:r>
      <w:proofErr w:type="gramEnd"/>
      <w:r w:rsidRPr="00F163BC">
        <w:rPr>
          <w:i/>
        </w:rPr>
        <w:t xml:space="preserve">ieviest arī mulāžas, kuru darbības rezultātā rodas izmaksas, bet valsts pamatbudžeta ieņēmumi nerodas. Prognozētie rādītāji </w:t>
      </w:r>
      <w:r w:rsidR="00496ABB">
        <w:rPr>
          <w:i/>
        </w:rPr>
        <w:t xml:space="preserve">par I posmu </w:t>
      </w:r>
      <w:r w:rsidRPr="00F163BC">
        <w:rPr>
          <w:i/>
        </w:rPr>
        <w:t xml:space="preserve">atspoguļoti </w:t>
      </w:r>
      <w:r w:rsidR="00496ABB">
        <w:rPr>
          <w:i/>
        </w:rPr>
        <w:t xml:space="preserve">3.pielikuma </w:t>
      </w:r>
      <w:r w:rsidR="00F40AD9" w:rsidRPr="00F163BC">
        <w:rPr>
          <w:i/>
        </w:rPr>
        <w:t>5.</w:t>
      </w:r>
      <w:r w:rsidRPr="00F163BC">
        <w:rPr>
          <w:i/>
        </w:rPr>
        <w:t>tabulā</w:t>
      </w:r>
      <w:r w:rsidR="007F59DD">
        <w:rPr>
          <w:i/>
        </w:rPr>
        <w:t xml:space="preserve">, par II posmu- 4.pielikuma </w:t>
      </w:r>
      <w:r w:rsidR="007553E3">
        <w:rPr>
          <w:i/>
        </w:rPr>
        <w:t>4.</w:t>
      </w:r>
      <w:r w:rsidR="007F59DD">
        <w:rPr>
          <w:i/>
        </w:rPr>
        <w:t>.tabulā, bet kopsavilkums- 5.pielikumā.</w:t>
      </w:r>
    </w:p>
    <w:p w14:paraId="16A3FE7B" w14:textId="30C73122" w:rsidR="007577EF" w:rsidRPr="00797A8F" w:rsidRDefault="00FF24A3" w:rsidP="008304A4">
      <w:pPr>
        <w:pStyle w:val="tv213"/>
        <w:spacing w:before="0" w:beforeAutospacing="0" w:after="0" w:afterAutospacing="0"/>
        <w:jc w:val="right"/>
      </w:pPr>
      <w:r w:rsidRPr="00797A8F">
        <w:t>3</w:t>
      </w:r>
      <w:r w:rsidR="00616146" w:rsidRPr="00797A8F">
        <w:t xml:space="preserve">. </w:t>
      </w:r>
      <w:r w:rsidR="007577EF" w:rsidRPr="00797A8F">
        <w:t>tabula</w:t>
      </w:r>
    </w:p>
    <w:p w14:paraId="14C5D321" w14:textId="02740ADE" w:rsidR="00F7065C" w:rsidRPr="008304A4" w:rsidRDefault="00C77293" w:rsidP="008304A4">
      <w:pPr>
        <w:pStyle w:val="tv213"/>
        <w:spacing w:before="0" w:beforeAutospacing="0" w:after="0" w:afterAutospacing="0"/>
        <w:jc w:val="center"/>
        <w:rPr>
          <w:b/>
        </w:rPr>
      </w:pPr>
      <w:r w:rsidRPr="00F31194">
        <w:rPr>
          <w:b/>
        </w:rPr>
        <w:t xml:space="preserve">Ieņēmumu </w:t>
      </w:r>
      <w:r w:rsidR="003E1A1D" w:rsidRPr="00F31194">
        <w:rPr>
          <w:b/>
        </w:rPr>
        <w:t>un izdevumu</w:t>
      </w:r>
      <w:proofErr w:type="gramStart"/>
      <w:r w:rsidR="003E1A1D" w:rsidRPr="00F31194">
        <w:rPr>
          <w:b/>
        </w:rPr>
        <w:t xml:space="preserve"> </w:t>
      </w:r>
      <w:r w:rsidR="00F7065C" w:rsidRPr="00F31194">
        <w:rPr>
          <w:b/>
        </w:rPr>
        <w:t xml:space="preserve"> </w:t>
      </w:r>
      <w:proofErr w:type="gramEnd"/>
      <w:r w:rsidR="00F7065C" w:rsidRPr="00F31194">
        <w:rPr>
          <w:b/>
        </w:rPr>
        <w:t>kopsavilkums</w:t>
      </w:r>
      <w:r w:rsidR="00F7065C" w:rsidRPr="00F7065C">
        <w:t xml:space="preserve"> </w:t>
      </w:r>
      <w:r w:rsidR="00F7065C" w:rsidRPr="008304A4">
        <w:rPr>
          <w:b/>
        </w:rPr>
        <w:t>(bez nolietojuma uzkrājuma)</w:t>
      </w:r>
    </w:p>
    <w:tbl>
      <w:tblPr>
        <w:tblW w:w="10952" w:type="dxa"/>
        <w:tblInd w:w="-1139" w:type="dxa"/>
        <w:tblLook w:val="04A0" w:firstRow="1" w:lastRow="0" w:firstColumn="1" w:lastColumn="0" w:noHBand="0" w:noVBand="1"/>
      </w:tblPr>
      <w:tblGrid>
        <w:gridCol w:w="668"/>
        <w:gridCol w:w="862"/>
        <w:gridCol w:w="900"/>
        <w:gridCol w:w="864"/>
        <w:gridCol w:w="817"/>
        <w:gridCol w:w="862"/>
        <w:gridCol w:w="824"/>
        <w:gridCol w:w="857"/>
        <w:gridCol w:w="839"/>
        <w:gridCol w:w="862"/>
        <w:gridCol w:w="866"/>
        <w:gridCol w:w="830"/>
        <w:gridCol w:w="901"/>
      </w:tblGrid>
      <w:tr w:rsidR="000F0D9B" w:rsidRPr="000F0D9B" w14:paraId="7491CD2A" w14:textId="77777777" w:rsidTr="00797A8F">
        <w:trPr>
          <w:trHeight w:val="283"/>
        </w:trPr>
        <w:tc>
          <w:tcPr>
            <w:tcW w:w="668"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201832" w14:textId="77777777" w:rsidR="000F0D9B" w:rsidRPr="000F0D9B" w:rsidRDefault="000F0D9B" w:rsidP="000F0D9B">
            <w:pPr>
              <w:jc w:val="center"/>
              <w:rPr>
                <w:b/>
                <w:bCs/>
                <w:sz w:val="14"/>
                <w:szCs w:val="14"/>
              </w:rPr>
            </w:pPr>
            <w:r w:rsidRPr="000F0D9B">
              <w:rPr>
                <w:b/>
                <w:bCs/>
                <w:sz w:val="14"/>
                <w:szCs w:val="14"/>
              </w:rPr>
              <w:t>Gads</w:t>
            </w:r>
          </w:p>
        </w:tc>
        <w:tc>
          <w:tcPr>
            <w:tcW w:w="3443"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C4D1972" w14:textId="77777777" w:rsidR="000F0D9B" w:rsidRPr="000F0D9B" w:rsidRDefault="000F0D9B" w:rsidP="000F0D9B">
            <w:pPr>
              <w:jc w:val="center"/>
              <w:rPr>
                <w:sz w:val="14"/>
                <w:szCs w:val="14"/>
              </w:rPr>
            </w:pPr>
            <w:r w:rsidRPr="000F0D9B">
              <w:rPr>
                <w:sz w:val="14"/>
                <w:szCs w:val="14"/>
              </w:rPr>
              <w:t>Ieņēmumi</w:t>
            </w:r>
          </w:p>
        </w:tc>
        <w:tc>
          <w:tcPr>
            <w:tcW w:w="338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4D5F7BD" w14:textId="77777777" w:rsidR="000F0D9B" w:rsidRPr="000F0D9B" w:rsidRDefault="000F0D9B" w:rsidP="000F0D9B">
            <w:pPr>
              <w:jc w:val="center"/>
              <w:rPr>
                <w:sz w:val="14"/>
                <w:szCs w:val="14"/>
              </w:rPr>
            </w:pPr>
            <w:r w:rsidRPr="000F0D9B">
              <w:rPr>
                <w:sz w:val="14"/>
                <w:szCs w:val="14"/>
              </w:rPr>
              <w:t xml:space="preserve">Izdevumi </w:t>
            </w:r>
          </w:p>
        </w:tc>
        <w:tc>
          <w:tcPr>
            <w:tcW w:w="3459"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F8DF8E2" w14:textId="16022C6D" w:rsidR="000F0D9B" w:rsidRPr="000F0D9B" w:rsidRDefault="000F0D9B" w:rsidP="005D2BD1">
            <w:pPr>
              <w:jc w:val="center"/>
              <w:rPr>
                <w:b/>
                <w:bCs/>
                <w:sz w:val="14"/>
                <w:szCs w:val="14"/>
              </w:rPr>
            </w:pPr>
            <w:r w:rsidRPr="000F0D9B">
              <w:rPr>
                <w:b/>
                <w:bCs/>
                <w:sz w:val="14"/>
                <w:szCs w:val="14"/>
              </w:rPr>
              <w:t>Ieņēmum</w:t>
            </w:r>
            <w:r w:rsidR="00C77293">
              <w:rPr>
                <w:b/>
                <w:bCs/>
                <w:sz w:val="14"/>
                <w:szCs w:val="14"/>
              </w:rPr>
              <w:t xml:space="preserve">u </w:t>
            </w:r>
            <w:r w:rsidR="005D2BD1">
              <w:rPr>
                <w:b/>
                <w:bCs/>
                <w:sz w:val="14"/>
                <w:szCs w:val="14"/>
              </w:rPr>
              <w:t>un i</w:t>
            </w:r>
            <w:r w:rsidRPr="000F0D9B">
              <w:rPr>
                <w:b/>
                <w:bCs/>
                <w:sz w:val="14"/>
                <w:szCs w:val="14"/>
              </w:rPr>
              <w:t>zdevum</w:t>
            </w:r>
            <w:r w:rsidR="00C77293">
              <w:rPr>
                <w:b/>
                <w:bCs/>
                <w:sz w:val="14"/>
                <w:szCs w:val="14"/>
              </w:rPr>
              <w:t>u starpība</w:t>
            </w:r>
            <w:r w:rsidRPr="000F0D9B">
              <w:rPr>
                <w:b/>
                <w:bCs/>
                <w:sz w:val="14"/>
                <w:szCs w:val="14"/>
              </w:rPr>
              <w:t xml:space="preserve"> </w:t>
            </w:r>
          </w:p>
        </w:tc>
      </w:tr>
      <w:tr w:rsidR="000F0D9B" w:rsidRPr="000F0D9B" w14:paraId="5795D00A" w14:textId="77777777" w:rsidTr="00797A8F">
        <w:trPr>
          <w:trHeight w:val="680"/>
        </w:trPr>
        <w:tc>
          <w:tcPr>
            <w:tcW w:w="668" w:type="dxa"/>
            <w:vMerge/>
            <w:tcBorders>
              <w:top w:val="single" w:sz="4" w:space="0" w:color="BFBFBF"/>
              <w:left w:val="single" w:sz="4" w:space="0" w:color="BFBFBF"/>
              <w:bottom w:val="single" w:sz="4" w:space="0" w:color="BFBFBF"/>
              <w:right w:val="single" w:sz="4" w:space="0" w:color="BFBFBF"/>
            </w:tcBorders>
            <w:vAlign w:val="center"/>
            <w:hideMark/>
          </w:tcPr>
          <w:p w14:paraId="1878C703" w14:textId="77777777" w:rsidR="000F0D9B" w:rsidRPr="000F0D9B" w:rsidRDefault="000F0D9B" w:rsidP="000F0D9B">
            <w:pPr>
              <w:rPr>
                <w:b/>
                <w:bCs/>
                <w:sz w:val="14"/>
                <w:szCs w:val="14"/>
              </w:rPr>
            </w:pPr>
          </w:p>
        </w:tc>
        <w:tc>
          <w:tcPr>
            <w:tcW w:w="862" w:type="dxa"/>
            <w:tcBorders>
              <w:top w:val="nil"/>
              <w:left w:val="nil"/>
              <w:bottom w:val="single" w:sz="4" w:space="0" w:color="BFBFBF"/>
              <w:right w:val="single" w:sz="4" w:space="0" w:color="BFBFBF"/>
            </w:tcBorders>
            <w:shd w:val="clear" w:color="000000" w:fill="FFFFFF"/>
            <w:noWrap/>
            <w:vAlign w:val="center"/>
            <w:hideMark/>
          </w:tcPr>
          <w:p w14:paraId="6C777037" w14:textId="77777777" w:rsidR="000F0D9B" w:rsidRPr="000F0D9B" w:rsidRDefault="000F0D9B" w:rsidP="000F0D9B">
            <w:pPr>
              <w:jc w:val="center"/>
              <w:rPr>
                <w:sz w:val="14"/>
                <w:szCs w:val="14"/>
              </w:rPr>
            </w:pPr>
            <w:r w:rsidRPr="000F0D9B">
              <w:rPr>
                <w:sz w:val="14"/>
                <w:szCs w:val="14"/>
              </w:rPr>
              <w:t>apstiprināts</w:t>
            </w:r>
          </w:p>
        </w:tc>
        <w:tc>
          <w:tcPr>
            <w:tcW w:w="900" w:type="dxa"/>
            <w:tcBorders>
              <w:top w:val="nil"/>
              <w:left w:val="nil"/>
              <w:bottom w:val="single" w:sz="4" w:space="0" w:color="BFBFBF"/>
              <w:right w:val="single" w:sz="4" w:space="0" w:color="BFBFBF"/>
            </w:tcBorders>
            <w:shd w:val="clear" w:color="000000" w:fill="FFFFFF"/>
            <w:vAlign w:val="center"/>
            <w:hideMark/>
          </w:tcPr>
          <w:p w14:paraId="3D18DBAD" w14:textId="77777777" w:rsidR="000F0D9B" w:rsidRPr="000F0D9B" w:rsidRDefault="000F0D9B" w:rsidP="000F0D9B">
            <w:pPr>
              <w:jc w:val="center"/>
              <w:rPr>
                <w:sz w:val="14"/>
                <w:szCs w:val="14"/>
              </w:rPr>
            </w:pPr>
            <w:r w:rsidRPr="000F0D9B">
              <w:rPr>
                <w:sz w:val="14"/>
                <w:szCs w:val="14"/>
              </w:rPr>
              <w:t xml:space="preserve">precizēts </w:t>
            </w:r>
            <w:r w:rsidRPr="000F0D9B">
              <w:rPr>
                <w:sz w:val="14"/>
                <w:szCs w:val="14"/>
              </w:rPr>
              <w:br/>
              <w:t>I posms</w:t>
            </w:r>
          </w:p>
        </w:tc>
        <w:tc>
          <w:tcPr>
            <w:tcW w:w="864" w:type="dxa"/>
            <w:tcBorders>
              <w:top w:val="nil"/>
              <w:left w:val="nil"/>
              <w:bottom w:val="single" w:sz="4" w:space="0" w:color="BFBFBF"/>
              <w:right w:val="single" w:sz="4" w:space="0" w:color="BFBFBF"/>
            </w:tcBorders>
            <w:shd w:val="clear" w:color="000000" w:fill="FFFFFF"/>
            <w:vAlign w:val="center"/>
            <w:hideMark/>
          </w:tcPr>
          <w:p w14:paraId="7DB052B0" w14:textId="77777777" w:rsidR="000F0D9B" w:rsidRPr="000F0D9B" w:rsidRDefault="000F0D9B" w:rsidP="000F0D9B">
            <w:pPr>
              <w:jc w:val="center"/>
              <w:rPr>
                <w:sz w:val="14"/>
                <w:szCs w:val="14"/>
              </w:rPr>
            </w:pPr>
            <w:r w:rsidRPr="000F0D9B">
              <w:rPr>
                <w:sz w:val="14"/>
                <w:szCs w:val="14"/>
              </w:rPr>
              <w:t>precizēts</w:t>
            </w:r>
            <w:r w:rsidRPr="000F0D9B">
              <w:rPr>
                <w:sz w:val="14"/>
                <w:szCs w:val="14"/>
              </w:rPr>
              <w:br/>
              <w:t>II posms</w:t>
            </w:r>
          </w:p>
        </w:tc>
        <w:tc>
          <w:tcPr>
            <w:tcW w:w="817" w:type="dxa"/>
            <w:tcBorders>
              <w:top w:val="nil"/>
              <w:left w:val="nil"/>
              <w:bottom w:val="single" w:sz="4" w:space="0" w:color="BFBFBF"/>
              <w:right w:val="single" w:sz="4" w:space="0" w:color="BFBFBF"/>
            </w:tcBorders>
            <w:shd w:val="clear" w:color="auto" w:fill="auto"/>
            <w:vAlign w:val="center"/>
            <w:hideMark/>
          </w:tcPr>
          <w:p w14:paraId="706117C8" w14:textId="77777777" w:rsidR="000F0D9B" w:rsidRPr="000F0D9B" w:rsidRDefault="000F0D9B" w:rsidP="000F0D9B">
            <w:pPr>
              <w:jc w:val="center"/>
              <w:rPr>
                <w:b/>
                <w:bCs/>
                <w:sz w:val="14"/>
                <w:szCs w:val="14"/>
              </w:rPr>
            </w:pPr>
            <w:r w:rsidRPr="000F0D9B">
              <w:rPr>
                <w:b/>
                <w:bCs/>
                <w:sz w:val="14"/>
                <w:szCs w:val="14"/>
              </w:rPr>
              <w:t>precizēts kopā</w:t>
            </w:r>
            <w:r w:rsidRPr="000F0D9B">
              <w:rPr>
                <w:b/>
                <w:bCs/>
                <w:sz w:val="14"/>
                <w:szCs w:val="14"/>
              </w:rPr>
              <w:br/>
              <w:t xml:space="preserve"> I un II posms</w:t>
            </w:r>
          </w:p>
        </w:tc>
        <w:tc>
          <w:tcPr>
            <w:tcW w:w="862" w:type="dxa"/>
            <w:tcBorders>
              <w:top w:val="nil"/>
              <w:left w:val="nil"/>
              <w:bottom w:val="single" w:sz="4" w:space="0" w:color="BFBFBF"/>
              <w:right w:val="single" w:sz="4" w:space="0" w:color="BFBFBF"/>
            </w:tcBorders>
            <w:shd w:val="clear" w:color="auto" w:fill="auto"/>
            <w:noWrap/>
            <w:vAlign w:val="center"/>
            <w:hideMark/>
          </w:tcPr>
          <w:p w14:paraId="57DA3895" w14:textId="77777777" w:rsidR="000F0D9B" w:rsidRPr="000F0D9B" w:rsidRDefault="000F0D9B" w:rsidP="000F0D9B">
            <w:pPr>
              <w:jc w:val="center"/>
              <w:rPr>
                <w:sz w:val="14"/>
                <w:szCs w:val="14"/>
              </w:rPr>
            </w:pPr>
            <w:r w:rsidRPr="000F0D9B">
              <w:rPr>
                <w:sz w:val="14"/>
                <w:szCs w:val="14"/>
              </w:rPr>
              <w:t>apstiprināts</w:t>
            </w:r>
          </w:p>
        </w:tc>
        <w:tc>
          <w:tcPr>
            <w:tcW w:w="824" w:type="dxa"/>
            <w:tcBorders>
              <w:top w:val="nil"/>
              <w:left w:val="nil"/>
              <w:bottom w:val="single" w:sz="4" w:space="0" w:color="BFBFBF"/>
              <w:right w:val="single" w:sz="4" w:space="0" w:color="BFBFBF"/>
            </w:tcBorders>
            <w:shd w:val="clear" w:color="000000" w:fill="FFFFFF"/>
            <w:vAlign w:val="center"/>
            <w:hideMark/>
          </w:tcPr>
          <w:p w14:paraId="69B99FBE" w14:textId="77777777" w:rsidR="000F0D9B" w:rsidRPr="000F0D9B" w:rsidRDefault="000F0D9B" w:rsidP="000F0D9B">
            <w:pPr>
              <w:jc w:val="center"/>
              <w:rPr>
                <w:sz w:val="14"/>
                <w:szCs w:val="14"/>
              </w:rPr>
            </w:pPr>
            <w:r w:rsidRPr="000F0D9B">
              <w:rPr>
                <w:sz w:val="14"/>
                <w:szCs w:val="14"/>
              </w:rPr>
              <w:t xml:space="preserve">precizēts </w:t>
            </w:r>
            <w:r w:rsidRPr="000F0D9B">
              <w:rPr>
                <w:sz w:val="14"/>
                <w:szCs w:val="14"/>
              </w:rPr>
              <w:br/>
              <w:t>I posms</w:t>
            </w:r>
          </w:p>
        </w:tc>
        <w:tc>
          <w:tcPr>
            <w:tcW w:w="857" w:type="dxa"/>
            <w:tcBorders>
              <w:top w:val="nil"/>
              <w:left w:val="nil"/>
              <w:bottom w:val="single" w:sz="4" w:space="0" w:color="BFBFBF"/>
              <w:right w:val="single" w:sz="4" w:space="0" w:color="BFBFBF"/>
            </w:tcBorders>
            <w:shd w:val="clear" w:color="000000" w:fill="FFFFFF"/>
            <w:vAlign w:val="center"/>
            <w:hideMark/>
          </w:tcPr>
          <w:p w14:paraId="11322048" w14:textId="77777777" w:rsidR="000F0D9B" w:rsidRPr="000F0D9B" w:rsidRDefault="000F0D9B" w:rsidP="000F0D9B">
            <w:pPr>
              <w:jc w:val="center"/>
              <w:rPr>
                <w:sz w:val="14"/>
                <w:szCs w:val="14"/>
              </w:rPr>
            </w:pPr>
            <w:r w:rsidRPr="000F0D9B">
              <w:rPr>
                <w:sz w:val="14"/>
                <w:szCs w:val="14"/>
              </w:rPr>
              <w:t>precizēts</w:t>
            </w:r>
            <w:r w:rsidRPr="000F0D9B">
              <w:rPr>
                <w:sz w:val="14"/>
                <w:szCs w:val="14"/>
              </w:rPr>
              <w:br/>
              <w:t>II posms</w:t>
            </w:r>
          </w:p>
        </w:tc>
        <w:tc>
          <w:tcPr>
            <w:tcW w:w="839" w:type="dxa"/>
            <w:tcBorders>
              <w:top w:val="nil"/>
              <w:left w:val="nil"/>
              <w:bottom w:val="single" w:sz="4" w:space="0" w:color="BFBFBF"/>
              <w:right w:val="single" w:sz="4" w:space="0" w:color="BFBFBF"/>
            </w:tcBorders>
            <w:shd w:val="clear" w:color="auto" w:fill="auto"/>
            <w:vAlign w:val="center"/>
            <w:hideMark/>
          </w:tcPr>
          <w:p w14:paraId="4B0D1EFB" w14:textId="77777777" w:rsidR="000F0D9B" w:rsidRPr="000F0D9B" w:rsidRDefault="000F0D9B" w:rsidP="000F0D9B">
            <w:pPr>
              <w:jc w:val="center"/>
              <w:rPr>
                <w:b/>
                <w:bCs/>
                <w:sz w:val="14"/>
                <w:szCs w:val="14"/>
              </w:rPr>
            </w:pPr>
            <w:r w:rsidRPr="000F0D9B">
              <w:rPr>
                <w:b/>
                <w:bCs/>
                <w:sz w:val="14"/>
                <w:szCs w:val="14"/>
              </w:rPr>
              <w:t>precizēts kopā</w:t>
            </w:r>
            <w:r w:rsidRPr="000F0D9B">
              <w:rPr>
                <w:b/>
                <w:bCs/>
                <w:sz w:val="14"/>
                <w:szCs w:val="14"/>
              </w:rPr>
              <w:br/>
              <w:t xml:space="preserve"> I un II posms</w:t>
            </w:r>
          </w:p>
        </w:tc>
        <w:tc>
          <w:tcPr>
            <w:tcW w:w="862" w:type="dxa"/>
            <w:tcBorders>
              <w:top w:val="nil"/>
              <w:left w:val="nil"/>
              <w:bottom w:val="single" w:sz="4" w:space="0" w:color="BFBFBF"/>
              <w:right w:val="single" w:sz="4" w:space="0" w:color="BFBFBF"/>
            </w:tcBorders>
            <w:shd w:val="clear" w:color="auto" w:fill="auto"/>
            <w:noWrap/>
            <w:vAlign w:val="center"/>
            <w:hideMark/>
          </w:tcPr>
          <w:p w14:paraId="516A5F32" w14:textId="77777777" w:rsidR="000F0D9B" w:rsidRPr="000F0D9B" w:rsidRDefault="000F0D9B" w:rsidP="000F0D9B">
            <w:pPr>
              <w:jc w:val="center"/>
              <w:rPr>
                <w:sz w:val="14"/>
                <w:szCs w:val="14"/>
              </w:rPr>
            </w:pPr>
            <w:r w:rsidRPr="000F0D9B">
              <w:rPr>
                <w:sz w:val="14"/>
                <w:szCs w:val="14"/>
              </w:rPr>
              <w:t>apstiprināts</w:t>
            </w:r>
          </w:p>
        </w:tc>
        <w:tc>
          <w:tcPr>
            <w:tcW w:w="866" w:type="dxa"/>
            <w:tcBorders>
              <w:top w:val="nil"/>
              <w:left w:val="nil"/>
              <w:bottom w:val="single" w:sz="4" w:space="0" w:color="BFBFBF"/>
              <w:right w:val="single" w:sz="4" w:space="0" w:color="BFBFBF"/>
            </w:tcBorders>
            <w:shd w:val="clear" w:color="000000" w:fill="FFFFFF"/>
            <w:vAlign w:val="center"/>
            <w:hideMark/>
          </w:tcPr>
          <w:p w14:paraId="78D2DD19" w14:textId="77777777" w:rsidR="000F0D9B" w:rsidRPr="000F0D9B" w:rsidRDefault="000F0D9B" w:rsidP="000F0D9B">
            <w:pPr>
              <w:jc w:val="center"/>
              <w:rPr>
                <w:sz w:val="14"/>
                <w:szCs w:val="14"/>
              </w:rPr>
            </w:pPr>
            <w:r w:rsidRPr="000F0D9B">
              <w:rPr>
                <w:sz w:val="14"/>
                <w:szCs w:val="14"/>
              </w:rPr>
              <w:t xml:space="preserve">precizēts </w:t>
            </w:r>
            <w:r w:rsidRPr="000F0D9B">
              <w:rPr>
                <w:sz w:val="14"/>
                <w:szCs w:val="14"/>
              </w:rPr>
              <w:br/>
              <w:t>I posms</w:t>
            </w:r>
          </w:p>
        </w:tc>
        <w:tc>
          <w:tcPr>
            <w:tcW w:w="830" w:type="dxa"/>
            <w:tcBorders>
              <w:top w:val="nil"/>
              <w:left w:val="nil"/>
              <w:bottom w:val="single" w:sz="4" w:space="0" w:color="BFBFBF"/>
              <w:right w:val="single" w:sz="4" w:space="0" w:color="BFBFBF"/>
            </w:tcBorders>
            <w:shd w:val="clear" w:color="000000" w:fill="FFFFFF"/>
            <w:vAlign w:val="center"/>
            <w:hideMark/>
          </w:tcPr>
          <w:p w14:paraId="4C79036A" w14:textId="77777777" w:rsidR="000F0D9B" w:rsidRPr="000F0D9B" w:rsidRDefault="000F0D9B" w:rsidP="000F0D9B">
            <w:pPr>
              <w:jc w:val="center"/>
              <w:rPr>
                <w:sz w:val="14"/>
                <w:szCs w:val="14"/>
              </w:rPr>
            </w:pPr>
            <w:r w:rsidRPr="000F0D9B">
              <w:rPr>
                <w:sz w:val="14"/>
                <w:szCs w:val="14"/>
              </w:rPr>
              <w:t>precizēts</w:t>
            </w:r>
            <w:r w:rsidRPr="000F0D9B">
              <w:rPr>
                <w:sz w:val="14"/>
                <w:szCs w:val="14"/>
              </w:rPr>
              <w:br/>
              <w:t>II posms</w:t>
            </w:r>
          </w:p>
        </w:tc>
        <w:tc>
          <w:tcPr>
            <w:tcW w:w="901" w:type="dxa"/>
            <w:tcBorders>
              <w:top w:val="nil"/>
              <w:left w:val="nil"/>
              <w:bottom w:val="single" w:sz="4" w:space="0" w:color="BFBFBF"/>
              <w:right w:val="single" w:sz="4" w:space="0" w:color="BFBFBF"/>
            </w:tcBorders>
            <w:shd w:val="clear" w:color="auto" w:fill="auto"/>
            <w:vAlign w:val="center"/>
            <w:hideMark/>
          </w:tcPr>
          <w:p w14:paraId="5984D2BF" w14:textId="77777777" w:rsidR="000F0D9B" w:rsidRPr="000F0D9B" w:rsidRDefault="000F0D9B" w:rsidP="000F0D9B">
            <w:pPr>
              <w:jc w:val="center"/>
              <w:rPr>
                <w:b/>
                <w:bCs/>
                <w:sz w:val="14"/>
                <w:szCs w:val="14"/>
              </w:rPr>
            </w:pPr>
            <w:r w:rsidRPr="000F0D9B">
              <w:rPr>
                <w:b/>
                <w:bCs/>
                <w:sz w:val="14"/>
                <w:szCs w:val="14"/>
              </w:rPr>
              <w:t>precizēts kopā</w:t>
            </w:r>
            <w:r w:rsidRPr="000F0D9B">
              <w:rPr>
                <w:b/>
                <w:bCs/>
                <w:sz w:val="14"/>
                <w:szCs w:val="14"/>
              </w:rPr>
              <w:br/>
              <w:t xml:space="preserve"> I un II posms</w:t>
            </w:r>
          </w:p>
        </w:tc>
      </w:tr>
      <w:tr w:rsidR="000F0D9B" w:rsidRPr="000F0D9B" w14:paraId="216CB910"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295AE3A1" w14:textId="77777777" w:rsidR="000F0D9B" w:rsidRPr="000F0D9B" w:rsidRDefault="000F0D9B" w:rsidP="00A7489D">
            <w:pPr>
              <w:jc w:val="center"/>
              <w:rPr>
                <w:b/>
                <w:bCs/>
                <w:sz w:val="14"/>
                <w:szCs w:val="14"/>
              </w:rPr>
            </w:pPr>
            <w:r w:rsidRPr="000F0D9B">
              <w:rPr>
                <w:b/>
                <w:bCs/>
                <w:sz w:val="14"/>
                <w:szCs w:val="14"/>
              </w:rPr>
              <w:t>2020</w:t>
            </w:r>
          </w:p>
        </w:tc>
        <w:tc>
          <w:tcPr>
            <w:tcW w:w="862" w:type="dxa"/>
            <w:tcBorders>
              <w:top w:val="nil"/>
              <w:left w:val="nil"/>
              <w:bottom w:val="single" w:sz="4" w:space="0" w:color="BFBFBF"/>
              <w:right w:val="single" w:sz="4" w:space="0" w:color="BFBFBF"/>
            </w:tcBorders>
            <w:shd w:val="clear" w:color="000000" w:fill="FFFFFF"/>
            <w:noWrap/>
            <w:vAlign w:val="bottom"/>
            <w:hideMark/>
          </w:tcPr>
          <w:p w14:paraId="1EDB62B8" w14:textId="77777777" w:rsidR="000F0D9B" w:rsidRPr="000F0D9B" w:rsidRDefault="000F0D9B" w:rsidP="000F0D9B">
            <w:pPr>
              <w:jc w:val="right"/>
              <w:rPr>
                <w:sz w:val="14"/>
                <w:szCs w:val="14"/>
              </w:rPr>
            </w:pPr>
            <w:r w:rsidRPr="000F0D9B">
              <w:rPr>
                <w:sz w:val="14"/>
                <w:szCs w:val="14"/>
              </w:rPr>
              <w:t>12 668 457</w:t>
            </w:r>
          </w:p>
        </w:tc>
        <w:tc>
          <w:tcPr>
            <w:tcW w:w="900" w:type="dxa"/>
            <w:tcBorders>
              <w:top w:val="nil"/>
              <w:left w:val="nil"/>
              <w:bottom w:val="single" w:sz="4" w:space="0" w:color="BFBFBF"/>
              <w:right w:val="single" w:sz="4" w:space="0" w:color="BFBFBF"/>
            </w:tcBorders>
            <w:shd w:val="clear" w:color="000000" w:fill="FFFFFF"/>
            <w:noWrap/>
            <w:vAlign w:val="bottom"/>
            <w:hideMark/>
          </w:tcPr>
          <w:p w14:paraId="6166EE67" w14:textId="77777777" w:rsidR="000F0D9B" w:rsidRPr="000F0D9B" w:rsidRDefault="000F0D9B" w:rsidP="000F0D9B">
            <w:pPr>
              <w:jc w:val="right"/>
              <w:rPr>
                <w:sz w:val="14"/>
                <w:szCs w:val="14"/>
              </w:rPr>
            </w:pPr>
            <w:r w:rsidRPr="000F0D9B">
              <w:rPr>
                <w:sz w:val="14"/>
                <w:szCs w:val="14"/>
              </w:rPr>
              <w:t>8 930 304</w:t>
            </w:r>
          </w:p>
        </w:tc>
        <w:tc>
          <w:tcPr>
            <w:tcW w:w="864" w:type="dxa"/>
            <w:tcBorders>
              <w:top w:val="nil"/>
              <w:left w:val="nil"/>
              <w:bottom w:val="single" w:sz="4" w:space="0" w:color="BFBFBF"/>
              <w:right w:val="single" w:sz="4" w:space="0" w:color="BFBFBF"/>
            </w:tcBorders>
            <w:shd w:val="clear" w:color="000000" w:fill="FFFFFF"/>
            <w:noWrap/>
            <w:vAlign w:val="bottom"/>
            <w:hideMark/>
          </w:tcPr>
          <w:p w14:paraId="44D4E326" w14:textId="77777777" w:rsidR="000F0D9B" w:rsidRPr="000F0D9B" w:rsidRDefault="000F0D9B" w:rsidP="000F0D9B">
            <w:pPr>
              <w:rPr>
                <w:sz w:val="14"/>
                <w:szCs w:val="14"/>
              </w:rPr>
            </w:pPr>
            <w:r w:rsidRPr="000F0D9B">
              <w:rPr>
                <w:sz w:val="14"/>
                <w:szCs w:val="14"/>
              </w:rPr>
              <w:t> </w:t>
            </w:r>
          </w:p>
        </w:tc>
        <w:tc>
          <w:tcPr>
            <w:tcW w:w="817" w:type="dxa"/>
            <w:tcBorders>
              <w:top w:val="nil"/>
              <w:left w:val="nil"/>
              <w:bottom w:val="single" w:sz="4" w:space="0" w:color="BFBFBF"/>
              <w:right w:val="single" w:sz="4" w:space="0" w:color="BFBFBF"/>
            </w:tcBorders>
            <w:shd w:val="clear" w:color="auto" w:fill="auto"/>
            <w:noWrap/>
            <w:vAlign w:val="bottom"/>
            <w:hideMark/>
          </w:tcPr>
          <w:p w14:paraId="361AFAB4" w14:textId="77777777" w:rsidR="000F0D9B" w:rsidRPr="000F0D9B" w:rsidRDefault="000F0D9B" w:rsidP="000F0D9B">
            <w:pPr>
              <w:jc w:val="right"/>
              <w:rPr>
                <w:b/>
                <w:bCs/>
                <w:sz w:val="14"/>
                <w:szCs w:val="14"/>
              </w:rPr>
            </w:pPr>
            <w:r w:rsidRPr="000F0D9B">
              <w:rPr>
                <w:b/>
                <w:bCs/>
                <w:sz w:val="14"/>
                <w:szCs w:val="14"/>
              </w:rPr>
              <w:t>8 930 304</w:t>
            </w:r>
          </w:p>
        </w:tc>
        <w:tc>
          <w:tcPr>
            <w:tcW w:w="862" w:type="dxa"/>
            <w:tcBorders>
              <w:top w:val="nil"/>
              <w:left w:val="nil"/>
              <w:bottom w:val="single" w:sz="4" w:space="0" w:color="BFBFBF"/>
              <w:right w:val="single" w:sz="4" w:space="0" w:color="BFBFBF"/>
            </w:tcBorders>
            <w:shd w:val="clear" w:color="auto" w:fill="auto"/>
            <w:noWrap/>
            <w:vAlign w:val="bottom"/>
            <w:hideMark/>
          </w:tcPr>
          <w:p w14:paraId="44109352" w14:textId="77777777" w:rsidR="000F0D9B" w:rsidRPr="000F0D9B" w:rsidRDefault="000F0D9B" w:rsidP="000F0D9B">
            <w:pPr>
              <w:jc w:val="right"/>
              <w:rPr>
                <w:sz w:val="14"/>
                <w:szCs w:val="14"/>
              </w:rPr>
            </w:pPr>
            <w:r w:rsidRPr="000F0D9B">
              <w:rPr>
                <w:sz w:val="14"/>
                <w:szCs w:val="14"/>
              </w:rPr>
              <w:t>3 006 830</w:t>
            </w:r>
          </w:p>
        </w:tc>
        <w:tc>
          <w:tcPr>
            <w:tcW w:w="824" w:type="dxa"/>
            <w:tcBorders>
              <w:top w:val="nil"/>
              <w:left w:val="nil"/>
              <w:bottom w:val="single" w:sz="4" w:space="0" w:color="BFBFBF"/>
              <w:right w:val="single" w:sz="4" w:space="0" w:color="BFBFBF"/>
            </w:tcBorders>
            <w:shd w:val="clear" w:color="auto" w:fill="auto"/>
            <w:noWrap/>
            <w:vAlign w:val="bottom"/>
            <w:hideMark/>
          </w:tcPr>
          <w:p w14:paraId="4AF09904" w14:textId="77777777" w:rsidR="000F0D9B" w:rsidRPr="000F0D9B" w:rsidRDefault="000F0D9B" w:rsidP="000F0D9B">
            <w:pPr>
              <w:jc w:val="right"/>
              <w:rPr>
                <w:sz w:val="14"/>
                <w:szCs w:val="14"/>
              </w:rPr>
            </w:pPr>
            <w:r w:rsidRPr="000F0D9B">
              <w:rPr>
                <w:sz w:val="14"/>
                <w:szCs w:val="14"/>
              </w:rPr>
              <w:t>3 110 872</w:t>
            </w:r>
          </w:p>
        </w:tc>
        <w:tc>
          <w:tcPr>
            <w:tcW w:w="857" w:type="dxa"/>
            <w:tcBorders>
              <w:top w:val="nil"/>
              <w:left w:val="nil"/>
              <w:bottom w:val="single" w:sz="4" w:space="0" w:color="BFBFBF"/>
              <w:right w:val="single" w:sz="4" w:space="0" w:color="BFBFBF"/>
            </w:tcBorders>
            <w:shd w:val="clear" w:color="auto" w:fill="auto"/>
            <w:noWrap/>
            <w:vAlign w:val="bottom"/>
            <w:hideMark/>
          </w:tcPr>
          <w:p w14:paraId="0B2AFB55" w14:textId="77777777" w:rsidR="000F0D9B" w:rsidRPr="000F0D9B" w:rsidRDefault="000F0D9B" w:rsidP="000F0D9B">
            <w:pPr>
              <w:rPr>
                <w:sz w:val="14"/>
                <w:szCs w:val="14"/>
              </w:rPr>
            </w:pPr>
            <w:r w:rsidRPr="000F0D9B">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0AF8AD4B" w14:textId="77777777" w:rsidR="000F0D9B" w:rsidRPr="000F0D9B" w:rsidRDefault="000F0D9B" w:rsidP="000F0D9B">
            <w:pPr>
              <w:jc w:val="right"/>
              <w:rPr>
                <w:b/>
                <w:bCs/>
                <w:sz w:val="14"/>
                <w:szCs w:val="14"/>
              </w:rPr>
            </w:pPr>
            <w:r w:rsidRPr="000F0D9B">
              <w:rPr>
                <w:b/>
                <w:bCs/>
                <w:sz w:val="14"/>
                <w:szCs w:val="14"/>
              </w:rPr>
              <w:t>3 110 872</w:t>
            </w:r>
          </w:p>
        </w:tc>
        <w:tc>
          <w:tcPr>
            <w:tcW w:w="862" w:type="dxa"/>
            <w:tcBorders>
              <w:top w:val="nil"/>
              <w:left w:val="nil"/>
              <w:bottom w:val="single" w:sz="4" w:space="0" w:color="BFBFBF"/>
              <w:right w:val="single" w:sz="4" w:space="0" w:color="BFBFBF"/>
            </w:tcBorders>
            <w:shd w:val="clear" w:color="auto" w:fill="auto"/>
            <w:noWrap/>
            <w:vAlign w:val="bottom"/>
            <w:hideMark/>
          </w:tcPr>
          <w:p w14:paraId="011CDFAE" w14:textId="77777777" w:rsidR="000F0D9B" w:rsidRPr="000F0D9B" w:rsidRDefault="000F0D9B" w:rsidP="000F0D9B">
            <w:pPr>
              <w:jc w:val="right"/>
              <w:rPr>
                <w:sz w:val="14"/>
                <w:szCs w:val="14"/>
              </w:rPr>
            </w:pPr>
            <w:r w:rsidRPr="000F0D9B">
              <w:rPr>
                <w:sz w:val="14"/>
                <w:szCs w:val="14"/>
              </w:rPr>
              <w:t>9 661 627</w:t>
            </w:r>
          </w:p>
        </w:tc>
        <w:tc>
          <w:tcPr>
            <w:tcW w:w="866" w:type="dxa"/>
            <w:tcBorders>
              <w:top w:val="nil"/>
              <w:left w:val="nil"/>
              <w:bottom w:val="single" w:sz="4" w:space="0" w:color="BFBFBF"/>
              <w:right w:val="single" w:sz="4" w:space="0" w:color="BFBFBF"/>
            </w:tcBorders>
            <w:shd w:val="clear" w:color="auto" w:fill="auto"/>
            <w:noWrap/>
            <w:vAlign w:val="bottom"/>
            <w:hideMark/>
          </w:tcPr>
          <w:p w14:paraId="4BBDC9FC" w14:textId="77777777" w:rsidR="000F0D9B" w:rsidRPr="000F0D9B" w:rsidRDefault="000F0D9B" w:rsidP="000F0D9B">
            <w:pPr>
              <w:jc w:val="right"/>
              <w:rPr>
                <w:sz w:val="14"/>
                <w:szCs w:val="14"/>
              </w:rPr>
            </w:pPr>
            <w:r w:rsidRPr="000F0D9B">
              <w:rPr>
                <w:sz w:val="14"/>
                <w:szCs w:val="14"/>
              </w:rPr>
              <w:t>5 819 432</w:t>
            </w:r>
          </w:p>
        </w:tc>
        <w:tc>
          <w:tcPr>
            <w:tcW w:w="830" w:type="dxa"/>
            <w:tcBorders>
              <w:top w:val="nil"/>
              <w:left w:val="nil"/>
              <w:bottom w:val="single" w:sz="4" w:space="0" w:color="BFBFBF"/>
              <w:right w:val="single" w:sz="4" w:space="0" w:color="BFBFBF"/>
            </w:tcBorders>
            <w:shd w:val="clear" w:color="auto" w:fill="auto"/>
            <w:noWrap/>
            <w:vAlign w:val="bottom"/>
            <w:hideMark/>
          </w:tcPr>
          <w:p w14:paraId="4AFAB618" w14:textId="77777777" w:rsidR="000F0D9B" w:rsidRPr="000F0D9B" w:rsidRDefault="000F0D9B" w:rsidP="000F0D9B">
            <w:pPr>
              <w:jc w:val="right"/>
              <w:rPr>
                <w:sz w:val="14"/>
                <w:szCs w:val="14"/>
              </w:rPr>
            </w:pPr>
            <w:r w:rsidRPr="000F0D9B">
              <w:rPr>
                <w:sz w:val="14"/>
                <w:szCs w:val="14"/>
              </w:rPr>
              <w:t>0</w:t>
            </w:r>
          </w:p>
        </w:tc>
        <w:tc>
          <w:tcPr>
            <w:tcW w:w="901" w:type="dxa"/>
            <w:tcBorders>
              <w:top w:val="nil"/>
              <w:left w:val="nil"/>
              <w:bottom w:val="single" w:sz="4" w:space="0" w:color="BFBFBF"/>
              <w:right w:val="single" w:sz="4" w:space="0" w:color="BFBFBF"/>
            </w:tcBorders>
            <w:shd w:val="clear" w:color="auto" w:fill="auto"/>
            <w:noWrap/>
            <w:vAlign w:val="bottom"/>
            <w:hideMark/>
          </w:tcPr>
          <w:p w14:paraId="0F288B17" w14:textId="77777777" w:rsidR="000F0D9B" w:rsidRPr="000F0D9B" w:rsidRDefault="000F0D9B" w:rsidP="000F0D9B">
            <w:pPr>
              <w:jc w:val="right"/>
              <w:rPr>
                <w:b/>
                <w:bCs/>
                <w:sz w:val="14"/>
                <w:szCs w:val="14"/>
              </w:rPr>
            </w:pPr>
            <w:r w:rsidRPr="000F0D9B">
              <w:rPr>
                <w:b/>
                <w:bCs/>
                <w:sz w:val="14"/>
                <w:szCs w:val="14"/>
              </w:rPr>
              <w:t>5 819 432</w:t>
            </w:r>
          </w:p>
        </w:tc>
      </w:tr>
      <w:tr w:rsidR="000F0D9B" w:rsidRPr="000F0D9B" w14:paraId="7C20FD9B"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63046E22" w14:textId="77777777" w:rsidR="000F0D9B" w:rsidRPr="000F0D9B" w:rsidRDefault="000F0D9B" w:rsidP="00A7489D">
            <w:pPr>
              <w:jc w:val="center"/>
              <w:rPr>
                <w:b/>
                <w:bCs/>
                <w:sz w:val="14"/>
                <w:szCs w:val="14"/>
              </w:rPr>
            </w:pPr>
            <w:r w:rsidRPr="000F0D9B">
              <w:rPr>
                <w:b/>
                <w:bCs/>
                <w:sz w:val="14"/>
                <w:szCs w:val="14"/>
              </w:rPr>
              <w:t>2021</w:t>
            </w:r>
          </w:p>
        </w:tc>
        <w:tc>
          <w:tcPr>
            <w:tcW w:w="862" w:type="dxa"/>
            <w:tcBorders>
              <w:top w:val="nil"/>
              <w:left w:val="nil"/>
              <w:bottom w:val="single" w:sz="4" w:space="0" w:color="BFBFBF"/>
              <w:right w:val="single" w:sz="4" w:space="0" w:color="BFBFBF"/>
            </w:tcBorders>
            <w:shd w:val="clear" w:color="000000" w:fill="FFFFFF"/>
            <w:noWrap/>
            <w:vAlign w:val="bottom"/>
            <w:hideMark/>
          </w:tcPr>
          <w:p w14:paraId="3C01E797" w14:textId="77777777" w:rsidR="000F0D9B" w:rsidRPr="000F0D9B" w:rsidRDefault="000F0D9B" w:rsidP="000F0D9B">
            <w:pPr>
              <w:jc w:val="right"/>
              <w:rPr>
                <w:sz w:val="14"/>
                <w:szCs w:val="14"/>
              </w:rPr>
            </w:pPr>
            <w:r w:rsidRPr="000F0D9B">
              <w:rPr>
                <w:sz w:val="14"/>
                <w:szCs w:val="14"/>
              </w:rPr>
              <w:t>10 746 843</w:t>
            </w:r>
          </w:p>
        </w:tc>
        <w:tc>
          <w:tcPr>
            <w:tcW w:w="900" w:type="dxa"/>
            <w:tcBorders>
              <w:top w:val="nil"/>
              <w:left w:val="nil"/>
              <w:bottom w:val="single" w:sz="4" w:space="0" w:color="BFBFBF"/>
              <w:right w:val="single" w:sz="4" w:space="0" w:color="BFBFBF"/>
            </w:tcBorders>
            <w:shd w:val="clear" w:color="000000" w:fill="FFFFFF"/>
            <w:noWrap/>
            <w:vAlign w:val="bottom"/>
            <w:hideMark/>
          </w:tcPr>
          <w:p w14:paraId="301E7282" w14:textId="77777777" w:rsidR="000F0D9B" w:rsidRPr="000F0D9B" w:rsidRDefault="000F0D9B" w:rsidP="000F0D9B">
            <w:pPr>
              <w:jc w:val="right"/>
              <w:rPr>
                <w:sz w:val="14"/>
                <w:szCs w:val="14"/>
              </w:rPr>
            </w:pPr>
            <w:r w:rsidRPr="000F0D9B">
              <w:rPr>
                <w:sz w:val="14"/>
                <w:szCs w:val="14"/>
              </w:rPr>
              <w:t>8 930 304</w:t>
            </w:r>
          </w:p>
        </w:tc>
        <w:tc>
          <w:tcPr>
            <w:tcW w:w="864" w:type="dxa"/>
            <w:tcBorders>
              <w:top w:val="nil"/>
              <w:left w:val="nil"/>
              <w:bottom w:val="single" w:sz="4" w:space="0" w:color="BFBFBF"/>
              <w:right w:val="single" w:sz="4" w:space="0" w:color="BFBFBF"/>
            </w:tcBorders>
            <w:shd w:val="clear" w:color="000000" w:fill="FFFFFF"/>
            <w:noWrap/>
            <w:vAlign w:val="bottom"/>
            <w:hideMark/>
          </w:tcPr>
          <w:p w14:paraId="1B1BB939" w14:textId="77777777" w:rsidR="000F0D9B" w:rsidRPr="000F0D9B" w:rsidRDefault="000F0D9B" w:rsidP="000F0D9B">
            <w:pPr>
              <w:jc w:val="right"/>
              <w:rPr>
                <w:sz w:val="14"/>
                <w:szCs w:val="14"/>
              </w:rPr>
            </w:pPr>
            <w:r w:rsidRPr="000F0D9B">
              <w:rPr>
                <w:sz w:val="14"/>
                <w:szCs w:val="14"/>
              </w:rPr>
              <w:t>277 832</w:t>
            </w:r>
          </w:p>
        </w:tc>
        <w:tc>
          <w:tcPr>
            <w:tcW w:w="817" w:type="dxa"/>
            <w:tcBorders>
              <w:top w:val="nil"/>
              <w:left w:val="nil"/>
              <w:bottom w:val="single" w:sz="4" w:space="0" w:color="BFBFBF"/>
              <w:right w:val="single" w:sz="4" w:space="0" w:color="BFBFBF"/>
            </w:tcBorders>
            <w:shd w:val="clear" w:color="auto" w:fill="auto"/>
            <w:noWrap/>
            <w:vAlign w:val="bottom"/>
            <w:hideMark/>
          </w:tcPr>
          <w:p w14:paraId="119D8AF0" w14:textId="77777777" w:rsidR="000F0D9B" w:rsidRPr="000F0D9B" w:rsidRDefault="000F0D9B" w:rsidP="000F0D9B">
            <w:pPr>
              <w:jc w:val="right"/>
              <w:rPr>
                <w:b/>
                <w:bCs/>
                <w:sz w:val="14"/>
                <w:szCs w:val="14"/>
              </w:rPr>
            </w:pPr>
            <w:r w:rsidRPr="000F0D9B">
              <w:rPr>
                <w:b/>
                <w:bCs/>
                <w:sz w:val="14"/>
                <w:szCs w:val="14"/>
              </w:rPr>
              <w:t>9 208 136</w:t>
            </w:r>
          </w:p>
        </w:tc>
        <w:tc>
          <w:tcPr>
            <w:tcW w:w="862" w:type="dxa"/>
            <w:tcBorders>
              <w:top w:val="nil"/>
              <w:left w:val="nil"/>
              <w:bottom w:val="single" w:sz="4" w:space="0" w:color="BFBFBF"/>
              <w:right w:val="single" w:sz="4" w:space="0" w:color="BFBFBF"/>
            </w:tcBorders>
            <w:shd w:val="clear" w:color="auto" w:fill="auto"/>
            <w:noWrap/>
            <w:vAlign w:val="bottom"/>
            <w:hideMark/>
          </w:tcPr>
          <w:p w14:paraId="63E7DABF" w14:textId="77777777" w:rsidR="000F0D9B" w:rsidRPr="000F0D9B" w:rsidRDefault="000F0D9B" w:rsidP="000F0D9B">
            <w:pPr>
              <w:jc w:val="right"/>
              <w:rPr>
                <w:sz w:val="14"/>
                <w:szCs w:val="14"/>
              </w:rPr>
            </w:pPr>
            <w:r w:rsidRPr="000F0D9B">
              <w:rPr>
                <w:sz w:val="14"/>
                <w:szCs w:val="14"/>
              </w:rPr>
              <w:t>2 749 501</w:t>
            </w:r>
          </w:p>
        </w:tc>
        <w:tc>
          <w:tcPr>
            <w:tcW w:w="824" w:type="dxa"/>
            <w:tcBorders>
              <w:top w:val="nil"/>
              <w:left w:val="nil"/>
              <w:bottom w:val="single" w:sz="4" w:space="0" w:color="BFBFBF"/>
              <w:right w:val="single" w:sz="4" w:space="0" w:color="BFBFBF"/>
            </w:tcBorders>
            <w:shd w:val="clear" w:color="auto" w:fill="auto"/>
            <w:noWrap/>
            <w:vAlign w:val="bottom"/>
            <w:hideMark/>
          </w:tcPr>
          <w:p w14:paraId="50BFCF1E" w14:textId="77777777" w:rsidR="000F0D9B" w:rsidRPr="000F0D9B" w:rsidRDefault="000F0D9B" w:rsidP="000F0D9B">
            <w:pPr>
              <w:jc w:val="right"/>
              <w:rPr>
                <w:sz w:val="14"/>
                <w:szCs w:val="14"/>
              </w:rPr>
            </w:pPr>
            <w:r w:rsidRPr="000F0D9B">
              <w:rPr>
                <w:sz w:val="14"/>
                <w:szCs w:val="14"/>
              </w:rPr>
              <w:t>3 110 872</w:t>
            </w:r>
          </w:p>
        </w:tc>
        <w:tc>
          <w:tcPr>
            <w:tcW w:w="857" w:type="dxa"/>
            <w:tcBorders>
              <w:top w:val="nil"/>
              <w:left w:val="nil"/>
              <w:bottom w:val="single" w:sz="4" w:space="0" w:color="BFBFBF"/>
              <w:right w:val="single" w:sz="4" w:space="0" w:color="BFBFBF"/>
            </w:tcBorders>
            <w:shd w:val="clear" w:color="auto" w:fill="auto"/>
            <w:noWrap/>
            <w:vAlign w:val="bottom"/>
            <w:hideMark/>
          </w:tcPr>
          <w:p w14:paraId="697983CB" w14:textId="77777777" w:rsidR="000F0D9B" w:rsidRPr="000F0D9B" w:rsidRDefault="000F0D9B" w:rsidP="000F0D9B">
            <w:pPr>
              <w:jc w:val="right"/>
              <w:rPr>
                <w:sz w:val="14"/>
                <w:szCs w:val="14"/>
              </w:rPr>
            </w:pPr>
            <w:r w:rsidRPr="000F0D9B">
              <w:rPr>
                <w:sz w:val="14"/>
                <w:szCs w:val="14"/>
              </w:rPr>
              <w:t>275 148</w:t>
            </w:r>
          </w:p>
        </w:tc>
        <w:tc>
          <w:tcPr>
            <w:tcW w:w="839" w:type="dxa"/>
            <w:tcBorders>
              <w:top w:val="nil"/>
              <w:left w:val="nil"/>
              <w:bottom w:val="single" w:sz="4" w:space="0" w:color="BFBFBF"/>
              <w:right w:val="single" w:sz="4" w:space="0" w:color="BFBFBF"/>
            </w:tcBorders>
            <w:shd w:val="clear" w:color="auto" w:fill="auto"/>
            <w:noWrap/>
            <w:vAlign w:val="bottom"/>
            <w:hideMark/>
          </w:tcPr>
          <w:p w14:paraId="75C1F10A" w14:textId="77777777" w:rsidR="000F0D9B" w:rsidRPr="000F0D9B" w:rsidRDefault="000F0D9B" w:rsidP="000F0D9B">
            <w:pPr>
              <w:jc w:val="right"/>
              <w:rPr>
                <w:b/>
                <w:bCs/>
                <w:sz w:val="14"/>
                <w:szCs w:val="14"/>
              </w:rPr>
            </w:pPr>
            <w:r w:rsidRPr="000F0D9B">
              <w:rPr>
                <w:b/>
                <w:bCs/>
                <w:sz w:val="14"/>
                <w:szCs w:val="14"/>
              </w:rPr>
              <w:t>3 386 020</w:t>
            </w:r>
          </w:p>
        </w:tc>
        <w:tc>
          <w:tcPr>
            <w:tcW w:w="862" w:type="dxa"/>
            <w:tcBorders>
              <w:top w:val="nil"/>
              <w:left w:val="nil"/>
              <w:bottom w:val="single" w:sz="4" w:space="0" w:color="BFBFBF"/>
              <w:right w:val="single" w:sz="4" w:space="0" w:color="BFBFBF"/>
            </w:tcBorders>
            <w:shd w:val="clear" w:color="auto" w:fill="auto"/>
            <w:noWrap/>
            <w:vAlign w:val="bottom"/>
            <w:hideMark/>
          </w:tcPr>
          <w:p w14:paraId="2C48F4DC" w14:textId="77777777" w:rsidR="000F0D9B" w:rsidRPr="000F0D9B" w:rsidRDefault="000F0D9B" w:rsidP="000F0D9B">
            <w:pPr>
              <w:jc w:val="right"/>
              <w:rPr>
                <w:sz w:val="14"/>
                <w:szCs w:val="14"/>
              </w:rPr>
            </w:pPr>
            <w:r w:rsidRPr="000F0D9B">
              <w:rPr>
                <w:sz w:val="14"/>
                <w:szCs w:val="14"/>
              </w:rPr>
              <w:t>7 997 342</w:t>
            </w:r>
          </w:p>
        </w:tc>
        <w:tc>
          <w:tcPr>
            <w:tcW w:w="866" w:type="dxa"/>
            <w:tcBorders>
              <w:top w:val="nil"/>
              <w:left w:val="nil"/>
              <w:bottom w:val="single" w:sz="4" w:space="0" w:color="BFBFBF"/>
              <w:right w:val="single" w:sz="4" w:space="0" w:color="BFBFBF"/>
            </w:tcBorders>
            <w:shd w:val="clear" w:color="auto" w:fill="auto"/>
            <w:noWrap/>
            <w:vAlign w:val="bottom"/>
            <w:hideMark/>
          </w:tcPr>
          <w:p w14:paraId="05E668E1" w14:textId="77777777" w:rsidR="000F0D9B" w:rsidRPr="000F0D9B" w:rsidRDefault="000F0D9B" w:rsidP="000F0D9B">
            <w:pPr>
              <w:jc w:val="right"/>
              <w:rPr>
                <w:sz w:val="14"/>
                <w:szCs w:val="14"/>
              </w:rPr>
            </w:pPr>
            <w:r w:rsidRPr="000F0D9B">
              <w:rPr>
                <w:sz w:val="14"/>
                <w:szCs w:val="14"/>
              </w:rPr>
              <w:t>5 819 432</w:t>
            </w:r>
          </w:p>
        </w:tc>
        <w:tc>
          <w:tcPr>
            <w:tcW w:w="830" w:type="dxa"/>
            <w:tcBorders>
              <w:top w:val="nil"/>
              <w:left w:val="nil"/>
              <w:bottom w:val="single" w:sz="4" w:space="0" w:color="BFBFBF"/>
              <w:right w:val="single" w:sz="4" w:space="0" w:color="BFBFBF"/>
            </w:tcBorders>
            <w:shd w:val="clear" w:color="auto" w:fill="auto"/>
            <w:noWrap/>
            <w:vAlign w:val="bottom"/>
            <w:hideMark/>
          </w:tcPr>
          <w:p w14:paraId="735221C1" w14:textId="77777777" w:rsidR="000F0D9B" w:rsidRPr="000F0D9B" w:rsidRDefault="000F0D9B" w:rsidP="000F0D9B">
            <w:pPr>
              <w:jc w:val="right"/>
              <w:rPr>
                <w:sz w:val="14"/>
                <w:szCs w:val="14"/>
              </w:rPr>
            </w:pPr>
            <w:r w:rsidRPr="000F0D9B">
              <w:rPr>
                <w:sz w:val="14"/>
                <w:szCs w:val="14"/>
              </w:rPr>
              <w:t>2 684</w:t>
            </w:r>
          </w:p>
        </w:tc>
        <w:tc>
          <w:tcPr>
            <w:tcW w:w="901" w:type="dxa"/>
            <w:tcBorders>
              <w:top w:val="nil"/>
              <w:left w:val="nil"/>
              <w:bottom w:val="single" w:sz="4" w:space="0" w:color="BFBFBF"/>
              <w:right w:val="single" w:sz="4" w:space="0" w:color="BFBFBF"/>
            </w:tcBorders>
            <w:shd w:val="clear" w:color="auto" w:fill="auto"/>
            <w:noWrap/>
            <w:vAlign w:val="bottom"/>
            <w:hideMark/>
          </w:tcPr>
          <w:p w14:paraId="30E5D4C9" w14:textId="77777777" w:rsidR="000F0D9B" w:rsidRPr="000F0D9B" w:rsidRDefault="000F0D9B" w:rsidP="000F0D9B">
            <w:pPr>
              <w:jc w:val="right"/>
              <w:rPr>
                <w:b/>
                <w:bCs/>
                <w:sz w:val="14"/>
                <w:szCs w:val="14"/>
              </w:rPr>
            </w:pPr>
            <w:r w:rsidRPr="000F0D9B">
              <w:rPr>
                <w:b/>
                <w:bCs/>
                <w:sz w:val="14"/>
                <w:szCs w:val="14"/>
              </w:rPr>
              <w:t>5 822 116</w:t>
            </w:r>
          </w:p>
        </w:tc>
      </w:tr>
      <w:tr w:rsidR="000F0D9B" w:rsidRPr="000F0D9B" w14:paraId="7C6D403F"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18AE144E" w14:textId="77777777" w:rsidR="000F0D9B" w:rsidRPr="000F0D9B" w:rsidRDefault="000F0D9B" w:rsidP="00A7489D">
            <w:pPr>
              <w:jc w:val="center"/>
              <w:rPr>
                <w:b/>
                <w:bCs/>
                <w:sz w:val="14"/>
                <w:szCs w:val="14"/>
              </w:rPr>
            </w:pPr>
            <w:r w:rsidRPr="000F0D9B">
              <w:rPr>
                <w:b/>
                <w:bCs/>
                <w:sz w:val="14"/>
                <w:szCs w:val="14"/>
              </w:rPr>
              <w:t>2022</w:t>
            </w:r>
          </w:p>
        </w:tc>
        <w:tc>
          <w:tcPr>
            <w:tcW w:w="862" w:type="dxa"/>
            <w:tcBorders>
              <w:top w:val="nil"/>
              <w:left w:val="nil"/>
              <w:bottom w:val="single" w:sz="4" w:space="0" w:color="BFBFBF"/>
              <w:right w:val="single" w:sz="4" w:space="0" w:color="BFBFBF"/>
            </w:tcBorders>
            <w:shd w:val="clear" w:color="000000" w:fill="FFFFFF"/>
            <w:noWrap/>
            <w:vAlign w:val="bottom"/>
            <w:hideMark/>
          </w:tcPr>
          <w:p w14:paraId="694DA483" w14:textId="77777777" w:rsidR="000F0D9B" w:rsidRPr="000F0D9B" w:rsidRDefault="000F0D9B" w:rsidP="000F0D9B">
            <w:pPr>
              <w:jc w:val="right"/>
              <w:rPr>
                <w:sz w:val="14"/>
                <w:szCs w:val="14"/>
              </w:rPr>
            </w:pPr>
            <w:r w:rsidRPr="000F0D9B">
              <w:rPr>
                <w:sz w:val="14"/>
                <w:szCs w:val="14"/>
              </w:rPr>
              <w:t>6 349 724</w:t>
            </w:r>
          </w:p>
        </w:tc>
        <w:tc>
          <w:tcPr>
            <w:tcW w:w="900" w:type="dxa"/>
            <w:tcBorders>
              <w:top w:val="nil"/>
              <w:left w:val="nil"/>
              <w:bottom w:val="single" w:sz="4" w:space="0" w:color="BFBFBF"/>
              <w:right w:val="single" w:sz="4" w:space="0" w:color="BFBFBF"/>
            </w:tcBorders>
            <w:shd w:val="clear" w:color="000000" w:fill="FFFFFF"/>
            <w:noWrap/>
            <w:vAlign w:val="bottom"/>
            <w:hideMark/>
          </w:tcPr>
          <w:p w14:paraId="62AD2DEC" w14:textId="77777777" w:rsidR="000F0D9B" w:rsidRPr="000F0D9B" w:rsidRDefault="000F0D9B" w:rsidP="000F0D9B">
            <w:pPr>
              <w:jc w:val="right"/>
              <w:rPr>
                <w:sz w:val="14"/>
                <w:szCs w:val="14"/>
              </w:rPr>
            </w:pPr>
            <w:r w:rsidRPr="000F0D9B">
              <w:rPr>
                <w:sz w:val="14"/>
                <w:szCs w:val="14"/>
              </w:rPr>
              <w:t>7 938 048</w:t>
            </w:r>
          </w:p>
        </w:tc>
        <w:tc>
          <w:tcPr>
            <w:tcW w:w="864" w:type="dxa"/>
            <w:tcBorders>
              <w:top w:val="nil"/>
              <w:left w:val="nil"/>
              <w:bottom w:val="single" w:sz="4" w:space="0" w:color="BFBFBF"/>
              <w:right w:val="single" w:sz="4" w:space="0" w:color="BFBFBF"/>
            </w:tcBorders>
            <w:shd w:val="clear" w:color="000000" w:fill="FFFFFF"/>
            <w:noWrap/>
            <w:vAlign w:val="bottom"/>
            <w:hideMark/>
          </w:tcPr>
          <w:p w14:paraId="28C7AC00" w14:textId="77777777" w:rsidR="000F0D9B" w:rsidRPr="000F0D9B" w:rsidRDefault="000F0D9B" w:rsidP="000F0D9B">
            <w:pPr>
              <w:jc w:val="right"/>
              <w:rPr>
                <w:sz w:val="14"/>
                <w:szCs w:val="14"/>
              </w:rPr>
            </w:pPr>
            <w:r w:rsidRPr="000F0D9B">
              <w:rPr>
                <w:sz w:val="14"/>
                <w:szCs w:val="14"/>
              </w:rPr>
              <w:t>714 424</w:t>
            </w:r>
          </w:p>
        </w:tc>
        <w:tc>
          <w:tcPr>
            <w:tcW w:w="817" w:type="dxa"/>
            <w:tcBorders>
              <w:top w:val="nil"/>
              <w:left w:val="nil"/>
              <w:bottom w:val="single" w:sz="4" w:space="0" w:color="BFBFBF"/>
              <w:right w:val="single" w:sz="4" w:space="0" w:color="BFBFBF"/>
            </w:tcBorders>
            <w:shd w:val="clear" w:color="auto" w:fill="auto"/>
            <w:noWrap/>
            <w:vAlign w:val="bottom"/>
            <w:hideMark/>
          </w:tcPr>
          <w:p w14:paraId="0F1E39BF" w14:textId="77777777" w:rsidR="000F0D9B" w:rsidRPr="000F0D9B" w:rsidRDefault="000F0D9B" w:rsidP="000F0D9B">
            <w:pPr>
              <w:jc w:val="right"/>
              <w:rPr>
                <w:b/>
                <w:bCs/>
                <w:sz w:val="14"/>
                <w:szCs w:val="14"/>
              </w:rPr>
            </w:pPr>
            <w:r w:rsidRPr="000F0D9B">
              <w:rPr>
                <w:b/>
                <w:bCs/>
                <w:sz w:val="14"/>
                <w:szCs w:val="14"/>
              </w:rPr>
              <w:t>8 652 472</w:t>
            </w:r>
          </w:p>
        </w:tc>
        <w:tc>
          <w:tcPr>
            <w:tcW w:w="862" w:type="dxa"/>
            <w:tcBorders>
              <w:top w:val="nil"/>
              <w:left w:val="nil"/>
              <w:bottom w:val="single" w:sz="4" w:space="0" w:color="BFBFBF"/>
              <w:right w:val="single" w:sz="4" w:space="0" w:color="BFBFBF"/>
            </w:tcBorders>
            <w:shd w:val="clear" w:color="auto" w:fill="auto"/>
            <w:noWrap/>
            <w:vAlign w:val="bottom"/>
            <w:hideMark/>
          </w:tcPr>
          <w:p w14:paraId="1599FB47" w14:textId="77777777" w:rsidR="000F0D9B" w:rsidRPr="000F0D9B" w:rsidRDefault="000F0D9B" w:rsidP="000F0D9B">
            <w:pPr>
              <w:jc w:val="right"/>
              <w:rPr>
                <w:sz w:val="14"/>
                <w:szCs w:val="14"/>
              </w:rPr>
            </w:pPr>
            <w:r w:rsidRPr="000F0D9B">
              <w:rPr>
                <w:sz w:val="14"/>
                <w:szCs w:val="14"/>
              </w:rPr>
              <w:t>1 933 663</w:t>
            </w:r>
          </w:p>
        </w:tc>
        <w:tc>
          <w:tcPr>
            <w:tcW w:w="824" w:type="dxa"/>
            <w:tcBorders>
              <w:top w:val="nil"/>
              <w:left w:val="nil"/>
              <w:bottom w:val="single" w:sz="4" w:space="0" w:color="BFBFBF"/>
              <w:right w:val="single" w:sz="4" w:space="0" w:color="BFBFBF"/>
            </w:tcBorders>
            <w:shd w:val="clear" w:color="auto" w:fill="auto"/>
            <w:noWrap/>
            <w:vAlign w:val="bottom"/>
            <w:hideMark/>
          </w:tcPr>
          <w:p w14:paraId="4F4990AF" w14:textId="77777777" w:rsidR="000F0D9B" w:rsidRPr="000F0D9B" w:rsidRDefault="000F0D9B" w:rsidP="000F0D9B">
            <w:pPr>
              <w:jc w:val="right"/>
              <w:rPr>
                <w:sz w:val="14"/>
                <w:szCs w:val="14"/>
              </w:rPr>
            </w:pPr>
            <w:r w:rsidRPr="000F0D9B">
              <w:rPr>
                <w:sz w:val="14"/>
                <w:szCs w:val="14"/>
              </w:rPr>
              <w:t>3 037 794</w:t>
            </w:r>
          </w:p>
        </w:tc>
        <w:tc>
          <w:tcPr>
            <w:tcW w:w="857" w:type="dxa"/>
            <w:tcBorders>
              <w:top w:val="nil"/>
              <w:left w:val="nil"/>
              <w:bottom w:val="single" w:sz="4" w:space="0" w:color="BFBFBF"/>
              <w:right w:val="single" w:sz="4" w:space="0" w:color="BFBFBF"/>
            </w:tcBorders>
            <w:shd w:val="clear" w:color="auto" w:fill="auto"/>
            <w:noWrap/>
            <w:vAlign w:val="bottom"/>
            <w:hideMark/>
          </w:tcPr>
          <w:p w14:paraId="544064C3" w14:textId="77777777" w:rsidR="000F0D9B" w:rsidRPr="000F0D9B" w:rsidRDefault="000F0D9B" w:rsidP="000F0D9B">
            <w:pPr>
              <w:jc w:val="right"/>
              <w:rPr>
                <w:sz w:val="14"/>
                <w:szCs w:val="14"/>
              </w:rPr>
            </w:pPr>
            <w:r w:rsidRPr="000F0D9B">
              <w:rPr>
                <w:sz w:val="14"/>
                <w:szCs w:val="14"/>
              </w:rPr>
              <w:t>677 908</w:t>
            </w:r>
          </w:p>
        </w:tc>
        <w:tc>
          <w:tcPr>
            <w:tcW w:w="839" w:type="dxa"/>
            <w:tcBorders>
              <w:top w:val="nil"/>
              <w:left w:val="nil"/>
              <w:bottom w:val="single" w:sz="4" w:space="0" w:color="BFBFBF"/>
              <w:right w:val="single" w:sz="4" w:space="0" w:color="BFBFBF"/>
            </w:tcBorders>
            <w:shd w:val="clear" w:color="auto" w:fill="auto"/>
            <w:noWrap/>
            <w:vAlign w:val="bottom"/>
            <w:hideMark/>
          </w:tcPr>
          <w:p w14:paraId="456668DA" w14:textId="77777777" w:rsidR="000F0D9B" w:rsidRPr="000F0D9B" w:rsidRDefault="000F0D9B" w:rsidP="000F0D9B">
            <w:pPr>
              <w:jc w:val="right"/>
              <w:rPr>
                <w:b/>
                <w:bCs/>
                <w:sz w:val="14"/>
                <w:szCs w:val="14"/>
              </w:rPr>
            </w:pPr>
            <w:r w:rsidRPr="000F0D9B">
              <w:rPr>
                <w:b/>
                <w:bCs/>
                <w:sz w:val="14"/>
                <w:szCs w:val="14"/>
              </w:rPr>
              <w:t>3 715 702</w:t>
            </w:r>
          </w:p>
        </w:tc>
        <w:tc>
          <w:tcPr>
            <w:tcW w:w="862" w:type="dxa"/>
            <w:tcBorders>
              <w:top w:val="nil"/>
              <w:left w:val="nil"/>
              <w:bottom w:val="single" w:sz="4" w:space="0" w:color="BFBFBF"/>
              <w:right w:val="single" w:sz="4" w:space="0" w:color="BFBFBF"/>
            </w:tcBorders>
            <w:shd w:val="clear" w:color="auto" w:fill="auto"/>
            <w:noWrap/>
            <w:vAlign w:val="bottom"/>
            <w:hideMark/>
          </w:tcPr>
          <w:p w14:paraId="04D14F23" w14:textId="77777777" w:rsidR="000F0D9B" w:rsidRPr="000F0D9B" w:rsidRDefault="000F0D9B" w:rsidP="000F0D9B">
            <w:pPr>
              <w:jc w:val="right"/>
              <w:rPr>
                <w:sz w:val="14"/>
                <w:szCs w:val="14"/>
              </w:rPr>
            </w:pPr>
            <w:r w:rsidRPr="000F0D9B">
              <w:rPr>
                <w:sz w:val="14"/>
                <w:szCs w:val="14"/>
              </w:rPr>
              <w:t>4 416 061</w:t>
            </w:r>
          </w:p>
        </w:tc>
        <w:tc>
          <w:tcPr>
            <w:tcW w:w="866" w:type="dxa"/>
            <w:tcBorders>
              <w:top w:val="nil"/>
              <w:left w:val="nil"/>
              <w:bottom w:val="single" w:sz="4" w:space="0" w:color="BFBFBF"/>
              <w:right w:val="single" w:sz="4" w:space="0" w:color="BFBFBF"/>
            </w:tcBorders>
            <w:shd w:val="clear" w:color="auto" w:fill="auto"/>
            <w:noWrap/>
            <w:vAlign w:val="bottom"/>
            <w:hideMark/>
          </w:tcPr>
          <w:p w14:paraId="6CD5A051" w14:textId="77777777" w:rsidR="000F0D9B" w:rsidRPr="000F0D9B" w:rsidRDefault="000F0D9B" w:rsidP="000F0D9B">
            <w:pPr>
              <w:jc w:val="right"/>
              <w:rPr>
                <w:sz w:val="14"/>
                <w:szCs w:val="14"/>
              </w:rPr>
            </w:pPr>
            <w:r w:rsidRPr="000F0D9B">
              <w:rPr>
                <w:sz w:val="14"/>
                <w:szCs w:val="14"/>
              </w:rPr>
              <w:t>4 900 254</w:t>
            </w:r>
          </w:p>
        </w:tc>
        <w:tc>
          <w:tcPr>
            <w:tcW w:w="830" w:type="dxa"/>
            <w:tcBorders>
              <w:top w:val="nil"/>
              <w:left w:val="nil"/>
              <w:bottom w:val="single" w:sz="4" w:space="0" w:color="BFBFBF"/>
              <w:right w:val="single" w:sz="4" w:space="0" w:color="BFBFBF"/>
            </w:tcBorders>
            <w:shd w:val="clear" w:color="auto" w:fill="auto"/>
            <w:noWrap/>
            <w:vAlign w:val="bottom"/>
            <w:hideMark/>
          </w:tcPr>
          <w:p w14:paraId="5A7442E1" w14:textId="77777777" w:rsidR="000F0D9B" w:rsidRPr="000F0D9B" w:rsidRDefault="000F0D9B" w:rsidP="000F0D9B">
            <w:pPr>
              <w:jc w:val="right"/>
              <w:rPr>
                <w:sz w:val="14"/>
                <w:szCs w:val="14"/>
              </w:rPr>
            </w:pPr>
            <w:r w:rsidRPr="000F0D9B">
              <w:rPr>
                <w:sz w:val="14"/>
                <w:szCs w:val="14"/>
              </w:rPr>
              <w:t>36 516</w:t>
            </w:r>
          </w:p>
        </w:tc>
        <w:tc>
          <w:tcPr>
            <w:tcW w:w="901" w:type="dxa"/>
            <w:tcBorders>
              <w:top w:val="nil"/>
              <w:left w:val="nil"/>
              <w:bottom w:val="single" w:sz="4" w:space="0" w:color="BFBFBF"/>
              <w:right w:val="single" w:sz="4" w:space="0" w:color="BFBFBF"/>
            </w:tcBorders>
            <w:shd w:val="clear" w:color="auto" w:fill="auto"/>
            <w:noWrap/>
            <w:vAlign w:val="bottom"/>
            <w:hideMark/>
          </w:tcPr>
          <w:p w14:paraId="39368A87" w14:textId="77777777" w:rsidR="000F0D9B" w:rsidRPr="000F0D9B" w:rsidRDefault="000F0D9B" w:rsidP="000F0D9B">
            <w:pPr>
              <w:jc w:val="right"/>
              <w:rPr>
                <w:b/>
                <w:bCs/>
                <w:sz w:val="14"/>
                <w:szCs w:val="14"/>
              </w:rPr>
            </w:pPr>
            <w:r w:rsidRPr="000F0D9B">
              <w:rPr>
                <w:b/>
                <w:bCs/>
                <w:sz w:val="14"/>
                <w:szCs w:val="14"/>
              </w:rPr>
              <w:t>4 936 770</w:t>
            </w:r>
          </w:p>
        </w:tc>
      </w:tr>
      <w:tr w:rsidR="000F0D9B" w:rsidRPr="000F0D9B" w14:paraId="380879AC"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06469D9D" w14:textId="77777777" w:rsidR="000F0D9B" w:rsidRPr="000F0D9B" w:rsidRDefault="000F0D9B" w:rsidP="000F0D9B">
            <w:pPr>
              <w:jc w:val="center"/>
              <w:rPr>
                <w:b/>
                <w:bCs/>
                <w:sz w:val="14"/>
                <w:szCs w:val="14"/>
              </w:rPr>
            </w:pPr>
            <w:r w:rsidRPr="000F0D9B">
              <w:rPr>
                <w:b/>
                <w:bCs/>
                <w:sz w:val="14"/>
                <w:szCs w:val="14"/>
              </w:rPr>
              <w:t>2023</w:t>
            </w:r>
          </w:p>
        </w:tc>
        <w:tc>
          <w:tcPr>
            <w:tcW w:w="862" w:type="dxa"/>
            <w:tcBorders>
              <w:top w:val="nil"/>
              <w:left w:val="nil"/>
              <w:bottom w:val="single" w:sz="4" w:space="0" w:color="BFBFBF"/>
              <w:right w:val="single" w:sz="4" w:space="0" w:color="BFBFBF"/>
            </w:tcBorders>
            <w:shd w:val="clear" w:color="000000" w:fill="FFFFFF"/>
            <w:noWrap/>
            <w:vAlign w:val="bottom"/>
            <w:hideMark/>
          </w:tcPr>
          <w:p w14:paraId="5E1932BA" w14:textId="77777777" w:rsidR="000F0D9B" w:rsidRPr="000F0D9B" w:rsidRDefault="000F0D9B" w:rsidP="000F0D9B">
            <w:pPr>
              <w:jc w:val="right"/>
              <w:rPr>
                <w:sz w:val="14"/>
                <w:szCs w:val="14"/>
              </w:rPr>
            </w:pPr>
            <w:r w:rsidRPr="000F0D9B">
              <w:rPr>
                <w:sz w:val="14"/>
                <w:szCs w:val="14"/>
              </w:rPr>
              <w:t>3 025 213</w:t>
            </w:r>
          </w:p>
        </w:tc>
        <w:tc>
          <w:tcPr>
            <w:tcW w:w="900" w:type="dxa"/>
            <w:tcBorders>
              <w:top w:val="nil"/>
              <w:left w:val="nil"/>
              <w:bottom w:val="single" w:sz="4" w:space="0" w:color="BFBFBF"/>
              <w:right w:val="single" w:sz="4" w:space="0" w:color="BFBFBF"/>
            </w:tcBorders>
            <w:shd w:val="clear" w:color="000000" w:fill="FFFFFF"/>
            <w:noWrap/>
            <w:vAlign w:val="bottom"/>
            <w:hideMark/>
          </w:tcPr>
          <w:p w14:paraId="07BBE73C" w14:textId="77777777" w:rsidR="000F0D9B" w:rsidRPr="000F0D9B" w:rsidRDefault="000F0D9B" w:rsidP="000F0D9B">
            <w:pPr>
              <w:jc w:val="right"/>
              <w:rPr>
                <w:sz w:val="14"/>
                <w:szCs w:val="14"/>
              </w:rPr>
            </w:pPr>
            <w:r w:rsidRPr="000F0D9B">
              <w:rPr>
                <w:sz w:val="14"/>
                <w:szCs w:val="14"/>
              </w:rPr>
              <w:t>4 167 475</w:t>
            </w:r>
          </w:p>
        </w:tc>
        <w:tc>
          <w:tcPr>
            <w:tcW w:w="864" w:type="dxa"/>
            <w:tcBorders>
              <w:top w:val="nil"/>
              <w:left w:val="nil"/>
              <w:bottom w:val="single" w:sz="4" w:space="0" w:color="BFBFBF"/>
              <w:right w:val="single" w:sz="4" w:space="0" w:color="BFBFBF"/>
            </w:tcBorders>
            <w:shd w:val="clear" w:color="000000" w:fill="FFFFFF"/>
            <w:noWrap/>
            <w:vAlign w:val="bottom"/>
            <w:hideMark/>
          </w:tcPr>
          <w:p w14:paraId="4EA29E38" w14:textId="77777777" w:rsidR="000F0D9B" w:rsidRPr="000F0D9B" w:rsidRDefault="000F0D9B" w:rsidP="000F0D9B">
            <w:pPr>
              <w:jc w:val="right"/>
              <w:rPr>
                <w:sz w:val="14"/>
                <w:szCs w:val="14"/>
              </w:rPr>
            </w:pPr>
            <w:r w:rsidRPr="000F0D9B">
              <w:rPr>
                <w:sz w:val="14"/>
                <w:szCs w:val="14"/>
              </w:rPr>
              <w:t>1 220 475</w:t>
            </w:r>
          </w:p>
        </w:tc>
        <w:tc>
          <w:tcPr>
            <w:tcW w:w="817" w:type="dxa"/>
            <w:tcBorders>
              <w:top w:val="nil"/>
              <w:left w:val="nil"/>
              <w:bottom w:val="single" w:sz="4" w:space="0" w:color="BFBFBF"/>
              <w:right w:val="single" w:sz="4" w:space="0" w:color="BFBFBF"/>
            </w:tcBorders>
            <w:shd w:val="clear" w:color="auto" w:fill="auto"/>
            <w:noWrap/>
            <w:vAlign w:val="bottom"/>
            <w:hideMark/>
          </w:tcPr>
          <w:p w14:paraId="4F9CB7BD" w14:textId="77777777" w:rsidR="000F0D9B" w:rsidRPr="000F0D9B" w:rsidRDefault="000F0D9B" w:rsidP="000F0D9B">
            <w:pPr>
              <w:jc w:val="right"/>
              <w:rPr>
                <w:b/>
                <w:bCs/>
                <w:sz w:val="14"/>
                <w:szCs w:val="14"/>
              </w:rPr>
            </w:pPr>
            <w:r w:rsidRPr="000F0D9B">
              <w:rPr>
                <w:b/>
                <w:bCs/>
                <w:sz w:val="14"/>
                <w:szCs w:val="14"/>
              </w:rPr>
              <w:t>5 387 950</w:t>
            </w:r>
          </w:p>
        </w:tc>
        <w:tc>
          <w:tcPr>
            <w:tcW w:w="862" w:type="dxa"/>
            <w:tcBorders>
              <w:top w:val="nil"/>
              <w:left w:val="nil"/>
              <w:bottom w:val="single" w:sz="4" w:space="0" w:color="BFBFBF"/>
              <w:right w:val="single" w:sz="4" w:space="0" w:color="BFBFBF"/>
            </w:tcBorders>
            <w:shd w:val="clear" w:color="auto" w:fill="auto"/>
            <w:noWrap/>
            <w:vAlign w:val="bottom"/>
            <w:hideMark/>
          </w:tcPr>
          <w:p w14:paraId="4A41AEFE" w14:textId="77777777" w:rsidR="000F0D9B" w:rsidRPr="000F0D9B" w:rsidRDefault="000F0D9B" w:rsidP="000F0D9B">
            <w:pPr>
              <w:jc w:val="right"/>
              <w:rPr>
                <w:sz w:val="14"/>
                <w:szCs w:val="14"/>
              </w:rPr>
            </w:pPr>
            <w:r w:rsidRPr="000F0D9B">
              <w:rPr>
                <w:sz w:val="14"/>
                <w:szCs w:val="14"/>
              </w:rPr>
              <w:t>1 268 013</w:t>
            </w:r>
          </w:p>
        </w:tc>
        <w:tc>
          <w:tcPr>
            <w:tcW w:w="824" w:type="dxa"/>
            <w:tcBorders>
              <w:top w:val="nil"/>
              <w:left w:val="nil"/>
              <w:bottom w:val="single" w:sz="4" w:space="0" w:color="BFBFBF"/>
              <w:right w:val="single" w:sz="4" w:space="0" w:color="BFBFBF"/>
            </w:tcBorders>
            <w:shd w:val="clear" w:color="auto" w:fill="auto"/>
            <w:noWrap/>
            <w:vAlign w:val="bottom"/>
            <w:hideMark/>
          </w:tcPr>
          <w:p w14:paraId="54E31E3D" w14:textId="77777777" w:rsidR="000F0D9B" w:rsidRPr="000F0D9B" w:rsidRDefault="000F0D9B" w:rsidP="000F0D9B">
            <w:pPr>
              <w:jc w:val="right"/>
              <w:rPr>
                <w:sz w:val="14"/>
                <w:szCs w:val="14"/>
              </w:rPr>
            </w:pPr>
            <w:r w:rsidRPr="000F0D9B">
              <w:rPr>
                <w:sz w:val="14"/>
                <w:szCs w:val="14"/>
              </w:rPr>
              <w:t>2 462 425</w:t>
            </w:r>
          </w:p>
        </w:tc>
        <w:tc>
          <w:tcPr>
            <w:tcW w:w="857" w:type="dxa"/>
            <w:tcBorders>
              <w:top w:val="nil"/>
              <w:left w:val="nil"/>
              <w:bottom w:val="single" w:sz="4" w:space="0" w:color="BFBFBF"/>
              <w:right w:val="single" w:sz="4" w:space="0" w:color="BFBFBF"/>
            </w:tcBorders>
            <w:shd w:val="clear" w:color="auto" w:fill="auto"/>
            <w:noWrap/>
            <w:vAlign w:val="bottom"/>
            <w:hideMark/>
          </w:tcPr>
          <w:p w14:paraId="280BED71" w14:textId="77777777" w:rsidR="000F0D9B" w:rsidRPr="000F0D9B" w:rsidRDefault="000F0D9B" w:rsidP="000F0D9B">
            <w:pPr>
              <w:jc w:val="right"/>
              <w:rPr>
                <w:sz w:val="14"/>
                <w:szCs w:val="14"/>
              </w:rPr>
            </w:pPr>
            <w:r w:rsidRPr="000F0D9B">
              <w:rPr>
                <w:sz w:val="14"/>
                <w:szCs w:val="14"/>
              </w:rPr>
              <w:t>1 069 404</w:t>
            </w:r>
          </w:p>
        </w:tc>
        <w:tc>
          <w:tcPr>
            <w:tcW w:w="839" w:type="dxa"/>
            <w:tcBorders>
              <w:top w:val="nil"/>
              <w:left w:val="nil"/>
              <w:bottom w:val="single" w:sz="4" w:space="0" w:color="BFBFBF"/>
              <w:right w:val="single" w:sz="4" w:space="0" w:color="BFBFBF"/>
            </w:tcBorders>
            <w:shd w:val="clear" w:color="auto" w:fill="auto"/>
            <w:noWrap/>
            <w:vAlign w:val="bottom"/>
            <w:hideMark/>
          </w:tcPr>
          <w:p w14:paraId="6CA0D560" w14:textId="77777777" w:rsidR="000F0D9B" w:rsidRPr="000F0D9B" w:rsidRDefault="000F0D9B" w:rsidP="000F0D9B">
            <w:pPr>
              <w:jc w:val="right"/>
              <w:rPr>
                <w:b/>
                <w:bCs/>
                <w:sz w:val="14"/>
                <w:szCs w:val="14"/>
              </w:rPr>
            </w:pPr>
            <w:r w:rsidRPr="000F0D9B">
              <w:rPr>
                <w:b/>
                <w:bCs/>
                <w:sz w:val="14"/>
                <w:szCs w:val="14"/>
              </w:rPr>
              <w:t>3 531 829</w:t>
            </w:r>
          </w:p>
        </w:tc>
        <w:tc>
          <w:tcPr>
            <w:tcW w:w="862" w:type="dxa"/>
            <w:tcBorders>
              <w:top w:val="nil"/>
              <w:left w:val="nil"/>
              <w:bottom w:val="single" w:sz="4" w:space="0" w:color="BFBFBF"/>
              <w:right w:val="single" w:sz="4" w:space="0" w:color="BFBFBF"/>
            </w:tcBorders>
            <w:shd w:val="clear" w:color="auto" w:fill="auto"/>
            <w:noWrap/>
            <w:vAlign w:val="bottom"/>
            <w:hideMark/>
          </w:tcPr>
          <w:p w14:paraId="7126AF18" w14:textId="77777777" w:rsidR="000F0D9B" w:rsidRPr="000F0D9B" w:rsidRDefault="000F0D9B" w:rsidP="000F0D9B">
            <w:pPr>
              <w:jc w:val="right"/>
              <w:rPr>
                <w:sz w:val="14"/>
                <w:szCs w:val="14"/>
              </w:rPr>
            </w:pPr>
            <w:r w:rsidRPr="000F0D9B">
              <w:rPr>
                <w:sz w:val="14"/>
                <w:szCs w:val="14"/>
              </w:rPr>
              <w:t>1 757 200</w:t>
            </w:r>
          </w:p>
        </w:tc>
        <w:tc>
          <w:tcPr>
            <w:tcW w:w="866" w:type="dxa"/>
            <w:tcBorders>
              <w:top w:val="nil"/>
              <w:left w:val="nil"/>
              <w:bottom w:val="single" w:sz="4" w:space="0" w:color="BFBFBF"/>
              <w:right w:val="single" w:sz="4" w:space="0" w:color="BFBFBF"/>
            </w:tcBorders>
            <w:shd w:val="clear" w:color="auto" w:fill="auto"/>
            <w:noWrap/>
            <w:vAlign w:val="bottom"/>
            <w:hideMark/>
          </w:tcPr>
          <w:p w14:paraId="74182939" w14:textId="77777777" w:rsidR="000F0D9B" w:rsidRPr="000F0D9B" w:rsidRDefault="000F0D9B" w:rsidP="000F0D9B">
            <w:pPr>
              <w:jc w:val="right"/>
              <w:rPr>
                <w:sz w:val="14"/>
                <w:szCs w:val="14"/>
              </w:rPr>
            </w:pPr>
            <w:r w:rsidRPr="000F0D9B">
              <w:rPr>
                <w:sz w:val="14"/>
                <w:szCs w:val="14"/>
              </w:rPr>
              <w:t>1 705 050</w:t>
            </w:r>
          </w:p>
        </w:tc>
        <w:tc>
          <w:tcPr>
            <w:tcW w:w="830" w:type="dxa"/>
            <w:tcBorders>
              <w:top w:val="nil"/>
              <w:left w:val="nil"/>
              <w:bottom w:val="single" w:sz="4" w:space="0" w:color="BFBFBF"/>
              <w:right w:val="single" w:sz="4" w:space="0" w:color="BFBFBF"/>
            </w:tcBorders>
            <w:shd w:val="clear" w:color="auto" w:fill="auto"/>
            <w:noWrap/>
            <w:vAlign w:val="bottom"/>
            <w:hideMark/>
          </w:tcPr>
          <w:p w14:paraId="5DF25323" w14:textId="77777777" w:rsidR="000F0D9B" w:rsidRPr="000F0D9B" w:rsidRDefault="000F0D9B" w:rsidP="000F0D9B">
            <w:pPr>
              <w:jc w:val="right"/>
              <w:rPr>
                <w:sz w:val="14"/>
                <w:szCs w:val="14"/>
              </w:rPr>
            </w:pPr>
            <w:r w:rsidRPr="000F0D9B">
              <w:rPr>
                <w:sz w:val="14"/>
                <w:szCs w:val="14"/>
              </w:rPr>
              <w:t>151 071</w:t>
            </w:r>
          </w:p>
        </w:tc>
        <w:tc>
          <w:tcPr>
            <w:tcW w:w="901" w:type="dxa"/>
            <w:tcBorders>
              <w:top w:val="nil"/>
              <w:left w:val="nil"/>
              <w:bottom w:val="single" w:sz="4" w:space="0" w:color="BFBFBF"/>
              <w:right w:val="single" w:sz="4" w:space="0" w:color="BFBFBF"/>
            </w:tcBorders>
            <w:shd w:val="clear" w:color="auto" w:fill="auto"/>
            <w:noWrap/>
            <w:vAlign w:val="bottom"/>
            <w:hideMark/>
          </w:tcPr>
          <w:p w14:paraId="346C410E" w14:textId="77777777" w:rsidR="000F0D9B" w:rsidRPr="000F0D9B" w:rsidRDefault="000F0D9B" w:rsidP="000F0D9B">
            <w:pPr>
              <w:jc w:val="right"/>
              <w:rPr>
                <w:b/>
                <w:bCs/>
                <w:sz w:val="14"/>
                <w:szCs w:val="14"/>
              </w:rPr>
            </w:pPr>
            <w:r w:rsidRPr="000F0D9B">
              <w:rPr>
                <w:b/>
                <w:bCs/>
                <w:sz w:val="14"/>
                <w:szCs w:val="14"/>
              </w:rPr>
              <w:t>1 856 121</w:t>
            </w:r>
          </w:p>
        </w:tc>
      </w:tr>
      <w:tr w:rsidR="000F0D9B" w:rsidRPr="000F0D9B" w14:paraId="267B9874"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38308F2E" w14:textId="77777777" w:rsidR="000F0D9B" w:rsidRPr="000F0D9B" w:rsidRDefault="000F0D9B" w:rsidP="000F0D9B">
            <w:pPr>
              <w:jc w:val="center"/>
              <w:rPr>
                <w:b/>
                <w:bCs/>
                <w:sz w:val="14"/>
                <w:szCs w:val="14"/>
              </w:rPr>
            </w:pPr>
            <w:r w:rsidRPr="000F0D9B">
              <w:rPr>
                <w:b/>
                <w:bCs/>
                <w:sz w:val="14"/>
                <w:szCs w:val="14"/>
              </w:rPr>
              <w:t>2024</w:t>
            </w:r>
          </w:p>
        </w:tc>
        <w:tc>
          <w:tcPr>
            <w:tcW w:w="862" w:type="dxa"/>
            <w:tcBorders>
              <w:top w:val="nil"/>
              <w:left w:val="nil"/>
              <w:bottom w:val="single" w:sz="4" w:space="0" w:color="BFBFBF"/>
              <w:right w:val="single" w:sz="4" w:space="0" w:color="BFBFBF"/>
            </w:tcBorders>
            <w:shd w:val="clear" w:color="000000" w:fill="FFFFFF"/>
            <w:noWrap/>
            <w:vAlign w:val="bottom"/>
            <w:hideMark/>
          </w:tcPr>
          <w:p w14:paraId="39F1AD6E"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07972703" w14:textId="77777777" w:rsidR="000F0D9B" w:rsidRPr="000F0D9B" w:rsidRDefault="000F0D9B" w:rsidP="000F0D9B">
            <w:pPr>
              <w:jc w:val="right"/>
              <w:rPr>
                <w:sz w:val="14"/>
                <w:szCs w:val="14"/>
              </w:rPr>
            </w:pPr>
            <w:r w:rsidRPr="000F0D9B">
              <w:rPr>
                <w:sz w:val="14"/>
                <w:szCs w:val="14"/>
              </w:rPr>
              <w:t>2 976 768</w:t>
            </w:r>
          </w:p>
        </w:tc>
        <w:tc>
          <w:tcPr>
            <w:tcW w:w="864" w:type="dxa"/>
            <w:tcBorders>
              <w:top w:val="nil"/>
              <w:left w:val="nil"/>
              <w:bottom w:val="single" w:sz="4" w:space="0" w:color="BFBFBF"/>
              <w:right w:val="single" w:sz="4" w:space="0" w:color="BFBFBF"/>
            </w:tcBorders>
            <w:shd w:val="clear" w:color="000000" w:fill="FFFFFF"/>
            <w:noWrap/>
            <w:vAlign w:val="bottom"/>
            <w:hideMark/>
          </w:tcPr>
          <w:p w14:paraId="4CC04D98" w14:textId="77777777" w:rsidR="000F0D9B" w:rsidRPr="000F0D9B" w:rsidRDefault="000F0D9B" w:rsidP="000F0D9B">
            <w:pPr>
              <w:jc w:val="right"/>
              <w:rPr>
                <w:sz w:val="14"/>
                <w:szCs w:val="14"/>
              </w:rPr>
            </w:pPr>
            <w:r w:rsidRPr="000F0D9B">
              <w:rPr>
                <w:sz w:val="14"/>
                <w:szCs w:val="14"/>
              </w:rPr>
              <w:t>1 488 384</w:t>
            </w:r>
          </w:p>
        </w:tc>
        <w:tc>
          <w:tcPr>
            <w:tcW w:w="817" w:type="dxa"/>
            <w:tcBorders>
              <w:top w:val="nil"/>
              <w:left w:val="nil"/>
              <w:bottom w:val="single" w:sz="4" w:space="0" w:color="BFBFBF"/>
              <w:right w:val="single" w:sz="4" w:space="0" w:color="BFBFBF"/>
            </w:tcBorders>
            <w:shd w:val="clear" w:color="auto" w:fill="auto"/>
            <w:noWrap/>
            <w:vAlign w:val="bottom"/>
            <w:hideMark/>
          </w:tcPr>
          <w:p w14:paraId="086DA035" w14:textId="77777777" w:rsidR="000F0D9B" w:rsidRPr="000F0D9B" w:rsidRDefault="000F0D9B" w:rsidP="000F0D9B">
            <w:pPr>
              <w:jc w:val="right"/>
              <w:rPr>
                <w:b/>
                <w:bCs/>
                <w:sz w:val="14"/>
                <w:szCs w:val="14"/>
              </w:rPr>
            </w:pPr>
            <w:r w:rsidRPr="000F0D9B">
              <w:rPr>
                <w:b/>
                <w:bCs/>
                <w:sz w:val="14"/>
                <w:szCs w:val="14"/>
              </w:rPr>
              <w:t>4 465 152</w:t>
            </w:r>
          </w:p>
        </w:tc>
        <w:tc>
          <w:tcPr>
            <w:tcW w:w="862" w:type="dxa"/>
            <w:tcBorders>
              <w:top w:val="nil"/>
              <w:left w:val="nil"/>
              <w:bottom w:val="single" w:sz="4" w:space="0" w:color="BFBFBF"/>
              <w:right w:val="single" w:sz="4" w:space="0" w:color="BFBFBF"/>
            </w:tcBorders>
            <w:shd w:val="clear" w:color="auto" w:fill="auto"/>
            <w:noWrap/>
            <w:vAlign w:val="bottom"/>
            <w:hideMark/>
          </w:tcPr>
          <w:p w14:paraId="70A7B884"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6D5E80AF" w14:textId="77777777" w:rsidR="000F0D9B" w:rsidRPr="000F0D9B" w:rsidRDefault="000F0D9B" w:rsidP="000F0D9B">
            <w:pPr>
              <w:jc w:val="right"/>
              <w:rPr>
                <w:sz w:val="14"/>
                <w:szCs w:val="14"/>
              </w:rPr>
            </w:pPr>
            <w:r w:rsidRPr="000F0D9B">
              <w:rPr>
                <w:sz w:val="14"/>
                <w:szCs w:val="14"/>
              </w:rPr>
              <w:t>1 928 225</w:t>
            </w:r>
          </w:p>
        </w:tc>
        <w:tc>
          <w:tcPr>
            <w:tcW w:w="857" w:type="dxa"/>
            <w:tcBorders>
              <w:top w:val="nil"/>
              <w:left w:val="nil"/>
              <w:bottom w:val="single" w:sz="4" w:space="0" w:color="BFBFBF"/>
              <w:right w:val="single" w:sz="4" w:space="0" w:color="BFBFBF"/>
            </w:tcBorders>
            <w:shd w:val="clear" w:color="auto" w:fill="auto"/>
            <w:noWrap/>
            <w:vAlign w:val="bottom"/>
            <w:hideMark/>
          </w:tcPr>
          <w:p w14:paraId="5D7BA698" w14:textId="77777777" w:rsidR="000F0D9B" w:rsidRPr="000F0D9B" w:rsidRDefault="000F0D9B" w:rsidP="000F0D9B">
            <w:pPr>
              <w:jc w:val="right"/>
              <w:rPr>
                <w:sz w:val="14"/>
                <w:szCs w:val="14"/>
              </w:rPr>
            </w:pPr>
            <w:r w:rsidRPr="000F0D9B">
              <w:rPr>
                <w:sz w:val="14"/>
                <w:szCs w:val="14"/>
              </w:rPr>
              <w:t>1 150 600</w:t>
            </w:r>
          </w:p>
        </w:tc>
        <w:tc>
          <w:tcPr>
            <w:tcW w:w="839" w:type="dxa"/>
            <w:tcBorders>
              <w:top w:val="nil"/>
              <w:left w:val="nil"/>
              <w:bottom w:val="single" w:sz="4" w:space="0" w:color="BFBFBF"/>
              <w:right w:val="single" w:sz="4" w:space="0" w:color="BFBFBF"/>
            </w:tcBorders>
            <w:shd w:val="clear" w:color="auto" w:fill="auto"/>
            <w:noWrap/>
            <w:vAlign w:val="bottom"/>
            <w:hideMark/>
          </w:tcPr>
          <w:p w14:paraId="6BB2FA25" w14:textId="77777777" w:rsidR="000F0D9B" w:rsidRPr="000F0D9B" w:rsidRDefault="000F0D9B" w:rsidP="000F0D9B">
            <w:pPr>
              <w:jc w:val="right"/>
              <w:rPr>
                <w:b/>
                <w:bCs/>
                <w:sz w:val="14"/>
                <w:szCs w:val="14"/>
              </w:rPr>
            </w:pPr>
            <w:r w:rsidRPr="000F0D9B">
              <w:rPr>
                <w:b/>
                <w:bCs/>
                <w:sz w:val="14"/>
                <w:szCs w:val="14"/>
              </w:rPr>
              <w:t>3 078 825</w:t>
            </w:r>
          </w:p>
        </w:tc>
        <w:tc>
          <w:tcPr>
            <w:tcW w:w="862" w:type="dxa"/>
            <w:tcBorders>
              <w:top w:val="nil"/>
              <w:left w:val="nil"/>
              <w:bottom w:val="single" w:sz="4" w:space="0" w:color="BFBFBF"/>
              <w:right w:val="single" w:sz="4" w:space="0" w:color="BFBFBF"/>
            </w:tcBorders>
            <w:shd w:val="clear" w:color="auto" w:fill="auto"/>
            <w:noWrap/>
            <w:vAlign w:val="bottom"/>
            <w:hideMark/>
          </w:tcPr>
          <w:p w14:paraId="4C3350FB"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67B68A9E" w14:textId="77777777" w:rsidR="000F0D9B" w:rsidRPr="000F0D9B" w:rsidRDefault="000F0D9B" w:rsidP="000F0D9B">
            <w:pPr>
              <w:jc w:val="right"/>
              <w:rPr>
                <w:sz w:val="14"/>
                <w:szCs w:val="14"/>
              </w:rPr>
            </w:pPr>
            <w:r w:rsidRPr="000F0D9B">
              <w:rPr>
                <w:sz w:val="14"/>
                <w:szCs w:val="14"/>
              </w:rPr>
              <w:t>1 048 543</w:t>
            </w:r>
          </w:p>
        </w:tc>
        <w:tc>
          <w:tcPr>
            <w:tcW w:w="830" w:type="dxa"/>
            <w:tcBorders>
              <w:top w:val="nil"/>
              <w:left w:val="nil"/>
              <w:bottom w:val="single" w:sz="4" w:space="0" w:color="BFBFBF"/>
              <w:right w:val="single" w:sz="4" w:space="0" w:color="BFBFBF"/>
            </w:tcBorders>
            <w:shd w:val="clear" w:color="auto" w:fill="auto"/>
            <w:noWrap/>
            <w:vAlign w:val="bottom"/>
            <w:hideMark/>
          </w:tcPr>
          <w:p w14:paraId="60F0BCA4" w14:textId="77777777" w:rsidR="000F0D9B" w:rsidRPr="000F0D9B" w:rsidRDefault="000F0D9B" w:rsidP="000F0D9B">
            <w:pPr>
              <w:jc w:val="right"/>
              <w:rPr>
                <w:sz w:val="14"/>
                <w:szCs w:val="14"/>
              </w:rPr>
            </w:pPr>
            <w:r w:rsidRPr="000F0D9B">
              <w:rPr>
                <w:sz w:val="14"/>
                <w:szCs w:val="14"/>
              </w:rPr>
              <w:t>337 784</w:t>
            </w:r>
          </w:p>
        </w:tc>
        <w:tc>
          <w:tcPr>
            <w:tcW w:w="901" w:type="dxa"/>
            <w:tcBorders>
              <w:top w:val="nil"/>
              <w:left w:val="nil"/>
              <w:bottom w:val="single" w:sz="4" w:space="0" w:color="BFBFBF"/>
              <w:right w:val="single" w:sz="4" w:space="0" w:color="BFBFBF"/>
            </w:tcBorders>
            <w:shd w:val="clear" w:color="auto" w:fill="auto"/>
            <w:noWrap/>
            <w:vAlign w:val="bottom"/>
            <w:hideMark/>
          </w:tcPr>
          <w:p w14:paraId="0E81D957" w14:textId="77777777" w:rsidR="000F0D9B" w:rsidRPr="000F0D9B" w:rsidRDefault="000F0D9B" w:rsidP="000F0D9B">
            <w:pPr>
              <w:jc w:val="right"/>
              <w:rPr>
                <w:b/>
                <w:bCs/>
                <w:sz w:val="14"/>
                <w:szCs w:val="14"/>
              </w:rPr>
            </w:pPr>
            <w:r w:rsidRPr="000F0D9B">
              <w:rPr>
                <w:b/>
                <w:bCs/>
                <w:sz w:val="14"/>
                <w:szCs w:val="14"/>
              </w:rPr>
              <w:t>1 386 327</w:t>
            </w:r>
          </w:p>
        </w:tc>
      </w:tr>
      <w:tr w:rsidR="000F0D9B" w:rsidRPr="000F0D9B" w14:paraId="1C469D0B"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6E94564E" w14:textId="77777777" w:rsidR="000F0D9B" w:rsidRPr="000F0D9B" w:rsidRDefault="000F0D9B" w:rsidP="000F0D9B">
            <w:pPr>
              <w:jc w:val="center"/>
              <w:rPr>
                <w:b/>
                <w:bCs/>
                <w:sz w:val="14"/>
                <w:szCs w:val="14"/>
              </w:rPr>
            </w:pPr>
            <w:r w:rsidRPr="000F0D9B">
              <w:rPr>
                <w:b/>
                <w:bCs/>
                <w:sz w:val="14"/>
                <w:szCs w:val="14"/>
              </w:rPr>
              <w:t>2025</w:t>
            </w:r>
          </w:p>
        </w:tc>
        <w:tc>
          <w:tcPr>
            <w:tcW w:w="862" w:type="dxa"/>
            <w:tcBorders>
              <w:top w:val="nil"/>
              <w:left w:val="nil"/>
              <w:bottom w:val="single" w:sz="4" w:space="0" w:color="BFBFBF"/>
              <w:right w:val="single" w:sz="4" w:space="0" w:color="BFBFBF"/>
            </w:tcBorders>
            <w:shd w:val="clear" w:color="000000" w:fill="FFFFFF"/>
            <w:noWrap/>
            <w:vAlign w:val="bottom"/>
            <w:hideMark/>
          </w:tcPr>
          <w:p w14:paraId="4BBFE911"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1C5D1F66" w14:textId="77777777" w:rsidR="000F0D9B" w:rsidRPr="000F0D9B" w:rsidRDefault="000F0D9B" w:rsidP="000F0D9B">
            <w:pPr>
              <w:jc w:val="right"/>
              <w:rPr>
                <w:sz w:val="14"/>
                <w:szCs w:val="14"/>
              </w:rPr>
            </w:pPr>
            <w:r w:rsidRPr="000F0D9B">
              <w:rPr>
                <w:sz w:val="14"/>
                <w:szCs w:val="14"/>
              </w:rPr>
              <w:t>1 984 512</w:t>
            </w:r>
          </w:p>
        </w:tc>
        <w:tc>
          <w:tcPr>
            <w:tcW w:w="864" w:type="dxa"/>
            <w:tcBorders>
              <w:top w:val="nil"/>
              <w:left w:val="nil"/>
              <w:bottom w:val="single" w:sz="4" w:space="0" w:color="BFBFBF"/>
              <w:right w:val="single" w:sz="4" w:space="0" w:color="BFBFBF"/>
            </w:tcBorders>
            <w:shd w:val="clear" w:color="000000" w:fill="FFFFFF"/>
            <w:noWrap/>
            <w:vAlign w:val="bottom"/>
            <w:hideMark/>
          </w:tcPr>
          <w:p w14:paraId="3B8A46F3" w14:textId="77777777" w:rsidR="000F0D9B" w:rsidRPr="000F0D9B" w:rsidRDefault="000F0D9B" w:rsidP="000F0D9B">
            <w:pPr>
              <w:jc w:val="right"/>
              <w:rPr>
                <w:sz w:val="14"/>
                <w:szCs w:val="14"/>
              </w:rPr>
            </w:pPr>
            <w:r w:rsidRPr="000F0D9B">
              <w:rPr>
                <w:sz w:val="14"/>
                <w:szCs w:val="14"/>
              </w:rPr>
              <w:t>1 488 384</w:t>
            </w:r>
          </w:p>
        </w:tc>
        <w:tc>
          <w:tcPr>
            <w:tcW w:w="817" w:type="dxa"/>
            <w:tcBorders>
              <w:top w:val="nil"/>
              <w:left w:val="nil"/>
              <w:bottom w:val="single" w:sz="4" w:space="0" w:color="BFBFBF"/>
              <w:right w:val="single" w:sz="4" w:space="0" w:color="BFBFBF"/>
            </w:tcBorders>
            <w:shd w:val="clear" w:color="auto" w:fill="auto"/>
            <w:noWrap/>
            <w:vAlign w:val="bottom"/>
            <w:hideMark/>
          </w:tcPr>
          <w:p w14:paraId="42D0A946" w14:textId="77777777" w:rsidR="000F0D9B" w:rsidRPr="000F0D9B" w:rsidRDefault="000F0D9B" w:rsidP="000F0D9B">
            <w:pPr>
              <w:jc w:val="right"/>
              <w:rPr>
                <w:b/>
                <w:bCs/>
                <w:sz w:val="14"/>
                <w:szCs w:val="14"/>
              </w:rPr>
            </w:pPr>
            <w:r w:rsidRPr="000F0D9B">
              <w:rPr>
                <w:b/>
                <w:bCs/>
                <w:sz w:val="14"/>
                <w:szCs w:val="14"/>
              </w:rPr>
              <w:t>3 472 896</w:t>
            </w:r>
          </w:p>
        </w:tc>
        <w:tc>
          <w:tcPr>
            <w:tcW w:w="862" w:type="dxa"/>
            <w:tcBorders>
              <w:top w:val="nil"/>
              <w:left w:val="nil"/>
              <w:bottom w:val="single" w:sz="4" w:space="0" w:color="BFBFBF"/>
              <w:right w:val="single" w:sz="4" w:space="0" w:color="BFBFBF"/>
            </w:tcBorders>
            <w:shd w:val="clear" w:color="auto" w:fill="auto"/>
            <w:noWrap/>
            <w:vAlign w:val="bottom"/>
            <w:hideMark/>
          </w:tcPr>
          <w:p w14:paraId="59FAC9D4"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051DBD56" w14:textId="77777777" w:rsidR="000F0D9B" w:rsidRPr="000F0D9B" w:rsidRDefault="000F0D9B" w:rsidP="000F0D9B">
            <w:pPr>
              <w:jc w:val="right"/>
              <w:rPr>
                <w:sz w:val="14"/>
                <w:szCs w:val="14"/>
              </w:rPr>
            </w:pPr>
            <w:r w:rsidRPr="000F0D9B">
              <w:rPr>
                <w:sz w:val="14"/>
                <w:szCs w:val="14"/>
              </w:rPr>
              <w:t>1 483 053</w:t>
            </w:r>
          </w:p>
        </w:tc>
        <w:tc>
          <w:tcPr>
            <w:tcW w:w="857" w:type="dxa"/>
            <w:tcBorders>
              <w:top w:val="nil"/>
              <w:left w:val="nil"/>
              <w:bottom w:val="single" w:sz="4" w:space="0" w:color="BFBFBF"/>
              <w:right w:val="single" w:sz="4" w:space="0" w:color="BFBFBF"/>
            </w:tcBorders>
            <w:shd w:val="clear" w:color="auto" w:fill="auto"/>
            <w:noWrap/>
            <w:vAlign w:val="bottom"/>
            <w:hideMark/>
          </w:tcPr>
          <w:p w14:paraId="60F52E42" w14:textId="77777777" w:rsidR="000F0D9B" w:rsidRPr="000F0D9B" w:rsidRDefault="000F0D9B" w:rsidP="000F0D9B">
            <w:pPr>
              <w:jc w:val="right"/>
              <w:rPr>
                <w:sz w:val="14"/>
                <w:szCs w:val="14"/>
              </w:rPr>
            </w:pPr>
            <w:r w:rsidRPr="000F0D9B">
              <w:rPr>
                <w:sz w:val="14"/>
                <w:szCs w:val="14"/>
              </w:rPr>
              <w:t>1 150 600</w:t>
            </w:r>
          </w:p>
        </w:tc>
        <w:tc>
          <w:tcPr>
            <w:tcW w:w="839" w:type="dxa"/>
            <w:tcBorders>
              <w:top w:val="nil"/>
              <w:left w:val="nil"/>
              <w:bottom w:val="single" w:sz="4" w:space="0" w:color="BFBFBF"/>
              <w:right w:val="single" w:sz="4" w:space="0" w:color="BFBFBF"/>
            </w:tcBorders>
            <w:shd w:val="clear" w:color="auto" w:fill="auto"/>
            <w:noWrap/>
            <w:vAlign w:val="bottom"/>
            <w:hideMark/>
          </w:tcPr>
          <w:p w14:paraId="38FC85A6" w14:textId="77777777" w:rsidR="000F0D9B" w:rsidRPr="000F0D9B" w:rsidRDefault="000F0D9B" w:rsidP="000F0D9B">
            <w:pPr>
              <w:jc w:val="right"/>
              <w:rPr>
                <w:b/>
                <w:bCs/>
                <w:sz w:val="14"/>
                <w:szCs w:val="14"/>
              </w:rPr>
            </w:pPr>
            <w:r w:rsidRPr="000F0D9B">
              <w:rPr>
                <w:b/>
                <w:bCs/>
                <w:sz w:val="14"/>
                <w:szCs w:val="14"/>
              </w:rPr>
              <w:t>2 633 653</w:t>
            </w:r>
          </w:p>
        </w:tc>
        <w:tc>
          <w:tcPr>
            <w:tcW w:w="862" w:type="dxa"/>
            <w:tcBorders>
              <w:top w:val="nil"/>
              <w:left w:val="nil"/>
              <w:bottom w:val="single" w:sz="4" w:space="0" w:color="BFBFBF"/>
              <w:right w:val="single" w:sz="4" w:space="0" w:color="BFBFBF"/>
            </w:tcBorders>
            <w:shd w:val="clear" w:color="auto" w:fill="auto"/>
            <w:noWrap/>
            <w:vAlign w:val="bottom"/>
            <w:hideMark/>
          </w:tcPr>
          <w:p w14:paraId="4AA00BD1"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78F23AF2" w14:textId="77777777" w:rsidR="000F0D9B" w:rsidRPr="000F0D9B" w:rsidRDefault="000F0D9B" w:rsidP="000F0D9B">
            <w:pPr>
              <w:jc w:val="right"/>
              <w:rPr>
                <w:sz w:val="14"/>
                <w:szCs w:val="14"/>
              </w:rPr>
            </w:pPr>
            <w:r w:rsidRPr="000F0D9B">
              <w:rPr>
                <w:sz w:val="14"/>
                <w:szCs w:val="14"/>
              </w:rPr>
              <w:t>501 459</w:t>
            </w:r>
          </w:p>
        </w:tc>
        <w:tc>
          <w:tcPr>
            <w:tcW w:w="830" w:type="dxa"/>
            <w:tcBorders>
              <w:top w:val="nil"/>
              <w:left w:val="nil"/>
              <w:bottom w:val="single" w:sz="4" w:space="0" w:color="BFBFBF"/>
              <w:right w:val="single" w:sz="4" w:space="0" w:color="BFBFBF"/>
            </w:tcBorders>
            <w:shd w:val="clear" w:color="auto" w:fill="auto"/>
            <w:noWrap/>
            <w:vAlign w:val="bottom"/>
            <w:hideMark/>
          </w:tcPr>
          <w:p w14:paraId="7FCC56F0" w14:textId="77777777" w:rsidR="000F0D9B" w:rsidRPr="000F0D9B" w:rsidRDefault="000F0D9B" w:rsidP="000F0D9B">
            <w:pPr>
              <w:jc w:val="right"/>
              <w:rPr>
                <w:sz w:val="14"/>
                <w:szCs w:val="14"/>
              </w:rPr>
            </w:pPr>
            <w:r w:rsidRPr="000F0D9B">
              <w:rPr>
                <w:sz w:val="14"/>
                <w:szCs w:val="14"/>
              </w:rPr>
              <w:t>337 784</w:t>
            </w:r>
          </w:p>
        </w:tc>
        <w:tc>
          <w:tcPr>
            <w:tcW w:w="901" w:type="dxa"/>
            <w:tcBorders>
              <w:top w:val="nil"/>
              <w:left w:val="nil"/>
              <w:bottom w:val="single" w:sz="4" w:space="0" w:color="BFBFBF"/>
              <w:right w:val="single" w:sz="4" w:space="0" w:color="BFBFBF"/>
            </w:tcBorders>
            <w:shd w:val="clear" w:color="auto" w:fill="auto"/>
            <w:noWrap/>
            <w:vAlign w:val="bottom"/>
            <w:hideMark/>
          </w:tcPr>
          <w:p w14:paraId="5D302D4C" w14:textId="77777777" w:rsidR="000F0D9B" w:rsidRPr="000F0D9B" w:rsidRDefault="000F0D9B" w:rsidP="000F0D9B">
            <w:pPr>
              <w:jc w:val="right"/>
              <w:rPr>
                <w:b/>
                <w:bCs/>
                <w:sz w:val="14"/>
                <w:szCs w:val="14"/>
              </w:rPr>
            </w:pPr>
            <w:r w:rsidRPr="000F0D9B">
              <w:rPr>
                <w:b/>
                <w:bCs/>
                <w:sz w:val="14"/>
                <w:szCs w:val="14"/>
              </w:rPr>
              <w:t>839 243</w:t>
            </w:r>
          </w:p>
        </w:tc>
      </w:tr>
      <w:tr w:rsidR="000F0D9B" w:rsidRPr="000F0D9B" w14:paraId="0B912935"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5C038011" w14:textId="77777777" w:rsidR="000F0D9B" w:rsidRPr="000F0D9B" w:rsidRDefault="000F0D9B" w:rsidP="000F0D9B">
            <w:pPr>
              <w:jc w:val="center"/>
              <w:rPr>
                <w:b/>
                <w:bCs/>
                <w:sz w:val="14"/>
                <w:szCs w:val="14"/>
              </w:rPr>
            </w:pPr>
            <w:r w:rsidRPr="000F0D9B">
              <w:rPr>
                <w:b/>
                <w:bCs/>
                <w:sz w:val="14"/>
                <w:szCs w:val="14"/>
              </w:rPr>
              <w:t>2026</w:t>
            </w:r>
          </w:p>
        </w:tc>
        <w:tc>
          <w:tcPr>
            <w:tcW w:w="862" w:type="dxa"/>
            <w:tcBorders>
              <w:top w:val="nil"/>
              <w:left w:val="nil"/>
              <w:bottom w:val="single" w:sz="4" w:space="0" w:color="BFBFBF"/>
              <w:right w:val="single" w:sz="4" w:space="0" w:color="BFBFBF"/>
            </w:tcBorders>
            <w:shd w:val="clear" w:color="000000" w:fill="FFFFFF"/>
            <w:noWrap/>
            <w:vAlign w:val="bottom"/>
            <w:hideMark/>
          </w:tcPr>
          <w:p w14:paraId="0D54FA8C"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101C95B1" w14:textId="77777777" w:rsidR="000F0D9B" w:rsidRPr="000F0D9B" w:rsidRDefault="000F0D9B" w:rsidP="000F0D9B">
            <w:pPr>
              <w:rPr>
                <w:sz w:val="14"/>
                <w:szCs w:val="14"/>
              </w:rPr>
            </w:pPr>
            <w:r w:rsidRPr="000F0D9B">
              <w:rPr>
                <w:sz w:val="14"/>
                <w:szCs w:val="14"/>
              </w:rPr>
              <w:t> </w:t>
            </w:r>
          </w:p>
        </w:tc>
        <w:tc>
          <w:tcPr>
            <w:tcW w:w="864" w:type="dxa"/>
            <w:tcBorders>
              <w:top w:val="nil"/>
              <w:left w:val="nil"/>
              <w:bottom w:val="single" w:sz="4" w:space="0" w:color="BFBFBF"/>
              <w:right w:val="single" w:sz="4" w:space="0" w:color="BFBFBF"/>
            </w:tcBorders>
            <w:shd w:val="clear" w:color="000000" w:fill="FFFFFF"/>
            <w:noWrap/>
            <w:vAlign w:val="bottom"/>
            <w:hideMark/>
          </w:tcPr>
          <w:p w14:paraId="33A7700F" w14:textId="77777777" w:rsidR="000F0D9B" w:rsidRPr="000F0D9B" w:rsidRDefault="000F0D9B" w:rsidP="000F0D9B">
            <w:pPr>
              <w:jc w:val="right"/>
              <w:rPr>
                <w:sz w:val="14"/>
                <w:szCs w:val="14"/>
              </w:rPr>
            </w:pPr>
            <w:r w:rsidRPr="000F0D9B">
              <w:rPr>
                <w:sz w:val="14"/>
                <w:szCs w:val="14"/>
              </w:rPr>
              <w:t>1 488 384</w:t>
            </w:r>
          </w:p>
        </w:tc>
        <w:tc>
          <w:tcPr>
            <w:tcW w:w="817" w:type="dxa"/>
            <w:tcBorders>
              <w:top w:val="nil"/>
              <w:left w:val="nil"/>
              <w:bottom w:val="single" w:sz="4" w:space="0" w:color="BFBFBF"/>
              <w:right w:val="single" w:sz="4" w:space="0" w:color="BFBFBF"/>
            </w:tcBorders>
            <w:shd w:val="clear" w:color="auto" w:fill="auto"/>
            <w:noWrap/>
            <w:vAlign w:val="bottom"/>
            <w:hideMark/>
          </w:tcPr>
          <w:p w14:paraId="3982B13D" w14:textId="77777777" w:rsidR="000F0D9B" w:rsidRPr="000F0D9B" w:rsidRDefault="000F0D9B" w:rsidP="000F0D9B">
            <w:pPr>
              <w:jc w:val="right"/>
              <w:rPr>
                <w:b/>
                <w:bCs/>
                <w:sz w:val="14"/>
                <w:szCs w:val="14"/>
              </w:rPr>
            </w:pPr>
            <w:r w:rsidRPr="000F0D9B">
              <w:rPr>
                <w:b/>
                <w:bCs/>
                <w:sz w:val="14"/>
                <w:szCs w:val="14"/>
              </w:rPr>
              <w:t>1 488 384</w:t>
            </w:r>
          </w:p>
        </w:tc>
        <w:tc>
          <w:tcPr>
            <w:tcW w:w="862" w:type="dxa"/>
            <w:tcBorders>
              <w:top w:val="nil"/>
              <w:left w:val="nil"/>
              <w:bottom w:val="single" w:sz="4" w:space="0" w:color="BFBFBF"/>
              <w:right w:val="single" w:sz="4" w:space="0" w:color="BFBFBF"/>
            </w:tcBorders>
            <w:shd w:val="clear" w:color="auto" w:fill="auto"/>
            <w:noWrap/>
            <w:vAlign w:val="bottom"/>
            <w:hideMark/>
          </w:tcPr>
          <w:p w14:paraId="65D63711"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660B7312" w14:textId="77777777" w:rsidR="000F0D9B" w:rsidRPr="000F0D9B" w:rsidRDefault="000F0D9B" w:rsidP="000F0D9B">
            <w:pPr>
              <w:rPr>
                <w:sz w:val="14"/>
                <w:szCs w:val="14"/>
              </w:rPr>
            </w:pPr>
            <w:r w:rsidRPr="000F0D9B">
              <w:rPr>
                <w:sz w:val="14"/>
                <w:szCs w:val="14"/>
              </w:rPr>
              <w:t> </w:t>
            </w:r>
          </w:p>
        </w:tc>
        <w:tc>
          <w:tcPr>
            <w:tcW w:w="857" w:type="dxa"/>
            <w:tcBorders>
              <w:top w:val="nil"/>
              <w:left w:val="nil"/>
              <w:bottom w:val="single" w:sz="4" w:space="0" w:color="BFBFBF"/>
              <w:right w:val="single" w:sz="4" w:space="0" w:color="BFBFBF"/>
            </w:tcBorders>
            <w:shd w:val="clear" w:color="auto" w:fill="auto"/>
            <w:noWrap/>
            <w:vAlign w:val="bottom"/>
            <w:hideMark/>
          </w:tcPr>
          <w:p w14:paraId="604A68F5" w14:textId="77777777" w:rsidR="000F0D9B" w:rsidRPr="000F0D9B" w:rsidRDefault="000F0D9B" w:rsidP="000F0D9B">
            <w:pPr>
              <w:jc w:val="right"/>
              <w:rPr>
                <w:sz w:val="14"/>
                <w:szCs w:val="14"/>
              </w:rPr>
            </w:pPr>
            <w:r w:rsidRPr="000F0D9B">
              <w:rPr>
                <w:sz w:val="14"/>
                <w:szCs w:val="14"/>
              </w:rPr>
              <w:t>1 446 522</w:t>
            </w:r>
          </w:p>
        </w:tc>
        <w:tc>
          <w:tcPr>
            <w:tcW w:w="839" w:type="dxa"/>
            <w:tcBorders>
              <w:top w:val="nil"/>
              <w:left w:val="nil"/>
              <w:bottom w:val="single" w:sz="4" w:space="0" w:color="BFBFBF"/>
              <w:right w:val="single" w:sz="4" w:space="0" w:color="BFBFBF"/>
            </w:tcBorders>
            <w:shd w:val="clear" w:color="auto" w:fill="auto"/>
            <w:noWrap/>
            <w:vAlign w:val="bottom"/>
            <w:hideMark/>
          </w:tcPr>
          <w:p w14:paraId="21A95CAB" w14:textId="77777777" w:rsidR="000F0D9B" w:rsidRPr="000F0D9B" w:rsidRDefault="000F0D9B" w:rsidP="000F0D9B">
            <w:pPr>
              <w:jc w:val="right"/>
              <w:rPr>
                <w:b/>
                <w:bCs/>
                <w:sz w:val="14"/>
                <w:szCs w:val="14"/>
              </w:rPr>
            </w:pPr>
            <w:r w:rsidRPr="000F0D9B">
              <w:rPr>
                <w:b/>
                <w:bCs/>
                <w:sz w:val="14"/>
                <w:szCs w:val="14"/>
              </w:rPr>
              <w:t>1 446 522</w:t>
            </w:r>
          </w:p>
        </w:tc>
        <w:tc>
          <w:tcPr>
            <w:tcW w:w="862" w:type="dxa"/>
            <w:tcBorders>
              <w:top w:val="nil"/>
              <w:left w:val="nil"/>
              <w:bottom w:val="single" w:sz="4" w:space="0" w:color="BFBFBF"/>
              <w:right w:val="single" w:sz="4" w:space="0" w:color="BFBFBF"/>
            </w:tcBorders>
            <w:shd w:val="clear" w:color="auto" w:fill="auto"/>
            <w:noWrap/>
            <w:vAlign w:val="bottom"/>
            <w:hideMark/>
          </w:tcPr>
          <w:p w14:paraId="7954C18B"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4391DEE4" w14:textId="77777777" w:rsidR="000F0D9B" w:rsidRPr="000F0D9B" w:rsidRDefault="000F0D9B" w:rsidP="000F0D9B">
            <w:pPr>
              <w:jc w:val="right"/>
              <w:rPr>
                <w:sz w:val="14"/>
                <w:szCs w:val="14"/>
              </w:rPr>
            </w:pPr>
            <w:r w:rsidRPr="000F0D9B">
              <w:rPr>
                <w:sz w:val="14"/>
                <w:szCs w:val="14"/>
              </w:rPr>
              <w:t>0</w:t>
            </w:r>
          </w:p>
        </w:tc>
        <w:tc>
          <w:tcPr>
            <w:tcW w:w="830" w:type="dxa"/>
            <w:tcBorders>
              <w:top w:val="nil"/>
              <w:left w:val="nil"/>
              <w:bottom w:val="single" w:sz="4" w:space="0" w:color="BFBFBF"/>
              <w:right w:val="single" w:sz="4" w:space="0" w:color="BFBFBF"/>
            </w:tcBorders>
            <w:shd w:val="clear" w:color="auto" w:fill="auto"/>
            <w:noWrap/>
            <w:vAlign w:val="bottom"/>
            <w:hideMark/>
          </w:tcPr>
          <w:p w14:paraId="4E20B229" w14:textId="77777777" w:rsidR="000F0D9B" w:rsidRPr="000F0D9B" w:rsidRDefault="000F0D9B" w:rsidP="000F0D9B">
            <w:pPr>
              <w:jc w:val="right"/>
              <w:rPr>
                <w:sz w:val="14"/>
                <w:szCs w:val="14"/>
              </w:rPr>
            </w:pPr>
            <w:r w:rsidRPr="000F0D9B">
              <w:rPr>
                <w:sz w:val="14"/>
                <w:szCs w:val="14"/>
              </w:rPr>
              <w:t>41 862</w:t>
            </w:r>
          </w:p>
        </w:tc>
        <w:tc>
          <w:tcPr>
            <w:tcW w:w="901" w:type="dxa"/>
            <w:tcBorders>
              <w:top w:val="nil"/>
              <w:left w:val="nil"/>
              <w:bottom w:val="single" w:sz="4" w:space="0" w:color="BFBFBF"/>
              <w:right w:val="single" w:sz="4" w:space="0" w:color="BFBFBF"/>
            </w:tcBorders>
            <w:shd w:val="clear" w:color="auto" w:fill="auto"/>
            <w:noWrap/>
            <w:vAlign w:val="bottom"/>
            <w:hideMark/>
          </w:tcPr>
          <w:p w14:paraId="575FA6DC" w14:textId="77777777" w:rsidR="000F0D9B" w:rsidRPr="000F0D9B" w:rsidRDefault="000F0D9B" w:rsidP="000F0D9B">
            <w:pPr>
              <w:jc w:val="right"/>
              <w:rPr>
                <w:b/>
                <w:bCs/>
                <w:sz w:val="14"/>
                <w:szCs w:val="14"/>
              </w:rPr>
            </w:pPr>
            <w:r w:rsidRPr="000F0D9B">
              <w:rPr>
                <w:b/>
                <w:bCs/>
                <w:sz w:val="14"/>
                <w:szCs w:val="14"/>
              </w:rPr>
              <w:t>41 862</w:t>
            </w:r>
          </w:p>
        </w:tc>
      </w:tr>
      <w:tr w:rsidR="000F0D9B" w:rsidRPr="000F0D9B" w14:paraId="148744A4"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5AE67D37" w14:textId="77777777" w:rsidR="000F0D9B" w:rsidRPr="000F0D9B" w:rsidRDefault="000F0D9B" w:rsidP="000F0D9B">
            <w:pPr>
              <w:jc w:val="center"/>
              <w:rPr>
                <w:b/>
                <w:bCs/>
                <w:sz w:val="14"/>
                <w:szCs w:val="14"/>
              </w:rPr>
            </w:pPr>
            <w:r w:rsidRPr="000F0D9B">
              <w:rPr>
                <w:b/>
                <w:bCs/>
                <w:sz w:val="14"/>
                <w:szCs w:val="14"/>
              </w:rPr>
              <w:t>2027</w:t>
            </w:r>
          </w:p>
        </w:tc>
        <w:tc>
          <w:tcPr>
            <w:tcW w:w="862" w:type="dxa"/>
            <w:tcBorders>
              <w:top w:val="nil"/>
              <w:left w:val="nil"/>
              <w:bottom w:val="single" w:sz="4" w:space="0" w:color="BFBFBF"/>
              <w:right w:val="single" w:sz="4" w:space="0" w:color="BFBFBF"/>
            </w:tcBorders>
            <w:shd w:val="clear" w:color="000000" w:fill="FFFFFF"/>
            <w:noWrap/>
            <w:vAlign w:val="bottom"/>
            <w:hideMark/>
          </w:tcPr>
          <w:p w14:paraId="575E9234"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621BABF5" w14:textId="77777777" w:rsidR="000F0D9B" w:rsidRPr="000F0D9B" w:rsidRDefault="000F0D9B" w:rsidP="000F0D9B">
            <w:pPr>
              <w:rPr>
                <w:sz w:val="14"/>
                <w:szCs w:val="14"/>
              </w:rPr>
            </w:pPr>
            <w:r w:rsidRPr="000F0D9B">
              <w:rPr>
                <w:sz w:val="14"/>
                <w:szCs w:val="14"/>
              </w:rPr>
              <w:t> </w:t>
            </w:r>
          </w:p>
        </w:tc>
        <w:tc>
          <w:tcPr>
            <w:tcW w:w="864" w:type="dxa"/>
            <w:tcBorders>
              <w:top w:val="nil"/>
              <w:left w:val="nil"/>
              <w:bottom w:val="single" w:sz="4" w:space="0" w:color="BFBFBF"/>
              <w:right w:val="single" w:sz="4" w:space="0" w:color="BFBFBF"/>
            </w:tcBorders>
            <w:shd w:val="clear" w:color="000000" w:fill="FFFFFF"/>
            <w:noWrap/>
            <w:vAlign w:val="bottom"/>
            <w:hideMark/>
          </w:tcPr>
          <w:p w14:paraId="5AA0B264" w14:textId="77777777" w:rsidR="000F0D9B" w:rsidRPr="000F0D9B" w:rsidRDefault="000F0D9B" w:rsidP="000F0D9B">
            <w:pPr>
              <w:jc w:val="right"/>
              <w:rPr>
                <w:sz w:val="14"/>
                <w:szCs w:val="14"/>
              </w:rPr>
            </w:pPr>
            <w:r w:rsidRPr="000F0D9B">
              <w:rPr>
                <w:sz w:val="14"/>
                <w:szCs w:val="14"/>
              </w:rPr>
              <w:t>1 488 384</w:t>
            </w:r>
          </w:p>
        </w:tc>
        <w:tc>
          <w:tcPr>
            <w:tcW w:w="817" w:type="dxa"/>
            <w:tcBorders>
              <w:top w:val="nil"/>
              <w:left w:val="nil"/>
              <w:bottom w:val="single" w:sz="4" w:space="0" w:color="BFBFBF"/>
              <w:right w:val="single" w:sz="4" w:space="0" w:color="BFBFBF"/>
            </w:tcBorders>
            <w:shd w:val="clear" w:color="auto" w:fill="auto"/>
            <w:noWrap/>
            <w:vAlign w:val="bottom"/>
            <w:hideMark/>
          </w:tcPr>
          <w:p w14:paraId="61E87EBE" w14:textId="77777777" w:rsidR="000F0D9B" w:rsidRPr="000F0D9B" w:rsidRDefault="000F0D9B" w:rsidP="000F0D9B">
            <w:pPr>
              <w:jc w:val="right"/>
              <w:rPr>
                <w:b/>
                <w:bCs/>
                <w:sz w:val="14"/>
                <w:szCs w:val="14"/>
              </w:rPr>
            </w:pPr>
            <w:r w:rsidRPr="000F0D9B">
              <w:rPr>
                <w:b/>
                <w:bCs/>
                <w:sz w:val="14"/>
                <w:szCs w:val="14"/>
              </w:rPr>
              <w:t>1 488 384</w:t>
            </w:r>
          </w:p>
        </w:tc>
        <w:tc>
          <w:tcPr>
            <w:tcW w:w="862" w:type="dxa"/>
            <w:tcBorders>
              <w:top w:val="nil"/>
              <w:left w:val="nil"/>
              <w:bottom w:val="single" w:sz="4" w:space="0" w:color="BFBFBF"/>
              <w:right w:val="single" w:sz="4" w:space="0" w:color="BFBFBF"/>
            </w:tcBorders>
            <w:shd w:val="clear" w:color="auto" w:fill="auto"/>
            <w:noWrap/>
            <w:vAlign w:val="bottom"/>
            <w:hideMark/>
          </w:tcPr>
          <w:p w14:paraId="2F5325C0"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23DC11B7" w14:textId="77777777" w:rsidR="000F0D9B" w:rsidRPr="000F0D9B" w:rsidRDefault="000F0D9B" w:rsidP="000F0D9B">
            <w:pPr>
              <w:rPr>
                <w:sz w:val="14"/>
                <w:szCs w:val="14"/>
              </w:rPr>
            </w:pPr>
            <w:r w:rsidRPr="000F0D9B">
              <w:rPr>
                <w:sz w:val="14"/>
                <w:szCs w:val="14"/>
              </w:rPr>
              <w:t> </w:t>
            </w:r>
          </w:p>
        </w:tc>
        <w:tc>
          <w:tcPr>
            <w:tcW w:w="857" w:type="dxa"/>
            <w:tcBorders>
              <w:top w:val="nil"/>
              <w:left w:val="nil"/>
              <w:bottom w:val="single" w:sz="4" w:space="0" w:color="BFBFBF"/>
              <w:right w:val="single" w:sz="4" w:space="0" w:color="BFBFBF"/>
            </w:tcBorders>
            <w:shd w:val="clear" w:color="auto" w:fill="auto"/>
            <w:noWrap/>
            <w:vAlign w:val="bottom"/>
            <w:hideMark/>
          </w:tcPr>
          <w:p w14:paraId="4CA06096" w14:textId="77777777" w:rsidR="000F0D9B" w:rsidRPr="000F0D9B" w:rsidRDefault="000F0D9B" w:rsidP="000F0D9B">
            <w:pPr>
              <w:jc w:val="right"/>
              <w:rPr>
                <w:sz w:val="14"/>
                <w:szCs w:val="14"/>
              </w:rPr>
            </w:pPr>
            <w:r w:rsidRPr="000F0D9B">
              <w:rPr>
                <w:sz w:val="14"/>
                <w:szCs w:val="14"/>
              </w:rPr>
              <w:t>1 446 522</w:t>
            </w:r>
          </w:p>
        </w:tc>
        <w:tc>
          <w:tcPr>
            <w:tcW w:w="839" w:type="dxa"/>
            <w:tcBorders>
              <w:top w:val="nil"/>
              <w:left w:val="nil"/>
              <w:bottom w:val="single" w:sz="4" w:space="0" w:color="BFBFBF"/>
              <w:right w:val="single" w:sz="4" w:space="0" w:color="BFBFBF"/>
            </w:tcBorders>
            <w:shd w:val="clear" w:color="auto" w:fill="auto"/>
            <w:noWrap/>
            <w:vAlign w:val="bottom"/>
            <w:hideMark/>
          </w:tcPr>
          <w:p w14:paraId="3FA642CB" w14:textId="77777777" w:rsidR="000F0D9B" w:rsidRPr="000F0D9B" w:rsidRDefault="000F0D9B" w:rsidP="000F0D9B">
            <w:pPr>
              <w:jc w:val="right"/>
              <w:rPr>
                <w:b/>
                <w:bCs/>
                <w:sz w:val="14"/>
                <w:szCs w:val="14"/>
              </w:rPr>
            </w:pPr>
            <w:r w:rsidRPr="000F0D9B">
              <w:rPr>
                <w:b/>
                <w:bCs/>
                <w:sz w:val="14"/>
                <w:szCs w:val="14"/>
              </w:rPr>
              <w:t>1 446 522</w:t>
            </w:r>
          </w:p>
        </w:tc>
        <w:tc>
          <w:tcPr>
            <w:tcW w:w="862" w:type="dxa"/>
            <w:tcBorders>
              <w:top w:val="nil"/>
              <w:left w:val="nil"/>
              <w:bottom w:val="single" w:sz="4" w:space="0" w:color="BFBFBF"/>
              <w:right w:val="single" w:sz="4" w:space="0" w:color="BFBFBF"/>
            </w:tcBorders>
            <w:shd w:val="clear" w:color="auto" w:fill="auto"/>
            <w:noWrap/>
            <w:vAlign w:val="bottom"/>
            <w:hideMark/>
          </w:tcPr>
          <w:p w14:paraId="685D3997"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5B773982" w14:textId="77777777" w:rsidR="000F0D9B" w:rsidRPr="000F0D9B" w:rsidRDefault="000F0D9B" w:rsidP="000F0D9B">
            <w:pPr>
              <w:jc w:val="right"/>
              <w:rPr>
                <w:sz w:val="14"/>
                <w:szCs w:val="14"/>
              </w:rPr>
            </w:pPr>
            <w:r w:rsidRPr="000F0D9B">
              <w:rPr>
                <w:sz w:val="14"/>
                <w:szCs w:val="14"/>
              </w:rPr>
              <w:t>0</w:t>
            </w:r>
          </w:p>
        </w:tc>
        <w:tc>
          <w:tcPr>
            <w:tcW w:w="830" w:type="dxa"/>
            <w:tcBorders>
              <w:top w:val="nil"/>
              <w:left w:val="nil"/>
              <w:bottom w:val="single" w:sz="4" w:space="0" w:color="BFBFBF"/>
              <w:right w:val="single" w:sz="4" w:space="0" w:color="BFBFBF"/>
            </w:tcBorders>
            <w:shd w:val="clear" w:color="auto" w:fill="auto"/>
            <w:noWrap/>
            <w:vAlign w:val="bottom"/>
            <w:hideMark/>
          </w:tcPr>
          <w:p w14:paraId="07E62066" w14:textId="77777777" w:rsidR="000F0D9B" w:rsidRPr="000F0D9B" w:rsidRDefault="000F0D9B" w:rsidP="000F0D9B">
            <w:pPr>
              <w:jc w:val="right"/>
              <w:rPr>
                <w:sz w:val="14"/>
                <w:szCs w:val="14"/>
              </w:rPr>
            </w:pPr>
            <w:r w:rsidRPr="000F0D9B">
              <w:rPr>
                <w:sz w:val="14"/>
                <w:szCs w:val="14"/>
              </w:rPr>
              <w:t>41 862</w:t>
            </w:r>
          </w:p>
        </w:tc>
        <w:tc>
          <w:tcPr>
            <w:tcW w:w="901" w:type="dxa"/>
            <w:tcBorders>
              <w:top w:val="nil"/>
              <w:left w:val="nil"/>
              <w:bottom w:val="single" w:sz="4" w:space="0" w:color="BFBFBF"/>
              <w:right w:val="single" w:sz="4" w:space="0" w:color="BFBFBF"/>
            </w:tcBorders>
            <w:shd w:val="clear" w:color="auto" w:fill="auto"/>
            <w:noWrap/>
            <w:vAlign w:val="bottom"/>
            <w:hideMark/>
          </w:tcPr>
          <w:p w14:paraId="22759950" w14:textId="77777777" w:rsidR="000F0D9B" w:rsidRPr="000F0D9B" w:rsidRDefault="000F0D9B" w:rsidP="000F0D9B">
            <w:pPr>
              <w:jc w:val="right"/>
              <w:rPr>
                <w:b/>
                <w:bCs/>
                <w:sz w:val="14"/>
                <w:szCs w:val="14"/>
              </w:rPr>
            </w:pPr>
            <w:r w:rsidRPr="000F0D9B">
              <w:rPr>
                <w:b/>
                <w:bCs/>
                <w:sz w:val="14"/>
                <w:szCs w:val="14"/>
              </w:rPr>
              <w:t>41 862</w:t>
            </w:r>
          </w:p>
        </w:tc>
      </w:tr>
      <w:tr w:rsidR="000F0D9B" w:rsidRPr="000F0D9B" w14:paraId="432BDB20"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2461125C" w14:textId="77777777" w:rsidR="000F0D9B" w:rsidRPr="000F0D9B" w:rsidRDefault="000F0D9B" w:rsidP="000F0D9B">
            <w:pPr>
              <w:jc w:val="center"/>
              <w:rPr>
                <w:b/>
                <w:bCs/>
                <w:sz w:val="14"/>
                <w:szCs w:val="14"/>
              </w:rPr>
            </w:pPr>
            <w:r w:rsidRPr="000F0D9B">
              <w:rPr>
                <w:b/>
                <w:bCs/>
                <w:sz w:val="14"/>
                <w:szCs w:val="14"/>
              </w:rPr>
              <w:t>2028</w:t>
            </w:r>
          </w:p>
        </w:tc>
        <w:tc>
          <w:tcPr>
            <w:tcW w:w="862" w:type="dxa"/>
            <w:tcBorders>
              <w:top w:val="nil"/>
              <w:left w:val="nil"/>
              <w:bottom w:val="single" w:sz="4" w:space="0" w:color="BFBFBF"/>
              <w:right w:val="single" w:sz="4" w:space="0" w:color="BFBFBF"/>
            </w:tcBorders>
            <w:shd w:val="clear" w:color="000000" w:fill="FFFFFF"/>
            <w:noWrap/>
            <w:vAlign w:val="bottom"/>
            <w:hideMark/>
          </w:tcPr>
          <w:p w14:paraId="3B0A118A"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0C4FA4DE" w14:textId="77777777" w:rsidR="000F0D9B" w:rsidRPr="000F0D9B" w:rsidRDefault="000F0D9B" w:rsidP="000F0D9B">
            <w:pPr>
              <w:rPr>
                <w:sz w:val="14"/>
                <w:szCs w:val="14"/>
              </w:rPr>
            </w:pPr>
            <w:r w:rsidRPr="000F0D9B">
              <w:rPr>
                <w:sz w:val="14"/>
                <w:szCs w:val="14"/>
              </w:rPr>
              <w:t> </w:t>
            </w:r>
          </w:p>
        </w:tc>
        <w:tc>
          <w:tcPr>
            <w:tcW w:w="864" w:type="dxa"/>
            <w:tcBorders>
              <w:top w:val="nil"/>
              <w:left w:val="nil"/>
              <w:bottom w:val="single" w:sz="4" w:space="0" w:color="BFBFBF"/>
              <w:right w:val="single" w:sz="4" w:space="0" w:color="BFBFBF"/>
            </w:tcBorders>
            <w:shd w:val="clear" w:color="000000" w:fill="FFFFFF"/>
            <w:noWrap/>
            <w:vAlign w:val="bottom"/>
            <w:hideMark/>
          </w:tcPr>
          <w:p w14:paraId="667481EF" w14:textId="77777777" w:rsidR="000F0D9B" w:rsidRPr="000F0D9B" w:rsidRDefault="000F0D9B" w:rsidP="000F0D9B">
            <w:pPr>
              <w:jc w:val="right"/>
              <w:rPr>
                <w:sz w:val="14"/>
                <w:szCs w:val="14"/>
              </w:rPr>
            </w:pPr>
            <w:r w:rsidRPr="000F0D9B">
              <w:rPr>
                <w:sz w:val="14"/>
                <w:szCs w:val="14"/>
              </w:rPr>
              <w:t>1 488 384</w:t>
            </w:r>
          </w:p>
        </w:tc>
        <w:tc>
          <w:tcPr>
            <w:tcW w:w="817" w:type="dxa"/>
            <w:tcBorders>
              <w:top w:val="nil"/>
              <w:left w:val="nil"/>
              <w:bottom w:val="single" w:sz="4" w:space="0" w:color="BFBFBF"/>
              <w:right w:val="single" w:sz="4" w:space="0" w:color="BFBFBF"/>
            </w:tcBorders>
            <w:shd w:val="clear" w:color="auto" w:fill="auto"/>
            <w:noWrap/>
            <w:vAlign w:val="bottom"/>
            <w:hideMark/>
          </w:tcPr>
          <w:p w14:paraId="1EA98AE3" w14:textId="77777777" w:rsidR="000F0D9B" w:rsidRPr="000F0D9B" w:rsidRDefault="000F0D9B" w:rsidP="000F0D9B">
            <w:pPr>
              <w:jc w:val="right"/>
              <w:rPr>
                <w:b/>
                <w:bCs/>
                <w:sz w:val="14"/>
                <w:szCs w:val="14"/>
              </w:rPr>
            </w:pPr>
            <w:r w:rsidRPr="000F0D9B">
              <w:rPr>
                <w:b/>
                <w:bCs/>
                <w:sz w:val="14"/>
                <w:szCs w:val="14"/>
              </w:rPr>
              <w:t>1 488 384</w:t>
            </w:r>
          </w:p>
        </w:tc>
        <w:tc>
          <w:tcPr>
            <w:tcW w:w="862" w:type="dxa"/>
            <w:tcBorders>
              <w:top w:val="nil"/>
              <w:left w:val="nil"/>
              <w:bottom w:val="single" w:sz="4" w:space="0" w:color="BFBFBF"/>
              <w:right w:val="single" w:sz="4" w:space="0" w:color="BFBFBF"/>
            </w:tcBorders>
            <w:shd w:val="clear" w:color="auto" w:fill="auto"/>
            <w:noWrap/>
            <w:vAlign w:val="bottom"/>
            <w:hideMark/>
          </w:tcPr>
          <w:p w14:paraId="6941F0DE"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21C25CA7" w14:textId="77777777" w:rsidR="000F0D9B" w:rsidRPr="000F0D9B" w:rsidRDefault="000F0D9B" w:rsidP="000F0D9B">
            <w:pPr>
              <w:rPr>
                <w:sz w:val="14"/>
                <w:szCs w:val="14"/>
              </w:rPr>
            </w:pPr>
            <w:r w:rsidRPr="000F0D9B">
              <w:rPr>
                <w:sz w:val="14"/>
                <w:szCs w:val="14"/>
              </w:rPr>
              <w:t> </w:t>
            </w:r>
          </w:p>
        </w:tc>
        <w:tc>
          <w:tcPr>
            <w:tcW w:w="857" w:type="dxa"/>
            <w:tcBorders>
              <w:top w:val="nil"/>
              <w:left w:val="nil"/>
              <w:bottom w:val="single" w:sz="4" w:space="0" w:color="BFBFBF"/>
              <w:right w:val="single" w:sz="4" w:space="0" w:color="BFBFBF"/>
            </w:tcBorders>
            <w:shd w:val="clear" w:color="auto" w:fill="auto"/>
            <w:noWrap/>
            <w:vAlign w:val="bottom"/>
            <w:hideMark/>
          </w:tcPr>
          <w:p w14:paraId="38692AA4" w14:textId="77777777" w:rsidR="000F0D9B" w:rsidRPr="000F0D9B" w:rsidRDefault="000F0D9B" w:rsidP="000F0D9B">
            <w:pPr>
              <w:jc w:val="right"/>
              <w:rPr>
                <w:sz w:val="14"/>
                <w:szCs w:val="14"/>
              </w:rPr>
            </w:pPr>
            <w:r w:rsidRPr="000F0D9B">
              <w:rPr>
                <w:sz w:val="14"/>
                <w:szCs w:val="14"/>
              </w:rPr>
              <w:t>1 446 522</w:t>
            </w:r>
          </w:p>
        </w:tc>
        <w:tc>
          <w:tcPr>
            <w:tcW w:w="839" w:type="dxa"/>
            <w:tcBorders>
              <w:top w:val="nil"/>
              <w:left w:val="nil"/>
              <w:bottom w:val="single" w:sz="4" w:space="0" w:color="BFBFBF"/>
              <w:right w:val="single" w:sz="4" w:space="0" w:color="BFBFBF"/>
            </w:tcBorders>
            <w:shd w:val="clear" w:color="auto" w:fill="auto"/>
            <w:noWrap/>
            <w:vAlign w:val="bottom"/>
            <w:hideMark/>
          </w:tcPr>
          <w:p w14:paraId="3595A35B" w14:textId="77777777" w:rsidR="000F0D9B" w:rsidRPr="000F0D9B" w:rsidRDefault="000F0D9B" w:rsidP="000F0D9B">
            <w:pPr>
              <w:jc w:val="right"/>
              <w:rPr>
                <w:b/>
                <w:bCs/>
                <w:sz w:val="14"/>
                <w:szCs w:val="14"/>
              </w:rPr>
            </w:pPr>
            <w:r w:rsidRPr="000F0D9B">
              <w:rPr>
                <w:b/>
                <w:bCs/>
                <w:sz w:val="14"/>
                <w:szCs w:val="14"/>
              </w:rPr>
              <w:t>1 446 522</w:t>
            </w:r>
          </w:p>
        </w:tc>
        <w:tc>
          <w:tcPr>
            <w:tcW w:w="862" w:type="dxa"/>
            <w:tcBorders>
              <w:top w:val="nil"/>
              <w:left w:val="nil"/>
              <w:bottom w:val="single" w:sz="4" w:space="0" w:color="BFBFBF"/>
              <w:right w:val="single" w:sz="4" w:space="0" w:color="BFBFBF"/>
            </w:tcBorders>
            <w:shd w:val="clear" w:color="auto" w:fill="auto"/>
            <w:noWrap/>
            <w:vAlign w:val="bottom"/>
            <w:hideMark/>
          </w:tcPr>
          <w:p w14:paraId="48A8A25D"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0869AE7E" w14:textId="77777777" w:rsidR="000F0D9B" w:rsidRPr="000F0D9B" w:rsidRDefault="000F0D9B" w:rsidP="000F0D9B">
            <w:pPr>
              <w:jc w:val="right"/>
              <w:rPr>
                <w:sz w:val="14"/>
                <w:szCs w:val="14"/>
              </w:rPr>
            </w:pPr>
            <w:r w:rsidRPr="000F0D9B">
              <w:rPr>
                <w:sz w:val="14"/>
                <w:szCs w:val="14"/>
              </w:rPr>
              <w:t>0</w:t>
            </w:r>
          </w:p>
        </w:tc>
        <w:tc>
          <w:tcPr>
            <w:tcW w:w="830" w:type="dxa"/>
            <w:tcBorders>
              <w:top w:val="nil"/>
              <w:left w:val="nil"/>
              <w:bottom w:val="single" w:sz="4" w:space="0" w:color="BFBFBF"/>
              <w:right w:val="single" w:sz="4" w:space="0" w:color="BFBFBF"/>
            </w:tcBorders>
            <w:shd w:val="clear" w:color="auto" w:fill="auto"/>
            <w:noWrap/>
            <w:vAlign w:val="bottom"/>
            <w:hideMark/>
          </w:tcPr>
          <w:p w14:paraId="5957D00B" w14:textId="77777777" w:rsidR="000F0D9B" w:rsidRPr="000F0D9B" w:rsidRDefault="000F0D9B" w:rsidP="000F0D9B">
            <w:pPr>
              <w:jc w:val="right"/>
              <w:rPr>
                <w:sz w:val="14"/>
                <w:szCs w:val="14"/>
              </w:rPr>
            </w:pPr>
            <w:r w:rsidRPr="000F0D9B">
              <w:rPr>
                <w:sz w:val="14"/>
                <w:szCs w:val="14"/>
              </w:rPr>
              <w:t>41 862</w:t>
            </w:r>
          </w:p>
        </w:tc>
        <w:tc>
          <w:tcPr>
            <w:tcW w:w="901" w:type="dxa"/>
            <w:tcBorders>
              <w:top w:val="nil"/>
              <w:left w:val="nil"/>
              <w:bottom w:val="single" w:sz="4" w:space="0" w:color="BFBFBF"/>
              <w:right w:val="single" w:sz="4" w:space="0" w:color="BFBFBF"/>
            </w:tcBorders>
            <w:shd w:val="clear" w:color="auto" w:fill="auto"/>
            <w:noWrap/>
            <w:vAlign w:val="bottom"/>
            <w:hideMark/>
          </w:tcPr>
          <w:p w14:paraId="18D51FA6" w14:textId="77777777" w:rsidR="000F0D9B" w:rsidRPr="000F0D9B" w:rsidRDefault="000F0D9B" w:rsidP="000F0D9B">
            <w:pPr>
              <w:jc w:val="right"/>
              <w:rPr>
                <w:b/>
                <w:bCs/>
                <w:sz w:val="14"/>
                <w:szCs w:val="14"/>
              </w:rPr>
            </w:pPr>
            <w:r w:rsidRPr="000F0D9B">
              <w:rPr>
                <w:b/>
                <w:bCs/>
                <w:sz w:val="14"/>
                <w:szCs w:val="14"/>
              </w:rPr>
              <w:t>41 862</w:t>
            </w:r>
          </w:p>
        </w:tc>
      </w:tr>
      <w:tr w:rsidR="000F0D9B" w:rsidRPr="000F0D9B" w14:paraId="2DD62B19"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048240D5" w14:textId="77777777" w:rsidR="000F0D9B" w:rsidRPr="000F0D9B" w:rsidRDefault="000F0D9B" w:rsidP="000F0D9B">
            <w:pPr>
              <w:jc w:val="center"/>
              <w:rPr>
                <w:b/>
                <w:bCs/>
                <w:sz w:val="14"/>
                <w:szCs w:val="14"/>
              </w:rPr>
            </w:pPr>
            <w:r w:rsidRPr="000F0D9B">
              <w:rPr>
                <w:b/>
                <w:bCs/>
                <w:sz w:val="14"/>
                <w:szCs w:val="14"/>
              </w:rPr>
              <w:t>2029</w:t>
            </w:r>
          </w:p>
        </w:tc>
        <w:tc>
          <w:tcPr>
            <w:tcW w:w="862" w:type="dxa"/>
            <w:tcBorders>
              <w:top w:val="nil"/>
              <w:left w:val="nil"/>
              <w:bottom w:val="single" w:sz="4" w:space="0" w:color="BFBFBF"/>
              <w:right w:val="single" w:sz="4" w:space="0" w:color="BFBFBF"/>
            </w:tcBorders>
            <w:shd w:val="clear" w:color="000000" w:fill="FFFFFF"/>
            <w:noWrap/>
            <w:vAlign w:val="bottom"/>
            <w:hideMark/>
          </w:tcPr>
          <w:p w14:paraId="13FDD591"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0BF6D945" w14:textId="77777777" w:rsidR="000F0D9B" w:rsidRPr="000F0D9B" w:rsidRDefault="000F0D9B" w:rsidP="000F0D9B">
            <w:pPr>
              <w:rPr>
                <w:sz w:val="14"/>
                <w:szCs w:val="14"/>
              </w:rPr>
            </w:pPr>
            <w:r w:rsidRPr="000F0D9B">
              <w:rPr>
                <w:sz w:val="14"/>
                <w:szCs w:val="14"/>
              </w:rPr>
              <w:t> </w:t>
            </w:r>
          </w:p>
        </w:tc>
        <w:tc>
          <w:tcPr>
            <w:tcW w:w="864" w:type="dxa"/>
            <w:tcBorders>
              <w:top w:val="nil"/>
              <w:left w:val="nil"/>
              <w:bottom w:val="single" w:sz="4" w:space="0" w:color="BFBFBF"/>
              <w:right w:val="single" w:sz="4" w:space="0" w:color="BFBFBF"/>
            </w:tcBorders>
            <w:shd w:val="clear" w:color="000000" w:fill="FFFFFF"/>
            <w:noWrap/>
            <w:vAlign w:val="bottom"/>
            <w:hideMark/>
          </w:tcPr>
          <w:p w14:paraId="17F9EB62" w14:textId="77777777" w:rsidR="000F0D9B" w:rsidRPr="000F0D9B" w:rsidRDefault="000F0D9B" w:rsidP="000F0D9B">
            <w:pPr>
              <w:jc w:val="right"/>
              <w:rPr>
                <w:sz w:val="14"/>
                <w:szCs w:val="14"/>
              </w:rPr>
            </w:pPr>
            <w:r w:rsidRPr="000F0D9B">
              <w:rPr>
                <w:sz w:val="14"/>
                <w:szCs w:val="14"/>
              </w:rPr>
              <w:t>1 280 010</w:t>
            </w:r>
          </w:p>
        </w:tc>
        <w:tc>
          <w:tcPr>
            <w:tcW w:w="817" w:type="dxa"/>
            <w:tcBorders>
              <w:top w:val="nil"/>
              <w:left w:val="nil"/>
              <w:bottom w:val="single" w:sz="4" w:space="0" w:color="BFBFBF"/>
              <w:right w:val="single" w:sz="4" w:space="0" w:color="BFBFBF"/>
            </w:tcBorders>
            <w:shd w:val="clear" w:color="auto" w:fill="auto"/>
            <w:noWrap/>
            <w:vAlign w:val="bottom"/>
            <w:hideMark/>
          </w:tcPr>
          <w:p w14:paraId="69C7D4BB" w14:textId="77777777" w:rsidR="000F0D9B" w:rsidRPr="000F0D9B" w:rsidRDefault="000F0D9B" w:rsidP="000F0D9B">
            <w:pPr>
              <w:jc w:val="right"/>
              <w:rPr>
                <w:b/>
                <w:bCs/>
                <w:sz w:val="14"/>
                <w:szCs w:val="14"/>
              </w:rPr>
            </w:pPr>
            <w:r w:rsidRPr="000F0D9B">
              <w:rPr>
                <w:b/>
                <w:bCs/>
                <w:sz w:val="14"/>
                <w:szCs w:val="14"/>
              </w:rPr>
              <w:t>1 280 010</w:t>
            </w:r>
          </w:p>
        </w:tc>
        <w:tc>
          <w:tcPr>
            <w:tcW w:w="862" w:type="dxa"/>
            <w:tcBorders>
              <w:top w:val="nil"/>
              <w:left w:val="nil"/>
              <w:bottom w:val="single" w:sz="4" w:space="0" w:color="BFBFBF"/>
              <w:right w:val="single" w:sz="4" w:space="0" w:color="BFBFBF"/>
            </w:tcBorders>
            <w:shd w:val="clear" w:color="auto" w:fill="auto"/>
            <w:noWrap/>
            <w:vAlign w:val="bottom"/>
            <w:hideMark/>
          </w:tcPr>
          <w:p w14:paraId="32390ABD"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515DB15A" w14:textId="77777777" w:rsidR="000F0D9B" w:rsidRPr="000F0D9B" w:rsidRDefault="000F0D9B" w:rsidP="000F0D9B">
            <w:pPr>
              <w:rPr>
                <w:sz w:val="14"/>
                <w:szCs w:val="14"/>
              </w:rPr>
            </w:pPr>
            <w:r w:rsidRPr="000F0D9B">
              <w:rPr>
                <w:sz w:val="14"/>
                <w:szCs w:val="14"/>
              </w:rPr>
              <w:t> </w:t>
            </w:r>
          </w:p>
        </w:tc>
        <w:tc>
          <w:tcPr>
            <w:tcW w:w="857" w:type="dxa"/>
            <w:tcBorders>
              <w:top w:val="nil"/>
              <w:left w:val="nil"/>
              <w:bottom w:val="single" w:sz="4" w:space="0" w:color="BFBFBF"/>
              <w:right w:val="single" w:sz="4" w:space="0" w:color="BFBFBF"/>
            </w:tcBorders>
            <w:shd w:val="clear" w:color="auto" w:fill="auto"/>
            <w:noWrap/>
            <w:vAlign w:val="bottom"/>
            <w:hideMark/>
          </w:tcPr>
          <w:p w14:paraId="1269A87C" w14:textId="77777777" w:rsidR="000F0D9B" w:rsidRPr="000F0D9B" w:rsidRDefault="000F0D9B" w:rsidP="000F0D9B">
            <w:pPr>
              <w:jc w:val="right"/>
              <w:rPr>
                <w:sz w:val="14"/>
                <w:szCs w:val="14"/>
              </w:rPr>
            </w:pPr>
            <w:r w:rsidRPr="000F0D9B">
              <w:rPr>
                <w:sz w:val="14"/>
                <w:szCs w:val="14"/>
              </w:rPr>
              <w:t>1 288 123</w:t>
            </w:r>
          </w:p>
        </w:tc>
        <w:tc>
          <w:tcPr>
            <w:tcW w:w="839" w:type="dxa"/>
            <w:tcBorders>
              <w:top w:val="nil"/>
              <w:left w:val="nil"/>
              <w:bottom w:val="single" w:sz="4" w:space="0" w:color="BFBFBF"/>
              <w:right w:val="single" w:sz="4" w:space="0" w:color="BFBFBF"/>
            </w:tcBorders>
            <w:shd w:val="clear" w:color="auto" w:fill="auto"/>
            <w:noWrap/>
            <w:vAlign w:val="bottom"/>
            <w:hideMark/>
          </w:tcPr>
          <w:p w14:paraId="7A7147E7" w14:textId="77777777" w:rsidR="000F0D9B" w:rsidRPr="000F0D9B" w:rsidRDefault="000F0D9B" w:rsidP="000F0D9B">
            <w:pPr>
              <w:jc w:val="right"/>
              <w:rPr>
                <w:b/>
                <w:bCs/>
                <w:sz w:val="14"/>
                <w:szCs w:val="14"/>
              </w:rPr>
            </w:pPr>
            <w:r w:rsidRPr="000F0D9B">
              <w:rPr>
                <w:b/>
                <w:bCs/>
                <w:sz w:val="14"/>
                <w:szCs w:val="14"/>
              </w:rPr>
              <w:t>1 288 123</w:t>
            </w:r>
          </w:p>
        </w:tc>
        <w:tc>
          <w:tcPr>
            <w:tcW w:w="862" w:type="dxa"/>
            <w:tcBorders>
              <w:top w:val="nil"/>
              <w:left w:val="nil"/>
              <w:bottom w:val="single" w:sz="4" w:space="0" w:color="BFBFBF"/>
              <w:right w:val="single" w:sz="4" w:space="0" w:color="BFBFBF"/>
            </w:tcBorders>
            <w:shd w:val="clear" w:color="auto" w:fill="auto"/>
            <w:noWrap/>
            <w:vAlign w:val="bottom"/>
            <w:hideMark/>
          </w:tcPr>
          <w:p w14:paraId="66E06539"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499822BC" w14:textId="77777777" w:rsidR="000F0D9B" w:rsidRPr="000F0D9B" w:rsidRDefault="000F0D9B" w:rsidP="000F0D9B">
            <w:pPr>
              <w:jc w:val="right"/>
              <w:rPr>
                <w:sz w:val="14"/>
                <w:szCs w:val="14"/>
              </w:rPr>
            </w:pPr>
            <w:r w:rsidRPr="000F0D9B">
              <w:rPr>
                <w:sz w:val="14"/>
                <w:szCs w:val="14"/>
              </w:rPr>
              <w:t>0</w:t>
            </w:r>
          </w:p>
        </w:tc>
        <w:tc>
          <w:tcPr>
            <w:tcW w:w="830" w:type="dxa"/>
            <w:tcBorders>
              <w:top w:val="nil"/>
              <w:left w:val="nil"/>
              <w:bottom w:val="single" w:sz="4" w:space="0" w:color="BFBFBF"/>
              <w:right w:val="single" w:sz="4" w:space="0" w:color="BFBFBF"/>
            </w:tcBorders>
            <w:shd w:val="clear" w:color="auto" w:fill="auto"/>
            <w:noWrap/>
            <w:vAlign w:val="bottom"/>
            <w:hideMark/>
          </w:tcPr>
          <w:p w14:paraId="6C7956C4" w14:textId="77777777" w:rsidR="000F0D9B" w:rsidRPr="000F0D9B" w:rsidRDefault="000F0D9B" w:rsidP="000F0D9B">
            <w:pPr>
              <w:jc w:val="right"/>
              <w:rPr>
                <w:sz w:val="14"/>
                <w:szCs w:val="14"/>
              </w:rPr>
            </w:pPr>
            <w:r w:rsidRPr="000F0D9B">
              <w:rPr>
                <w:sz w:val="14"/>
                <w:szCs w:val="14"/>
              </w:rPr>
              <w:t>-8 113</w:t>
            </w:r>
          </w:p>
        </w:tc>
        <w:tc>
          <w:tcPr>
            <w:tcW w:w="901" w:type="dxa"/>
            <w:tcBorders>
              <w:top w:val="nil"/>
              <w:left w:val="nil"/>
              <w:bottom w:val="single" w:sz="4" w:space="0" w:color="BFBFBF"/>
              <w:right w:val="single" w:sz="4" w:space="0" w:color="BFBFBF"/>
            </w:tcBorders>
            <w:shd w:val="clear" w:color="auto" w:fill="auto"/>
            <w:noWrap/>
            <w:vAlign w:val="bottom"/>
            <w:hideMark/>
          </w:tcPr>
          <w:p w14:paraId="0602A08E" w14:textId="77777777" w:rsidR="000F0D9B" w:rsidRPr="000F0D9B" w:rsidRDefault="000F0D9B" w:rsidP="000F0D9B">
            <w:pPr>
              <w:jc w:val="right"/>
              <w:rPr>
                <w:b/>
                <w:bCs/>
                <w:sz w:val="14"/>
                <w:szCs w:val="14"/>
              </w:rPr>
            </w:pPr>
            <w:r w:rsidRPr="000F0D9B">
              <w:rPr>
                <w:b/>
                <w:bCs/>
                <w:sz w:val="14"/>
                <w:szCs w:val="14"/>
              </w:rPr>
              <w:t>-8 113</w:t>
            </w:r>
          </w:p>
        </w:tc>
      </w:tr>
      <w:tr w:rsidR="000F0D9B" w:rsidRPr="000F0D9B" w14:paraId="78FF4DAC"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0C402AD0" w14:textId="77777777" w:rsidR="000F0D9B" w:rsidRPr="000F0D9B" w:rsidRDefault="000F0D9B" w:rsidP="000F0D9B">
            <w:pPr>
              <w:jc w:val="center"/>
              <w:rPr>
                <w:b/>
                <w:bCs/>
                <w:sz w:val="14"/>
                <w:szCs w:val="14"/>
              </w:rPr>
            </w:pPr>
            <w:r w:rsidRPr="000F0D9B">
              <w:rPr>
                <w:b/>
                <w:bCs/>
                <w:sz w:val="14"/>
                <w:szCs w:val="14"/>
              </w:rPr>
              <w:t>2030</w:t>
            </w:r>
          </w:p>
        </w:tc>
        <w:tc>
          <w:tcPr>
            <w:tcW w:w="862" w:type="dxa"/>
            <w:tcBorders>
              <w:top w:val="nil"/>
              <w:left w:val="nil"/>
              <w:bottom w:val="single" w:sz="4" w:space="0" w:color="BFBFBF"/>
              <w:right w:val="single" w:sz="4" w:space="0" w:color="BFBFBF"/>
            </w:tcBorders>
            <w:shd w:val="clear" w:color="000000" w:fill="FFFFFF"/>
            <w:noWrap/>
            <w:vAlign w:val="bottom"/>
            <w:hideMark/>
          </w:tcPr>
          <w:p w14:paraId="14B7210B"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507B4E4E" w14:textId="77777777" w:rsidR="000F0D9B" w:rsidRPr="000F0D9B" w:rsidRDefault="000F0D9B" w:rsidP="000F0D9B">
            <w:pPr>
              <w:rPr>
                <w:sz w:val="14"/>
                <w:szCs w:val="14"/>
              </w:rPr>
            </w:pPr>
            <w:r w:rsidRPr="000F0D9B">
              <w:rPr>
                <w:sz w:val="14"/>
                <w:szCs w:val="14"/>
              </w:rPr>
              <w:t> </w:t>
            </w:r>
          </w:p>
        </w:tc>
        <w:tc>
          <w:tcPr>
            <w:tcW w:w="864" w:type="dxa"/>
            <w:tcBorders>
              <w:top w:val="nil"/>
              <w:left w:val="nil"/>
              <w:bottom w:val="single" w:sz="4" w:space="0" w:color="BFBFBF"/>
              <w:right w:val="single" w:sz="4" w:space="0" w:color="BFBFBF"/>
            </w:tcBorders>
            <w:shd w:val="clear" w:color="000000" w:fill="FFFFFF"/>
            <w:noWrap/>
            <w:vAlign w:val="bottom"/>
            <w:hideMark/>
          </w:tcPr>
          <w:p w14:paraId="2577DFBA" w14:textId="77777777" w:rsidR="000F0D9B" w:rsidRPr="000F0D9B" w:rsidRDefault="000F0D9B" w:rsidP="000F0D9B">
            <w:pPr>
              <w:jc w:val="right"/>
              <w:rPr>
                <w:sz w:val="14"/>
                <w:szCs w:val="14"/>
              </w:rPr>
            </w:pPr>
            <w:r w:rsidRPr="000F0D9B">
              <w:rPr>
                <w:sz w:val="14"/>
                <w:szCs w:val="14"/>
              </w:rPr>
              <w:t>773 960</w:t>
            </w:r>
          </w:p>
        </w:tc>
        <w:tc>
          <w:tcPr>
            <w:tcW w:w="817" w:type="dxa"/>
            <w:tcBorders>
              <w:top w:val="nil"/>
              <w:left w:val="nil"/>
              <w:bottom w:val="single" w:sz="4" w:space="0" w:color="BFBFBF"/>
              <w:right w:val="single" w:sz="4" w:space="0" w:color="BFBFBF"/>
            </w:tcBorders>
            <w:shd w:val="clear" w:color="auto" w:fill="auto"/>
            <w:noWrap/>
            <w:vAlign w:val="bottom"/>
            <w:hideMark/>
          </w:tcPr>
          <w:p w14:paraId="02CEB0CD" w14:textId="77777777" w:rsidR="000F0D9B" w:rsidRPr="000F0D9B" w:rsidRDefault="000F0D9B" w:rsidP="000F0D9B">
            <w:pPr>
              <w:jc w:val="right"/>
              <w:rPr>
                <w:b/>
                <w:bCs/>
                <w:sz w:val="14"/>
                <w:szCs w:val="14"/>
              </w:rPr>
            </w:pPr>
            <w:r w:rsidRPr="000F0D9B">
              <w:rPr>
                <w:b/>
                <w:bCs/>
                <w:sz w:val="14"/>
                <w:szCs w:val="14"/>
              </w:rPr>
              <w:t>773 960</w:t>
            </w:r>
          </w:p>
        </w:tc>
        <w:tc>
          <w:tcPr>
            <w:tcW w:w="862" w:type="dxa"/>
            <w:tcBorders>
              <w:top w:val="nil"/>
              <w:left w:val="nil"/>
              <w:bottom w:val="single" w:sz="4" w:space="0" w:color="BFBFBF"/>
              <w:right w:val="single" w:sz="4" w:space="0" w:color="BFBFBF"/>
            </w:tcBorders>
            <w:shd w:val="clear" w:color="auto" w:fill="auto"/>
            <w:noWrap/>
            <w:vAlign w:val="bottom"/>
            <w:hideMark/>
          </w:tcPr>
          <w:p w14:paraId="4E614DDC"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05F4E345" w14:textId="77777777" w:rsidR="000F0D9B" w:rsidRPr="000F0D9B" w:rsidRDefault="000F0D9B" w:rsidP="000F0D9B">
            <w:pPr>
              <w:rPr>
                <w:sz w:val="14"/>
                <w:szCs w:val="14"/>
              </w:rPr>
            </w:pPr>
            <w:r w:rsidRPr="000F0D9B">
              <w:rPr>
                <w:sz w:val="14"/>
                <w:szCs w:val="14"/>
              </w:rPr>
              <w:t> </w:t>
            </w:r>
          </w:p>
        </w:tc>
        <w:tc>
          <w:tcPr>
            <w:tcW w:w="857" w:type="dxa"/>
            <w:tcBorders>
              <w:top w:val="nil"/>
              <w:left w:val="nil"/>
              <w:bottom w:val="single" w:sz="4" w:space="0" w:color="BFBFBF"/>
              <w:right w:val="single" w:sz="4" w:space="0" w:color="BFBFBF"/>
            </w:tcBorders>
            <w:shd w:val="clear" w:color="auto" w:fill="auto"/>
            <w:noWrap/>
            <w:vAlign w:val="bottom"/>
            <w:hideMark/>
          </w:tcPr>
          <w:p w14:paraId="1EBF793A" w14:textId="77777777" w:rsidR="000F0D9B" w:rsidRPr="000F0D9B" w:rsidRDefault="000F0D9B" w:rsidP="000F0D9B">
            <w:pPr>
              <w:jc w:val="right"/>
              <w:rPr>
                <w:sz w:val="14"/>
                <w:szCs w:val="14"/>
              </w:rPr>
            </w:pPr>
            <w:r w:rsidRPr="000F0D9B">
              <w:rPr>
                <w:sz w:val="14"/>
                <w:szCs w:val="14"/>
              </w:rPr>
              <w:t>903 434</w:t>
            </w:r>
          </w:p>
        </w:tc>
        <w:tc>
          <w:tcPr>
            <w:tcW w:w="839" w:type="dxa"/>
            <w:tcBorders>
              <w:top w:val="nil"/>
              <w:left w:val="nil"/>
              <w:bottom w:val="single" w:sz="4" w:space="0" w:color="BFBFBF"/>
              <w:right w:val="single" w:sz="4" w:space="0" w:color="BFBFBF"/>
            </w:tcBorders>
            <w:shd w:val="clear" w:color="auto" w:fill="auto"/>
            <w:noWrap/>
            <w:vAlign w:val="bottom"/>
            <w:hideMark/>
          </w:tcPr>
          <w:p w14:paraId="329A7186" w14:textId="77777777" w:rsidR="000F0D9B" w:rsidRPr="000F0D9B" w:rsidRDefault="000F0D9B" w:rsidP="000F0D9B">
            <w:pPr>
              <w:jc w:val="right"/>
              <w:rPr>
                <w:b/>
                <w:bCs/>
                <w:sz w:val="14"/>
                <w:szCs w:val="14"/>
              </w:rPr>
            </w:pPr>
            <w:r w:rsidRPr="000F0D9B">
              <w:rPr>
                <w:b/>
                <w:bCs/>
                <w:sz w:val="14"/>
                <w:szCs w:val="14"/>
              </w:rPr>
              <w:t>903 434</w:t>
            </w:r>
          </w:p>
        </w:tc>
        <w:tc>
          <w:tcPr>
            <w:tcW w:w="862" w:type="dxa"/>
            <w:tcBorders>
              <w:top w:val="nil"/>
              <w:left w:val="nil"/>
              <w:bottom w:val="single" w:sz="4" w:space="0" w:color="BFBFBF"/>
              <w:right w:val="single" w:sz="4" w:space="0" w:color="BFBFBF"/>
            </w:tcBorders>
            <w:shd w:val="clear" w:color="auto" w:fill="auto"/>
            <w:noWrap/>
            <w:vAlign w:val="bottom"/>
            <w:hideMark/>
          </w:tcPr>
          <w:p w14:paraId="6A01F825"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689994CE" w14:textId="77777777" w:rsidR="000F0D9B" w:rsidRPr="000F0D9B" w:rsidRDefault="000F0D9B" w:rsidP="000F0D9B">
            <w:pPr>
              <w:jc w:val="right"/>
              <w:rPr>
                <w:sz w:val="14"/>
                <w:szCs w:val="14"/>
              </w:rPr>
            </w:pPr>
            <w:r w:rsidRPr="000F0D9B">
              <w:rPr>
                <w:sz w:val="14"/>
                <w:szCs w:val="14"/>
              </w:rPr>
              <w:t>0</w:t>
            </w:r>
          </w:p>
        </w:tc>
        <w:tc>
          <w:tcPr>
            <w:tcW w:w="830" w:type="dxa"/>
            <w:tcBorders>
              <w:top w:val="nil"/>
              <w:left w:val="nil"/>
              <w:bottom w:val="single" w:sz="4" w:space="0" w:color="BFBFBF"/>
              <w:right w:val="single" w:sz="4" w:space="0" w:color="BFBFBF"/>
            </w:tcBorders>
            <w:shd w:val="clear" w:color="auto" w:fill="auto"/>
            <w:noWrap/>
            <w:vAlign w:val="bottom"/>
            <w:hideMark/>
          </w:tcPr>
          <w:p w14:paraId="66EE9C38" w14:textId="77777777" w:rsidR="000F0D9B" w:rsidRPr="000F0D9B" w:rsidRDefault="000F0D9B" w:rsidP="000F0D9B">
            <w:pPr>
              <w:jc w:val="right"/>
              <w:rPr>
                <w:sz w:val="14"/>
                <w:szCs w:val="14"/>
              </w:rPr>
            </w:pPr>
            <w:r w:rsidRPr="000F0D9B">
              <w:rPr>
                <w:sz w:val="14"/>
                <w:szCs w:val="14"/>
              </w:rPr>
              <w:t>-129 474</w:t>
            </w:r>
          </w:p>
        </w:tc>
        <w:tc>
          <w:tcPr>
            <w:tcW w:w="901" w:type="dxa"/>
            <w:tcBorders>
              <w:top w:val="nil"/>
              <w:left w:val="nil"/>
              <w:bottom w:val="single" w:sz="4" w:space="0" w:color="BFBFBF"/>
              <w:right w:val="single" w:sz="4" w:space="0" w:color="BFBFBF"/>
            </w:tcBorders>
            <w:shd w:val="clear" w:color="auto" w:fill="auto"/>
            <w:noWrap/>
            <w:vAlign w:val="bottom"/>
            <w:hideMark/>
          </w:tcPr>
          <w:p w14:paraId="6AEBF412" w14:textId="77777777" w:rsidR="000F0D9B" w:rsidRPr="000F0D9B" w:rsidRDefault="000F0D9B" w:rsidP="000F0D9B">
            <w:pPr>
              <w:jc w:val="right"/>
              <w:rPr>
                <w:b/>
                <w:bCs/>
                <w:sz w:val="14"/>
                <w:szCs w:val="14"/>
              </w:rPr>
            </w:pPr>
            <w:r w:rsidRPr="000F0D9B">
              <w:rPr>
                <w:b/>
                <w:bCs/>
                <w:sz w:val="14"/>
                <w:szCs w:val="14"/>
              </w:rPr>
              <w:t>-129 474</w:t>
            </w:r>
          </w:p>
        </w:tc>
      </w:tr>
      <w:tr w:rsidR="000F0D9B" w:rsidRPr="000F0D9B" w14:paraId="3A03BF25"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7553B87E" w14:textId="77777777" w:rsidR="000F0D9B" w:rsidRPr="000F0D9B" w:rsidRDefault="000F0D9B" w:rsidP="000F0D9B">
            <w:pPr>
              <w:jc w:val="center"/>
              <w:rPr>
                <w:b/>
                <w:bCs/>
                <w:sz w:val="14"/>
                <w:szCs w:val="14"/>
              </w:rPr>
            </w:pPr>
            <w:r w:rsidRPr="000F0D9B">
              <w:rPr>
                <w:b/>
                <w:bCs/>
                <w:sz w:val="14"/>
                <w:szCs w:val="14"/>
              </w:rPr>
              <w:t>2031</w:t>
            </w:r>
          </w:p>
        </w:tc>
        <w:tc>
          <w:tcPr>
            <w:tcW w:w="862" w:type="dxa"/>
            <w:tcBorders>
              <w:top w:val="nil"/>
              <w:left w:val="nil"/>
              <w:bottom w:val="single" w:sz="4" w:space="0" w:color="BFBFBF"/>
              <w:right w:val="single" w:sz="4" w:space="0" w:color="BFBFBF"/>
            </w:tcBorders>
            <w:shd w:val="clear" w:color="000000" w:fill="FFFFFF"/>
            <w:noWrap/>
            <w:vAlign w:val="bottom"/>
            <w:hideMark/>
          </w:tcPr>
          <w:p w14:paraId="27D9A11A" w14:textId="77777777" w:rsidR="000F0D9B" w:rsidRPr="000F0D9B" w:rsidRDefault="000F0D9B" w:rsidP="000F0D9B">
            <w:pPr>
              <w:rPr>
                <w:sz w:val="14"/>
                <w:szCs w:val="14"/>
              </w:rPr>
            </w:pPr>
            <w:r w:rsidRPr="000F0D9B">
              <w:rPr>
                <w:sz w:val="14"/>
                <w:szCs w:val="14"/>
              </w:rPr>
              <w:t> </w:t>
            </w:r>
          </w:p>
        </w:tc>
        <w:tc>
          <w:tcPr>
            <w:tcW w:w="900" w:type="dxa"/>
            <w:tcBorders>
              <w:top w:val="nil"/>
              <w:left w:val="nil"/>
              <w:bottom w:val="single" w:sz="4" w:space="0" w:color="BFBFBF"/>
              <w:right w:val="single" w:sz="4" w:space="0" w:color="BFBFBF"/>
            </w:tcBorders>
            <w:shd w:val="clear" w:color="000000" w:fill="FFFFFF"/>
            <w:noWrap/>
            <w:vAlign w:val="bottom"/>
            <w:hideMark/>
          </w:tcPr>
          <w:p w14:paraId="63062880" w14:textId="77777777" w:rsidR="000F0D9B" w:rsidRPr="000F0D9B" w:rsidRDefault="000F0D9B" w:rsidP="000F0D9B">
            <w:pPr>
              <w:rPr>
                <w:sz w:val="14"/>
                <w:szCs w:val="14"/>
              </w:rPr>
            </w:pPr>
            <w:r w:rsidRPr="000F0D9B">
              <w:rPr>
                <w:sz w:val="14"/>
                <w:szCs w:val="14"/>
              </w:rPr>
              <w:t> </w:t>
            </w:r>
          </w:p>
        </w:tc>
        <w:tc>
          <w:tcPr>
            <w:tcW w:w="864" w:type="dxa"/>
            <w:tcBorders>
              <w:top w:val="nil"/>
              <w:left w:val="nil"/>
              <w:bottom w:val="single" w:sz="4" w:space="0" w:color="BFBFBF"/>
              <w:right w:val="single" w:sz="4" w:space="0" w:color="BFBFBF"/>
            </w:tcBorders>
            <w:shd w:val="clear" w:color="000000" w:fill="FFFFFF"/>
            <w:noWrap/>
            <w:vAlign w:val="bottom"/>
            <w:hideMark/>
          </w:tcPr>
          <w:p w14:paraId="7E4CB054" w14:textId="77777777" w:rsidR="000F0D9B" w:rsidRPr="000F0D9B" w:rsidRDefault="000F0D9B" w:rsidP="000F0D9B">
            <w:pPr>
              <w:jc w:val="right"/>
              <w:rPr>
                <w:sz w:val="14"/>
                <w:szCs w:val="14"/>
              </w:rPr>
            </w:pPr>
            <w:r w:rsidRPr="000F0D9B">
              <w:rPr>
                <w:sz w:val="14"/>
                <w:szCs w:val="14"/>
              </w:rPr>
              <w:t>267 909</w:t>
            </w:r>
          </w:p>
        </w:tc>
        <w:tc>
          <w:tcPr>
            <w:tcW w:w="817" w:type="dxa"/>
            <w:tcBorders>
              <w:top w:val="nil"/>
              <w:left w:val="nil"/>
              <w:bottom w:val="single" w:sz="4" w:space="0" w:color="BFBFBF"/>
              <w:right w:val="single" w:sz="4" w:space="0" w:color="BFBFBF"/>
            </w:tcBorders>
            <w:shd w:val="clear" w:color="auto" w:fill="auto"/>
            <w:noWrap/>
            <w:vAlign w:val="bottom"/>
            <w:hideMark/>
          </w:tcPr>
          <w:p w14:paraId="5F15940E" w14:textId="77777777" w:rsidR="000F0D9B" w:rsidRPr="000F0D9B" w:rsidRDefault="000F0D9B" w:rsidP="000F0D9B">
            <w:pPr>
              <w:jc w:val="right"/>
              <w:rPr>
                <w:b/>
                <w:bCs/>
                <w:sz w:val="14"/>
                <w:szCs w:val="14"/>
              </w:rPr>
            </w:pPr>
            <w:r w:rsidRPr="000F0D9B">
              <w:rPr>
                <w:b/>
                <w:bCs/>
                <w:sz w:val="14"/>
                <w:szCs w:val="14"/>
              </w:rPr>
              <w:t>267 909</w:t>
            </w:r>
          </w:p>
        </w:tc>
        <w:tc>
          <w:tcPr>
            <w:tcW w:w="862" w:type="dxa"/>
            <w:tcBorders>
              <w:top w:val="nil"/>
              <w:left w:val="nil"/>
              <w:bottom w:val="single" w:sz="4" w:space="0" w:color="BFBFBF"/>
              <w:right w:val="single" w:sz="4" w:space="0" w:color="BFBFBF"/>
            </w:tcBorders>
            <w:shd w:val="clear" w:color="auto" w:fill="auto"/>
            <w:noWrap/>
            <w:vAlign w:val="bottom"/>
            <w:hideMark/>
          </w:tcPr>
          <w:p w14:paraId="59DDBB92" w14:textId="77777777" w:rsidR="000F0D9B" w:rsidRPr="000F0D9B" w:rsidRDefault="000F0D9B" w:rsidP="000F0D9B">
            <w:pPr>
              <w:rPr>
                <w:sz w:val="14"/>
                <w:szCs w:val="14"/>
              </w:rPr>
            </w:pPr>
            <w:r w:rsidRPr="000F0D9B">
              <w:rPr>
                <w:sz w:val="14"/>
                <w:szCs w:val="14"/>
              </w:rPr>
              <w:t> </w:t>
            </w:r>
          </w:p>
        </w:tc>
        <w:tc>
          <w:tcPr>
            <w:tcW w:w="824" w:type="dxa"/>
            <w:tcBorders>
              <w:top w:val="nil"/>
              <w:left w:val="nil"/>
              <w:bottom w:val="single" w:sz="4" w:space="0" w:color="BFBFBF"/>
              <w:right w:val="single" w:sz="4" w:space="0" w:color="BFBFBF"/>
            </w:tcBorders>
            <w:shd w:val="clear" w:color="auto" w:fill="auto"/>
            <w:noWrap/>
            <w:vAlign w:val="bottom"/>
            <w:hideMark/>
          </w:tcPr>
          <w:p w14:paraId="2A71ABC1" w14:textId="77777777" w:rsidR="000F0D9B" w:rsidRPr="000F0D9B" w:rsidRDefault="000F0D9B" w:rsidP="000F0D9B">
            <w:pPr>
              <w:rPr>
                <w:sz w:val="14"/>
                <w:szCs w:val="14"/>
              </w:rPr>
            </w:pPr>
            <w:r w:rsidRPr="000F0D9B">
              <w:rPr>
                <w:sz w:val="14"/>
                <w:szCs w:val="14"/>
              </w:rPr>
              <w:t> </w:t>
            </w:r>
          </w:p>
        </w:tc>
        <w:tc>
          <w:tcPr>
            <w:tcW w:w="857" w:type="dxa"/>
            <w:tcBorders>
              <w:top w:val="nil"/>
              <w:left w:val="nil"/>
              <w:bottom w:val="single" w:sz="4" w:space="0" w:color="BFBFBF"/>
              <w:right w:val="single" w:sz="4" w:space="0" w:color="BFBFBF"/>
            </w:tcBorders>
            <w:shd w:val="clear" w:color="auto" w:fill="auto"/>
            <w:noWrap/>
            <w:vAlign w:val="bottom"/>
            <w:hideMark/>
          </w:tcPr>
          <w:p w14:paraId="65D6CB2D" w14:textId="77777777" w:rsidR="000F0D9B" w:rsidRPr="000F0D9B" w:rsidRDefault="000F0D9B" w:rsidP="000F0D9B">
            <w:pPr>
              <w:jc w:val="right"/>
              <w:rPr>
                <w:sz w:val="14"/>
                <w:szCs w:val="14"/>
              </w:rPr>
            </w:pPr>
            <w:r w:rsidRPr="000F0D9B">
              <w:rPr>
                <w:sz w:val="14"/>
                <w:szCs w:val="14"/>
              </w:rPr>
              <w:t>518 748</w:t>
            </w:r>
          </w:p>
        </w:tc>
        <w:tc>
          <w:tcPr>
            <w:tcW w:w="839" w:type="dxa"/>
            <w:tcBorders>
              <w:top w:val="nil"/>
              <w:left w:val="nil"/>
              <w:bottom w:val="single" w:sz="4" w:space="0" w:color="BFBFBF"/>
              <w:right w:val="single" w:sz="4" w:space="0" w:color="BFBFBF"/>
            </w:tcBorders>
            <w:shd w:val="clear" w:color="auto" w:fill="auto"/>
            <w:noWrap/>
            <w:vAlign w:val="bottom"/>
            <w:hideMark/>
          </w:tcPr>
          <w:p w14:paraId="7C3D62CC" w14:textId="77777777" w:rsidR="000F0D9B" w:rsidRPr="000F0D9B" w:rsidRDefault="000F0D9B" w:rsidP="000F0D9B">
            <w:pPr>
              <w:jc w:val="right"/>
              <w:rPr>
                <w:b/>
                <w:bCs/>
                <w:sz w:val="14"/>
                <w:szCs w:val="14"/>
              </w:rPr>
            </w:pPr>
            <w:r w:rsidRPr="000F0D9B">
              <w:rPr>
                <w:b/>
                <w:bCs/>
                <w:sz w:val="14"/>
                <w:szCs w:val="14"/>
              </w:rPr>
              <w:t>518 748</w:t>
            </w:r>
          </w:p>
        </w:tc>
        <w:tc>
          <w:tcPr>
            <w:tcW w:w="862" w:type="dxa"/>
            <w:tcBorders>
              <w:top w:val="nil"/>
              <w:left w:val="nil"/>
              <w:bottom w:val="single" w:sz="4" w:space="0" w:color="BFBFBF"/>
              <w:right w:val="single" w:sz="4" w:space="0" w:color="BFBFBF"/>
            </w:tcBorders>
            <w:shd w:val="clear" w:color="auto" w:fill="auto"/>
            <w:noWrap/>
            <w:vAlign w:val="bottom"/>
            <w:hideMark/>
          </w:tcPr>
          <w:p w14:paraId="5A042A10" w14:textId="77777777" w:rsidR="000F0D9B" w:rsidRPr="000F0D9B" w:rsidRDefault="000F0D9B" w:rsidP="000F0D9B">
            <w:pPr>
              <w:jc w:val="right"/>
              <w:rPr>
                <w:sz w:val="14"/>
                <w:szCs w:val="14"/>
              </w:rPr>
            </w:pPr>
            <w:r w:rsidRPr="000F0D9B">
              <w:rPr>
                <w:sz w:val="14"/>
                <w:szCs w:val="14"/>
              </w:rPr>
              <w:t>0</w:t>
            </w:r>
          </w:p>
        </w:tc>
        <w:tc>
          <w:tcPr>
            <w:tcW w:w="866" w:type="dxa"/>
            <w:tcBorders>
              <w:top w:val="nil"/>
              <w:left w:val="nil"/>
              <w:bottom w:val="single" w:sz="4" w:space="0" w:color="BFBFBF"/>
              <w:right w:val="single" w:sz="4" w:space="0" w:color="BFBFBF"/>
            </w:tcBorders>
            <w:shd w:val="clear" w:color="auto" w:fill="auto"/>
            <w:noWrap/>
            <w:vAlign w:val="bottom"/>
            <w:hideMark/>
          </w:tcPr>
          <w:p w14:paraId="6CCE8EB0" w14:textId="77777777" w:rsidR="000F0D9B" w:rsidRPr="000F0D9B" w:rsidRDefault="000F0D9B" w:rsidP="000F0D9B">
            <w:pPr>
              <w:jc w:val="right"/>
              <w:rPr>
                <w:sz w:val="14"/>
                <w:szCs w:val="14"/>
              </w:rPr>
            </w:pPr>
            <w:r w:rsidRPr="000F0D9B">
              <w:rPr>
                <w:sz w:val="14"/>
                <w:szCs w:val="14"/>
              </w:rPr>
              <w:t>0</w:t>
            </w:r>
          </w:p>
        </w:tc>
        <w:tc>
          <w:tcPr>
            <w:tcW w:w="830" w:type="dxa"/>
            <w:tcBorders>
              <w:top w:val="nil"/>
              <w:left w:val="nil"/>
              <w:bottom w:val="single" w:sz="4" w:space="0" w:color="BFBFBF"/>
              <w:right w:val="single" w:sz="4" w:space="0" w:color="BFBFBF"/>
            </w:tcBorders>
            <w:shd w:val="clear" w:color="auto" w:fill="auto"/>
            <w:noWrap/>
            <w:vAlign w:val="bottom"/>
            <w:hideMark/>
          </w:tcPr>
          <w:p w14:paraId="4B44DED6" w14:textId="77777777" w:rsidR="000F0D9B" w:rsidRPr="000F0D9B" w:rsidRDefault="000F0D9B" w:rsidP="000F0D9B">
            <w:pPr>
              <w:jc w:val="right"/>
              <w:rPr>
                <w:sz w:val="14"/>
                <w:szCs w:val="14"/>
              </w:rPr>
            </w:pPr>
            <w:r w:rsidRPr="000F0D9B">
              <w:rPr>
                <w:sz w:val="14"/>
                <w:szCs w:val="14"/>
              </w:rPr>
              <w:t>-250 839</w:t>
            </w:r>
          </w:p>
        </w:tc>
        <w:tc>
          <w:tcPr>
            <w:tcW w:w="901" w:type="dxa"/>
            <w:tcBorders>
              <w:top w:val="nil"/>
              <w:left w:val="nil"/>
              <w:bottom w:val="single" w:sz="4" w:space="0" w:color="BFBFBF"/>
              <w:right w:val="single" w:sz="4" w:space="0" w:color="BFBFBF"/>
            </w:tcBorders>
            <w:shd w:val="clear" w:color="auto" w:fill="auto"/>
            <w:noWrap/>
            <w:vAlign w:val="bottom"/>
            <w:hideMark/>
          </w:tcPr>
          <w:p w14:paraId="2C259CF9" w14:textId="77777777" w:rsidR="000F0D9B" w:rsidRPr="000F0D9B" w:rsidRDefault="000F0D9B" w:rsidP="000F0D9B">
            <w:pPr>
              <w:jc w:val="right"/>
              <w:rPr>
                <w:b/>
                <w:bCs/>
                <w:sz w:val="14"/>
                <w:szCs w:val="14"/>
              </w:rPr>
            </w:pPr>
            <w:r w:rsidRPr="000F0D9B">
              <w:rPr>
                <w:b/>
                <w:bCs/>
                <w:sz w:val="14"/>
                <w:szCs w:val="14"/>
              </w:rPr>
              <w:t>-250 839</w:t>
            </w:r>
          </w:p>
        </w:tc>
      </w:tr>
      <w:tr w:rsidR="000F0D9B" w:rsidRPr="000F0D9B" w14:paraId="7BDAE314" w14:textId="77777777" w:rsidTr="00797A8F">
        <w:trPr>
          <w:trHeight w:val="210"/>
        </w:trPr>
        <w:tc>
          <w:tcPr>
            <w:tcW w:w="668" w:type="dxa"/>
            <w:tcBorders>
              <w:top w:val="nil"/>
              <w:left w:val="single" w:sz="4" w:space="0" w:color="BFBFBF"/>
              <w:bottom w:val="single" w:sz="4" w:space="0" w:color="BFBFBF"/>
              <w:right w:val="single" w:sz="4" w:space="0" w:color="BFBFBF"/>
            </w:tcBorders>
            <w:shd w:val="clear" w:color="auto" w:fill="auto"/>
            <w:noWrap/>
            <w:vAlign w:val="center"/>
            <w:hideMark/>
          </w:tcPr>
          <w:p w14:paraId="3CC8BB3E" w14:textId="77777777" w:rsidR="000F0D9B" w:rsidRPr="000F0D9B" w:rsidRDefault="000F0D9B" w:rsidP="000F0D9B">
            <w:pPr>
              <w:jc w:val="center"/>
              <w:rPr>
                <w:b/>
                <w:bCs/>
                <w:sz w:val="14"/>
                <w:szCs w:val="14"/>
              </w:rPr>
            </w:pPr>
            <w:r w:rsidRPr="000F0D9B">
              <w:rPr>
                <w:b/>
                <w:bCs/>
                <w:sz w:val="14"/>
                <w:szCs w:val="14"/>
              </w:rPr>
              <w:t>KOPĀ:</w:t>
            </w:r>
          </w:p>
        </w:tc>
        <w:tc>
          <w:tcPr>
            <w:tcW w:w="862" w:type="dxa"/>
            <w:tcBorders>
              <w:top w:val="nil"/>
              <w:left w:val="nil"/>
              <w:bottom w:val="single" w:sz="4" w:space="0" w:color="BFBFBF"/>
              <w:right w:val="single" w:sz="4" w:space="0" w:color="BFBFBF"/>
            </w:tcBorders>
            <w:shd w:val="clear" w:color="000000" w:fill="FFFFFF"/>
            <w:noWrap/>
            <w:vAlign w:val="center"/>
            <w:hideMark/>
          </w:tcPr>
          <w:p w14:paraId="7BC41A54" w14:textId="77777777" w:rsidR="000F0D9B" w:rsidRPr="000F0D9B" w:rsidRDefault="000F0D9B" w:rsidP="000F0D9B">
            <w:pPr>
              <w:jc w:val="right"/>
              <w:rPr>
                <w:b/>
                <w:bCs/>
                <w:sz w:val="14"/>
                <w:szCs w:val="14"/>
              </w:rPr>
            </w:pPr>
            <w:r w:rsidRPr="000F0D9B">
              <w:rPr>
                <w:b/>
                <w:bCs/>
                <w:sz w:val="14"/>
                <w:szCs w:val="14"/>
              </w:rPr>
              <w:t>32 790 237</w:t>
            </w:r>
          </w:p>
        </w:tc>
        <w:tc>
          <w:tcPr>
            <w:tcW w:w="900" w:type="dxa"/>
            <w:tcBorders>
              <w:top w:val="nil"/>
              <w:left w:val="nil"/>
              <w:bottom w:val="single" w:sz="4" w:space="0" w:color="BFBFBF"/>
              <w:right w:val="single" w:sz="4" w:space="0" w:color="BFBFBF"/>
            </w:tcBorders>
            <w:shd w:val="clear" w:color="000000" w:fill="FFFFFF"/>
            <w:noWrap/>
            <w:vAlign w:val="center"/>
            <w:hideMark/>
          </w:tcPr>
          <w:p w14:paraId="2D32FC6E" w14:textId="77777777" w:rsidR="000F0D9B" w:rsidRPr="000F0D9B" w:rsidRDefault="000F0D9B" w:rsidP="000F0D9B">
            <w:pPr>
              <w:jc w:val="right"/>
              <w:rPr>
                <w:b/>
                <w:bCs/>
                <w:sz w:val="14"/>
                <w:szCs w:val="14"/>
              </w:rPr>
            </w:pPr>
            <w:r w:rsidRPr="000F0D9B">
              <w:rPr>
                <w:b/>
                <w:bCs/>
                <w:sz w:val="14"/>
                <w:szCs w:val="14"/>
              </w:rPr>
              <w:t>34 927 411</w:t>
            </w:r>
          </w:p>
        </w:tc>
        <w:tc>
          <w:tcPr>
            <w:tcW w:w="864" w:type="dxa"/>
            <w:tcBorders>
              <w:top w:val="nil"/>
              <w:left w:val="nil"/>
              <w:bottom w:val="single" w:sz="4" w:space="0" w:color="BFBFBF"/>
              <w:right w:val="single" w:sz="4" w:space="0" w:color="BFBFBF"/>
            </w:tcBorders>
            <w:shd w:val="clear" w:color="000000" w:fill="FFFFFF"/>
            <w:noWrap/>
            <w:vAlign w:val="center"/>
            <w:hideMark/>
          </w:tcPr>
          <w:p w14:paraId="180AE1CD" w14:textId="77777777" w:rsidR="000F0D9B" w:rsidRPr="000F0D9B" w:rsidRDefault="000F0D9B" w:rsidP="000F0D9B">
            <w:pPr>
              <w:jc w:val="right"/>
              <w:rPr>
                <w:b/>
                <w:bCs/>
                <w:sz w:val="14"/>
                <w:szCs w:val="14"/>
              </w:rPr>
            </w:pPr>
            <w:r w:rsidRPr="000F0D9B">
              <w:rPr>
                <w:b/>
                <w:bCs/>
                <w:sz w:val="14"/>
                <w:szCs w:val="14"/>
              </w:rPr>
              <w:t>11 976 530</w:t>
            </w:r>
          </w:p>
        </w:tc>
        <w:tc>
          <w:tcPr>
            <w:tcW w:w="817" w:type="dxa"/>
            <w:tcBorders>
              <w:top w:val="nil"/>
              <w:left w:val="nil"/>
              <w:bottom w:val="single" w:sz="4" w:space="0" w:color="BFBFBF"/>
              <w:right w:val="single" w:sz="4" w:space="0" w:color="BFBFBF"/>
            </w:tcBorders>
            <w:shd w:val="clear" w:color="000000" w:fill="FFFFFF"/>
            <w:noWrap/>
            <w:vAlign w:val="center"/>
            <w:hideMark/>
          </w:tcPr>
          <w:p w14:paraId="74854724" w14:textId="77777777" w:rsidR="000F0D9B" w:rsidRPr="000F0D9B" w:rsidRDefault="000F0D9B" w:rsidP="00797A8F">
            <w:pPr>
              <w:ind w:hanging="141"/>
              <w:jc w:val="right"/>
              <w:rPr>
                <w:b/>
                <w:bCs/>
                <w:sz w:val="14"/>
                <w:szCs w:val="14"/>
              </w:rPr>
            </w:pPr>
            <w:r w:rsidRPr="000F0D9B">
              <w:rPr>
                <w:b/>
                <w:bCs/>
                <w:sz w:val="14"/>
                <w:szCs w:val="14"/>
              </w:rPr>
              <w:t>46 903 941</w:t>
            </w:r>
          </w:p>
        </w:tc>
        <w:tc>
          <w:tcPr>
            <w:tcW w:w="862" w:type="dxa"/>
            <w:tcBorders>
              <w:top w:val="nil"/>
              <w:left w:val="nil"/>
              <w:bottom w:val="single" w:sz="4" w:space="0" w:color="BFBFBF"/>
              <w:right w:val="single" w:sz="4" w:space="0" w:color="BFBFBF"/>
            </w:tcBorders>
            <w:shd w:val="clear" w:color="auto" w:fill="auto"/>
            <w:noWrap/>
            <w:vAlign w:val="center"/>
            <w:hideMark/>
          </w:tcPr>
          <w:p w14:paraId="38072FD5" w14:textId="77777777" w:rsidR="000F0D9B" w:rsidRPr="000F0D9B" w:rsidRDefault="000F0D9B" w:rsidP="000F0D9B">
            <w:pPr>
              <w:jc w:val="right"/>
              <w:rPr>
                <w:b/>
                <w:bCs/>
                <w:sz w:val="14"/>
                <w:szCs w:val="14"/>
              </w:rPr>
            </w:pPr>
            <w:r w:rsidRPr="000F0D9B">
              <w:rPr>
                <w:b/>
                <w:bCs/>
                <w:sz w:val="14"/>
                <w:szCs w:val="14"/>
              </w:rPr>
              <w:t>8 958 007</w:t>
            </w:r>
          </w:p>
        </w:tc>
        <w:tc>
          <w:tcPr>
            <w:tcW w:w="824" w:type="dxa"/>
            <w:tcBorders>
              <w:top w:val="nil"/>
              <w:left w:val="nil"/>
              <w:bottom w:val="single" w:sz="4" w:space="0" w:color="BFBFBF"/>
              <w:right w:val="single" w:sz="4" w:space="0" w:color="BFBFBF"/>
            </w:tcBorders>
            <w:shd w:val="clear" w:color="auto" w:fill="auto"/>
            <w:noWrap/>
            <w:vAlign w:val="center"/>
            <w:hideMark/>
          </w:tcPr>
          <w:p w14:paraId="06C2CCAF" w14:textId="77777777" w:rsidR="000F0D9B" w:rsidRPr="000F0D9B" w:rsidRDefault="000F0D9B" w:rsidP="000F0D9B">
            <w:pPr>
              <w:ind w:hanging="116"/>
              <w:jc w:val="right"/>
              <w:rPr>
                <w:b/>
                <w:bCs/>
                <w:sz w:val="14"/>
                <w:szCs w:val="14"/>
              </w:rPr>
            </w:pPr>
            <w:r w:rsidRPr="000F0D9B">
              <w:rPr>
                <w:b/>
                <w:bCs/>
                <w:sz w:val="14"/>
                <w:szCs w:val="14"/>
              </w:rPr>
              <w:t>15 133 241</w:t>
            </w:r>
          </w:p>
        </w:tc>
        <w:tc>
          <w:tcPr>
            <w:tcW w:w="857" w:type="dxa"/>
            <w:tcBorders>
              <w:top w:val="nil"/>
              <w:left w:val="nil"/>
              <w:bottom w:val="single" w:sz="4" w:space="0" w:color="BFBFBF"/>
              <w:right w:val="single" w:sz="4" w:space="0" w:color="BFBFBF"/>
            </w:tcBorders>
            <w:shd w:val="clear" w:color="auto" w:fill="auto"/>
            <w:noWrap/>
            <w:vAlign w:val="center"/>
            <w:hideMark/>
          </w:tcPr>
          <w:p w14:paraId="7A3301EE" w14:textId="77777777" w:rsidR="000F0D9B" w:rsidRPr="000F0D9B" w:rsidRDefault="000F0D9B" w:rsidP="000F0D9B">
            <w:pPr>
              <w:jc w:val="right"/>
              <w:rPr>
                <w:b/>
                <w:bCs/>
                <w:sz w:val="14"/>
                <w:szCs w:val="14"/>
              </w:rPr>
            </w:pPr>
            <w:r w:rsidRPr="000F0D9B">
              <w:rPr>
                <w:b/>
                <w:bCs/>
                <w:sz w:val="14"/>
                <w:szCs w:val="14"/>
              </w:rPr>
              <w:t>11 373 531</w:t>
            </w:r>
          </w:p>
        </w:tc>
        <w:tc>
          <w:tcPr>
            <w:tcW w:w="839" w:type="dxa"/>
            <w:tcBorders>
              <w:top w:val="nil"/>
              <w:left w:val="nil"/>
              <w:bottom w:val="single" w:sz="4" w:space="0" w:color="BFBFBF"/>
              <w:right w:val="single" w:sz="4" w:space="0" w:color="BFBFBF"/>
            </w:tcBorders>
            <w:shd w:val="clear" w:color="auto" w:fill="auto"/>
            <w:noWrap/>
            <w:vAlign w:val="center"/>
            <w:hideMark/>
          </w:tcPr>
          <w:p w14:paraId="11DDF5AF" w14:textId="77777777" w:rsidR="000F0D9B" w:rsidRPr="000F0D9B" w:rsidRDefault="000F0D9B" w:rsidP="000F0D9B">
            <w:pPr>
              <w:ind w:hanging="19"/>
              <w:jc w:val="right"/>
              <w:rPr>
                <w:b/>
                <w:bCs/>
                <w:sz w:val="14"/>
                <w:szCs w:val="14"/>
              </w:rPr>
            </w:pPr>
            <w:r w:rsidRPr="000F0D9B">
              <w:rPr>
                <w:b/>
                <w:bCs/>
                <w:sz w:val="14"/>
                <w:szCs w:val="14"/>
              </w:rPr>
              <w:t>26 506 772</w:t>
            </w:r>
          </w:p>
        </w:tc>
        <w:tc>
          <w:tcPr>
            <w:tcW w:w="862" w:type="dxa"/>
            <w:tcBorders>
              <w:top w:val="nil"/>
              <w:left w:val="nil"/>
              <w:bottom w:val="single" w:sz="4" w:space="0" w:color="BFBFBF"/>
              <w:right w:val="single" w:sz="4" w:space="0" w:color="BFBFBF"/>
            </w:tcBorders>
            <w:shd w:val="clear" w:color="auto" w:fill="auto"/>
            <w:noWrap/>
            <w:vAlign w:val="center"/>
            <w:hideMark/>
          </w:tcPr>
          <w:p w14:paraId="0B26F58C" w14:textId="77777777" w:rsidR="000F0D9B" w:rsidRPr="000F0D9B" w:rsidRDefault="000F0D9B" w:rsidP="000F0D9B">
            <w:pPr>
              <w:jc w:val="right"/>
              <w:rPr>
                <w:b/>
                <w:bCs/>
                <w:sz w:val="14"/>
                <w:szCs w:val="14"/>
              </w:rPr>
            </w:pPr>
            <w:r w:rsidRPr="000F0D9B">
              <w:rPr>
                <w:b/>
                <w:bCs/>
                <w:sz w:val="14"/>
                <w:szCs w:val="14"/>
              </w:rPr>
              <w:t>23 832 230</w:t>
            </w:r>
          </w:p>
        </w:tc>
        <w:tc>
          <w:tcPr>
            <w:tcW w:w="866" w:type="dxa"/>
            <w:tcBorders>
              <w:top w:val="nil"/>
              <w:left w:val="nil"/>
              <w:bottom w:val="single" w:sz="4" w:space="0" w:color="BFBFBF"/>
              <w:right w:val="single" w:sz="4" w:space="0" w:color="BFBFBF"/>
            </w:tcBorders>
            <w:shd w:val="clear" w:color="auto" w:fill="auto"/>
            <w:noWrap/>
            <w:vAlign w:val="center"/>
            <w:hideMark/>
          </w:tcPr>
          <w:p w14:paraId="70A6AD76" w14:textId="77777777" w:rsidR="000F0D9B" w:rsidRPr="000F0D9B" w:rsidRDefault="000F0D9B" w:rsidP="000F0D9B">
            <w:pPr>
              <w:jc w:val="right"/>
              <w:rPr>
                <w:b/>
                <w:bCs/>
                <w:sz w:val="14"/>
                <w:szCs w:val="14"/>
              </w:rPr>
            </w:pPr>
            <w:r w:rsidRPr="000F0D9B">
              <w:rPr>
                <w:b/>
                <w:bCs/>
                <w:sz w:val="14"/>
                <w:szCs w:val="14"/>
              </w:rPr>
              <w:t>19 794 170</w:t>
            </w:r>
          </w:p>
        </w:tc>
        <w:tc>
          <w:tcPr>
            <w:tcW w:w="830" w:type="dxa"/>
            <w:tcBorders>
              <w:top w:val="nil"/>
              <w:left w:val="nil"/>
              <w:bottom w:val="single" w:sz="4" w:space="0" w:color="BFBFBF"/>
              <w:right w:val="single" w:sz="4" w:space="0" w:color="BFBFBF"/>
            </w:tcBorders>
            <w:shd w:val="clear" w:color="auto" w:fill="auto"/>
            <w:noWrap/>
            <w:vAlign w:val="center"/>
            <w:hideMark/>
          </w:tcPr>
          <w:p w14:paraId="45596B26" w14:textId="77777777" w:rsidR="000F0D9B" w:rsidRPr="000F0D9B" w:rsidRDefault="000F0D9B" w:rsidP="000F0D9B">
            <w:pPr>
              <w:jc w:val="right"/>
              <w:rPr>
                <w:b/>
                <w:bCs/>
                <w:sz w:val="14"/>
                <w:szCs w:val="14"/>
              </w:rPr>
            </w:pPr>
            <w:r w:rsidRPr="000F0D9B">
              <w:rPr>
                <w:b/>
                <w:bCs/>
                <w:sz w:val="14"/>
                <w:szCs w:val="14"/>
              </w:rPr>
              <w:t>602 999</w:t>
            </w:r>
          </w:p>
        </w:tc>
        <w:tc>
          <w:tcPr>
            <w:tcW w:w="901" w:type="dxa"/>
            <w:tcBorders>
              <w:top w:val="nil"/>
              <w:left w:val="nil"/>
              <w:bottom w:val="single" w:sz="4" w:space="0" w:color="BFBFBF"/>
              <w:right w:val="single" w:sz="4" w:space="0" w:color="BFBFBF"/>
            </w:tcBorders>
            <w:shd w:val="clear" w:color="auto" w:fill="auto"/>
            <w:noWrap/>
            <w:vAlign w:val="center"/>
            <w:hideMark/>
          </w:tcPr>
          <w:p w14:paraId="12705E35" w14:textId="77777777" w:rsidR="000F0D9B" w:rsidRPr="000F0D9B" w:rsidRDefault="000F0D9B" w:rsidP="000F0D9B">
            <w:pPr>
              <w:jc w:val="right"/>
              <w:rPr>
                <w:b/>
                <w:bCs/>
                <w:sz w:val="14"/>
                <w:szCs w:val="14"/>
              </w:rPr>
            </w:pPr>
            <w:r w:rsidRPr="000F0D9B">
              <w:rPr>
                <w:b/>
                <w:bCs/>
                <w:sz w:val="14"/>
                <w:szCs w:val="14"/>
              </w:rPr>
              <w:t>20 397 169</w:t>
            </w:r>
          </w:p>
        </w:tc>
      </w:tr>
    </w:tbl>
    <w:p w14:paraId="1C9041ED" w14:textId="77777777" w:rsidR="000F0D9B" w:rsidRDefault="000F0D9B" w:rsidP="00F31194">
      <w:pPr>
        <w:pStyle w:val="tv213"/>
      </w:pPr>
    </w:p>
    <w:p w14:paraId="411B5645" w14:textId="77777777" w:rsidR="008304A4" w:rsidRDefault="008304A4" w:rsidP="00F31194">
      <w:pPr>
        <w:pStyle w:val="tv213"/>
      </w:pPr>
    </w:p>
    <w:p w14:paraId="5C70DF57" w14:textId="77777777" w:rsidR="002C5884" w:rsidRDefault="002C5884" w:rsidP="00674E6E">
      <w:pPr>
        <w:pStyle w:val="tv213"/>
        <w:jc w:val="right"/>
      </w:pPr>
    </w:p>
    <w:p w14:paraId="15C40FBF" w14:textId="46F9FEA7" w:rsidR="00674E6E" w:rsidRPr="00797A8F" w:rsidRDefault="00FF24A3" w:rsidP="00674E6E">
      <w:pPr>
        <w:pStyle w:val="tv213"/>
        <w:jc w:val="right"/>
      </w:pPr>
      <w:r w:rsidRPr="00797A8F">
        <w:lastRenderedPageBreak/>
        <w:t>4</w:t>
      </w:r>
      <w:r w:rsidR="00674E6E" w:rsidRPr="00797A8F">
        <w:t>. tabula</w:t>
      </w:r>
    </w:p>
    <w:p w14:paraId="3A13E0CC" w14:textId="7FAB1C2A" w:rsidR="00674E6E" w:rsidRPr="00F31194" w:rsidRDefault="005D2BD1" w:rsidP="00674E6E">
      <w:pPr>
        <w:pStyle w:val="tv213"/>
        <w:jc w:val="center"/>
        <w:rPr>
          <w:b/>
        </w:rPr>
      </w:pPr>
      <w:r w:rsidRPr="00F31194">
        <w:rPr>
          <w:b/>
        </w:rPr>
        <w:t>INFORMATĪVI:</w:t>
      </w:r>
      <w:r w:rsidR="00CA26CA">
        <w:rPr>
          <w:b/>
        </w:rPr>
        <w:t xml:space="preserve"> </w:t>
      </w:r>
      <w:r w:rsidRPr="00F31194">
        <w:rPr>
          <w:b/>
        </w:rPr>
        <w:t xml:space="preserve">Ieņēmumu </w:t>
      </w:r>
      <w:r w:rsidR="00674E6E" w:rsidRPr="00F31194">
        <w:rPr>
          <w:b/>
        </w:rPr>
        <w:t>un izdevumu</w:t>
      </w:r>
      <w:proofErr w:type="gramStart"/>
      <w:r w:rsidR="00674E6E" w:rsidRPr="00F31194">
        <w:rPr>
          <w:b/>
        </w:rPr>
        <w:t xml:space="preserve">  </w:t>
      </w:r>
      <w:proofErr w:type="gramEnd"/>
      <w:r w:rsidR="00674E6E" w:rsidRPr="00F31194">
        <w:rPr>
          <w:b/>
        </w:rPr>
        <w:t>kopsavilkums (</w:t>
      </w:r>
      <w:r w:rsidR="00674E6E" w:rsidRPr="005D2BD1">
        <w:rPr>
          <w:b/>
        </w:rPr>
        <w:t>ar</w:t>
      </w:r>
      <w:r w:rsidR="00674E6E" w:rsidRPr="00F31194">
        <w:rPr>
          <w:b/>
        </w:rPr>
        <w:t xml:space="preserve"> nolietojuma uzkrājumu</w:t>
      </w:r>
      <w:r w:rsidR="00E75234" w:rsidRPr="00F31194">
        <w:rPr>
          <w:b/>
        </w:rPr>
        <w:t xml:space="preserve"> II posmam</w:t>
      </w:r>
      <w:r w:rsidR="00674E6E" w:rsidRPr="00F31194">
        <w:rPr>
          <w:b/>
        </w:rPr>
        <w:t>)</w:t>
      </w:r>
    </w:p>
    <w:tbl>
      <w:tblPr>
        <w:tblW w:w="10992" w:type="dxa"/>
        <w:tblInd w:w="-1281" w:type="dxa"/>
        <w:tblLook w:val="04A0" w:firstRow="1" w:lastRow="0" w:firstColumn="1" w:lastColumn="0" w:noHBand="0" w:noVBand="1"/>
      </w:tblPr>
      <w:tblGrid>
        <w:gridCol w:w="709"/>
        <w:gridCol w:w="862"/>
        <w:gridCol w:w="916"/>
        <w:gridCol w:w="851"/>
        <w:gridCol w:w="850"/>
        <w:gridCol w:w="862"/>
        <w:gridCol w:w="839"/>
        <w:gridCol w:w="851"/>
        <w:gridCol w:w="850"/>
        <w:gridCol w:w="862"/>
        <w:gridCol w:w="839"/>
        <w:gridCol w:w="851"/>
        <w:gridCol w:w="850"/>
      </w:tblGrid>
      <w:tr w:rsidR="00FC70F1" w:rsidRPr="00FC70F1" w14:paraId="4024471A" w14:textId="77777777" w:rsidTr="00797A8F">
        <w:trPr>
          <w:trHeight w:val="283"/>
        </w:trPr>
        <w:tc>
          <w:tcPr>
            <w:tcW w:w="709"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00477E" w14:textId="77777777" w:rsidR="00FC70F1" w:rsidRPr="00F31194" w:rsidRDefault="00FC70F1" w:rsidP="00FC70F1">
            <w:pPr>
              <w:jc w:val="center"/>
              <w:rPr>
                <w:b/>
                <w:bCs/>
                <w:sz w:val="14"/>
                <w:szCs w:val="14"/>
              </w:rPr>
            </w:pPr>
            <w:r w:rsidRPr="00F31194">
              <w:rPr>
                <w:b/>
                <w:bCs/>
                <w:sz w:val="14"/>
                <w:szCs w:val="14"/>
              </w:rPr>
              <w:t>Gads</w:t>
            </w:r>
          </w:p>
        </w:tc>
        <w:tc>
          <w:tcPr>
            <w:tcW w:w="3479"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6C38783" w14:textId="77777777" w:rsidR="00FC70F1" w:rsidRPr="00F31194" w:rsidRDefault="00FC70F1" w:rsidP="00FC70F1">
            <w:pPr>
              <w:jc w:val="center"/>
              <w:rPr>
                <w:sz w:val="14"/>
                <w:szCs w:val="14"/>
              </w:rPr>
            </w:pPr>
            <w:r w:rsidRPr="00F31194">
              <w:rPr>
                <w:sz w:val="14"/>
                <w:szCs w:val="14"/>
              </w:rPr>
              <w:t>Ieņēmumi</w:t>
            </w:r>
          </w:p>
        </w:tc>
        <w:tc>
          <w:tcPr>
            <w:tcW w:w="340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6328528" w14:textId="77777777" w:rsidR="00FC70F1" w:rsidRPr="00F31194" w:rsidRDefault="00FC70F1" w:rsidP="00FC70F1">
            <w:pPr>
              <w:jc w:val="center"/>
              <w:rPr>
                <w:sz w:val="14"/>
                <w:szCs w:val="14"/>
              </w:rPr>
            </w:pPr>
            <w:r w:rsidRPr="00F31194">
              <w:rPr>
                <w:sz w:val="14"/>
                <w:szCs w:val="14"/>
              </w:rPr>
              <w:t xml:space="preserve">Izdevumi </w:t>
            </w:r>
          </w:p>
        </w:tc>
        <w:tc>
          <w:tcPr>
            <w:tcW w:w="3402"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B2B1DD4" w14:textId="62646CBE" w:rsidR="00FC70F1" w:rsidRPr="00F31194" w:rsidRDefault="005D2BD1" w:rsidP="005D2BD1">
            <w:pPr>
              <w:jc w:val="center"/>
              <w:rPr>
                <w:b/>
                <w:bCs/>
                <w:sz w:val="14"/>
                <w:szCs w:val="14"/>
              </w:rPr>
            </w:pPr>
            <w:r w:rsidRPr="000F0D9B">
              <w:rPr>
                <w:b/>
                <w:bCs/>
                <w:sz w:val="14"/>
                <w:szCs w:val="14"/>
              </w:rPr>
              <w:t>Ieņēmum</w:t>
            </w:r>
            <w:r>
              <w:rPr>
                <w:b/>
                <w:bCs/>
                <w:sz w:val="14"/>
                <w:szCs w:val="14"/>
              </w:rPr>
              <w:t>u un i</w:t>
            </w:r>
            <w:r w:rsidRPr="000F0D9B">
              <w:rPr>
                <w:b/>
                <w:bCs/>
                <w:sz w:val="14"/>
                <w:szCs w:val="14"/>
              </w:rPr>
              <w:t>zdevum</w:t>
            </w:r>
            <w:r>
              <w:rPr>
                <w:b/>
                <w:bCs/>
                <w:sz w:val="14"/>
                <w:szCs w:val="14"/>
              </w:rPr>
              <w:t>u starpība</w:t>
            </w:r>
            <w:r w:rsidRPr="000F0D9B">
              <w:rPr>
                <w:b/>
                <w:bCs/>
                <w:sz w:val="14"/>
                <w:szCs w:val="14"/>
              </w:rPr>
              <w:t xml:space="preserve"> </w:t>
            </w:r>
          </w:p>
        </w:tc>
      </w:tr>
      <w:tr w:rsidR="00FC70F1" w:rsidRPr="00FC70F1" w14:paraId="6344B59E" w14:textId="77777777" w:rsidTr="00797A8F">
        <w:trPr>
          <w:trHeight w:val="454"/>
        </w:trPr>
        <w:tc>
          <w:tcPr>
            <w:tcW w:w="709" w:type="dxa"/>
            <w:vMerge/>
            <w:tcBorders>
              <w:top w:val="single" w:sz="4" w:space="0" w:color="BFBFBF"/>
              <w:left w:val="single" w:sz="4" w:space="0" w:color="BFBFBF"/>
              <w:bottom w:val="single" w:sz="4" w:space="0" w:color="BFBFBF"/>
              <w:right w:val="single" w:sz="4" w:space="0" w:color="BFBFBF"/>
            </w:tcBorders>
            <w:vAlign w:val="center"/>
            <w:hideMark/>
          </w:tcPr>
          <w:p w14:paraId="4AC8784D" w14:textId="77777777" w:rsidR="00FC70F1" w:rsidRPr="00F31194" w:rsidRDefault="00FC70F1" w:rsidP="00FC70F1">
            <w:pPr>
              <w:rPr>
                <w:b/>
                <w:bCs/>
                <w:sz w:val="14"/>
                <w:szCs w:val="14"/>
              </w:rPr>
            </w:pPr>
          </w:p>
        </w:tc>
        <w:tc>
          <w:tcPr>
            <w:tcW w:w="862" w:type="dxa"/>
            <w:tcBorders>
              <w:top w:val="nil"/>
              <w:left w:val="nil"/>
              <w:bottom w:val="single" w:sz="4" w:space="0" w:color="BFBFBF"/>
              <w:right w:val="single" w:sz="4" w:space="0" w:color="BFBFBF"/>
            </w:tcBorders>
            <w:shd w:val="clear" w:color="000000" w:fill="FFFFFF"/>
            <w:noWrap/>
            <w:vAlign w:val="center"/>
            <w:hideMark/>
          </w:tcPr>
          <w:p w14:paraId="07BC033C" w14:textId="77777777" w:rsidR="00FC70F1" w:rsidRPr="00F31194" w:rsidRDefault="00FC70F1" w:rsidP="00FC70F1">
            <w:pPr>
              <w:jc w:val="center"/>
              <w:rPr>
                <w:sz w:val="14"/>
                <w:szCs w:val="14"/>
              </w:rPr>
            </w:pPr>
            <w:r w:rsidRPr="00F31194">
              <w:rPr>
                <w:sz w:val="14"/>
                <w:szCs w:val="14"/>
              </w:rPr>
              <w:t>apstiprināts</w:t>
            </w:r>
          </w:p>
        </w:tc>
        <w:tc>
          <w:tcPr>
            <w:tcW w:w="916" w:type="dxa"/>
            <w:tcBorders>
              <w:top w:val="nil"/>
              <w:left w:val="nil"/>
              <w:bottom w:val="single" w:sz="4" w:space="0" w:color="BFBFBF"/>
              <w:right w:val="single" w:sz="4" w:space="0" w:color="BFBFBF"/>
            </w:tcBorders>
            <w:shd w:val="clear" w:color="000000" w:fill="FFFFFF"/>
            <w:vAlign w:val="center"/>
            <w:hideMark/>
          </w:tcPr>
          <w:p w14:paraId="52D4BF6E" w14:textId="77777777" w:rsidR="00FC70F1" w:rsidRPr="00F31194" w:rsidRDefault="00FC70F1" w:rsidP="00FC70F1">
            <w:pPr>
              <w:jc w:val="center"/>
              <w:rPr>
                <w:sz w:val="14"/>
                <w:szCs w:val="14"/>
              </w:rPr>
            </w:pPr>
            <w:r w:rsidRPr="00F31194">
              <w:rPr>
                <w:sz w:val="14"/>
                <w:szCs w:val="14"/>
              </w:rPr>
              <w:t xml:space="preserve">precizēts </w:t>
            </w:r>
            <w:r w:rsidRPr="00F31194">
              <w:rPr>
                <w:sz w:val="14"/>
                <w:szCs w:val="14"/>
              </w:rPr>
              <w:br/>
              <w:t>I posms</w:t>
            </w:r>
          </w:p>
        </w:tc>
        <w:tc>
          <w:tcPr>
            <w:tcW w:w="851" w:type="dxa"/>
            <w:tcBorders>
              <w:top w:val="nil"/>
              <w:left w:val="nil"/>
              <w:bottom w:val="single" w:sz="4" w:space="0" w:color="BFBFBF"/>
              <w:right w:val="single" w:sz="4" w:space="0" w:color="BFBFBF"/>
            </w:tcBorders>
            <w:shd w:val="clear" w:color="000000" w:fill="FFFFFF"/>
            <w:vAlign w:val="center"/>
            <w:hideMark/>
          </w:tcPr>
          <w:p w14:paraId="46C0C65D" w14:textId="77777777" w:rsidR="00FC70F1" w:rsidRPr="00F31194" w:rsidRDefault="00FC70F1" w:rsidP="00FC70F1">
            <w:pPr>
              <w:jc w:val="center"/>
              <w:rPr>
                <w:sz w:val="14"/>
                <w:szCs w:val="14"/>
              </w:rPr>
            </w:pPr>
            <w:r w:rsidRPr="00F31194">
              <w:rPr>
                <w:sz w:val="14"/>
                <w:szCs w:val="14"/>
              </w:rPr>
              <w:t>precizēts</w:t>
            </w:r>
            <w:r w:rsidRPr="00F31194">
              <w:rPr>
                <w:sz w:val="14"/>
                <w:szCs w:val="14"/>
              </w:rPr>
              <w:br/>
              <w:t>II posms</w:t>
            </w:r>
          </w:p>
        </w:tc>
        <w:tc>
          <w:tcPr>
            <w:tcW w:w="850" w:type="dxa"/>
            <w:tcBorders>
              <w:top w:val="nil"/>
              <w:left w:val="nil"/>
              <w:bottom w:val="single" w:sz="4" w:space="0" w:color="BFBFBF"/>
              <w:right w:val="single" w:sz="4" w:space="0" w:color="BFBFBF"/>
            </w:tcBorders>
            <w:shd w:val="clear" w:color="auto" w:fill="auto"/>
            <w:vAlign w:val="center"/>
            <w:hideMark/>
          </w:tcPr>
          <w:p w14:paraId="6C86AABC" w14:textId="77777777" w:rsidR="00FC70F1" w:rsidRPr="00F31194" w:rsidRDefault="00FC70F1" w:rsidP="00FC70F1">
            <w:pPr>
              <w:jc w:val="center"/>
              <w:rPr>
                <w:b/>
                <w:bCs/>
                <w:sz w:val="14"/>
                <w:szCs w:val="14"/>
              </w:rPr>
            </w:pPr>
            <w:r w:rsidRPr="00F31194">
              <w:rPr>
                <w:b/>
                <w:bCs/>
                <w:sz w:val="14"/>
                <w:szCs w:val="14"/>
              </w:rPr>
              <w:t>precizēts kopā</w:t>
            </w:r>
            <w:r w:rsidRPr="00F31194">
              <w:rPr>
                <w:b/>
                <w:bCs/>
                <w:sz w:val="14"/>
                <w:szCs w:val="14"/>
              </w:rPr>
              <w:br/>
              <w:t xml:space="preserve"> I un II posms</w:t>
            </w:r>
          </w:p>
        </w:tc>
        <w:tc>
          <w:tcPr>
            <w:tcW w:w="862" w:type="dxa"/>
            <w:tcBorders>
              <w:top w:val="nil"/>
              <w:left w:val="nil"/>
              <w:bottom w:val="single" w:sz="4" w:space="0" w:color="BFBFBF"/>
              <w:right w:val="single" w:sz="4" w:space="0" w:color="BFBFBF"/>
            </w:tcBorders>
            <w:shd w:val="clear" w:color="auto" w:fill="auto"/>
            <w:noWrap/>
            <w:vAlign w:val="center"/>
            <w:hideMark/>
          </w:tcPr>
          <w:p w14:paraId="0550DD0B" w14:textId="77777777" w:rsidR="00FC70F1" w:rsidRPr="00F31194" w:rsidRDefault="00FC70F1" w:rsidP="00FC70F1">
            <w:pPr>
              <w:jc w:val="center"/>
              <w:rPr>
                <w:sz w:val="14"/>
                <w:szCs w:val="14"/>
              </w:rPr>
            </w:pPr>
            <w:r w:rsidRPr="00F31194">
              <w:rPr>
                <w:sz w:val="14"/>
                <w:szCs w:val="14"/>
              </w:rPr>
              <w:t>apstiprināts</w:t>
            </w:r>
          </w:p>
        </w:tc>
        <w:tc>
          <w:tcPr>
            <w:tcW w:w="839" w:type="dxa"/>
            <w:tcBorders>
              <w:top w:val="nil"/>
              <w:left w:val="nil"/>
              <w:bottom w:val="single" w:sz="4" w:space="0" w:color="BFBFBF"/>
              <w:right w:val="single" w:sz="4" w:space="0" w:color="BFBFBF"/>
            </w:tcBorders>
            <w:shd w:val="clear" w:color="000000" w:fill="FFFFFF"/>
            <w:vAlign w:val="center"/>
            <w:hideMark/>
          </w:tcPr>
          <w:p w14:paraId="0A3CB475" w14:textId="77777777" w:rsidR="00FC70F1" w:rsidRPr="00F31194" w:rsidRDefault="00FC70F1" w:rsidP="00FC70F1">
            <w:pPr>
              <w:jc w:val="center"/>
              <w:rPr>
                <w:sz w:val="14"/>
                <w:szCs w:val="14"/>
              </w:rPr>
            </w:pPr>
            <w:r w:rsidRPr="00F31194">
              <w:rPr>
                <w:sz w:val="14"/>
                <w:szCs w:val="14"/>
              </w:rPr>
              <w:t xml:space="preserve">precizēts </w:t>
            </w:r>
            <w:r w:rsidRPr="00F31194">
              <w:rPr>
                <w:sz w:val="14"/>
                <w:szCs w:val="14"/>
              </w:rPr>
              <w:br/>
              <w:t>I posms</w:t>
            </w:r>
          </w:p>
        </w:tc>
        <w:tc>
          <w:tcPr>
            <w:tcW w:w="851" w:type="dxa"/>
            <w:tcBorders>
              <w:top w:val="nil"/>
              <w:left w:val="nil"/>
              <w:bottom w:val="single" w:sz="4" w:space="0" w:color="BFBFBF"/>
              <w:right w:val="single" w:sz="4" w:space="0" w:color="BFBFBF"/>
            </w:tcBorders>
            <w:shd w:val="clear" w:color="000000" w:fill="FFFFFF"/>
            <w:vAlign w:val="center"/>
            <w:hideMark/>
          </w:tcPr>
          <w:p w14:paraId="55E3AE97" w14:textId="77777777" w:rsidR="00FC70F1" w:rsidRPr="00F31194" w:rsidRDefault="00FC70F1" w:rsidP="00FC70F1">
            <w:pPr>
              <w:jc w:val="center"/>
              <w:rPr>
                <w:sz w:val="14"/>
                <w:szCs w:val="14"/>
              </w:rPr>
            </w:pPr>
            <w:r w:rsidRPr="00F31194">
              <w:rPr>
                <w:sz w:val="14"/>
                <w:szCs w:val="14"/>
              </w:rPr>
              <w:t>precizēts</w:t>
            </w:r>
            <w:r w:rsidRPr="00F31194">
              <w:rPr>
                <w:sz w:val="14"/>
                <w:szCs w:val="14"/>
              </w:rPr>
              <w:br/>
              <w:t>II posms</w:t>
            </w:r>
          </w:p>
        </w:tc>
        <w:tc>
          <w:tcPr>
            <w:tcW w:w="850" w:type="dxa"/>
            <w:tcBorders>
              <w:top w:val="nil"/>
              <w:left w:val="nil"/>
              <w:bottom w:val="single" w:sz="4" w:space="0" w:color="BFBFBF"/>
              <w:right w:val="single" w:sz="4" w:space="0" w:color="BFBFBF"/>
            </w:tcBorders>
            <w:shd w:val="clear" w:color="auto" w:fill="auto"/>
            <w:vAlign w:val="center"/>
            <w:hideMark/>
          </w:tcPr>
          <w:p w14:paraId="1AADB8A4" w14:textId="77777777" w:rsidR="00FC70F1" w:rsidRPr="00F31194" w:rsidRDefault="00FC70F1" w:rsidP="00FC70F1">
            <w:pPr>
              <w:jc w:val="center"/>
              <w:rPr>
                <w:b/>
                <w:bCs/>
                <w:sz w:val="14"/>
                <w:szCs w:val="14"/>
              </w:rPr>
            </w:pPr>
            <w:r w:rsidRPr="00F31194">
              <w:rPr>
                <w:b/>
                <w:bCs/>
                <w:sz w:val="14"/>
                <w:szCs w:val="14"/>
              </w:rPr>
              <w:t>precizēts kopā</w:t>
            </w:r>
            <w:r w:rsidRPr="00F31194">
              <w:rPr>
                <w:b/>
                <w:bCs/>
                <w:sz w:val="14"/>
                <w:szCs w:val="14"/>
              </w:rPr>
              <w:br/>
              <w:t xml:space="preserve"> I un II posms</w:t>
            </w:r>
          </w:p>
        </w:tc>
        <w:tc>
          <w:tcPr>
            <w:tcW w:w="862" w:type="dxa"/>
            <w:tcBorders>
              <w:top w:val="nil"/>
              <w:left w:val="nil"/>
              <w:bottom w:val="single" w:sz="4" w:space="0" w:color="BFBFBF"/>
              <w:right w:val="single" w:sz="4" w:space="0" w:color="BFBFBF"/>
            </w:tcBorders>
            <w:shd w:val="clear" w:color="auto" w:fill="auto"/>
            <w:noWrap/>
            <w:vAlign w:val="center"/>
            <w:hideMark/>
          </w:tcPr>
          <w:p w14:paraId="159120A1" w14:textId="77777777" w:rsidR="00FC70F1" w:rsidRPr="00F31194" w:rsidRDefault="00FC70F1" w:rsidP="00FC70F1">
            <w:pPr>
              <w:jc w:val="center"/>
              <w:rPr>
                <w:sz w:val="14"/>
                <w:szCs w:val="14"/>
              </w:rPr>
            </w:pPr>
            <w:r w:rsidRPr="00F31194">
              <w:rPr>
                <w:sz w:val="14"/>
                <w:szCs w:val="14"/>
              </w:rPr>
              <w:t>apstiprināts</w:t>
            </w:r>
          </w:p>
        </w:tc>
        <w:tc>
          <w:tcPr>
            <w:tcW w:w="839" w:type="dxa"/>
            <w:tcBorders>
              <w:top w:val="nil"/>
              <w:left w:val="nil"/>
              <w:bottom w:val="single" w:sz="4" w:space="0" w:color="BFBFBF"/>
              <w:right w:val="single" w:sz="4" w:space="0" w:color="BFBFBF"/>
            </w:tcBorders>
            <w:shd w:val="clear" w:color="000000" w:fill="FFFFFF"/>
            <w:vAlign w:val="center"/>
            <w:hideMark/>
          </w:tcPr>
          <w:p w14:paraId="7B9D8B0A" w14:textId="77777777" w:rsidR="00FC70F1" w:rsidRPr="00F31194" w:rsidRDefault="00FC70F1" w:rsidP="00FC70F1">
            <w:pPr>
              <w:jc w:val="center"/>
              <w:rPr>
                <w:sz w:val="14"/>
                <w:szCs w:val="14"/>
              </w:rPr>
            </w:pPr>
            <w:r w:rsidRPr="00F31194">
              <w:rPr>
                <w:sz w:val="14"/>
                <w:szCs w:val="14"/>
              </w:rPr>
              <w:t xml:space="preserve">precizēts </w:t>
            </w:r>
            <w:r w:rsidRPr="00F31194">
              <w:rPr>
                <w:sz w:val="14"/>
                <w:szCs w:val="14"/>
              </w:rPr>
              <w:br/>
              <w:t>I posms</w:t>
            </w:r>
          </w:p>
        </w:tc>
        <w:tc>
          <w:tcPr>
            <w:tcW w:w="851" w:type="dxa"/>
            <w:tcBorders>
              <w:top w:val="nil"/>
              <w:left w:val="nil"/>
              <w:bottom w:val="single" w:sz="4" w:space="0" w:color="BFBFBF"/>
              <w:right w:val="single" w:sz="4" w:space="0" w:color="BFBFBF"/>
            </w:tcBorders>
            <w:shd w:val="clear" w:color="000000" w:fill="FFFFFF"/>
            <w:vAlign w:val="center"/>
            <w:hideMark/>
          </w:tcPr>
          <w:p w14:paraId="65EBF491" w14:textId="77777777" w:rsidR="00FC70F1" w:rsidRPr="00F31194" w:rsidRDefault="00FC70F1" w:rsidP="00FC70F1">
            <w:pPr>
              <w:jc w:val="center"/>
              <w:rPr>
                <w:sz w:val="14"/>
                <w:szCs w:val="14"/>
              </w:rPr>
            </w:pPr>
            <w:r w:rsidRPr="00F31194">
              <w:rPr>
                <w:sz w:val="14"/>
                <w:szCs w:val="14"/>
              </w:rPr>
              <w:t>precizēts</w:t>
            </w:r>
            <w:r w:rsidRPr="00F31194">
              <w:rPr>
                <w:sz w:val="14"/>
                <w:szCs w:val="14"/>
              </w:rPr>
              <w:br/>
              <w:t>II posms</w:t>
            </w:r>
          </w:p>
        </w:tc>
        <w:tc>
          <w:tcPr>
            <w:tcW w:w="850" w:type="dxa"/>
            <w:tcBorders>
              <w:top w:val="nil"/>
              <w:left w:val="nil"/>
              <w:bottom w:val="single" w:sz="4" w:space="0" w:color="BFBFBF"/>
              <w:right w:val="single" w:sz="4" w:space="0" w:color="BFBFBF"/>
            </w:tcBorders>
            <w:shd w:val="clear" w:color="auto" w:fill="auto"/>
            <w:vAlign w:val="center"/>
            <w:hideMark/>
          </w:tcPr>
          <w:p w14:paraId="28125B49" w14:textId="77777777" w:rsidR="00FC70F1" w:rsidRPr="00F31194" w:rsidRDefault="00FC70F1" w:rsidP="00FC70F1">
            <w:pPr>
              <w:jc w:val="center"/>
              <w:rPr>
                <w:b/>
                <w:bCs/>
                <w:sz w:val="14"/>
                <w:szCs w:val="14"/>
              </w:rPr>
            </w:pPr>
            <w:r w:rsidRPr="00F31194">
              <w:rPr>
                <w:b/>
                <w:bCs/>
                <w:sz w:val="14"/>
                <w:szCs w:val="14"/>
              </w:rPr>
              <w:t>precizēts kopā</w:t>
            </w:r>
            <w:r w:rsidRPr="00F31194">
              <w:rPr>
                <w:b/>
                <w:bCs/>
                <w:sz w:val="14"/>
                <w:szCs w:val="14"/>
              </w:rPr>
              <w:br/>
              <w:t xml:space="preserve"> I un II posms</w:t>
            </w:r>
          </w:p>
        </w:tc>
      </w:tr>
      <w:tr w:rsidR="00FC70F1" w:rsidRPr="00FC70F1" w14:paraId="2DB02C25"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5DF84DC8" w14:textId="77777777" w:rsidR="00FC70F1" w:rsidRPr="00F31194" w:rsidRDefault="00FC70F1" w:rsidP="00FC70F1">
            <w:pPr>
              <w:jc w:val="center"/>
              <w:rPr>
                <w:b/>
                <w:bCs/>
                <w:sz w:val="14"/>
                <w:szCs w:val="14"/>
              </w:rPr>
            </w:pPr>
            <w:r w:rsidRPr="00F31194">
              <w:rPr>
                <w:b/>
                <w:bCs/>
                <w:sz w:val="14"/>
                <w:szCs w:val="14"/>
              </w:rPr>
              <w:t>2020</w:t>
            </w:r>
          </w:p>
        </w:tc>
        <w:tc>
          <w:tcPr>
            <w:tcW w:w="862" w:type="dxa"/>
            <w:tcBorders>
              <w:top w:val="nil"/>
              <w:left w:val="nil"/>
              <w:bottom w:val="single" w:sz="4" w:space="0" w:color="BFBFBF"/>
              <w:right w:val="single" w:sz="4" w:space="0" w:color="BFBFBF"/>
            </w:tcBorders>
            <w:shd w:val="clear" w:color="000000" w:fill="FFFFFF"/>
            <w:noWrap/>
            <w:vAlign w:val="bottom"/>
            <w:hideMark/>
          </w:tcPr>
          <w:p w14:paraId="19CCD444" w14:textId="77777777" w:rsidR="00FC70F1" w:rsidRPr="00F31194" w:rsidRDefault="00FC70F1" w:rsidP="00FC70F1">
            <w:pPr>
              <w:jc w:val="right"/>
              <w:rPr>
                <w:sz w:val="14"/>
                <w:szCs w:val="14"/>
              </w:rPr>
            </w:pPr>
            <w:r w:rsidRPr="00F31194">
              <w:rPr>
                <w:sz w:val="14"/>
                <w:szCs w:val="14"/>
              </w:rPr>
              <w:t>12 668 457</w:t>
            </w:r>
          </w:p>
        </w:tc>
        <w:tc>
          <w:tcPr>
            <w:tcW w:w="916" w:type="dxa"/>
            <w:tcBorders>
              <w:top w:val="nil"/>
              <w:left w:val="nil"/>
              <w:bottom w:val="single" w:sz="4" w:space="0" w:color="BFBFBF"/>
              <w:right w:val="single" w:sz="4" w:space="0" w:color="BFBFBF"/>
            </w:tcBorders>
            <w:shd w:val="clear" w:color="000000" w:fill="FFFFFF"/>
            <w:noWrap/>
            <w:vAlign w:val="bottom"/>
            <w:hideMark/>
          </w:tcPr>
          <w:p w14:paraId="61F7E9AD" w14:textId="77777777" w:rsidR="00FC70F1" w:rsidRPr="00F31194" w:rsidRDefault="00FC70F1" w:rsidP="00FC70F1">
            <w:pPr>
              <w:jc w:val="right"/>
              <w:rPr>
                <w:sz w:val="14"/>
                <w:szCs w:val="14"/>
              </w:rPr>
            </w:pPr>
            <w:r w:rsidRPr="00F31194">
              <w:rPr>
                <w:sz w:val="14"/>
                <w:szCs w:val="14"/>
              </w:rPr>
              <w:t>8 930 304</w:t>
            </w:r>
          </w:p>
        </w:tc>
        <w:tc>
          <w:tcPr>
            <w:tcW w:w="851" w:type="dxa"/>
            <w:tcBorders>
              <w:top w:val="nil"/>
              <w:left w:val="nil"/>
              <w:bottom w:val="single" w:sz="4" w:space="0" w:color="BFBFBF"/>
              <w:right w:val="single" w:sz="4" w:space="0" w:color="BFBFBF"/>
            </w:tcBorders>
            <w:shd w:val="clear" w:color="000000" w:fill="FFFFFF"/>
            <w:noWrap/>
            <w:vAlign w:val="bottom"/>
            <w:hideMark/>
          </w:tcPr>
          <w:p w14:paraId="7ECC7BCB" w14:textId="77777777" w:rsidR="00FC70F1" w:rsidRPr="00F31194" w:rsidRDefault="00FC70F1" w:rsidP="00FC70F1">
            <w:pPr>
              <w:rPr>
                <w:sz w:val="14"/>
                <w:szCs w:val="14"/>
              </w:rPr>
            </w:pPr>
            <w:r w:rsidRPr="00F31194">
              <w:rPr>
                <w:sz w:val="14"/>
                <w:szCs w:val="14"/>
              </w:rPr>
              <w:t> </w:t>
            </w:r>
          </w:p>
        </w:tc>
        <w:tc>
          <w:tcPr>
            <w:tcW w:w="850" w:type="dxa"/>
            <w:tcBorders>
              <w:top w:val="nil"/>
              <w:left w:val="nil"/>
              <w:bottom w:val="single" w:sz="4" w:space="0" w:color="BFBFBF"/>
              <w:right w:val="single" w:sz="4" w:space="0" w:color="BFBFBF"/>
            </w:tcBorders>
            <w:shd w:val="clear" w:color="auto" w:fill="auto"/>
            <w:noWrap/>
            <w:vAlign w:val="bottom"/>
            <w:hideMark/>
          </w:tcPr>
          <w:p w14:paraId="05B614CF" w14:textId="77777777" w:rsidR="00FC70F1" w:rsidRPr="00F31194" w:rsidRDefault="00FC70F1" w:rsidP="00FC70F1">
            <w:pPr>
              <w:jc w:val="right"/>
              <w:rPr>
                <w:b/>
                <w:bCs/>
                <w:sz w:val="14"/>
                <w:szCs w:val="14"/>
              </w:rPr>
            </w:pPr>
            <w:r w:rsidRPr="00F31194">
              <w:rPr>
                <w:b/>
                <w:bCs/>
                <w:sz w:val="14"/>
                <w:szCs w:val="14"/>
              </w:rPr>
              <w:t>8 930 304</w:t>
            </w:r>
          </w:p>
        </w:tc>
        <w:tc>
          <w:tcPr>
            <w:tcW w:w="862" w:type="dxa"/>
            <w:tcBorders>
              <w:top w:val="nil"/>
              <w:left w:val="nil"/>
              <w:bottom w:val="single" w:sz="4" w:space="0" w:color="BFBFBF"/>
              <w:right w:val="single" w:sz="4" w:space="0" w:color="BFBFBF"/>
            </w:tcBorders>
            <w:shd w:val="clear" w:color="auto" w:fill="auto"/>
            <w:noWrap/>
            <w:vAlign w:val="bottom"/>
            <w:hideMark/>
          </w:tcPr>
          <w:p w14:paraId="3548F8A1" w14:textId="77777777" w:rsidR="00FC70F1" w:rsidRPr="00F31194" w:rsidRDefault="00FC70F1" w:rsidP="00FC70F1">
            <w:pPr>
              <w:jc w:val="right"/>
              <w:rPr>
                <w:sz w:val="14"/>
                <w:szCs w:val="14"/>
              </w:rPr>
            </w:pPr>
            <w:r w:rsidRPr="00F31194">
              <w:rPr>
                <w:sz w:val="14"/>
                <w:szCs w:val="14"/>
              </w:rPr>
              <w:t>3 006 830</w:t>
            </w:r>
          </w:p>
        </w:tc>
        <w:tc>
          <w:tcPr>
            <w:tcW w:w="839" w:type="dxa"/>
            <w:tcBorders>
              <w:top w:val="nil"/>
              <w:left w:val="nil"/>
              <w:bottom w:val="single" w:sz="4" w:space="0" w:color="BFBFBF"/>
              <w:right w:val="single" w:sz="4" w:space="0" w:color="BFBFBF"/>
            </w:tcBorders>
            <w:shd w:val="clear" w:color="auto" w:fill="auto"/>
            <w:noWrap/>
            <w:vAlign w:val="bottom"/>
            <w:hideMark/>
          </w:tcPr>
          <w:p w14:paraId="4B771181" w14:textId="77777777" w:rsidR="00FC70F1" w:rsidRPr="00F31194" w:rsidRDefault="00FC70F1" w:rsidP="00FC70F1">
            <w:pPr>
              <w:jc w:val="right"/>
              <w:rPr>
                <w:sz w:val="14"/>
                <w:szCs w:val="14"/>
              </w:rPr>
            </w:pPr>
            <w:r w:rsidRPr="00F31194">
              <w:rPr>
                <w:sz w:val="14"/>
                <w:szCs w:val="14"/>
              </w:rPr>
              <w:t>3 110 872</w:t>
            </w:r>
          </w:p>
        </w:tc>
        <w:tc>
          <w:tcPr>
            <w:tcW w:w="851" w:type="dxa"/>
            <w:tcBorders>
              <w:top w:val="nil"/>
              <w:left w:val="nil"/>
              <w:bottom w:val="single" w:sz="4" w:space="0" w:color="BFBFBF"/>
              <w:right w:val="single" w:sz="4" w:space="0" w:color="BFBFBF"/>
            </w:tcBorders>
            <w:shd w:val="clear" w:color="auto" w:fill="auto"/>
            <w:noWrap/>
            <w:vAlign w:val="bottom"/>
            <w:hideMark/>
          </w:tcPr>
          <w:p w14:paraId="31E7539C" w14:textId="77777777" w:rsidR="00FC70F1" w:rsidRPr="00F31194" w:rsidRDefault="00FC70F1" w:rsidP="00FC70F1">
            <w:pPr>
              <w:rPr>
                <w:sz w:val="14"/>
                <w:szCs w:val="14"/>
              </w:rPr>
            </w:pPr>
            <w:r w:rsidRPr="00F31194">
              <w:rPr>
                <w:sz w:val="14"/>
                <w:szCs w:val="14"/>
              </w:rPr>
              <w:t> </w:t>
            </w:r>
          </w:p>
        </w:tc>
        <w:tc>
          <w:tcPr>
            <w:tcW w:w="850" w:type="dxa"/>
            <w:tcBorders>
              <w:top w:val="nil"/>
              <w:left w:val="nil"/>
              <w:bottom w:val="single" w:sz="4" w:space="0" w:color="BFBFBF"/>
              <w:right w:val="single" w:sz="4" w:space="0" w:color="BFBFBF"/>
            </w:tcBorders>
            <w:shd w:val="clear" w:color="auto" w:fill="auto"/>
            <w:noWrap/>
            <w:vAlign w:val="bottom"/>
            <w:hideMark/>
          </w:tcPr>
          <w:p w14:paraId="127F6808" w14:textId="77777777" w:rsidR="00FC70F1" w:rsidRPr="00F31194" w:rsidRDefault="00FC70F1" w:rsidP="00FC70F1">
            <w:pPr>
              <w:jc w:val="right"/>
              <w:rPr>
                <w:b/>
                <w:bCs/>
                <w:sz w:val="14"/>
                <w:szCs w:val="14"/>
              </w:rPr>
            </w:pPr>
            <w:r w:rsidRPr="00F31194">
              <w:rPr>
                <w:b/>
                <w:bCs/>
                <w:sz w:val="14"/>
                <w:szCs w:val="14"/>
              </w:rPr>
              <w:t>3 110 872</w:t>
            </w:r>
          </w:p>
        </w:tc>
        <w:tc>
          <w:tcPr>
            <w:tcW w:w="862" w:type="dxa"/>
            <w:tcBorders>
              <w:top w:val="nil"/>
              <w:left w:val="nil"/>
              <w:bottom w:val="single" w:sz="4" w:space="0" w:color="BFBFBF"/>
              <w:right w:val="single" w:sz="4" w:space="0" w:color="BFBFBF"/>
            </w:tcBorders>
            <w:shd w:val="clear" w:color="auto" w:fill="auto"/>
            <w:noWrap/>
            <w:vAlign w:val="bottom"/>
            <w:hideMark/>
          </w:tcPr>
          <w:p w14:paraId="3CC6C503" w14:textId="77777777" w:rsidR="00FC70F1" w:rsidRPr="00F31194" w:rsidRDefault="00FC70F1" w:rsidP="00FC70F1">
            <w:pPr>
              <w:jc w:val="right"/>
              <w:rPr>
                <w:sz w:val="14"/>
                <w:szCs w:val="14"/>
              </w:rPr>
            </w:pPr>
            <w:r w:rsidRPr="00F31194">
              <w:rPr>
                <w:sz w:val="14"/>
                <w:szCs w:val="14"/>
              </w:rPr>
              <w:t>9 661 627</w:t>
            </w:r>
          </w:p>
        </w:tc>
        <w:tc>
          <w:tcPr>
            <w:tcW w:w="839" w:type="dxa"/>
            <w:tcBorders>
              <w:top w:val="nil"/>
              <w:left w:val="nil"/>
              <w:bottom w:val="single" w:sz="4" w:space="0" w:color="BFBFBF"/>
              <w:right w:val="single" w:sz="4" w:space="0" w:color="BFBFBF"/>
            </w:tcBorders>
            <w:shd w:val="clear" w:color="auto" w:fill="auto"/>
            <w:noWrap/>
            <w:vAlign w:val="bottom"/>
            <w:hideMark/>
          </w:tcPr>
          <w:p w14:paraId="3080D038" w14:textId="77777777" w:rsidR="00FC70F1" w:rsidRPr="00F31194" w:rsidRDefault="00FC70F1" w:rsidP="00FC70F1">
            <w:pPr>
              <w:jc w:val="right"/>
              <w:rPr>
                <w:sz w:val="14"/>
                <w:szCs w:val="14"/>
              </w:rPr>
            </w:pPr>
            <w:r w:rsidRPr="00F31194">
              <w:rPr>
                <w:sz w:val="14"/>
                <w:szCs w:val="14"/>
              </w:rPr>
              <w:t>5 819 432</w:t>
            </w:r>
          </w:p>
        </w:tc>
        <w:tc>
          <w:tcPr>
            <w:tcW w:w="851" w:type="dxa"/>
            <w:tcBorders>
              <w:top w:val="nil"/>
              <w:left w:val="nil"/>
              <w:bottom w:val="single" w:sz="4" w:space="0" w:color="BFBFBF"/>
              <w:right w:val="single" w:sz="4" w:space="0" w:color="BFBFBF"/>
            </w:tcBorders>
            <w:shd w:val="clear" w:color="auto" w:fill="auto"/>
            <w:noWrap/>
            <w:vAlign w:val="bottom"/>
            <w:hideMark/>
          </w:tcPr>
          <w:p w14:paraId="58C0BCCC" w14:textId="77777777" w:rsidR="00FC70F1" w:rsidRPr="00F31194" w:rsidRDefault="00FC70F1" w:rsidP="00FC70F1">
            <w:pPr>
              <w:jc w:val="right"/>
              <w:rPr>
                <w:sz w:val="14"/>
                <w:szCs w:val="14"/>
              </w:rPr>
            </w:pPr>
            <w:r w:rsidRPr="00F31194">
              <w:rPr>
                <w:sz w:val="14"/>
                <w:szCs w:val="14"/>
              </w:rPr>
              <w:t>0</w:t>
            </w:r>
          </w:p>
        </w:tc>
        <w:tc>
          <w:tcPr>
            <w:tcW w:w="850" w:type="dxa"/>
            <w:tcBorders>
              <w:top w:val="nil"/>
              <w:left w:val="nil"/>
              <w:bottom w:val="single" w:sz="4" w:space="0" w:color="BFBFBF"/>
              <w:right w:val="single" w:sz="4" w:space="0" w:color="BFBFBF"/>
            </w:tcBorders>
            <w:shd w:val="clear" w:color="auto" w:fill="auto"/>
            <w:noWrap/>
            <w:vAlign w:val="bottom"/>
            <w:hideMark/>
          </w:tcPr>
          <w:p w14:paraId="7517D0BF" w14:textId="77777777" w:rsidR="00FC70F1" w:rsidRPr="00F31194" w:rsidRDefault="00FC70F1" w:rsidP="00FC70F1">
            <w:pPr>
              <w:jc w:val="right"/>
              <w:rPr>
                <w:b/>
                <w:bCs/>
                <w:sz w:val="14"/>
                <w:szCs w:val="14"/>
              </w:rPr>
            </w:pPr>
            <w:r w:rsidRPr="00F31194">
              <w:rPr>
                <w:b/>
                <w:bCs/>
                <w:sz w:val="14"/>
                <w:szCs w:val="14"/>
              </w:rPr>
              <w:t>5 819 432</w:t>
            </w:r>
          </w:p>
        </w:tc>
      </w:tr>
      <w:tr w:rsidR="00FC70F1" w:rsidRPr="00FC70F1" w14:paraId="55E49CB3"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5A9A4B8D" w14:textId="77777777" w:rsidR="00FC70F1" w:rsidRPr="00F31194" w:rsidRDefault="00FC70F1" w:rsidP="00FC70F1">
            <w:pPr>
              <w:jc w:val="center"/>
              <w:rPr>
                <w:b/>
                <w:bCs/>
                <w:sz w:val="14"/>
                <w:szCs w:val="14"/>
              </w:rPr>
            </w:pPr>
            <w:r w:rsidRPr="00F31194">
              <w:rPr>
                <w:b/>
                <w:bCs/>
                <w:sz w:val="14"/>
                <w:szCs w:val="14"/>
              </w:rPr>
              <w:t>2021</w:t>
            </w:r>
          </w:p>
        </w:tc>
        <w:tc>
          <w:tcPr>
            <w:tcW w:w="862" w:type="dxa"/>
            <w:tcBorders>
              <w:top w:val="nil"/>
              <w:left w:val="nil"/>
              <w:bottom w:val="single" w:sz="4" w:space="0" w:color="BFBFBF"/>
              <w:right w:val="single" w:sz="4" w:space="0" w:color="BFBFBF"/>
            </w:tcBorders>
            <w:shd w:val="clear" w:color="000000" w:fill="FFFFFF"/>
            <w:noWrap/>
            <w:vAlign w:val="bottom"/>
            <w:hideMark/>
          </w:tcPr>
          <w:p w14:paraId="6C513E55" w14:textId="77777777" w:rsidR="00FC70F1" w:rsidRPr="00F31194" w:rsidRDefault="00FC70F1" w:rsidP="00FC70F1">
            <w:pPr>
              <w:jc w:val="right"/>
              <w:rPr>
                <w:sz w:val="14"/>
                <w:szCs w:val="14"/>
              </w:rPr>
            </w:pPr>
            <w:r w:rsidRPr="00F31194">
              <w:rPr>
                <w:sz w:val="14"/>
                <w:szCs w:val="14"/>
              </w:rPr>
              <w:t>10 746 843</w:t>
            </w:r>
          </w:p>
        </w:tc>
        <w:tc>
          <w:tcPr>
            <w:tcW w:w="916" w:type="dxa"/>
            <w:tcBorders>
              <w:top w:val="nil"/>
              <w:left w:val="nil"/>
              <w:bottom w:val="single" w:sz="4" w:space="0" w:color="BFBFBF"/>
              <w:right w:val="single" w:sz="4" w:space="0" w:color="BFBFBF"/>
            </w:tcBorders>
            <w:shd w:val="clear" w:color="000000" w:fill="FFFFFF"/>
            <w:noWrap/>
            <w:vAlign w:val="bottom"/>
            <w:hideMark/>
          </w:tcPr>
          <w:p w14:paraId="03D1221E" w14:textId="77777777" w:rsidR="00FC70F1" w:rsidRPr="00F31194" w:rsidRDefault="00FC70F1" w:rsidP="00FC70F1">
            <w:pPr>
              <w:jc w:val="right"/>
              <w:rPr>
                <w:sz w:val="14"/>
                <w:szCs w:val="14"/>
              </w:rPr>
            </w:pPr>
            <w:r w:rsidRPr="00F31194">
              <w:rPr>
                <w:sz w:val="14"/>
                <w:szCs w:val="14"/>
              </w:rPr>
              <w:t>8 930 304</w:t>
            </w:r>
          </w:p>
        </w:tc>
        <w:tc>
          <w:tcPr>
            <w:tcW w:w="851" w:type="dxa"/>
            <w:tcBorders>
              <w:top w:val="nil"/>
              <w:left w:val="nil"/>
              <w:bottom w:val="single" w:sz="4" w:space="0" w:color="BFBFBF"/>
              <w:right w:val="single" w:sz="4" w:space="0" w:color="BFBFBF"/>
            </w:tcBorders>
            <w:shd w:val="clear" w:color="000000" w:fill="FFFFFF"/>
            <w:noWrap/>
            <w:vAlign w:val="bottom"/>
            <w:hideMark/>
          </w:tcPr>
          <w:p w14:paraId="09168748" w14:textId="77777777" w:rsidR="00FC70F1" w:rsidRPr="00F31194" w:rsidRDefault="00FC70F1" w:rsidP="00FC70F1">
            <w:pPr>
              <w:jc w:val="right"/>
              <w:rPr>
                <w:sz w:val="14"/>
                <w:szCs w:val="14"/>
              </w:rPr>
            </w:pPr>
            <w:r w:rsidRPr="00F31194">
              <w:rPr>
                <w:sz w:val="14"/>
                <w:szCs w:val="14"/>
              </w:rPr>
              <w:t>277 832</w:t>
            </w:r>
          </w:p>
        </w:tc>
        <w:tc>
          <w:tcPr>
            <w:tcW w:w="850" w:type="dxa"/>
            <w:tcBorders>
              <w:top w:val="nil"/>
              <w:left w:val="nil"/>
              <w:bottom w:val="single" w:sz="4" w:space="0" w:color="BFBFBF"/>
              <w:right w:val="single" w:sz="4" w:space="0" w:color="BFBFBF"/>
            </w:tcBorders>
            <w:shd w:val="clear" w:color="auto" w:fill="auto"/>
            <w:noWrap/>
            <w:vAlign w:val="bottom"/>
            <w:hideMark/>
          </w:tcPr>
          <w:p w14:paraId="40509957" w14:textId="77777777" w:rsidR="00FC70F1" w:rsidRPr="00F31194" w:rsidRDefault="00FC70F1" w:rsidP="00FC70F1">
            <w:pPr>
              <w:jc w:val="right"/>
              <w:rPr>
                <w:b/>
                <w:bCs/>
                <w:sz w:val="14"/>
                <w:szCs w:val="14"/>
              </w:rPr>
            </w:pPr>
            <w:r w:rsidRPr="00F31194">
              <w:rPr>
                <w:b/>
                <w:bCs/>
                <w:sz w:val="14"/>
                <w:szCs w:val="14"/>
              </w:rPr>
              <w:t>9 208 136</w:t>
            </w:r>
          </w:p>
        </w:tc>
        <w:tc>
          <w:tcPr>
            <w:tcW w:w="862" w:type="dxa"/>
            <w:tcBorders>
              <w:top w:val="nil"/>
              <w:left w:val="nil"/>
              <w:bottom w:val="single" w:sz="4" w:space="0" w:color="BFBFBF"/>
              <w:right w:val="single" w:sz="4" w:space="0" w:color="BFBFBF"/>
            </w:tcBorders>
            <w:shd w:val="clear" w:color="auto" w:fill="auto"/>
            <w:noWrap/>
            <w:vAlign w:val="bottom"/>
            <w:hideMark/>
          </w:tcPr>
          <w:p w14:paraId="6F1783AE" w14:textId="77777777" w:rsidR="00FC70F1" w:rsidRPr="00F31194" w:rsidRDefault="00FC70F1" w:rsidP="00FC70F1">
            <w:pPr>
              <w:jc w:val="right"/>
              <w:rPr>
                <w:sz w:val="14"/>
                <w:szCs w:val="14"/>
              </w:rPr>
            </w:pPr>
            <w:r w:rsidRPr="00F31194">
              <w:rPr>
                <w:sz w:val="14"/>
                <w:szCs w:val="14"/>
              </w:rPr>
              <w:t>2 749 501</w:t>
            </w:r>
          </w:p>
        </w:tc>
        <w:tc>
          <w:tcPr>
            <w:tcW w:w="839" w:type="dxa"/>
            <w:tcBorders>
              <w:top w:val="nil"/>
              <w:left w:val="nil"/>
              <w:bottom w:val="single" w:sz="4" w:space="0" w:color="BFBFBF"/>
              <w:right w:val="single" w:sz="4" w:space="0" w:color="BFBFBF"/>
            </w:tcBorders>
            <w:shd w:val="clear" w:color="auto" w:fill="auto"/>
            <w:noWrap/>
            <w:vAlign w:val="bottom"/>
            <w:hideMark/>
          </w:tcPr>
          <w:p w14:paraId="7423ABAF" w14:textId="77777777" w:rsidR="00FC70F1" w:rsidRPr="00F31194" w:rsidRDefault="00FC70F1" w:rsidP="00FC70F1">
            <w:pPr>
              <w:jc w:val="right"/>
              <w:rPr>
                <w:sz w:val="14"/>
                <w:szCs w:val="14"/>
              </w:rPr>
            </w:pPr>
            <w:r w:rsidRPr="00F31194">
              <w:rPr>
                <w:sz w:val="14"/>
                <w:szCs w:val="14"/>
              </w:rPr>
              <w:t>3 110 872</w:t>
            </w:r>
          </w:p>
        </w:tc>
        <w:tc>
          <w:tcPr>
            <w:tcW w:w="851" w:type="dxa"/>
            <w:tcBorders>
              <w:top w:val="nil"/>
              <w:left w:val="nil"/>
              <w:bottom w:val="single" w:sz="4" w:space="0" w:color="BFBFBF"/>
              <w:right w:val="single" w:sz="4" w:space="0" w:color="BFBFBF"/>
            </w:tcBorders>
            <w:shd w:val="clear" w:color="auto" w:fill="auto"/>
            <w:noWrap/>
            <w:vAlign w:val="bottom"/>
            <w:hideMark/>
          </w:tcPr>
          <w:p w14:paraId="177E53FC" w14:textId="77777777" w:rsidR="00FC70F1" w:rsidRPr="00F31194" w:rsidRDefault="00FC70F1" w:rsidP="00FC70F1">
            <w:pPr>
              <w:jc w:val="right"/>
              <w:rPr>
                <w:sz w:val="14"/>
                <w:szCs w:val="14"/>
              </w:rPr>
            </w:pPr>
            <w:r w:rsidRPr="00F31194">
              <w:rPr>
                <w:sz w:val="14"/>
                <w:szCs w:val="14"/>
              </w:rPr>
              <w:t>361 839</w:t>
            </w:r>
          </w:p>
        </w:tc>
        <w:tc>
          <w:tcPr>
            <w:tcW w:w="850" w:type="dxa"/>
            <w:tcBorders>
              <w:top w:val="nil"/>
              <w:left w:val="nil"/>
              <w:bottom w:val="single" w:sz="4" w:space="0" w:color="BFBFBF"/>
              <w:right w:val="single" w:sz="4" w:space="0" w:color="BFBFBF"/>
            </w:tcBorders>
            <w:shd w:val="clear" w:color="auto" w:fill="auto"/>
            <w:noWrap/>
            <w:vAlign w:val="bottom"/>
            <w:hideMark/>
          </w:tcPr>
          <w:p w14:paraId="6468A451" w14:textId="77777777" w:rsidR="00FC70F1" w:rsidRPr="00F31194" w:rsidRDefault="00FC70F1" w:rsidP="00FC70F1">
            <w:pPr>
              <w:jc w:val="right"/>
              <w:rPr>
                <w:b/>
                <w:bCs/>
                <w:sz w:val="14"/>
                <w:szCs w:val="14"/>
              </w:rPr>
            </w:pPr>
            <w:r w:rsidRPr="00F31194">
              <w:rPr>
                <w:b/>
                <w:bCs/>
                <w:sz w:val="14"/>
                <w:szCs w:val="14"/>
              </w:rPr>
              <w:t>3 472 711</w:t>
            </w:r>
          </w:p>
        </w:tc>
        <w:tc>
          <w:tcPr>
            <w:tcW w:w="862" w:type="dxa"/>
            <w:tcBorders>
              <w:top w:val="nil"/>
              <w:left w:val="nil"/>
              <w:bottom w:val="single" w:sz="4" w:space="0" w:color="BFBFBF"/>
              <w:right w:val="single" w:sz="4" w:space="0" w:color="BFBFBF"/>
            </w:tcBorders>
            <w:shd w:val="clear" w:color="auto" w:fill="auto"/>
            <w:noWrap/>
            <w:vAlign w:val="bottom"/>
            <w:hideMark/>
          </w:tcPr>
          <w:p w14:paraId="1D7492FE" w14:textId="77777777" w:rsidR="00FC70F1" w:rsidRPr="00F31194" w:rsidRDefault="00FC70F1" w:rsidP="00FC70F1">
            <w:pPr>
              <w:jc w:val="right"/>
              <w:rPr>
                <w:sz w:val="14"/>
                <w:szCs w:val="14"/>
              </w:rPr>
            </w:pPr>
            <w:r w:rsidRPr="00F31194">
              <w:rPr>
                <w:sz w:val="14"/>
                <w:szCs w:val="14"/>
              </w:rPr>
              <w:t>7 997 342</w:t>
            </w:r>
          </w:p>
        </w:tc>
        <w:tc>
          <w:tcPr>
            <w:tcW w:w="839" w:type="dxa"/>
            <w:tcBorders>
              <w:top w:val="nil"/>
              <w:left w:val="nil"/>
              <w:bottom w:val="single" w:sz="4" w:space="0" w:color="BFBFBF"/>
              <w:right w:val="single" w:sz="4" w:space="0" w:color="BFBFBF"/>
            </w:tcBorders>
            <w:shd w:val="clear" w:color="auto" w:fill="auto"/>
            <w:noWrap/>
            <w:vAlign w:val="bottom"/>
            <w:hideMark/>
          </w:tcPr>
          <w:p w14:paraId="1C37CC67" w14:textId="77777777" w:rsidR="00FC70F1" w:rsidRPr="00F31194" w:rsidRDefault="00FC70F1" w:rsidP="00FC70F1">
            <w:pPr>
              <w:jc w:val="right"/>
              <w:rPr>
                <w:sz w:val="14"/>
                <w:szCs w:val="14"/>
              </w:rPr>
            </w:pPr>
            <w:r w:rsidRPr="00F31194">
              <w:rPr>
                <w:sz w:val="14"/>
                <w:szCs w:val="14"/>
              </w:rPr>
              <w:t>5 819 432</w:t>
            </w:r>
          </w:p>
        </w:tc>
        <w:tc>
          <w:tcPr>
            <w:tcW w:w="851" w:type="dxa"/>
            <w:tcBorders>
              <w:top w:val="nil"/>
              <w:left w:val="nil"/>
              <w:bottom w:val="single" w:sz="4" w:space="0" w:color="BFBFBF"/>
              <w:right w:val="single" w:sz="4" w:space="0" w:color="BFBFBF"/>
            </w:tcBorders>
            <w:shd w:val="clear" w:color="auto" w:fill="auto"/>
            <w:noWrap/>
            <w:vAlign w:val="bottom"/>
            <w:hideMark/>
          </w:tcPr>
          <w:p w14:paraId="23A952C0" w14:textId="77777777" w:rsidR="00FC70F1" w:rsidRPr="00F31194" w:rsidRDefault="00FC70F1" w:rsidP="00FC70F1">
            <w:pPr>
              <w:jc w:val="right"/>
              <w:rPr>
                <w:sz w:val="14"/>
                <w:szCs w:val="14"/>
              </w:rPr>
            </w:pPr>
            <w:r w:rsidRPr="00F31194">
              <w:rPr>
                <w:sz w:val="14"/>
                <w:szCs w:val="14"/>
              </w:rPr>
              <w:t>-84 007</w:t>
            </w:r>
          </w:p>
        </w:tc>
        <w:tc>
          <w:tcPr>
            <w:tcW w:w="850" w:type="dxa"/>
            <w:tcBorders>
              <w:top w:val="nil"/>
              <w:left w:val="nil"/>
              <w:bottom w:val="single" w:sz="4" w:space="0" w:color="BFBFBF"/>
              <w:right w:val="single" w:sz="4" w:space="0" w:color="BFBFBF"/>
            </w:tcBorders>
            <w:shd w:val="clear" w:color="auto" w:fill="auto"/>
            <w:noWrap/>
            <w:vAlign w:val="bottom"/>
            <w:hideMark/>
          </w:tcPr>
          <w:p w14:paraId="31D86698" w14:textId="77777777" w:rsidR="00FC70F1" w:rsidRPr="00F31194" w:rsidRDefault="00FC70F1" w:rsidP="00FC70F1">
            <w:pPr>
              <w:jc w:val="right"/>
              <w:rPr>
                <w:b/>
                <w:bCs/>
                <w:sz w:val="14"/>
                <w:szCs w:val="14"/>
              </w:rPr>
            </w:pPr>
            <w:r w:rsidRPr="00F31194">
              <w:rPr>
                <w:b/>
                <w:bCs/>
                <w:sz w:val="14"/>
                <w:szCs w:val="14"/>
              </w:rPr>
              <w:t>5 735 425</w:t>
            </w:r>
          </w:p>
        </w:tc>
      </w:tr>
      <w:tr w:rsidR="00FC70F1" w:rsidRPr="00FC70F1" w14:paraId="64EDEB5E"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3E5C63CE" w14:textId="77777777" w:rsidR="00FC70F1" w:rsidRPr="00F31194" w:rsidRDefault="00FC70F1" w:rsidP="00FC70F1">
            <w:pPr>
              <w:jc w:val="center"/>
              <w:rPr>
                <w:b/>
                <w:bCs/>
                <w:sz w:val="14"/>
                <w:szCs w:val="14"/>
              </w:rPr>
            </w:pPr>
            <w:r w:rsidRPr="00F31194">
              <w:rPr>
                <w:b/>
                <w:bCs/>
                <w:sz w:val="14"/>
                <w:szCs w:val="14"/>
              </w:rPr>
              <w:t>2022</w:t>
            </w:r>
          </w:p>
        </w:tc>
        <w:tc>
          <w:tcPr>
            <w:tcW w:w="862" w:type="dxa"/>
            <w:tcBorders>
              <w:top w:val="nil"/>
              <w:left w:val="nil"/>
              <w:bottom w:val="single" w:sz="4" w:space="0" w:color="BFBFBF"/>
              <w:right w:val="single" w:sz="4" w:space="0" w:color="BFBFBF"/>
            </w:tcBorders>
            <w:shd w:val="clear" w:color="000000" w:fill="FFFFFF"/>
            <w:noWrap/>
            <w:vAlign w:val="bottom"/>
            <w:hideMark/>
          </w:tcPr>
          <w:p w14:paraId="796DBB6F" w14:textId="77777777" w:rsidR="00FC70F1" w:rsidRPr="00F31194" w:rsidRDefault="00FC70F1" w:rsidP="00FC70F1">
            <w:pPr>
              <w:jc w:val="right"/>
              <w:rPr>
                <w:sz w:val="14"/>
                <w:szCs w:val="14"/>
              </w:rPr>
            </w:pPr>
            <w:r w:rsidRPr="00F31194">
              <w:rPr>
                <w:sz w:val="14"/>
                <w:szCs w:val="14"/>
              </w:rPr>
              <w:t>6 349 724</w:t>
            </w:r>
          </w:p>
        </w:tc>
        <w:tc>
          <w:tcPr>
            <w:tcW w:w="916" w:type="dxa"/>
            <w:tcBorders>
              <w:top w:val="nil"/>
              <w:left w:val="nil"/>
              <w:bottom w:val="single" w:sz="4" w:space="0" w:color="BFBFBF"/>
              <w:right w:val="single" w:sz="4" w:space="0" w:color="BFBFBF"/>
            </w:tcBorders>
            <w:shd w:val="clear" w:color="000000" w:fill="FFFFFF"/>
            <w:noWrap/>
            <w:vAlign w:val="bottom"/>
            <w:hideMark/>
          </w:tcPr>
          <w:p w14:paraId="01BC9D38" w14:textId="77777777" w:rsidR="00FC70F1" w:rsidRPr="00F31194" w:rsidRDefault="00FC70F1" w:rsidP="00FC70F1">
            <w:pPr>
              <w:jc w:val="right"/>
              <w:rPr>
                <w:sz w:val="14"/>
                <w:szCs w:val="14"/>
              </w:rPr>
            </w:pPr>
            <w:r w:rsidRPr="00F31194">
              <w:rPr>
                <w:sz w:val="14"/>
                <w:szCs w:val="14"/>
              </w:rPr>
              <w:t>7 938 048</w:t>
            </w:r>
          </w:p>
        </w:tc>
        <w:tc>
          <w:tcPr>
            <w:tcW w:w="851" w:type="dxa"/>
            <w:tcBorders>
              <w:top w:val="nil"/>
              <w:left w:val="nil"/>
              <w:bottom w:val="single" w:sz="4" w:space="0" w:color="BFBFBF"/>
              <w:right w:val="single" w:sz="4" w:space="0" w:color="BFBFBF"/>
            </w:tcBorders>
            <w:shd w:val="clear" w:color="000000" w:fill="FFFFFF"/>
            <w:noWrap/>
            <w:vAlign w:val="bottom"/>
            <w:hideMark/>
          </w:tcPr>
          <w:p w14:paraId="3BE8259E" w14:textId="77777777" w:rsidR="00FC70F1" w:rsidRPr="00F31194" w:rsidRDefault="00FC70F1" w:rsidP="00FC70F1">
            <w:pPr>
              <w:jc w:val="right"/>
              <w:rPr>
                <w:sz w:val="14"/>
                <w:szCs w:val="14"/>
              </w:rPr>
            </w:pPr>
            <w:r w:rsidRPr="00F31194">
              <w:rPr>
                <w:sz w:val="14"/>
                <w:szCs w:val="14"/>
              </w:rPr>
              <w:t>714 424</w:t>
            </w:r>
          </w:p>
        </w:tc>
        <w:tc>
          <w:tcPr>
            <w:tcW w:w="850" w:type="dxa"/>
            <w:tcBorders>
              <w:top w:val="nil"/>
              <w:left w:val="nil"/>
              <w:bottom w:val="single" w:sz="4" w:space="0" w:color="BFBFBF"/>
              <w:right w:val="single" w:sz="4" w:space="0" w:color="BFBFBF"/>
            </w:tcBorders>
            <w:shd w:val="clear" w:color="auto" w:fill="auto"/>
            <w:noWrap/>
            <w:vAlign w:val="bottom"/>
            <w:hideMark/>
          </w:tcPr>
          <w:p w14:paraId="53F7E1AF" w14:textId="77777777" w:rsidR="00FC70F1" w:rsidRPr="00F31194" w:rsidRDefault="00FC70F1" w:rsidP="00FC70F1">
            <w:pPr>
              <w:jc w:val="right"/>
              <w:rPr>
                <w:b/>
                <w:bCs/>
                <w:sz w:val="14"/>
                <w:szCs w:val="14"/>
              </w:rPr>
            </w:pPr>
            <w:r w:rsidRPr="00F31194">
              <w:rPr>
                <w:b/>
                <w:bCs/>
                <w:sz w:val="14"/>
                <w:szCs w:val="14"/>
              </w:rPr>
              <w:t>8 652 472</w:t>
            </w:r>
          </w:p>
        </w:tc>
        <w:tc>
          <w:tcPr>
            <w:tcW w:w="862" w:type="dxa"/>
            <w:tcBorders>
              <w:top w:val="nil"/>
              <w:left w:val="nil"/>
              <w:bottom w:val="single" w:sz="4" w:space="0" w:color="BFBFBF"/>
              <w:right w:val="single" w:sz="4" w:space="0" w:color="BFBFBF"/>
            </w:tcBorders>
            <w:shd w:val="clear" w:color="auto" w:fill="auto"/>
            <w:noWrap/>
            <w:vAlign w:val="bottom"/>
            <w:hideMark/>
          </w:tcPr>
          <w:p w14:paraId="6799EBC3" w14:textId="77777777" w:rsidR="00FC70F1" w:rsidRPr="00F31194" w:rsidRDefault="00FC70F1" w:rsidP="00FC70F1">
            <w:pPr>
              <w:jc w:val="right"/>
              <w:rPr>
                <w:sz w:val="14"/>
                <w:szCs w:val="14"/>
              </w:rPr>
            </w:pPr>
            <w:r w:rsidRPr="00F31194">
              <w:rPr>
                <w:sz w:val="14"/>
                <w:szCs w:val="14"/>
              </w:rPr>
              <w:t>1 933 663</w:t>
            </w:r>
          </w:p>
        </w:tc>
        <w:tc>
          <w:tcPr>
            <w:tcW w:w="839" w:type="dxa"/>
            <w:tcBorders>
              <w:top w:val="nil"/>
              <w:left w:val="nil"/>
              <w:bottom w:val="single" w:sz="4" w:space="0" w:color="BFBFBF"/>
              <w:right w:val="single" w:sz="4" w:space="0" w:color="BFBFBF"/>
            </w:tcBorders>
            <w:shd w:val="clear" w:color="auto" w:fill="auto"/>
            <w:noWrap/>
            <w:vAlign w:val="bottom"/>
            <w:hideMark/>
          </w:tcPr>
          <w:p w14:paraId="16F674FB" w14:textId="77777777" w:rsidR="00FC70F1" w:rsidRPr="00F31194" w:rsidRDefault="00FC70F1" w:rsidP="00FC70F1">
            <w:pPr>
              <w:jc w:val="right"/>
              <w:rPr>
                <w:sz w:val="14"/>
                <w:szCs w:val="14"/>
              </w:rPr>
            </w:pPr>
            <w:r w:rsidRPr="00F31194">
              <w:rPr>
                <w:sz w:val="14"/>
                <w:szCs w:val="14"/>
              </w:rPr>
              <w:t>3 037 794</w:t>
            </w:r>
          </w:p>
        </w:tc>
        <w:tc>
          <w:tcPr>
            <w:tcW w:w="851" w:type="dxa"/>
            <w:tcBorders>
              <w:top w:val="nil"/>
              <w:left w:val="nil"/>
              <w:bottom w:val="single" w:sz="4" w:space="0" w:color="BFBFBF"/>
              <w:right w:val="single" w:sz="4" w:space="0" w:color="BFBFBF"/>
            </w:tcBorders>
            <w:shd w:val="clear" w:color="auto" w:fill="auto"/>
            <w:noWrap/>
            <w:vAlign w:val="bottom"/>
            <w:hideMark/>
          </w:tcPr>
          <w:p w14:paraId="07F26C32" w14:textId="77777777" w:rsidR="00FC70F1" w:rsidRPr="00F31194" w:rsidRDefault="00FC70F1" w:rsidP="00FC70F1">
            <w:pPr>
              <w:jc w:val="right"/>
              <w:rPr>
                <w:sz w:val="14"/>
                <w:szCs w:val="14"/>
              </w:rPr>
            </w:pPr>
            <w:r w:rsidRPr="00F31194">
              <w:rPr>
                <w:sz w:val="14"/>
                <w:szCs w:val="14"/>
              </w:rPr>
              <w:t>975 133</w:t>
            </w:r>
          </w:p>
        </w:tc>
        <w:tc>
          <w:tcPr>
            <w:tcW w:w="850" w:type="dxa"/>
            <w:tcBorders>
              <w:top w:val="nil"/>
              <w:left w:val="nil"/>
              <w:bottom w:val="single" w:sz="4" w:space="0" w:color="BFBFBF"/>
              <w:right w:val="single" w:sz="4" w:space="0" w:color="BFBFBF"/>
            </w:tcBorders>
            <w:shd w:val="clear" w:color="auto" w:fill="auto"/>
            <w:noWrap/>
            <w:vAlign w:val="bottom"/>
            <w:hideMark/>
          </w:tcPr>
          <w:p w14:paraId="7A2D77AD" w14:textId="77777777" w:rsidR="00FC70F1" w:rsidRPr="00F31194" w:rsidRDefault="00FC70F1" w:rsidP="00FC70F1">
            <w:pPr>
              <w:jc w:val="right"/>
              <w:rPr>
                <w:b/>
                <w:bCs/>
                <w:sz w:val="14"/>
                <w:szCs w:val="14"/>
              </w:rPr>
            </w:pPr>
            <w:r w:rsidRPr="00F31194">
              <w:rPr>
                <w:b/>
                <w:bCs/>
                <w:sz w:val="14"/>
                <w:szCs w:val="14"/>
              </w:rPr>
              <w:t>4 012 927</w:t>
            </w:r>
          </w:p>
        </w:tc>
        <w:tc>
          <w:tcPr>
            <w:tcW w:w="862" w:type="dxa"/>
            <w:tcBorders>
              <w:top w:val="nil"/>
              <w:left w:val="nil"/>
              <w:bottom w:val="single" w:sz="4" w:space="0" w:color="BFBFBF"/>
              <w:right w:val="single" w:sz="4" w:space="0" w:color="BFBFBF"/>
            </w:tcBorders>
            <w:shd w:val="clear" w:color="auto" w:fill="auto"/>
            <w:noWrap/>
            <w:vAlign w:val="bottom"/>
            <w:hideMark/>
          </w:tcPr>
          <w:p w14:paraId="3D552CEC" w14:textId="77777777" w:rsidR="00FC70F1" w:rsidRPr="00F31194" w:rsidRDefault="00FC70F1" w:rsidP="00FC70F1">
            <w:pPr>
              <w:jc w:val="right"/>
              <w:rPr>
                <w:sz w:val="14"/>
                <w:szCs w:val="14"/>
              </w:rPr>
            </w:pPr>
            <w:r w:rsidRPr="00F31194">
              <w:rPr>
                <w:sz w:val="14"/>
                <w:szCs w:val="14"/>
              </w:rPr>
              <w:t>4 416 061</w:t>
            </w:r>
          </w:p>
        </w:tc>
        <w:tc>
          <w:tcPr>
            <w:tcW w:w="839" w:type="dxa"/>
            <w:tcBorders>
              <w:top w:val="nil"/>
              <w:left w:val="nil"/>
              <w:bottom w:val="single" w:sz="4" w:space="0" w:color="BFBFBF"/>
              <w:right w:val="single" w:sz="4" w:space="0" w:color="BFBFBF"/>
            </w:tcBorders>
            <w:shd w:val="clear" w:color="auto" w:fill="auto"/>
            <w:noWrap/>
            <w:vAlign w:val="bottom"/>
            <w:hideMark/>
          </w:tcPr>
          <w:p w14:paraId="07A923FE" w14:textId="77777777" w:rsidR="00FC70F1" w:rsidRPr="00F31194" w:rsidRDefault="00FC70F1" w:rsidP="00FC70F1">
            <w:pPr>
              <w:jc w:val="right"/>
              <w:rPr>
                <w:sz w:val="14"/>
                <w:szCs w:val="14"/>
              </w:rPr>
            </w:pPr>
            <w:r w:rsidRPr="00F31194">
              <w:rPr>
                <w:sz w:val="14"/>
                <w:szCs w:val="14"/>
              </w:rPr>
              <w:t>4 900 254</w:t>
            </w:r>
          </w:p>
        </w:tc>
        <w:tc>
          <w:tcPr>
            <w:tcW w:w="851" w:type="dxa"/>
            <w:tcBorders>
              <w:top w:val="nil"/>
              <w:left w:val="nil"/>
              <w:bottom w:val="single" w:sz="4" w:space="0" w:color="BFBFBF"/>
              <w:right w:val="single" w:sz="4" w:space="0" w:color="BFBFBF"/>
            </w:tcBorders>
            <w:shd w:val="clear" w:color="auto" w:fill="auto"/>
            <w:noWrap/>
            <w:vAlign w:val="bottom"/>
            <w:hideMark/>
          </w:tcPr>
          <w:p w14:paraId="7ED67AF8" w14:textId="77777777" w:rsidR="00FC70F1" w:rsidRPr="00F31194" w:rsidRDefault="00FC70F1" w:rsidP="00FC70F1">
            <w:pPr>
              <w:jc w:val="right"/>
              <w:rPr>
                <w:sz w:val="14"/>
                <w:szCs w:val="14"/>
              </w:rPr>
            </w:pPr>
            <w:r w:rsidRPr="00F31194">
              <w:rPr>
                <w:sz w:val="14"/>
                <w:szCs w:val="14"/>
              </w:rPr>
              <w:t>-260 709</w:t>
            </w:r>
          </w:p>
        </w:tc>
        <w:tc>
          <w:tcPr>
            <w:tcW w:w="850" w:type="dxa"/>
            <w:tcBorders>
              <w:top w:val="nil"/>
              <w:left w:val="nil"/>
              <w:bottom w:val="single" w:sz="4" w:space="0" w:color="BFBFBF"/>
              <w:right w:val="single" w:sz="4" w:space="0" w:color="BFBFBF"/>
            </w:tcBorders>
            <w:shd w:val="clear" w:color="auto" w:fill="auto"/>
            <w:noWrap/>
            <w:vAlign w:val="bottom"/>
            <w:hideMark/>
          </w:tcPr>
          <w:p w14:paraId="0538890A" w14:textId="77777777" w:rsidR="00FC70F1" w:rsidRPr="00F31194" w:rsidRDefault="00FC70F1" w:rsidP="00FC70F1">
            <w:pPr>
              <w:jc w:val="right"/>
              <w:rPr>
                <w:b/>
                <w:bCs/>
                <w:sz w:val="14"/>
                <w:szCs w:val="14"/>
              </w:rPr>
            </w:pPr>
            <w:r w:rsidRPr="00F31194">
              <w:rPr>
                <w:b/>
                <w:bCs/>
                <w:sz w:val="14"/>
                <w:szCs w:val="14"/>
              </w:rPr>
              <w:t>4 639 545</w:t>
            </w:r>
          </w:p>
        </w:tc>
      </w:tr>
      <w:tr w:rsidR="00FC70F1" w:rsidRPr="00FC70F1" w14:paraId="0D0692DF"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166B71D5" w14:textId="77777777" w:rsidR="00FC70F1" w:rsidRPr="00F31194" w:rsidRDefault="00FC70F1" w:rsidP="00FC70F1">
            <w:pPr>
              <w:jc w:val="center"/>
              <w:rPr>
                <w:b/>
                <w:bCs/>
                <w:sz w:val="14"/>
                <w:szCs w:val="14"/>
              </w:rPr>
            </w:pPr>
            <w:r w:rsidRPr="00F31194">
              <w:rPr>
                <w:b/>
                <w:bCs/>
                <w:sz w:val="14"/>
                <w:szCs w:val="14"/>
              </w:rPr>
              <w:t>2023</w:t>
            </w:r>
          </w:p>
        </w:tc>
        <w:tc>
          <w:tcPr>
            <w:tcW w:w="862" w:type="dxa"/>
            <w:tcBorders>
              <w:top w:val="nil"/>
              <w:left w:val="nil"/>
              <w:bottom w:val="single" w:sz="4" w:space="0" w:color="BFBFBF"/>
              <w:right w:val="single" w:sz="4" w:space="0" w:color="BFBFBF"/>
            </w:tcBorders>
            <w:shd w:val="clear" w:color="000000" w:fill="FFFFFF"/>
            <w:noWrap/>
            <w:vAlign w:val="bottom"/>
            <w:hideMark/>
          </w:tcPr>
          <w:p w14:paraId="32FAB572" w14:textId="77777777" w:rsidR="00FC70F1" w:rsidRPr="00F31194" w:rsidRDefault="00FC70F1" w:rsidP="00FC70F1">
            <w:pPr>
              <w:jc w:val="right"/>
              <w:rPr>
                <w:sz w:val="14"/>
                <w:szCs w:val="14"/>
              </w:rPr>
            </w:pPr>
            <w:r w:rsidRPr="00F31194">
              <w:rPr>
                <w:sz w:val="14"/>
                <w:szCs w:val="14"/>
              </w:rPr>
              <w:t>3 025 213</w:t>
            </w:r>
          </w:p>
        </w:tc>
        <w:tc>
          <w:tcPr>
            <w:tcW w:w="916" w:type="dxa"/>
            <w:tcBorders>
              <w:top w:val="nil"/>
              <w:left w:val="nil"/>
              <w:bottom w:val="single" w:sz="4" w:space="0" w:color="BFBFBF"/>
              <w:right w:val="single" w:sz="4" w:space="0" w:color="BFBFBF"/>
            </w:tcBorders>
            <w:shd w:val="clear" w:color="000000" w:fill="FFFFFF"/>
            <w:noWrap/>
            <w:vAlign w:val="bottom"/>
            <w:hideMark/>
          </w:tcPr>
          <w:p w14:paraId="570FB1AD" w14:textId="77777777" w:rsidR="00FC70F1" w:rsidRPr="00F31194" w:rsidRDefault="00FC70F1" w:rsidP="00FC70F1">
            <w:pPr>
              <w:jc w:val="right"/>
              <w:rPr>
                <w:sz w:val="14"/>
                <w:szCs w:val="14"/>
              </w:rPr>
            </w:pPr>
            <w:r w:rsidRPr="00F31194">
              <w:rPr>
                <w:sz w:val="14"/>
                <w:szCs w:val="14"/>
              </w:rPr>
              <w:t>4 167 475</w:t>
            </w:r>
          </w:p>
        </w:tc>
        <w:tc>
          <w:tcPr>
            <w:tcW w:w="851" w:type="dxa"/>
            <w:tcBorders>
              <w:top w:val="nil"/>
              <w:left w:val="nil"/>
              <w:bottom w:val="single" w:sz="4" w:space="0" w:color="BFBFBF"/>
              <w:right w:val="single" w:sz="4" w:space="0" w:color="BFBFBF"/>
            </w:tcBorders>
            <w:shd w:val="clear" w:color="000000" w:fill="FFFFFF"/>
            <w:noWrap/>
            <w:vAlign w:val="bottom"/>
            <w:hideMark/>
          </w:tcPr>
          <w:p w14:paraId="10201CD5" w14:textId="77777777" w:rsidR="00FC70F1" w:rsidRPr="00F31194" w:rsidRDefault="00FC70F1" w:rsidP="00FC70F1">
            <w:pPr>
              <w:jc w:val="right"/>
              <w:rPr>
                <w:sz w:val="14"/>
                <w:szCs w:val="14"/>
              </w:rPr>
            </w:pPr>
            <w:r w:rsidRPr="00F31194">
              <w:rPr>
                <w:sz w:val="14"/>
                <w:szCs w:val="14"/>
              </w:rPr>
              <w:t>1 220 475</w:t>
            </w:r>
          </w:p>
        </w:tc>
        <w:tc>
          <w:tcPr>
            <w:tcW w:w="850" w:type="dxa"/>
            <w:tcBorders>
              <w:top w:val="nil"/>
              <w:left w:val="nil"/>
              <w:bottom w:val="single" w:sz="4" w:space="0" w:color="BFBFBF"/>
              <w:right w:val="single" w:sz="4" w:space="0" w:color="BFBFBF"/>
            </w:tcBorders>
            <w:shd w:val="clear" w:color="auto" w:fill="auto"/>
            <w:noWrap/>
            <w:vAlign w:val="bottom"/>
            <w:hideMark/>
          </w:tcPr>
          <w:p w14:paraId="3AFEC8D5" w14:textId="77777777" w:rsidR="00FC70F1" w:rsidRPr="00F31194" w:rsidRDefault="00FC70F1" w:rsidP="00FC70F1">
            <w:pPr>
              <w:jc w:val="right"/>
              <w:rPr>
                <w:b/>
                <w:bCs/>
                <w:sz w:val="14"/>
                <w:szCs w:val="14"/>
              </w:rPr>
            </w:pPr>
            <w:r w:rsidRPr="00F31194">
              <w:rPr>
                <w:b/>
                <w:bCs/>
                <w:sz w:val="14"/>
                <w:szCs w:val="14"/>
              </w:rPr>
              <w:t>5 387 950</w:t>
            </w:r>
          </w:p>
        </w:tc>
        <w:tc>
          <w:tcPr>
            <w:tcW w:w="862" w:type="dxa"/>
            <w:tcBorders>
              <w:top w:val="nil"/>
              <w:left w:val="nil"/>
              <w:bottom w:val="single" w:sz="4" w:space="0" w:color="BFBFBF"/>
              <w:right w:val="single" w:sz="4" w:space="0" w:color="BFBFBF"/>
            </w:tcBorders>
            <w:shd w:val="clear" w:color="auto" w:fill="auto"/>
            <w:noWrap/>
            <w:vAlign w:val="bottom"/>
            <w:hideMark/>
          </w:tcPr>
          <w:p w14:paraId="5B6B68B9" w14:textId="77777777" w:rsidR="00FC70F1" w:rsidRPr="00F31194" w:rsidRDefault="00FC70F1" w:rsidP="00FC70F1">
            <w:pPr>
              <w:jc w:val="right"/>
              <w:rPr>
                <w:sz w:val="14"/>
                <w:szCs w:val="14"/>
              </w:rPr>
            </w:pPr>
            <w:r w:rsidRPr="00F31194">
              <w:rPr>
                <w:sz w:val="14"/>
                <w:szCs w:val="14"/>
              </w:rPr>
              <w:t>1 268 013</w:t>
            </w:r>
          </w:p>
        </w:tc>
        <w:tc>
          <w:tcPr>
            <w:tcW w:w="839" w:type="dxa"/>
            <w:tcBorders>
              <w:top w:val="nil"/>
              <w:left w:val="nil"/>
              <w:bottom w:val="single" w:sz="4" w:space="0" w:color="BFBFBF"/>
              <w:right w:val="single" w:sz="4" w:space="0" w:color="BFBFBF"/>
            </w:tcBorders>
            <w:shd w:val="clear" w:color="auto" w:fill="auto"/>
            <w:noWrap/>
            <w:vAlign w:val="bottom"/>
            <w:hideMark/>
          </w:tcPr>
          <w:p w14:paraId="429D56C6" w14:textId="77777777" w:rsidR="00FC70F1" w:rsidRPr="00F31194" w:rsidRDefault="00FC70F1" w:rsidP="00FC70F1">
            <w:pPr>
              <w:jc w:val="right"/>
              <w:rPr>
                <w:sz w:val="14"/>
                <w:szCs w:val="14"/>
              </w:rPr>
            </w:pPr>
            <w:r w:rsidRPr="00F31194">
              <w:rPr>
                <w:sz w:val="14"/>
                <w:szCs w:val="14"/>
              </w:rPr>
              <w:t>2 462 425</w:t>
            </w:r>
          </w:p>
        </w:tc>
        <w:tc>
          <w:tcPr>
            <w:tcW w:w="851" w:type="dxa"/>
            <w:tcBorders>
              <w:top w:val="nil"/>
              <w:left w:val="nil"/>
              <w:bottom w:val="single" w:sz="4" w:space="0" w:color="BFBFBF"/>
              <w:right w:val="single" w:sz="4" w:space="0" w:color="BFBFBF"/>
            </w:tcBorders>
            <w:shd w:val="clear" w:color="auto" w:fill="auto"/>
            <w:noWrap/>
            <w:vAlign w:val="bottom"/>
            <w:hideMark/>
          </w:tcPr>
          <w:p w14:paraId="2916D468" w14:textId="77777777" w:rsidR="00FC70F1" w:rsidRPr="00F31194" w:rsidRDefault="00FC70F1" w:rsidP="00FC70F1">
            <w:pPr>
              <w:jc w:val="right"/>
              <w:rPr>
                <w:sz w:val="14"/>
                <w:szCs w:val="14"/>
              </w:rPr>
            </w:pPr>
            <w:r w:rsidRPr="00F31194">
              <w:rPr>
                <w:sz w:val="14"/>
                <w:szCs w:val="14"/>
              </w:rPr>
              <w:t>1 577 164</w:t>
            </w:r>
          </w:p>
        </w:tc>
        <w:tc>
          <w:tcPr>
            <w:tcW w:w="850" w:type="dxa"/>
            <w:tcBorders>
              <w:top w:val="nil"/>
              <w:left w:val="nil"/>
              <w:bottom w:val="single" w:sz="4" w:space="0" w:color="BFBFBF"/>
              <w:right w:val="single" w:sz="4" w:space="0" w:color="BFBFBF"/>
            </w:tcBorders>
            <w:shd w:val="clear" w:color="auto" w:fill="auto"/>
            <w:noWrap/>
            <w:vAlign w:val="bottom"/>
            <w:hideMark/>
          </w:tcPr>
          <w:p w14:paraId="6BDF5187" w14:textId="77777777" w:rsidR="00FC70F1" w:rsidRPr="00F31194" w:rsidRDefault="00FC70F1" w:rsidP="00FC70F1">
            <w:pPr>
              <w:jc w:val="right"/>
              <w:rPr>
                <w:b/>
                <w:bCs/>
                <w:sz w:val="14"/>
                <w:szCs w:val="14"/>
              </w:rPr>
            </w:pPr>
            <w:r w:rsidRPr="00F31194">
              <w:rPr>
                <w:b/>
                <w:bCs/>
                <w:sz w:val="14"/>
                <w:szCs w:val="14"/>
              </w:rPr>
              <w:t>4 039 589</w:t>
            </w:r>
          </w:p>
        </w:tc>
        <w:tc>
          <w:tcPr>
            <w:tcW w:w="862" w:type="dxa"/>
            <w:tcBorders>
              <w:top w:val="nil"/>
              <w:left w:val="nil"/>
              <w:bottom w:val="single" w:sz="4" w:space="0" w:color="BFBFBF"/>
              <w:right w:val="single" w:sz="4" w:space="0" w:color="BFBFBF"/>
            </w:tcBorders>
            <w:shd w:val="clear" w:color="auto" w:fill="auto"/>
            <w:noWrap/>
            <w:vAlign w:val="bottom"/>
            <w:hideMark/>
          </w:tcPr>
          <w:p w14:paraId="71478746" w14:textId="77777777" w:rsidR="00FC70F1" w:rsidRPr="00F31194" w:rsidRDefault="00FC70F1" w:rsidP="00FC70F1">
            <w:pPr>
              <w:jc w:val="right"/>
              <w:rPr>
                <w:sz w:val="14"/>
                <w:szCs w:val="14"/>
              </w:rPr>
            </w:pPr>
            <w:r w:rsidRPr="00F31194">
              <w:rPr>
                <w:sz w:val="14"/>
                <w:szCs w:val="14"/>
              </w:rPr>
              <w:t>1 757 200</w:t>
            </w:r>
          </w:p>
        </w:tc>
        <w:tc>
          <w:tcPr>
            <w:tcW w:w="839" w:type="dxa"/>
            <w:tcBorders>
              <w:top w:val="nil"/>
              <w:left w:val="nil"/>
              <w:bottom w:val="single" w:sz="4" w:space="0" w:color="BFBFBF"/>
              <w:right w:val="single" w:sz="4" w:space="0" w:color="BFBFBF"/>
            </w:tcBorders>
            <w:shd w:val="clear" w:color="auto" w:fill="auto"/>
            <w:noWrap/>
            <w:vAlign w:val="bottom"/>
            <w:hideMark/>
          </w:tcPr>
          <w:p w14:paraId="601D8389" w14:textId="77777777" w:rsidR="00FC70F1" w:rsidRPr="00F31194" w:rsidRDefault="00FC70F1" w:rsidP="00FC70F1">
            <w:pPr>
              <w:jc w:val="right"/>
              <w:rPr>
                <w:sz w:val="14"/>
                <w:szCs w:val="14"/>
              </w:rPr>
            </w:pPr>
            <w:r w:rsidRPr="00F31194">
              <w:rPr>
                <w:sz w:val="14"/>
                <w:szCs w:val="14"/>
              </w:rPr>
              <w:t>1 705 050</w:t>
            </w:r>
          </w:p>
        </w:tc>
        <w:tc>
          <w:tcPr>
            <w:tcW w:w="851" w:type="dxa"/>
            <w:tcBorders>
              <w:top w:val="nil"/>
              <w:left w:val="nil"/>
              <w:bottom w:val="single" w:sz="4" w:space="0" w:color="BFBFBF"/>
              <w:right w:val="single" w:sz="4" w:space="0" w:color="BFBFBF"/>
            </w:tcBorders>
            <w:shd w:val="clear" w:color="auto" w:fill="auto"/>
            <w:noWrap/>
            <w:vAlign w:val="bottom"/>
            <w:hideMark/>
          </w:tcPr>
          <w:p w14:paraId="674C0964" w14:textId="77777777" w:rsidR="00FC70F1" w:rsidRPr="00F31194" w:rsidRDefault="00FC70F1" w:rsidP="00FC70F1">
            <w:pPr>
              <w:jc w:val="right"/>
              <w:rPr>
                <w:sz w:val="14"/>
                <w:szCs w:val="14"/>
              </w:rPr>
            </w:pPr>
            <w:r w:rsidRPr="00F31194">
              <w:rPr>
                <w:sz w:val="14"/>
                <w:szCs w:val="14"/>
              </w:rPr>
              <w:t>-356 689</w:t>
            </w:r>
          </w:p>
        </w:tc>
        <w:tc>
          <w:tcPr>
            <w:tcW w:w="850" w:type="dxa"/>
            <w:tcBorders>
              <w:top w:val="nil"/>
              <w:left w:val="nil"/>
              <w:bottom w:val="single" w:sz="4" w:space="0" w:color="BFBFBF"/>
              <w:right w:val="single" w:sz="4" w:space="0" w:color="BFBFBF"/>
            </w:tcBorders>
            <w:shd w:val="clear" w:color="auto" w:fill="auto"/>
            <w:noWrap/>
            <w:vAlign w:val="bottom"/>
            <w:hideMark/>
          </w:tcPr>
          <w:p w14:paraId="6B112D5F" w14:textId="77777777" w:rsidR="00FC70F1" w:rsidRPr="00F31194" w:rsidRDefault="00FC70F1" w:rsidP="00FC70F1">
            <w:pPr>
              <w:jc w:val="right"/>
              <w:rPr>
                <w:b/>
                <w:bCs/>
                <w:sz w:val="14"/>
                <w:szCs w:val="14"/>
              </w:rPr>
            </w:pPr>
            <w:r w:rsidRPr="00F31194">
              <w:rPr>
                <w:b/>
                <w:bCs/>
                <w:sz w:val="14"/>
                <w:szCs w:val="14"/>
              </w:rPr>
              <w:t>1 348 361</w:t>
            </w:r>
          </w:p>
        </w:tc>
      </w:tr>
      <w:tr w:rsidR="00FC70F1" w:rsidRPr="00FC70F1" w14:paraId="488D7F6F"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503D2424" w14:textId="77777777" w:rsidR="00FC70F1" w:rsidRPr="00F31194" w:rsidRDefault="00FC70F1" w:rsidP="00FC70F1">
            <w:pPr>
              <w:jc w:val="center"/>
              <w:rPr>
                <w:b/>
                <w:bCs/>
                <w:sz w:val="14"/>
                <w:szCs w:val="14"/>
              </w:rPr>
            </w:pPr>
            <w:r w:rsidRPr="00F31194">
              <w:rPr>
                <w:b/>
                <w:bCs/>
                <w:sz w:val="14"/>
                <w:szCs w:val="14"/>
              </w:rPr>
              <w:t>2024</w:t>
            </w:r>
          </w:p>
        </w:tc>
        <w:tc>
          <w:tcPr>
            <w:tcW w:w="862" w:type="dxa"/>
            <w:tcBorders>
              <w:top w:val="nil"/>
              <w:left w:val="nil"/>
              <w:bottom w:val="single" w:sz="4" w:space="0" w:color="BFBFBF"/>
              <w:right w:val="single" w:sz="4" w:space="0" w:color="BFBFBF"/>
            </w:tcBorders>
            <w:shd w:val="clear" w:color="000000" w:fill="FFFFFF"/>
            <w:noWrap/>
            <w:vAlign w:val="bottom"/>
            <w:hideMark/>
          </w:tcPr>
          <w:p w14:paraId="54A05C95"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270CA25D" w14:textId="77777777" w:rsidR="00FC70F1" w:rsidRPr="00F31194" w:rsidRDefault="00FC70F1" w:rsidP="00FC70F1">
            <w:pPr>
              <w:jc w:val="right"/>
              <w:rPr>
                <w:sz w:val="14"/>
                <w:szCs w:val="14"/>
              </w:rPr>
            </w:pPr>
            <w:r w:rsidRPr="00F31194">
              <w:rPr>
                <w:sz w:val="14"/>
                <w:szCs w:val="14"/>
              </w:rPr>
              <w:t>2 976 768</w:t>
            </w:r>
          </w:p>
        </w:tc>
        <w:tc>
          <w:tcPr>
            <w:tcW w:w="851" w:type="dxa"/>
            <w:tcBorders>
              <w:top w:val="nil"/>
              <w:left w:val="nil"/>
              <w:bottom w:val="single" w:sz="4" w:space="0" w:color="BFBFBF"/>
              <w:right w:val="single" w:sz="4" w:space="0" w:color="BFBFBF"/>
            </w:tcBorders>
            <w:shd w:val="clear" w:color="000000" w:fill="FFFFFF"/>
            <w:noWrap/>
            <w:vAlign w:val="bottom"/>
            <w:hideMark/>
          </w:tcPr>
          <w:p w14:paraId="2ABD8248" w14:textId="77777777" w:rsidR="00FC70F1" w:rsidRPr="00F31194" w:rsidRDefault="00FC70F1" w:rsidP="00FC70F1">
            <w:pPr>
              <w:jc w:val="right"/>
              <w:rPr>
                <w:sz w:val="14"/>
                <w:szCs w:val="14"/>
              </w:rPr>
            </w:pPr>
            <w:r w:rsidRPr="00F31194">
              <w:rPr>
                <w:sz w:val="14"/>
                <w:szCs w:val="14"/>
              </w:rPr>
              <w:t>1 488 384</w:t>
            </w:r>
          </w:p>
        </w:tc>
        <w:tc>
          <w:tcPr>
            <w:tcW w:w="850" w:type="dxa"/>
            <w:tcBorders>
              <w:top w:val="nil"/>
              <w:left w:val="nil"/>
              <w:bottom w:val="single" w:sz="4" w:space="0" w:color="BFBFBF"/>
              <w:right w:val="single" w:sz="4" w:space="0" w:color="BFBFBF"/>
            </w:tcBorders>
            <w:shd w:val="clear" w:color="auto" w:fill="auto"/>
            <w:noWrap/>
            <w:vAlign w:val="bottom"/>
            <w:hideMark/>
          </w:tcPr>
          <w:p w14:paraId="433BDC59" w14:textId="77777777" w:rsidR="00FC70F1" w:rsidRPr="00F31194" w:rsidRDefault="00FC70F1" w:rsidP="00FC70F1">
            <w:pPr>
              <w:jc w:val="right"/>
              <w:rPr>
                <w:b/>
                <w:bCs/>
                <w:sz w:val="14"/>
                <w:szCs w:val="14"/>
              </w:rPr>
            </w:pPr>
            <w:r w:rsidRPr="00F31194">
              <w:rPr>
                <w:b/>
                <w:bCs/>
                <w:sz w:val="14"/>
                <w:szCs w:val="14"/>
              </w:rPr>
              <w:t>4 465 152</w:t>
            </w:r>
          </w:p>
        </w:tc>
        <w:tc>
          <w:tcPr>
            <w:tcW w:w="862" w:type="dxa"/>
            <w:tcBorders>
              <w:top w:val="nil"/>
              <w:left w:val="nil"/>
              <w:bottom w:val="single" w:sz="4" w:space="0" w:color="BFBFBF"/>
              <w:right w:val="single" w:sz="4" w:space="0" w:color="BFBFBF"/>
            </w:tcBorders>
            <w:shd w:val="clear" w:color="auto" w:fill="auto"/>
            <w:noWrap/>
            <w:vAlign w:val="bottom"/>
            <w:hideMark/>
          </w:tcPr>
          <w:p w14:paraId="6A811427"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74EF037E" w14:textId="77777777" w:rsidR="00FC70F1" w:rsidRPr="00F31194" w:rsidRDefault="00FC70F1" w:rsidP="00FC70F1">
            <w:pPr>
              <w:jc w:val="right"/>
              <w:rPr>
                <w:sz w:val="14"/>
                <w:szCs w:val="14"/>
              </w:rPr>
            </w:pPr>
            <w:r w:rsidRPr="00F31194">
              <w:rPr>
                <w:sz w:val="14"/>
                <w:szCs w:val="14"/>
              </w:rPr>
              <w:t>1 928 225</w:t>
            </w:r>
          </w:p>
        </w:tc>
        <w:tc>
          <w:tcPr>
            <w:tcW w:w="851" w:type="dxa"/>
            <w:tcBorders>
              <w:top w:val="nil"/>
              <w:left w:val="nil"/>
              <w:bottom w:val="single" w:sz="4" w:space="0" w:color="BFBFBF"/>
              <w:right w:val="single" w:sz="4" w:space="0" w:color="BFBFBF"/>
            </w:tcBorders>
            <w:shd w:val="clear" w:color="auto" w:fill="auto"/>
            <w:noWrap/>
            <w:vAlign w:val="bottom"/>
            <w:hideMark/>
          </w:tcPr>
          <w:p w14:paraId="1065E51F" w14:textId="77777777" w:rsidR="00FC70F1" w:rsidRPr="00F31194" w:rsidRDefault="00FC70F1" w:rsidP="00FC70F1">
            <w:pPr>
              <w:jc w:val="right"/>
              <w:rPr>
                <w:sz w:val="14"/>
                <w:szCs w:val="14"/>
              </w:rPr>
            </w:pPr>
            <w:r w:rsidRPr="00F31194">
              <w:rPr>
                <w:sz w:val="14"/>
                <w:szCs w:val="14"/>
              </w:rPr>
              <w:t>1 769 819</w:t>
            </w:r>
          </w:p>
        </w:tc>
        <w:tc>
          <w:tcPr>
            <w:tcW w:w="850" w:type="dxa"/>
            <w:tcBorders>
              <w:top w:val="nil"/>
              <w:left w:val="nil"/>
              <w:bottom w:val="single" w:sz="4" w:space="0" w:color="BFBFBF"/>
              <w:right w:val="single" w:sz="4" w:space="0" w:color="BFBFBF"/>
            </w:tcBorders>
            <w:shd w:val="clear" w:color="auto" w:fill="auto"/>
            <w:noWrap/>
            <w:vAlign w:val="bottom"/>
            <w:hideMark/>
          </w:tcPr>
          <w:p w14:paraId="3013A2EA" w14:textId="77777777" w:rsidR="00FC70F1" w:rsidRPr="00F31194" w:rsidRDefault="00FC70F1" w:rsidP="00FC70F1">
            <w:pPr>
              <w:jc w:val="right"/>
              <w:rPr>
                <w:b/>
                <w:bCs/>
                <w:sz w:val="14"/>
                <w:szCs w:val="14"/>
              </w:rPr>
            </w:pPr>
            <w:r w:rsidRPr="00F31194">
              <w:rPr>
                <w:b/>
                <w:bCs/>
                <w:sz w:val="14"/>
                <w:szCs w:val="14"/>
              </w:rPr>
              <w:t>3 698 044</w:t>
            </w:r>
          </w:p>
        </w:tc>
        <w:tc>
          <w:tcPr>
            <w:tcW w:w="862" w:type="dxa"/>
            <w:tcBorders>
              <w:top w:val="nil"/>
              <w:left w:val="nil"/>
              <w:bottom w:val="single" w:sz="4" w:space="0" w:color="BFBFBF"/>
              <w:right w:val="single" w:sz="4" w:space="0" w:color="BFBFBF"/>
            </w:tcBorders>
            <w:shd w:val="clear" w:color="auto" w:fill="auto"/>
            <w:noWrap/>
            <w:vAlign w:val="bottom"/>
            <w:hideMark/>
          </w:tcPr>
          <w:p w14:paraId="7C5DBDE0"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334A3688" w14:textId="77777777" w:rsidR="00FC70F1" w:rsidRPr="00F31194" w:rsidRDefault="00FC70F1" w:rsidP="00FC70F1">
            <w:pPr>
              <w:jc w:val="right"/>
              <w:rPr>
                <w:sz w:val="14"/>
                <w:szCs w:val="14"/>
              </w:rPr>
            </w:pPr>
            <w:r w:rsidRPr="00F31194">
              <w:rPr>
                <w:sz w:val="14"/>
                <w:szCs w:val="14"/>
              </w:rPr>
              <w:t>1 048 543</w:t>
            </w:r>
          </w:p>
        </w:tc>
        <w:tc>
          <w:tcPr>
            <w:tcW w:w="851" w:type="dxa"/>
            <w:tcBorders>
              <w:top w:val="nil"/>
              <w:left w:val="nil"/>
              <w:bottom w:val="single" w:sz="4" w:space="0" w:color="BFBFBF"/>
              <w:right w:val="single" w:sz="4" w:space="0" w:color="BFBFBF"/>
            </w:tcBorders>
            <w:shd w:val="clear" w:color="auto" w:fill="auto"/>
            <w:noWrap/>
            <w:vAlign w:val="bottom"/>
            <w:hideMark/>
          </w:tcPr>
          <w:p w14:paraId="411AD87F" w14:textId="77777777" w:rsidR="00FC70F1" w:rsidRPr="00F31194" w:rsidRDefault="00FC70F1" w:rsidP="00FC70F1">
            <w:pPr>
              <w:jc w:val="right"/>
              <w:rPr>
                <w:sz w:val="14"/>
                <w:szCs w:val="14"/>
              </w:rPr>
            </w:pPr>
            <w:r w:rsidRPr="00F31194">
              <w:rPr>
                <w:sz w:val="14"/>
                <w:szCs w:val="14"/>
              </w:rPr>
              <w:t>-281 435</w:t>
            </w:r>
          </w:p>
        </w:tc>
        <w:tc>
          <w:tcPr>
            <w:tcW w:w="850" w:type="dxa"/>
            <w:tcBorders>
              <w:top w:val="nil"/>
              <w:left w:val="nil"/>
              <w:bottom w:val="single" w:sz="4" w:space="0" w:color="BFBFBF"/>
              <w:right w:val="single" w:sz="4" w:space="0" w:color="BFBFBF"/>
            </w:tcBorders>
            <w:shd w:val="clear" w:color="auto" w:fill="auto"/>
            <w:noWrap/>
            <w:vAlign w:val="bottom"/>
            <w:hideMark/>
          </w:tcPr>
          <w:p w14:paraId="3DF058DA" w14:textId="77777777" w:rsidR="00FC70F1" w:rsidRPr="00F31194" w:rsidRDefault="00FC70F1" w:rsidP="00FC70F1">
            <w:pPr>
              <w:jc w:val="right"/>
              <w:rPr>
                <w:b/>
                <w:bCs/>
                <w:sz w:val="14"/>
                <w:szCs w:val="14"/>
              </w:rPr>
            </w:pPr>
            <w:r w:rsidRPr="00F31194">
              <w:rPr>
                <w:b/>
                <w:bCs/>
                <w:sz w:val="14"/>
                <w:szCs w:val="14"/>
              </w:rPr>
              <w:t>767 108</w:t>
            </w:r>
          </w:p>
        </w:tc>
      </w:tr>
      <w:tr w:rsidR="00FC70F1" w:rsidRPr="00FC70F1" w14:paraId="717D0007"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775E8FCD" w14:textId="77777777" w:rsidR="00FC70F1" w:rsidRPr="00F31194" w:rsidRDefault="00FC70F1" w:rsidP="00FC70F1">
            <w:pPr>
              <w:jc w:val="center"/>
              <w:rPr>
                <w:b/>
                <w:bCs/>
                <w:sz w:val="14"/>
                <w:szCs w:val="14"/>
              </w:rPr>
            </w:pPr>
            <w:r w:rsidRPr="00F31194">
              <w:rPr>
                <w:b/>
                <w:bCs/>
                <w:sz w:val="14"/>
                <w:szCs w:val="14"/>
              </w:rPr>
              <w:t>2025</w:t>
            </w:r>
          </w:p>
        </w:tc>
        <w:tc>
          <w:tcPr>
            <w:tcW w:w="862" w:type="dxa"/>
            <w:tcBorders>
              <w:top w:val="nil"/>
              <w:left w:val="nil"/>
              <w:bottom w:val="single" w:sz="4" w:space="0" w:color="BFBFBF"/>
              <w:right w:val="single" w:sz="4" w:space="0" w:color="BFBFBF"/>
            </w:tcBorders>
            <w:shd w:val="clear" w:color="000000" w:fill="FFFFFF"/>
            <w:noWrap/>
            <w:vAlign w:val="bottom"/>
            <w:hideMark/>
          </w:tcPr>
          <w:p w14:paraId="01BF9A72"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2E94BB57" w14:textId="77777777" w:rsidR="00FC70F1" w:rsidRPr="00F31194" w:rsidRDefault="00FC70F1" w:rsidP="00FC70F1">
            <w:pPr>
              <w:jc w:val="right"/>
              <w:rPr>
                <w:sz w:val="14"/>
                <w:szCs w:val="14"/>
              </w:rPr>
            </w:pPr>
            <w:r w:rsidRPr="00F31194">
              <w:rPr>
                <w:sz w:val="14"/>
                <w:szCs w:val="14"/>
              </w:rPr>
              <w:t>1 984 512</w:t>
            </w:r>
          </w:p>
        </w:tc>
        <w:tc>
          <w:tcPr>
            <w:tcW w:w="851" w:type="dxa"/>
            <w:tcBorders>
              <w:top w:val="nil"/>
              <w:left w:val="nil"/>
              <w:bottom w:val="single" w:sz="4" w:space="0" w:color="BFBFBF"/>
              <w:right w:val="single" w:sz="4" w:space="0" w:color="BFBFBF"/>
            </w:tcBorders>
            <w:shd w:val="clear" w:color="000000" w:fill="FFFFFF"/>
            <w:noWrap/>
            <w:vAlign w:val="bottom"/>
            <w:hideMark/>
          </w:tcPr>
          <w:p w14:paraId="1AE3CDBB" w14:textId="77777777" w:rsidR="00FC70F1" w:rsidRPr="00F31194" w:rsidRDefault="00FC70F1" w:rsidP="00FC70F1">
            <w:pPr>
              <w:jc w:val="right"/>
              <w:rPr>
                <w:sz w:val="14"/>
                <w:szCs w:val="14"/>
              </w:rPr>
            </w:pPr>
            <w:r w:rsidRPr="00F31194">
              <w:rPr>
                <w:sz w:val="14"/>
                <w:szCs w:val="14"/>
              </w:rPr>
              <w:t>1 488 384</w:t>
            </w:r>
          </w:p>
        </w:tc>
        <w:tc>
          <w:tcPr>
            <w:tcW w:w="850" w:type="dxa"/>
            <w:tcBorders>
              <w:top w:val="nil"/>
              <w:left w:val="nil"/>
              <w:bottom w:val="single" w:sz="4" w:space="0" w:color="BFBFBF"/>
              <w:right w:val="single" w:sz="4" w:space="0" w:color="BFBFBF"/>
            </w:tcBorders>
            <w:shd w:val="clear" w:color="auto" w:fill="auto"/>
            <w:noWrap/>
            <w:vAlign w:val="bottom"/>
            <w:hideMark/>
          </w:tcPr>
          <w:p w14:paraId="3058303D" w14:textId="77777777" w:rsidR="00FC70F1" w:rsidRPr="00F31194" w:rsidRDefault="00FC70F1" w:rsidP="00FC70F1">
            <w:pPr>
              <w:jc w:val="right"/>
              <w:rPr>
                <w:b/>
                <w:bCs/>
                <w:sz w:val="14"/>
                <w:szCs w:val="14"/>
              </w:rPr>
            </w:pPr>
            <w:r w:rsidRPr="00F31194">
              <w:rPr>
                <w:b/>
                <w:bCs/>
                <w:sz w:val="14"/>
                <w:szCs w:val="14"/>
              </w:rPr>
              <w:t>3 472 896</w:t>
            </w:r>
          </w:p>
        </w:tc>
        <w:tc>
          <w:tcPr>
            <w:tcW w:w="862" w:type="dxa"/>
            <w:tcBorders>
              <w:top w:val="nil"/>
              <w:left w:val="nil"/>
              <w:bottom w:val="single" w:sz="4" w:space="0" w:color="BFBFBF"/>
              <w:right w:val="single" w:sz="4" w:space="0" w:color="BFBFBF"/>
            </w:tcBorders>
            <w:shd w:val="clear" w:color="auto" w:fill="auto"/>
            <w:noWrap/>
            <w:vAlign w:val="bottom"/>
            <w:hideMark/>
          </w:tcPr>
          <w:p w14:paraId="423F5B91"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13A8A77D" w14:textId="77777777" w:rsidR="00FC70F1" w:rsidRPr="00F31194" w:rsidRDefault="00FC70F1" w:rsidP="00FC70F1">
            <w:pPr>
              <w:jc w:val="right"/>
              <w:rPr>
                <w:sz w:val="14"/>
                <w:szCs w:val="14"/>
              </w:rPr>
            </w:pPr>
            <w:r w:rsidRPr="00F31194">
              <w:rPr>
                <w:sz w:val="14"/>
                <w:szCs w:val="14"/>
              </w:rPr>
              <w:t>1 483 053</w:t>
            </w:r>
          </w:p>
        </w:tc>
        <w:tc>
          <w:tcPr>
            <w:tcW w:w="851" w:type="dxa"/>
            <w:tcBorders>
              <w:top w:val="nil"/>
              <w:left w:val="nil"/>
              <w:bottom w:val="single" w:sz="4" w:space="0" w:color="BFBFBF"/>
              <w:right w:val="single" w:sz="4" w:space="0" w:color="BFBFBF"/>
            </w:tcBorders>
            <w:shd w:val="clear" w:color="auto" w:fill="auto"/>
            <w:noWrap/>
            <w:vAlign w:val="bottom"/>
            <w:hideMark/>
          </w:tcPr>
          <w:p w14:paraId="482E29C5" w14:textId="77777777" w:rsidR="00FC70F1" w:rsidRPr="00F31194" w:rsidRDefault="00FC70F1" w:rsidP="00FC70F1">
            <w:pPr>
              <w:jc w:val="right"/>
              <w:rPr>
                <w:sz w:val="14"/>
                <w:szCs w:val="14"/>
              </w:rPr>
            </w:pPr>
            <w:r w:rsidRPr="00F31194">
              <w:rPr>
                <w:sz w:val="14"/>
                <w:szCs w:val="14"/>
              </w:rPr>
              <w:t>1 769 819</w:t>
            </w:r>
          </w:p>
        </w:tc>
        <w:tc>
          <w:tcPr>
            <w:tcW w:w="850" w:type="dxa"/>
            <w:tcBorders>
              <w:top w:val="nil"/>
              <w:left w:val="nil"/>
              <w:bottom w:val="single" w:sz="4" w:space="0" w:color="BFBFBF"/>
              <w:right w:val="single" w:sz="4" w:space="0" w:color="BFBFBF"/>
            </w:tcBorders>
            <w:shd w:val="clear" w:color="auto" w:fill="auto"/>
            <w:noWrap/>
            <w:vAlign w:val="bottom"/>
            <w:hideMark/>
          </w:tcPr>
          <w:p w14:paraId="2E054FB9" w14:textId="77777777" w:rsidR="00FC70F1" w:rsidRPr="00F31194" w:rsidRDefault="00FC70F1" w:rsidP="00FC70F1">
            <w:pPr>
              <w:jc w:val="right"/>
              <w:rPr>
                <w:b/>
                <w:bCs/>
                <w:sz w:val="14"/>
                <w:szCs w:val="14"/>
              </w:rPr>
            </w:pPr>
            <w:r w:rsidRPr="00F31194">
              <w:rPr>
                <w:b/>
                <w:bCs/>
                <w:sz w:val="14"/>
                <w:szCs w:val="14"/>
              </w:rPr>
              <w:t>3 252 872</w:t>
            </w:r>
          </w:p>
        </w:tc>
        <w:tc>
          <w:tcPr>
            <w:tcW w:w="862" w:type="dxa"/>
            <w:tcBorders>
              <w:top w:val="nil"/>
              <w:left w:val="nil"/>
              <w:bottom w:val="single" w:sz="4" w:space="0" w:color="BFBFBF"/>
              <w:right w:val="single" w:sz="4" w:space="0" w:color="BFBFBF"/>
            </w:tcBorders>
            <w:shd w:val="clear" w:color="auto" w:fill="auto"/>
            <w:noWrap/>
            <w:vAlign w:val="bottom"/>
            <w:hideMark/>
          </w:tcPr>
          <w:p w14:paraId="1CD027ED"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78988004" w14:textId="77777777" w:rsidR="00FC70F1" w:rsidRPr="00F31194" w:rsidRDefault="00FC70F1" w:rsidP="00FC70F1">
            <w:pPr>
              <w:jc w:val="right"/>
              <w:rPr>
                <w:sz w:val="14"/>
                <w:szCs w:val="14"/>
              </w:rPr>
            </w:pPr>
            <w:r w:rsidRPr="00F31194">
              <w:rPr>
                <w:sz w:val="14"/>
                <w:szCs w:val="14"/>
              </w:rPr>
              <w:t>501 459</w:t>
            </w:r>
          </w:p>
        </w:tc>
        <w:tc>
          <w:tcPr>
            <w:tcW w:w="851" w:type="dxa"/>
            <w:tcBorders>
              <w:top w:val="nil"/>
              <w:left w:val="nil"/>
              <w:bottom w:val="single" w:sz="4" w:space="0" w:color="BFBFBF"/>
              <w:right w:val="single" w:sz="4" w:space="0" w:color="BFBFBF"/>
            </w:tcBorders>
            <w:shd w:val="clear" w:color="auto" w:fill="auto"/>
            <w:noWrap/>
            <w:vAlign w:val="bottom"/>
            <w:hideMark/>
          </w:tcPr>
          <w:p w14:paraId="0D742041" w14:textId="77777777" w:rsidR="00FC70F1" w:rsidRPr="00F31194" w:rsidRDefault="00FC70F1" w:rsidP="00FC70F1">
            <w:pPr>
              <w:jc w:val="right"/>
              <w:rPr>
                <w:sz w:val="14"/>
                <w:szCs w:val="14"/>
              </w:rPr>
            </w:pPr>
            <w:r w:rsidRPr="00F31194">
              <w:rPr>
                <w:sz w:val="14"/>
                <w:szCs w:val="14"/>
              </w:rPr>
              <w:t>-281 435</w:t>
            </w:r>
          </w:p>
        </w:tc>
        <w:tc>
          <w:tcPr>
            <w:tcW w:w="850" w:type="dxa"/>
            <w:tcBorders>
              <w:top w:val="nil"/>
              <w:left w:val="nil"/>
              <w:bottom w:val="single" w:sz="4" w:space="0" w:color="BFBFBF"/>
              <w:right w:val="single" w:sz="4" w:space="0" w:color="BFBFBF"/>
            </w:tcBorders>
            <w:shd w:val="clear" w:color="auto" w:fill="auto"/>
            <w:noWrap/>
            <w:vAlign w:val="bottom"/>
            <w:hideMark/>
          </w:tcPr>
          <w:p w14:paraId="3B060866" w14:textId="77777777" w:rsidR="00FC70F1" w:rsidRPr="00F31194" w:rsidRDefault="00FC70F1" w:rsidP="00FC70F1">
            <w:pPr>
              <w:jc w:val="right"/>
              <w:rPr>
                <w:b/>
                <w:bCs/>
                <w:sz w:val="14"/>
                <w:szCs w:val="14"/>
              </w:rPr>
            </w:pPr>
            <w:r w:rsidRPr="00F31194">
              <w:rPr>
                <w:b/>
                <w:bCs/>
                <w:sz w:val="14"/>
                <w:szCs w:val="14"/>
              </w:rPr>
              <w:t>220 024</w:t>
            </w:r>
          </w:p>
        </w:tc>
      </w:tr>
      <w:tr w:rsidR="00FC70F1" w:rsidRPr="00FC70F1" w14:paraId="2698E3D8"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6376F79D" w14:textId="77777777" w:rsidR="00FC70F1" w:rsidRPr="00F31194" w:rsidRDefault="00FC70F1" w:rsidP="00FC70F1">
            <w:pPr>
              <w:jc w:val="center"/>
              <w:rPr>
                <w:b/>
                <w:bCs/>
                <w:sz w:val="14"/>
                <w:szCs w:val="14"/>
              </w:rPr>
            </w:pPr>
            <w:r w:rsidRPr="00F31194">
              <w:rPr>
                <w:b/>
                <w:bCs/>
                <w:sz w:val="14"/>
                <w:szCs w:val="14"/>
              </w:rPr>
              <w:t>2026</w:t>
            </w:r>
          </w:p>
        </w:tc>
        <w:tc>
          <w:tcPr>
            <w:tcW w:w="862" w:type="dxa"/>
            <w:tcBorders>
              <w:top w:val="nil"/>
              <w:left w:val="nil"/>
              <w:bottom w:val="single" w:sz="4" w:space="0" w:color="BFBFBF"/>
              <w:right w:val="single" w:sz="4" w:space="0" w:color="BFBFBF"/>
            </w:tcBorders>
            <w:shd w:val="clear" w:color="000000" w:fill="FFFFFF"/>
            <w:noWrap/>
            <w:vAlign w:val="bottom"/>
            <w:hideMark/>
          </w:tcPr>
          <w:p w14:paraId="6606319A"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16A9CC8C"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000000" w:fill="FFFFFF"/>
            <w:noWrap/>
            <w:vAlign w:val="bottom"/>
            <w:hideMark/>
          </w:tcPr>
          <w:p w14:paraId="0B18C40B" w14:textId="77777777" w:rsidR="00FC70F1" w:rsidRPr="00F31194" w:rsidRDefault="00FC70F1" w:rsidP="00FC70F1">
            <w:pPr>
              <w:jc w:val="right"/>
              <w:rPr>
                <w:sz w:val="14"/>
                <w:szCs w:val="14"/>
              </w:rPr>
            </w:pPr>
            <w:r w:rsidRPr="00F31194">
              <w:rPr>
                <w:sz w:val="14"/>
                <w:szCs w:val="14"/>
              </w:rPr>
              <w:t>1 488 384</w:t>
            </w:r>
          </w:p>
        </w:tc>
        <w:tc>
          <w:tcPr>
            <w:tcW w:w="850" w:type="dxa"/>
            <w:tcBorders>
              <w:top w:val="nil"/>
              <w:left w:val="nil"/>
              <w:bottom w:val="single" w:sz="4" w:space="0" w:color="BFBFBF"/>
              <w:right w:val="single" w:sz="4" w:space="0" w:color="BFBFBF"/>
            </w:tcBorders>
            <w:shd w:val="clear" w:color="auto" w:fill="auto"/>
            <w:noWrap/>
            <w:vAlign w:val="bottom"/>
            <w:hideMark/>
          </w:tcPr>
          <w:p w14:paraId="5025A1C7" w14:textId="77777777" w:rsidR="00FC70F1" w:rsidRPr="00F31194" w:rsidRDefault="00FC70F1" w:rsidP="00FC70F1">
            <w:pPr>
              <w:jc w:val="right"/>
              <w:rPr>
                <w:b/>
                <w:bCs/>
                <w:sz w:val="14"/>
                <w:szCs w:val="14"/>
              </w:rPr>
            </w:pPr>
            <w:r w:rsidRPr="00F31194">
              <w:rPr>
                <w:b/>
                <w:bCs/>
                <w:sz w:val="14"/>
                <w:szCs w:val="14"/>
              </w:rPr>
              <w:t>1 488 384</w:t>
            </w:r>
          </w:p>
        </w:tc>
        <w:tc>
          <w:tcPr>
            <w:tcW w:w="862" w:type="dxa"/>
            <w:tcBorders>
              <w:top w:val="nil"/>
              <w:left w:val="nil"/>
              <w:bottom w:val="single" w:sz="4" w:space="0" w:color="BFBFBF"/>
              <w:right w:val="single" w:sz="4" w:space="0" w:color="BFBFBF"/>
            </w:tcBorders>
            <w:shd w:val="clear" w:color="auto" w:fill="auto"/>
            <w:noWrap/>
            <w:vAlign w:val="bottom"/>
            <w:hideMark/>
          </w:tcPr>
          <w:p w14:paraId="4EBC2995"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23940E40"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auto" w:fill="auto"/>
            <w:noWrap/>
            <w:vAlign w:val="bottom"/>
            <w:hideMark/>
          </w:tcPr>
          <w:p w14:paraId="01F36DEB" w14:textId="77777777" w:rsidR="00FC70F1" w:rsidRPr="00F31194" w:rsidRDefault="00FC70F1" w:rsidP="00FC70F1">
            <w:pPr>
              <w:jc w:val="right"/>
              <w:rPr>
                <w:sz w:val="14"/>
                <w:szCs w:val="14"/>
              </w:rPr>
            </w:pPr>
            <w:r w:rsidRPr="00F31194">
              <w:rPr>
                <w:sz w:val="14"/>
                <w:szCs w:val="14"/>
              </w:rPr>
              <w:t>2 065 741</w:t>
            </w:r>
          </w:p>
        </w:tc>
        <w:tc>
          <w:tcPr>
            <w:tcW w:w="850" w:type="dxa"/>
            <w:tcBorders>
              <w:top w:val="nil"/>
              <w:left w:val="nil"/>
              <w:bottom w:val="single" w:sz="4" w:space="0" w:color="BFBFBF"/>
              <w:right w:val="single" w:sz="4" w:space="0" w:color="BFBFBF"/>
            </w:tcBorders>
            <w:shd w:val="clear" w:color="auto" w:fill="auto"/>
            <w:noWrap/>
            <w:vAlign w:val="bottom"/>
            <w:hideMark/>
          </w:tcPr>
          <w:p w14:paraId="72CC7A7A" w14:textId="77777777" w:rsidR="00FC70F1" w:rsidRPr="00F31194" w:rsidRDefault="00FC70F1" w:rsidP="00FC70F1">
            <w:pPr>
              <w:jc w:val="right"/>
              <w:rPr>
                <w:b/>
                <w:bCs/>
                <w:sz w:val="14"/>
                <w:szCs w:val="14"/>
              </w:rPr>
            </w:pPr>
            <w:r w:rsidRPr="00F31194">
              <w:rPr>
                <w:b/>
                <w:bCs/>
                <w:sz w:val="14"/>
                <w:szCs w:val="14"/>
              </w:rPr>
              <w:t>2 065 741</w:t>
            </w:r>
          </w:p>
        </w:tc>
        <w:tc>
          <w:tcPr>
            <w:tcW w:w="862" w:type="dxa"/>
            <w:tcBorders>
              <w:top w:val="nil"/>
              <w:left w:val="nil"/>
              <w:bottom w:val="single" w:sz="4" w:space="0" w:color="BFBFBF"/>
              <w:right w:val="single" w:sz="4" w:space="0" w:color="BFBFBF"/>
            </w:tcBorders>
            <w:shd w:val="clear" w:color="auto" w:fill="auto"/>
            <w:noWrap/>
            <w:vAlign w:val="bottom"/>
            <w:hideMark/>
          </w:tcPr>
          <w:p w14:paraId="29839DAC"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3944A9EC" w14:textId="77777777" w:rsidR="00FC70F1" w:rsidRPr="00F31194" w:rsidRDefault="00FC70F1" w:rsidP="00FC70F1">
            <w:pPr>
              <w:jc w:val="right"/>
              <w:rPr>
                <w:sz w:val="14"/>
                <w:szCs w:val="14"/>
              </w:rPr>
            </w:pPr>
            <w:r w:rsidRPr="00F31194">
              <w:rPr>
                <w:sz w:val="14"/>
                <w:szCs w:val="14"/>
              </w:rPr>
              <w:t>0</w:t>
            </w:r>
          </w:p>
        </w:tc>
        <w:tc>
          <w:tcPr>
            <w:tcW w:w="851" w:type="dxa"/>
            <w:tcBorders>
              <w:top w:val="nil"/>
              <w:left w:val="nil"/>
              <w:bottom w:val="single" w:sz="4" w:space="0" w:color="BFBFBF"/>
              <w:right w:val="single" w:sz="4" w:space="0" w:color="BFBFBF"/>
            </w:tcBorders>
            <w:shd w:val="clear" w:color="auto" w:fill="auto"/>
            <w:noWrap/>
            <w:vAlign w:val="bottom"/>
            <w:hideMark/>
          </w:tcPr>
          <w:p w14:paraId="1A37A5CB" w14:textId="77777777" w:rsidR="00FC70F1" w:rsidRPr="00F31194" w:rsidRDefault="00FC70F1" w:rsidP="00FC70F1">
            <w:pPr>
              <w:jc w:val="right"/>
              <w:rPr>
                <w:sz w:val="14"/>
                <w:szCs w:val="14"/>
              </w:rPr>
            </w:pPr>
            <w:r w:rsidRPr="00F31194">
              <w:rPr>
                <w:sz w:val="14"/>
                <w:szCs w:val="14"/>
              </w:rPr>
              <w:t>-577 357</w:t>
            </w:r>
          </w:p>
        </w:tc>
        <w:tc>
          <w:tcPr>
            <w:tcW w:w="850" w:type="dxa"/>
            <w:tcBorders>
              <w:top w:val="nil"/>
              <w:left w:val="nil"/>
              <w:bottom w:val="single" w:sz="4" w:space="0" w:color="BFBFBF"/>
              <w:right w:val="single" w:sz="4" w:space="0" w:color="BFBFBF"/>
            </w:tcBorders>
            <w:shd w:val="clear" w:color="auto" w:fill="auto"/>
            <w:noWrap/>
            <w:vAlign w:val="bottom"/>
            <w:hideMark/>
          </w:tcPr>
          <w:p w14:paraId="63E0152A" w14:textId="77777777" w:rsidR="00FC70F1" w:rsidRPr="00F31194" w:rsidRDefault="00FC70F1" w:rsidP="00FC70F1">
            <w:pPr>
              <w:jc w:val="right"/>
              <w:rPr>
                <w:b/>
                <w:bCs/>
                <w:sz w:val="14"/>
                <w:szCs w:val="14"/>
              </w:rPr>
            </w:pPr>
            <w:r w:rsidRPr="00F31194">
              <w:rPr>
                <w:b/>
                <w:bCs/>
                <w:sz w:val="14"/>
                <w:szCs w:val="14"/>
              </w:rPr>
              <w:t>-577 357</w:t>
            </w:r>
          </w:p>
        </w:tc>
      </w:tr>
      <w:tr w:rsidR="00FC70F1" w:rsidRPr="00FC70F1" w14:paraId="5269B891"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5269AB69" w14:textId="77777777" w:rsidR="00FC70F1" w:rsidRPr="00F31194" w:rsidRDefault="00FC70F1" w:rsidP="00FC70F1">
            <w:pPr>
              <w:jc w:val="center"/>
              <w:rPr>
                <w:b/>
                <w:bCs/>
                <w:sz w:val="14"/>
                <w:szCs w:val="14"/>
              </w:rPr>
            </w:pPr>
            <w:r w:rsidRPr="00F31194">
              <w:rPr>
                <w:b/>
                <w:bCs/>
                <w:sz w:val="14"/>
                <w:szCs w:val="14"/>
              </w:rPr>
              <w:t>2027</w:t>
            </w:r>
          </w:p>
        </w:tc>
        <w:tc>
          <w:tcPr>
            <w:tcW w:w="862" w:type="dxa"/>
            <w:tcBorders>
              <w:top w:val="nil"/>
              <w:left w:val="nil"/>
              <w:bottom w:val="single" w:sz="4" w:space="0" w:color="BFBFBF"/>
              <w:right w:val="single" w:sz="4" w:space="0" w:color="BFBFBF"/>
            </w:tcBorders>
            <w:shd w:val="clear" w:color="000000" w:fill="FFFFFF"/>
            <w:noWrap/>
            <w:vAlign w:val="bottom"/>
            <w:hideMark/>
          </w:tcPr>
          <w:p w14:paraId="3AE1C219"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01E00297"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000000" w:fill="FFFFFF"/>
            <w:noWrap/>
            <w:vAlign w:val="bottom"/>
            <w:hideMark/>
          </w:tcPr>
          <w:p w14:paraId="09D0159A" w14:textId="77777777" w:rsidR="00FC70F1" w:rsidRPr="00F31194" w:rsidRDefault="00FC70F1" w:rsidP="00FC70F1">
            <w:pPr>
              <w:jc w:val="right"/>
              <w:rPr>
                <w:sz w:val="14"/>
                <w:szCs w:val="14"/>
              </w:rPr>
            </w:pPr>
            <w:r w:rsidRPr="00F31194">
              <w:rPr>
                <w:sz w:val="14"/>
                <w:szCs w:val="14"/>
              </w:rPr>
              <w:t>1 488 384</w:t>
            </w:r>
          </w:p>
        </w:tc>
        <w:tc>
          <w:tcPr>
            <w:tcW w:w="850" w:type="dxa"/>
            <w:tcBorders>
              <w:top w:val="nil"/>
              <w:left w:val="nil"/>
              <w:bottom w:val="single" w:sz="4" w:space="0" w:color="BFBFBF"/>
              <w:right w:val="single" w:sz="4" w:space="0" w:color="BFBFBF"/>
            </w:tcBorders>
            <w:shd w:val="clear" w:color="auto" w:fill="auto"/>
            <w:noWrap/>
            <w:vAlign w:val="bottom"/>
            <w:hideMark/>
          </w:tcPr>
          <w:p w14:paraId="0ED97803" w14:textId="77777777" w:rsidR="00FC70F1" w:rsidRPr="00F31194" w:rsidRDefault="00FC70F1" w:rsidP="00FC70F1">
            <w:pPr>
              <w:jc w:val="right"/>
              <w:rPr>
                <w:b/>
                <w:bCs/>
                <w:sz w:val="14"/>
                <w:szCs w:val="14"/>
              </w:rPr>
            </w:pPr>
            <w:r w:rsidRPr="00F31194">
              <w:rPr>
                <w:b/>
                <w:bCs/>
                <w:sz w:val="14"/>
                <w:szCs w:val="14"/>
              </w:rPr>
              <w:t>1 488 384</w:t>
            </w:r>
          </w:p>
        </w:tc>
        <w:tc>
          <w:tcPr>
            <w:tcW w:w="862" w:type="dxa"/>
            <w:tcBorders>
              <w:top w:val="nil"/>
              <w:left w:val="nil"/>
              <w:bottom w:val="single" w:sz="4" w:space="0" w:color="BFBFBF"/>
              <w:right w:val="single" w:sz="4" w:space="0" w:color="BFBFBF"/>
            </w:tcBorders>
            <w:shd w:val="clear" w:color="auto" w:fill="auto"/>
            <w:noWrap/>
            <w:vAlign w:val="bottom"/>
            <w:hideMark/>
          </w:tcPr>
          <w:p w14:paraId="47DDC500"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21DB6B41"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auto" w:fill="auto"/>
            <w:noWrap/>
            <w:vAlign w:val="bottom"/>
            <w:hideMark/>
          </w:tcPr>
          <w:p w14:paraId="79AE5B1A" w14:textId="77777777" w:rsidR="00FC70F1" w:rsidRPr="00F31194" w:rsidRDefault="00FC70F1" w:rsidP="00FC70F1">
            <w:pPr>
              <w:jc w:val="right"/>
              <w:rPr>
                <w:sz w:val="14"/>
                <w:szCs w:val="14"/>
              </w:rPr>
            </w:pPr>
            <w:r w:rsidRPr="00F31194">
              <w:rPr>
                <w:sz w:val="14"/>
                <w:szCs w:val="14"/>
              </w:rPr>
              <w:t>2 065 741</w:t>
            </w:r>
          </w:p>
        </w:tc>
        <w:tc>
          <w:tcPr>
            <w:tcW w:w="850" w:type="dxa"/>
            <w:tcBorders>
              <w:top w:val="nil"/>
              <w:left w:val="nil"/>
              <w:bottom w:val="single" w:sz="4" w:space="0" w:color="BFBFBF"/>
              <w:right w:val="single" w:sz="4" w:space="0" w:color="BFBFBF"/>
            </w:tcBorders>
            <w:shd w:val="clear" w:color="auto" w:fill="auto"/>
            <w:noWrap/>
            <w:vAlign w:val="bottom"/>
            <w:hideMark/>
          </w:tcPr>
          <w:p w14:paraId="30E9E105" w14:textId="77777777" w:rsidR="00FC70F1" w:rsidRPr="00F31194" w:rsidRDefault="00FC70F1" w:rsidP="00FC70F1">
            <w:pPr>
              <w:jc w:val="right"/>
              <w:rPr>
                <w:b/>
                <w:bCs/>
                <w:sz w:val="14"/>
                <w:szCs w:val="14"/>
              </w:rPr>
            </w:pPr>
            <w:r w:rsidRPr="00F31194">
              <w:rPr>
                <w:b/>
                <w:bCs/>
                <w:sz w:val="14"/>
                <w:szCs w:val="14"/>
              </w:rPr>
              <w:t>2 065 741</w:t>
            </w:r>
          </w:p>
        </w:tc>
        <w:tc>
          <w:tcPr>
            <w:tcW w:w="862" w:type="dxa"/>
            <w:tcBorders>
              <w:top w:val="nil"/>
              <w:left w:val="nil"/>
              <w:bottom w:val="single" w:sz="4" w:space="0" w:color="BFBFBF"/>
              <w:right w:val="single" w:sz="4" w:space="0" w:color="BFBFBF"/>
            </w:tcBorders>
            <w:shd w:val="clear" w:color="auto" w:fill="auto"/>
            <w:noWrap/>
            <w:vAlign w:val="bottom"/>
            <w:hideMark/>
          </w:tcPr>
          <w:p w14:paraId="176A37F0"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60F0B1BA" w14:textId="77777777" w:rsidR="00FC70F1" w:rsidRPr="00F31194" w:rsidRDefault="00FC70F1" w:rsidP="00FC70F1">
            <w:pPr>
              <w:jc w:val="right"/>
              <w:rPr>
                <w:sz w:val="14"/>
                <w:szCs w:val="14"/>
              </w:rPr>
            </w:pPr>
            <w:r w:rsidRPr="00F31194">
              <w:rPr>
                <w:sz w:val="14"/>
                <w:szCs w:val="14"/>
              </w:rPr>
              <w:t>0</w:t>
            </w:r>
          </w:p>
        </w:tc>
        <w:tc>
          <w:tcPr>
            <w:tcW w:w="851" w:type="dxa"/>
            <w:tcBorders>
              <w:top w:val="nil"/>
              <w:left w:val="nil"/>
              <w:bottom w:val="single" w:sz="4" w:space="0" w:color="BFBFBF"/>
              <w:right w:val="single" w:sz="4" w:space="0" w:color="BFBFBF"/>
            </w:tcBorders>
            <w:shd w:val="clear" w:color="auto" w:fill="auto"/>
            <w:noWrap/>
            <w:vAlign w:val="bottom"/>
            <w:hideMark/>
          </w:tcPr>
          <w:p w14:paraId="0CDF079D" w14:textId="77777777" w:rsidR="00FC70F1" w:rsidRPr="00F31194" w:rsidRDefault="00FC70F1" w:rsidP="00FC70F1">
            <w:pPr>
              <w:jc w:val="right"/>
              <w:rPr>
                <w:sz w:val="14"/>
                <w:szCs w:val="14"/>
              </w:rPr>
            </w:pPr>
            <w:r w:rsidRPr="00F31194">
              <w:rPr>
                <w:sz w:val="14"/>
                <w:szCs w:val="14"/>
              </w:rPr>
              <w:t>-577 357</w:t>
            </w:r>
          </w:p>
        </w:tc>
        <w:tc>
          <w:tcPr>
            <w:tcW w:w="850" w:type="dxa"/>
            <w:tcBorders>
              <w:top w:val="nil"/>
              <w:left w:val="nil"/>
              <w:bottom w:val="single" w:sz="4" w:space="0" w:color="BFBFBF"/>
              <w:right w:val="single" w:sz="4" w:space="0" w:color="BFBFBF"/>
            </w:tcBorders>
            <w:shd w:val="clear" w:color="auto" w:fill="auto"/>
            <w:noWrap/>
            <w:vAlign w:val="bottom"/>
            <w:hideMark/>
          </w:tcPr>
          <w:p w14:paraId="6333B9BF" w14:textId="77777777" w:rsidR="00FC70F1" w:rsidRPr="00F31194" w:rsidRDefault="00FC70F1" w:rsidP="00FC70F1">
            <w:pPr>
              <w:jc w:val="right"/>
              <w:rPr>
                <w:b/>
                <w:bCs/>
                <w:sz w:val="14"/>
                <w:szCs w:val="14"/>
              </w:rPr>
            </w:pPr>
            <w:r w:rsidRPr="00F31194">
              <w:rPr>
                <w:b/>
                <w:bCs/>
                <w:sz w:val="14"/>
                <w:szCs w:val="14"/>
              </w:rPr>
              <w:t>-577 357</w:t>
            </w:r>
          </w:p>
        </w:tc>
      </w:tr>
      <w:tr w:rsidR="00FC70F1" w:rsidRPr="00FC70F1" w14:paraId="759DC918"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3CDA66E5" w14:textId="77777777" w:rsidR="00FC70F1" w:rsidRPr="00F31194" w:rsidRDefault="00FC70F1" w:rsidP="00FC70F1">
            <w:pPr>
              <w:jc w:val="center"/>
              <w:rPr>
                <w:b/>
                <w:bCs/>
                <w:sz w:val="14"/>
                <w:szCs w:val="14"/>
              </w:rPr>
            </w:pPr>
            <w:r w:rsidRPr="00F31194">
              <w:rPr>
                <w:b/>
                <w:bCs/>
                <w:sz w:val="14"/>
                <w:szCs w:val="14"/>
              </w:rPr>
              <w:t>2028</w:t>
            </w:r>
          </w:p>
        </w:tc>
        <w:tc>
          <w:tcPr>
            <w:tcW w:w="862" w:type="dxa"/>
            <w:tcBorders>
              <w:top w:val="nil"/>
              <w:left w:val="nil"/>
              <w:bottom w:val="single" w:sz="4" w:space="0" w:color="BFBFBF"/>
              <w:right w:val="single" w:sz="4" w:space="0" w:color="BFBFBF"/>
            </w:tcBorders>
            <w:shd w:val="clear" w:color="000000" w:fill="FFFFFF"/>
            <w:noWrap/>
            <w:vAlign w:val="bottom"/>
            <w:hideMark/>
          </w:tcPr>
          <w:p w14:paraId="21AA3F54"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1B4C2EB8"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000000" w:fill="FFFFFF"/>
            <w:noWrap/>
            <w:vAlign w:val="bottom"/>
            <w:hideMark/>
          </w:tcPr>
          <w:p w14:paraId="54A8FAF8" w14:textId="77777777" w:rsidR="00FC70F1" w:rsidRPr="00F31194" w:rsidRDefault="00FC70F1" w:rsidP="00FC70F1">
            <w:pPr>
              <w:jc w:val="right"/>
              <w:rPr>
                <w:sz w:val="14"/>
                <w:szCs w:val="14"/>
              </w:rPr>
            </w:pPr>
            <w:r w:rsidRPr="00F31194">
              <w:rPr>
                <w:sz w:val="14"/>
                <w:szCs w:val="14"/>
              </w:rPr>
              <w:t>1 488 384</w:t>
            </w:r>
          </w:p>
        </w:tc>
        <w:tc>
          <w:tcPr>
            <w:tcW w:w="850" w:type="dxa"/>
            <w:tcBorders>
              <w:top w:val="nil"/>
              <w:left w:val="nil"/>
              <w:bottom w:val="single" w:sz="4" w:space="0" w:color="BFBFBF"/>
              <w:right w:val="single" w:sz="4" w:space="0" w:color="BFBFBF"/>
            </w:tcBorders>
            <w:shd w:val="clear" w:color="auto" w:fill="auto"/>
            <w:noWrap/>
            <w:vAlign w:val="bottom"/>
            <w:hideMark/>
          </w:tcPr>
          <w:p w14:paraId="71B0E9C9" w14:textId="77777777" w:rsidR="00FC70F1" w:rsidRPr="00F31194" w:rsidRDefault="00FC70F1" w:rsidP="00FC70F1">
            <w:pPr>
              <w:jc w:val="right"/>
              <w:rPr>
                <w:b/>
                <w:bCs/>
                <w:sz w:val="14"/>
                <w:szCs w:val="14"/>
              </w:rPr>
            </w:pPr>
            <w:r w:rsidRPr="00F31194">
              <w:rPr>
                <w:b/>
                <w:bCs/>
                <w:sz w:val="14"/>
                <w:szCs w:val="14"/>
              </w:rPr>
              <w:t>1 488 384</w:t>
            </w:r>
          </w:p>
        </w:tc>
        <w:tc>
          <w:tcPr>
            <w:tcW w:w="862" w:type="dxa"/>
            <w:tcBorders>
              <w:top w:val="nil"/>
              <w:left w:val="nil"/>
              <w:bottom w:val="single" w:sz="4" w:space="0" w:color="BFBFBF"/>
              <w:right w:val="single" w:sz="4" w:space="0" w:color="BFBFBF"/>
            </w:tcBorders>
            <w:shd w:val="clear" w:color="auto" w:fill="auto"/>
            <w:noWrap/>
            <w:vAlign w:val="bottom"/>
            <w:hideMark/>
          </w:tcPr>
          <w:p w14:paraId="2B05C13A"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16D295A1"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auto" w:fill="auto"/>
            <w:noWrap/>
            <w:vAlign w:val="bottom"/>
            <w:hideMark/>
          </w:tcPr>
          <w:p w14:paraId="27C306E0" w14:textId="77777777" w:rsidR="00FC70F1" w:rsidRPr="00F31194" w:rsidRDefault="00FC70F1" w:rsidP="00FC70F1">
            <w:pPr>
              <w:jc w:val="right"/>
              <w:rPr>
                <w:sz w:val="14"/>
                <w:szCs w:val="14"/>
              </w:rPr>
            </w:pPr>
            <w:r w:rsidRPr="00F31194">
              <w:rPr>
                <w:sz w:val="14"/>
                <w:szCs w:val="14"/>
              </w:rPr>
              <w:t>2 065 741</w:t>
            </w:r>
          </w:p>
        </w:tc>
        <w:tc>
          <w:tcPr>
            <w:tcW w:w="850" w:type="dxa"/>
            <w:tcBorders>
              <w:top w:val="nil"/>
              <w:left w:val="nil"/>
              <w:bottom w:val="single" w:sz="4" w:space="0" w:color="BFBFBF"/>
              <w:right w:val="single" w:sz="4" w:space="0" w:color="BFBFBF"/>
            </w:tcBorders>
            <w:shd w:val="clear" w:color="auto" w:fill="auto"/>
            <w:noWrap/>
            <w:vAlign w:val="bottom"/>
            <w:hideMark/>
          </w:tcPr>
          <w:p w14:paraId="7FEB7A7D" w14:textId="77777777" w:rsidR="00FC70F1" w:rsidRPr="00F31194" w:rsidRDefault="00FC70F1" w:rsidP="00FC70F1">
            <w:pPr>
              <w:jc w:val="right"/>
              <w:rPr>
                <w:b/>
                <w:bCs/>
                <w:sz w:val="14"/>
                <w:szCs w:val="14"/>
              </w:rPr>
            </w:pPr>
            <w:r w:rsidRPr="00F31194">
              <w:rPr>
                <w:b/>
                <w:bCs/>
                <w:sz w:val="14"/>
                <w:szCs w:val="14"/>
              </w:rPr>
              <w:t>2 065 741</w:t>
            </w:r>
          </w:p>
        </w:tc>
        <w:tc>
          <w:tcPr>
            <w:tcW w:w="862" w:type="dxa"/>
            <w:tcBorders>
              <w:top w:val="nil"/>
              <w:left w:val="nil"/>
              <w:bottom w:val="single" w:sz="4" w:space="0" w:color="BFBFBF"/>
              <w:right w:val="single" w:sz="4" w:space="0" w:color="BFBFBF"/>
            </w:tcBorders>
            <w:shd w:val="clear" w:color="auto" w:fill="auto"/>
            <w:noWrap/>
            <w:vAlign w:val="bottom"/>
            <w:hideMark/>
          </w:tcPr>
          <w:p w14:paraId="07C719AE"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7C30DCE2" w14:textId="77777777" w:rsidR="00FC70F1" w:rsidRPr="00F31194" w:rsidRDefault="00FC70F1" w:rsidP="00FC70F1">
            <w:pPr>
              <w:jc w:val="right"/>
              <w:rPr>
                <w:sz w:val="14"/>
                <w:szCs w:val="14"/>
              </w:rPr>
            </w:pPr>
            <w:r w:rsidRPr="00F31194">
              <w:rPr>
                <w:sz w:val="14"/>
                <w:szCs w:val="14"/>
              </w:rPr>
              <w:t>0</w:t>
            </w:r>
          </w:p>
        </w:tc>
        <w:tc>
          <w:tcPr>
            <w:tcW w:w="851" w:type="dxa"/>
            <w:tcBorders>
              <w:top w:val="nil"/>
              <w:left w:val="nil"/>
              <w:bottom w:val="single" w:sz="4" w:space="0" w:color="BFBFBF"/>
              <w:right w:val="single" w:sz="4" w:space="0" w:color="BFBFBF"/>
            </w:tcBorders>
            <w:shd w:val="clear" w:color="auto" w:fill="auto"/>
            <w:noWrap/>
            <w:vAlign w:val="bottom"/>
            <w:hideMark/>
          </w:tcPr>
          <w:p w14:paraId="7996BE89" w14:textId="77777777" w:rsidR="00FC70F1" w:rsidRPr="00F31194" w:rsidRDefault="00FC70F1" w:rsidP="00FC70F1">
            <w:pPr>
              <w:jc w:val="right"/>
              <w:rPr>
                <w:sz w:val="14"/>
                <w:szCs w:val="14"/>
              </w:rPr>
            </w:pPr>
            <w:r w:rsidRPr="00F31194">
              <w:rPr>
                <w:sz w:val="14"/>
                <w:szCs w:val="14"/>
              </w:rPr>
              <w:t>-577 357</w:t>
            </w:r>
          </w:p>
        </w:tc>
        <w:tc>
          <w:tcPr>
            <w:tcW w:w="850" w:type="dxa"/>
            <w:tcBorders>
              <w:top w:val="nil"/>
              <w:left w:val="nil"/>
              <w:bottom w:val="single" w:sz="4" w:space="0" w:color="BFBFBF"/>
              <w:right w:val="single" w:sz="4" w:space="0" w:color="BFBFBF"/>
            </w:tcBorders>
            <w:shd w:val="clear" w:color="auto" w:fill="auto"/>
            <w:noWrap/>
            <w:vAlign w:val="bottom"/>
            <w:hideMark/>
          </w:tcPr>
          <w:p w14:paraId="27189877" w14:textId="77777777" w:rsidR="00FC70F1" w:rsidRPr="00F31194" w:rsidRDefault="00FC70F1" w:rsidP="00FC70F1">
            <w:pPr>
              <w:jc w:val="right"/>
              <w:rPr>
                <w:b/>
                <w:bCs/>
                <w:sz w:val="14"/>
                <w:szCs w:val="14"/>
              </w:rPr>
            </w:pPr>
            <w:r w:rsidRPr="00F31194">
              <w:rPr>
                <w:b/>
                <w:bCs/>
                <w:sz w:val="14"/>
                <w:szCs w:val="14"/>
              </w:rPr>
              <w:t>-577 357</w:t>
            </w:r>
          </w:p>
        </w:tc>
      </w:tr>
      <w:tr w:rsidR="00FC70F1" w:rsidRPr="00FC70F1" w14:paraId="08FF64EE"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4138A2F1" w14:textId="77777777" w:rsidR="00FC70F1" w:rsidRPr="00F31194" w:rsidRDefault="00FC70F1" w:rsidP="00FC70F1">
            <w:pPr>
              <w:jc w:val="center"/>
              <w:rPr>
                <w:b/>
                <w:bCs/>
                <w:sz w:val="14"/>
                <w:szCs w:val="14"/>
              </w:rPr>
            </w:pPr>
            <w:r w:rsidRPr="00F31194">
              <w:rPr>
                <w:b/>
                <w:bCs/>
                <w:sz w:val="14"/>
                <w:szCs w:val="14"/>
              </w:rPr>
              <w:t>2029</w:t>
            </w:r>
          </w:p>
        </w:tc>
        <w:tc>
          <w:tcPr>
            <w:tcW w:w="862" w:type="dxa"/>
            <w:tcBorders>
              <w:top w:val="nil"/>
              <w:left w:val="nil"/>
              <w:bottom w:val="single" w:sz="4" w:space="0" w:color="BFBFBF"/>
              <w:right w:val="single" w:sz="4" w:space="0" w:color="BFBFBF"/>
            </w:tcBorders>
            <w:shd w:val="clear" w:color="000000" w:fill="FFFFFF"/>
            <w:noWrap/>
            <w:vAlign w:val="bottom"/>
            <w:hideMark/>
          </w:tcPr>
          <w:p w14:paraId="34CFCFE4"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23673D97"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000000" w:fill="FFFFFF"/>
            <w:noWrap/>
            <w:vAlign w:val="bottom"/>
            <w:hideMark/>
          </w:tcPr>
          <w:p w14:paraId="4AB28293" w14:textId="77777777" w:rsidR="00FC70F1" w:rsidRPr="00F31194" w:rsidRDefault="00FC70F1" w:rsidP="00FC70F1">
            <w:pPr>
              <w:jc w:val="right"/>
              <w:rPr>
                <w:sz w:val="14"/>
                <w:szCs w:val="14"/>
              </w:rPr>
            </w:pPr>
            <w:r w:rsidRPr="00F31194">
              <w:rPr>
                <w:sz w:val="14"/>
                <w:szCs w:val="14"/>
              </w:rPr>
              <w:t>1 280 010</w:t>
            </w:r>
          </w:p>
        </w:tc>
        <w:tc>
          <w:tcPr>
            <w:tcW w:w="850" w:type="dxa"/>
            <w:tcBorders>
              <w:top w:val="nil"/>
              <w:left w:val="nil"/>
              <w:bottom w:val="single" w:sz="4" w:space="0" w:color="BFBFBF"/>
              <w:right w:val="single" w:sz="4" w:space="0" w:color="BFBFBF"/>
            </w:tcBorders>
            <w:shd w:val="clear" w:color="auto" w:fill="auto"/>
            <w:noWrap/>
            <w:vAlign w:val="bottom"/>
            <w:hideMark/>
          </w:tcPr>
          <w:p w14:paraId="3D482E80" w14:textId="77777777" w:rsidR="00FC70F1" w:rsidRPr="00F31194" w:rsidRDefault="00FC70F1" w:rsidP="00FC70F1">
            <w:pPr>
              <w:jc w:val="right"/>
              <w:rPr>
                <w:b/>
                <w:bCs/>
                <w:sz w:val="14"/>
                <w:szCs w:val="14"/>
              </w:rPr>
            </w:pPr>
            <w:r w:rsidRPr="00F31194">
              <w:rPr>
                <w:b/>
                <w:bCs/>
                <w:sz w:val="14"/>
                <w:szCs w:val="14"/>
              </w:rPr>
              <w:t>1 280 010</w:t>
            </w:r>
          </w:p>
        </w:tc>
        <w:tc>
          <w:tcPr>
            <w:tcW w:w="862" w:type="dxa"/>
            <w:tcBorders>
              <w:top w:val="nil"/>
              <w:left w:val="nil"/>
              <w:bottom w:val="single" w:sz="4" w:space="0" w:color="BFBFBF"/>
              <w:right w:val="single" w:sz="4" w:space="0" w:color="BFBFBF"/>
            </w:tcBorders>
            <w:shd w:val="clear" w:color="auto" w:fill="auto"/>
            <w:noWrap/>
            <w:vAlign w:val="bottom"/>
            <w:hideMark/>
          </w:tcPr>
          <w:p w14:paraId="152CA9F6"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6D810474"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auto" w:fill="auto"/>
            <w:noWrap/>
            <w:vAlign w:val="bottom"/>
            <w:hideMark/>
          </w:tcPr>
          <w:p w14:paraId="0994B7ED" w14:textId="77777777" w:rsidR="00FC70F1" w:rsidRPr="00F31194" w:rsidRDefault="00FC70F1" w:rsidP="00FC70F1">
            <w:pPr>
              <w:jc w:val="right"/>
              <w:rPr>
                <w:sz w:val="14"/>
                <w:szCs w:val="14"/>
              </w:rPr>
            </w:pPr>
            <w:r w:rsidRPr="00F31194">
              <w:rPr>
                <w:sz w:val="14"/>
                <w:szCs w:val="14"/>
              </w:rPr>
              <w:t>1 820 652</w:t>
            </w:r>
          </w:p>
        </w:tc>
        <w:tc>
          <w:tcPr>
            <w:tcW w:w="850" w:type="dxa"/>
            <w:tcBorders>
              <w:top w:val="nil"/>
              <w:left w:val="nil"/>
              <w:bottom w:val="single" w:sz="4" w:space="0" w:color="BFBFBF"/>
              <w:right w:val="single" w:sz="4" w:space="0" w:color="BFBFBF"/>
            </w:tcBorders>
            <w:shd w:val="clear" w:color="auto" w:fill="auto"/>
            <w:noWrap/>
            <w:vAlign w:val="bottom"/>
            <w:hideMark/>
          </w:tcPr>
          <w:p w14:paraId="2960B439" w14:textId="77777777" w:rsidR="00FC70F1" w:rsidRPr="00F31194" w:rsidRDefault="00FC70F1" w:rsidP="00FC70F1">
            <w:pPr>
              <w:jc w:val="right"/>
              <w:rPr>
                <w:b/>
                <w:bCs/>
                <w:sz w:val="14"/>
                <w:szCs w:val="14"/>
              </w:rPr>
            </w:pPr>
            <w:r w:rsidRPr="00F31194">
              <w:rPr>
                <w:b/>
                <w:bCs/>
                <w:sz w:val="14"/>
                <w:szCs w:val="14"/>
              </w:rPr>
              <w:t>1 820 652</w:t>
            </w:r>
          </w:p>
        </w:tc>
        <w:tc>
          <w:tcPr>
            <w:tcW w:w="862" w:type="dxa"/>
            <w:tcBorders>
              <w:top w:val="nil"/>
              <w:left w:val="nil"/>
              <w:bottom w:val="single" w:sz="4" w:space="0" w:color="BFBFBF"/>
              <w:right w:val="single" w:sz="4" w:space="0" w:color="BFBFBF"/>
            </w:tcBorders>
            <w:shd w:val="clear" w:color="auto" w:fill="auto"/>
            <w:noWrap/>
            <w:vAlign w:val="bottom"/>
            <w:hideMark/>
          </w:tcPr>
          <w:p w14:paraId="7DEEC03A"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4B5162E3" w14:textId="77777777" w:rsidR="00FC70F1" w:rsidRPr="00F31194" w:rsidRDefault="00FC70F1" w:rsidP="00FC70F1">
            <w:pPr>
              <w:jc w:val="right"/>
              <w:rPr>
                <w:sz w:val="14"/>
                <w:szCs w:val="14"/>
              </w:rPr>
            </w:pPr>
            <w:r w:rsidRPr="00F31194">
              <w:rPr>
                <w:sz w:val="14"/>
                <w:szCs w:val="14"/>
              </w:rPr>
              <w:t>0</w:t>
            </w:r>
          </w:p>
        </w:tc>
        <w:tc>
          <w:tcPr>
            <w:tcW w:w="851" w:type="dxa"/>
            <w:tcBorders>
              <w:top w:val="nil"/>
              <w:left w:val="nil"/>
              <w:bottom w:val="single" w:sz="4" w:space="0" w:color="BFBFBF"/>
              <w:right w:val="single" w:sz="4" w:space="0" w:color="BFBFBF"/>
            </w:tcBorders>
            <w:shd w:val="clear" w:color="auto" w:fill="auto"/>
            <w:noWrap/>
            <w:vAlign w:val="bottom"/>
            <w:hideMark/>
          </w:tcPr>
          <w:p w14:paraId="0C4B7503" w14:textId="77777777" w:rsidR="00FC70F1" w:rsidRPr="00F31194" w:rsidRDefault="00FC70F1" w:rsidP="00FC70F1">
            <w:pPr>
              <w:jc w:val="right"/>
              <w:rPr>
                <w:sz w:val="14"/>
                <w:szCs w:val="14"/>
              </w:rPr>
            </w:pPr>
            <w:r w:rsidRPr="00F31194">
              <w:rPr>
                <w:sz w:val="14"/>
                <w:szCs w:val="14"/>
              </w:rPr>
              <w:t>-540 642</w:t>
            </w:r>
          </w:p>
        </w:tc>
        <w:tc>
          <w:tcPr>
            <w:tcW w:w="850" w:type="dxa"/>
            <w:tcBorders>
              <w:top w:val="nil"/>
              <w:left w:val="nil"/>
              <w:bottom w:val="single" w:sz="4" w:space="0" w:color="BFBFBF"/>
              <w:right w:val="single" w:sz="4" w:space="0" w:color="BFBFBF"/>
            </w:tcBorders>
            <w:shd w:val="clear" w:color="auto" w:fill="auto"/>
            <w:noWrap/>
            <w:vAlign w:val="bottom"/>
            <w:hideMark/>
          </w:tcPr>
          <w:p w14:paraId="45D49FB3" w14:textId="77777777" w:rsidR="00FC70F1" w:rsidRPr="00F31194" w:rsidRDefault="00FC70F1" w:rsidP="00FC70F1">
            <w:pPr>
              <w:jc w:val="right"/>
              <w:rPr>
                <w:b/>
                <w:bCs/>
                <w:sz w:val="14"/>
                <w:szCs w:val="14"/>
              </w:rPr>
            </w:pPr>
            <w:r w:rsidRPr="00F31194">
              <w:rPr>
                <w:b/>
                <w:bCs/>
                <w:sz w:val="14"/>
                <w:szCs w:val="14"/>
              </w:rPr>
              <w:t>-540 642</w:t>
            </w:r>
          </w:p>
        </w:tc>
      </w:tr>
      <w:tr w:rsidR="00FC70F1" w:rsidRPr="00FC70F1" w14:paraId="69B5B6AA"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48CFBC34" w14:textId="77777777" w:rsidR="00FC70F1" w:rsidRPr="00F31194" w:rsidRDefault="00FC70F1" w:rsidP="00FC70F1">
            <w:pPr>
              <w:jc w:val="center"/>
              <w:rPr>
                <w:b/>
                <w:bCs/>
                <w:sz w:val="14"/>
                <w:szCs w:val="14"/>
              </w:rPr>
            </w:pPr>
            <w:r w:rsidRPr="00F31194">
              <w:rPr>
                <w:b/>
                <w:bCs/>
                <w:sz w:val="14"/>
                <w:szCs w:val="14"/>
              </w:rPr>
              <w:t>2030</w:t>
            </w:r>
          </w:p>
        </w:tc>
        <w:tc>
          <w:tcPr>
            <w:tcW w:w="862" w:type="dxa"/>
            <w:tcBorders>
              <w:top w:val="nil"/>
              <w:left w:val="nil"/>
              <w:bottom w:val="single" w:sz="4" w:space="0" w:color="BFBFBF"/>
              <w:right w:val="single" w:sz="4" w:space="0" w:color="BFBFBF"/>
            </w:tcBorders>
            <w:shd w:val="clear" w:color="000000" w:fill="FFFFFF"/>
            <w:noWrap/>
            <w:vAlign w:val="bottom"/>
            <w:hideMark/>
          </w:tcPr>
          <w:p w14:paraId="6473E424"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4D041D55"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000000" w:fill="FFFFFF"/>
            <w:noWrap/>
            <w:vAlign w:val="bottom"/>
            <w:hideMark/>
          </w:tcPr>
          <w:p w14:paraId="31E62111" w14:textId="77777777" w:rsidR="00FC70F1" w:rsidRPr="00F31194" w:rsidRDefault="00FC70F1" w:rsidP="00FC70F1">
            <w:pPr>
              <w:jc w:val="right"/>
              <w:rPr>
                <w:sz w:val="14"/>
                <w:szCs w:val="14"/>
              </w:rPr>
            </w:pPr>
            <w:r w:rsidRPr="00F31194">
              <w:rPr>
                <w:sz w:val="14"/>
                <w:szCs w:val="14"/>
              </w:rPr>
              <w:t>773 960</w:t>
            </w:r>
          </w:p>
        </w:tc>
        <w:tc>
          <w:tcPr>
            <w:tcW w:w="850" w:type="dxa"/>
            <w:tcBorders>
              <w:top w:val="nil"/>
              <w:left w:val="nil"/>
              <w:bottom w:val="single" w:sz="4" w:space="0" w:color="BFBFBF"/>
              <w:right w:val="single" w:sz="4" w:space="0" w:color="BFBFBF"/>
            </w:tcBorders>
            <w:shd w:val="clear" w:color="auto" w:fill="auto"/>
            <w:noWrap/>
            <w:vAlign w:val="bottom"/>
            <w:hideMark/>
          </w:tcPr>
          <w:p w14:paraId="648F6530" w14:textId="77777777" w:rsidR="00FC70F1" w:rsidRPr="00F31194" w:rsidRDefault="00FC70F1" w:rsidP="00FC70F1">
            <w:pPr>
              <w:jc w:val="right"/>
              <w:rPr>
                <w:b/>
                <w:bCs/>
                <w:sz w:val="14"/>
                <w:szCs w:val="14"/>
              </w:rPr>
            </w:pPr>
            <w:r w:rsidRPr="00F31194">
              <w:rPr>
                <w:b/>
                <w:bCs/>
                <w:sz w:val="14"/>
                <w:szCs w:val="14"/>
              </w:rPr>
              <w:t>773 960</w:t>
            </w:r>
          </w:p>
        </w:tc>
        <w:tc>
          <w:tcPr>
            <w:tcW w:w="862" w:type="dxa"/>
            <w:tcBorders>
              <w:top w:val="nil"/>
              <w:left w:val="nil"/>
              <w:bottom w:val="single" w:sz="4" w:space="0" w:color="BFBFBF"/>
              <w:right w:val="single" w:sz="4" w:space="0" w:color="BFBFBF"/>
            </w:tcBorders>
            <w:shd w:val="clear" w:color="auto" w:fill="auto"/>
            <w:noWrap/>
            <w:vAlign w:val="bottom"/>
            <w:hideMark/>
          </w:tcPr>
          <w:p w14:paraId="6C29BE5F"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18793DD9"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auto" w:fill="auto"/>
            <w:noWrap/>
            <w:vAlign w:val="bottom"/>
            <w:hideMark/>
          </w:tcPr>
          <w:p w14:paraId="7E4660B4" w14:textId="77777777" w:rsidR="00FC70F1" w:rsidRPr="00F31194" w:rsidRDefault="00FC70F1" w:rsidP="00FC70F1">
            <w:pPr>
              <w:jc w:val="right"/>
              <w:rPr>
                <w:sz w:val="14"/>
                <w:szCs w:val="14"/>
              </w:rPr>
            </w:pPr>
            <w:r w:rsidRPr="00F31194">
              <w:rPr>
                <w:sz w:val="14"/>
                <w:szCs w:val="14"/>
              </w:rPr>
              <w:t>1 225 428</w:t>
            </w:r>
          </w:p>
        </w:tc>
        <w:tc>
          <w:tcPr>
            <w:tcW w:w="850" w:type="dxa"/>
            <w:tcBorders>
              <w:top w:val="nil"/>
              <w:left w:val="nil"/>
              <w:bottom w:val="single" w:sz="4" w:space="0" w:color="BFBFBF"/>
              <w:right w:val="single" w:sz="4" w:space="0" w:color="BFBFBF"/>
            </w:tcBorders>
            <w:shd w:val="clear" w:color="auto" w:fill="auto"/>
            <w:noWrap/>
            <w:vAlign w:val="bottom"/>
            <w:hideMark/>
          </w:tcPr>
          <w:p w14:paraId="6CF8E667" w14:textId="77777777" w:rsidR="00FC70F1" w:rsidRPr="00F31194" w:rsidRDefault="00FC70F1" w:rsidP="00FC70F1">
            <w:pPr>
              <w:jc w:val="right"/>
              <w:rPr>
                <w:b/>
                <w:bCs/>
                <w:sz w:val="14"/>
                <w:szCs w:val="14"/>
              </w:rPr>
            </w:pPr>
            <w:r w:rsidRPr="00F31194">
              <w:rPr>
                <w:b/>
                <w:bCs/>
                <w:sz w:val="14"/>
                <w:szCs w:val="14"/>
              </w:rPr>
              <w:t>1 225 428</w:t>
            </w:r>
          </w:p>
        </w:tc>
        <w:tc>
          <w:tcPr>
            <w:tcW w:w="862" w:type="dxa"/>
            <w:tcBorders>
              <w:top w:val="nil"/>
              <w:left w:val="nil"/>
              <w:bottom w:val="single" w:sz="4" w:space="0" w:color="BFBFBF"/>
              <w:right w:val="single" w:sz="4" w:space="0" w:color="BFBFBF"/>
            </w:tcBorders>
            <w:shd w:val="clear" w:color="auto" w:fill="auto"/>
            <w:noWrap/>
            <w:vAlign w:val="bottom"/>
            <w:hideMark/>
          </w:tcPr>
          <w:p w14:paraId="23ABF7EE"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17531857" w14:textId="77777777" w:rsidR="00FC70F1" w:rsidRPr="00F31194" w:rsidRDefault="00FC70F1" w:rsidP="00FC70F1">
            <w:pPr>
              <w:jc w:val="right"/>
              <w:rPr>
                <w:sz w:val="14"/>
                <w:szCs w:val="14"/>
              </w:rPr>
            </w:pPr>
            <w:r w:rsidRPr="00F31194">
              <w:rPr>
                <w:sz w:val="14"/>
                <w:szCs w:val="14"/>
              </w:rPr>
              <w:t>0</w:t>
            </w:r>
          </w:p>
        </w:tc>
        <w:tc>
          <w:tcPr>
            <w:tcW w:w="851" w:type="dxa"/>
            <w:tcBorders>
              <w:top w:val="nil"/>
              <w:left w:val="nil"/>
              <w:bottom w:val="single" w:sz="4" w:space="0" w:color="BFBFBF"/>
              <w:right w:val="single" w:sz="4" w:space="0" w:color="BFBFBF"/>
            </w:tcBorders>
            <w:shd w:val="clear" w:color="auto" w:fill="auto"/>
            <w:noWrap/>
            <w:vAlign w:val="bottom"/>
            <w:hideMark/>
          </w:tcPr>
          <w:p w14:paraId="69D981E4" w14:textId="77777777" w:rsidR="00FC70F1" w:rsidRPr="00F31194" w:rsidRDefault="00FC70F1" w:rsidP="00FC70F1">
            <w:pPr>
              <w:jc w:val="right"/>
              <w:rPr>
                <w:sz w:val="14"/>
                <w:szCs w:val="14"/>
              </w:rPr>
            </w:pPr>
            <w:r w:rsidRPr="00F31194">
              <w:rPr>
                <w:sz w:val="14"/>
                <w:szCs w:val="14"/>
              </w:rPr>
              <w:t>-451 468</w:t>
            </w:r>
          </w:p>
        </w:tc>
        <w:tc>
          <w:tcPr>
            <w:tcW w:w="850" w:type="dxa"/>
            <w:tcBorders>
              <w:top w:val="nil"/>
              <w:left w:val="nil"/>
              <w:bottom w:val="single" w:sz="4" w:space="0" w:color="BFBFBF"/>
              <w:right w:val="single" w:sz="4" w:space="0" w:color="BFBFBF"/>
            </w:tcBorders>
            <w:shd w:val="clear" w:color="auto" w:fill="auto"/>
            <w:noWrap/>
            <w:vAlign w:val="bottom"/>
            <w:hideMark/>
          </w:tcPr>
          <w:p w14:paraId="5859022F" w14:textId="77777777" w:rsidR="00FC70F1" w:rsidRPr="00F31194" w:rsidRDefault="00FC70F1" w:rsidP="00FC70F1">
            <w:pPr>
              <w:jc w:val="right"/>
              <w:rPr>
                <w:b/>
                <w:bCs/>
                <w:sz w:val="14"/>
                <w:szCs w:val="14"/>
              </w:rPr>
            </w:pPr>
            <w:r w:rsidRPr="00F31194">
              <w:rPr>
                <w:b/>
                <w:bCs/>
                <w:sz w:val="14"/>
                <w:szCs w:val="14"/>
              </w:rPr>
              <w:t>-451 468</w:t>
            </w:r>
          </w:p>
        </w:tc>
      </w:tr>
      <w:tr w:rsidR="00FC70F1" w:rsidRPr="00FC70F1" w14:paraId="4DDBD810"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7B2D7FAE" w14:textId="77777777" w:rsidR="00FC70F1" w:rsidRPr="00F31194" w:rsidRDefault="00FC70F1" w:rsidP="00FC70F1">
            <w:pPr>
              <w:jc w:val="center"/>
              <w:rPr>
                <w:b/>
                <w:bCs/>
                <w:sz w:val="14"/>
                <w:szCs w:val="14"/>
              </w:rPr>
            </w:pPr>
            <w:r w:rsidRPr="00F31194">
              <w:rPr>
                <w:b/>
                <w:bCs/>
                <w:sz w:val="14"/>
                <w:szCs w:val="14"/>
              </w:rPr>
              <w:t>2031</w:t>
            </w:r>
          </w:p>
        </w:tc>
        <w:tc>
          <w:tcPr>
            <w:tcW w:w="862" w:type="dxa"/>
            <w:tcBorders>
              <w:top w:val="nil"/>
              <w:left w:val="nil"/>
              <w:bottom w:val="single" w:sz="4" w:space="0" w:color="BFBFBF"/>
              <w:right w:val="single" w:sz="4" w:space="0" w:color="BFBFBF"/>
            </w:tcBorders>
            <w:shd w:val="clear" w:color="000000" w:fill="FFFFFF"/>
            <w:noWrap/>
            <w:vAlign w:val="bottom"/>
            <w:hideMark/>
          </w:tcPr>
          <w:p w14:paraId="1B8833F1" w14:textId="77777777" w:rsidR="00FC70F1" w:rsidRPr="00F31194" w:rsidRDefault="00FC70F1" w:rsidP="00FC70F1">
            <w:pPr>
              <w:rPr>
                <w:sz w:val="14"/>
                <w:szCs w:val="14"/>
              </w:rPr>
            </w:pPr>
            <w:r w:rsidRPr="00F31194">
              <w:rPr>
                <w:sz w:val="14"/>
                <w:szCs w:val="14"/>
              </w:rPr>
              <w:t> </w:t>
            </w:r>
          </w:p>
        </w:tc>
        <w:tc>
          <w:tcPr>
            <w:tcW w:w="916" w:type="dxa"/>
            <w:tcBorders>
              <w:top w:val="nil"/>
              <w:left w:val="nil"/>
              <w:bottom w:val="single" w:sz="4" w:space="0" w:color="BFBFBF"/>
              <w:right w:val="single" w:sz="4" w:space="0" w:color="BFBFBF"/>
            </w:tcBorders>
            <w:shd w:val="clear" w:color="000000" w:fill="FFFFFF"/>
            <w:noWrap/>
            <w:vAlign w:val="bottom"/>
            <w:hideMark/>
          </w:tcPr>
          <w:p w14:paraId="533D7699"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000000" w:fill="FFFFFF"/>
            <w:noWrap/>
            <w:vAlign w:val="bottom"/>
            <w:hideMark/>
          </w:tcPr>
          <w:p w14:paraId="77FBA172" w14:textId="77777777" w:rsidR="00FC70F1" w:rsidRPr="00F31194" w:rsidRDefault="00FC70F1" w:rsidP="00FC70F1">
            <w:pPr>
              <w:jc w:val="right"/>
              <w:rPr>
                <w:sz w:val="14"/>
                <w:szCs w:val="14"/>
              </w:rPr>
            </w:pPr>
            <w:r w:rsidRPr="00F31194">
              <w:rPr>
                <w:sz w:val="14"/>
                <w:szCs w:val="14"/>
              </w:rPr>
              <w:t>267 909</w:t>
            </w:r>
          </w:p>
        </w:tc>
        <w:tc>
          <w:tcPr>
            <w:tcW w:w="850" w:type="dxa"/>
            <w:tcBorders>
              <w:top w:val="nil"/>
              <w:left w:val="nil"/>
              <w:bottom w:val="single" w:sz="4" w:space="0" w:color="BFBFBF"/>
              <w:right w:val="single" w:sz="4" w:space="0" w:color="BFBFBF"/>
            </w:tcBorders>
            <w:shd w:val="clear" w:color="auto" w:fill="auto"/>
            <w:noWrap/>
            <w:vAlign w:val="bottom"/>
            <w:hideMark/>
          </w:tcPr>
          <w:p w14:paraId="0B6D98C4" w14:textId="77777777" w:rsidR="00FC70F1" w:rsidRPr="00F31194" w:rsidRDefault="00FC70F1" w:rsidP="00FC70F1">
            <w:pPr>
              <w:jc w:val="right"/>
              <w:rPr>
                <w:b/>
                <w:bCs/>
                <w:sz w:val="14"/>
                <w:szCs w:val="14"/>
              </w:rPr>
            </w:pPr>
            <w:r w:rsidRPr="00F31194">
              <w:rPr>
                <w:b/>
                <w:bCs/>
                <w:sz w:val="14"/>
                <w:szCs w:val="14"/>
              </w:rPr>
              <w:t>267 909</w:t>
            </w:r>
          </w:p>
        </w:tc>
        <w:tc>
          <w:tcPr>
            <w:tcW w:w="862" w:type="dxa"/>
            <w:tcBorders>
              <w:top w:val="nil"/>
              <w:left w:val="nil"/>
              <w:bottom w:val="single" w:sz="4" w:space="0" w:color="BFBFBF"/>
              <w:right w:val="single" w:sz="4" w:space="0" w:color="BFBFBF"/>
            </w:tcBorders>
            <w:shd w:val="clear" w:color="auto" w:fill="auto"/>
            <w:noWrap/>
            <w:vAlign w:val="bottom"/>
            <w:hideMark/>
          </w:tcPr>
          <w:p w14:paraId="068A3E8B" w14:textId="77777777" w:rsidR="00FC70F1" w:rsidRPr="00F31194" w:rsidRDefault="00FC70F1" w:rsidP="00FC70F1">
            <w:pPr>
              <w:rPr>
                <w:sz w:val="14"/>
                <w:szCs w:val="14"/>
              </w:rPr>
            </w:pPr>
            <w:r w:rsidRPr="00F31194">
              <w:rPr>
                <w:sz w:val="14"/>
                <w:szCs w:val="14"/>
              </w:rPr>
              <w:t> </w:t>
            </w:r>
          </w:p>
        </w:tc>
        <w:tc>
          <w:tcPr>
            <w:tcW w:w="839" w:type="dxa"/>
            <w:tcBorders>
              <w:top w:val="nil"/>
              <w:left w:val="nil"/>
              <w:bottom w:val="single" w:sz="4" w:space="0" w:color="BFBFBF"/>
              <w:right w:val="single" w:sz="4" w:space="0" w:color="BFBFBF"/>
            </w:tcBorders>
            <w:shd w:val="clear" w:color="auto" w:fill="auto"/>
            <w:noWrap/>
            <w:vAlign w:val="bottom"/>
            <w:hideMark/>
          </w:tcPr>
          <w:p w14:paraId="008E1BD6" w14:textId="77777777" w:rsidR="00FC70F1" w:rsidRPr="00F31194" w:rsidRDefault="00FC70F1" w:rsidP="00FC70F1">
            <w:pPr>
              <w:rPr>
                <w:sz w:val="14"/>
                <w:szCs w:val="14"/>
              </w:rPr>
            </w:pPr>
            <w:r w:rsidRPr="00F31194">
              <w:rPr>
                <w:sz w:val="14"/>
                <w:szCs w:val="14"/>
              </w:rPr>
              <w:t> </w:t>
            </w:r>
          </w:p>
        </w:tc>
        <w:tc>
          <w:tcPr>
            <w:tcW w:w="851" w:type="dxa"/>
            <w:tcBorders>
              <w:top w:val="nil"/>
              <w:left w:val="nil"/>
              <w:bottom w:val="single" w:sz="4" w:space="0" w:color="BFBFBF"/>
              <w:right w:val="single" w:sz="4" w:space="0" w:color="BFBFBF"/>
            </w:tcBorders>
            <w:shd w:val="clear" w:color="auto" w:fill="auto"/>
            <w:noWrap/>
            <w:vAlign w:val="bottom"/>
            <w:hideMark/>
          </w:tcPr>
          <w:p w14:paraId="66CEA334" w14:textId="77777777" w:rsidR="00FC70F1" w:rsidRPr="00F31194" w:rsidRDefault="00FC70F1" w:rsidP="00FC70F1">
            <w:pPr>
              <w:jc w:val="right"/>
              <w:rPr>
                <w:sz w:val="14"/>
                <w:szCs w:val="14"/>
              </w:rPr>
            </w:pPr>
            <w:r w:rsidRPr="00F31194">
              <w:rPr>
                <w:sz w:val="14"/>
                <w:szCs w:val="14"/>
              </w:rPr>
              <w:t>630 208</w:t>
            </w:r>
          </w:p>
        </w:tc>
        <w:tc>
          <w:tcPr>
            <w:tcW w:w="850" w:type="dxa"/>
            <w:tcBorders>
              <w:top w:val="nil"/>
              <w:left w:val="nil"/>
              <w:bottom w:val="single" w:sz="4" w:space="0" w:color="BFBFBF"/>
              <w:right w:val="single" w:sz="4" w:space="0" w:color="BFBFBF"/>
            </w:tcBorders>
            <w:shd w:val="clear" w:color="auto" w:fill="auto"/>
            <w:noWrap/>
            <w:vAlign w:val="bottom"/>
            <w:hideMark/>
          </w:tcPr>
          <w:p w14:paraId="2057E027" w14:textId="77777777" w:rsidR="00FC70F1" w:rsidRPr="00F31194" w:rsidRDefault="00FC70F1" w:rsidP="00FC70F1">
            <w:pPr>
              <w:jc w:val="right"/>
              <w:rPr>
                <w:b/>
                <w:bCs/>
                <w:sz w:val="14"/>
                <w:szCs w:val="14"/>
              </w:rPr>
            </w:pPr>
            <w:r w:rsidRPr="00F31194">
              <w:rPr>
                <w:b/>
                <w:bCs/>
                <w:sz w:val="14"/>
                <w:szCs w:val="14"/>
              </w:rPr>
              <w:t>630 208</w:t>
            </w:r>
          </w:p>
        </w:tc>
        <w:tc>
          <w:tcPr>
            <w:tcW w:w="862" w:type="dxa"/>
            <w:tcBorders>
              <w:top w:val="nil"/>
              <w:left w:val="nil"/>
              <w:bottom w:val="single" w:sz="4" w:space="0" w:color="BFBFBF"/>
              <w:right w:val="single" w:sz="4" w:space="0" w:color="BFBFBF"/>
            </w:tcBorders>
            <w:shd w:val="clear" w:color="auto" w:fill="auto"/>
            <w:noWrap/>
            <w:vAlign w:val="bottom"/>
            <w:hideMark/>
          </w:tcPr>
          <w:p w14:paraId="663F0A70" w14:textId="77777777" w:rsidR="00FC70F1" w:rsidRPr="00F31194" w:rsidRDefault="00FC70F1" w:rsidP="00FC70F1">
            <w:pPr>
              <w:jc w:val="right"/>
              <w:rPr>
                <w:sz w:val="14"/>
                <w:szCs w:val="14"/>
              </w:rPr>
            </w:pPr>
            <w:r w:rsidRPr="00F31194">
              <w:rPr>
                <w:sz w:val="14"/>
                <w:szCs w:val="14"/>
              </w:rPr>
              <w:t>0</w:t>
            </w:r>
          </w:p>
        </w:tc>
        <w:tc>
          <w:tcPr>
            <w:tcW w:w="839" w:type="dxa"/>
            <w:tcBorders>
              <w:top w:val="nil"/>
              <w:left w:val="nil"/>
              <w:bottom w:val="single" w:sz="4" w:space="0" w:color="BFBFBF"/>
              <w:right w:val="single" w:sz="4" w:space="0" w:color="BFBFBF"/>
            </w:tcBorders>
            <w:shd w:val="clear" w:color="auto" w:fill="auto"/>
            <w:noWrap/>
            <w:vAlign w:val="bottom"/>
            <w:hideMark/>
          </w:tcPr>
          <w:p w14:paraId="1B805576" w14:textId="77777777" w:rsidR="00FC70F1" w:rsidRPr="00F31194" w:rsidRDefault="00FC70F1" w:rsidP="00FC70F1">
            <w:pPr>
              <w:jc w:val="right"/>
              <w:rPr>
                <w:sz w:val="14"/>
                <w:szCs w:val="14"/>
              </w:rPr>
            </w:pPr>
            <w:r w:rsidRPr="00F31194">
              <w:rPr>
                <w:sz w:val="14"/>
                <w:szCs w:val="14"/>
              </w:rPr>
              <w:t>0</w:t>
            </w:r>
          </w:p>
        </w:tc>
        <w:tc>
          <w:tcPr>
            <w:tcW w:w="851" w:type="dxa"/>
            <w:tcBorders>
              <w:top w:val="nil"/>
              <w:left w:val="nil"/>
              <w:bottom w:val="single" w:sz="4" w:space="0" w:color="BFBFBF"/>
              <w:right w:val="single" w:sz="4" w:space="0" w:color="BFBFBF"/>
            </w:tcBorders>
            <w:shd w:val="clear" w:color="auto" w:fill="auto"/>
            <w:noWrap/>
            <w:vAlign w:val="bottom"/>
            <w:hideMark/>
          </w:tcPr>
          <w:p w14:paraId="255B637D" w14:textId="77777777" w:rsidR="00FC70F1" w:rsidRPr="00F31194" w:rsidRDefault="00FC70F1" w:rsidP="00FC70F1">
            <w:pPr>
              <w:jc w:val="right"/>
              <w:rPr>
                <w:sz w:val="14"/>
                <w:szCs w:val="14"/>
              </w:rPr>
            </w:pPr>
            <w:r w:rsidRPr="00F31194">
              <w:rPr>
                <w:sz w:val="14"/>
                <w:szCs w:val="14"/>
              </w:rPr>
              <w:t>-362 299</w:t>
            </w:r>
          </w:p>
        </w:tc>
        <w:tc>
          <w:tcPr>
            <w:tcW w:w="850" w:type="dxa"/>
            <w:tcBorders>
              <w:top w:val="nil"/>
              <w:left w:val="nil"/>
              <w:bottom w:val="single" w:sz="4" w:space="0" w:color="BFBFBF"/>
              <w:right w:val="single" w:sz="4" w:space="0" w:color="BFBFBF"/>
            </w:tcBorders>
            <w:shd w:val="clear" w:color="auto" w:fill="auto"/>
            <w:noWrap/>
            <w:vAlign w:val="bottom"/>
            <w:hideMark/>
          </w:tcPr>
          <w:p w14:paraId="3E048129" w14:textId="77777777" w:rsidR="00FC70F1" w:rsidRPr="00F31194" w:rsidRDefault="00FC70F1" w:rsidP="00FC70F1">
            <w:pPr>
              <w:jc w:val="right"/>
              <w:rPr>
                <w:b/>
                <w:bCs/>
                <w:sz w:val="14"/>
                <w:szCs w:val="14"/>
              </w:rPr>
            </w:pPr>
            <w:r w:rsidRPr="00F31194">
              <w:rPr>
                <w:b/>
                <w:bCs/>
                <w:sz w:val="14"/>
                <w:szCs w:val="14"/>
              </w:rPr>
              <w:t>-362 299</w:t>
            </w:r>
          </w:p>
        </w:tc>
      </w:tr>
      <w:tr w:rsidR="00FC70F1" w:rsidRPr="00FC70F1" w14:paraId="7DA6CEDC" w14:textId="77777777" w:rsidTr="00797A8F">
        <w:trPr>
          <w:trHeight w:val="30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14:paraId="05FCB34F" w14:textId="77777777" w:rsidR="00FC70F1" w:rsidRPr="00F31194" w:rsidRDefault="00FC70F1" w:rsidP="00FC70F1">
            <w:pPr>
              <w:jc w:val="center"/>
              <w:rPr>
                <w:b/>
                <w:bCs/>
                <w:sz w:val="14"/>
                <w:szCs w:val="14"/>
              </w:rPr>
            </w:pPr>
            <w:r w:rsidRPr="00F31194">
              <w:rPr>
                <w:b/>
                <w:bCs/>
                <w:sz w:val="14"/>
                <w:szCs w:val="14"/>
              </w:rPr>
              <w:t>KOPĀ:</w:t>
            </w:r>
          </w:p>
        </w:tc>
        <w:tc>
          <w:tcPr>
            <w:tcW w:w="862" w:type="dxa"/>
            <w:tcBorders>
              <w:top w:val="nil"/>
              <w:left w:val="nil"/>
              <w:bottom w:val="single" w:sz="4" w:space="0" w:color="BFBFBF"/>
              <w:right w:val="single" w:sz="4" w:space="0" w:color="BFBFBF"/>
            </w:tcBorders>
            <w:shd w:val="clear" w:color="000000" w:fill="FFFFFF"/>
            <w:noWrap/>
            <w:vAlign w:val="center"/>
            <w:hideMark/>
          </w:tcPr>
          <w:p w14:paraId="4A779AD7" w14:textId="77777777" w:rsidR="00FC70F1" w:rsidRPr="00F31194" w:rsidRDefault="00FC70F1" w:rsidP="00FC70F1">
            <w:pPr>
              <w:jc w:val="right"/>
              <w:rPr>
                <w:b/>
                <w:bCs/>
                <w:sz w:val="14"/>
                <w:szCs w:val="14"/>
              </w:rPr>
            </w:pPr>
            <w:r w:rsidRPr="00F31194">
              <w:rPr>
                <w:b/>
                <w:bCs/>
                <w:sz w:val="14"/>
                <w:szCs w:val="14"/>
              </w:rPr>
              <w:t>32 790 237</w:t>
            </w:r>
          </w:p>
        </w:tc>
        <w:tc>
          <w:tcPr>
            <w:tcW w:w="916" w:type="dxa"/>
            <w:tcBorders>
              <w:top w:val="nil"/>
              <w:left w:val="nil"/>
              <w:bottom w:val="single" w:sz="4" w:space="0" w:color="BFBFBF"/>
              <w:right w:val="single" w:sz="4" w:space="0" w:color="BFBFBF"/>
            </w:tcBorders>
            <w:shd w:val="clear" w:color="000000" w:fill="FFFFFF"/>
            <w:noWrap/>
            <w:vAlign w:val="center"/>
            <w:hideMark/>
          </w:tcPr>
          <w:p w14:paraId="697C0C56" w14:textId="77777777" w:rsidR="00FC70F1" w:rsidRPr="00F31194" w:rsidRDefault="00FC70F1" w:rsidP="00FC70F1">
            <w:pPr>
              <w:jc w:val="right"/>
              <w:rPr>
                <w:b/>
                <w:bCs/>
                <w:sz w:val="14"/>
                <w:szCs w:val="14"/>
              </w:rPr>
            </w:pPr>
            <w:r w:rsidRPr="00F31194">
              <w:rPr>
                <w:b/>
                <w:bCs/>
                <w:sz w:val="14"/>
                <w:szCs w:val="14"/>
              </w:rPr>
              <w:t>34 927 411</w:t>
            </w:r>
          </w:p>
        </w:tc>
        <w:tc>
          <w:tcPr>
            <w:tcW w:w="851" w:type="dxa"/>
            <w:tcBorders>
              <w:top w:val="nil"/>
              <w:left w:val="nil"/>
              <w:bottom w:val="single" w:sz="4" w:space="0" w:color="BFBFBF"/>
              <w:right w:val="single" w:sz="4" w:space="0" w:color="BFBFBF"/>
            </w:tcBorders>
            <w:shd w:val="clear" w:color="000000" w:fill="FFFFFF"/>
            <w:noWrap/>
            <w:vAlign w:val="center"/>
            <w:hideMark/>
          </w:tcPr>
          <w:p w14:paraId="56F21E1A" w14:textId="77777777" w:rsidR="00FC70F1" w:rsidRPr="00F31194" w:rsidRDefault="00FC70F1" w:rsidP="00FC70F1">
            <w:pPr>
              <w:jc w:val="right"/>
              <w:rPr>
                <w:b/>
                <w:bCs/>
                <w:sz w:val="14"/>
                <w:szCs w:val="14"/>
              </w:rPr>
            </w:pPr>
            <w:r w:rsidRPr="00F31194">
              <w:rPr>
                <w:b/>
                <w:bCs/>
                <w:sz w:val="14"/>
                <w:szCs w:val="14"/>
              </w:rPr>
              <w:t>11 976 530</w:t>
            </w:r>
          </w:p>
        </w:tc>
        <w:tc>
          <w:tcPr>
            <w:tcW w:w="850" w:type="dxa"/>
            <w:tcBorders>
              <w:top w:val="nil"/>
              <w:left w:val="nil"/>
              <w:bottom w:val="single" w:sz="4" w:space="0" w:color="BFBFBF"/>
              <w:right w:val="single" w:sz="4" w:space="0" w:color="BFBFBF"/>
            </w:tcBorders>
            <w:shd w:val="clear" w:color="000000" w:fill="FFFFFF"/>
            <w:noWrap/>
            <w:vAlign w:val="center"/>
            <w:hideMark/>
          </w:tcPr>
          <w:p w14:paraId="2179A3A3" w14:textId="77777777" w:rsidR="00FC70F1" w:rsidRPr="00F31194" w:rsidRDefault="00FC70F1" w:rsidP="00FC70F1">
            <w:pPr>
              <w:jc w:val="right"/>
              <w:rPr>
                <w:b/>
                <w:bCs/>
                <w:sz w:val="14"/>
                <w:szCs w:val="14"/>
              </w:rPr>
            </w:pPr>
            <w:r w:rsidRPr="00F31194">
              <w:rPr>
                <w:b/>
                <w:bCs/>
                <w:sz w:val="14"/>
                <w:szCs w:val="14"/>
              </w:rPr>
              <w:t>46 903 941</w:t>
            </w:r>
          </w:p>
        </w:tc>
        <w:tc>
          <w:tcPr>
            <w:tcW w:w="862" w:type="dxa"/>
            <w:tcBorders>
              <w:top w:val="nil"/>
              <w:left w:val="nil"/>
              <w:bottom w:val="single" w:sz="4" w:space="0" w:color="BFBFBF"/>
              <w:right w:val="single" w:sz="4" w:space="0" w:color="BFBFBF"/>
            </w:tcBorders>
            <w:shd w:val="clear" w:color="auto" w:fill="auto"/>
            <w:noWrap/>
            <w:vAlign w:val="center"/>
            <w:hideMark/>
          </w:tcPr>
          <w:p w14:paraId="52877609" w14:textId="77777777" w:rsidR="00FC70F1" w:rsidRPr="00F31194" w:rsidRDefault="00FC70F1" w:rsidP="00FC70F1">
            <w:pPr>
              <w:jc w:val="right"/>
              <w:rPr>
                <w:b/>
                <w:bCs/>
                <w:sz w:val="14"/>
                <w:szCs w:val="14"/>
              </w:rPr>
            </w:pPr>
            <w:r w:rsidRPr="00F31194">
              <w:rPr>
                <w:b/>
                <w:bCs/>
                <w:sz w:val="14"/>
                <w:szCs w:val="14"/>
              </w:rPr>
              <w:t>8 958 007</w:t>
            </w:r>
          </w:p>
        </w:tc>
        <w:tc>
          <w:tcPr>
            <w:tcW w:w="839" w:type="dxa"/>
            <w:tcBorders>
              <w:top w:val="nil"/>
              <w:left w:val="nil"/>
              <w:bottom w:val="single" w:sz="4" w:space="0" w:color="BFBFBF"/>
              <w:right w:val="single" w:sz="4" w:space="0" w:color="BFBFBF"/>
            </w:tcBorders>
            <w:shd w:val="clear" w:color="auto" w:fill="auto"/>
            <w:noWrap/>
            <w:vAlign w:val="center"/>
            <w:hideMark/>
          </w:tcPr>
          <w:p w14:paraId="31C81E99" w14:textId="77777777" w:rsidR="00FC70F1" w:rsidRPr="00F31194" w:rsidRDefault="00FC70F1" w:rsidP="00FC70F1">
            <w:pPr>
              <w:ind w:hanging="35"/>
              <w:jc w:val="right"/>
              <w:rPr>
                <w:b/>
                <w:bCs/>
                <w:sz w:val="14"/>
                <w:szCs w:val="14"/>
              </w:rPr>
            </w:pPr>
            <w:r w:rsidRPr="00F31194">
              <w:rPr>
                <w:b/>
                <w:bCs/>
                <w:sz w:val="14"/>
                <w:szCs w:val="14"/>
              </w:rPr>
              <w:t>15 133 241</w:t>
            </w:r>
          </w:p>
        </w:tc>
        <w:tc>
          <w:tcPr>
            <w:tcW w:w="851" w:type="dxa"/>
            <w:tcBorders>
              <w:top w:val="nil"/>
              <w:left w:val="nil"/>
              <w:bottom w:val="single" w:sz="4" w:space="0" w:color="BFBFBF"/>
              <w:right w:val="single" w:sz="4" w:space="0" w:color="BFBFBF"/>
            </w:tcBorders>
            <w:shd w:val="clear" w:color="auto" w:fill="auto"/>
            <w:noWrap/>
            <w:vAlign w:val="center"/>
            <w:hideMark/>
          </w:tcPr>
          <w:p w14:paraId="654A9990" w14:textId="77777777" w:rsidR="00FC70F1" w:rsidRPr="00F31194" w:rsidRDefault="00FC70F1" w:rsidP="00FC70F1">
            <w:pPr>
              <w:jc w:val="right"/>
              <w:rPr>
                <w:b/>
                <w:bCs/>
                <w:sz w:val="14"/>
                <w:szCs w:val="14"/>
              </w:rPr>
            </w:pPr>
            <w:r w:rsidRPr="00F31194">
              <w:rPr>
                <w:b/>
                <w:bCs/>
                <w:sz w:val="14"/>
                <w:szCs w:val="14"/>
              </w:rPr>
              <w:t>16 327 285</w:t>
            </w:r>
          </w:p>
        </w:tc>
        <w:tc>
          <w:tcPr>
            <w:tcW w:w="850" w:type="dxa"/>
            <w:tcBorders>
              <w:top w:val="nil"/>
              <w:left w:val="nil"/>
              <w:bottom w:val="single" w:sz="4" w:space="0" w:color="BFBFBF"/>
              <w:right w:val="single" w:sz="4" w:space="0" w:color="BFBFBF"/>
            </w:tcBorders>
            <w:shd w:val="clear" w:color="auto" w:fill="auto"/>
            <w:noWrap/>
            <w:vAlign w:val="center"/>
            <w:hideMark/>
          </w:tcPr>
          <w:p w14:paraId="79F21C2D" w14:textId="77777777" w:rsidR="00FC70F1" w:rsidRPr="00F31194" w:rsidRDefault="00FC70F1" w:rsidP="00FC70F1">
            <w:pPr>
              <w:jc w:val="right"/>
              <w:rPr>
                <w:b/>
                <w:bCs/>
                <w:sz w:val="14"/>
                <w:szCs w:val="14"/>
              </w:rPr>
            </w:pPr>
            <w:r w:rsidRPr="00F31194">
              <w:rPr>
                <w:b/>
                <w:bCs/>
                <w:sz w:val="14"/>
                <w:szCs w:val="14"/>
              </w:rPr>
              <w:t>31 460 526</w:t>
            </w:r>
          </w:p>
        </w:tc>
        <w:tc>
          <w:tcPr>
            <w:tcW w:w="862" w:type="dxa"/>
            <w:tcBorders>
              <w:top w:val="nil"/>
              <w:left w:val="nil"/>
              <w:bottom w:val="single" w:sz="4" w:space="0" w:color="BFBFBF"/>
              <w:right w:val="single" w:sz="4" w:space="0" w:color="BFBFBF"/>
            </w:tcBorders>
            <w:shd w:val="clear" w:color="auto" w:fill="auto"/>
            <w:noWrap/>
            <w:vAlign w:val="center"/>
            <w:hideMark/>
          </w:tcPr>
          <w:p w14:paraId="582FD5A5" w14:textId="77777777" w:rsidR="00FC70F1" w:rsidRPr="00F31194" w:rsidRDefault="00FC70F1" w:rsidP="00FC70F1">
            <w:pPr>
              <w:jc w:val="right"/>
              <w:rPr>
                <w:b/>
                <w:bCs/>
                <w:sz w:val="14"/>
                <w:szCs w:val="14"/>
              </w:rPr>
            </w:pPr>
            <w:r w:rsidRPr="00F31194">
              <w:rPr>
                <w:b/>
                <w:bCs/>
                <w:sz w:val="14"/>
                <w:szCs w:val="14"/>
              </w:rPr>
              <w:t>23 832 230</w:t>
            </w:r>
          </w:p>
        </w:tc>
        <w:tc>
          <w:tcPr>
            <w:tcW w:w="839" w:type="dxa"/>
            <w:tcBorders>
              <w:top w:val="nil"/>
              <w:left w:val="nil"/>
              <w:bottom w:val="single" w:sz="4" w:space="0" w:color="BFBFBF"/>
              <w:right w:val="single" w:sz="4" w:space="0" w:color="BFBFBF"/>
            </w:tcBorders>
            <w:shd w:val="clear" w:color="auto" w:fill="auto"/>
            <w:noWrap/>
            <w:vAlign w:val="center"/>
            <w:hideMark/>
          </w:tcPr>
          <w:p w14:paraId="3E23F8FA" w14:textId="77777777" w:rsidR="00FC70F1" w:rsidRPr="00F31194" w:rsidRDefault="00FC70F1" w:rsidP="00FC70F1">
            <w:pPr>
              <w:ind w:hanging="119"/>
              <w:jc w:val="right"/>
              <w:rPr>
                <w:b/>
                <w:bCs/>
                <w:sz w:val="14"/>
                <w:szCs w:val="14"/>
              </w:rPr>
            </w:pPr>
            <w:r w:rsidRPr="00F31194">
              <w:rPr>
                <w:b/>
                <w:bCs/>
                <w:sz w:val="14"/>
                <w:szCs w:val="14"/>
              </w:rPr>
              <w:t>19 794 170</w:t>
            </w:r>
          </w:p>
        </w:tc>
        <w:tc>
          <w:tcPr>
            <w:tcW w:w="851" w:type="dxa"/>
            <w:tcBorders>
              <w:top w:val="nil"/>
              <w:left w:val="nil"/>
              <w:bottom w:val="single" w:sz="4" w:space="0" w:color="BFBFBF"/>
              <w:right w:val="single" w:sz="4" w:space="0" w:color="BFBFBF"/>
            </w:tcBorders>
            <w:shd w:val="clear" w:color="auto" w:fill="auto"/>
            <w:noWrap/>
            <w:vAlign w:val="center"/>
            <w:hideMark/>
          </w:tcPr>
          <w:p w14:paraId="05136717" w14:textId="77777777" w:rsidR="00FC70F1" w:rsidRPr="00F31194" w:rsidRDefault="00FC70F1" w:rsidP="00FC70F1">
            <w:pPr>
              <w:jc w:val="right"/>
              <w:rPr>
                <w:b/>
                <w:bCs/>
                <w:sz w:val="14"/>
                <w:szCs w:val="14"/>
              </w:rPr>
            </w:pPr>
            <w:r w:rsidRPr="00F31194">
              <w:rPr>
                <w:b/>
                <w:bCs/>
                <w:sz w:val="14"/>
                <w:szCs w:val="14"/>
              </w:rPr>
              <w:t>-4 350 755</w:t>
            </w:r>
          </w:p>
        </w:tc>
        <w:tc>
          <w:tcPr>
            <w:tcW w:w="850" w:type="dxa"/>
            <w:tcBorders>
              <w:top w:val="nil"/>
              <w:left w:val="nil"/>
              <w:bottom w:val="single" w:sz="4" w:space="0" w:color="BFBFBF"/>
              <w:right w:val="single" w:sz="4" w:space="0" w:color="BFBFBF"/>
            </w:tcBorders>
            <w:shd w:val="clear" w:color="auto" w:fill="auto"/>
            <w:noWrap/>
            <w:vAlign w:val="center"/>
            <w:hideMark/>
          </w:tcPr>
          <w:p w14:paraId="54668FC8" w14:textId="77777777" w:rsidR="00FC70F1" w:rsidRPr="00F31194" w:rsidRDefault="00FC70F1" w:rsidP="00FC70F1">
            <w:pPr>
              <w:jc w:val="right"/>
              <w:rPr>
                <w:b/>
                <w:bCs/>
                <w:sz w:val="14"/>
                <w:szCs w:val="14"/>
              </w:rPr>
            </w:pPr>
            <w:r w:rsidRPr="00F31194">
              <w:rPr>
                <w:b/>
                <w:bCs/>
                <w:sz w:val="14"/>
                <w:szCs w:val="14"/>
              </w:rPr>
              <w:t>15 443 415</w:t>
            </w:r>
          </w:p>
        </w:tc>
      </w:tr>
    </w:tbl>
    <w:p w14:paraId="099D5320" w14:textId="77777777" w:rsidR="000920C6" w:rsidRDefault="000920C6" w:rsidP="00F31194">
      <w:pPr>
        <w:pStyle w:val="tv213"/>
        <w:spacing w:before="0" w:beforeAutospacing="0" w:after="0" w:afterAutospacing="0"/>
      </w:pPr>
    </w:p>
    <w:p w14:paraId="672C56F9" w14:textId="41ACAE08" w:rsidR="00F577B4" w:rsidRPr="00797A8F" w:rsidRDefault="00F577B4" w:rsidP="00F577B4">
      <w:pPr>
        <w:pStyle w:val="tv213"/>
        <w:jc w:val="right"/>
      </w:pPr>
      <w:r w:rsidRPr="00797A8F">
        <w:t>5.tabula</w:t>
      </w:r>
    </w:p>
    <w:p w14:paraId="2B116EF7" w14:textId="3D753782" w:rsidR="00F577B4" w:rsidRPr="00F31194" w:rsidRDefault="00F577B4" w:rsidP="00F577B4">
      <w:pPr>
        <w:pStyle w:val="tv213"/>
        <w:jc w:val="center"/>
        <w:rPr>
          <w:b/>
        </w:rPr>
      </w:pPr>
      <w:r w:rsidRPr="00F31194">
        <w:rPr>
          <w:b/>
        </w:rPr>
        <w:t xml:space="preserve">Informācija par </w:t>
      </w:r>
      <w:r w:rsidR="00CA26CA" w:rsidRPr="00F31194">
        <w:rPr>
          <w:b/>
        </w:rPr>
        <w:t xml:space="preserve">prognozēto </w:t>
      </w:r>
      <w:r w:rsidRPr="00F31194">
        <w:rPr>
          <w:b/>
        </w:rPr>
        <w:t>protokollēmumu skaitu, fotoradaru un mulāžu skaitu</w:t>
      </w:r>
    </w:p>
    <w:tbl>
      <w:tblPr>
        <w:tblW w:w="5711" w:type="dxa"/>
        <w:jc w:val="center"/>
        <w:tblLook w:val="04A0" w:firstRow="1" w:lastRow="0" w:firstColumn="1" w:lastColumn="0" w:noHBand="0" w:noVBand="1"/>
      </w:tblPr>
      <w:tblGrid>
        <w:gridCol w:w="1129"/>
        <w:gridCol w:w="2739"/>
        <w:gridCol w:w="1843"/>
      </w:tblGrid>
      <w:tr w:rsidR="00D14D73" w:rsidRPr="00D14D73" w14:paraId="0E005ECF" w14:textId="77777777" w:rsidTr="00D14D73">
        <w:trPr>
          <w:trHeight w:val="207"/>
          <w:jc w:val="center"/>
        </w:trPr>
        <w:tc>
          <w:tcPr>
            <w:tcW w:w="1129"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E75C7D" w14:textId="77777777" w:rsidR="00D14D73" w:rsidRPr="00D14D73" w:rsidRDefault="00D14D73" w:rsidP="00D14D73">
            <w:pPr>
              <w:jc w:val="center"/>
              <w:rPr>
                <w:b/>
                <w:bCs/>
                <w:sz w:val="18"/>
                <w:szCs w:val="18"/>
              </w:rPr>
            </w:pPr>
            <w:r w:rsidRPr="00D14D73">
              <w:rPr>
                <w:b/>
                <w:bCs/>
                <w:sz w:val="18"/>
                <w:szCs w:val="18"/>
              </w:rPr>
              <w:t>Gads</w:t>
            </w:r>
          </w:p>
        </w:tc>
        <w:tc>
          <w:tcPr>
            <w:tcW w:w="2739"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593BEE" w14:textId="77777777" w:rsidR="00D14D73" w:rsidRDefault="00D14D73" w:rsidP="00D14D73">
            <w:pPr>
              <w:jc w:val="center"/>
              <w:rPr>
                <w:sz w:val="18"/>
                <w:szCs w:val="18"/>
              </w:rPr>
            </w:pPr>
            <w:r w:rsidRPr="00D14D73">
              <w:rPr>
                <w:sz w:val="18"/>
                <w:szCs w:val="18"/>
              </w:rPr>
              <w:t xml:space="preserve">Prognozētais protokollēmumu skaits uz 1 fotoradaru dienā </w:t>
            </w:r>
          </w:p>
          <w:p w14:paraId="2F858453" w14:textId="1F205A00" w:rsidR="00D14D73" w:rsidRPr="00D14D73" w:rsidRDefault="00D14D73" w:rsidP="00D14D73">
            <w:pPr>
              <w:jc w:val="center"/>
              <w:rPr>
                <w:sz w:val="18"/>
                <w:szCs w:val="18"/>
              </w:rPr>
            </w:pPr>
            <w:r w:rsidRPr="00D14D73">
              <w:rPr>
                <w:sz w:val="18"/>
                <w:szCs w:val="18"/>
              </w:rPr>
              <w:t>(I posms / II posms</w:t>
            </w:r>
            <w:r>
              <w:rPr>
                <w:sz w:val="18"/>
                <w:szCs w:val="18"/>
              </w:rPr>
              <w:t>)</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321FF2" w14:textId="77777777" w:rsidR="00D14D73" w:rsidRPr="00D14D73" w:rsidRDefault="00D14D73" w:rsidP="00D14D73">
            <w:pPr>
              <w:jc w:val="center"/>
              <w:rPr>
                <w:sz w:val="18"/>
                <w:szCs w:val="18"/>
              </w:rPr>
            </w:pPr>
            <w:r w:rsidRPr="00D14D73">
              <w:rPr>
                <w:sz w:val="18"/>
                <w:szCs w:val="18"/>
              </w:rPr>
              <w:t>Fotoradaru / mulāžu skaits (vidēji gadā)</w:t>
            </w:r>
          </w:p>
        </w:tc>
      </w:tr>
      <w:tr w:rsidR="00D14D73" w:rsidRPr="00D14D73" w14:paraId="59AE1FF1" w14:textId="77777777" w:rsidTr="00D14D73">
        <w:trPr>
          <w:trHeight w:val="570"/>
          <w:jc w:val="center"/>
        </w:trPr>
        <w:tc>
          <w:tcPr>
            <w:tcW w:w="1129" w:type="dxa"/>
            <w:vMerge/>
            <w:tcBorders>
              <w:top w:val="single" w:sz="4" w:space="0" w:color="BFBFBF"/>
              <w:left w:val="single" w:sz="4" w:space="0" w:color="BFBFBF"/>
              <w:bottom w:val="single" w:sz="4" w:space="0" w:color="BFBFBF"/>
              <w:right w:val="single" w:sz="4" w:space="0" w:color="BFBFBF"/>
            </w:tcBorders>
            <w:vAlign w:val="center"/>
            <w:hideMark/>
          </w:tcPr>
          <w:p w14:paraId="3F41E126" w14:textId="77777777" w:rsidR="00D14D73" w:rsidRPr="00D14D73" w:rsidRDefault="00D14D73" w:rsidP="00D14D73">
            <w:pPr>
              <w:rPr>
                <w:b/>
                <w:bCs/>
                <w:sz w:val="18"/>
                <w:szCs w:val="18"/>
              </w:rPr>
            </w:pPr>
          </w:p>
        </w:tc>
        <w:tc>
          <w:tcPr>
            <w:tcW w:w="2739" w:type="dxa"/>
            <w:vMerge/>
            <w:tcBorders>
              <w:top w:val="single" w:sz="4" w:space="0" w:color="BFBFBF"/>
              <w:left w:val="single" w:sz="4" w:space="0" w:color="BFBFBF"/>
              <w:bottom w:val="single" w:sz="4" w:space="0" w:color="BFBFBF"/>
              <w:right w:val="single" w:sz="4" w:space="0" w:color="BFBFBF"/>
            </w:tcBorders>
            <w:vAlign w:val="center"/>
            <w:hideMark/>
          </w:tcPr>
          <w:p w14:paraId="62958BB1" w14:textId="77777777" w:rsidR="00D14D73" w:rsidRPr="00D14D73" w:rsidRDefault="00D14D73" w:rsidP="00D14D73">
            <w:pPr>
              <w:rPr>
                <w:sz w:val="18"/>
                <w:szCs w:val="18"/>
              </w:rPr>
            </w:pPr>
          </w:p>
        </w:tc>
        <w:tc>
          <w:tcPr>
            <w:tcW w:w="1843" w:type="dxa"/>
            <w:vMerge/>
            <w:tcBorders>
              <w:top w:val="single" w:sz="4" w:space="0" w:color="BFBFBF"/>
              <w:left w:val="single" w:sz="4" w:space="0" w:color="BFBFBF"/>
              <w:bottom w:val="single" w:sz="4" w:space="0" w:color="BFBFBF"/>
              <w:right w:val="single" w:sz="4" w:space="0" w:color="BFBFBF"/>
            </w:tcBorders>
            <w:vAlign w:val="center"/>
            <w:hideMark/>
          </w:tcPr>
          <w:p w14:paraId="1E1D00A3" w14:textId="77777777" w:rsidR="00D14D73" w:rsidRPr="00D14D73" w:rsidRDefault="00D14D73" w:rsidP="00D14D73">
            <w:pPr>
              <w:rPr>
                <w:sz w:val="18"/>
                <w:szCs w:val="18"/>
              </w:rPr>
            </w:pPr>
          </w:p>
        </w:tc>
      </w:tr>
      <w:tr w:rsidR="00D14D73" w:rsidRPr="00D14D73" w14:paraId="2BABD6D6"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080C3945" w14:textId="77777777" w:rsidR="00D14D73" w:rsidRPr="00D14D73" w:rsidRDefault="00D14D73" w:rsidP="00D14D73">
            <w:pPr>
              <w:jc w:val="center"/>
              <w:rPr>
                <w:b/>
                <w:bCs/>
                <w:sz w:val="18"/>
                <w:szCs w:val="18"/>
              </w:rPr>
            </w:pPr>
            <w:r w:rsidRPr="00D14D73">
              <w:rPr>
                <w:b/>
                <w:bCs/>
                <w:sz w:val="18"/>
                <w:szCs w:val="18"/>
              </w:rPr>
              <w:t>2020</w:t>
            </w:r>
          </w:p>
        </w:tc>
        <w:tc>
          <w:tcPr>
            <w:tcW w:w="2739" w:type="dxa"/>
            <w:tcBorders>
              <w:top w:val="nil"/>
              <w:left w:val="nil"/>
              <w:bottom w:val="single" w:sz="4" w:space="0" w:color="BFBFBF"/>
              <w:right w:val="single" w:sz="4" w:space="0" w:color="BFBFBF"/>
            </w:tcBorders>
            <w:shd w:val="clear" w:color="auto" w:fill="auto"/>
            <w:noWrap/>
            <w:vAlign w:val="bottom"/>
            <w:hideMark/>
          </w:tcPr>
          <w:p w14:paraId="0BB393C4" w14:textId="189D5029" w:rsidR="00D14D73" w:rsidRPr="00D14D73" w:rsidRDefault="00D14D73" w:rsidP="00D14D73">
            <w:pPr>
              <w:jc w:val="center"/>
              <w:rPr>
                <w:sz w:val="18"/>
                <w:szCs w:val="18"/>
              </w:rPr>
            </w:pPr>
            <w:r w:rsidRPr="00D14D73">
              <w:rPr>
                <w:sz w:val="18"/>
                <w:szCs w:val="18"/>
              </w:rPr>
              <w:t xml:space="preserve"> </w:t>
            </w:r>
            <w:r w:rsidR="002F2B95">
              <w:rPr>
                <w:sz w:val="18"/>
                <w:szCs w:val="18"/>
              </w:rPr>
              <w:t>9</w:t>
            </w:r>
            <w:r w:rsidRPr="00D14D73">
              <w:rPr>
                <w:sz w:val="18"/>
                <w:szCs w:val="18"/>
              </w:rPr>
              <w:t xml:space="preserve"> / 0</w:t>
            </w:r>
          </w:p>
        </w:tc>
        <w:tc>
          <w:tcPr>
            <w:tcW w:w="1843" w:type="dxa"/>
            <w:tcBorders>
              <w:top w:val="nil"/>
              <w:left w:val="nil"/>
              <w:bottom w:val="single" w:sz="4" w:space="0" w:color="BFBFBF"/>
              <w:right w:val="single" w:sz="4" w:space="0" w:color="BFBFBF"/>
            </w:tcBorders>
            <w:shd w:val="clear" w:color="auto" w:fill="auto"/>
            <w:noWrap/>
            <w:vAlign w:val="bottom"/>
            <w:hideMark/>
          </w:tcPr>
          <w:p w14:paraId="03388DFD" w14:textId="77777777" w:rsidR="00D14D73" w:rsidRPr="00D14D73" w:rsidRDefault="00D14D73" w:rsidP="00D14D73">
            <w:pPr>
              <w:jc w:val="center"/>
              <w:rPr>
                <w:sz w:val="18"/>
                <w:szCs w:val="18"/>
              </w:rPr>
            </w:pPr>
            <w:r w:rsidRPr="00D14D73">
              <w:rPr>
                <w:sz w:val="18"/>
                <w:szCs w:val="18"/>
              </w:rPr>
              <w:t>100/ 0</w:t>
            </w:r>
          </w:p>
        </w:tc>
      </w:tr>
      <w:tr w:rsidR="00D14D73" w:rsidRPr="00D14D73" w14:paraId="5EE58ECE"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7A5DA4DC" w14:textId="77777777" w:rsidR="00D14D73" w:rsidRPr="00D14D73" w:rsidRDefault="00D14D73" w:rsidP="00D14D73">
            <w:pPr>
              <w:jc w:val="center"/>
              <w:rPr>
                <w:b/>
                <w:bCs/>
                <w:sz w:val="18"/>
                <w:szCs w:val="18"/>
              </w:rPr>
            </w:pPr>
            <w:r w:rsidRPr="00D14D73">
              <w:rPr>
                <w:b/>
                <w:bCs/>
                <w:sz w:val="18"/>
                <w:szCs w:val="18"/>
              </w:rPr>
              <w:t>2021</w:t>
            </w:r>
          </w:p>
        </w:tc>
        <w:tc>
          <w:tcPr>
            <w:tcW w:w="2739" w:type="dxa"/>
            <w:tcBorders>
              <w:top w:val="nil"/>
              <w:left w:val="nil"/>
              <w:bottom w:val="single" w:sz="4" w:space="0" w:color="BFBFBF"/>
              <w:right w:val="single" w:sz="4" w:space="0" w:color="BFBFBF"/>
            </w:tcBorders>
            <w:shd w:val="clear" w:color="auto" w:fill="auto"/>
            <w:noWrap/>
            <w:vAlign w:val="bottom"/>
            <w:hideMark/>
          </w:tcPr>
          <w:p w14:paraId="7044D897" w14:textId="6618F3E8" w:rsidR="00D14D73" w:rsidRPr="00D14D73" w:rsidRDefault="00D14D73" w:rsidP="00D14D73">
            <w:pPr>
              <w:jc w:val="center"/>
              <w:rPr>
                <w:sz w:val="18"/>
                <w:szCs w:val="18"/>
              </w:rPr>
            </w:pPr>
            <w:r w:rsidRPr="00D14D73">
              <w:rPr>
                <w:sz w:val="18"/>
                <w:szCs w:val="18"/>
              </w:rPr>
              <w:t xml:space="preserve"> </w:t>
            </w:r>
            <w:r w:rsidR="002F2B95">
              <w:rPr>
                <w:sz w:val="18"/>
                <w:szCs w:val="18"/>
              </w:rPr>
              <w:t>9</w:t>
            </w:r>
            <w:r w:rsidRPr="00D14D73">
              <w:rPr>
                <w:sz w:val="18"/>
                <w:szCs w:val="18"/>
              </w:rPr>
              <w:t xml:space="preserve"> / 4</w:t>
            </w:r>
          </w:p>
        </w:tc>
        <w:tc>
          <w:tcPr>
            <w:tcW w:w="1843" w:type="dxa"/>
            <w:tcBorders>
              <w:top w:val="nil"/>
              <w:left w:val="nil"/>
              <w:bottom w:val="single" w:sz="4" w:space="0" w:color="BFBFBF"/>
              <w:right w:val="single" w:sz="4" w:space="0" w:color="BFBFBF"/>
            </w:tcBorders>
            <w:shd w:val="clear" w:color="auto" w:fill="auto"/>
            <w:noWrap/>
            <w:vAlign w:val="bottom"/>
            <w:hideMark/>
          </w:tcPr>
          <w:p w14:paraId="1C360188" w14:textId="77777777" w:rsidR="00D14D73" w:rsidRPr="00D14D73" w:rsidRDefault="00D14D73" w:rsidP="00D14D73">
            <w:pPr>
              <w:jc w:val="center"/>
              <w:rPr>
                <w:sz w:val="18"/>
                <w:szCs w:val="18"/>
              </w:rPr>
            </w:pPr>
            <w:r w:rsidRPr="00D14D73">
              <w:rPr>
                <w:sz w:val="18"/>
                <w:szCs w:val="18"/>
              </w:rPr>
              <w:t>107 / 7</w:t>
            </w:r>
          </w:p>
        </w:tc>
      </w:tr>
      <w:tr w:rsidR="00D14D73" w:rsidRPr="00D14D73" w14:paraId="3D38BB70"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27A44ADB" w14:textId="77777777" w:rsidR="00D14D73" w:rsidRPr="00D14D73" w:rsidRDefault="00D14D73" w:rsidP="00D14D73">
            <w:pPr>
              <w:jc w:val="center"/>
              <w:rPr>
                <w:b/>
                <w:bCs/>
                <w:sz w:val="18"/>
                <w:szCs w:val="18"/>
              </w:rPr>
            </w:pPr>
            <w:r w:rsidRPr="00D14D73">
              <w:rPr>
                <w:b/>
                <w:bCs/>
                <w:sz w:val="18"/>
                <w:szCs w:val="18"/>
              </w:rPr>
              <w:t>2022</w:t>
            </w:r>
          </w:p>
        </w:tc>
        <w:tc>
          <w:tcPr>
            <w:tcW w:w="2739" w:type="dxa"/>
            <w:tcBorders>
              <w:top w:val="nil"/>
              <w:left w:val="nil"/>
              <w:bottom w:val="single" w:sz="4" w:space="0" w:color="BFBFBF"/>
              <w:right w:val="single" w:sz="4" w:space="0" w:color="BFBFBF"/>
            </w:tcBorders>
            <w:shd w:val="clear" w:color="auto" w:fill="auto"/>
            <w:noWrap/>
            <w:vAlign w:val="bottom"/>
            <w:hideMark/>
          </w:tcPr>
          <w:p w14:paraId="70D98141" w14:textId="77777777" w:rsidR="00D14D73" w:rsidRPr="00D14D73" w:rsidRDefault="00D14D73" w:rsidP="00D14D73">
            <w:pPr>
              <w:jc w:val="center"/>
              <w:rPr>
                <w:sz w:val="18"/>
                <w:szCs w:val="18"/>
              </w:rPr>
            </w:pPr>
            <w:r w:rsidRPr="00D14D73">
              <w:rPr>
                <w:sz w:val="18"/>
                <w:szCs w:val="18"/>
              </w:rPr>
              <w:t xml:space="preserve"> 8 / 3</w:t>
            </w:r>
          </w:p>
        </w:tc>
        <w:tc>
          <w:tcPr>
            <w:tcW w:w="1843" w:type="dxa"/>
            <w:tcBorders>
              <w:top w:val="nil"/>
              <w:left w:val="nil"/>
              <w:bottom w:val="single" w:sz="4" w:space="0" w:color="BFBFBF"/>
              <w:right w:val="single" w:sz="4" w:space="0" w:color="BFBFBF"/>
            </w:tcBorders>
            <w:shd w:val="clear" w:color="auto" w:fill="auto"/>
            <w:noWrap/>
            <w:vAlign w:val="bottom"/>
            <w:hideMark/>
          </w:tcPr>
          <w:p w14:paraId="634084EF" w14:textId="77777777" w:rsidR="00D14D73" w:rsidRPr="00D14D73" w:rsidRDefault="00D14D73" w:rsidP="00D14D73">
            <w:pPr>
              <w:jc w:val="center"/>
              <w:rPr>
                <w:sz w:val="18"/>
                <w:szCs w:val="18"/>
              </w:rPr>
            </w:pPr>
            <w:r w:rsidRPr="00D14D73">
              <w:rPr>
                <w:sz w:val="18"/>
                <w:szCs w:val="18"/>
              </w:rPr>
              <w:t>124 / 24</w:t>
            </w:r>
          </w:p>
        </w:tc>
      </w:tr>
      <w:tr w:rsidR="00D14D73" w:rsidRPr="00D14D73" w14:paraId="129A6D45"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447B7FC5" w14:textId="77777777" w:rsidR="00D14D73" w:rsidRPr="00D14D73" w:rsidRDefault="00D14D73" w:rsidP="00D14D73">
            <w:pPr>
              <w:jc w:val="center"/>
              <w:rPr>
                <w:b/>
                <w:bCs/>
                <w:sz w:val="18"/>
                <w:szCs w:val="18"/>
              </w:rPr>
            </w:pPr>
            <w:r w:rsidRPr="00D14D73">
              <w:rPr>
                <w:b/>
                <w:bCs/>
                <w:sz w:val="18"/>
                <w:szCs w:val="18"/>
              </w:rPr>
              <w:t>2023</w:t>
            </w:r>
          </w:p>
        </w:tc>
        <w:tc>
          <w:tcPr>
            <w:tcW w:w="2739" w:type="dxa"/>
            <w:tcBorders>
              <w:top w:val="nil"/>
              <w:left w:val="nil"/>
              <w:bottom w:val="single" w:sz="4" w:space="0" w:color="BFBFBF"/>
              <w:right w:val="single" w:sz="4" w:space="0" w:color="BFBFBF"/>
            </w:tcBorders>
            <w:shd w:val="clear" w:color="auto" w:fill="auto"/>
            <w:noWrap/>
            <w:vAlign w:val="bottom"/>
            <w:hideMark/>
          </w:tcPr>
          <w:p w14:paraId="1ADF99AE" w14:textId="77777777" w:rsidR="00D14D73" w:rsidRPr="00D14D73" w:rsidRDefault="00D14D73" w:rsidP="00D14D73">
            <w:pPr>
              <w:jc w:val="center"/>
              <w:rPr>
                <w:sz w:val="18"/>
                <w:szCs w:val="18"/>
              </w:rPr>
            </w:pPr>
            <w:r w:rsidRPr="00D14D73">
              <w:rPr>
                <w:sz w:val="18"/>
                <w:szCs w:val="18"/>
              </w:rPr>
              <w:t xml:space="preserve"> 5 / 3 </w:t>
            </w:r>
          </w:p>
        </w:tc>
        <w:tc>
          <w:tcPr>
            <w:tcW w:w="1843" w:type="dxa"/>
            <w:tcBorders>
              <w:top w:val="nil"/>
              <w:left w:val="nil"/>
              <w:bottom w:val="single" w:sz="4" w:space="0" w:color="BFBFBF"/>
              <w:right w:val="single" w:sz="4" w:space="0" w:color="BFBFBF"/>
            </w:tcBorders>
            <w:shd w:val="clear" w:color="auto" w:fill="auto"/>
            <w:noWrap/>
            <w:vAlign w:val="bottom"/>
            <w:hideMark/>
          </w:tcPr>
          <w:p w14:paraId="0F177970" w14:textId="77777777" w:rsidR="00D14D73" w:rsidRPr="00D14D73" w:rsidRDefault="00D14D73" w:rsidP="00D14D73">
            <w:pPr>
              <w:jc w:val="center"/>
              <w:rPr>
                <w:sz w:val="18"/>
                <w:szCs w:val="18"/>
              </w:rPr>
            </w:pPr>
            <w:r w:rsidRPr="00D14D73">
              <w:rPr>
                <w:sz w:val="18"/>
                <w:szCs w:val="18"/>
              </w:rPr>
              <w:t>125 / 41</w:t>
            </w:r>
          </w:p>
        </w:tc>
      </w:tr>
      <w:tr w:rsidR="00D14D73" w:rsidRPr="00D14D73" w14:paraId="6CFF1F44"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495EB0A8" w14:textId="77777777" w:rsidR="00D14D73" w:rsidRPr="00D14D73" w:rsidRDefault="00D14D73" w:rsidP="00D14D73">
            <w:pPr>
              <w:jc w:val="center"/>
              <w:rPr>
                <w:b/>
                <w:bCs/>
                <w:sz w:val="18"/>
                <w:szCs w:val="18"/>
              </w:rPr>
            </w:pPr>
            <w:r w:rsidRPr="00D14D73">
              <w:rPr>
                <w:b/>
                <w:bCs/>
                <w:sz w:val="18"/>
                <w:szCs w:val="18"/>
              </w:rPr>
              <w:t>2024</w:t>
            </w:r>
          </w:p>
        </w:tc>
        <w:tc>
          <w:tcPr>
            <w:tcW w:w="2739" w:type="dxa"/>
            <w:tcBorders>
              <w:top w:val="nil"/>
              <w:left w:val="nil"/>
              <w:bottom w:val="single" w:sz="4" w:space="0" w:color="BFBFBF"/>
              <w:right w:val="single" w:sz="4" w:space="0" w:color="BFBFBF"/>
            </w:tcBorders>
            <w:shd w:val="clear" w:color="auto" w:fill="auto"/>
            <w:noWrap/>
            <w:vAlign w:val="bottom"/>
            <w:hideMark/>
          </w:tcPr>
          <w:p w14:paraId="1FC7FC85" w14:textId="77777777" w:rsidR="00D14D73" w:rsidRPr="00D14D73" w:rsidRDefault="00D14D73" w:rsidP="00D14D73">
            <w:pPr>
              <w:jc w:val="center"/>
              <w:rPr>
                <w:sz w:val="18"/>
                <w:szCs w:val="18"/>
              </w:rPr>
            </w:pPr>
            <w:r w:rsidRPr="00D14D73">
              <w:rPr>
                <w:sz w:val="18"/>
                <w:szCs w:val="18"/>
              </w:rPr>
              <w:t xml:space="preserve"> 5 / 3</w:t>
            </w:r>
          </w:p>
        </w:tc>
        <w:tc>
          <w:tcPr>
            <w:tcW w:w="1843" w:type="dxa"/>
            <w:tcBorders>
              <w:top w:val="nil"/>
              <w:left w:val="nil"/>
              <w:bottom w:val="single" w:sz="4" w:space="0" w:color="BFBFBF"/>
              <w:right w:val="single" w:sz="4" w:space="0" w:color="BFBFBF"/>
            </w:tcBorders>
            <w:shd w:val="clear" w:color="auto" w:fill="auto"/>
            <w:noWrap/>
            <w:vAlign w:val="bottom"/>
            <w:hideMark/>
          </w:tcPr>
          <w:p w14:paraId="562F3B34" w14:textId="77777777" w:rsidR="00D14D73" w:rsidRPr="00D14D73" w:rsidRDefault="00D14D73" w:rsidP="00D14D73">
            <w:pPr>
              <w:jc w:val="center"/>
              <w:rPr>
                <w:sz w:val="18"/>
                <w:szCs w:val="18"/>
              </w:rPr>
            </w:pPr>
            <w:r w:rsidRPr="00D14D73">
              <w:rPr>
                <w:sz w:val="18"/>
                <w:szCs w:val="18"/>
              </w:rPr>
              <w:t>110 / 50</w:t>
            </w:r>
          </w:p>
        </w:tc>
      </w:tr>
      <w:tr w:rsidR="00D14D73" w:rsidRPr="00D14D73" w14:paraId="1B61282D"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125F6AB1" w14:textId="77777777" w:rsidR="00D14D73" w:rsidRPr="00D14D73" w:rsidRDefault="00D14D73" w:rsidP="00D14D73">
            <w:pPr>
              <w:jc w:val="center"/>
              <w:rPr>
                <w:b/>
                <w:bCs/>
                <w:sz w:val="18"/>
                <w:szCs w:val="18"/>
              </w:rPr>
            </w:pPr>
            <w:r w:rsidRPr="00D14D73">
              <w:rPr>
                <w:b/>
                <w:bCs/>
                <w:sz w:val="18"/>
                <w:szCs w:val="18"/>
              </w:rPr>
              <w:t>2025</w:t>
            </w:r>
          </w:p>
        </w:tc>
        <w:tc>
          <w:tcPr>
            <w:tcW w:w="2739" w:type="dxa"/>
            <w:tcBorders>
              <w:top w:val="nil"/>
              <w:left w:val="nil"/>
              <w:bottom w:val="single" w:sz="4" w:space="0" w:color="BFBFBF"/>
              <w:right w:val="single" w:sz="4" w:space="0" w:color="BFBFBF"/>
            </w:tcBorders>
            <w:shd w:val="clear" w:color="auto" w:fill="auto"/>
            <w:noWrap/>
            <w:vAlign w:val="bottom"/>
            <w:hideMark/>
          </w:tcPr>
          <w:p w14:paraId="74105AAE" w14:textId="77777777" w:rsidR="00D14D73" w:rsidRPr="00D14D73" w:rsidRDefault="00D14D73" w:rsidP="00D14D73">
            <w:pPr>
              <w:jc w:val="center"/>
              <w:rPr>
                <w:sz w:val="18"/>
                <w:szCs w:val="18"/>
              </w:rPr>
            </w:pPr>
            <w:r w:rsidRPr="00D14D73">
              <w:rPr>
                <w:sz w:val="18"/>
                <w:szCs w:val="18"/>
              </w:rPr>
              <w:t xml:space="preserve"> 5 / 3</w:t>
            </w:r>
          </w:p>
        </w:tc>
        <w:tc>
          <w:tcPr>
            <w:tcW w:w="1843" w:type="dxa"/>
            <w:tcBorders>
              <w:top w:val="nil"/>
              <w:left w:val="nil"/>
              <w:bottom w:val="single" w:sz="4" w:space="0" w:color="BFBFBF"/>
              <w:right w:val="single" w:sz="4" w:space="0" w:color="BFBFBF"/>
            </w:tcBorders>
            <w:shd w:val="clear" w:color="auto" w:fill="auto"/>
            <w:noWrap/>
            <w:vAlign w:val="bottom"/>
            <w:hideMark/>
          </w:tcPr>
          <w:p w14:paraId="3273B12F" w14:textId="77777777" w:rsidR="00D14D73" w:rsidRPr="00D14D73" w:rsidRDefault="00D14D73" w:rsidP="00D14D73">
            <w:pPr>
              <w:jc w:val="center"/>
              <w:rPr>
                <w:sz w:val="18"/>
                <w:szCs w:val="18"/>
              </w:rPr>
            </w:pPr>
            <w:r w:rsidRPr="00D14D73">
              <w:rPr>
                <w:sz w:val="18"/>
                <w:szCs w:val="18"/>
              </w:rPr>
              <w:t>90 / 50</w:t>
            </w:r>
          </w:p>
        </w:tc>
      </w:tr>
      <w:tr w:rsidR="00D14D73" w:rsidRPr="00D14D73" w14:paraId="236841F7"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794F007D" w14:textId="77777777" w:rsidR="00D14D73" w:rsidRPr="00D14D73" w:rsidRDefault="00D14D73" w:rsidP="00D14D73">
            <w:pPr>
              <w:jc w:val="center"/>
              <w:rPr>
                <w:b/>
                <w:bCs/>
                <w:sz w:val="18"/>
                <w:szCs w:val="18"/>
              </w:rPr>
            </w:pPr>
            <w:r w:rsidRPr="00D14D73">
              <w:rPr>
                <w:b/>
                <w:bCs/>
                <w:sz w:val="18"/>
                <w:szCs w:val="18"/>
              </w:rPr>
              <w:t>2026</w:t>
            </w:r>
          </w:p>
        </w:tc>
        <w:tc>
          <w:tcPr>
            <w:tcW w:w="2739" w:type="dxa"/>
            <w:tcBorders>
              <w:top w:val="nil"/>
              <w:left w:val="nil"/>
              <w:bottom w:val="single" w:sz="4" w:space="0" w:color="BFBFBF"/>
              <w:right w:val="single" w:sz="4" w:space="0" w:color="BFBFBF"/>
            </w:tcBorders>
            <w:shd w:val="clear" w:color="auto" w:fill="auto"/>
            <w:noWrap/>
            <w:vAlign w:val="bottom"/>
            <w:hideMark/>
          </w:tcPr>
          <w:p w14:paraId="69D0E0D9" w14:textId="77777777" w:rsidR="00D14D73" w:rsidRPr="00D14D73" w:rsidRDefault="00D14D73" w:rsidP="00D14D73">
            <w:pPr>
              <w:jc w:val="center"/>
              <w:rPr>
                <w:sz w:val="18"/>
                <w:szCs w:val="18"/>
              </w:rPr>
            </w:pPr>
            <w:r w:rsidRPr="00D14D73">
              <w:rPr>
                <w:sz w:val="18"/>
                <w:szCs w:val="18"/>
              </w:rPr>
              <w:t xml:space="preserve"> 0 / 3</w:t>
            </w:r>
          </w:p>
        </w:tc>
        <w:tc>
          <w:tcPr>
            <w:tcW w:w="1843" w:type="dxa"/>
            <w:tcBorders>
              <w:top w:val="nil"/>
              <w:left w:val="nil"/>
              <w:bottom w:val="single" w:sz="4" w:space="0" w:color="BFBFBF"/>
              <w:right w:val="single" w:sz="4" w:space="0" w:color="BFBFBF"/>
            </w:tcBorders>
            <w:shd w:val="clear" w:color="auto" w:fill="auto"/>
            <w:noWrap/>
            <w:vAlign w:val="bottom"/>
            <w:hideMark/>
          </w:tcPr>
          <w:p w14:paraId="0D4ECF02" w14:textId="77777777" w:rsidR="00D14D73" w:rsidRPr="00D14D73" w:rsidRDefault="00D14D73" w:rsidP="00D14D73">
            <w:pPr>
              <w:jc w:val="center"/>
              <w:rPr>
                <w:sz w:val="18"/>
                <w:szCs w:val="18"/>
              </w:rPr>
            </w:pPr>
            <w:r w:rsidRPr="00D14D73">
              <w:rPr>
                <w:sz w:val="18"/>
                <w:szCs w:val="18"/>
              </w:rPr>
              <w:t>50 / 50</w:t>
            </w:r>
          </w:p>
        </w:tc>
      </w:tr>
      <w:tr w:rsidR="00D14D73" w:rsidRPr="00D14D73" w14:paraId="6FE92A00" w14:textId="77777777" w:rsidTr="00D14D73">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71B76A15" w14:textId="77777777" w:rsidR="00D14D73" w:rsidRPr="00D14D73" w:rsidRDefault="00D14D73" w:rsidP="00D14D73">
            <w:pPr>
              <w:jc w:val="center"/>
              <w:rPr>
                <w:b/>
                <w:bCs/>
                <w:sz w:val="18"/>
                <w:szCs w:val="18"/>
              </w:rPr>
            </w:pPr>
            <w:r w:rsidRPr="00D14D73">
              <w:rPr>
                <w:b/>
                <w:bCs/>
                <w:sz w:val="18"/>
                <w:szCs w:val="18"/>
              </w:rPr>
              <w:t>2027</w:t>
            </w:r>
          </w:p>
        </w:tc>
        <w:tc>
          <w:tcPr>
            <w:tcW w:w="2739" w:type="dxa"/>
            <w:tcBorders>
              <w:top w:val="nil"/>
              <w:left w:val="nil"/>
              <w:bottom w:val="single" w:sz="4" w:space="0" w:color="BFBFBF"/>
              <w:right w:val="single" w:sz="4" w:space="0" w:color="BFBFBF"/>
            </w:tcBorders>
            <w:shd w:val="clear" w:color="auto" w:fill="auto"/>
            <w:noWrap/>
            <w:vAlign w:val="bottom"/>
            <w:hideMark/>
          </w:tcPr>
          <w:p w14:paraId="39C82396" w14:textId="77777777" w:rsidR="00D14D73" w:rsidRPr="00D14D73" w:rsidRDefault="00D14D73" w:rsidP="00D14D73">
            <w:pPr>
              <w:jc w:val="center"/>
              <w:rPr>
                <w:sz w:val="18"/>
                <w:szCs w:val="18"/>
              </w:rPr>
            </w:pPr>
            <w:r w:rsidRPr="00D14D73">
              <w:rPr>
                <w:sz w:val="18"/>
                <w:szCs w:val="18"/>
              </w:rPr>
              <w:t xml:space="preserve"> 0 / 3</w:t>
            </w:r>
          </w:p>
        </w:tc>
        <w:tc>
          <w:tcPr>
            <w:tcW w:w="1843" w:type="dxa"/>
            <w:tcBorders>
              <w:top w:val="nil"/>
              <w:left w:val="nil"/>
              <w:bottom w:val="single" w:sz="4" w:space="0" w:color="BFBFBF"/>
              <w:right w:val="single" w:sz="4" w:space="0" w:color="BFBFBF"/>
            </w:tcBorders>
            <w:shd w:val="clear" w:color="auto" w:fill="auto"/>
            <w:noWrap/>
            <w:vAlign w:val="bottom"/>
            <w:hideMark/>
          </w:tcPr>
          <w:p w14:paraId="4E09FAD9" w14:textId="77777777" w:rsidR="00D14D73" w:rsidRPr="00D14D73" w:rsidRDefault="00D14D73" w:rsidP="00D14D73">
            <w:pPr>
              <w:jc w:val="center"/>
              <w:rPr>
                <w:sz w:val="18"/>
                <w:szCs w:val="18"/>
              </w:rPr>
            </w:pPr>
            <w:r w:rsidRPr="00D14D73">
              <w:rPr>
                <w:sz w:val="18"/>
                <w:szCs w:val="18"/>
              </w:rPr>
              <w:t>50 / 50</w:t>
            </w:r>
          </w:p>
        </w:tc>
      </w:tr>
      <w:tr w:rsidR="00D14D73" w:rsidRPr="00D14D73" w14:paraId="2EA95773" w14:textId="77777777" w:rsidTr="00F31194">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5EFD33AA" w14:textId="77777777" w:rsidR="00D14D73" w:rsidRPr="00D14D73" w:rsidRDefault="00D14D73" w:rsidP="00D14D73">
            <w:pPr>
              <w:jc w:val="center"/>
              <w:rPr>
                <w:b/>
                <w:bCs/>
                <w:sz w:val="18"/>
                <w:szCs w:val="18"/>
              </w:rPr>
            </w:pPr>
            <w:r w:rsidRPr="00D14D73">
              <w:rPr>
                <w:b/>
                <w:bCs/>
                <w:sz w:val="18"/>
                <w:szCs w:val="18"/>
              </w:rPr>
              <w:t>2028</w:t>
            </w:r>
          </w:p>
        </w:tc>
        <w:tc>
          <w:tcPr>
            <w:tcW w:w="2739" w:type="dxa"/>
            <w:tcBorders>
              <w:top w:val="nil"/>
              <w:left w:val="nil"/>
              <w:bottom w:val="single" w:sz="4" w:space="0" w:color="BFBFBF"/>
              <w:right w:val="single" w:sz="4" w:space="0" w:color="BFBFBF"/>
            </w:tcBorders>
            <w:shd w:val="clear" w:color="auto" w:fill="auto"/>
            <w:noWrap/>
            <w:vAlign w:val="center"/>
            <w:hideMark/>
          </w:tcPr>
          <w:p w14:paraId="01D0CF7E" w14:textId="309DAB2B" w:rsidR="00D14D73" w:rsidRPr="00D14D73" w:rsidRDefault="00D14D73" w:rsidP="00533C26">
            <w:pPr>
              <w:jc w:val="center"/>
              <w:rPr>
                <w:sz w:val="18"/>
                <w:szCs w:val="18"/>
              </w:rPr>
            </w:pPr>
            <w:r w:rsidRPr="00D14D73">
              <w:rPr>
                <w:sz w:val="18"/>
                <w:szCs w:val="18"/>
              </w:rPr>
              <w:t>0 / 3</w:t>
            </w:r>
          </w:p>
        </w:tc>
        <w:tc>
          <w:tcPr>
            <w:tcW w:w="1843" w:type="dxa"/>
            <w:tcBorders>
              <w:top w:val="nil"/>
              <w:left w:val="nil"/>
              <w:bottom w:val="single" w:sz="4" w:space="0" w:color="BFBFBF"/>
              <w:right w:val="single" w:sz="4" w:space="0" w:color="BFBFBF"/>
            </w:tcBorders>
            <w:shd w:val="clear" w:color="auto" w:fill="auto"/>
            <w:noWrap/>
            <w:vAlign w:val="center"/>
            <w:hideMark/>
          </w:tcPr>
          <w:p w14:paraId="42B4D703" w14:textId="77777777" w:rsidR="00D14D73" w:rsidRPr="00D14D73" w:rsidRDefault="00D14D73" w:rsidP="000920C6">
            <w:pPr>
              <w:jc w:val="center"/>
              <w:rPr>
                <w:sz w:val="18"/>
                <w:szCs w:val="18"/>
              </w:rPr>
            </w:pPr>
            <w:r w:rsidRPr="00D14D73">
              <w:rPr>
                <w:sz w:val="18"/>
                <w:szCs w:val="18"/>
              </w:rPr>
              <w:t>50 / 50</w:t>
            </w:r>
          </w:p>
        </w:tc>
      </w:tr>
      <w:tr w:rsidR="00D14D73" w:rsidRPr="00D14D73" w14:paraId="25EFA617" w14:textId="77777777" w:rsidTr="00F31194">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318C9A97" w14:textId="77777777" w:rsidR="00D14D73" w:rsidRPr="00D14D73" w:rsidRDefault="00D14D73" w:rsidP="00D14D73">
            <w:pPr>
              <w:jc w:val="center"/>
              <w:rPr>
                <w:b/>
                <w:bCs/>
                <w:sz w:val="18"/>
                <w:szCs w:val="18"/>
              </w:rPr>
            </w:pPr>
            <w:r w:rsidRPr="00D14D73">
              <w:rPr>
                <w:b/>
                <w:bCs/>
                <w:sz w:val="18"/>
                <w:szCs w:val="18"/>
              </w:rPr>
              <w:t>2029</w:t>
            </w:r>
          </w:p>
        </w:tc>
        <w:tc>
          <w:tcPr>
            <w:tcW w:w="2739" w:type="dxa"/>
            <w:tcBorders>
              <w:top w:val="nil"/>
              <w:left w:val="nil"/>
              <w:bottom w:val="single" w:sz="4" w:space="0" w:color="BFBFBF"/>
              <w:right w:val="single" w:sz="4" w:space="0" w:color="BFBFBF"/>
            </w:tcBorders>
            <w:shd w:val="clear" w:color="auto" w:fill="auto"/>
            <w:noWrap/>
            <w:vAlign w:val="center"/>
            <w:hideMark/>
          </w:tcPr>
          <w:p w14:paraId="51080771" w14:textId="2BBC5495" w:rsidR="00D14D73" w:rsidRPr="00D14D73" w:rsidRDefault="00D14D73" w:rsidP="00533C26">
            <w:pPr>
              <w:jc w:val="center"/>
              <w:rPr>
                <w:sz w:val="18"/>
                <w:szCs w:val="18"/>
              </w:rPr>
            </w:pPr>
            <w:r w:rsidRPr="00D14D73">
              <w:rPr>
                <w:sz w:val="18"/>
                <w:szCs w:val="18"/>
              </w:rPr>
              <w:t>0 / 3</w:t>
            </w:r>
          </w:p>
        </w:tc>
        <w:tc>
          <w:tcPr>
            <w:tcW w:w="1843" w:type="dxa"/>
            <w:tcBorders>
              <w:top w:val="nil"/>
              <w:left w:val="nil"/>
              <w:bottom w:val="single" w:sz="4" w:space="0" w:color="BFBFBF"/>
              <w:right w:val="single" w:sz="4" w:space="0" w:color="BFBFBF"/>
            </w:tcBorders>
            <w:shd w:val="clear" w:color="auto" w:fill="auto"/>
            <w:noWrap/>
            <w:vAlign w:val="center"/>
            <w:hideMark/>
          </w:tcPr>
          <w:p w14:paraId="3C125264" w14:textId="77777777" w:rsidR="00D14D73" w:rsidRPr="00D14D73" w:rsidRDefault="00D14D73" w:rsidP="000920C6">
            <w:pPr>
              <w:jc w:val="center"/>
              <w:rPr>
                <w:sz w:val="18"/>
                <w:szCs w:val="18"/>
              </w:rPr>
            </w:pPr>
            <w:r w:rsidRPr="00D14D73">
              <w:rPr>
                <w:sz w:val="18"/>
                <w:szCs w:val="18"/>
              </w:rPr>
              <w:t>43 / 43</w:t>
            </w:r>
          </w:p>
        </w:tc>
      </w:tr>
      <w:tr w:rsidR="00D14D73" w:rsidRPr="00D14D73" w14:paraId="3F1A082A" w14:textId="77777777" w:rsidTr="00F31194">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75C37913" w14:textId="77777777" w:rsidR="00D14D73" w:rsidRPr="00D14D73" w:rsidRDefault="00D14D73" w:rsidP="00D14D73">
            <w:pPr>
              <w:jc w:val="center"/>
              <w:rPr>
                <w:b/>
                <w:bCs/>
                <w:sz w:val="18"/>
                <w:szCs w:val="18"/>
              </w:rPr>
            </w:pPr>
            <w:r w:rsidRPr="00D14D73">
              <w:rPr>
                <w:b/>
                <w:bCs/>
                <w:sz w:val="18"/>
                <w:szCs w:val="18"/>
              </w:rPr>
              <w:t>2030</w:t>
            </w:r>
          </w:p>
        </w:tc>
        <w:tc>
          <w:tcPr>
            <w:tcW w:w="2739" w:type="dxa"/>
            <w:tcBorders>
              <w:top w:val="nil"/>
              <w:left w:val="nil"/>
              <w:bottom w:val="single" w:sz="4" w:space="0" w:color="BFBFBF"/>
              <w:right w:val="single" w:sz="4" w:space="0" w:color="BFBFBF"/>
            </w:tcBorders>
            <w:shd w:val="clear" w:color="auto" w:fill="auto"/>
            <w:noWrap/>
            <w:vAlign w:val="center"/>
            <w:hideMark/>
          </w:tcPr>
          <w:p w14:paraId="5C2DB8DE" w14:textId="7305A84D" w:rsidR="00D14D73" w:rsidRPr="00D14D73" w:rsidRDefault="00D14D73" w:rsidP="00533C26">
            <w:pPr>
              <w:jc w:val="center"/>
              <w:rPr>
                <w:sz w:val="18"/>
                <w:szCs w:val="18"/>
              </w:rPr>
            </w:pPr>
            <w:r w:rsidRPr="00D14D73">
              <w:rPr>
                <w:sz w:val="18"/>
                <w:szCs w:val="18"/>
              </w:rPr>
              <w:t>0 / 3</w:t>
            </w:r>
          </w:p>
        </w:tc>
        <w:tc>
          <w:tcPr>
            <w:tcW w:w="1843" w:type="dxa"/>
            <w:tcBorders>
              <w:top w:val="nil"/>
              <w:left w:val="nil"/>
              <w:bottom w:val="single" w:sz="4" w:space="0" w:color="BFBFBF"/>
              <w:right w:val="single" w:sz="4" w:space="0" w:color="BFBFBF"/>
            </w:tcBorders>
            <w:shd w:val="clear" w:color="auto" w:fill="auto"/>
            <w:noWrap/>
            <w:vAlign w:val="center"/>
            <w:hideMark/>
          </w:tcPr>
          <w:p w14:paraId="611A0AB7" w14:textId="3B167973" w:rsidR="00D14D73" w:rsidRPr="00D14D73" w:rsidRDefault="00D14D73" w:rsidP="000920C6">
            <w:pPr>
              <w:jc w:val="center"/>
              <w:rPr>
                <w:sz w:val="18"/>
                <w:szCs w:val="18"/>
              </w:rPr>
            </w:pPr>
            <w:r w:rsidRPr="00D14D73">
              <w:rPr>
                <w:sz w:val="18"/>
                <w:szCs w:val="18"/>
              </w:rPr>
              <w:t>26 / 26</w:t>
            </w:r>
          </w:p>
        </w:tc>
      </w:tr>
      <w:tr w:rsidR="00D14D73" w:rsidRPr="00D14D73" w14:paraId="625EBEE5" w14:textId="77777777" w:rsidTr="00F31194">
        <w:trPr>
          <w:trHeight w:val="300"/>
          <w:jc w:val="center"/>
        </w:trPr>
        <w:tc>
          <w:tcPr>
            <w:tcW w:w="1129" w:type="dxa"/>
            <w:tcBorders>
              <w:top w:val="nil"/>
              <w:left w:val="single" w:sz="4" w:space="0" w:color="BFBFBF"/>
              <w:bottom w:val="single" w:sz="4" w:space="0" w:color="BFBFBF"/>
              <w:right w:val="single" w:sz="4" w:space="0" w:color="BFBFBF"/>
            </w:tcBorders>
            <w:shd w:val="clear" w:color="auto" w:fill="auto"/>
            <w:noWrap/>
            <w:vAlign w:val="center"/>
            <w:hideMark/>
          </w:tcPr>
          <w:p w14:paraId="64B80C7F" w14:textId="77777777" w:rsidR="00D14D73" w:rsidRPr="00D14D73" w:rsidRDefault="00D14D73" w:rsidP="00D14D73">
            <w:pPr>
              <w:jc w:val="center"/>
              <w:rPr>
                <w:b/>
                <w:bCs/>
                <w:sz w:val="18"/>
                <w:szCs w:val="18"/>
              </w:rPr>
            </w:pPr>
            <w:r w:rsidRPr="00D14D73">
              <w:rPr>
                <w:b/>
                <w:bCs/>
                <w:sz w:val="18"/>
                <w:szCs w:val="18"/>
              </w:rPr>
              <w:t>2031</w:t>
            </w:r>
          </w:p>
        </w:tc>
        <w:tc>
          <w:tcPr>
            <w:tcW w:w="2739" w:type="dxa"/>
            <w:tcBorders>
              <w:top w:val="nil"/>
              <w:left w:val="nil"/>
              <w:bottom w:val="single" w:sz="4" w:space="0" w:color="BFBFBF"/>
              <w:right w:val="single" w:sz="4" w:space="0" w:color="BFBFBF"/>
            </w:tcBorders>
            <w:shd w:val="clear" w:color="auto" w:fill="auto"/>
            <w:noWrap/>
            <w:vAlign w:val="center"/>
            <w:hideMark/>
          </w:tcPr>
          <w:p w14:paraId="11B5F771" w14:textId="683E04C5" w:rsidR="00D14D73" w:rsidRPr="00D14D73" w:rsidRDefault="00D14D73" w:rsidP="00533C26">
            <w:pPr>
              <w:jc w:val="center"/>
              <w:rPr>
                <w:sz w:val="18"/>
                <w:szCs w:val="18"/>
              </w:rPr>
            </w:pPr>
            <w:r w:rsidRPr="00D14D73">
              <w:rPr>
                <w:sz w:val="18"/>
                <w:szCs w:val="18"/>
              </w:rPr>
              <w:t>0 / 3</w:t>
            </w:r>
          </w:p>
        </w:tc>
        <w:tc>
          <w:tcPr>
            <w:tcW w:w="1843" w:type="dxa"/>
            <w:tcBorders>
              <w:top w:val="nil"/>
              <w:left w:val="nil"/>
              <w:bottom w:val="single" w:sz="4" w:space="0" w:color="BFBFBF"/>
              <w:right w:val="single" w:sz="4" w:space="0" w:color="BFBFBF"/>
            </w:tcBorders>
            <w:shd w:val="clear" w:color="auto" w:fill="auto"/>
            <w:noWrap/>
            <w:vAlign w:val="center"/>
            <w:hideMark/>
          </w:tcPr>
          <w:p w14:paraId="0CE25836" w14:textId="2E49EB29" w:rsidR="00D14D73" w:rsidRPr="00D14D73" w:rsidRDefault="00D14D73" w:rsidP="000920C6">
            <w:pPr>
              <w:jc w:val="center"/>
              <w:rPr>
                <w:sz w:val="18"/>
                <w:szCs w:val="18"/>
              </w:rPr>
            </w:pPr>
            <w:r w:rsidRPr="00D14D73">
              <w:rPr>
                <w:sz w:val="18"/>
                <w:szCs w:val="18"/>
              </w:rPr>
              <w:t>9 / 9</w:t>
            </w:r>
          </w:p>
        </w:tc>
      </w:tr>
    </w:tbl>
    <w:p w14:paraId="0AEDC72B" w14:textId="77777777" w:rsidR="00D14D73" w:rsidRDefault="00D14D73" w:rsidP="00F577B4">
      <w:pPr>
        <w:pStyle w:val="tv213"/>
        <w:jc w:val="center"/>
      </w:pPr>
    </w:p>
    <w:p w14:paraId="2AB0A995" w14:textId="77777777" w:rsidR="008C3C3A" w:rsidRDefault="008C3C3A" w:rsidP="008C3C3A">
      <w:pPr>
        <w:pStyle w:val="tv213"/>
      </w:pPr>
    </w:p>
    <w:p w14:paraId="3B151D05" w14:textId="37377D55" w:rsidR="00B41EC9" w:rsidRPr="00F31194" w:rsidRDefault="00B41EC9" w:rsidP="003E1A1D">
      <w:pPr>
        <w:pStyle w:val="tv213"/>
        <w:rPr>
          <w:highlight w:val="yellow"/>
        </w:rPr>
      </w:pPr>
    </w:p>
    <w:p w14:paraId="13E76A31" w14:textId="598AB4AD" w:rsidR="007E1A7A" w:rsidRPr="00F163BC" w:rsidRDefault="007F59DD" w:rsidP="006319EE">
      <w:pPr>
        <w:pStyle w:val="tv213"/>
        <w:spacing w:before="0" w:beforeAutospacing="0" w:after="0" w:afterAutospacing="0"/>
        <w:jc w:val="both"/>
        <w:rPr>
          <w:i/>
        </w:rPr>
      </w:pPr>
      <w:r>
        <w:rPr>
          <w:i/>
        </w:rPr>
        <w:t>4</w:t>
      </w:r>
      <w:r w:rsidR="007577EF" w:rsidRPr="00F163BC">
        <w:rPr>
          <w:i/>
        </w:rPr>
        <w:t>. Pilnveidojama CSDD kā valsts kapitālsabiedrības grāmatvedības politika, paredzot izveidojamā pamatlīdzekļa uzskaites vērtībā iekļaut ne tikai ar</w:t>
      </w:r>
      <w:proofErr w:type="gramStart"/>
      <w:r w:rsidR="007577EF" w:rsidRPr="00F163BC">
        <w:rPr>
          <w:i/>
        </w:rPr>
        <w:t xml:space="preserve">  </w:t>
      </w:r>
      <w:proofErr w:type="gramEnd"/>
      <w:r w:rsidR="007577EF" w:rsidRPr="00F163BC">
        <w:rPr>
          <w:i/>
        </w:rPr>
        <w:t>tā iegādi un uzstādīšanu saistītos izdevumus, bet arī citu izmaksu daļu, kas radusies pirms fotoradaru nodošanas ekspluatācijā (piemēram, elektroenerģijas apmaksa, ar izmēģināšanu saistītie izdevumi.).</w:t>
      </w:r>
    </w:p>
    <w:p w14:paraId="2FE189E8" w14:textId="77777777" w:rsidR="007577EF" w:rsidRPr="00F163BC" w:rsidRDefault="007E1A7A" w:rsidP="006319EE">
      <w:pPr>
        <w:pStyle w:val="tv213"/>
        <w:spacing w:before="0" w:beforeAutospacing="0" w:after="0" w:afterAutospacing="0"/>
        <w:jc w:val="right"/>
      </w:pPr>
      <w:r w:rsidRPr="00F163BC">
        <w:t>6</w:t>
      </w:r>
      <w:r w:rsidR="007577EF" w:rsidRPr="00F163BC">
        <w:t>.tabula</w:t>
      </w:r>
    </w:p>
    <w:tbl>
      <w:tblPr>
        <w:tblStyle w:val="TableGrid"/>
        <w:tblW w:w="5000" w:type="pct"/>
        <w:tblLook w:val="04A0" w:firstRow="1" w:lastRow="0" w:firstColumn="1" w:lastColumn="0" w:noHBand="0" w:noVBand="1"/>
      </w:tblPr>
      <w:tblGrid>
        <w:gridCol w:w="3104"/>
        <w:gridCol w:w="5192"/>
      </w:tblGrid>
      <w:tr w:rsidR="007577EF" w:rsidRPr="00F163BC" w14:paraId="2D0F5CDD" w14:textId="77777777" w:rsidTr="00644AA4">
        <w:tc>
          <w:tcPr>
            <w:tcW w:w="1871" w:type="pct"/>
          </w:tcPr>
          <w:p w14:paraId="7A745448" w14:textId="77777777" w:rsidR="007577EF" w:rsidRPr="00F163BC" w:rsidRDefault="007577EF" w:rsidP="00EE1FC3">
            <w:pPr>
              <w:pStyle w:val="NormalWeb"/>
              <w:spacing w:before="0" w:beforeAutospacing="0" w:after="0" w:afterAutospacing="0"/>
              <w:ind w:left="360"/>
              <w:rPr>
                <w:i/>
              </w:rPr>
            </w:pPr>
            <w:r w:rsidRPr="00F163BC">
              <w:rPr>
                <w:i/>
              </w:rPr>
              <w:t>Gads</w:t>
            </w:r>
          </w:p>
        </w:tc>
        <w:tc>
          <w:tcPr>
            <w:tcW w:w="3129" w:type="pct"/>
          </w:tcPr>
          <w:p w14:paraId="5BD2478A" w14:textId="77777777" w:rsidR="007577EF" w:rsidRPr="006319EE" w:rsidRDefault="007577EF" w:rsidP="00EE1FC3">
            <w:pPr>
              <w:pStyle w:val="NormalWeb"/>
              <w:spacing w:before="0" w:beforeAutospacing="0" w:after="0" w:afterAutospacing="0"/>
              <w:ind w:left="360"/>
              <w:rPr>
                <w:i/>
                <w:lang w:val="lv-LV"/>
              </w:rPr>
            </w:pPr>
            <w:r w:rsidRPr="006319EE">
              <w:rPr>
                <w:i/>
                <w:lang w:val="lv-LV"/>
              </w:rPr>
              <w:t>Izmaksu daļa, kas radusies pirms fotoradaru nodošanas ekspluatācijā</w:t>
            </w:r>
          </w:p>
        </w:tc>
      </w:tr>
      <w:tr w:rsidR="007577EF" w:rsidRPr="00F163BC" w14:paraId="72E0BD3A" w14:textId="77777777" w:rsidTr="00644AA4">
        <w:tc>
          <w:tcPr>
            <w:tcW w:w="1871" w:type="pct"/>
          </w:tcPr>
          <w:p w14:paraId="416A5B0F" w14:textId="77777777" w:rsidR="007577EF" w:rsidRPr="00F163BC" w:rsidRDefault="007577EF" w:rsidP="00EE1FC3">
            <w:pPr>
              <w:pStyle w:val="NormalWeb"/>
              <w:spacing w:before="0" w:beforeAutospacing="0" w:after="0" w:afterAutospacing="0"/>
              <w:ind w:left="360"/>
            </w:pPr>
            <w:r w:rsidRPr="00F163BC">
              <w:t>2015</w:t>
            </w:r>
          </w:p>
        </w:tc>
        <w:tc>
          <w:tcPr>
            <w:tcW w:w="3129" w:type="pct"/>
          </w:tcPr>
          <w:p w14:paraId="283420F2" w14:textId="77777777" w:rsidR="007577EF" w:rsidRPr="00F163BC" w:rsidRDefault="007577EF" w:rsidP="00EE1FC3">
            <w:pPr>
              <w:pStyle w:val="NormalWeb"/>
              <w:spacing w:before="0" w:beforeAutospacing="0" w:after="0" w:afterAutospacing="0"/>
              <w:ind w:left="360"/>
            </w:pPr>
            <w:r w:rsidRPr="00F163BC">
              <w:t>6745</w:t>
            </w:r>
          </w:p>
        </w:tc>
      </w:tr>
      <w:tr w:rsidR="007577EF" w:rsidRPr="00F163BC" w14:paraId="03CF66D3" w14:textId="77777777" w:rsidTr="00644AA4">
        <w:tc>
          <w:tcPr>
            <w:tcW w:w="1871" w:type="pct"/>
          </w:tcPr>
          <w:p w14:paraId="32C847B1" w14:textId="77777777" w:rsidR="007577EF" w:rsidRPr="00F163BC" w:rsidRDefault="007577EF" w:rsidP="00EE1FC3">
            <w:pPr>
              <w:pStyle w:val="NormalWeb"/>
              <w:spacing w:before="0" w:beforeAutospacing="0" w:after="0" w:afterAutospacing="0"/>
              <w:ind w:left="360"/>
            </w:pPr>
            <w:r w:rsidRPr="00F163BC">
              <w:t>2016</w:t>
            </w:r>
          </w:p>
        </w:tc>
        <w:tc>
          <w:tcPr>
            <w:tcW w:w="3129" w:type="pct"/>
          </w:tcPr>
          <w:p w14:paraId="48732140" w14:textId="77777777" w:rsidR="007577EF" w:rsidRPr="00F163BC" w:rsidRDefault="007577EF" w:rsidP="00EE1FC3">
            <w:pPr>
              <w:pStyle w:val="NormalWeb"/>
              <w:spacing w:before="0" w:beforeAutospacing="0" w:after="0" w:afterAutospacing="0"/>
              <w:ind w:left="360"/>
            </w:pPr>
            <w:r w:rsidRPr="00F163BC">
              <w:t>20 275</w:t>
            </w:r>
          </w:p>
        </w:tc>
      </w:tr>
      <w:tr w:rsidR="007577EF" w:rsidRPr="00F163BC" w14:paraId="0846F662" w14:textId="77777777" w:rsidTr="00644AA4">
        <w:tc>
          <w:tcPr>
            <w:tcW w:w="1871" w:type="pct"/>
          </w:tcPr>
          <w:p w14:paraId="46A86692" w14:textId="77777777" w:rsidR="007577EF" w:rsidRPr="00F163BC" w:rsidRDefault="007577EF" w:rsidP="00EE1FC3">
            <w:pPr>
              <w:pStyle w:val="NormalWeb"/>
              <w:spacing w:before="0" w:beforeAutospacing="0" w:after="0" w:afterAutospacing="0"/>
              <w:ind w:left="360"/>
            </w:pPr>
            <w:r w:rsidRPr="00F163BC">
              <w:t>2017</w:t>
            </w:r>
          </w:p>
        </w:tc>
        <w:tc>
          <w:tcPr>
            <w:tcW w:w="3129" w:type="pct"/>
          </w:tcPr>
          <w:p w14:paraId="4573D88A" w14:textId="77777777" w:rsidR="007577EF" w:rsidRPr="00F163BC" w:rsidRDefault="007577EF" w:rsidP="00EE1FC3">
            <w:pPr>
              <w:pStyle w:val="NormalWeb"/>
              <w:spacing w:before="0" w:beforeAutospacing="0" w:after="0" w:afterAutospacing="0"/>
              <w:ind w:left="360"/>
            </w:pPr>
            <w:r w:rsidRPr="00F163BC">
              <w:t>14 646</w:t>
            </w:r>
          </w:p>
        </w:tc>
      </w:tr>
      <w:tr w:rsidR="007577EF" w:rsidRPr="00F163BC" w14:paraId="779DA982" w14:textId="77777777" w:rsidTr="00644AA4">
        <w:tc>
          <w:tcPr>
            <w:tcW w:w="1871" w:type="pct"/>
          </w:tcPr>
          <w:p w14:paraId="2566D5AF" w14:textId="77777777" w:rsidR="007577EF" w:rsidRPr="00F163BC" w:rsidRDefault="007577EF" w:rsidP="00EE1FC3">
            <w:pPr>
              <w:pStyle w:val="NormalWeb"/>
              <w:spacing w:before="0" w:beforeAutospacing="0" w:after="0" w:afterAutospacing="0"/>
              <w:ind w:left="360"/>
            </w:pPr>
            <w:r w:rsidRPr="00F163BC">
              <w:t>KOPĀ</w:t>
            </w:r>
          </w:p>
        </w:tc>
        <w:tc>
          <w:tcPr>
            <w:tcW w:w="3129" w:type="pct"/>
          </w:tcPr>
          <w:p w14:paraId="75206A5F" w14:textId="77777777" w:rsidR="007577EF" w:rsidRPr="00F163BC" w:rsidRDefault="007577EF" w:rsidP="00EE1FC3">
            <w:pPr>
              <w:pStyle w:val="NormalWeb"/>
              <w:spacing w:before="0" w:beforeAutospacing="0" w:after="0" w:afterAutospacing="0"/>
              <w:ind w:left="360"/>
            </w:pPr>
            <w:r w:rsidRPr="00F163BC">
              <w:t>41 666</w:t>
            </w:r>
          </w:p>
        </w:tc>
      </w:tr>
    </w:tbl>
    <w:p w14:paraId="767CC8C0" w14:textId="77777777" w:rsidR="00644AA4" w:rsidRPr="00F163BC" w:rsidRDefault="00644AA4" w:rsidP="007577EF">
      <w:pPr>
        <w:ind w:firstLine="567"/>
        <w:jc w:val="both"/>
      </w:pPr>
    </w:p>
    <w:p w14:paraId="2C2E5694" w14:textId="77777777" w:rsidR="007577EF" w:rsidRPr="00F163BC" w:rsidRDefault="007577EF" w:rsidP="007577EF">
      <w:pPr>
        <w:ind w:firstLine="567"/>
        <w:jc w:val="both"/>
      </w:pPr>
      <w:r w:rsidRPr="00F163BC">
        <w:t xml:space="preserve">CSDD ne visus izdevumus, kas rodas pirms fotoradaru nodošanas ekspluatācijā, piemēram, izdevumus par elektroenerģiju, uzskaita no dividendēm sedzamajos izdevumos un izveidotā pamatlīdzekļa (fotoradara) sākotnējā vērtībā, bet vēlas tos segt no uzturēšanai un darbības nodrošināšanai piešķirtajiem valsts budžeta līdzekļiem, pamatojot to ar CSDD grāmatvedības politiku. Iekšlietu ministrija uzskata, ka piemērojamas vispārējo normatīvo aktu prasības, kas nosaka, ka pamatlīdzekļa izveides sākotnējā vērtībā iekļaujamas visas ar izveidi saistītās izmaksas un ar tā pārbaudi saistītās izmaksas </w:t>
      </w:r>
      <w:r w:rsidRPr="00F163BC">
        <w:rPr>
          <w:rStyle w:val="FootnoteReference"/>
        </w:rPr>
        <w:footnoteReference w:id="15"/>
      </w:r>
      <w:r w:rsidRPr="00F163BC">
        <w:t xml:space="preserve">.  </w:t>
      </w:r>
    </w:p>
    <w:p w14:paraId="55AD8F37" w14:textId="77777777" w:rsidR="007F59DD" w:rsidRDefault="007F59DD" w:rsidP="007577EF">
      <w:pPr>
        <w:ind w:firstLine="567"/>
        <w:jc w:val="both"/>
      </w:pPr>
    </w:p>
    <w:p w14:paraId="34B3D770" w14:textId="77777777" w:rsidR="007577EF" w:rsidRPr="00F163BC" w:rsidRDefault="007577EF" w:rsidP="007577EF">
      <w:pPr>
        <w:ind w:firstLine="567"/>
        <w:jc w:val="both"/>
      </w:pPr>
      <w:r w:rsidRPr="00F163BC">
        <w:t>3.1.2.</w:t>
      </w:r>
      <w:proofErr w:type="gramStart"/>
      <w:r w:rsidRPr="00F163BC">
        <w:t xml:space="preserve">  </w:t>
      </w:r>
      <w:proofErr w:type="gramEnd"/>
      <w:r w:rsidRPr="00F163BC">
        <w:rPr>
          <w:i/>
        </w:rPr>
        <w:t>Faktiskā situācija par laikposmā no 2015.gada līdz 2018.gada 1.decembrim personām, kurām uzlikts naudas sods, nosūtītajiem protokoliem-lēmumiem, uzlikto naudas sodu apjomu, valsts pamatbudžeta ieņēmumiem no uzliktajiem naudas sodiem, kā arī citi rādītāji</w:t>
      </w:r>
      <w:r w:rsidRPr="00F163BC">
        <w:t xml:space="preserve"> atspoguļoti </w:t>
      </w:r>
      <w:r w:rsidR="007E1A7A" w:rsidRPr="00F163BC">
        <w:t>7.</w:t>
      </w:r>
      <w:r w:rsidRPr="00F163BC">
        <w:t xml:space="preserve"> tabulā.   </w:t>
      </w:r>
    </w:p>
    <w:p w14:paraId="725CABFE" w14:textId="77777777" w:rsidR="007577EF" w:rsidRPr="00F163BC" w:rsidRDefault="007E1A7A" w:rsidP="006319EE">
      <w:pPr>
        <w:pStyle w:val="NormalWeb"/>
        <w:spacing w:before="0" w:beforeAutospacing="0" w:after="0" w:afterAutospacing="0"/>
        <w:jc w:val="right"/>
      </w:pPr>
      <w:proofErr w:type="gramStart"/>
      <w:r w:rsidRPr="00F163BC">
        <w:t>7</w:t>
      </w:r>
      <w:r w:rsidR="007577EF" w:rsidRPr="00F163BC">
        <w:t>.tabula</w:t>
      </w:r>
      <w:proofErr w:type="gramEnd"/>
    </w:p>
    <w:p w14:paraId="683F13FA" w14:textId="77777777" w:rsidR="007577EF" w:rsidRPr="006319EE" w:rsidRDefault="007577EF" w:rsidP="006319EE">
      <w:pPr>
        <w:pStyle w:val="NormalWeb"/>
        <w:spacing w:before="0" w:beforeAutospacing="0" w:after="0" w:afterAutospacing="0"/>
        <w:jc w:val="center"/>
        <w:rPr>
          <w:b/>
          <w:bCs/>
          <w:i/>
          <w:iCs/>
          <w:lang w:val="lv-LV"/>
        </w:rPr>
      </w:pPr>
      <w:r w:rsidRPr="006319EE">
        <w:rPr>
          <w:b/>
          <w:bCs/>
          <w:i/>
          <w:iCs/>
          <w:lang w:val="lv-LV"/>
        </w:rPr>
        <w:t xml:space="preserve">Pārskats par protokolu-lēmumu skaitu un naudas sodiem </w:t>
      </w:r>
    </w:p>
    <w:tbl>
      <w:tblPr>
        <w:tblW w:w="876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914"/>
        <w:gridCol w:w="1134"/>
        <w:gridCol w:w="1036"/>
        <w:gridCol w:w="896"/>
        <w:gridCol w:w="816"/>
        <w:gridCol w:w="669"/>
        <w:gridCol w:w="555"/>
        <w:gridCol w:w="1079"/>
        <w:gridCol w:w="962"/>
      </w:tblGrid>
      <w:tr w:rsidR="00644AA4" w:rsidRPr="00F163BC" w14:paraId="4C71F89F" w14:textId="77777777" w:rsidTr="00F31194">
        <w:trPr>
          <w:tblCellSpacing w:w="15" w:type="dxa"/>
        </w:trPr>
        <w:tc>
          <w:tcPr>
            <w:tcW w:w="656" w:type="dxa"/>
            <w:vMerge w:val="restart"/>
            <w:tcBorders>
              <w:top w:val="outset" w:sz="6" w:space="0" w:color="auto"/>
              <w:left w:val="outset" w:sz="6" w:space="0" w:color="auto"/>
              <w:right w:val="outset" w:sz="6" w:space="0" w:color="auto"/>
            </w:tcBorders>
            <w:vAlign w:val="center"/>
            <w:hideMark/>
          </w:tcPr>
          <w:p w14:paraId="56EE3C74" w14:textId="77777777" w:rsidR="007577EF" w:rsidRPr="00F163BC" w:rsidRDefault="007577EF" w:rsidP="00EE1FC3">
            <w:pPr>
              <w:jc w:val="center"/>
              <w:rPr>
                <w:b/>
                <w:bCs/>
                <w:i/>
                <w:iCs/>
                <w:sz w:val="16"/>
                <w:szCs w:val="16"/>
              </w:rPr>
            </w:pPr>
            <w:r w:rsidRPr="00F163BC">
              <w:rPr>
                <w:b/>
                <w:bCs/>
                <w:i/>
                <w:iCs/>
                <w:sz w:val="16"/>
                <w:szCs w:val="16"/>
              </w:rPr>
              <w:t>Gads</w:t>
            </w:r>
          </w:p>
        </w:tc>
        <w:tc>
          <w:tcPr>
            <w:tcW w:w="884" w:type="dxa"/>
            <w:vMerge w:val="restart"/>
            <w:tcBorders>
              <w:top w:val="outset" w:sz="6" w:space="0" w:color="auto"/>
              <w:left w:val="outset" w:sz="6" w:space="0" w:color="auto"/>
              <w:right w:val="outset" w:sz="6" w:space="0" w:color="auto"/>
            </w:tcBorders>
            <w:vAlign w:val="center"/>
            <w:hideMark/>
          </w:tcPr>
          <w:p w14:paraId="0C9217CB" w14:textId="77777777" w:rsidR="007577EF" w:rsidRPr="00F163BC" w:rsidRDefault="007577EF" w:rsidP="00EE1FC3">
            <w:pPr>
              <w:jc w:val="center"/>
              <w:rPr>
                <w:b/>
                <w:bCs/>
                <w:i/>
                <w:iCs/>
                <w:sz w:val="16"/>
                <w:szCs w:val="16"/>
              </w:rPr>
            </w:pPr>
            <w:r w:rsidRPr="00F163BC">
              <w:rPr>
                <w:b/>
                <w:bCs/>
                <w:i/>
                <w:iCs/>
                <w:sz w:val="16"/>
                <w:szCs w:val="16"/>
              </w:rPr>
              <w:t>Uzliktie naudas sodi</w:t>
            </w:r>
          </w:p>
        </w:tc>
        <w:tc>
          <w:tcPr>
            <w:tcW w:w="0" w:type="auto"/>
            <w:vMerge w:val="restart"/>
            <w:tcBorders>
              <w:top w:val="outset" w:sz="6" w:space="0" w:color="auto"/>
              <w:left w:val="outset" w:sz="6" w:space="0" w:color="auto"/>
              <w:right w:val="outset" w:sz="6" w:space="0" w:color="auto"/>
            </w:tcBorders>
            <w:vAlign w:val="center"/>
            <w:hideMark/>
          </w:tcPr>
          <w:p w14:paraId="5BA77E91" w14:textId="77777777" w:rsidR="007577EF" w:rsidRPr="00F163BC" w:rsidRDefault="007577EF" w:rsidP="00EE1FC3">
            <w:pPr>
              <w:jc w:val="center"/>
              <w:rPr>
                <w:b/>
                <w:bCs/>
                <w:i/>
                <w:iCs/>
                <w:sz w:val="16"/>
                <w:szCs w:val="16"/>
              </w:rPr>
            </w:pPr>
            <w:r w:rsidRPr="00F163BC">
              <w:rPr>
                <w:b/>
                <w:bCs/>
                <w:i/>
                <w:iCs/>
                <w:sz w:val="16"/>
                <w:szCs w:val="16"/>
              </w:rPr>
              <w:t>Valsts pamatbudžeta ieņēmumi</w:t>
            </w:r>
          </w:p>
        </w:tc>
        <w:tc>
          <w:tcPr>
            <w:tcW w:w="0" w:type="auto"/>
            <w:vMerge w:val="restart"/>
            <w:tcBorders>
              <w:top w:val="outset" w:sz="6" w:space="0" w:color="auto"/>
              <w:left w:val="outset" w:sz="6" w:space="0" w:color="auto"/>
              <w:right w:val="outset" w:sz="6" w:space="0" w:color="auto"/>
            </w:tcBorders>
            <w:vAlign w:val="center"/>
            <w:hideMark/>
          </w:tcPr>
          <w:p w14:paraId="43AF66E1" w14:textId="77777777" w:rsidR="007577EF" w:rsidRPr="00F163BC" w:rsidRDefault="007577EF" w:rsidP="00EE1FC3">
            <w:pPr>
              <w:jc w:val="center"/>
              <w:rPr>
                <w:b/>
                <w:bCs/>
                <w:i/>
                <w:iCs/>
                <w:sz w:val="16"/>
                <w:szCs w:val="16"/>
              </w:rPr>
            </w:pPr>
            <w:r w:rsidRPr="00F163BC">
              <w:rPr>
                <w:b/>
                <w:bCs/>
                <w:i/>
                <w:iCs/>
                <w:sz w:val="16"/>
                <w:szCs w:val="16"/>
              </w:rPr>
              <w:t>Apstrādāto protokolu-lēmumu projektu skaits</w:t>
            </w:r>
          </w:p>
        </w:tc>
        <w:tc>
          <w:tcPr>
            <w:tcW w:w="0" w:type="auto"/>
            <w:vMerge w:val="restart"/>
            <w:tcBorders>
              <w:top w:val="outset" w:sz="6" w:space="0" w:color="auto"/>
              <w:left w:val="outset" w:sz="6" w:space="0" w:color="auto"/>
              <w:right w:val="outset" w:sz="6" w:space="0" w:color="auto"/>
            </w:tcBorders>
            <w:vAlign w:val="center"/>
            <w:hideMark/>
          </w:tcPr>
          <w:p w14:paraId="3B0A9649" w14:textId="77777777" w:rsidR="007577EF" w:rsidRPr="00F163BC" w:rsidRDefault="007577EF" w:rsidP="00EE1FC3">
            <w:pPr>
              <w:jc w:val="center"/>
              <w:rPr>
                <w:b/>
                <w:bCs/>
                <w:i/>
                <w:iCs/>
                <w:sz w:val="16"/>
                <w:szCs w:val="16"/>
              </w:rPr>
            </w:pPr>
            <w:r w:rsidRPr="00F163BC">
              <w:rPr>
                <w:b/>
                <w:bCs/>
                <w:i/>
                <w:iCs/>
                <w:sz w:val="16"/>
                <w:szCs w:val="16"/>
              </w:rPr>
              <w:t>Nosūtīto</w:t>
            </w:r>
            <w:r w:rsidRPr="00F163BC">
              <w:rPr>
                <w:b/>
                <w:bCs/>
                <w:i/>
                <w:iCs/>
                <w:sz w:val="16"/>
                <w:szCs w:val="16"/>
              </w:rPr>
              <w:br/>
              <w:t>protokolu-lēmumu skaits</w:t>
            </w:r>
          </w:p>
        </w:tc>
        <w:tc>
          <w:tcPr>
            <w:tcW w:w="0" w:type="auto"/>
            <w:vMerge w:val="restart"/>
            <w:tcBorders>
              <w:top w:val="outset" w:sz="6" w:space="0" w:color="auto"/>
              <w:left w:val="outset" w:sz="6" w:space="0" w:color="auto"/>
              <w:right w:val="outset" w:sz="6" w:space="0" w:color="auto"/>
            </w:tcBorders>
            <w:vAlign w:val="center"/>
            <w:hideMark/>
          </w:tcPr>
          <w:p w14:paraId="2034527A" w14:textId="77777777" w:rsidR="007577EF" w:rsidRPr="00F163BC" w:rsidRDefault="007577EF" w:rsidP="00EE1FC3">
            <w:pPr>
              <w:jc w:val="center"/>
              <w:rPr>
                <w:b/>
                <w:bCs/>
                <w:i/>
                <w:iCs/>
                <w:sz w:val="16"/>
                <w:szCs w:val="16"/>
              </w:rPr>
            </w:pPr>
            <w:r w:rsidRPr="00F163BC">
              <w:rPr>
                <w:b/>
                <w:bCs/>
                <w:i/>
                <w:iCs/>
                <w:sz w:val="16"/>
                <w:szCs w:val="16"/>
              </w:rPr>
              <w:t>Vidējais</w:t>
            </w:r>
            <w:r w:rsidRPr="00F163BC">
              <w:rPr>
                <w:b/>
                <w:bCs/>
                <w:i/>
                <w:iCs/>
                <w:sz w:val="16"/>
                <w:szCs w:val="16"/>
              </w:rPr>
              <w:br/>
              <w:t>uzlikto naudas sodu apmērs</w:t>
            </w:r>
            <w:r w:rsidRPr="00F163BC">
              <w:rPr>
                <w:rStyle w:val="FootnoteReference"/>
                <w:b/>
                <w:bCs/>
                <w:i/>
                <w:iCs/>
                <w:sz w:val="16"/>
                <w:szCs w:val="16"/>
              </w:rPr>
              <w:footnoteReference w:id="16"/>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4CD1A3" w14:textId="77777777" w:rsidR="007577EF" w:rsidRPr="00F163BC" w:rsidRDefault="007577EF" w:rsidP="00EE1FC3">
            <w:pPr>
              <w:jc w:val="center"/>
              <w:rPr>
                <w:b/>
                <w:bCs/>
                <w:i/>
                <w:iCs/>
                <w:sz w:val="16"/>
                <w:szCs w:val="16"/>
              </w:rPr>
            </w:pPr>
            <w:r w:rsidRPr="00F163BC">
              <w:rPr>
                <w:b/>
                <w:bCs/>
                <w:i/>
                <w:iCs/>
                <w:sz w:val="16"/>
                <w:szCs w:val="16"/>
              </w:rPr>
              <w:t>Darbojošos fotoradaru skaits</w:t>
            </w:r>
          </w:p>
        </w:tc>
        <w:tc>
          <w:tcPr>
            <w:tcW w:w="0" w:type="auto"/>
            <w:vMerge w:val="restart"/>
            <w:tcBorders>
              <w:top w:val="outset" w:sz="6" w:space="0" w:color="auto"/>
              <w:left w:val="outset" w:sz="6" w:space="0" w:color="auto"/>
              <w:right w:val="outset" w:sz="6" w:space="0" w:color="auto"/>
            </w:tcBorders>
            <w:vAlign w:val="center"/>
            <w:hideMark/>
          </w:tcPr>
          <w:p w14:paraId="28132059" w14:textId="77777777" w:rsidR="007577EF" w:rsidRPr="00F31194" w:rsidRDefault="007577EF" w:rsidP="00EE1FC3">
            <w:pPr>
              <w:jc w:val="center"/>
              <w:rPr>
                <w:b/>
                <w:bCs/>
                <w:i/>
                <w:iCs/>
                <w:sz w:val="16"/>
                <w:szCs w:val="16"/>
              </w:rPr>
            </w:pPr>
            <w:r w:rsidRPr="00F31194">
              <w:rPr>
                <w:b/>
                <w:bCs/>
                <w:i/>
                <w:iCs/>
                <w:sz w:val="16"/>
                <w:szCs w:val="16"/>
              </w:rPr>
              <w:t>Vidējais</w:t>
            </w:r>
            <w:r w:rsidRPr="00F31194">
              <w:rPr>
                <w:b/>
                <w:bCs/>
                <w:i/>
                <w:iCs/>
                <w:sz w:val="16"/>
                <w:szCs w:val="16"/>
              </w:rPr>
              <w:br/>
              <w:t>protokolu-lēmumu skaits uz 1 fotoradaru diennaktī</w:t>
            </w:r>
            <w:r w:rsidRPr="00F31194">
              <w:rPr>
                <w:rStyle w:val="FootnoteReference"/>
                <w:b/>
                <w:bCs/>
                <w:i/>
                <w:iCs/>
                <w:sz w:val="16"/>
                <w:szCs w:val="16"/>
              </w:rPr>
              <w:footnoteReference w:id="17"/>
            </w:r>
          </w:p>
        </w:tc>
        <w:tc>
          <w:tcPr>
            <w:tcW w:w="0" w:type="auto"/>
            <w:tcBorders>
              <w:top w:val="outset" w:sz="6" w:space="0" w:color="auto"/>
              <w:left w:val="outset" w:sz="6" w:space="0" w:color="auto"/>
              <w:right w:val="outset" w:sz="6" w:space="0" w:color="auto"/>
            </w:tcBorders>
            <w:vAlign w:val="center"/>
          </w:tcPr>
          <w:p w14:paraId="00CCD0C6" w14:textId="77777777" w:rsidR="007577EF" w:rsidRPr="00F31194" w:rsidRDefault="007577EF" w:rsidP="00EE1FC3">
            <w:pPr>
              <w:jc w:val="center"/>
              <w:rPr>
                <w:b/>
                <w:bCs/>
                <w:i/>
                <w:iCs/>
                <w:sz w:val="16"/>
                <w:szCs w:val="16"/>
              </w:rPr>
            </w:pPr>
          </w:p>
        </w:tc>
      </w:tr>
      <w:tr w:rsidR="00644AA4" w:rsidRPr="00F163BC" w14:paraId="43291609" w14:textId="77777777" w:rsidTr="00F31194">
        <w:trPr>
          <w:tblCellSpacing w:w="15" w:type="dxa"/>
        </w:trPr>
        <w:tc>
          <w:tcPr>
            <w:tcW w:w="656" w:type="dxa"/>
            <w:vMerge/>
            <w:tcBorders>
              <w:left w:val="outset" w:sz="6" w:space="0" w:color="auto"/>
              <w:bottom w:val="outset" w:sz="6" w:space="0" w:color="auto"/>
              <w:right w:val="outset" w:sz="6" w:space="0" w:color="auto"/>
            </w:tcBorders>
            <w:vAlign w:val="center"/>
          </w:tcPr>
          <w:p w14:paraId="4B5BCA8C" w14:textId="77777777" w:rsidR="007577EF" w:rsidRPr="00F163BC" w:rsidRDefault="007577EF" w:rsidP="00EE1FC3">
            <w:pPr>
              <w:jc w:val="center"/>
              <w:rPr>
                <w:b/>
                <w:bCs/>
                <w:i/>
                <w:iCs/>
                <w:sz w:val="16"/>
                <w:szCs w:val="16"/>
              </w:rPr>
            </w:pPr>
          </w:p>
        </w:tc>
        <w:tc>
          <w:tcPr>
            <w:tcW w:w="884" w:type="dxa"/>
            <w:vMerge/>
            <w:tcBorders>
              <w:left w:val="outset" w:sz="6" w:space="0" w:color="auto"/>
              <w:bottom w:val="outset" w:sz="6" w:space="0" w:color="auto"/>
              <w:right w:val="outset" w:sz="6" w:space="0" w:color="auto"/>
            </w:tcBorders>
            <w:vAlign w:val="center"/>
          </w:tcPr>
          <w:p w14:paraId="1B76398C" w14:textId="77777777"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14:paraId="218A7DC9" w14:textId="77777777"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14:paraId="59085E43" w14:textId="77777777"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14:paraId="31150CCD" w14:textId="77777777" w:rsidR="007577EF" w:rsidRPr="00F163BC" w:rsidRDefault="007577EF" w:rsidP="00EE1FC3">
            <w:pPr>
              <w:jc w:val="center"/>
              <w:rPr>
                <w:b/>
                <w:bCs/>
                <w:i/>
                <w:iCs/>
                <w:sz w:val="16"/>
                <w:szCs w:val="16"/>
              </w:rPr>
            </w:pPr>
          </w:p>
        </w:tc>
        <w:tc>
          <w:tcPr>
            <w:tcW w:w="0" w:type="auto"/>
            <w:vMerge/>
            <w:tcBorders>
              <w:left w:val="outset" w:sz="6" w:space="0" w:color="auto"/>
              <w:bottom w:val="outset" w:sz="6" w:space="0" w:color="auto"/>
              <w:right w:val="outset" w:sz="6" w:space="0" w:color="auto"/>
            </w:tcBorders>
            <w:vAlign w:val="center"/>
          </w:tcPr>
          <w:p w14:paraId="0F98F3DC" w14:textId="77777777" w:rsidR="007577EF" w:rsidRPr="00F163BC" w:rsidRDefault="007577EF" w:rsidP="00EE1FC3">
            <w:pPr>
              <w:jc w:val="center"/>
              <w:rPr>
                <w:b/>
                <w:bCs/>
                <w:i/>
                <w:i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14:paraId="79CFFB29" w14:textId="77777777" w:rsidR="007577EF" w:rsidRPr="00F163BC" w:rsidRDefault="007577EF" w:rsidP="00EE1FC3">
            <w:pPr>
              <w:jc w:val="center"/>
              <w:rPr>
                <w:b/>
                <w:bCs/>
                <w:i/>
                <w:iCs/>
                <w:sz w:val="16"/>
                <w:szCs w:val="16"/>
              </w:rPr>
            </w:pPr>
            <w:r w:rsidRPr="00F163BC">
              <w:rPr>
                <w:b/>
                <w:bCs/>
                <w:i/>
                <w:iCs/>
                <w:sz w:val="16"/>
                <w:szCs w:val="16"/>
              </w:rPr>
              <w:t>vidējais gadā</w:t>
            </w:r>
            <w:r w:rsidRPr="00F163BC">
              <w:rPr>
                <w:rStyle w:val="FootnoteReference"/>
                <w:b/>
                <w:bCs/>
                <w:i/>
                <w:iCs/>
                <w:sz w:val="16"/>
                <w:szCs w:val="16"/>
              </w:rPr>
              <w:footnoteReference w:id="18"/>
            </w:r>
          </w:p>
        </w:tc>
        <w:tc>
          <w:tcPr>
            <w:tcW w:w="0" w:type="auto"/>
            <w:tcBorders>
              <w:top w:val="outset" w:sz="6" w:space="0" w:color="auto"/>
              <w:left w:val="outset" w:sz="6" w:space="0" w:color="auto"/>
              <w:bottom w:val="outset" w:sz="6" w:space="0" w:color="auto"/>
              <w:right w:val="outset" w:sz="6" w:space="0" w:color="auto"/>
            </w:tcBorders>
            <w:vAlign w:val="center"/>
          </w:tcPr>
          <w:p w14:paraId="3AE35599" w14:textId="38FDCA9B" w:rsidR="007577EF" w:rsidRPr="00F163BC" w:rsidRDefault="007577EF" w:rsidP="00B0411E">
            <w:pPr>
              <w:jc w:val="center"/>
              <w:rPr>
                <w:b/>
                <w:bCs/>
                <w:i/>
                <w:iCs/>
                <w:sz w:val="20"/>
                <w:szCs w:val="20"/>
              </w:rPr>
            </w:pPr>
            <w:r w:rsidRPr="00F31194">
              <w:rPr>
                <w:b/>
                <w:bCs/>
                <w:i/>
                <w:iCs/>
                <w:sz w:val="16"/>
                <w:szCs w:val="16"/>
              </w:rPr>
              <w:t>uz</w:t>
            </w:r>
            <w:r w:rsidRPr="00F163BC">
              <w:rPr>
                <w:b/>
                <w:bCs/>
                <w:i/>
                <w:iCs/>
                <w:sz w:val="20"/>
                <w:szCs w:val="20"/>
              </w:rPr>
              <w:t xml:space="preserve"> </w:t>
            </w:r>
            <w:r w:rsidRPr="00F31194">
              <w:rPr>
                <w:b/>
                <w:bCs/>
                <w:i/>
                <w:iCs/>
                <w:sz w:val="16"/>
                <w:szCs w:val="16"/>
              </w:rPr>
              <w:t>31.12</w:t>
            </w:r>
            <w:r w:rsidRPr="00F163BC">
              <w:rPr>
                <w:b/>
                <w:bCs/>
                <w:i/>
                <w:iCs/>
                <w:sz w:val="20"/>
                <w:szCs w:val="20"/>
              </w:rPr>
              <w:t>.</w:t>
            </w:r>
          </w:p>
        </w:tc>
        <w:tc>
          <w:tcPr>
            <w:tcW w:w="0" w:type="auto"/>
            <w:vMerge/>
            <w:tcBorders>
              <w:left w:val="outset" w:sz="6" w:space="0" w:color="auto"/>
              <w:bottom w:val="outset" w:sz="6" w:space="0" w:color="auto"/>
              <w:right w:val="outset" w:sz="6" w:space="0" w:color="auto"/>
            </w:tcBorders>
            <w:vAlign w:val="center"/>
          </w:tcPr>
          <w:p w14:paraId="3E57923E" w14:textId="77777777" w:rsidR="007577EF" w:rsidRPr="00F31194" w:rsidRDefault="007577EF" w:rsidP="00EE1FC3">
            <w:pPr>
              <w:jc w:val="center"/>
              <w:rPr>
                <w:b/>
                <w:bCs/>
                <w:i/>
                <w:iCs/>
                <w:sz w:val="16"/>
                <w:szCs w:val="16"/>
              </w:rPr>
            </w:pPr>
          </w:p>
        </w:tc>
        <w:tc>
          <w:tcPr>
            <w:tcW w:w="0" w:type="auto"/>
            <w:tcBorders>
              <w:left w:val="outset" w:sz="6" w:space="0" w:color="auto"/>
              <w:bottom w:val="outset" w:sz="6" w:space="0" w:color="auto"/>
              <w:right w:val="outset" w:sz="6" w:space="0" w:color="auto"/>
            </w:tcBorders>
            <w:vAlign w:val="center"/>
          </w:tcPr>
          <w:p w14:paraId="40922F30" w14:textId="77777777" w:rsidR="007577EF" w:rsidRPr="00F31194" w:rsidRDefault="007577EF" w:rsidP="00EE1FC3">
            <w:pPr>
              <w:jc w:val="center"/>
              <w:rPr>
                <w:b/>
                <w:bCs/>
                <w:i/>
                <w:iCs/>
                <w:sz w:val="16"/>
                <w:szCs w:val="16"/>
              </w:rPr>
            </w:pPr>
            <w:r w:rsidRPr="00F31194">
              <w:rPr>
                <w:b/>
                <w:bCs/>
                <w:i/>
                <w:iCs/>
                <w:sz w:val="16"/>
                <w:szCs w:val="16"/>
              </w:rPr>
              <w:t>Radardienu skaits</w:t>
            </w:r>
            <w:r w:rsidRPr="00F31194">
              <w:rPr>
                <w:rStyle w:val="FootnoteReference"/>
                <w:b/>
                <w:bCs/>
                <w:i/>
                <w:iCs/>
                <w:sz w:val="16"/>
                <w:szCs w:val="16"/>
              </w:rPr>
              <w:footnoteReference w:id="19"/>
            </w:r>
          </w:p>
        </w:tc>
      </w:tr>
      <w:tr w:rsidR="00644AA4" w:rsidRPr="00F163BC" w14:paraId="1FF097B7" w14:textId="77777777" w:rsidTr="00F3119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1A3F29B1" w14:textId="77777777" w:rsidR="007577EF" w:rsidRPr="00F163BC" w:rsidRDefault="007577EF" w:rsidP="00EE1FC3">
            <w:pPr>
              <w:rPr>
                <w:sz w:val="16"/>
                <w:szCs w:val="16"/>
              </w:rPr>
            </w:pPr>
            <w:r w:rsidRPr="00F163BC">
              <w:rPr>
                <w:sz w:val="16"/>
                <w:szCs w:val="16"/>
              </w:rPr>
              <w:t>2015.</w:t>
            </w:r>
          </w:p>
        </w:tc>
        <w:tc>
          <w:tcPr>
            <w:tcW w:w="884" w:type="dxa"/>
            <w:tcBorders>
              <w:top w:val="outset" w:sz="6" w:space="0" w:color="auto"/>
              <w:left w:val="outset" w:sz="6" w:space="0" w:color="auto"/>
              <w:bottom w:val="outset" w:sz="6" w:space="0" w:color="auto"/>
              <w:right w:val="outset" w:sz="6" w:space="0" w:color="auto"/>
            </w:tcBorders>
            <w:hideMark/>
          </w:tcPr>
          <w:p w14:paraId="042F3DA7" w14:textId="77777777" w:rsidR="007577EF" w:rsidRPr="00F163BC" w:rsidRDefault="007577EF" w:rsidP="00EE1FC3">
            <w:pPr>
              <w:jc w:val="center"/>
              <w:rPr>
                <w:sz w:val="16"/>
                <w:szCs w:val="16"/>
              </w:rPr>
            </w:pPr>
            <w:r w:rsidRPr="00F163BC">
              <w:rPr>
                <w:sz w:val="16"/>
                <w:szCs w:val="16"/>
              </w:rPr>
              <w:t>1 298 511</w:t>
            </w:r>
          </w:p>
        </w:tc>
        <w:tc>
          <w:tcPr>
            <w:tcW w:w="0" w:type="auto"/>
            <w:tcBorders>
              <w:top w:val="outset" w:sz="6" w:space="0" w:color="auto"/>
              <w:left w:val="outset" w:sz="6" w:space="0" w:color="auto"/>
              <w:bottom w:val="outset" w:sz="6" w:space="0" w:color="auto"/>
              <w:right w:val="outset" w:sz="6" w:space="0" w:color="auto"/>
            </w:tcBorders>
            <w:hideMark/>
          </w:tcPr>
          <w:p w14:paraId="235CD4AF" w14:textId="77777777" w:rsidR="007577EF" w:rsidRPr="00F163BC" w:rsidRDefault="007577EF" w:rsidP="00EE1FC3">
            <w:pPr>
              <w:jc w:val="center"/>
              <w:rPr>
                <w:sz w:val="16"/>
                <w:szCs w:val="16"/>
              </w:rPr>
            </w:pPr>
            <w:r w:rsidRPr="00F163BC">
              <w:rPr>
                <w:sz w:val="16"/>
                <w:szCs w:val="16"/>
              </w:rPr>
              <w:t>822 182</w:t>
            </w:r>
          </w:p>
        </w:tc>
        <w:tc>
          <w:tcPr>
            <w:tcW w:w="0" w:type="auto"/>
            <w:tcBorders>
              <w:top w:val="outset" w:sz="6" w:space="0" w:color="auto"/>
              <w:left w:val="outset" w:sz="6" w:space="0" w:color="auto"/>
              <w:bottom w:val="outset" w:sz="6" w:space="0" w:color="auto"/>
              <w:right w:val="outset" w:sz="6" w:space="0" w:color="auto"/>
            </w:tcBorders>
            <w:hideMark/>
          </w:tcPr>
          <w:p w14:paraId="3B580D13" w14:textId="77777777" w:rsidR="007577EF" w:rsidRPr="00F163BC" w:rsidRDefault="007577EF" w:rsidP="00EE1FC3">
            <w:pPr>
              <w:jc w:val="center"/>
              <w:rPr>
                <w:sz w:val="16"/>
                <w:szCs w:val="16"/>
              </w:rPr>
            </w:pPr>
            <w:r w:rsidRPr="00F163BC">
              <w:rPr>
                <w:sz w:val="16"/>
                <w:szCs w:val="16"/>
              </w:rPr>
              <w:t>46 550</w:t>
            </w:r>
          </w:p>
        </w:tc>
        <w:tc>
          <w:tcPr>
            <w:tcW w:w="0" w:type="auto"/>
            <w:tcBorders>
              <w:top w:val="outset" w:sz="6" w:space="0" w:color="auto"/>
              <w:left w:val="outset" w:sz="6" w:space="0" w:color="auto"/>
              <w:bottom w:val="outset" w:sz="6" w:space="0" w:color="auto"/>
              <w:right w:val="outset" w:sz="6" w:space="0" w:color="auto"/>
            </w:tcBorders>
            <w:hideMark/>
          </w:tcPr>
          <w:p w14:paraId="3BFA6107" w14:textId="77777777" w:rsidR="007577EF" w:rsidRPr="00F163BC" w:rsidRDefault="007577EF" w:rsidP="00EE1FC3">
            <w:pPr>
              <w:jc w:val="center"/>
              <w:rPr>
                <w:sz w:val="16"/>
                <w:szCs w:val="16"/>
              </w:rPr>
            </w:pPr>
            <w:r w:rsidRPr="00F163BC">
              <w:rPr>
                <w:sz w:val="16"/>
                <w:szCs w:val="16"/>
              </w:rPr>
              <w:t>42 435</w:t>
            </w:r>
          </w:p>
        </w:tc>
        <w:tc>
          <w:tcPr>
            <w:tcW w:w="0" w:type="auto"/>
            <w:tcBorders>
              <w:top w:val="outset" w:sz="6" w:space="0" w:color="auto"/>
              <w:left w:val="outset" w:sz="6" w:space="0" w:color="auto"/>
              <w:bottom w:val="outset" w:sz="6" w:space="0" w:color="auto"/>
              <w:right w:val="outset" w:sz="6" w:space="0" w:color="auto"/>
            </w:tcBorders>
            <w:hideMark/>
          </w:tcPr>
          <w:p w14:paraId="0F691C31" w14:textId="77777777" w:rsidR="007577EF" w:rsidRPr="00F163BC" w:rsidRDefault="007577EF" w:rsidP="00EE1FC3">
            <w:pPr>
              <w:jc w:val="center"/>
              <w:rPr>
                <w:sz w:val="16"/>
                <w:szCs w:val="16"/>
              </w:rPr>
            </w:pPr>
            <w:r w:rsidRPr="00F163BC">
              <w:rPr>
                <w:sz w:val="16"/>
                <w:szCs w:val="16"/>
              </w:rPr>
              <w:t>30,60</w:t>
            </w:r>
            <w:r w:rsidRPr="00F163BC">
              <w:rPr>
                <w:sz w:val="16"/>
                <w:szCs w:val="16"/>
              </w:rPr>
              <w:br/>
            </w:r>
          </w:p>
        </w:tc>
        <w:tc>
          <w:tcPr>
            <w:tcW w:w="0" w:type="auto"/>
            <w:tcBorders>
              <w:top w:val="outset" w:sz="6" w:space="0" w:color="auto"/>
              <w:left w:val="outset" w:sz="6" w:space="0" w:color="auto"/>
              <w:bottom w:val="outset" w:sz="6" w:space="0" w:color="auto"/>
              <w:right w:val="outset" w:sz="6" w:space="0" w:color="auto"/>
            </w:tcBorders>
            <w:hideMark/>
          </w:tcPr>
          <w:p w14:paraId="4E6B44B0" w14:textId="77777777" w:rsidR="007577EF" w:rsidRPr="00A8353D" w:rsidRDefault="007577EF" w:rsidP="00EE1FC3">
            <w:pPr>
              <w:jc w:val="center"/>
              <w:rPr>
                <w:sz w:val="16"/>
                <w:szCs w:val="16"/>
              </w:rPr>
            </w:pPr>
            <w:r w:rsidRPr="00AE08E7">
              <w:rPr>
                <w:sz w:val="16"/>
                <w:szCs w:val="16"/>
              </w:rPr>
              <w:t>12</w:t>
            </w:r>
            <w:r w:rsidRPr="00AE08E7">
              <w:rPr>
                <w:sz w:val="16"/>
                <w:szCs w:val="16"/>
              </w:rPr>
              <w:br/>
            </w:r>
          </w:p>
        </w:tc>
        <w:tc>
          <w:tcPr>
            <w:tcW w:w="0" w:type="auto"/>
            <w:tcBorders>
              <w:top w:val="outset" w:sz="6" w:space="0" w:color="auto"/>
              <w:left w:val="outset" w:sz="6" w:space="0" w:color="auto"/>
              <w:bottom w:val="outset" w:sz="6" w:space="0" w:color="auto"/>
              <w:right w:val="outset" w:sz="6" w:space="0" w:color="auto"/>
            </w:tcBorders>
          </w:tcPr>
          <w:p w14:paraId="0436F952" w14:textId="77777777" w:rsidR="007577EF" w:rsidRPr="00F31194" w:rsidRDefault="007577EF" w:rsidP="00EE1FC3">
            <w:pPr>
              <w:jc w:val="center"/>
              <w:rPr>
                <w:sz w:val="16"/>
                <w:szCs w:val="16"/>
              </w:rPr>
            </w:pPr>
            <w:r w:rsidRPr="00F31194">
              <w:rPr>
                <w:sz w:val="16"/>
                <w:szCs w:val="16"/>
              </w:rPr>
              <w:t>16</w:t>
            </w:r>
          </w:p>
        </w:tc>
        <w:tc>
          <w:tcPr>
            <w:tcW w:w="0" w:type="auto"/>
            <w:tcBorders>
              <w:top w:val="outset" w:sz="6" w:space="0" w:color="auto"/>
              <w:left w:val="outset" w:sz="6" w:space="0" w:color="auto"/>
              <w:bottom w:val="outset" w:sz="6" w:space="0" w:color="auto"/>
              <w:right w:val="outset" w:sz="6" w:space="0" w:color="auto"/>
            </w:tcBorders>
            <w:hideMark/>
          </w:tcPr>
          <w:p w14:paraId="4C07690C" w14:textId="77777777" w:rsidR="007577EF" w:rsidRPr="00F31194" w:rsidRDefault="007577EF" w:rsidP="00EE1FC3">
            <w:pPr>
              <w:jc w:val="center"/>
              <w:rPr>
                <w:sz w:val="16"/>
                <w:szCs w:val="16"/>
              </w:rPr>
            </w:pPr>
            <w:r w:rsidRPr="00F31194">
              <w:rPr>
                <w:sz w:val="16"/>
                <w:szCs w:val="16"/>
              </w:rPr>
              <w:t>13,8</w:t>
            </w:r>
            <w:r w:rsidRPr="00F31194">
              <w:rPr>
                <w:sz w:val="16"/>
                <w:szCs w:val="16"/>
              </w:rPr>
              <w:br/>
            </w:r>
          </w:p>
        </w:tc>
        <w:tc>
          <w:tcPr>
            <w:tcW w:w="0" w:type="auto"/>
            <w:tcBorders>
              <w:top w:val="outset" w:sz="6" w:space="0" w:color="auto"/>
              <w:left w:val="outset" w:sz="6" w:space="0" w:color="auto"/>
              <w:bottom w:val="outset" w:sz="6" w:space="0" w:color="auto"/>
              <w:right w:val="outset" w:sz="6" w:space="0" w:color="auto"/>
            </w:tcBorders>
          </w:tcPr>
          <w:p w14:paraId="5355DC48" w14:textId="77777777" w:rsidR="007577EF" w:rsidRPr="00F31194" w:rsidRDefault="007577EF" w:rsidP="00EE1FC3">
            <w:pPr>
              <w:jc w:val="center"/>
              <w:rPr>
                <w:sz w:val="16"/>
                <w:szCs w:val="16"/>
              </w:rPr>
            </w:pPr>
            <w:r w:rsidRPr="00F31194">
              <w:rPr>
                <w:sz w:val="16"/>
                <w:szCs w:val="16"/>
              </w:rPr>
              <w:t>3 905</w:t>
            </w:r>
          </w:p>
        </w:tc>
      </w:tr>
      <w:tr w:rsidR="00644AA4" w:rsidRPr="00F163BC" w14:paraId="056317E4" w14:textId="77777777" w:rsidTr="00F3119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6BF90DFC" w14:textId="77777777" w:rsidR="007577EF" w:rsidRPr="00F163BC" w:rsidRDefault="007577EF" w:rsidP="00EE1FC3">
            <w:pPr>
              <w:rPr>
                <w:sz w:val="16"/>
                <w:szCs w:val="16"/>
              </w:rPr>
            </w:pPr>
            <w:r w:rsidRPr="00F163BC">
              <w:rPr>
                <w:sz w:val="16"/>
                <w:szCs w:val="16"/>
              </w:rPr>
              <w:t xml:space="preserve">2016. </w:t>
            </w:r>
          </w:p>
        </w:tc>
        <w:tc>
          <w:tcPr>
            <w:tcW w:w="884" w:type="dxa"/>
            <w:tcBorders>
              <w:top w:val="outset" w:sz="6" w:space="0" w:color="auto"/>
              <w:left w:val="outset" w:sz="6" w:space="0" w:color="auto"/>
              <w:bottom w:val="outset" w:sz="6" w:space="0" w:color="auto"/>
              <w:right w:val="outset" w:sz="6" w:space="0" w:color="auto"/>
            </w:tcBorders>
          </w:tcPr>
          <w:p w14:paraId="4C9A79D4" w14:textId="77777777" w:rsidR="007577EF" w:rsidRPr="00F163BC" w:rsidRDefault="007577EF" w:rsidP="00EE1FC3">
            <w:pPr>
              <w:jc w:val="center"/>
              <w:rPr>
                <w:sz w:val="16"/>
                <w:szCs w:val="16"/>
              </w:rPr>
            </w:pPr>
            <w:r w:rsidRPr="00F163BC">
              <w:rPr>
                <w:sz w:val="16"/>
                <w:szCs w:val="16"/>
              </w:rPr>
              <w:t>3 735 316</w:t>
            </w:r>
          </w:p>
        </w:tc>
        <w:tc>
          <w:tcPr>
            <w:tcW w:w="0" w:type="auto"/>
            <w:tcBorders>
              <w:top w:val="outset" w:sz="6" w:space="0" w:color="auto"/>
              <w:left w:val="outset" w:sz="6" w:space="0" w:color="auto"/>
              <w:bottom w:val="outset" w:sz="6" w:space="0" w:color="auto"/>
              <w:right w:val="outset" w:sz="6" w:space="0" w:color="auto"/>
            </w:tcBorders>
          </w:tcPr>
          <w:p w14:paraId="5D408877" w14:textId="77777777" w:rsidR="007577EF" w:rsidRPr="00F163BC" w:rsidRDefault="007577EF" w:rsidP="00EE1FC3">
            <w:pPr>
              <w:jc w:val="center"/>
              <w:rPr>
                <w:sz w:val="16"/>
                <w:szCs w:val="16"/>
              </w:rPr>
            </w:pPr>
            <w:r w:rsidRPr="00F163BC">
              <w:rPr>
                <w:sz w:val="16"/>
                <w:szCs w:val="16"/>
              </w:rPr>
              <w:t>2 748 312</w:t>
            </w:r>
          </w:p>
        </w:tc>
        <w:tc>
          <w:tcPr>
            <w:tcW w:w="0" w:type="auto"/>
            <w:tcBorders>
              <w:top w:val="outset" w:sz="6" w:space="0" w:color="auto"/>
              <w:left w:val="outset" w:sz="6" w:space="0" w:color="auto"/>
              <w:bottom w:val="outset" w:sz="6" w:space="0" w:color="auto"/>
              <w:right w:val="outset" w:sz="6" w:space="0" w:color="auto"/>
            </w:tcBorders>
          </w:tcPr>
          <w:p w14:paraId="0FC01DE4" w14:textId="77777777" w:rsidR="007577EF" w:rsidRPr="00F163BC" w:rsidRDefault="007577EF" w:rsidP="00EE1FC3">
            <w:pPr>
              <w:jc w:val="center"/>
              <w:rPr>
                <w:sz w:val="16"/>
                <w:szCs w:val="16"/>
              </w:rPr>
            </w:pPr>
            <w:r w:rsidRPr="00F163BC">
              <w:rPr>
                <w:sz w:val="16"/>
                <w:szCs w:val="16"/>
              </w:rPr>
              <w:t>99 861</w:t>
            </w:r>
          </w:p>
        </w:tc>
        <w:tc>
          <w:tcPr>
            <w:tcW w:w="0" w:type="auto"/>
            <w:tcBorders>
              <w:top w:val="outset" w:sz="6" w:space="0" w:color="auto"/>
              <w:left w:val="outset" w:sz="6" w:space="0" w:color="auto"/>
              <w:bottom w:val="outset" w:sz="6" w:space="0" w:color="auto"/>
              <w:right w:val="outset" w:sz="6" w:space="0" w:color="auto"/>
            </w:tcBorders>
          </w:tcPr>
          <w:p w14:paraId="58477371" w14:textId="77777777" w:rsidR="007577EF" w:rsidRPr="00F163BC" w:rsidRDefault="007577EF" w:rsidP="00EE1FC3">
            <w:pPr>
              <w:jc w:val="center"/>
              <w:rPr>
                <w:sz w:val="16"/>
                <w:szCs w:val="16"/>
              </w:rPr>
            </w:pPr>
            <w:r w:rsidRPr="00F163BC">
              <w:rPr>
                <w:sz w:val="16"/>
                <w:szCs w:val="16"/>
              </w:rPr>
              <w:t>97 051</w:t>
            </w:r>
          </w:p>
        </w:tc>
        <w:tc>
          <w:tcPr>
            <w:tcW w:w="0" w:type="auto"/>
            <w:tcBorders>
              <w:top w:val="outset" w:sz="6" w:space="0" w:color="auto"/>
              <w:left w:val="outset" w:sz="6" w:space="0" w:color="auto"/>
              <w:bottom w:val="outset" w:sz="6" w:space="0" w:color="auto"/>
              <w:right w:val="outset" w:sz="6" w:space="0" w:color="auto"/>
            </w:tcBorders>
          </w:tcPr>
          <w:p w14:paraId="4824980F" w14:textId="77777777" w:rsidR="007577EF" w:rsidRPr="00F163BC" w:rsidRDefault="007577EF" w:rsidP="00EE1FC3">
            <w:pPr>
              <w:jc w:val="center"/>
              <w:rPr>
                <w:sz w:val="16"/>
                <w:szCs w:val="16"/>
              </w:rPr>
            </w:pPr>
            <w:r w:rsidRPr="00F163BC">
              <w:rPr>
                <w:sz w:val="16"/>
                <w:szCs w:val="16"/>
              </w:rPr>
              <w:t>38,48</w:t>
            </w:r>
          </w:p>
        </w:tc>
        <w:tc>
          <w:tcPr>
            <w:tcW w:w="0" w:type="auto"/>
            <w:tcBorders>
              <w:top w:val="outset" w:sz="6" w:space="0" w:color="auto"/>
              <w:left w:val="outset" w:sz="6" w:space="0" w:color="auto"/>
              <w:bottom w:val="outset" w:sz="6" w:space="0" w:color="auto"/>
              <w:right w:val="outset" w:sz="6" w:space="0" w:color="auto"/>
            </w:tcBorders>
          </w:tcPr>
          <w:p w14:paraId="3EEA4167" w14:textId="77777777" w:rsidR="007577EF" w:rsidRPr="00A8353D" w:rsidRDefault="007577EF" w:rsidP="00EE1FC3">
            <w:pPr>
              <w:jc w:val="center"/>
              <w:rPr>
                <w:sz w:val="16"/>
                <w:szCs w:val="16"/>
              </w:rPr>
            </w:pPr>
            <w:r w:rsidRPr="00AE08E7">
              <w:rPr>
                <w:sz w:val="16"/>
                <w:szCs w:val="16"/>
              </w:rPr>
              <w:t>19</w:t>
            </w:r>
          </w:p>
        </w:tc>
        <w:tc>
          <w:tcPr>
            <w:tcW w:w="0" w:type="auto"/>
            <w:tcBorders>
              <w:top w:val="outset" w:sz="6" w:space="0" w:color="auto"/>
              <w:left w:val="outset" w:sz="6" w:space="0" w:color="auto"/>
              <w:bottom w:val="outset" w:sz="6" w:space="0" w:color="auto"/>
              <w:right w:val="outset" w:sz="6" w:space="0" w:color="auto"/>
            </w:tcBorders>
          </w:tcPr>
          <w:p w14:paraId="3BDBF0F9" w14:textId="77777777" w:rsidR="007577EF" w:rsidRPr="00F31194" w:rsidRDefault="007577EF" w:rsidP="00EE1FC3">
            <w:pPr>
              <w:jc w:val="center"/>
              <w:rPr>
                <w:sz w:val="16"/>
                <w:szCs w:val="16"/>
              </w:rPr>
            </w:pPr>
            <w:r w:rsidRPr="00F31194">
              <w:rPr>
                <w:sz w:val="16"/>
                <w:szCs w:val="16"/>
              </w:rPr>
              <w:t>40</w:t>
            </w:r>
          </w:p>
        </w:tc>
        <w:tc>
          <w:tcPr>
            <w:tcW w:w="0" w:type="auto"/>
            <w:tcBorders>
              <w:top w:val="outset" w:sz="6" w:space="0" w:color="auto"/>
              <w:left w:val="outset" w:sz="6" w:space="0" w:color="auto"/>
              <w:bottom w:val="outset" w:sz="6" w:space="0" w:color="auto"/>
              <w:right w:val="outset" w:sz="6" w:space="0" w:color="auto"/>
            </w:tcBorders>
          </w:tcPr>
          <w:p w14:paraId="7FB85127" w14:textId="77777777" w:rsidR="007577EF" w:rsidRPr="00F31194" w:rsidRDefault="007577EF" w:rsidP="00EE1FC3">
            <w:pPr>
              <w:jc w:val="center"/>
              <w:rPr>
                <w:sz w:val="16"/>
                <w:szCs w:val="16"/>
              </w:rPr>
            </w:pPr>
            <w:r w:rsidRPr="00F31194">
              <w:rPr>
                <w:sz w:val="16"/>
                <w:szCs w:val="16"/>
              </w:rPr>
              <w:t>13,02</w:t>
            </w:r>
          </w:p>
        </w:tc>
        <w:tc>
          <w:tcPr>
            <w:tcW w:w="0" w:type="auto"/>
            <w:tcBorders>
              <w:top w:val="outset" w:sz="6" w:space="0" w:color="auto"/>
              <w:left w:val="outset" w:sz="6" w:space="0" w:color="auto"/>
              <w:bottom w:val="outset" w:sz="6" w:space="0" w:color="auto"/>
              <w:right w:val="outset" w:sz="6" w:space="0" w:color="auto"/>
            </w:tcBorders>
          </w:tcPr>
          <w:p w14:paraId="5D0E370F" w14:textId="77777777" w:rsidR="007577EF" w:rsidRPr="00F31194" w:rsidRDefault="007577EF" w:rsidP="00EE1FC3">
            <w:pPr>
              <w:jc w:val="center"/>
              <w:rPr>
                <w:sz w:val="16"/>
                <w:szCs w:val="16"/>
              </w:rPr>
            </w:pPr>
            <w:r w:rsidRPr="00F31194">
              <w:rPr>
                <w:sz w:val="16"/>
                <w:szCs w:val="16"/>
              </w:rPr>
              <w:t>6 340</w:t>
            </w:r>
          </w:p>
        </w:tc>
      </w:tr>
      <w:tr w:rsidR="00644AA4" w:rsidRPr="00F163BC" w14:paraId="5F52291C" w14:textId="77777777" w:rsidTr="00F31194">
        <w:trPr>
          <w:tblCellSpacing w:w="15" w:type="dxa"/>
        </w:trPr>
        <w:tc>
          <w:tcPr>
            <w:tcW w:w="656" w:type="dxa"/>
            <w:tcBorders>
              <w:top w:val="outset" w:sz="6" w:space="0" w:color="auto"/>
              <w:left w:val="outset" w:sz="6" w:space="0" w:color="auto"/>
              <w:bottom w:val="outset" w:sz="6" w:space="0" w:color="auto"/>
              <w:right w:val="outset" w:sz="6" w:space="0" w:color="auto"/>
            </w:tcBorders>
          </w:tcPr>
          <w:p w14:paraId="45982659" w14:textId="77777777" w:rsidR="007577EF" w:rsidRPr="00F163BC" w:rsidRDefault="007577EF" w:rsidP="00EE1FC3">
            <w:pPr>
              <w:rPr>
                <w:sz w:val="16"/>
                <w:szCs w:val="16"/>
              </w:rPr>
            </w:pPr>
            <w:r w:rsidRPr="00F163BC">
              <w:rPr>
                <w:sz w:val="16"/>
                <w:szCs w:val="16"/>
              </w:rPr>
              <w:t>2017.</w:t>
            </w:r>
          </w:p>
        </w:tc>
        <w:tc>
          <w:tcPr>
            <w:tcW w:w="884" w:type="dxa"/>
            <w:tcBorders>
              <w:top w:val="outset" w:sz="6" w:space="0" w:color="auto"/>
              <w:left w:val="outset" w:sz="6" w:space="0" w:color="auto"/>
              <w:bottom w:val="outset" w:sz="6" w:space="0" w:color="auto"/>
              <w:right w:val="outset" w:sz="6" w:space="0" w:color="auto"/>
            </w:tcBorders>
          </w:tcPr>
          <w:p w14:paraId="7903F7B9" w14:textId="77777777" w:rsidR="007577EF" w:rsidRPr="00F163BC" w:rsidRDefault="007577EF" w:rsidP="00EE1FC3">
            <w:pPr>
              <w:jc w:val="center"/>
              <w:rPr>
                <w:sz w:val="16"/>
                <w:szCs w:val="16"/>
              </w:rPr>
            </w:pPr>
            <w:r w:rsidRPr="00F163BC">
              <w:rPr>
                <w:sz w:val="16"/>
                <w:szCs w:val="16"/>
              </w:rPr>
              <w:t>10 279 675</w:t>
            </w:r>
          </w:p>
        </w:tc>
        <w:tc>
          <w:tcPr>
            <w:tcW w:w="0" w:type="auto"/>
            <w:tcBorders>
              <w:top w:val="outset" w:sz="6" w:space="0" w:color="auto"/>
              <w:left w:val="outset" w:sz="6" w:space="0" w:color="auto"/>
              <w:bottom w:val="outset" w:sz="6" w:space="0" w:color="auto"/>
              <w:right w:val="outset" w:sz="6" w:space="0" w:color="auto"/>
            </w:tcBorders>
          </w:tcPr>
          <w:p w14:paraId="28437AC8" w14:textId="77777777" w:rsidR="007577EF" w:rsidRPr="00F163BC" w:rsidRDefault="007577EF" w:rsidP="00EE1FC3">
            <w:pPr>
              <w:jc w:val="center"/>
              <w:rPr>
                <w:sz w:val="16"/>
                <w:szCs w:val="16"/>
              </w:rPr>
            </w:pPr>
            <w:r w:rsidRPr="00F163BC">
              <w:rPr>
                <w:sz w:val="16"/>
                <w:szCs w:val="16"/>
              </w:rPr>
              <w:t>8 420 772</w:t>
            </w:r>
          </w:p>
        </w:tc>
        <w:tc>
          <w:tcPr>
            <w:tcW w:w="0" w:type="auto"/>
            <w:tcBorders>
              <w:top w:val="outset" w:sz="6" w:space="0" w:color="auto"/>
              <w:left w:val="outset" w:sz="6" w:space="0" w:color="auto"/>
              <w:bottom w:val="outset" w:sz="6" w:space="0" w:color="auto"/>
              <w:right w:val="outset" w:sz="6" w:space="0" w:color="auto"/>
            </w:tcBorders>
          </w:tcPr>
          <w:p w14:paraId="3FCA06D3" w14:textId="77777777" w:rsidR="007577EF" w:rsidRPr="00F163BC" w:rsidRDefault="007577EF" w:rsidP="00EE1FC3">
            <w:pPr>
              <w:jc w:val="center"/>
              <w:rPr>
                <w:sz w:val="16"/>
                <w:szCs w:val="16"/>
              </w:rPr>
            </w:pPr>
            <w:r w:rsidRPr="00F163BC">
              <w:rPr>
                <w:sz w:val="16"/>
                <w:szCs w:val="16"/>
              </w:rPr>
              <w:t>247 881</w:t>
            </w:r>
          </w:p>
        </w:tc>
        <w:tc>
          <w:tcPr>
            <w:tcW w:w="0" w:type="auto"/>
            <w:tcBorders>
              <w:top w:val="outset" w:sz="6" w:space="0" w:color="auto"/>
              <w:left w:val="outset" w:sz="6" w:space="0" w:color="auto"/>
              <w:bottom w:val="outset" w:sz="6" w:space="0" w:color="auto"/>
              <w:right w:val="outset" w:sz="6" w:space="0" w:color="auto"/>
            </w:tcBorders>
          </w:tcPr>
          <w:p w14:paraId="4474A106" w14:textId="77777777" w:rsidR="007577EF" w:rsidRPr="00F163BC" w:rsidRDefault="007577EF" w:rsidP="00EE1FC3">
            <w:pPr>
              <w:jc w:val="center"/>
              <w:rPr>
                <w:sz w:val="16"/>
                <w:szCs w:val="16"/>
              </w:rPr>
            </w:pPr>
            <w:r w:rsidRPr="00F163BC">
              <w:rPr>
                <w:sz w:val="16"/>
                <w:szCs w:val="16"/>
              </w:rPr>
              <w:t>231 093</w:t>
            </w:r>
          </w:p>
        </w:tc>
        <w:tc>
          <w:tcPr>
            <w:tcW w:w="0" w:type="auto"/>
            <w:tcBorders>
              <w:top w:val="outset" w:sz="6" w:space="0" w:color="auto"/>
              <w:left w:val="outset" w:sz="6" w:space="0" w:color="auto"/>
              <w:bottom w:val="outset" w:sz="6" w:space="0" w:color="auto"/>
              <w:right w:val="outset" w:sz="6" w:space="0" w:color="auto"/>
            </w:tcBorders>
          </w:tcPr>
          <w:p w14:paraId="49522AE3" w14:textId="77777777" w:rsidR="007577EF" w:rsidRPr="00F163BC" w:rsidRDefault="007577EF" w:rsidP="00EE1FC3">
            <w:pPr>
              <w:jc w:val="center"/>
              <w:rPr>
                <w:sz w:val="16"/>
                <w:szCs w:val="16"/>
              </w:rPr>
            </w:pPr>
            <w:r w:rsidRPr="00F163BC">
              <w:rPr>
                <w:sz w:val="16"/>
                <w:szCs w:val="16"/>
              </w:rPr>
              <w:t>44,48</w:t>
            </w:r>
          </w:p>
        </w:tc>
        <w:tc>
          <w:tcPr>
            <w:tcW w:w="0" w:type="auto"/>
            <w:tcBorders>
              <w:top w:val="outset" w:sz="6" w:space="0" w:color="auto"/>
              <w:left w:val="outset" w:sz="6" w:space="0" w:color="auto"/>
              <w:bottom w:val="outset" w:sz="6" w:space="0" w:color="auto"/>
              <w:right w:val="outset" w:sz="6" w:space="0" w:color="auto"/>
            </w:tcBorders>
          </w:tcPr>
          <w:p w14:paraId="704419C8" w14:textId="77777777" w:rsidR="007577EF" w:rsidRPr="00A8353D" w:rsidRDefault="007577EF" w:rsidP="00EE1FC3">
            <w:pPr>
              <w:jc w:val="center"/>
              <w:rPr>
                <w:sz w:val="16"/>
                <w:szCs w:val="16"/>
              </w:rPr>
            </w:pPr>
            <w:r w:rsidRPr="00AE08E7">
              <w:rPr>
                <w:sz w:val="16"/>
                <w:szCs w:val="16"/>
              </w:rPr>
              <w:t>47</w:t>
            </w:r>
          </w:p>
        </w:tc>
        <w:tc>
          <w:tcPr>
            <w:tcW w:w="0" w:type="auto"/>
            <w:tcBorders>
              <w:top w:val="outset" w:sz="6" w:space="0" w:color="auto"/>
              <w:left w:val="outset" w:sz="6" w:space="0" w:color="auto"/>
              <w:bottom w:val="outset" w:sz="6" w:space="0" w:color="auto"/>
              <w:right w:val="outset" w:sz="6" w:space="0" w:color="auto"/>
            </w:tcBorders>
          </w:tcPr>
          <w:p w14:paraId="7F9E0D41" w14:textId="77777777" w:rsidR="007577EF" w:rsidRPr="00F31194" w:rsidRDefault="007577EF" w:rsidP="00EE1FC3">
            <w:pPr>
              <w:jc w:val="center"/>
              <w:rPr>
                <w:sz w:val="16"/>
                <w:szCs w:val="16"/>
              </w:rPr>
            </w:pPr>
            <w:r w:rsidRPr="00F31194">
              <w:rPr>
                <w:sz w:val="16"/>
                <w:szCs w:val="16"/>
              </w:rPr>
              <w:t>60</w:t>
            </w:r>
          </w:p>
        </w:tc>
        <w:tc>
          <w:tcPr>
            <w:tcW w:w="0" w:type="auto"/>
            <w:tcBorders>
              <w:top w:val="outset" w:sz="6" w:space="0" w:color="auto"/>
              <w:left w:val="outset" w:sz="6" w:space="0" w:color="auto"/>
              <w:bottom w:val="outset" w:sz="6" w:space="0" w:color="auto"/>
              <w:right w:val="outset" w:sz="6" w:space="0" w:color="auto"/>
            </w:tcBorders>
          </w:tcPr>
          <w:p w14:paraId="6D6F83B3" w14:textId="77777777" w:rsidR="007577EF" w:rsidRPr="00F31194" w:rsidRDefault="007577EF" w:rsidP="00EE1FC3">
            <w:pPr>
              <w:jc w:val="center"/>
              <w:rPr>
                <w:sz w:val="16"/>
                <w:szCs w:val="16"/>
              </w:rPr>
            </w:pPr>
            <w:r w:rsidRPr="00F31194">
              <w:rPr>
                <w:sz w:val="16"/>
                <w:szCs w:val="16"/>
              </w:rPr>
              <w:t>14,7</w:t>
            </w:r>
          </w:p>
        </w:tc>
        <w:tc>
          <w:tcPr>
            <w:tcW w:w="0" w:type="auto"/>
            <w:tcBorders>
              <w:top w:val="outset" w:sz="6" w:space="0" w:color="auto"/>
              <w:left w:val="outset" w:sz="6" w:space="0" w:color="auto"/>
              <w:bottom w:val="outset" w:sz="6" w:space="0" w:color="auto"/>
              <w:right w:val="outset" w:sz="6" w:space="0" w:color="auto"/>
            </w:tcBorders>
          </w:tcPr>
          <w:p w14:paraId="6A1C6B6D" w14:textId="77777777" w:rsidR="007577EF" w:rsidRPr="00F31194" w:rsidRDefault="007577EF" w:rsidP="00EE1FC3">
            <w:pPr>
              <w:jc w:val="center"/>
              <w:rPr>
                <w:sz w:val="16"/>
                <w:szCs w:val="16"/>
              </w:rPr>
            </w:pPr>
            <w:r w:rsidRPr="00F31194">
              <w:rPr>
                <w:sz w:val="16"/>
                <w:szCs w:val="16"/>
              </w:rPr>
              <w:t>15 697</w:t>
            </w:r>
          </w:p>
        </w:tc>
      </w:tr>
      <w:tr w:rsidR="00644AA4" w:rsidRPr="00F163BC" w14:paraId="22DD3449" w14:textId="77777777" w:rsidTr="00F31194">
        <w:trPr>
          <w:tblCellSpacing w:w="15" w:type="dxa"/>
        </w:trPr>
        <w:tc>
          <w:tcPr>
            <w:tcW w:w="656" w:type="dxa"/>
            <w:tcBorders>
              <w:top w:val="outset" w:sz="6" w:space="0" w:color="auto"/>
              <w:left w:val="outset" w:sz="6" w:space="0" w:color="auto"/>
              <w:bottom w:val="outset" w:sz="6" w:space="0" w:color="auto"/>
              <w:right w:val="outset" w:sz="6" w:space="0" w:color="auto"/>
            </w:tcBorders>
          </w:tcPr>
          <w:p w14:paraId="6E000251" w14:textId="77777777" w:rsidR="007577EF" w:rsidRPr="00F163BC" w:rsidRDefault="00BB6602" w:rsidP="00EE1FC3">
            <w:pPr>
              <w:rPr>
                <w:sz w:val="16"/>
                <w:szCs w:val="16"/>
              </w:rPr>
            </w:pPr>
            <w:r w:rsidRPr="00F163BC">
              <w:rPr>
                <w:sz w:val="16"/>
                <w:szCs w:val="16"/>
              </w:rPr>
              <w:t>2018.</w:t>
            </w:r>
          </w:p>
        </w:tc>
        <w:tc>
          <w:tcPr>
            <w:tcW w:w="884" w:type="dxa"/>
            <w:tcBorders>
              <w:top w:val="outset" w:sz="6" w:space="0" w:color="auto"/>
              <w:left w:val="outset" w:sz="6" w:space="0" w:color="auto"/>
              <w:bottom w:val="outset" w:sz="6" w:space="0" w:color="auto"/>
              <w:right w:val="outset" w:sz="6" w:space="0" w:color="auto"/>
            </w:tcBorders>
          </w:tcPr>
          <w:p w14:paraId="1165D3E4" w14:textId="77777777" w:rsidR="007577EF" w:rsidRPr="00F163BC" w:rsidRDefault="00BB6602" w:rsidP="00EE1FC3">
            <w:pPr>
              <w:jc w:val="center"/>
              <w:rPr>
                <w:sz w:val="16"/>
                <w:szCs w:val="16"/>
              </w:rPr>
            </w:pPr>
            <w:r w:rsidRPr="00F163BC">
              <w:rPr>
                <w:sz w:val="16"/>
                <w:szCs w:val="16"/>
              </w:rPr>
              <w:t>11 959 665</w:t>
            </w:r>
          </w:p>
        </w:tc>
        <w:tc>
          <w:tcPr>
            <w:tcW w:w="0" w:type="auto"/>
            <w:tcBorders>
              <w:top w:val="outset" w:sz="6" w:space="0" w:color="auto"/>
              <w:left w:val="outset" w:sz="6" w:space="0" w:color="auto"/>
              <w:bottom w:val="outset" w:sz="6" w:space="0" w:color="auto"/>
              <w:right w:val="outset" w:sz="6" w:space="0" w:color="auto"/>
            </w:tcBorders>
          </w:tcPr>
          <w:p w14:paraId="0A7E8C0D" w14:textId="77777777" w:rsidR="007577EF" w:rsidRPr="00F163BC" w:rsidRDefault="00B0411E" w:rsidP="00EE1FC3">
            <w:pPr>
              <w:jc w:val="center"/>
              <w:rPr>
                <w:sz w:val="16"/>
                <w:szCs w:val="16"/>
              </w:rPr>
            </w:pPr>
            <w:r w:rsidRPr="00F163BC">
              <w:rPr>
                <w:sz w:val="16"/>
                <w:szCs w:val="16"/>
              </w:rPr>
              <w:t>9 052 704</w:t>
            </w:r>
          </w:p>
        </w:tc>
        <w:tc>
          <w:tcPr>
            <w:tcW w:w="0" w:type="auto"/>
            <w:tcBorders>
              <w:top w:val="outset" w:sz="6" w:space="0" w:color="auto"/>
              <w:left w:val="outset" w:sz="6" w:space="0" w:color="auto"/>
              <w:bottom w:val="outset" w:sz="6" w:space="0" w:color="auto"/>
              <w:right w:val="outset" w:sz="6" w:space="0" w:color="auto"/>
            </w:tcBorders>
          </w:tcPr>
          <w:p w14:paraId="33CF875F" w14:textId="77777777" w:rsidR="007577EF" w:rsidRPr="00F163BC" w:rsidRDefault="00BB6602" w:rsidP="00EE1FC3">
            <w:pPr>
              <w:jc w:val="center"/>
              <w:rPr>
                <w:sz w:val="16"/>
                <w:szCs w:val="16"/>
              </w:rPr>
            </w:pPr>
            <w:r w:rsidRPr="00F163BC">
              <w:rPr>
                <w:sz w:val="16"/>
                <w:szCs w:val="16"/>
              </w:rPr>
              <w:t>276 768</w:t>
            </w:r>
          </w:p>
        </w:tc>
        <w:tc>
          <w:tcPr>
            <w:tcW w:w="0" w:type="auto"/>
            <w:tcBorders>
              <w:top w:val="outset" w:sz="6" w:space="0" w:color="auto"/>
              <w:left w:val="outset" w:sz="6" w:space="0" w:color="auto"/>
              <w:bottom w:val="outset" w:sz="6" w:space="0" w:color="auto"/>
              <w:right w:val="outset" w:sz="6" w:space="0" w:color="auto"/>
            </w:tcBorders>
          </w:tcPr>
          <w:p w14:paraId="3B890747" w14:textId="77777777" w:rsidR="007577EF" w:rsidRPr="00F163BC" w:rsidRDefault="00BB6602" w:rsidP="00EE1FC3">
            <w:pPr>
              <w:jc w:val="center"/>
              <w:rPr>
                <w:sz w:val="16"/>
                <w:szCs w:val="16"/>
              </w:rPr>
            </w:pPr>
            <w:r w:rsidRPr="00F163BC">
              <w:rPr>
                <w:sz w:val="16"/>
                <w:szCs w:val="16"/>
              </w:rPr>
              <w:t>274 262</w:t>
            </w:r>
          </w:p>
        </w:tc>
        <w:tc>
          <w:tcPr>
            <w:tcW w:w="0" w:type="auto"/>
            <w:tcBorders>
              <w:top w:val="outset" w:sz="6" w:space="0" w:color="auto"/>
              <w:left w:val="outset" w:sz="6" w:space="0" w:color="auto"/>
              <w:bottom w:val="outset" w:sz="6" w:space="0" w:color="auto"/>
              <w:right w:val="outset" w:sz="6" w:space="0" w:color="auto"/>
            </w:tcBorders>
          </w:tcPr>
          <w:p w14:paraId="12E8F860" w14:textId="77777777" w:rsidR="007577EF" w:rsidRPr="00F163BC" w:rsidRDefault="007577EF" w:rsidP="00EE1FC3">
            <w:pPr>
              <w:jc w:val="center"/>
              <w:rPr>
                <w:sz w:val="16"/>
                <w:szCs w:val="16"/>
              </w:rPr>
            </w:pPr>
            <w:r w:rsidRPr="00F163BC">
              <w:rPr>
                <w:sz w:val="16"/>
                <w:szCs w:val="16"/>
              </w:rPr>
              <w:t>43,19</w:t>
            </w:r>
          </w:p>
        </w:tc>
        <w:tc>
          <w:tcPr>
            <w:tcW w:w="0" w:type="auto"/>
            <w:tcBorders>
              <w:top w:val="outset" w:sz="6" w:space="0" w:color="auto"/>
              <w:left w:val="outset" w:sz="6" w:space="0" w:color="auto"/>
              <w:bottom w:val="outset" w:sz="6" w:space="0" w:color="auto"/>
              <w:right w:val="outset" w:sz="6" w:space="0" w:color="auto"/>
            </w:tcBorders>
          </w:tcPr>
          <w:p w14:paraId="0E8D3C97" w14:textId="77777777" w:rsidR="007577EF" w:rsidRPr="00A8353D" w:rsidRDefault="00BB6602" w:rsidP="00EE1FC3">
            <w:pPr>
              <w:jc w:val="center"/>
              <w:rPr>
                <w:sz w:val="16"/>
                <w:szCs w:val="16"/>
              </w:rPr>
            </w:pPr>
            <w:r w:rsidRPr="00AE08E7">
              <w:rPr>
                <w:sz w:val="16"/>
                <w:szCs w:val="16"/>
              </w:rPr>
              <w:t>80</w:t>
            </w:r>
          </w:p>
        </w:tc>
        <w:tc>
          <w:tcPr>
            <w:tcW w:w="0" w:type="auto"/>
            <w:tcBorders>
              <w:top w:val="outset" w:sz="6" w:space="0" w:color="auto"/>
              <w:left w:val="outset" w:sz="6" w:space="0" w:color="auto"/>
              <w:bottom w:val="outset" w:sz="6" w:space="0" w:color="auto"/>
              <w:right w:val="outset" w:sz="6" w:space="0" w:color="auto"/>
            </w:tcBorders>
          </w:tcPr>
          <w:p w14:paraId="5B5A2BCB" w14:textId="77777777" w:rsidR="007577EF" w:rsidRPr="00F31194" w:rsidRDefault="00BB6602" w:rsidP="00EE1FC3">
            <w:pPr>
              <w:jc w:val="center"/>
              <w:rPr>
                <w:sz w:val="16"/>
                <w:szCs w:val="16"/>
              </w:rPr>
            </w:pPr>
            <w:r w:rsidRPr="00F31194">
              <w:rPr>
                <w:sz w:val="16"/>
                <w:szCs w:val="16"/>
              </w:rPr>
              <w:t>100</w:t>
            </w:r>
          </w:p>
        </w:tc>
        <w:tc>
          <w:tcPr>
            <w:tcW w:w="0" w:type="auto"/>
            <w:tcBorders>
              <w:top w:val="outset" w:sz="6" w:space="0" w:color="auto"/>
              <w:left w:val="outset" w:sz="6" w:space="0" w:color="auto"/>
              <w:bottom w:val="outset" w:sz="6" w:space="0" w:color="auto"/>
              <w:right w:val="outset" w:sz="6" w:space="0" w:color="auto"/>
            </w:tcBorders>
          </w:tcPr>
          <w:p w14:paraId="2D4EFAC4" w14:textId="77777777" w:rsidR="007577EF" w:rsidRPr="00F31194" w:rsidRDefault="00BB6602" w:rsidP="00EE1FC3">
            <w:pPr>
              <w:jc w:val="center"/>
              <w:rPr>
                <w:sz w:val="16"/>
                <w:szCs w:val="16"/>
              </w:rPr>
            </w:pPr>
            <w:r w:rsidRPr="00F31194">
              <w:rPr>
                <w:sz w:val="16"/>
                <w:szCs w:val="16"/>
              </w:rPr>
              <w:t>10,4</w:t>
            </w:r>
          </w:p>
        </w:tc>
        <w:tc>
          <w:tcPr>
            <w:tcW w:w="0" w:type="auto"/>
            <w:tcBorders>
              <w:top w:val="outset" w:sz="6" w:space="0" w:color="auto"/>
              <w:left w:val="outset" w:sz="6" w:space="0" w:color="auto"/>
              <w:bottom w:val="outset" w:sz="6" w:space="0" w:color="auto"/>
              <w:right w:val="outset" w:sz="6" w:space="0" w:color="auto"/>
            </w:tcBorders>
          </w:tcPr>
          <w:p w14:paraId="49F6F9E2" w14:textId="77777777" w:rsidR="007577EF" w:rsidRPr="00F31194" w:rsidRDefault="00BB6602" w:rsidP="00EE1FC3">
            <w:pPr>
              <w:jc w:val="center"/>
              <w:rPr>
                <w:sz w:val="16"/>
                <w:szCs w:val="16"/>
              </w:rPr>
            </w:pPr>
            <w:r w:rsidRPr="00F31194">
              <w:rPr>
                <w:sz w:val="16"/>
                <w:szCs w:val="16"/>
              </w:rPr>
              <w:t>26 476</w:t>
            </w:r>
          </w:p>
        </w:tc>
      </w:tr>
      <w:tr w:rsidR="00644AA4" w:rsidRPr="00F163BC" w14:paraId="097C2020" w14:textId="77777777" w:rsidTr="00F3119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1B2B9E8D" w14:textId="77777777" w:rsidR="007577EF" w:rsidRPr="00F163BC" w:rsidRDefault="007577EF" w:rsidP="00EE1FC3">
            <w:pPr>
              <w:rPr>
                <w:sz w:val="16"/>
                <w:szCs w:val="16"/>
              </w:rPr>
            </w:pPr>
            <w:r w:rsidRPr="00F163BC">
              <w:rPr>
                <w:sz w:val="16"/>
                <w:szCs w:val="16"/>
              </w:rPr>
              <w:t>Kopā</w:t>
            </w:r>
          </w:p>
        </w:tc>
        <w:tc>
          <w:tcPr>
            <w:tcW w:w="884" w:type="dxa"/>
            <w:tcBorders>
              <w:top w:val="outset" w:sz="6" w:space="0" w:color="auto"/>
              <w:left w:val="outset" w:sz="6" w:space="0" w:color="auto"/>
              <w:bottom w:val="outset" w:sz="6" w:space="0" w:color="auto"/>
              <w:right w:val="outset" w:sz="6" w:space="0" w:color="auto"/>
            </w:tcBorders>
          </w:tcPr>
          <w:p w14:paraId="736E4C61" w14:textId="77777777" w:rsidR="007577EF" w:rsidRPr="00F163BC" w:rsidRDefault="00BB6602" w:rsidP="00EE1FC3">
            <w:pPr>
              <w:jc w:val="center"/>
              <w:rPr>
                <w:sz w:val="16"/>
                <w:szCs w:val="16"/>
              </w:rPr>
            </w:pPr>
            <w:r w:rsidRPr="00F163BC">
              <w:rPr>
                <w:sz w:val="16"/>
                <w:szCs w:val="16"/>
              </w:rPr>
              <w:t>27 273 167</w:t>
            </w:r>
          </w:p>
        </w:tc>
        <w:tc>
          <w:tcPr>
            <w:tcW w:w="0" w:type="auto"/>
            <w:tcBorders>
              <w:top w:val="outset" w:sz="6" w:space="0" w:color="auto"/>
              <w:left w:val="outset" w:sz="6" w:space="0" w:color="auto"/>
              <w:bottom w:val="outset" w:sz="6" w:space="0" w:color="auto"/>
              <w:right w:val="outset" w:sz="6" w:space="0" w:color="auto"/>
            </w:tcBorders>
          </w:tcPr>
          <w:p w14:paraId="6975182D" w14:textId="77777777" w:rsidR="007577EF" w:rsidRPr="00F163BC" w:rsidRDefault="00B0411E" w:rsidP="00EE1FC3">
            <w:pPr>
              <w:jc w:val="center"/>
              <w:rPr>
                <w:sz w:val="16"/>
                <w:szCs w:val="16"/>
              </w:rPr>
            </w:pPr>
            <w:r w:rsidRPr="00F163BC">
              <w:rPr>
                <w:sz w:val="16"/>
                <w:szCs w:val="16"/>
              </w:rPr>
              <w:t>  21 043 970</w:t>
            </w:r>
          </w:p>
        </w:tc>
        <w:tc>
          <w:tcPr>
            <w:tcW w:w="0" w:type="auto"/>
            <w:tcBorders>
              <w:top w:val="outset" w:sz="6" w:space="0" w:color="auto"/>
              <w:left w:val="outset" w:sz="6" w:space="0" w:color="auto"/>
              <w:bottom w:val="outset" w:sz="6" w:space="0" w:color="auto"/>
              <w:right w:val="outset" w:sz="6" w:space="0" w:color="auto"/>
            </w:tcBorders>
          </w:tcPr>
          <w:p w14:paraId="4C2D68C3" w14:textId="77777777" w:rsidR="007577EF" w:rsidRPr="00F163BC" w:rsidRDefault="00BB6602" w:rsidP="00EE1FC3">
            <w:pPr>
              <w:jc w:val="center"/>
              <w:rPr>
                <w:sz w:val="16"/>
                <w:szCs w:val="16"/>
              </w:rPr>
            </w:pPr>
            <w:r w:rsidRPr="00F163BC">
              <w:rPr>
                <w:sz w:val="16"/>
                <w:szCs w:val="16"/>
              </w:rPr>
              <w:t>671 060</w:t>
            </w:r>
          </w:p>
        </w:tc>
        <w:tc>
          <w:tcPr>
            <w:tcW w:w="0" w:type="auto"/>
            <w:tcBorders>
              <w:top w:val="outset" w:sz="6" w:space="0" w:color="auto"/>
              <w:left w:val="outset" w:sz="6" w:space="0" w:color="auto"/>
              <w:bottom w:val="outset" w:sz="6" w:space="0" w:color="auto"/>
              <w:right w:val="outset" w:sz="6" w:space="0" w:color="auto"/>
            </w:tcBorders>
          </w:tcPr>
          <w:p w14:paraId="0518E8B2" w14:textId="77777777" w:rsidR="007577EF" w:rsidRPr="00F163BC" w:rsidRDefault="00BB6602" w:rsidP="00EE1FC3">
            <w:pPr>
              <w:jc w:val="center"/>
              <w:rPr>
                <w:sz w:val="16"/>
                <w:szCs w:val="16"/>
              </w:rPr>
            </w:pPr>
            <w:r w:rsidRPr="00F163BC">
              <w:rPr>
                <w:sz w:val="16"/>
                <w:szCs w:val="16"/>
              </w:rPr>
              <w:t>644 841</w:t>
            </w:r>
          </w:p>
        </w:tc>
        <w:tc>
          <w:tcPr>
            <w:tcW w:w="0" w:type="auto"/>
            <w:tcBorders>
              <w:top w:val="outset" w:sz="6" w:space="0" w:color="auto"/>
              <w:left w:val="outset" w:sz="6" w:space="0" w:color="auto"/>
              <w:bottom w:val="outset" w:sz="6" w:space="0" w:color="auto"/>
              <w:right w:val="outset" w:sz="6" w:space="0" w:color="auto"/>
            </w:tcBorders>
          </w:tcPr>
          <w:p w14:paraId="27A39EB3" w14:textId="77777777" w:rsidR="007577EF" w:rsidRPr="00F163BC" w:rsidRDefault="00E77C4E" w:rsidP="00EE1FC3">
            <w:pPr>
              <w:jc w:val="center"/>
              <w:rPr>
                <w:sz w:val="16"/>
                <w:szCs w:val="16"/>
              </w:rPr>
            </w:pPr>
            <w:r w:rsidRPr="00F163BC">
              <w:rPr>
                <w:sz w:val="16"/>
                <w:szCs w:val="16"/>
              </w:rPr>
              <w:t>42,3</w:t>
            </w:r>
          </w:p>
        </w:tc>
        <w:tc>
          <w:tcPr>
            <w:tcW w:w="0" w:type="auto"/>
            <w:tcBorders>
              <w:top w:val="outset" w:sz="6" w:space="0" w:color="auto"/>
              <w:left w:val="outset" w:sz="6" w:space="0" w:color="auto"/>
              <w:bottom w:val="outset" w:sz="6" w:space="0" w:color="auto"/>
              <w:right w:val="outset" w:sz="6" w:space="0" w:color="auto"/>
            </w:tcBorders>
          </w:tcPr>
          <w:p w14:paraId="4B0C0F0B" w14:textId="77777777" w:rsidR="007577EF" w:rsidRPr="00A8353D" w:rsidRDefault="007577EF" w:rsidP="00EE1FC3">
            <w:pPr>
              <w:jc w:val="center"/>
              <w:rPr>
                <w:sz w:val="16"/>
                <w:szCs w:val="16"/>
              </w:rPr>
            </w:pPr>
            <w:r w:rsidRPr="00AE08E7">
              <w:rPr>
                <w:sz w:val="16"/>
                <w:szCs w:val="16"/>
              </w:rPr>
              <w:t>x</w:t>
            </w:r>
          </w:p>
        </w:tc>
        <w:tc>
          <w:tcPr>
            <w:tcW w:w="0" w:type="auto"/>
            <w:tcBorders>
              <w:top w:val="outset" w:sz="6" w:space="0" w:color="auto"/>
              <w:left w:val="outset" w:sz="6" w:space="0" w:color="auto"/>
              <w:bottom w:val="outset" w:sz="6" w:space="0" w:color="auto"/>
              <w:right w:val="outset" w:sz="6" w:space="0" w:color="auto"/>
            </w:tcBorders>
          </w:tcPr>
          <w:p w14:paraId="28AA06EB" w14:textId="77777777" w:rsidR="007577EF" w:rsidRPr="00F31194" w:rsidRDefault="007577EF" w:rsidP="00EE1FC3">
            <w:pPr>
              <w:jc w:val="center"/>
              <w:rPr>
                <w:sz w:val="16"/>
                <w:szCs w:val="16"/>
              </w:rPr>
            </w:pPr>
            <w:r w:rsidRPr="00F31194">
              <w:rPr>
                <w:sz w:val="16"/>
                <w:szCs w:val="16"/>
              </w:rPr>
              <w:t>x</w:t>
            </w:r>
          </w:p>
        </w:tc>
        <w:tc>
          <w:tcPr>
            <w:tcW w:w="0" w:type="auto"/>
            <w:tcBorders>
              <w:top w:val="outset" w:sz="6" w:space="0" w:color="auto"/>
              <w:left w:val="outset" w:sz="6" w:space="0" w:color="auto"/>
              <w:bottom w:val="outset" w:sz="6" w:space="0" w:color="auto"/>
              <w:right w:val="outset" w:sz="6" w:space="0" w:color="auto"/>
            </w:tcBorders>
          </w:tcPr>
          <w:p w14:paraId="1DD82AC2" w14:textId="77777777" w:rsidR="007577EF" w:rsidRPr="00F31194" w:rsidRDefault="00E77C4E" w:rsidP="00EE1FC3">
            <w:pPr>
              <w:jc w:val="center"/>
              <w:rPr>
                <w:sz w:val="16"/>
                <w:szCs w:val="16"/>
              </w:rPr>
            </w:pPr>
            <w:r w:rsidRPr="00F31194">
              <w:rPr>
                <w:sz w:val="16"/>
                <w:szCs w:val="16"/>
              </w:rPr>
              <w:t>12,3</w:t>
            </w:r>
          </w:p>
        </w:tc>
        <w:tc>
          <w:tcPr>
            <w:tcW w:w="0" w:type="auto"/>
            <w:tcBorders>
              <w:top w:val="outset" w:sz="6" w:space="0" w:color="auto"/>
              <w:left w:val="outset" w:sz="6" w:space="0" w:color="auto"/>
              <w:bottom w:val="outset" w:sz="6" w:space="0" w:color="auto"/>
              <w:right w:val="outset" w:sz="6" w:space="0" w:color="auto"/>
            </w:tcBorders>
          </w:tcPr>
          <w:p w14:paraId="08ED0F99" w14:textId="77777777" w:rsidR="007577EF" w:rsidRPr="00F31194" w:rsidRDefault="00BB6602" w:rsidP="00EE1FC3">
            <w:pPr>
              <w:jc w:val="center"/>
              <w:rPr>
                <w:sz w:val="16"/>
                <w:szCs w:val="16"/>
              </w:rPr>
            </w:pPr>
            <w:r w:rsidRPr="00F31194">
              <w:rPr>
                <w:sz w:val="16"/>
                <w:szCs w:val="16"/>
              </w:rPr>
              <w:t>52 418</w:t>
            </w:r>
          </w:p>
        </w:tc>
      </w:tr>
      <w:tr w:rsidR="00644AA4" w:rsidRPr="00F163BC" w14:paraId="7F88F80B" w14:textId="77777777" w:rsidTr="00F31194">
        <w:trPr>
          <w:tblCellSpacing w:w="15" w:type="dxa"/>
        </w:trPr>
        <w:tc>
          <w:tcPr>
            <w:tcW w:w="8702" w:type="dxa"/>
            <w:gridSpan w:val="10"/>
            <w:tcBorders>
              <w:top w:val="outset" w:sz="6" w:space="0" w:color="auto"/>
              <w:left w:val="outset" w:sz="6" w:space="0" w:color="auto"/>
              <w:bottom w:val="outset" w:sz="6" w:space="0" w:color="auto"/>
              <w:right w:val="outset" w:sz="6" w:space="0" w:color="auto"/>
            </w:tcBorders>
          </w:tcPr>
          <w:p w14:paraId="79E9204C" w14:textId="77777777" w:rsidR="00D15FBD" w:rsidRPr="00F163BC" w:rsidRDefault="00D15FBD" w:rsidP="00E20CE5">
            <w:pPr>
              <w:rPr>
                <w:b/>
                <w:bCs/>
                <w:i/>
                <w:iCs/>
                <w:sz w:val="16"/>
                <w:szCs w:val="16"/>
              </w:rPr>
            </w:pPr>
            <w:r w:rsidRPr="00F163BC">
              <w:rPr>
                <w:b/>
                <w:bCs/>
                <w:i/>
                <w:iCs/>
                <w:sz w:val="16"/>
                <w:szCs w:val="16"/>
              </w:rPr>
              <w:t>Uzliktie, bet neiekasētie naudas sodi – 6 229 197 euro</w:t>
            </w:r>
          </w:p>
        </w:tc>
      </w:tr>
    </w:tbl>
    <w:p w14:paraId="44A0C8B0" w14:textId="77777777" w:rsidR="00D15FBD" w:rsidRPr="00F163BC" w:rsidRDefault="00D15FBD" w:rsidP="00E77C4E">
      <w:pPr>
        <w:ind w:firstLine="720"/>
        <w:jc w:val="both"/>
      </w:pPr>
    </w:p>
    <w:p w14:paraId="673FEA2B" w14:textId="77777777" w:rsidR="00E77C4E" w:rsidRPr="00F163BC" w:rsidRDefault="007577EF" w:rsidP="00E77C4E">
      <w:pPr>
        <w:ind w:firstLine="720"/>
        <w:jc w:val="both"/>
      </w:pPr>
      <w:r w:rsidRPr="00F163BC">
        <w:lastRenderedPageBreak/>
        <w:t xml:space="preserve"> </w:t>
      </w:r>
      <w:r w:rsidR="00E77C4E" w:rsidRPr="00F163BC">
        <w:rPr>
          <w:bCs/>
          <w:iCs/>
        </w:rPr>
        <w:t>Jāatzīmē, ka s</w:t>
      </w:r>
      <w:r w:rsidR="00E77C4E" w:rsidRPr="00F163BC">
        <w:t xml:space="preserve">tarpība starp CSDD sagatavotajiem un Valsts policijas nosūtītajiem protokoliem–lēmumiem veidojas gadījumos, kad, konstatējot kādu no LAPK </w:t>
      </w:r>
      <w:proofErr w:type="gramStart"/>
      <w:r w:rsidR="00E77C4E" w:rsidRPr="00F163BC">
        <w:t>239.pantā</w:t>
      </w:r>
      <w:proofErr w:type="gramEnd"/>
      <w:r w:rsidR="00E77C4E" w:rsidRPr="00F163BC">
        <w:t xml:space="preserve"> noteiktajiem apstākļiem, tiek pieņemts lēmums par atteikšanos uzsākt administratīvā pārkāpuma lietvedību. Visbiežāk konstatēts, ka notikumā nav administratīvā pārkāpuma sastāva (piemēram, atļautais braukšanas ātrums pārsniegts ar operatīvo transportlīdzekli, pildot neatliekamus dienesta pienākumus, persona, pret kuru uzsākama lietvedība, mirusi vai arī juridiskā persona, pret kuru uzsākama administratīvā pārkāpuma lietvedība, ir izslēgta no Uzņēmumu reģistra reģistriem).</w:t>
      </w:r>
    </w:p>
    <w:p w14:paraId="1A07527C" w14:textId="77777777" w:rsidR="007577EF" w:rsidRPr="00F163BC" w:rsidRDefault="007577EF" w:rsidP="007577EF">
      <w:pPr>
        <w:jc w:val="both"/>
      </w:pPr>
    </w:p>
    <w:p w14:paraId="25F410E0" w14:textId="77777777" w:rsidR="007577EF" w:rsidRPr="00F163BC" w:rsidRDefault="0023047F" w:rsidP="00A269B1">
      <w:pPr>
        <w:ind w:left="720"/>
        <w:jc w:val="center"/>
        <w:rPr>
          <w:b/>
          <w:sz w:val="28"/>
          <w:szCs w:val="28"/>
        </w:rPr>
      </w:pPr>
      <w:r w:rsidRPr="00F163BC">
        <w:rPr>
          <w:b/>
          <w:sz w:val="28"/>
          <w:szCs w:val="28"/>
        </w:rPr>
        <w:t>3.2.</w:t>
      </w:r>
      <w:r w:rsidRPr="00F163BC">
        <w:t xml:space="preserve"> </w:t>
      </w:r>
      <w:r w:rsidR="007577EF" w:rsidRPr="00F163BC">
        <w:rPr>
          <w:b/>
          <w:sz w:val="28"/>
          <w:szCs w:val="28"/>
        </w:rPr>
        <w:t>Iespējamie II posmā uzstādāmo</w:t>
      </w:r>
      <w:proofErr w:type="gramStart"/>
      <w:r w:rsidR="007577EF" w:rsidRPr="00F163BC">
        <w:rPr>
          <w:b/>
          <w:sz w:val="28"/>
          <w:szCs w:val="28"/>
        </w:rPr>
        <w:t xml:space="preserve">  </w:t>
      </w:r>
      <w:proofErr w:type="gramEnd"/>
      <w:r w:rsidR="007577EF" w:rsidRPr="00F163BC">
        <w:rPr>
          <w:b/>
          <w:sz w:val="28"/>
          <w:szCs w:val="28"/>
        </w:rPr>
        <w:t xml:space="preserve">fotoradaru iegādes un uzstādīšanas finansēšanas modeļi un avoti </w:t>
      </w:r>
    </w:p>
    <w:p w14:paraId="1F383333" w14:textId="77777777" w:rsidR="007577EF" w:rsidRPr="00F163BC" w:rsidRDefault="007577EF" w:rsidP="007577EF">
      <w:pPr>
        <w:ind w:firstLine="567"/>
        <w:jc w:val="both"/>
      </w:pPr>
    </w:p>
    <w:p w14:paraId="4A10EC7D" w14:textId="77777777" w:rsidR="007577EF" w:rsidRPr="00F163BC" w:rsidRDefault="007577EF" w:rsidP="007577EF">
      <w:pPr>
        <w:ind w:firstLine="567"/>
        <w:jc w:val="both"/>
        <w:rPr>
          <w:i/>
        </w:rPr>
      </w:pPr>
      <w:r w:rsidRPr="00F163BC">
        <w:rPr>
          <w:i/>
        </w:rPr>
        <w:t>Pieņēmumi:</w:t>
      </w:r>
    </w:p>
    <w:p w14:paraId="064D63C3" w14:textId="7B526F07" w:rsidR="007577EF" w:rsidRPr="00F163BC" w:rsidRDefault="007577EF" w:rsidP="007577EF">
      <w:pPr>
        <w:ind w:firstLine="567"/>
        <w:jc w:val="both"/>
      </w:pPr>
      <w:r w:rsidRPr="00F163BC">
        <w:t>√ 2015.-</w:t>
      </w:r>
      <w:proofErr w:type="gramStart"/>
      <w:r w:rsidRPr="00F163BC">
        <w:t>2018.gadā</w:t>
      </w:r>
      <w:proofErr w:type="gramEnd"/>
      <w:r w:rsidRPr="00F163BC">
        <w:t xml:space="preserve"> uzstādītie 100 fotoradari  (I posms) turpinās darbību ilgāk nekā sākotnēji plānotie 5 </w:t>
      </w:r>
      <w:r w:rsidRPr="0018081E">
        <w:t>gadi (</w:t>
      </w:r>
      <w:r w:rsidR="0018081E" w:rsidRPr="00F31194">
        <w:t xml:space="preserve">aprēķinos </w:t>
      </w:r>
      <w:r w:rsidRPr="0018081E">
        <w:t>prognozēts</w:t>
      </w:r>
      <w:r w:rsidR="0018081E">
        <w:t xml:space="preserve"> </w:t>
      </w:r>
      <w:r w:rsidRPr="0018081E">
        <w:t>-</w:t>
      </w:r>
      <w:r w:rsidRPr="00404A21">
        <w:t xml:space="preserve"> </w:t>
      </w:r>
      <w:r w:rsidR="0018081E" w:rsidRPr="00F31194">
        <w:t xml:space="preserve">līdz </w:t>
      </w:r>
      <w:r w:rsidRPr="0018081E">
        <w:t>8 gadiem);</w:t>
      </w:r>
    </w:p>
    <w:p w14:paraId="4F7F9C19" w14:textId="5C868B8F" w:rsidR="007F59DD" w:rsidRPr="00F31194" w:rsidRDefault="007577EF" w:rsidP="00F31194">
      <w:pPr>
        <w:ind w:firstLine="567"/>
        <w:jc w:val="both"/>
      </w:pPr>
      <w:r w:rsidRPr="00F163BC">
        <w:t xml:space="preserve">√ sākot ar </w:t>
      </w:r>
      <w:proofErr w:type="gramStart"/>
      <w:r w:rsidRPr="007F59DD">
        <w:t>202</w:t>
      </w:r>
      <w:r w:rsidR="007F59DD" w:rsidRPr="00F31194">
        <w:t>1</w:t>
      </w:r>
      <w:r w:rsidRPr="007F59DD">
        <w:t>.gadu</w:t>
      </w:r>
      <w:proofErr w:type="gramEnd"/>
      <w:r w:rsidR="00903DD5">
        <w:t xml:space="preserve"> (ievērojot, ka ar iegādi un uzstādīšanu saistītās procedūras ilgst līdz 19 mēnešiem kopš lēmuma par ieviešanu pieņemšanas brīža-prognoze:2019.gada augusts)</w:t>
      </w:r>
      <w:r w:rsidR="0023047F" w:rsidRPr="00F163BC">
        <w:t>,</w:t>
      </w:r>
      <w:r w:rsidRPr="00F163BC">
        <w:t xml:space="preserve"> pakāpeniski </w:t>
      </w:r>
      <w:r w:rsidR="00903DD5">
        <w:t xml:space="preserve"> darbību uzsāks </w:t>
      </w:r>
      <w:r w:rsidRPr="00F163BC">
        <w:t xml:space="preserve">vēl papildu 50 fotoradari un 50 fotoradaru mulāžas (II posms), </w:t>
      </w:r>
      <w:r w:rsidR="007F59DD">
        <w:t xml:space="preserve">prognozējot, ka tie darbosies </w:t>
      </w:r>
      <w:r w:rsidR="007F59DD" w:rsidRPr="00F31194">
        <w:t>līdz laikam</w:t>
      </w:r>
      <w:r w:rsidR="007F59DD" w:rsidRPr="00051CAD">
        <w:t xml:space="preserve">, </w:t>
      </w:r>
      <w:r w:rsidR="007F59DD" w:rsidRPr="00F31194">
        <w:t xml:space="preserve">kamēr tiks atzīti par derīgiem (atkārtoti verificēti) atbilstoši  normatīvajos aktos noteiktajām metroloģiskajām prasībām </w:t>
      </w:r>
      <w:r w:rsidR="007F59DD" w:rsidRPr="0018081E">
        <w:t>(</w:t>
      </w:r>
      <w:r w:rsidR="007F59DD" w:rsidRPr="00E85467">
        <w:t xml:space="preserve">aprēķinos </w:t>
      </w:r>
      <w:r w:rsidR="007F59DD" w:rsidRPr="0018081E">
        <w:t>prognozēts</w:t>
      </w:r>
      <w:r w:rsidR="007F59DD">
        <w:t xml:space="preserve"> </w:t>
      </w:r>
      <w:r w:rsidR="007F59DD" w:rsidRPr="0018081E">
        <w:t>-</w:t>
      </w:r>
      <w:r w:rsidR="007F59DD" w:rsidRPr="00404A21">
        <w:t xml:space="preserve"> </w:t>
      </w:r>
      <w:r w:rsidR="007F59DD" w:rsidRPr="00E85467">
        <w:t xml:space="preserve">līdz </w:t>
      </w:r>
      <w:r w:rsidR="007F59DD" w:rsidRPr="0018081E">
        <w:t>8 gadiem)</w:t>
      </w:r>
      <w:r w:rsidR="007F59DD" w:rsidRPr="00F31194">
        <w:t>;</w:t>
      </w:r>
    </w:p>
    <w:p w14:paraId="038B33F0" w14:textId="77777777" w:rsidR="007577EF" w:rsidRPr="00F163BC" w:rsidRDefault="007577EF" w:rsidP="007577EF">
      <w:pPr>
        <w:ind w:firstLine="567"/>
        <w:jc w:val="both"/>
      </w:pPr>
      <w:r w:rsidRPr="00F163BC">
        <w:t>√ CSDD ar fotoradaru ieviešanu un darbības nodrošināšanu saistītais uzdevums ir deleģēts valsts pārvaldes uzdevums, kas tiek finansēts no valsts budžeta dotācijas</w:t>
      </w:r>
      <w:proofErr w:type="gramStart"/>
      <w:r w:rsidRPr="00F163BC">
        <w:t xml:space="preserve">  </w:t>
      </w:r>
      <w:proofErr w:type="gramEnd"/>
      <w:r w:rsidRPr="00F163BC">
        <w:t>un valstij izmaksājamām dividendēm, nevis pamatdarbības pakalpojums. CSDD uzdevums deleģēts</w:t>
      </w:r>
      <w:r w:rsidR="0023047F" w:rsidRPr="00F163BC">
        <w:t xml:space="preserve"> (ar līgumu, kas paredzēt</w:t>
      </w:r>
      <w:r w:rsidR="00231882" w:rsidRPr="00F163BC">
        <w:t>s</w:t>
      </w:r>
      <w:r w:rsidR="0023047F" w:rsidRPr="00F163BC">
        <w:t xml:space="preserve"> ārējā normatīvajā aktā – Ceļu satiksmes likuma 43.</w:t>
      </w:r>
      <w:r w:rsidR="0023047F" w:rsidRPr="00F163BC">
        <w:rPr>
          <w:vertAlign w:val="superscript"/>
        </w:rPr>
        <w:t>7</w:t>
      </w:r>
      <w:r w:rsidR="0023047F" w:rsidRPr="00F163BC">
        <w:t xml:space="preserve"> pantā)</w:t>
      </w:r>
      <w:r w:rsidRPr="00F163BC">
        <w:t>, jo tā to var veikt efektīvāk;</w:t>
      </w:r>
    </w:p>
    <w:p w14:paraId="0E543018" w14:textId="5BB9A7BF" w:rsidR="007577EF" w:rsidRPr="00F163BC" w:rsidRDefault="007577EF" w:rsidP="007577EF">
      <w:pPr>
        <w:ind w:firstLine="567"/>
        <w:jc w:val="both"/>
      </w:pPr>
      <w:r w:rsidRPr="00F163BC">
        <w:t xml:space="preserve">√ ievērojot iepriekš minēto attiecībā uz fotoradaru darbību, pieņemts, ka CSDD deleģēto uzdevumu veiks tikpat efektīvi arī turpmākajā laikposmā un pildīs </w:t>
      </w:r>
      <w:r w:rsidR="00231882" w:rsidRPr="00F163BC">
        <w:t xml:space="preserve">ar līgumu tai </w:t>
      </w:r>
      <w:r w:rsidRPr="00F163BC">
        <w:t>deleģēto uzdevumu.</w:t>
      </w:r>
    </w:p>
    <w:p w14:paraId="4EC5BB25" w14:textId="77777777" w:rsidR="007577EF" w:rsidRPr="00F163BC" w:rsidRDefault="007577EF" w:rsidP="007577EF">
      <w:pPr>
        <w:ind w:left="720"/>
        <w:jc w:val="center"/>
        <w:rPr>
          <w:b/>
          <w:sz w:val="28"/>
          <w:szCs w:val="28"/>
        </w:rPr>
      </w:pPr>
    </w:p>
    <w:p w14:paraId="12A95DA6" w14:textId="77777777" w:rsidR="007577EF" w:rsidRPr="00F163BC" w:rsidRDefault="007577EF" w:rsidP="007577EF">
      <w:pPr>
        <w:ind w:left="1277"/>
        <w:jc w:val="center"/>
        <w:rPr>
          <w:b/>
          <w:sz w:val="28"/>
          <w:szCs w:val="28"/>
        </w:rPr>
      </w:pPr>
      <w:r w:rsidRPr="00F163BC">
        <w:rPr>
          <w:b/>
          <w:sz w:val="28"/>
          <w:szCs w:val="28"/>
        </w:rPr>
        <w:t>1.A modelis</w:t>
      </w:r>
    </w:p>
    <w:p w14:paraId="067A6FAB" w14:textId="77777777" w:rsidR="007577EF" w:rsidRPr="00F163BC" w:rsidRDefault="007577EF" w:rsidP="007577EF">
      <w:pPr>
        <w:jc w:val="both"/>
        <w:rPr>
          <w:b/>
          <w:i/>
          <w:sz w:val="28"/>
          <w:szCs w:val="28"/>
        </w:rPr>
      </w:pPr>
      <w:r w:rsidRPr="00F163BC">
        <w:rPr>
          <w:b/>
          <w:i/>
          <w:sz w:val="28"/>
          <w:szCs w:val="28"/>
        </w:rPr>
        <w:t xml:space="preserve">Fotoradaru ieviešanu (iegādi un uzstādīšanu) nodrošina CSDD no valstij izmaksājamām dividendēm, kas tiek </w:t>
      </w:r>
      <w:proofErr w:type="gramStart"/>
      <w:r w:rsidRPr="00F163BC">
        <w:rPr>
          <w:b/>
          <w:i/>
          <w:sz w:val="28"/>
          <w:szCs w:val="28"/>
        </w:rPr>
        <w:t>ieskaitītas valsts</w:t>
      </w:r>
      <w:proofErr w:type="gramEnd"/>
      <w:r w:rsidRPr="00F163BC">
        <w:rPr>
          <w:b/>
          <w:i/>
          <w:sz w:val="28"/>
          <w:szCs w:val="28"/>
        </w:rPr>
        <w:t xml:space="preserve"> pamatbudžeta ieņēmumos</w:t>
      </w:r>
      <w:r w:rsidRPr="00F163BC">
        <w:rPr>
          <w:rStyle w:val="FootnoteReference"/>
          <w:b/>
          <w:i/>
          <w:sz w:val="28"/>
          <w:szCs w:val="28"/>
        </w:rPr>
        <w:footnoteReference w:id="20"/>
      </w:r>
      <w:r w:rsidRPr="00F163BC">
        <w:rPr>
          <w:b/>
          <w:i/>
          <w:sz w:val="28"/>
          <w:szCs w:val="28"/>
        </w:rPr>
        <w:t>, piešķirot Iekšlietu ministrijai (Valsts policijai) valsts budžeta līdzekļus (dotāciju) attiecīgajā apmērā pārskaitīšanai CSDD, neplānojot maksājuma apmēru (ieņēmumus) un izdevumus budžeta likumprojekta sagatavošanas procesā</w:t>
      </w:r>
    </w:p>
    <w:p w14:paraId="221A95BD" w14:textId="77777777" w:rsidR="007577EF" w:rsidRPr="00F163BC" w:rsidRDefault="007577EF" w:rsidP="007577EF">
      <w:pPr>
        <w:ind w:left="720"/>
        <w:jc w:val="both"/>
        <w:rPr>
          <w:b/>
          <w:i/>
          <w:sz w:val="28"/>
          <w:szCs w:val="28"/>
        </w:rPr>
      </w:pPr>
    </w:p>
    <w:p w14:paraId="70EF4A59" w14:textId="7C6522F3" w:rsidR="007577EF" w:rsidRPr="00F163BC" w:rsidRDefault="007577EF" w:rsidP="007577EF">
      <w:pPr>
        <w:jc w:val="both"/>
        <w:rPr>
          <w:b/>
        </w:rPr>
      </w:pPr>
      <w:r w:rsidRPr="00F163BC">
        <w:rPr>
          <w:b/>
        </w:rPr>
        <w:t xml:space="preserve">Tiesiskais </w:t>
      </w:r>
      <w:r w:rsidR="00984DF9">
        <w:rPr>
          <w:b/>
        </w:rPr>
        <w:t>regulējums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14:paraId="34421342" w14:textId="77777777" w:rsidTr="00EE1FC3">
        <w:tc>
          <w:tcPr>
            <w:tcW w:w="9321" w:type="dxa"/>
            <w:tcBorders>
              <w:top w:val="single" w:sz="4" w:space="0" w:color="auto"/>
              <w:left w:val="single" w:sz="4" w:space="0" w:color="auto"/>
              <w:bottom w:val="single" w:sz="4" w:space="0" w:color="auto"/>
              <w:right w:val="single" w:sz="4" w:space="0" w:color="auto"/>
            </w:tcBorders>
          </w:tcPr>
          <w:p w14:paraId="27043E9B" w14:textId="77777777" w:rsidR="007577EF" w:rsidRPr="00F163BC" w:rsidRDefault="007577EF" w:rsidP="00EE1FC3">
            <w:pPr>
              <w:pStyle w:val="tv213"/>
              <w:spacing w:before="0" w:beforeAutospacing="0" w:after="0" w:afterAutospacing="0"/>
            </w:pPr>
            <w:r w:rsidRPr="00F163BC">
              <w:t>- Ceļu satiksmes likuma 43.</w:t>
            </w:r>
            <w:r w:rsidRPr="00F163BC">
              <w:rPr>
                <w:vertAlign w:val="superscript"/>
              </w:rPr>
              <w:t>7</w:t>
            </w:r>
            <w:r w:rsidRPr="00F163BC">
              <w:t xml:space="preserve"> pants</w:t>
            </w:r>
            <w:r w:rsidRPr="00F163BC">
              <w:rPr>
                <w:rStyle w:val="FootnoteReference"/>
              </w:rPr>
              <w:footnoteReference w:id="21"/>
            </w:r>
          </w:p>
          <w:p w14:paraId="68E286F7" w14:textId="77777777" w:rsidR="007577EF" w:rsidRPr="00F163BC" w:rsidRDefault="007577EF" w:rsidP="00EE1FC3">
            <w:pPr>
              <w:pStyle w:val="tv213"/>
              <w:spacing w:before="0" w:beforeAutospacing="0" w:after="0" w:afterAutospacing="0"/>
            </w:pPr>
            <w:r w:rsidRPr="00F163BC">
              <w:lastRenderedPageBreak/>
              <w:t xml:space="preserve">- Likuma par budžetu un finanšu vadību </w:t>
            </w:r>
            <w:proofErr w:type="gramStart"/>
            <w:r w:rsidRPr="00F163BC">
              <w:t>5.panta</w:t>
            </w:r>
            <w:proofErr w:type="gramEnd"/>
            <w:r w:rsidRPr="00F163BC">
              <w:t xml:space="preserve"> pirmā, otrā, trešā un ceturtā daļa</w:t>
            </w:r>
            <w:r w:rsidRPr="00F163BC">
              <w:rPr>
                <w:rStyle w:val="FootnoteReference"/>
              </w:rPr>
              <w:footnoteReference w:id="22"/>
            </w:r>
            <w:r w:rsidRPr="00F163BC">
              <w:t>;</w:t>
            </w:r>
          </w:p>
          <w:p w14:paraId="55609695" w14:textId="77777777" w:rsidR="007577EF" w:rsidRPr="00F163BC" w:rsidRDefault="007577EF" w:rsidP="00EE1FC3">
            <w:pPr>
              <w:pStyle w:val="tv213"/>
              <w:spacing w:before="0" w:beforeAutospacing="0" w:after="0" w:afterAutospacing="0"/>
            </w:pPr>
            <w:r w:rsidRPr="00F163BC">
              <w:t xml:space="preserve">- Publiskas personas kapitāla daļu un kapitālsabiedrību pārvaldības likuma </w:t>
            </w:r>
            <w:proofErr w:type="gramStart"/>
            <w:r w:rsidRPr="00F163BC">
              <w:t>28.pants</w:t>
            </w:r>
            <w:proofErr w:type="gramEnd"/>
            <w:r w:rsidRPr="00F163BC">
              <w:rPr>
                <w:rStyle w:val="FootnoteReference"/>
              </w:rPr>
              <w:footnoteReference w:id="23"/>
            </w:r>
            <w:r w:rsidRPr="00F163BC">
              <w:t>;</w:t>
            </w:r>
          </w:p>
          <w:p w14:paraId="757DBEB2" w14:textId="77777777" w:rsidR="007577EF" w:rsidRPr="00F163BC" w:rsidRDefault="007577EF" w:rsidP="00EE1FC3">
            <w:pPr>
              <w:pStyle w:val="tv213"/>
              <w:spacing w:before="0" w:beforeAutospacing="0" w:after="0" w:afterAutospacing="0"/>
            </w:pPr>
            <w:r w:rsidRPr="00F163BC">
              <w:t>- gadskārtējais likums par valsts budžetu</w:t>
            </w:r>
            <w:r w:rsidRPr="00F163BC">
              <w:rPr>
                <w:rStyle w:val="FootnoteReference"/>
              </w:rPr>
              <w:footnoteReference w:id="24"/>
            </w:r>
            <w:r w:rsidRPr="00F163BC">
              <w:t>;</w:t>
            </w:r>
          </w:p>
          <w:p w14:paraId="7409BA6E" w14:textId="77777777" w:rsidR="007577EF" w:rsidRPr="00F163BC" w:rsidRDefault="007577EF" w:rsidP="00EE1FC3">
            <w:pPr>
              <w:pStyle w:val="tv213"/>
              <w:spacing w:before="0" w:beforeAutospacing="0" w:after="0" w:afterAutospacing="0"/>
              <w:jc w:val="both"/>
              <w:rPr>
                <w:b/>
              </w:rPr>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bl>
    <w:p w14:paraId="65E9AA35" w14:textId="77777777" w:rsidR="007577EF" w:rsidRPr="00F163BC" w:rsidRDefault="007577EF" w:rsidP="007577EF">
      <w:pPr>
        <w:pStyle w:val="tv213"/>
        <w:spacing w:before="0" w:beforeAutospacing="0" w:after="0" w:afterAutospacing="0"/>
        <w:jc w:val="both"/>
        <w:rPr>
          <w:i/>
        </w:rPr>
      </w:pPr>
    </w:p>
    <w:p w14:paraId="5033AE49" w14:textId="77777777" w:rsidR="007577EF" w:rsidRPr="00F163BC" w:rsidRDefault="007577EF" w:rsidP="007577EF">
      <w:pPr>
        <w:pStyle w:val="tv213"/>
        <w:spacing w:before="0" w:beforeAutospacing="0" w:after="0" w:afterAutospacing="0"/>
        <w:jc w:val="both"/>
      </w:pPr>
    </w:p>
    <w:p w14:paraId="69B20A19" w14:textId="77777777"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14:paraId="3F83D7D5"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6E3A4A47" w14:textId="77777777"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14:paraId="4D4086E5" w14:textId="77777777" w:rsidR="007577EF" w:rsidRPr="00F163BC" w:rsidRDefault="007577EF" w:rsidP="00EE1FC3">
            <w:pPr>
              <w:jc w:val="center"/>
              <w:rPr>
                <w:i/>
                <w:iCs/>
              </w:rPr>
            </w:pPr>
            <w:r w:rsidRPr="00F163BC">
              <w:rPr>
                <w:i/>
                <w:iCs/>
              </w:rPr>
              <w:t>Vājās puses</w:t>
            </w:r>
          </w:p>
        </w:tc>
      </w:tr>
      <w:tr w:rsidR="007577EF" w:rsidRPr="00F163BC" w14:paraId="5ABFBB4A"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3FFBDBA6" w14:textId="77777777" w:rsidR="007577EF" w:rsidRPr="00F163BC" w:rsidRDefault="007577EF" w:rsidP="00EE1FC3">
            <w:pPr>
              <w:jc w:val="both"/>
            </w:pPr>
            <w:r w:rsidRPr="00F163BC">
              <w:t xml:space="preserve">√ Valstij izmaksājamo dividenžu apjoms atbildīs faktiskajam apjomam, neradot novirzes no plānotā. </w:t>
            </w:r>
          </w:p>
          <w:p w14:paraId="3C263DE8" w14:textId="77777777" w:rsidR="007577EF" w:rsidRPr="00F163BC" w:rsidRDefault="007577EF" w:rsidP="00EE1FC3">
            <w:pPr>
              <w:jc w:val="both"/>
            </w:pPr>
            <w:r w:rsidRPr="00F163BC">
              <w:t xml:space="preserve">√ Fotoradaru ieviešanas finansēšanas avots ir skaidri un saprotami definēts-tie ir valsts </w:t>
            </w:r>
            <w:r w:rsidRPr="00F163BC">
              <w:lastRenderedPageBreak/>
              <w:t xml:space="preserve">pamatbudžeta līdzekļi (dotācija) konkrētam mērķim, līdz ar to ir skaidrs jautājums par nolietojuma uzkrājumu-tas nav jāveido, jo CSDD tiek piešķirts valsts budžeta finansējums. </w:t>
            </w:r>
          </w:p>
          <w:p w14:paraId="2221B584" w14:textId="77777777" w:rsidR="007577EF" w:rsidRPr="00F163BC" w:rsidRDefault="007577EF" w:rsidP="00EE1FC3">
            <w:pPr>
              <w:jc w:val="both"/>
            </w:pPr>
            <w:r w:rsidRPr="00F163BC">
              <w:t>√ Par CSDD piešķirtajiem valsts budžeta līdzekļiem iegādātie fotoradari ir valsts īpašums, kas paredzēts valsts pārvaldes deleģēta uzdevuma izpildei; naudas līdzekļi, kas iegūti, pārdodot izsolē vai utilizējot fotoradarus pēc to darbības beigām, ieskaitāmi valsts pamatbudžeta nenodokļu ieņēmumos.</w:t>
            </w:r>
          </w:p>
        </w:tc>
        <w:tc>
          <w:tcPr>
            <w:tcW w:w="2326" w:type="pct"/>
            <w:tcBorders>
              <w:top w:val="outset" w:sz="6" w:space="0" w:color="auto"/>
              <w:left w:val="outset" w:sz="6" w:space="0" w:color="auto"/>
              <w:bottom w:val="outset" w:sz="6" w:space="0" w:color="auto"/>
              <w:right w:val="outset" w:sz="6" w:space="0" w:color="auto"/>
            </w:tcBorders>
          </w:tcPr>
          <w:p w14:paraId="023D4054" w14:textId="77777777" w:rsidR="007577EF" w:rsidRPr="00F163BC" w:rsidRDefault="007577EF" w:rsidP="00EE1FC3">
            <w:pPr>
              <w:pStyle w:val="tv213"/>
              <w:spacing w:before="0" w:beforeAutospacing="0" w:after="0" w:afterAutospacing="0"/>
              <w:jc w:val="both"/>
            </w:pPr>
            <w:r w:rsidRPr="00F163BC">
              <w:lastRenderedPageBreak/>
              <w:t xml:space="preserve">√ Lielāks administratīvais slogs CSDD, Finanšu ministrijai, Iekšlietu ministrijai, jo dividendes jāieskaita valsts pamatbudžeta ieņēmumos budžeta izpildes procesā, ieplānojot tās </w:t>
            </w:r>
            <w:r w:rsidRPr="00F163BC">
              <w:lastRenderedPageBreak/>
              <w:t>gan valsts pamatbudžeta ieņēmumos, gan apropriāciju resursiem no dotācijas no vispārējiem ieņēmumiem un izdevumiem Iekšlietu ministrijai, kas kā valsts budžeta līdzekļi (dotācija) caur Valsts policiju tiktu pārskaitīti atpakaļ CSDD.</w:t>
            </w:r>
          </w:p>
          <w:p w14:paraId="02D992E9" w14:textId="77777777" w:rsidR="007577EF" w:rsidRPr="00F163BC" w:rsidRDefault="007577EF" w:rsidP="00EE1FC3">
            <w:pPr>
              <w:jc w:val="both"/>
            </w:pPr>
            <w:r w:rsidRPr="00F163BC">
              <w:t>√ Valsts budžetā tā projekta izstrādes procesā netiek atspoguļoti visi ieņēmumi, kas valstij pienākas, un visi izdevumi, ko tai jāveic, lai nodrošinātu valsts pārvaldes deleģēta uzdevuma izpildi.</w:t>
            </w:r>
          </w:p>
          <w:p w14:paraId="6FE5B78E" w14:textId="77777777" w:rsidR="007577EF" w:rsidRPr="00F163BC" w:rsidRDefault="007577EF" w:rsidP="00EE1FC3">
            <w:pPr>
              <w:jc w:val="both"/>
            </w:pPr>
            <w:r w:rsidRPr="00F163BC">
              <w:t>√ Ja valstij izmaksājamo dividenžu faktiskais apjoms būs mazāks par prognozēto, fotoradaru ieviešana var aizkavēties.</w:t>
            </w:r>
          </w:p>
        </w:tc>
      </w:tr>
      <w:tr w:rsidR="007577EF" w:rsidRPr="00F163BC" w14:paraId="182CF64C"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0880F00F" w14:textId="77777777" w:rsidR="007577EF" w:rsidRPr="00F163BC" w:rsidRDefault="007577EF" w:rsidP="00EE1FC3">
            <w:pPr>
              <w:jc w:val="center"/>
              <w:rPr>
                <w:i/>
                <w:iCs/>
              </w:rPr>
            </w:pPr>
            <w:r w:rsidRPr="00F163BC">
              <w:rPr>
                <w:i/>
                <w:iCs/>
              </w:rPr>
              <w:lastRenderedPageBreak/>
              <w:t>Iespējas</w:t>
            </w:r>
          </w:p>
        </w:tc>
        <w:tc>
          <w:tcPr>
            <w:tcW w:w="2326" w:type="pct"/>
            <w:tcBorders>
              <w:top w:val="outset" w:sz="6" w:space="0" w:color="auto"/>
              <w:left w:val="outset" w:sz="6" w:space="0" w:color="auto"/>
              <w:bottom w:val="outset" w:sz="6" w:space="0" w:color="auto"/>
              <w:right w:val="outset" w:sz="6" w:space="0" w:color="auto"/>
            </w:tcBorders>
            <w:hideMark/>
          </w:tcPr>
          <w:p w14:paraId="558631AF" w14:textId="77777777" w:rsidR="007577EF" w:rsidRPr="00F163BC" w:rsidRDefault="007577EF" w:rsidP="00EE1FC3">
            <w:pPr>
              <w:jc w:val="center"/>
              <w:rPr>
                <w:i/>
                <w:iCs/>
              </w:rPr>
            </w:pPr>
            <w:r w:rsidRPr="00F163BC">
              <w:rPr>
                <w:i/>
                <w:iCs/>
              </w:rPr>
              <w:t>Draudi</w:t>
            </w:r>
          </w:p>
        </w:tc>
      </w:tr>
      <w:tr w:rsidR="007577EF" w:rsidRPr="00F163BC" w14:paraId="10C9E8E2"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0FF16E6B" w14:textId="0395C85A" w:rsidR="007577EF" w:rsidRPr="00F163BC" w:rsidRDefault="00080CD9" w:rsidP="00EE1FC3">
            <w:pPr>
              <w:jc w:val="both"/>
            </w:pPr>
            <w:r>
              <w:t>Nav identificēts</w:t>
            </w:r>
          </w:p>
        </w:tc>
        <w:tc>
          <w:tcPr>
            <w:tcW w:w="2326" w:type="pct"/>
            <w:tcBorders>
              <w:top w:val="outset" w:sz="6" w:space="0" w:color="auto"/>
              <w:left w:val="outset" w:sz="6" w:space="0" w:color="auto"/>
              <w:bottom w:val="outset" w:sz="6" w:space="0" w:color="auto"/>
              <w:right w:val="outset" w:sz="6" w:space="0" w:color="auto"/>
            </w:tcBorders>
          </w:tcPr>
          <w:p w14:paraId="3C25CA2D" w14:textId="21EA1C4B" w:rsidR="007577EF" w:rsidRPr="00F163BC" w:rsidRDefault="00080CD9" w:rsidP="00EE1FC3">
            <w:pPr>
              <w:jc w:val="both"/>
            </w:pPr>
            <w:r>
              <w:t>Nav identificēts</w:t>
            </w:r>
          </w:p>
        </w:tc>
      </w:tr>
    </w:tbl>
    <w:p w14:paraId="2CF7D2FC" w14:textId="77777777" w:rsidR="007577EF" w:rsidRPr="00F163BC" w:rsidRDefault="007577EF" w:rsidP="007577EF">
      <w:pPr>
        <w:pStyle w:val="tv213"/>
        <w:spacing w:before="0" w:beforeAutospacing="0" w:after="0" w:afterAutospacing="0"/>
        <w:jc w:val="both"/>
      </w:pPr>
    </w:p>
    <w:p w14:paraId="3A65DFD2" w14:textId="77777777" w:rsidR="007577EF" w:rsidRPr="00F163BC" w:rsidRDefault="007577EF" w:rsidP="007577EF">
      <w:pPr>
        <w:pStyle w:val="tv213"/>
        <w:spacing w:before="0" w:beforeAutospacing="0" w:after="0" w:afterAutospacing="0"/>
        <w:rPr>
          <w:b/>
        </w:rPr>
      </w:pPr>
    </w:p>
    <w:p w14:paraId="71483FB2" w14:textId="77777777"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14:paraId="1B9459FB" w14:textId="77777777" w:rsidTr="00EE1FC3">
        <w:tc>
          <w:tcPr>
            <w:tcW w:w="9287" w:type="dxa"/>
            <w:tcBorders>
              <w:top w:val="single" w:sz="4" w:space="0" w:color="auto"/>
              <w:left w:val="single" w:sz="4" w:space="0" w:color="auto"/>
              <w:bottom w:val="single" w:sz="4" w:space="0" w:color="auto"/>
              <w:right w:val="single" w:sz="4" w:space="0" w:color="auto"/>
            </w:tcBorders>
          </w:tcPr>
          <w:p w14:paraId="7BC089A5" w14:textId="77777777" w:rsidR="007577EF" w:rsidRPr="00F163BC" w:rsidRDefault="007577EF" w:rsidP="00EE1FC3">
            <w:pPr>
              <w:pStyle w:val="tv213"/>
              <w:spacing w:before="0" w:beforeAutospacing="0" w:after="0" w:afterAutospacing="0"/>
              <w:jc w:val="both"/>
            </w:pPr>
            <w:r w:rsidRPr="00F163BC">
              <w:t xml:space="preserve">√ Gadskārtējā likumā par valsts budžetu paredzēt, ka finanšu ministram ir tiesības palielināt Iekšlietu ministrijai apropriāciju resursiem no dotācijas no vispārējiem ieņēmumiem un izdevumiem Ministru kabineta noteiktajā apmērā no CSDD valsts budžetā ieskaitītajiem līdzekļiem par valsts kapitāla izmantošanu (ievērojot, ka faktiskais līdzekļu apjoms ir zināms tikai pēc kapitālsabiedrības gada pārskata par iepriekšējo gadu apstiprināšanas). </w:t>
            </w:r>
          </w:p>
          <w:p w14:paraId="160A1355" w14:textId="77777777" w:rsidR="007577EF" w:rsidRPr="00F163BC" w:rsidRDefault="007577EF" w:rsidP="00EE1FC3">
            <w:pPr>
              <w:pStyle w:val="tv213"/>
              <w:spacing w:before="0" w:beforeAutospacing="0" w:after="0" w:afterAutospacing="0"/>
              <w:jc w:val="both"/>
              <w:rPr>
                <w:b/>
              </w:rPr>
            </w:pPr>
            <w:r w:rsidRPr="00F163BC">
              <w:t>√ Ministru kabineta rīkojumā paredz, ka dividendes noteiktā apmērā tiek ieskaitītas valsts pamatbudžeta ieņēmumos, protokollēmumā norādot arī konkrētu mērķi-ar kādu valsts pārvaldes deleģēto uzdevumu saistīto izdevumu finansēšanai šie ieņēmumi paredzami.</w:t>
            </w:r>
          </w:p>
        </w:tc>
      </w:tr>
    </w:tbl>
    <w:p w14:paraId="254CAB35" w14:textId="77777777" w:rsidR="007577EF" w:rsidRPr="00F163BC" w:rsidRDefault="007577EF" w:rsidP="007577EF">
      <w:pPr>
        <w:pStyle w:val="tv213"/>
        <w:spacing w:before="0" w:beforeAutospacing="0" w:after="0" w:afterAutospacing="0"/>
        <w:jc w:val="both"/>
        <w:rPr>
          <w:i/>
        </w:rPr>
      </w:pPr>
    </w:p>
    <w:p w14:paraId="0950CC80" w14:textId="77777777" w:rsidR="007577EF" w:rsidRPr="00F163BC" w:rsidRDefault="007577EF" w:rsidP="007577EF">
      <w:pPr>
        <w:ind w:left="1277"/>
        <w:jc w:val="center"/>
        <w:rPr>
          <w:b/>
          <w:sz w:val="28"/>
          <w:szCs w:val="28"/>
        </w:rPr>
      </w:pPr>
    </w:p>
    <w:p w14:paraId="7BC1FF79" w14:textId="77777777" w:rsidR="007577EF" w:rsidRPr="00F163BC" w:rsidRDefault="007577EF" w:rsidP="007577EF">
      <w:pPr>
        <w:ind w:left="1277"/>
        <w:jc w:val="center"/>
        <w:rPr>
          <w:b/>
          <w:sz w:val="28"/>
          <w:szCs w:val="28"/>
        </w:rPr>
      </w:pPr>
      <w:r w:rsidRPr="00F163BC">
        <w:rPr>
          <w:b/>
          <w:sz w:val="28"/>
          <w:szCs w:val="28"/>
        </w:rPr>
        <w:t>1.B modelis</w:t>
      </w:r>
    </w:p>
    <w:p w14:paraId="5C72AEE7" w14:textId="77777777" w:rsidR="007577EF" w:rsidRPr="00F163BC" w:rsidRDefault="007577EF" w:rsidP="007577EF">
      <w:pPr>
        <w:jc w:val="both"/>
        <w:rPr>
          <w:b/>
          <w:i/>
          <w:sz w:val="28"/>
          <w:szCs w:val="28"/>
        </w:rPr>
      </w:pPr>
      <w:r w:rsidRPr="00F163BC">
        <w:rPr>
          <w:b/>
          <w:i/>
          <w:sz w:val="28"/>
          <w:szCs w:val="28"/>
        </w:rPr>
        <w:t>Fotoradaru ieviešanu (iegādi un uzstādīšanu) nodrošina CSDD no valstij izmaksājamām dividendēm, kas tiek ieskaitītas valsts pamatbudžeta ieņēmumos, Iekšlietu ministrijai (Valsts policijai) piešķirot valsts budžeta līdzekļus (dotāciju) attiecīgajā apmērā pārskaitīšanai CSDD, plānojot maksājuma apmēru (ieņēmumus) un izdevumus budžeta likumprojekta sagatavošanas procesā, ievērojot CSDD stratēģijā prognozēto apmēru</w:t>
      </w:r>
    </w:p>
    <w:p w14:paraId="36ACCE20" w14:textId="77777777" w:rsidR="007577EF" w:rsidRDefault="007577EF" w:rsidP="007577EF">
      <w:pPr>
        <w:pStyle w:val="tv213"/>
        <w:spacing w:before="0" w:beforeAutospacing="0" w:after="0" w:afterAutospacing="0"/>
        <w:jc w:val="both"/>
        <w:rPr>
          <w:i/>
        </w:rPr>
      </w:pPr>
    </w:p>
    <w:p w14:paraId="2AA8EA90" w14:textId="77777777" w:rsidR="002C5884" w:rsidRDefault="002C5884" w:rsidP="007577EF">
      <w:pPr>
        <w:pStyle w:val="tv213"/>
        <w:spacing w:before="0" w:beforeAutospacing="0" w:after="0" w:afterAutospacing="0"/>
        <w:jc w:val="both"/>
        <w:rPr>
          <w:i/>
        </w:rPr>
      </w:pPr>
    </w:p>
    <w:p w14:paraId="2D3B5062" w14:textId="77777777" w:rsidR="002C5884" w:rsidRDefault="002C5884" w:rsidP="007577EF">
      <w:pPr>
        <w:pStyle w:val="tv213"/>
        <w:spacing w:before="0" w:beforeAutospacing="0" w:after="0" w:afterAutospacing="0"/>
        <w:jc w:val="both"/>
        <w:rPr>
          <w:i/>
        </w:rPr>
      </w:pPr>
    </w:p>
    <w:p w14:paraId="578790AC" w14:textId="77777777" w:rsidR="002C5884" w:rsidRDefault="002C5884" w:rsidP="007577EF">
      <w:pPr>
        <w:pStyle w:val="tv213"/>
        <w:spacing w:before="0" w:beforeAutospacing="0" w:after="0" w:afterAutospacing="0"/>
        <w:jc w:val="both"/>
        <w:rPr>
          <w:i/>
        </w:rPr>
      </w:pPr>
    </w:p>
    <w:p w14:paraId="06C604DC" w14:textId="77777777" w:rsidR="002C5884" w:rsidRDefault="002C5884" w:rsidP="007577EF">
      <w:pPr>
        <w:pStyle w:val="tv213"/>
        <w:spacing w:before="0" w:beforeAutospacing="0" w:after="0" w:afterAutospacing="0"/>
        <w:jc w:val="both"/>
        <w:rPr>
          <w:i/>
        </w:rPr>
      </w:pPr>
    </w:p>
    <w:p w14:paraId="75B50E63" w14:textId="77777777" w:rsidR="002C5884" w:rsidRPr="00F163BC" w:rsidRDefault="002C5884" w:rsidP="007577EF">
      <w:pPr>
        <w:pStyle w:val="tv213"/>
        <w:spacing w:before="0" w:beforeAutospacing="0" w:after="0" w:afterAutospacing="0"/>
        <w:jc w:val="both"/>
        <w:rPr>
          <w:i/>
        </w:rPr>
      </w:pPr>
    </w:p>
    <w:p w14:paraId="1E6C8548" w14:textId="5B86F57E" w:rsidR="007577EF" w:rsidRPr="00F163BC" w:rsidRDefault="007577EF" w:rsidP="007577EF">
      <w:pPr>
        <w:jc w:val="both"/>
        <w:rPr>
          <w:b/>
        </w:rPr>
      </w:pPr>
      <w:r w:rsidRPr="00F163BC">
        <w:rPr>
          <w:b/>
        </w:rPr>
        <w:lastRenderedPageBreak/>
        <w:t xml:space="preserve">Tiesiskais </w:t>
      </w:r>
      <w:r w:rsidR="00984DF9">
        <w:rPr>
          <w:b/>
        </w:rPr>
        <w:t>regulējums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14:paraId="3D2D1B1A" w14:textId="77777777" w:rsidTr="00EE1FC3">
        <w:tc>
          <w:tcPr>
            <w:tcW w:w="9321" w:type="dxa"/>
            <w:tcBorders>
              <w:top w:val="single" w:sz="4" w:space="0" w:color="auto"/>
              <w:left w:val="single" w:sz="4" w:space="0" w:color="auto"/>
              <w:bottom w:val="single" w:sz="4" w:space="0" w:color="auto"/>
              <w:right w:val="single" w:sz="4" w:space="0" w:color="auto"/>
            </w:tcBorders>
          </w:tcPr>
          <w:p w14:paraId="4441E4F6" w14:textId="77777777" w:rsidR="007577EF" w:rsidRPr="00F163BC" w:rsidRDefault="007577EF" w:rsidP="00EE1FC3">
            <w:pPr>
              <w:pStyle w:val="tv213"/>
              <w:spacing w:before="0" w:beforeAutospacing="0" w:after="0" w:afterAutospacing="0"/>
            </w:pPr>
            <w:r w:rsidRPr="00F163BC">
              <w:t>- Ceļu satiksmes likuma 43.</w:t>
            </w:r>
            <w:r w:rsidRPr="00F163BC">
              <w:rPr>
                <w:vertAlign w:val="superscript"/>
              </w:rPr>
              <w:t>7</w:t>
            </w:r>
            <w:r w:rsidRPr="00F163BC">
              <w:t xml:space="preserve"> pants</w:t>
            </w:r>
            <w:r w:rsidRPr="00F163BC">
              <w:rPr>
                <w:rStyle w:val="FootnoteReference"/>
              </w:rPr>
              <w:footnoteReference w:id="25"/>
            </w:r>
          </w:p>
          <w:p w14:paraId="2EF987FC" w14:textId="77777777" w:rsidR="007577EF" w:rsidRPr="00F163BC" w:rsidRDefault="007577EF" w:rsidP="00EE1FC3">
            <w:pPr>
              <w:pStyle w:val="tv213"/>
              <w:spacing w:before="0" w:beforeAutospacing="0" w:after="0" w:afterAutospacing="0"/>
            </w:pPr>
            <w:r w:rsidRPr="00F163BC">
              <w:t xml:space="preserve">- Likuma par budžetu un finanšu vadību </w:t>
            </w:r>
            <w:proofErr w:type="gramStart"/>
            <w:r w:rsidRPr="00F163BC">
              <w:t>5.panta</w:t>
            </w:r>
            <w:proofErr w:type="gramEnd"/>
            <w:r w:rsidRPr="00F163BC">
              <w:t xml:space="preserve"> pirmā, otrā, trešā un ceturtā daļa</w:t>
            </w:r>
            <w:r w:rsidRPr="00F163BC">
              <w:rPr>
                <w:rStyle w:val="FootnoteReference"/>
              </w:rPr>
              <w:footnoteReference w:id="26"/>
            </w:r>
            <w:r w:rsidRPr="00F163BC">
              <w:t>;</w:t>
            </w:r>
          </w:p>
          <w:p w14:paraId="35E2A77D" w14:textId="77777777" w:rsidR="007577EF" w:rsidRPr="00F163BC" w:rsidRDefault="007577EF" w:rsidP="00EE1FC3">
            <w:pPr>
              <w:pStyle w:val="tv213"/>
              <w:spacing w:before="0" w:beforeAutospacing="0" w:after="0" w:afterAutospacing="0"/>
            </w:pPr>
            <w:r w:rsidRPr="00F163BC">
              <w:t xml:space="preserve">- Publiskas personas kapitāla daļu un kapitālsabiedrību pārvaldības likuma </w:t>
            </w:r>
            <w:proofErr w:type="gramStart"/>
            <w:r w:rsidRPr="00F163BC">
              <w:t>28.pants</w:t>
            </w:r>
            <w:proofErr w:type="gramEnd"/>
            <w:r w:rsidRPr="00F163BC">
              <w:rPr>
                <w:rStyle w:val="FootnoteReference"/>
              </w:rPr>
              <w:footnoteReference w:id="27"/>
            </w:r>
            <w:r w:rsidRPr="00F163BC">
              <w:t>;</w:t>
            </w:r>
          </w:p>
          <w:p w14:paraId="53403130" w14:textId="77777777" w:rsidR="007577EF" w:rsidRPr="00F163BC" w:rsidRDefault="007577EF" w:rsidP="00EE1FC3">
            <w:pPr>
              <w:pStyle w:val="tv213"/>
              <w:spacing w:before="0" w:beforeAutospacing="0" w:after="0" w:afterAutospacing="0"/>
            </w:pPr>
            <w:r w:rsidRPr="00F163BC">
              <w:t>- gadskārtējais likums par valsts budžetu</w:t>
            </w:r>
            <w:r w:rsidRPr="00F163BC">
              <w:rPr>
                <w:rStyle w:val="FootnoteReference"/>
              </w:rPr>
              <w:footnoteReference w:id="28"/>
            </w:r>
            <w:r w:rsidRPr="00F163BC">
              <w:t>;</w:t>
            </w:r>
          </w:p>
          <w:p w14:paraId="60ABE2EA" w14:textId="77777777" w:rsidR="007577EF" w:rsidRPr="00F163BC" w:rsidRDefault="007577EF" w:rsidP="00EE1FC3">
            <w:pPr>
              <w:pStyle w:val="tv213"/>
              <w:spacing w:before="0" w:beforeAutospacing="0" w:after="0" w:afterAutospacing="0"/>
              <w:jc w:val="both"/>
              <w:rPr>
                <w:b/>
              </w:rPr>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bl>
    <w:p w14:paraId="06758419" w14:textId="77777777" w:rsidR="007577EF" w:rsidRPr="00F163BC" w:rsidRDefault="007577EF" w:rsidP="007577EF">
      <w:pPr>
        <w:jc w:val="both"/>
        <w:rPr>
          <w:b/>
        </w:rPr>
      </w:pPr>
    </w:p>
    <w:p w14:paraId="655969C7" w14:textId="77777777"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14:paraId="72BA6D1C"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323BE810" w14:textId="77777777"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14:paraId="3F426F73" w14:textId="77777777" w:rsidR="007577EF" w:rsidRPr="00F163BC" w:rsidRDefault="007577EF" w:rsidP="00EE1FC3">
            <w:pPr>
              <w:jc w:val="center"/>
              <w:rPr>
                <w:i/>
                <w:iCs/>
              </w:rPr>
            </w:pPr>
            <w:r w:rsidRPr="00F163BC">
              <w:rPr>
                <w:i/>
                <w:iCs/>
              </w:rPr>
              <w:t>Vājās puses</w:t>
            </w:r>
          </w:p>
        </w:tc>
      </w:tr>
      <w:tr w:rsidR="007577EF" w:rsidRPr="00F163BC" w14:paraId="52CF7EE0"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74F8BF4F" w14:textId="77777777" w:rsidR="007577EF" w:rsidRPr="00F163BC" w:rsidRDefault="007577EF" w:rsidP="00EE1FC3">
            <w:pPr>
              <w:jc w:val="both"/>
            </w:pPr>
            <w:r w:rsidRPr="00F163BC">
              <w:lastRenderedPageBreak/>
              <w:t>√ Valsts budžetā tā projekta izstrādes procesā tiek atspoguļoti visi ieņēmumi, kas valstij pienākas, un visi izdevumi, ko tai jāveic, lai nodrošinātu valsts pārvaldes deleģēta uzdevuma izpildi.</w:t>
            </w:r>
          </w:p>
          <w:p w14:paraId="05D02886" w14:textId="77777777" w:rsidR="007577EF" w:rsidRPr="00F163BC" w:rsidRDefault="007577EF" w:rsidP="00EE1FC3">
            <w:pPr>
              <w:jc w:val="both"/>
            </w:pPr>
            <w:r w:rsidRPr="00F163BC">
              <w:t xml:space="preserve">√ Valstij izmaksājamo dividenžu (ieņēmumu no valsts kapitāla izmantošanas) apjoms tiks plānots likuma par valsts budžetu kārtējam gadam un likuma par vidēja termiņa budžeta ietvaru sagatavošanas procesā atbilstoši CSDD stratēģijā paredzētajai prognozei, kas samazinās administratīvo slogu, salīdzinot ar 1.A modeli. </w:t>
            </w:r>
          </w:p>
          <w:p w14:paraId="1DAF42AC" w14:textId="77777777" w:rsidR="007577EF" w:rsidRPr="00F163BC" w:rsidRDefault="007577EF" w:rsidP="00EE1FC3">
            <w:pPr>
              <w:jc w:val="both"/>
            </w:pPr>
            <w:r w:rsidRPr="00F163BC">
              <w:t xml:space="preserve">√ Fotoradaru ieviešanas finansēšanas avots ir skaidri un saprotami definēts-tie ir valsts pamatbudžeta līdzekļi (dotācija) konkrētam mērķim, līdz ar to ir skaidrs jautājums par nolietojuma uzkrājumu-tas nav jāveido, jo CSDD tiek piešķirts valsts budžeta finansējums. </w:t>
            </w:r>
          </w:p>
          <w:p w14:paraId="679D777B" w14:textId="77777777" w:rsidR="007577EF" w:rsidRPr="00F163BC" w:rsidRDefault="007577EF" w:rsidP="00EE1FC3">
            <w:pPr>
              <w:jc w:val="both"/>
            </w:pPr>
            <w:r w:rsidRPr="00F163BC">
              <w:t xml:space="preserve">√ Mazāks administratīvais slogs CSDD, Finanšu ministrijai, Iekšlietu ministrijai, salīdzinot ar 1.A modeli. </w:t>
            </w:r>
          </w:p>
          <w:p w14:paraId="1EFD8FF7" w14:textId="77777777" w:rsidR="007577EF" w:rsidRPr="00F163BC" w:rsidRDefault="007577EF" w:rsidP="00EE1FC3">
            <w:pPr>
              <w:jc w:val="both"/>
            </w:pPr>
            <w:r w:rsidRPr="00F163BC">
              <w:t>√ Par CSDD piešķirtajiem valsts budžeta līdzekļiem iegādātie fotoradari ir valsts īpašums, kas paredzēts valsts pārvaldes deleģēta uzdevuma izpildei; naudas līdzekļi, kas iegūti, pārdodot izsolē vai utilizējot fotoradarus pēc to darbības beigām, ieskaitāmi valsts pamatbudžeta nenodokļu ieņēmumos.</w:t>
            </w:r>
          </w:p>
        </w:tc>
        <w:tc>
          <w:tcPr>
            <w:tcW w:w="2326" w:type="pct"/>
            <w:tcBorders>
              <w:top w:val="outset" w:sz="6" w:space="0" w:color="auto"/>
              <w:left w:val="outset" w:sz="6" w:space="0" w:color="auto"/>
              <w:bottom w:val="outset" w:sz="6" w:space="0" w:color="auto"/>
              <w:right w:val="outset" w:sz="6" w:space="0" w:color="auto"/>
            </w:tcBorders>
          </w:tcPr>
          <w:p w14:paraId="0088A7E3" w14:textId="77777777" w:rsidR="007577EF" w:rsidRPr="00F163BC" w:rsidRDefault="007577EF" w:rsidP="00EE1FC3">
            <w:pPr>
              <w:jc w:val="both"/>
            </w:pPr>
            <w:r w:rsidRPr="00F163BC">
              <w:t>√ Nauda “atgriežas” CSDD “pa garāku ceļu”.</w:t>
            </w:r>
          </w:p>
          <w:p w14:paraId="159D68F0" w14:textId="77777777" w:rsidR="007577EF" w:rsidRPr="00F163BC" w:rsidRDefault="007577EF" w:rsidP="00EE1FC3">
            <w:pPr>
              <w:jc w:val="both"/>
            </w:pPr>
            <w:r w:rsidRPr="00F163BC">
              <w:t>√ Ja valstij izmaksājamo dividenžu faktiskais apjoms būs mazāks par prognozēto, fotoradaru ieviešana var aizkavēties.</w:t>
            </w:r>
          </w:p>
        </w:tc>
      </w:tr>
      <w:tr w:rsidR="007577EF" w:rsidRPr="00F163BC" w14:paraId="38BE4820"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7D434BD9" w14:textId="77777777"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14:paraId="19C1BEB8" w14:textId="77777777" w:rsidR="007577EF" w:rsidRPr="00F163BC" w:rsidRDefault="007577EF" w:rsidP="00EE1FC3">
            <w:pPr>
              <w:jc w:val="center"/>
              <w:rPr>
                <w:i/>
                <w:iCs/>
              </w:rPr>
            </w:pPr>
            <w:r w:rsidRPr="00F163BC">
              <w:rPr>
                <w:i/>
                <w:iCs/>
              </w:rPr>
              <w:t>Draudi</w:t>
            </w:r>
          </w:p>
        </w:tc>
      </w:tr>
      <w:tr w:rsidR="007577EF" w:rsidRPr="00F163BC" w14:paraId="24693DEC"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76E1BEB3" w14:textId="77CB931E" w:rsidR="007577EF" w:rsidRPr="00F163BC" w:rsidRDefault="00080CD9" w:rsidP="00EE1FC3">
            <w:pPr>
              <w:jc w:val="both"/>
            </w:pPr>
            <w:r>
              <w:t>Nav identificēts</w:t>
            </w:r>
            <w:r w:rsidRPr="00F163BC" w:rsidDel="00C8292A">
              <w:t xml:space="preserve"> </w:t>
            </w:r>
          </w:p>
        </w:tc>
        <w:tc>
          <w:tcPr>
            <w:tcW w:w="2326" w:type="pct"/>
            <w:tcBorders>
              <w:top w:val="outset" w:sz="6" w:space="0" w:color="auto"/>
              <w:left w:val="outset" w:sz="6" w:space="0" w:color="auto"/>
              <w:bottom w:val="outset" w:sz="6" w:space="0" w:color="auto"/>
              <w:right w:val="outset" w:sz="6" w:space="0" w:color="auto"/>
            </w:tcBorders>
          </w:tcPr>
          <w:p w14:paraId="4D5DD961" w14:textId="558A38AC" w:rsidR="007577EF" w:rsidRPr="00F163BC" w:rsidRDefault="00080CD9" w:rsidP="00EE1FC3">
            <w:pPr>
              <w:jc w:val="both"/>
            </w:pPr>
            <w:r>
              <w:t>Nav identificēts</w:t>
            </w:r>
          </w:p>
        </w:tc>
      </w:tr>
    </w:tbl>
    <w:p w14:paraId="74795ED9" w14:textId="77777777" w:rsidR="007577EF" w:rsidRPr="00F163BC" w:rsidRDefault="007577EF" w:rsidP="007577EF">
      <w:pPr>
        <w:pStyle w:val="tv213"/>
        <w:spacing w:before="0" w:beforeAutospacing="0" w:after="0" w:afterAutospacing="0"/>
        <w:rPr>
          <w:b/>
        </w:rPr>
      </w:pPr>
    </w:p>
    <w:p w14:paraId="6F389C0C" w14:textId="77777777"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14:paraId="7593CA9E" w14:textId="77777777" w:rsidTr="00EE1FC3">
        <w:tc>
          <w:tcPr>
            <w:tcW w:w="9287" w:type="dxa"/>
            <w:tcBorders>
              <w:top w:val="single" w:sz="4" w:space="0" w:color="auto"/>
              <w:left w:val="single" w:sz="4" w:space="0" w:color="auto"/>
              <w:bottom w:val="single" w:sz="4" w:space="0" w:color="auto"/>
              <w:right w:val="single" w:sz="4" w:space="0" w:color="auto"/>
            </w:tcBorders>
          </w:tcPr>
          <w:p w14:paraId="69C763E1" w14:textId="77777777" w:rsidR="007577EF" w:rsidRPr="00F163BC" w:rsidRDefault="007577EF" w:rsidP="00EE1FC3">
            <w:pPr>
              <w:pStyle w:val="tv213"/>
              <w:spacing w:before="0" w:beforeAutospacing="0" w:after="0" w:afterAutospacing="0"/>
              <w:jc w:val="both"/>
            </w:pPr>
            <w:r w:rsidRPr="00F163BC">
              <w:t>√ Gadskārtējā likuma par valsts budžetu un likuma par vidēja termiņa budžeta ietvaru regulējumā paredzēt, ka:</w:t>
            </w:r>
          </w:p>
          <w:p w14:paraId="214FA1C1" w14:textId="77777777" w:rsidR="007577EF" w:rsidRPr="00F163BC" w:rsidRDefault="007577EF" w:rsidP="00EE1FC3">
            <w:pPr>
              <w:pStyle w:val="tv213"/>
              <w:spacing w:before="0" w:beforeAutospacing="0" w:after="0" w:afterAutospacing="0"/>
              <w:jc w:val="both"/>
            </w:pPr>
            <w:r w:rsidRPr="00F163BC">
              <w:t>- CSDD ieskaita valsts pamatbudžeta ieņēmumos maksājumu par valsts kapitāla izmantošanu (ieņēmumus no dividendēm) n+1, n+2, n+3 gadā (par n, n+1, n+2 pārskata gadu) konkrētā apjomā</w:t>
            </w:r>
            <w:r w:rsidRPr="00F163BC">
              <w:rPr>
                <w:rStyle w:val="FootnoteReference"/>
              </w:rPr>
              <w:footnoteReference w:id="29"/>
            </w:r>
            <w:r w:rsidRPr="00F163BC">
              <w:t>;</w:t>
            </w:r>
          </w:p>
          <w:p w14:paraId="06FD3BFD" w14:textId="77777777" w:rsidR="007577EF" w:rsidRPr="00F163BC" w:rsidRDefault="007577EF" w:rsidP="00EE1FC3">
            <w:pPr>
              <w:pStyle w:val="tv213"/>
              <w:spacing w:before="0" w:beforeAutospacing="0" w:after="0" w:afterAutospacing="0"/>
              <w:jc w:val="both"/>
            </w:pPr>
            <w:r w:rsidRPr="00F163BC">
              <w:lastRenderedPageBreak/>
              <w:t xml:space="preserve">- no CSDD ikgadējām dividendēm n+1, n+2, n+3 gadā tiek novirzīti resursi izdevumu, kas saistīti ar fotoradaru ieviešanu, segšanai Iekšlietu ministrijas konkrētā budžeta apakšprogrammā; </w:t>
            </w:r>
          </w:p>
          <w:p w14:paraId="3BF30857" w14:textId="0D112E52" w:rsidR="007577EF" w:rsidRPr="00F163BC" w:rsidRDefault="007577EF" w:rsidP="002C30A3">
            <w:pPr>
              <w:pStyle w:val="tv213"/>
              <w:spacing w:before="0" w:beforeAutospacing="0" w:after="0" w:afterAutospacing="0"/>
              <w:jc w:val="both"/>
              <w:rPr>
                <w:b/>
              </w:rPr>
            </w:pPr>
            <w:r w:rsidRPr="00F163BC">
              <w:t xml:space="preserve">√ </w:t>
            </w:r>
          </w:p>
        </w:tc>
      </w:tr>
    </w:tbl>
    <w:p w14:paraId="41D10782" w14:textId="77777777" w:rsidR="007577EF" w:rsidRPr="00F163BC" w:rsidRDefault="007577EF" w:rsidP="007577EF">
      <w:pPr>
        <w:ind w:left="720"/>
        <w:jc w:val="center"/>
        <w:rPr>
          <w:b/>
          <w:sz w:val="28"/>
          <w:szCs w:val="28"/>
        </w:rPr>
      </w:pPr>
    </w:p>
    <w:p w14:paraId="0B19E6AA" w14:textId="77777777" w:rsidR="007577EF" w:rsidRPr="00F163BC" w:rsidRDefault="007577EF" w:rsidP="007577EF">
      <w:pPr>
        <w:ind w:left="720"/>
        <w:jc w:val="center"/>
        <w:rPr>
          <w:b/>
          <w:sz w:val="28"/>
          <w:szCs w:val="28"/>
        </w:rPr>
      </w:pPr>
    </w:p>
    <w:p w14:paraId="7BB2B277" w14:textId="77777777" w:rsidR="007577EF" w:rsidRPr="00F163BC" w:rsidRDefault="007577EF" w:rsidP="007577EF">
      <w:pPr>
        <w:ind w:left="1277"/>
        <w:jc w:val="center"/>
        <w:rPr>
          <w:b/>
          <w:sz w:val="28"/>
          <w:szCs w:val="28"/>
        </w:rPr>
      </w:pPr>
      <w:r w:rsidRPr="00F163BC">
        <w:rPr>
          <w:b/>
          <w:sz w:val="28"/>
          <w:szCs w:val="28"/>
        </w:rPr>
        <w:t>1.C modelis</w:t>
      </w:r>
    </w:p>
    <w:p w14:paraId="11756D9A" w14:textId="77777777" w:rsidR="007577EF" w:rsidRPr="00F163BC" w:rsidRDefault="007577EF" w:rsidP="007577EF">
      <w:pPr>
        <w:jc w:val="both"/>
        <w:rPr>
          <w:b/>
          <w:i/>
          <w:sz w:val="28"/>
          <w:szCs w:val="28"/>
        </w:rPr>
      </w:pPr>
      <w:r w:rsidRPr="00F163BC">
        <w:rPr>
          <w:b/>
          <w:i/>
          <w:sz w:val="28"/>
          <w:szCs w:val="28"/>
        </w:rPr>
        <w:t>Fotoradaru ieviešanu (iegādi un uzstādīšanu) nodrošina Valsts policija no CSDD valstij izmaksājamām dividendēm, kas tiek ieskaitītas valsts pamatbudžeta ieņēmumos, Iekšlietu ministrijai (Valsts policijai) piešķirot valsts budžeta līdzekļus (dotāciju) attiecīgajā apmērā, plānojot maksājuma apmēru (ieņēmumus) un izdevumus budžeta likumprojekta sagatavošanas procesā, ievērojot CSDD stratēģijā prognozēto apmēru</w:t>
      </w:r>
    </w:p>
    <w:p w14:paraId="60FA75D9" w14:textId="77777777" w:rsidR="007577EF" w:rsidRPr="00F163BC" w:rsidRDefault="007577EF" w:rsidP="007577EF">
      <w:pPr>
        <w:pStyle w:val="tv213"/>
        <w:spacing w:before="0" w:beforeAutospacing="0" w:after="0" w:afterAutospacing="0"/>
        <w:jc w:val="both"/>
        <w:rPr>
          <w:i/>
        </w:rPr>
      </w:pPr>
    </w:p>
    <w:p w14:paraId="0387FBEC" w14:textId="672ABFED" w:rsidR="007577EF" w:rsidRPr="00F163BC" w:rsidRDefault="007577EF" w:rsidP="007577EF">
      <w:pPr>
        <w:jc w:val="both"/>
        <w:rPr>
          <w:b/>
        </w:rPr>
      </w:pPr>
      <w:r w:rsidRPr="00F163BC">
        <w:rPr>
          <w:b/>
        </w:rPr>
        <w:t xml:space="preserve">Tiesiskais </w:t>
      </w:r>
      <w:r w:rsidR="00984DF9">
        <w:rPr>
          <w:b/>
        </w:rPr>
        <w:t>regulējums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14:paraId="7E314286" w14:textId="77777777" w:rsidTr="00EE1FC3">
        <w:tc>
          <w:tcPr>
            <w:tcW w:w="9321" w:type="dxa"/>
            <w:tcBorders>
              <w:top w:val="single" w:sz="4" w:space="0" w:color="auto"/>
              <w:left w:val="single" w:sz="4" w:space="0" w:color="auto"/>
              <w:bottom w:val="single" w:sz="4" w:space="0" w:color="auto"/>
              <w:right w:val="single" w:sz="4" w:space="0" w:color="auto"/>
            </w:tcBorders>
          </w:tcPr>
          <w:p w14:paraId="12D84A67" w14:textId="77777777" w:rsidR="007577EF" w:rsidRPr="00F163BC" w:rsidRDefault="007577EF" w:rsidP="00EE1FC3">
            <w:pPr>
              <w:pStyle w:val="tv213"/>
              <w:spacing w:before="0" w:beforeAutospacing="0" w:after="0" w:afterAutospacing="0"/>
            </w:pPr>
            <w:r w:rsidRPr="00F163BC">
              <w:t xml:space="preserve">- Publiskas personas finanšu līdzekļu un mantas izšķērdēšanas novēršanas likuma </w:t>
            </w:r>
            <w:proofErr w:type="gramStart"/>
            <w:r w:rsidRPr="00F163BC">
              <w:t>5.panta</w:t>
            </w:r>
            <w:proofErr w:type="gramEnd"/>
            <w:r w:rsidRPr="00F163BC">
              <w:t xml:space="preserve"> otrās daļas 5.punkts</w:t>
            </w:r>
            <w:r w:rsidRPr="00F163BC">
              <w:rPr>
                <w:rStyle w:val="FootnoteReference"/>
              </w:rPr>
              <w:footnoteReference w:id="30"/>
            </w:r>
          </w:p>
          <w:p w14:paraId="0EAB17B4" w14:textId="77777777" w:rsidR="007577EF" w:rsidRPr="00F163BC" w:rsidRDefault="007577EF" w:rsidP="00EE1FC3">
            <w:pPr>
              <w:pStyle w:val="tv213"/>
              <w:spacing w:before="0" w:beforeAutospacing="0" w:after="0" w:afterAutospacing="0"/>
            </w:pPr>
            <w:r w:rsidRPr="00F163BC">
              <w:t>- Ceļu satiksmes likuma 43.</w:t>
            </w:r>
            <w:r w:rsidRPr="00F163BC">
              <w:rPr>
                <w:vertAlign w:val="superscript"/>
              </w:rPr>
              <w:t>7</w:t>
            </w:r>
            <w:r w:rsidRPr="00F163BC">
              <w:t xml:space="preserve"> pants</w:t>
            </w:r>
            <w:r w:rsidRPr="00F163BC">
              <w:rPr>
                <w:rStyle w:val="FootnoteReference"/>
              </w:rPr>
              <w:footnoteReference w:id="31"/>
            </w:r>
          </w:p>
          <w:p w14:paraId="54B91667" w14:textId="77777777" w:rsidR="007577EF" w:rsidRPr="00F163BC" w:rsidRDefault="007577EF" w:rsidP="00EE1FC3">
            <w:pPr>
              <w:pStyle w:val="tv213"/>
              <w:spacing w:before="0" w:beforeAutospacing="0" w:after="0" w:afterAutospacing="0"/>
            </w:pPr>
            <w:r w:rsidRPr="00F163BC">
              <w:t xml:space="preserve">- Likuma par budžetu un finanšu vadību </w:t>
            </w:r>
            <w:proofErr w:type="gramStart"/>
            <w:r w:rsidRPr="00F163BC">
              <w:t>5.panta</w:t>
            </w:r>
            <w:proofErr w:type="gramEnd"/>
            <w:r w:rsidRPr="00F163BC">
              <w:t xml:space="preserve"> pirmā, otrā, trešā un ceturtā daļa</w:t>
            </w:r>
            <w:r w:rsidRPr="00F163BC">
              <w:rPr>
                <w:rStyle w:val="FootnoteReference"/>
              </w:rPr>
              <w:footnoteReference w:id="32"/>
            </w:r>
            <w:r w:rsidRPr="00F163BC">
              <w:t>;</w:t>
            </w:r>
          </w:p>
          <w:p w14:paraId="5B9D483B" w14:textId="77777777" w:rsidR="007577EF" w:rsidRPr="00F163BC" w:rsidRDefault="007577EF" w:rsidP="00EE1FC3">
            <w:pPr>
              <w:pStyle w:val="tv213"/>
              <w:spacing w:before="0" w:beforeAutospacing="0" w:after="0" w:afterAutospacing="0"/>
            </w:pPr>
            <w:r w:rsidRPr="00F163BC">
              <w:t xml:space="preserve">- Publiskas personas kapitāla daļu un kapitālsabiedrību pārvaldības likuma </w:t>
            </w:r>
            <w:proofErr w:type="gramStart"/>
            <w:r w:rsidRPr="00F163BC">
              <w:t>28.pants</w:t>
            </w:r>
            <w:proofErr w:type="gramEnd"/>
            <w:r w:rsidRPr="00F163BC">
              <w:rPr>
                <w:rStyle w:val="FootnoteReference"/>
              </w:rPr>
              <w:footnoteReference w:id="33"/>
            </w:r>
            <w:r w:rsidRPr="00F163BC">
              <w:t>;</w:t>
            </w:r>
          </w:p>
          <w:p w14:paraId="3BE8DEF8" w14:textId="77777777" w:rsidR="007577EF" w:rsidRPr="00F163BC" w:rsidRDefault="007577EF" w:rsidP="00EE1FC3">
            <w:pPr>
              <w:pStyle w:val="tv213"/>
              <w:spacing w:before="0" w:beforeAutospacing="0" w:after="0" w:afterAutospacing="0"/>
            </w:pPr>
            <w:r w:rsidRPr="00F163BC">
              <w:lastRenderedPageBreak/>
              <w:t>- gadskārtējais likums par valsts budžetu</w:t>
            </w:r>
            <w:r w:rsidRPr="00F163BC">
              <w:rPr>
                <w:rStyle w:val="FootnoteReference"/>
              </w:rPr>
              <w:footnoteReference w:id="34"/>
            </w:r>
            <w:r w:rsidRPr="00F163BC">
              <w:t>;</w:t>
            </w:r>
          </w:p>
          <w:p w14:paraId="6FBE9A45" w14:textId="77777777" w:rsidR="007577EF" w:rsidRPr="00F163BC" w:rsidRDefault="007577EF" w:rsidP="00EE1FC3">
            <w:pPr>
              <w:pStyle w:val="tv213"/>
              <w:spacing w:before="0" w:beforeAutospacing="0" w:after="0" w:afterAutospacing="0"/>
              <w:jc w:val="both"/>
              <w:rPr>
                <w:b/>
              </w:rPr>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bl>
    <w:p w14:paraId="42D1F974" w14:textId="77777777" w:rsidR="007577EF" w:rsidRPr="00F163BC" w:rsidRDefault="007577EF" w:rsidP="007577EF">
      <w:pPr>
        <w:jc w:val="both"/>
        <w:rPr>
          <w:b/>
        </w:rPr>
      </w:pPr>
    </w:p>
    <w:p w14:paraId="0C5BAAD7" w14:textId="77777777"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14:paraId="4AAB17E0"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33B5A976" w14:textId="77777777"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14:paraId="5B32E5EA" w14:textId="77777777" w:rsidR="007577EF" w:rsidRPr="00F163BC" w:rsidRDefault="007577EF" w:rsidP="00EE1FC3">
            <w:pPr>
              <w:jc w:val="center"/>
              <w:rPr>
                <w:i/>
                <w:iCs/>
              </w:rPr>
            </w:pPr>
            <w:r w:rsidRPr="00F163BC">
              <w:rPr>
                <w:i/>
                <w:iCs/>
              </w:rPr>
              <w:t>Vājās puses</w:t>
            </w:r>
          </w:p>
        </w:tc>
      </w:tr>
      <w:tr w:rsidR="007577EF" w:rsidRPr="00F163BC" w14:paraId="33FCA3FB"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20BFCC5C" w14:textId="77777777" w:rsidR="007577EF" w:rsidRPr="00F163BC" w:rsidRDefault="007577EF" w:rsidP="00EE1FC3">
            <w:pPr>
              <w:jc w:val="both"/>
            </w:pPr>
            <w:r w:rsidRPr="00F163BC">
              <w:t>√ Valsts budžetā tā projekta izstrādes procesā netiek atspoguļoti visi ieņēmumi, kas valstij pienākas, un visi izdevumi, ko tai jāveic, lai nodrošinātu valsts pārvaldes deleģēta uzdevuma izpildi.</w:t>
            </w:r>
          </w:p>
          <w:p w14:paraId="790FB30B" w14:textId="77777777" w:rsidR="007577EF" w:rsidRPr="00F163BC" w:rsidRDefault="007577EF" w:rsidP="00EE1FC3">
            <w:pPr>
              <w:jc w:val="both"/>
            </w:pPr>
            <w:r w:rsidRPr="00F163BC">
              <w:t xml:space="preserve">√ Valstij izmaksājamo dividenžu (ieņēmumu no valsts kapitāla izmantošanas) apjoms tiks plānots likuma par valsts budžetu kārtējam gadam un likuma par vidēja termiņa budžeta ietvaru sagatavošanas procesā atbilstoši CSDD stratēģijā paredzētajai prognozei, kas samazinās administratīvo slogu, salīdzinot ar 1.A modeli. </w:t>
            </w:r>
          </w:p>
          <w:p w14:paraId="6A54B417" w14:textId="77777777" w:rsidR="007577EF" w:rsidRPr="00F163BC" w:rsidRDefault="007577EF" w:rsidP="00EE1FC3">
            <w:pPr>
              <w:jc w:val="both"/>
            </w:pPr>
            <w:r w:rsidRPr="00F163BC">
              <w:t>√ Fotoradaru ieviešanas finansēšanas avots ir skaidri un saprotami definēts-tie ir valsts pamatbudžeta līdzekļi (dotācija) un ieviešanu veic Valsts policija, nododot</w:t>
            </w:r>
            <w:proofErr w:type="gramStart"/>
            <w:r w:rsidRPr="00F163BC">
              <w:t xml:space="preserve">  </w:t>
            </w:r>
            <w:proofErr w:type="gramEnd"/>
            <w:r w:rsidRPr="00F163BC">
              <w:t xml:space="preserve">fotoradarus CSDD to darbības nodrošināšanai; līdz ar to ir skaidrs jautājums par nolietojuma uzkrājumu-tas nav jāveido, jo fotoradari ir valsts īpašums un atrodas Valsts policijas grāmatvedības uzskaitē; </w:t>
            </w:r>
          </w:p>
          <w:p w14:paraId="4E8DC360" w14:textId="77777777" w:rsidR="007577EF" w:rsidRPr="00F163BC" w:rsidRDefault="007577EF" w:rsidP="00EE1FC3">
            <w:pPr>
              <w:jc w:val="both"/>
            </w:pPr>
            <w:r w:rsidRPr="00F163BC">
              <w:t xml:space="preserve">√ Ievērojami mazāks administratīvais slogs CSDD. </w:t>
            </w:r>
          </w:p>
          <w:p w14:paraId="2F8D1EBB" w14:textId="77777777" w:rsidR="007577EF" w:rsidRPr="00F163BC" w:rsidRDefault="007577EF" w:rsidP="00EE1FC3">
            <w:pPr>
              <w:jc w:val="both"/>
            </w:pPr>
            <w:r w:rsidRPr="00F163BC">
              <w:t xml:space="preserve">√ Naudas līdzekļi, kas iegūti, pārdodot izsolē vai utilizējot fotoradarus pēc to darbības </w:t>
            </w:r>
            <w:r w:rsidRPr="00F163BC">
              <w:lastRenderedPageBreak/>
              <w:t>beigām, ieskaitāmi valsts pamatbudžeta nenodokļu ieņēmumos.</w:t>
            </w:r>
          </w:p>
        </w:tc>
        <w:tc>
          <w:tcPr>
            <w:tcW w:w="2326" w:type="pct"/>
            <w:tcBorders>
              <w:top w:val="outset" w:sz="6" w:space="0" w:color="auto"/>
              <w:left w:val="outset" w:sz="6" w:space="0" w:color="auto"/>
              <w:bottom w:val="outset" w:sz="6" w:space="0" w:color="auto"/>
              <w:right w:val="outset" w:sz="6" w:space="0" w:color="auto"/>
            </w:tcBorders>
          </w:tcPr>
          <w:p w14:paraId="53E0B224" w14:textId="77777777" w:rsidR="007577EF" w:rsidRPr="00F163BC" w:rsidRDefault="007577EF" w:rsidP="00EE1FC3">
            <w:pPr>
              <w:jc w:val="both"/>
            </w:pPr>
            <w:r w:rsidRPr="00F163BC">
              <w:lastRenderedPageBreak/>
              <w:t xml:space="preserve">√ Ievērojami pieaug administratīvais slogs Valsts policijai (iepirkuma procedūra u.c.). </w:t>
            </w:r>
          </w:p>
          <w:p w14:paraId="6E1EF07B" w14:textId="77777777" w:rsidR="007577EF" w:rsidRPr="00F163BC" w:rsidRDefault="007577EF" w:rsidP="00EE1FC3">
            <w:pPr>
              <w:jc w:val="both"/>
            </w:pPr>
            <w:r w:rsidRPr="00F163BC">
              <w:t>√ Ja plānotie izdevumi būs mazāki par faktiski nepieciešamajiem, fotoradaru ieviešana var aizkavēties.</w:t>
            </w:r>
          </w:p>
        </w:tc>
      </w:tr>
      <w:tr w:rsidR="007577EF" w:rsidRPr="00F163BC" w14:paraId="1DE265DD"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7E2BB36A" w14:textId="77777777" w:rsidR="007577EF" w:rsidRPr="00F163BC" w:rsidRDefault="007577EF" w:rsidP="00EE1FC3">
            <w:pPr>
              <w:jc w:val="center"/>
              <w:rPr>
                <w:i/>
                <w:iCs/>
              </w:rPr>
            </w:pPr>
            <w:r w:rsidRPr="00F163BC">
              <w:rPr>
                <w:i/>
                <w:iCs/>
              </w:rPr>
              <w:t>Iespējas</w:t>
            </w:r>
          </w:p>
        </w:tc>
        <w:tc>
          <w:tcPr>
            <w:tcW w:w="2326" w:type="pct"/>
            <w:tcBorders>
              <w:top w:val="outset" w:sz="6" w:space="0" w:color="auto"/>
              <w:left w:val="outset" w:sz="6" w:space="0" w:color="auto"/>
              <w:bottom w:val="outset" w:sz="6" w:space="0" w:color="auto"/>
              <w:right w:val="outset" w:sz="6" w:space="0" w:color="auto"/>
            </w:tcBorders>
            <w:hideMark/>
          </w:tcPr>
          <w:p w14:paraId="6D8EE48A" w14:textId="77777777" w:rsidR="007577EF" w:rsidRPr="00F163BC" w:rsidRDefault="007577EF" w:rsidP="00EE1FC3">
            <w:pPr>
              <w:jc w:val="center"/>
              <w:rPr>
                <w:i/>
                <w:iCs/>
              </w:rPr>
            </w:pPr>
            <w:r w:rsidRPr="00F163BC">
              <w:rPr>
                <w:i/>
                <w:iCs/>
              </w:rPr>
              <w:t>Draudi</w:t>
            </w:r>
          </w:p>
        </w:tc>
      </w:tr>
      <w:tr w:rsidR="007577EF" w:rsidRPr="00F163BC" w14:paraId="5F4E541E"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116AA023" w14:textId="3CEC68C9" w:rsidR="007577EF" w:rsidRPr="00F163BC" w:rsidRDefault="007577EF" w:rsidP="00EE1FC3">
            <w:pPr>
              <w:jc w:val="both"/>
            </w:pPr>
          </w:p>
        </w:tc>
        <w:tc>
          <w:tcPr>
            <w:tcW w:w="2326" w:type="pct"/>
            <w:tcBorders>
              <w:top w:val="outset" w:sz="6" w:space="0" w:color="auto"/>
              <w:left w:val="outset" w:sz="6" w:space="0" w:color="auto"/>
              <w:bottom w:val="outset" w:sz="6" w:space="0" w:color="auto"/>
              <w:right w:val="outset" w:sz="6" w:space="0" w:color="auto"/>
            </w:tcBorders>
          </w:tcPr>
          <w:p w14:paraId="428E11D1" w14:textId="77777777" w:rsidR="007577EF" w:rsidRPr="00F163BC" w:rsidRDefault="007577EF" w:rsidP="00EE1FC3">
            <w:pPr>
              <w:jc w:val="both"/>
            </w:pPr>
            <w:r w:rsidRPr="00F163BC">
              <w:t>Nav identificēti.</w:t>
            </w:r>
          </w:p>
        </w:tc>
      </w:tr>
    </w:tbl>
    <w:p w14:paraId="5AFDF0E4" w14:textId="77777777" w:rsidR="007577EF" w:rsidRPr="00F163BC" w:rsidRDefault="007577EF" w:rsidP="007577EF">
      <w:pPr>
        <w:pStyle w:val="tv213"/>
        <w:spacing w:before="0" w:beforeAutospacing="0" w:after="0" w:afterAutospacing="0"/>
        <w:rPr>
          <w:b/>
        </w:rPr>
      </w:pPr>
    </w:p>
    <w:p w14:paraId="5B0F4D8B" w14:textId="77777777"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14:paraId="216949AF" w14:textId="77777777" w:rsidTr="00EE1FC3">
        <w:tc>
          <w:tcPr>
            <w:tcW w:w="9287" w:type="dxa"/>
            <w:tcBorders>
              <w:top w:val="single" w:sz="4" w:space="0" w:color="auto"/>
              <w:left w:val="single" w:sz="4" w:space="0" w:color="auto"/>
              <w:bottom w:val="single" w:sz="4" w:space="0" w:color="auto"/>
              <w:right w:val="single" w:sz="4" w:space="0" w:color="auto"/>
            </w:tcBorders>
          </w:tcPr>
          <w:p w14:paraId="751EAADB" w14:textId="77777777" w:rsidR="007577EF" w:rsidRPr="00F163BC" w:rsidRDefault="007577EF" w:rsidP="00EE1FC3">
            <w:pPr>
              <w:pStyle w:val="tv213"/>
              <w:spacing w:before="0" w:beforeAutospacing="0" w:after="0" w:afterAutospacing="0"/>
              <w:jc w:val="both"/>
            </w:pPr>
            <w:r w:rsidRPr="00F163BC">
              <w:t>√ Gadskārtējā likuma par valsts budžetu un likuma par vidēja termiņa budžeta ietvaru regulējumā paredzēt, ka:</w:t>
            </w:r>
          </w:p>
          <w:p w14:paraId="348D79D6" w14:textId="77777777" w:rsidR="007577EF" w:rsidRPr="00F163BC" w:rsidRDefault="007577EF" w:rsidP="00EE1FC3">
            <w:pPr>
              <w:pStyle w:val="tv213"/>
              <w:spacing w:before="0" w:beforeAutospacing="0" w:after="0" w:afterAutospacing="0"/>
              <w:jc w:val="both"/>
            </w:pPr>
            <w:r w:rsidRPr="00F163BC">
              <w:t>- CSDD ieskaita valsts pamatbudžeta ieņēmumos maksājumu par valsts kapitāla izmantošanu (ieņēmumus no dividendēm) n+1, n+2, n+3 gadā (par n, n+1, n+2 pārskata gadu) konkrētā apjomā</w:t>
            </w:r>
            <w:r w:rsidRPr="00F163BC">
              <w:rPr>
                <w:rStyle w:val="FootnoteReference"/>
              </w:rPr>
              <w:footnoteReference w:id="35"/>
            </w:r>
            <w:r w:rsidRPr="00F163BC">
              <w:t>;</w:t>
            </w:r>
          </w:p>
          <w:p w14:paraId="3287DE56" w14:textId="77777777" w:rsidR="007577EF" w:rsidRPr="00F163BC" w:rsidRDefault="007577EF" w:rsidP="00EE1FC3">
            <w:pPr>
              <w:pStyle w:val="tv213"/>
              <w:spacing w:before="0" w:beforeAutospacing="0" w:after="0" w:afterAutospacing="0"/>
              <w:jc w:val="both"/>
              <w:rPr>
                <w:b/>
              </w:rPr>
            </w:pPr>
            <w:r w:rsidRPr="00F163BC">
              <w:t>- no CSDD ikgadējām dividendēm n+1, n+2, n+3 gadā tiek novirzīti resursi izdevumu, kas saistīti ar fotoradaru ieviešanu, segšanai Iekšlietu ministrijas konkrētā budžeta apakšprogrammā.</w:t>
            </w:r>
          </w:p>
        </w:tc>
      </w:tr>
    </w:tbl>
    <w:p w14:paraId="5F3C7A24" w14:textId="77777777" w:rsidR="007577EF" w:rsidRPr="00F163BC" w:rsidRDefault="007577EF" w:rsidP="007577EF">
      <w:pPr>
        <w:ind w:left="720"/>
        <w:jc w:val="center"/>
        <w:rPr>
          <w:b/>
          <w:sz w:val="28"/>
          <w:szCs w:val="28"/>
        </w:rPr>
      </w:pPr>
    </w:p>
    <w:p w14:paraId="2E26A06E" w14:textId="77777777" w:rsidR="007577EF" w:rsidRPr="00F163BC" w:rsidRDefault="007577EF" w:rsidP="007577EF">
      <w:pPr>
        <w:ind w:left="720"/>
        <w:jc w:val="center"/>
        <w:rPr>
          <w:b/>
          <w:sz w:val="28"/>
          <w:szCs w:val="28"/>
        </w:rPr>
      </w:pPr>
    </w:p>
    <w:p w14:paraId="1AE55E46" w14:textId="77777777" w:rsidR="007577EF" w:rsidRPr="00F163BC" w:rsidRDefault="007577EF" w:rsidP="007577EF">
      <w:pPr>
        <w:ind w:left="720"/>
        <w:jc w:val="center"/>
        <w:rPr>
          <w:b/>
          <w:sz w:val="28"/>
          <w:szCs w:val="28"/>
        </w:rPr>
      </w:pPr>
      <w:r w:rsidRPr="00F163BC">
        <w:rPr>
          <w:b/>
          <w:sz w:val="28"/>
          <w:szCs w:val="28"/>
        </w:rPr>
        <w:t xml:space="preserve">2.modelis </w:t>
      </w:r>
    </w:p>
    <w:p w14:paraId="6C5E73C0" w14:textId="5304F250" w:rsidR="007577EF" w:rsidRPr="00F163BC" w:rsidRDefault="007577EF" w:rsidP="007577EF">
      <w:pPr>
        <w:jc w:val="both"/>
        <w:rPr>
          <w:b/>
          <w:i/>
          <w:sz w:val="28"/>
          <w:szCs w:val="28"/>
        </w:rPr>
      </w:pPr>
      <w:r w:rsidRPr="00F163BC">
        <w:rPr>
          <w:b/>
          <w:i/>
          <w:sz w:val="28"/>
          <w:szCs w:val="28"/>
        </w:rPr>
        <w:t xml:space="preserve">Fotoradaru iegādi un uzstādīšanu nodrošina CSDD no valstij izmaksājamām dividendēm, </w:t>
      </w:r>
      <w:proofErr w:type="gramStart"/>
      <w:r w:rsidRPr="00F163BC">
        <w:rPr>
          <w:b/>
          <w:i/>
          <w:sz w:val="28"/>
          <w:szCs w:val="28"/>
        </w:rPr>
        <w:t>kas netiek</w:t>
      </w:r>
      <w:proofErr w:type="gramEnd"/>
      <w:r w:rsidRPr="00F163BC">
        <w:rPr>
          <w:b/>
          <w:i/>
          <w:sz w:val="28"/>
          <w:szCs w:val="28"/>
        </w:rPr>
        <w:t xml:space="preserve"> ieskaitītas valsts pamatbudžeta ieņēmumos, un </w:t>
      </w:r>
      <w:r w:rsidR="00C8292A">
        <w:rPr>
          <w:b/>
          <w:i/>
          <w:sz w:val="28"/>
          <w:szCs w:val="28"/>
        </w:rPr>
        <w:t xml:space="preserve">pieejamā </w:t>
      </w:r>
      <w:r w:rsidRPr="00F163BC">
        <w:rPr>
          <w:b/>
          <w:i/>
          <w:sz w:val="28"/>
          <w:szCs w:val="28"/>
        </w:rPr>
        <w:t>nolietojuma uzkrājum</w:t>
      </w:r>
      <w:r w:rsidR="00C8292A">
        <w:rPr>
          <w:b/>
          <w:i/>
          <w:sz w:val="28"/>
          <w:szCs w:val="28"/>
        </w:rPr>
        <w:t>a, neveidojot jaunu nolietojuma uzkrājumu</w:t>
      </w:r>
      <w:r w:rsidRPr="00F163BC">
        <w:rPr>
          <w:b/>
          <w:i/>
          <w:sz w:val="28"/>
          <w:szCs w:val="28"/>
        </w:rPr>
        <w:t xml:space="preserve"> </w:t>
      </w:r>
    </w:p>
    <w:p w14:paraId="7E8B8229" w14:textId="77777777" w:rsidR="007577EF" w:rsidRPr="00F163BC" w:rsidRDefault="007577EF" w:rsidP="007577EF">
      <w:pPr>
        <w:jc w:val="both"/>
        <w:rPr>
          <w:b/>
        </w:rPr>
      </w:pPr>
    </w:p>
    <w:p w14:paraId="490D5103" w14:textId="7FD0D9ED" w:rsidR="007577EF" w:rsidRPr="00F163BC" w:rsidRDefault="007577EF" w:rsidP="007577EF">
      <w:pPr>
        <w:jc w:val="both"/>
        <w:rPr>
          <w:b/>
        </w:rPr>
      </w:pPr>
      <w:r w:rsidRPr="00F163BC">
        <w:rPr>
          <w:b/>
        </w:rPr>
        <w:t xml:space="preserve">Tiesiskais </w:t>
      </w:r>
      <w:r w:rsidR="00984DF9">
        <w:rPr>
          <w:b/>
        </w:rPr>
        <w:t>regulējums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14:paraId="125027F1" w14:textId="77777777" w:rsidTr="00EE1FC3">
        <w:tc>
          <w:tcPr>
            <w:tcW w:w="9321" w:type="dxa"/>
            <w:tcBorders>
              <w:top w:val="single" w:sz="4" w:space="0" w:color="auto"/>
              <w:left w:val="single" w:sz="4" w:space="0" w:color="auto"/>
              <w:bottom w:val="single" w:sz="4" w:space="0" w:color="auto"/>
              <w:right w:val="single" w:sz="4" w:space="0" w:color="auto"/>
            </w:tcBorders>
          </w:tcPr>
          <w:p w14:paraId="1EE9AC25" w14:textId="77777777" w:rsidR="007577EF" w:rsidRPr="00F163BC" w:rsidRDefault="007577EF" w:rsidP="00EE1FC3">
            <w:pPr>
              <w:pStyle w:val="tv213"/>
              <w:spacing w:before="0" w:beforeAutospacing="0" w:after="0" w:afterAutospacing="0"/>
              <w:jc w:val="both"/>
            </w:pPr>
            <w:r w:rsidRPr="00F163BC">
              <w:t xml:space="preserve">- Publiskas personas kapitāla daļu un kapitālsabiedrību pārvaldības likuma </w:t>
            </w:r>
            <w:proofErr w:type="gramStart"/>
            <w:r w:rsidRPr="00F163BC">
              <w:t>28.pants</w:t>
            </w:r>
            <w:proofErr w:type="gramEnd"/>
          </w:p>
          <w:p w14:paraId="057DC8EF" w14:textId="77777777" w:rsidR="007577EF" w:rsidRDefault="007577EF" w:rsidP="00EE1FC3">
            <w:pPr>
              <w:pStyle w:val="tv213"/>
              <w:spacing w:before="0" w:beforeAutospacing="0" w:after="0" w:afterAutospacing="0"/>
              <w:jc w:val="both"/>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p w14:paraId="017BB985" w14:textId="5A032A3F" w:rsidR="00FD42DD" w:rsidRPr="00F163BC" w:rsidRDefault="00FD42DD" w:rsidP="00EE1FC3">
            <w:pPr>
              <w:pStyle w:val="tv213"/>
              <w:spacing w:before="0" w:beforeAutospacing="0" w:after="0" w:afterAutospacing="0"/>
              <w:jc w:val="both"/>
            </w:pPr>
            <w:r>
              <w:t>- CSDD vidēja termiņa darbības stratēģija;</w:t>
            </w:r>
          </w:p>
          <w:p w14:paraId="459222DC" w14:textId="77777777" w:rsidR="007577EF" w:rsidRPr="00F163BC" w:rsidRDefault="007577EF" w:rsidP="00EE1FC3">
            <w:pPr>
              <w:pStyle w:val="tv213"/>
              <w:spacing w:before="0" w:beforeAutospacing="0" w:after="0" w:afterAutospacing="0"/>
              <w:jc w:val="both"/>
            </w:pPr>
            <w:r w:rsidRPr="00F163BC">
              <w:t xml:space="preserve">- ikgadējs Ministru kabineta rīkojums par dividendēm, </w:t>
            </w:r>
            <w:proofErr w:type="gramStart"/>
            <w:r w:rsidRPr="00F163BC">
              <w:t>nosakot, ka tās tiek</w:t>
            </w:r>
            <w:proofErr w:type="gramEnd"/>
            <w:r w:rsidRPr="00F163BC">
              <w:t xml:space="preserve"> atstātas CSDD rīcībā šim mērķim.</w:t>
            </w:r>
          </w:p>
        </w:tc>
      </w:tr>
    </w:tbl>
    <w:p w14:paraId="2819101C" w14:textId="77777777" w:rsidR="007577EF" w:rsidRPr="00F163BC" w:rsidRDefault="007577EF" w:rsidP="007577EF">
      <w:pPr>
        <w:pStyle w:val="tv213"/>
        <w:spacing w:before="0" w:beforeAutospacing="0" w:after="0" w:afterAutospacing="0"/>
        <w:jc w:val="both"/>
        <w:rPr>
          <w:i/>
        </w:rPr>
      </w:pPr>
    </w:p>
    <w:p w14:paraId="648BC78E" w14:textId="77777777"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14:paraId="06E2584F"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61737411" w14:textId="77777777"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14:paraId="25389615" w14:textId="77777777" w:rsidR="007577EF" w:rsidRPr="00F163BC" w:rsidRDefault="007577EF" w:rsidP="00EE1FC3">
            <w:pPr>
              <w:jc w:val="center"/>
              <w:rPr>
                <w:i/>
                <w:iCs/>
              </w:rPr>
            </w:pPr>
            <w:r w:rsidRPr="00F163BC">
              <w:rPr>
                <w:i/>
                <w:iCs/>
              </w:rPr>
              <w:t>Vājās puses</w:t>
            </w:r>
          </w:p>
        </w:tc>
      </w:tr>
      <w:tr w:rsidR="007577EF" w:rsidRPr="00F163BC" w14:paraId="3316BEA5"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67B6915C" w14:textId="77777777" w:rsidR="007577EF" w:rsidRDefault="007577EF" w:rsidP="00231882">
            <w:pPr>
              <w:jc w:val="both"/>
            </w:pPr>
            <w:r w:rsidRPr="00F163BC">
              <w:t xml:space="preserve">√ Mazāks administratīvais slogs CSDD, Valsts policijai, Finanšu ministrijai, jo dividendes nav jāieplāno (jāieskaita) valsts pamatbudžeta ieņēmumos, lai pēc tam tās ieplānotu Iekšlietu ministrijas ieņēmumos </w:t>
            </w:r>
            <w:r w:rsidRPr="00F163BC">
              <w:lastRenderedPageBreak/>
              <w:t xml:space="preserve">un izdevumos, kas kā valsts budžeta līdzekļi (dotācija) caur Valsts policiju tiktu pārskaitīta atpakaļ CSDD. </w:t>
            </w:r>
          </w:p>
          <w:p w14:paraId="6433BB89" w14:textId="16C3C29D" w:rsidR="00BF73D8" w:rsidRDefault="00BF73D8" w:rsidP="00231882">
            <w:pPr>
              <w:jc w:val="both"/>
            </w:pPr>
            <w:r>
              <w:t>√ Tiek atrisināts jautājums par CSDD rīcībā</w:t>
            </w:r>
          </w:p>
          <w:p w14:paraId="3462766A" w14:textId="78BEEF35" w:rsidR="00BF73D8" w:rsidRPr="00F163BC" w:rsidRDefault="00BF73D8" w:rsidP="00BF73D8">
            <w:pPr>
              <w:jc w:val="both"/>
            </w:pPr>
            <w:r>
              <w:t>esošā nolietojuma uzkrājuma daļas</w:t>
            </w:r>
            <w:proofErr w:type="gramStart"/>
            <w:r>
              <w:t xml:space="preserve">  </w:t>
            </w:r>
            <w:proofErr w:type="gramEnd"/>
            <w:r>
              <w:t xml:space="preserve">(279 203 </w:t>
            </w:r>
            <w:r w:rsidRPr="00F31194">
              <w:rPr>
                <w:i/>
              </w:rPr>
              <w:t>euro</w:t>
            </w:r>
            <w:r>
              <w:t>) izmantošanu, piesaistot to kā finansēšanas avotu tehnisko līdzekļu iegādei</w:t>
            </w:r>
          </w:p>
        </w:tc>
        <w:tc>
          <w:tcPr>
            <w:tcW w:w="2326" w:type="pct"/>
            <w:tcBorders>
              <w:top w:val="outset" w:sz="6" w:space="0" w:color="auto"/>
              <w:left w:val="outset" w:sz="6" w:space="0" w:color="auto"/>
              <w:bottom w:val="outset" w:sz="6" w:space="0" w:color="auto"/>
              <w:right w:val="outset" w:sz="6" w:space="0" w:color="auto"/>
            </w:tcBorders>
          </w:tcPr>
          <w:p w14:paraId="40657E53" w14:textId="77777777" w:rsidR="007577EF" w:rsidRPr="00F163BC" w:rsidRDefault="007577EF" w:rsidP="00EE1FC3">
            <w:pPr>
              <w:jc w:val="both"/>
            </w:pPr>
            <w:r w:rsidRPr="00F163BC">
              <w:lastRenderedPageBreak/>
              <w:t>√ Valsts budžetā netiek atspoguļoti visi ieņēmumi, kas valstij pienākas, un visi izdevumi, ko tai jāveic, lai nodrošinātu valsts pārvaldes deleģēta uzdevuma izpildi.</w:t>
            </w:r>
          </w:p>
          <w:p w14:paraId="10AC0A60" w14:textId="77777777" w:rsidR="007577EF" w:rsidRPr="00F163BC" w:rsidRDefault="007577EF" w:rsidP="00EE1FC3">
            <w:pPr>
              <w:jc w:val="both"/>
            </w:pPr>
            <w:r w:rsidRPr="00F163BC">
              <w:lastRenderedPageBreak/>
              <w:t>√ Ja dividenžu faktiskais apjoms būs mazāks par prognozēto, fotoradaru ieviešana var aizkavēties.</w:t>
            </w:r>
          </w:p>
        </w:tc>
      </w:tr>
      <w:tr w:rsidR="007577EF" w:rsidRPr="00F163BC" w14:paraId="54DD7664"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0A9C9B82" w14:textId="77777777" w:rsidR="007577EF" w:rsidRPr="00F163BC" w:rsidRDefault="007577EF" w:rsidP="00EE1FC3">
            <w:pPr>
              <w:jc w:val="center"/>
              <w:rPr>
                <w:i/>
                <w:iCs/>
              </w:rPr>
            </w:pPr>
            <w:r w:rsidRPr="00F163BC">
              <w:rPr>
                <w:i/>
                <w:iCs/>
              </w:rPr>
              <w:lastRenderedPageBreak/>
              <w:t>Iespējas</w:t>
            </w:r>
          </w:p>
        </w:tc>
        <w:tc>
          <w:tcPr>
            <w:tcW w:w="2326" w:type="pct"/>
            <w:tcBorders>
              <w:top w:val="outset" w:sz="6" w:space="0" w:color="auto"/>
              <w:left w:val="outset" w:sz="6" w:space="0" w:color="auto"/>
              <w:bottom w:val="outset" w:sz="6" w:space="0" w:color="auto"/>
              <w:right w:val="outset" w:sz="6" w:space="0" w:color="auto"/>
            </w:tcBorders>
            <w:hideMark/>
          </w:tcPr>
          <w:p w14:paraId="35067C5B" w14:textId="77777777" w:rsidR="007577EF" w:rsidRPr="00F163BC" w:rsidRDefault="007577EF" w:rsidP="00EE1FC3">
            <w:pPr>
              <w:jc w:val="center"/>
              <w:rPr>
                <w:i/>
                <w:iCs/>
              </w:rPr>
            </w:pPr>
            <w:r w:rsidRPr="00F163BC">
              <w:rPr>
                <w:i/>
                <w:iCs/>
              </w:rPr>
              <w:t>Draudi</w:t>
            </w:r>
          </w:p>
        </w:tc>
      </w:tr>
      <w:tr w:rsidR="007577EF" w:rsidRPr="00F163BC" w14:paraId="45D5D054"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4F13B12B" w14:textId="77777777" w:rsidR="007577EF" w:rsidRPr="00F163BC" w:rsidRDefault="007577EF" w:rsidP="00EE1FC3">
            <w:r w:rsidRPr="00F163BC">
              <w:t>√ Pilnveidot esošo normatīvo regulējumu valsts pārvaldes uzdevuma deleģēšanas jomā, ņemot vērā praktisko pieredzi.</w:t>
            </w:r>
          </w:p>
          <w:p w14:paraId="4180AC77" w14:textId="1E5DB4BB" w:rsidR="007577EF" w:rsidRPr="00F163BC" w:rsidRDefault="007577EF" w:rsidP="00EE1FC3"/>
        </w:tc>
        <w:tc>
          <w:tcPr>
            <w:tcW w:w="2326" w:type="pct"/>
            <w:tcBorders>
              <w:top w:val="outset" w:sz="6" w:space="0" w:color="auto"/>
              <w:left w:val="outset" w:sz="6" w:space="0" w:color="auto"/>
              <w:bottom w:val="outset" w:sz="6" w:space="0" w:color="auto"/>
              <w:right w:val="outset" w:sz="6" w:space="0" w:color="auto"/>
            </w:tcBorders>
          </w:tcPr>
          <w:p w14:paraId="00653603" w14:textId="77777777" w:rsidR="007577EF" w:rsidRPr="00F163BC" w:rsidRDefault="007577EF" w:rsidP="00EE1FC3">
            <w:pPr>
              <w:jc w:val="both"/>
            </w:pPr>
            <w:r w:rsidRPr="00F163BC">
              <w:t>√ Ja netiek pilnveidots normatīvais regulējums, var nebūt skaidrs, kas ir fotoradaru īpašnieks, no kā izriet problēmas, piemēram, ar nolietojuma uzkrājuma fonda izveidi, naudas līdzekļiem, kas var tikt iegūti, pārdodot izsolē vai utilizējot fotoradarus pēc to darbības beigām.</w:t>
            </w:r>
          </w:p>
        </w:tc>
      </w:tr>
    </w:tbl>
    <w:p w14:paraId="36A60C0C" w14:textId="77777777" w:rsidR="007577EF" w:rsidRPr="00F163BC" w:rsidRDefault="007577EF" w:rsidP="007577EF">
      <w:pPr>
        <w:pStyle w:val="tv213"/>
        <w:spacing w:before="0" w:beforeAutospacing="0" w:after="0" w:afterAutospacing="0"/>
        <w:rPr>
          <w:b/>
        </w:rPr>
      </w:pPr>
    </w:p>
    <w:p w14:paraId="1B28EEF2" w14:textId="77777777"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14:paraId="18287C76" w14:textId="77777777" w:rsidTr="00A269B1">
        <w:trPr>
          <w:trHeight w:val="7293"/>
        </w:trPr>
        <w:tc>
          <w:tcPr>
            <w:tcW w:w="9287" w:type="dxa"/>
            <w:tcBorders>
              <w:top w:val="single" w:sz="4" w:space="0" w:color="auto"/>
              <w:left w:val="single" w:sz="4" w:space="0" w:color="auto"/>
              <w:bottom w:val="single" w:sz="4" w:space="0" w:color="auto"/>
              <w:right w:val="single" w:sz="4" w:space="0" w:color="auto"/>
            </w:tcBorders>
          </w:tcPr>
          <w:p w14:paraId="0C637170" w14:textId="0BEB1BD7" w:rsidR="007577EF" w:rsidRPr="00F163BC" w:rsidRDefault="007577EF" w:rsidP="00EE1FC3">
            <w:pPr>
              <w:pStyle w:val="NormalWeb"/>
              <w:spacing w:before="0" w:beforeAutospacing="0" w:after="0" w:afterAutospacing="0"/>
              <w:jc w:val="both"/>
              <w:rPr>
                <w:i/>
                <w:lang w:val="lv-LV"/>
              </w:rPr>
            </w:pPr>
            <w:r w:rsidRPr="00F163BC">
              <w:rPr>
                <w:i/>
                <w:lang w:val="lv-LV"/>
              </w:rPr>
              <w:t>Ja šāda kārtība tiek saglabāta, nepieciešam</w:t>
            </w:r>
            <w:r w:rsidR="003D6508">
              <w:rPr>
                <w:i/>
                <w:lang w:val="lv-LV"/>
              </w:rPr>
              <w:t>s izvērtēt grozījumu nepieciešamību tiesību aktos:</w:t>
            </w:r>
          </w:p>
          <w:p w14:paraId="5E03A004" w14:textId="25074265" w:rsidR="007577EF" w:rsidRPr="00F163BC" w:rsidRDefault="007577EF" w:rsidP="00EE1FC3">
            <w:pPr>
              <w:pStyle w:val="NormalWeb"/>
              <w:spacing w:before="0" w:beforeAutospacing="0" w:after="0" w:afterAutospacing="0"/>
              <w:jc w:val="both"/>
              <w:rPr>
                <w:szCs w:val="28"/>
                <w:lang w:val="lv-LV"/>
              </w:rPr>
            </w:pPr>
            <w:r w:rsidRPr="00F163BC">
              <w:rPr>
                <w:i/>
                <w:lang w:val="lv-LV"/>
              </w:rPr>
              <w:t xml:space="preserve">√ </w:t>
            </w:r>
            <w:r w:rsidRPr="00F163BC">
              <w:rPr>
                <w:szCs w:val="28"/>
                <w:lang w:val="lv-LV"/>
              </w:rPr>
              <w:t xml:space="preserve">tiesību aktos </w:t>
            </w:r>
            <w:r w:rsidR="00CC185C">
              <w:rPr>
                <w:szCs w:val="28"/>
                <w:lang w:val="lv-LV"/>
              </w:rPr>
              <w:t xml:space="preserve">(piemēram, </w:t>
            </w:r>
            <w:r w:rsidR="00CA1D94">
              <w:rPr>
                <w:szCs w:val="28"/>
                <w:lang w:val="lv-LV"/>
              </w:rPr>
              <w:t xml:space="preserve">pārvaldes uzdevuma deleģēšanas, </w:t>
            </w:r>
            <w:r w:rsidR="00CC185C">
              <w:rPr>
                <w:szCs w:val="28"/>
                <w:lang w:val="lv-LV"/>
              </w:rPr>
              <w:t>budžet</w:t>
            </w:r>
            <w:r w:rsidR="00CA1D94">
              <w:rPr>
                <w:szCs w:val="28"/>
                <w:lang w:val="lv-LV"/>
              </w:rPr>
              <w:t>a</w:t>
            </w:r>
            <w:r w:rsidR="00CC185C">
              <w:rPr>
                <w:szCs w:val="28"/>
                <w:lang w:val="lv-LV"/>
              </w:rPr>
              <w:t xml:space="preserve">, grāmatvedības vai </w:t>
            </w:r>
            <w:r w:rsidR="00CA1D94">
              <w:rPr>
                <w:szCs w:val="28"/>
                <w:lang w:val="lv-LV"/>
              </w:rPr>
              <w:t xml:space="preserve">kapitālsabiedrību pārvaldības </w:t>
            </w:r>
            <w:r w:rsidR="00CC185C">
              <w:rPr>
                <w:szCs w:val="28"/>
                <w:lang w:val="lv-LV"/>
              </w:rPr>
              <w:t>jom</w:t>
            </w:r>
            <w:r w:rsidR="00CA1D94">
              <w:rPr>
                <w:szCs w:val="28"/>
                <w:lang w:val="lv-LV"/>
              </w:rPr>
              <w:t>ā),</w:t>
            </w:r>
            <w:r w:rsidR="00CC185C">
              <w:rPr>
                <w:szCs w:val="28"/>
                <w:lang w:val="lv-LV"/>
              </w:rPr>
              <w:t xml:space="preserve"> </w:t>
            </w:r>
            <w:r w:rsidRPr="00F163BC">
              <w:rPr>
                <w:szCs w:val="28"/>
                <w:lang w:val="lv-LV"/>
              </w:rPr>
              <w:t>nosakot, ka:</w:t>
            </w:r>
          </w:p>
          <w:p w14:paraId="4252DB4E" w14:textId="228AE5AC" w:rsidR="00D77F3A" w:rsidRPr="00F31194" w:rsidRDefault="007577EF" w:rsidP="00D77F3A">
            <w:pPr>
              <w:jc w:val="both"/>
              <w:rPr>
                <w:szCs w:val="28"/>
              </w:rPr>
            </w:pPr>
            <w:r w:rsidRPr="00F163BC">
              <w:rPr>
                <w:szCs w:val="28"/>
              </w:rPr>
              <w:t>-</w:t>
            </w:r>
            <w:r w:rsidRPr="00F163BC">
              <w:rPr>
                <w:i/>
              </w:rPr>
              <w:t xml:space="preserve"> </w:t>
            </w:r>
            <w:r w:rsidRPr="00F163BC">
              <w:rPr>
                <w:szCs w:val="28"/>
              </w:rPr>
              <w:t xml:space="preserve">valstij pienākošie dividenžu maksājumi, kas ar īpašu Ministru kabineta lēmumu atstāti kapitālsabiedrības rīcībā </w:t>
            </w:r>
            <w:r w:rsidR="005E698C">
              <w:rPr>
                <w:szCs w:val="28"/>
              </w:rPr>
              <w:t xml:space="preserve">kā finansējums </w:t>
            </w:r>
            <w:r w:rsidRPr="00F163BC">
              <w:rPr>
                <w:szCs w:val="28"/>
              </w:rPr>
              <w:t xml:space="preserve">valsts pārvaldes </w:t>
            </w:r>
            <w:r w:rsidR="005E698C">
              <w:rPr>
                <w:szCs w:val="28"/>
              </w:rPr>
              <w:t xml:space="preserve">deleģēta uzdevuma izpildei, </w:t>
            </w:r>
            <w:r w:rsidR="00D77F3A" w:rsidRPr="00F31194">
              <w:rPr>
                <w:szCs w:val="28"/>
              </w:rPr>
              <w:t>šis finansējums</w:t>
            </w:r>
            <w:r w:rsidR="00D77F3A">
              <w:rPr>
                <w:rStyle w:val="spelle"/>
                <w:sz w:val="28"/>
              </w:rPr>
              <w:t xml:space="preserve"> </w:t>
            </w:r>
            <w:r w:rsidR="00D77F3A" w:rsidRPr="00F31194">
              <w:rPr>
                <w:szCs w:val="28"/>
              </w:rPr>
              <w:t>būtu uzskatāms par kapitālsabiedrībai piešķirtu valsts finansējumu (dotāciju)</w:t>
            </w:r>
            <w:r w:rsidR="00D77F3A">
              <w:rPr>
                <w:szCs w:val="28"/>
              </w:rPr>
              <w:t>;</w:t>
            </w:r>
          </w:p>
          <w:p w14:paraId="4D196981" w14:textId="77777777" w:rsidR="007577EF" w:rsidRPr="00F163BC" w:rsidRDefault="007577EF" w:rsidP="00EE1FC3">
            <w:pPr>
              <w:pStyle w:val="NormalWeb"/>
              <w:spacing w:before="0" w:beforeAutospacing="0" w:after="0" w:afterAutospacing="0"/>
              <w:jc w:val="both"/>
              <w:rPr>
                <w:szCs w:val="28"/>
                <w:lang w:val="lv-LV"/>
              </w:rPr>
            </w:pPr>
            <w:r w:rsidRPr="00F163BC">
              <w:rPr>
                <w:szCs w:val="28"/>
                <w:lang w:val="lv-LV"/>
              </w:rPr>
              <w:t>- šo finansējumu attiecīgi atspoguļo kapitālsabiedrības stratēģijā (ja finansējums saistīts ar publiskai personai noteikto funkciju izpildes nodrošināšanu, tas atspoguļojams stratēģijas sadaļā par nefinanšu mērķiem) un grāmatvedības uzskaitē;</w:t>
            </w:r>
          </w:p>
          <w:p w14:paraId="62F14743" w14:textId="77777777" w:rsidR="007577EF" w:rsidRPr="00F163BC" w:rsidRDefault="007577EF" w:rsidP="00EE1FC3">
            <w:pPr>
              <w:pStyle w:val="NormalWeb"/>
              <w:spacing w:before="0" w:beforeAutospacing="0" w:after="0" w:afterAutospacing="0"/>
              <w:jc w:val="both"/>
              <w:rPr>
                <w:szCs w:val="28"/>
                <w:lang w:val="lv-LV"/>
              </w:rPr>
            </w:pPr>
            <w:r w:rsidRPr="00F163BC">
              <w:rPr>
                <w:szCs w:val="28"/>
                <w:lang w:val="lv-LV"/>
              </w:rPr>
              <w:t>- ja šis finansējums saistīts ar publiskai personai noteikto funkciju izpildes nodrošināšanu (piešķirts valsts pārvaldes deleģēta uzdevuma izpildei, nevis CSDD pamatfunkciju izpildei), paredzot pamatkapitāla veidošanu, kas nepieciešams šā uzdevuma izpildei, samaksā par deleģēto valsts pārvaldes uzdevumu izpildi neiekļauj attiecīgā pamatkapitāla nolietojuma posteni;</w:t>
            </w:r>
          </w:p>
          <w:p w14:paraId="5D47C787" w14:textId="693E8E82" w:rsidR="007577EF" w:rsidRPr="00F163BC" w:rsidRDefault="00404A52" w:rsidP="00EE1FC3">
            <w:pPr>
              <w:pStyle w:val="NormalWeb"/>
              <w:spacing w:before="0" w:beforeAutospacing="0" w:after="0" w:afterAutospacing="0"/>
              <w:jc w:val="both"/>
              <w:rPr>
                <w:lang w:val="lv-LV"/>
              </w:rPr>
            </w:pPr>
            <w:r w:rsidRPr="003573C9">
              <w:rPr>
                <w:lang w:val="lv-LV"/>
              </w:rPr>
              <w:t xml:space="preserve">- </w:t>
            </w:r>
            <w:r w:rsidR="007577EF" w:rsidRPr="003573C9">
              <w:rPr>
                <w:lang w:val="lv-LV"/>
              </w:rPr>
              <w:t>ja valsts kapitālsabiedrība realizē kustamo mantu, ko tā valsts pārvaldes deleģēta uzdevuma ietvaros iegādājusies par šim mērķim piešķirtajām valstij izmaksājamām dividendēm</w:t>
            </w:r>
            <w:r w:rsidRPr="003573C9">
              <w:rPr>
                <w:lang w:val="lv-LV"/>
              </w:rPr>
              <w:t xml:space="preserve"> vai nolietojuma uzkrājumu</w:t>
            </w:r>
            <w:r w:rsidR="007577EF" w:rsidRPr="003573C9">
              <w:rPr>
                <w:lang w:val="lv-LV"/>
              </w:rPr>
              <w:t>, ieņēmumi ieskaitāmi valsts pamatbudžetā.</w:t>
            </w:r>
          </w:p>
          <w:p w14:paraId="25BE7F5B" w14:textId="5B9D42F6" w:rsidR="00231882" w:rsidRPr="00F163BC" w:rsidRDefault="00231882" w:rsidP="003D6508">
            <w:pPr>
              <w:jc w:val="both"/>
            </w:pPr>
            <w:r w:rsidRPr="00F163BC">
              <w:t xml:space="preserve">√ </w:t>
            </w:r>
            <w:r w:rsidR="00B3082C" w:rsidRPr="00F163BC">
              <w:rPr>
                <w:bCs/>
              </w:rPr>
              <w:t>Ministru kabineta</w:t>
            </w:r>
            <w:r w:rsidR="001C560F" w:rsidRPr="00F163BC">
              <w:rPr>
                <w:bCs/>
              </w:rPr>
              <w:t xml:space="preserve"> </w:t>
            </w:r>
            <w:r w:rsidR="001C560F" w:rsidRPr="00F163BC">
              <w:t>2018. gada 13. februāra</w:t>
            </w:r>
            <w:r w:rsidR="00B3082C" w:rsidRPr="00F163BC">
              <w:rPr>
                <w:bCs/>
              </w:rPr>
              <w:t xml:space="preserve"> noteikum</w:t>
            </w:r>
            <w:r w:rsidR="001C560F" w:rsidRPr="00F163BC">
              <w:rPr>
                <w:bCs/>
              </w:rPr>
              <w:t>os</w:t>
            </w:r>
            <w:r w:rsidR="00B3082C" w:rsidRPr="00F163BC">
              <w:rPr>
                <w:bCs/>
              </w:rPr>
              <w:t xml:space="preserve"> Nr. 87</w:t>
            </w:r>
            <w:r w:rsidR="001C560F" w:rsidRPr="00F163BC">
              <w:rPr>
                <w:bCs/>
              </w:rPr>
              <w:t xml:space="preserve"> “</w:t>
            </w:r>
            <w:r w:rsidR="00B3082C" w:rsidRPr="00F163BC">
              <w:t>Grāmatvedības uzskaites kārtība budžeta iestādēs</w:t>
            </w:r>
            <w:r w:rsidR="001C560F" w:rsidRPr="00F163BC">
              <w:t>”, nosakot, ka attiecībā uz pamatlīdzekļu, ko kapitālsabiedrība iegādājusies ar līgumu deleģēta valsts pārvaldes uzdevuma izpildei no valstij izmaksājamām dividendēm, kas saskaņā ar Ministru kabineta lēmumu paredzētas šim mērķim, nolietojuma aprēķināšanu, piemēro šajos noteikumos noteiktās prasības, un iestāde, kura attiecīgo uzdevumu deleģējusi, no valsts budžeta līdzekļiem nolietojumu nekompensē.</w:t>
            </w:r>
          </w:p>
        </w:tc>
      </w:tr>
    </w:tbl>
    <w:p w14:paraId="2A9A14C2" w14:textId="77777777" w:rsidR="00CA26CA" w:rsidRDefault="00CA26CA" w:rsidP="00624524">
      <w:pPr>
        <w:pStyle w:val="tv213"/>
        <w:spacing w:before="0" w:beforeAutospacing="0" w:after="0" w:afterAutospacing="0"/>
        <w:rPr>
          <w:b/>
        </w:rPr>
      </w:pPr>
    </w:p>
    <w:p w14:paraId="5C473164" w14:textId="77777777" w:rsidR="006319EE" w:rsidRDefault="006319EE" w:rsidP="00F31194">
      <w:pPr>
        <w:pStyle w:val="tv213"/>
        <w:spacing w:before="0" w:beforeAutospacing="0" w:after="0" w:afterAutospacing="0"/>
        <w:jc w:val="right"/>
      </w:pPr>
    </w:p>
    <w:p w14:paraId="3DF5DB15" w14:textId="77777777" w:rsidR="002C5884" w:rsidRDefault="002C5884" w:rsidP="00F31194">
      <w:pPr>
        <w:pStyle w:val="tv213"/>
        <w:spacing w:before="0" w:beforeAutospacing="0" w:after="0" w:afterAutospacing="0"/>
        <w:jc w:val="right"/>
      </w:pPr>
    </w:p>
    <w:p w14:paraId="1BE29CDB" w14:textId="77777777" w:rsidR="002C5884" w:rsidRDefault="002C5884" w:rsidP="00F31194">
      <w:pPr>
        <w:pStyle w:val="tv213"/>
        <w:spacing w:before="0" w:beforeAutospacing="0" w:after="0" w:afterAutospacing="0"/>
        <w:jc w:val="right"/>
      </w:pPr>
    </w:p>
    <w:p w14:paraId="5FA84A6F" w14:textId="77777777" w:rsidR="002C5884" w:rsidRDefault="002C5884" w:rsidP="00F31194">
      <w:pPr>
        <w:pStyle w:val="tv213"/>
        <w:spacing w:before="0" w:beforeAutospacing="0" w:after="0" w:afterAutospacing="0"/>
        <w:jc w:val="right"/>
      </w:pPr>
    </w:p>
    <w:p w14:paraId="4870A189" w14:textId="11D1B61F" w:rsidR="00CA26CA" w:rsidRPr="00F31194" w:rsidRDefault="00FF24A3" w:rsidP="00F31194">
      <w:pPr>
        <w:pStyle w:val="tv213"/>
        <w:spacing w:before="0" w:beforeAutospacing="0" w:after="0" w:afterAutospacing="0"/>
        <w:jc w:val="right"/>
      </w:pPr>
      <w:r>
        <w:lastRenderedPageBreak/>
        <w:t>8.</w:t>
      </w:r>
      <w:r w:rsidR="00CA26CA" w:rsidRPr="00F31194">
        <w:t>tabula</w:t>
      </w:r>
    </w:p>
    <w:p w14:paraId="49FAC29F" w14:textId="77777777" w:rsidR="00624524" w:rsidRPr="00F31194" w:rsidRDefault="00624524" w:rsidP="00F31194">
      <w:pPr>
        <w:pStyle w:val="tv213"/>
        <w:spacing w:before="0" w:beforeAutospacing="0" w:after="0" w:afterAutospacing="0"/>
        <w:jc w:val="center"/>
        <w:rPr>
          <w:b/>
        </w:rPr>
      </w:pPr>
      <w:r w:rsidRPr="00B474C5">
        <w:rPr>
          <w:b/>
        </w:rPr>
        <w:t>CSDD plānotās dividendes</w:t>
      </w:r>
    </w:p>
    <w:p w14:paraId="5E4D8713" w14:textId="77777777" w:rsidR="00B474C5" w:rsidRPr="00F31194" w:rsidRDefault="00B474C5" w:rsidP="00F31194">
      <w:pPr>
        <w:pStyle w:val="tv213"/>
        <w:spacing w:before="0" w:beforeAutospacing="0" w:after="0" w:afterAutospacing="0"/>
        <w:jc w:val="center"/>
        <w:rPr>
          <w:b/>
          <w:sz w:val="20"/>
          <w:szCs w:val="20"/>
        </w:rPr>
      </w:pPr>
    </w:p>
    <w:tbl>
      <w:tblPr>
        <w:tblW w:w="83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9"/>
        <w:gridCol w:w="2416"/>
        <w:gridCol w:w="2152"/>
        <w:gridCol w:w="2127"/>
      </w:tblGrid>
      <w:tr w:rsidR="00624524" w:rsidRPr="00B474C5" w14:paraId="47229650" w14:textId="77777777" w:rsidTr="006319EE">
        <w:trPr>
          <w:trHeight w:val="984"/>
        </w:trPr>
        <w:tc>
          <w:tcPr>
            <w:tcW w:w="1659" w:type="dxa"/>
            <w:shd w:val="clear" w:color="auto" w:fill="D9D9D9" w:themeFill="background1" w:themeFillShade="D9"/>
            <w:tcMar>
              <w:top w:w="0" w:type="dxa"/>
              <w:left w:w="108" w:type="dxa"/>
              <w:bottom w:w="0" w:type="dxa"/>
              <w:right w:w="108" w:type="dxa"/>
            </w:tcMar>
            <w:vAlign w:val="center"/>
            <w:hideMark/>
          </w:tcPr>
          <w:p w14:paraId="34092F05" w14:textId="77777777" w:rsidR="00624524" w:rsidRPr="00F31194" w:rsidRDefault="00624524" w:rsidP="00DB7E42">
            <w:pPr>
              <w:spacing w:before="100" w:beforeAutospacing="1" w:after="100" w:afterAutospacing="1"/>
              <w:jc w:val="center"/>
              <w:rPr>
                <w:sz w:val="20"/>
                <w:szCs w:val="20"/>
              </w:rPr>
            </w:pPr>
            <w:r w:rsidRPr="00F31194">
              <w:rPr>
                <w:sz w:val="20"/>
                <w:szCs w:val="20"/>
              </w:rPr>
              <w:t>Gads</w:t>
            </w:r>
          </w:p>
          <w:p w14:paraId="5F5DA3D0" w14:textId="77777777" w:rsidR="00624524" w:rsidRPr="00F31194" w:rsidRDefault="00624524" w:rsidP="00DB7E42">
            <w:pPr>
              <w:spacing w:before="100" w:beforeAutospacing="1" w:after="100" w:afterAutospacing="1"/>
              <w:jc w:val="center"/>
              <w:rPr>
                <w:sz w:val="20"/>
                <w:szCs w:val="20"/>
              </w:rPr>
            </w:pPr>
            <w:r w:rsidRPr="00F31194">
              <w:rPr>
                <w:sz w:val="20"/>
                <w:szCs w:val="20"/>
              </w:rPr>
              <w:t>Plāns/iegāde</w:t>
            </w:r>
          </w:p>
        </w:tc>
        <w:tc>
          <w:tcPr>
            <w:tcW w:w="2416" w:type="dxa"/>
            <w:shd w:val="clear" w:color="auto" w:fill="D9D9D9" w:themeFill="background1" w:themeFillShade="D9"/>
            <w:tcMar>
              <w:top w:w="0" w:type="dxa"/>
              <w:left w:w="108" w:type="dxa"/>
              <w:bottom w:w="0" w:type="dxa"/>
              <w:right w:w="108" w:type="dxa"/>
            </w:tcMar>
            <w:vAlign w:val="center"/>
            <w:hideMark/>
          </w:tcPr>
          <w:p w14:paraId="266249F7" w14:textId="77777777" w:rsidR="00624524" w:rsidRPr="00F31194" w:rsidRDefault="00624524" w:rsidP="00DB7E42">
            <w:pPr>
              <w:spacing w:before="100" w:beforeAutospacing="1" w:after="100" w:afterAutospacing="1"/>
              <w:jc w:val="center"/>
              <w:rPr>
                <w:sz w:val="20"/>
                <w:szCs w:val="20"/>
              </w:rPr>
            </w:pPr>
            <w:r w:rsidRPr="00F31194">
              <w:rPr>
                <w:b/>
                <w:bCs/>
                <w:sz w:val="20"/>
                <w:szCs w:val="20"/>
              </w:rPr>
              <w:t>Plānotā peļņa saskaņā ar CSDD stratēģiju</w:t>
            </w:r>
            <w:r w:rsidRPr="00F31194">
              <w:rPr>
                <w:rStyle w:val="FootnoteReference"/>
                <w:b/>
                <w:bCs/>
                <w:sz w:val="20"/>
                <w:szCs w:val="20"/>
              </w:rPr>
              <w:footnoteReference w:id="36"/>
            </w:r>
            <w:r w:rsidRPr="00F31194">
              <w:rPr>
                <w:b/>
                <w:bCs/>
                <w:sz w:val="20"/>
                <w:szCs w:val="20"/>
              </w:rPr>
              <w:t>(projektu)</w:t>
            </w:r>
          </w:p>
        </w:tc>
        <w:tc>
          <w:tcPr>
            <w:tcW w:w="2152" w:type="dxa"/>
            <w:shd w:val="clear" w:color="auto" w:fill="D9D9D9" w:themeFill="background1" w:themeFillShade="D9"/>
            <w:tcMar>
              <w:top w:w="0" w:type="dxa"/>
              <w:left w:w="108" w:type="dxa"/>
              <w:bottom w:w="0" w:type="dxa"/>
              <w:right w:w="108" w:type="dxa"/>
            </w:tcMar>
            <w:vAlign w:val="center"/>
            <w:hideMark/>
          </w:tcPr>
          <w:p w14:paraId="23BC55AF" w14:textId="77777777" w:rsidR="00624524" w:rsidRPr="00F31194" w:rsidRDefault="00624524" w:rsidP="00DB7E42">
            <w:pPr>
              <w:spacing w:before="100" w:beforeAutospacing="1" w:after="100" w:afterAutospacing="1"/>
              <w:jc w:val="center"/>
              <w:rPr>
                <w:sz w:val="20"/>
                <w:szCs w:val="20"/>
              </w:rPr>
            </w:pPr>
            <w:r w:rsidRPr="00F31194">
              <w:rPr>
                <w:b/>
                <w:bCs/>
                <w:sz w:val="20"/>
                <w:szCs w:val="20"/>
              </w:rPr>
              <w:t xml:space="preserve">Jāiemaksā budžetā = novirza fotoradaru iegādei </w:t>
            </w:r>
            <w:proofErr w:type="spellStart"/>
            <w:r w:rsidRPr="00F31194">
              <w:rPr>
                <w:b/>
                <w:bCs/>
                <w:sz w:val="20"/>
                <w:szCs w:val="20"/>
              </w:rPr>
              <w:t>max</w:t>
            </w:r>
            <w:proofErr w:type="spellEnd"/>
            <w:r w:rsidRPr="00F31194">
              <w:rPr>
                <w:b/>
                <w:bCs/>
                <w:sz w:val="20"/>
                <w:szCs w:val="20"/>
              </w:rPr>
              <w:t>.</w:t>
            </w:r>
          </w:p>
        </w:tc>
        <w:tc>
          <w:tcPr>
            <w:tcW w:w="2127" w:type="dxa"/>
            <w:shd w:val="clear" w:color="auto" w:fill="D9D9D9" w:themeFill="background1" w:themeFillShade="D9"/>
            <w:tcMar>
              <w:top w:w="0" w:type="dxa"/>
              <w:left w:w="108" w:type="dxa"/>
              <w:bottom w:w="0" w:type="dxa"/>
              <w:right w:w="108" w:type="dxa"/>
            </w:tcMar>
            <w:vAlign w:val="center"/>
            <w:hideMark/>
          </w:tcPr>
          <w:p w14:paraId="0B2FE2F5" w14:textId="77777777" w:rsidR="00624524" w:rsidRPr="00F31194" w:rsidRDefault="00624524" w:rsidP="00DB7E42">
            <w:pPr>
              <w:spacing w:before="100" w:beforeAutospacing="1" w:after="100" w:afterAutospacing="1"/>
              <w:jc w:val="center"/>
              <w:rPr>
                <w:sz w:val="20"/>
                <w:szCs w:val="20"/>
              </w:rPr>
            </w:pPr>
            <w:r w:rsidRPr="00F31194">
              <w:rPr>
                <w:b/>
                <w:bCs/>
                <w:sz w:val="20"/>
                <w:szCs w:val="20"/>
              </w:rPr>
              <w:t xml:space="preserve">% ko atstāj </w:t>
            </w:r>
            <w:proofErr w:type="spellStart"/>
            <w:r w:rsidRPr="00F31194">
              <w:rPr>
                <w:b/>
                <w:bCs/>
                <w:sz w:val="20"/>
                <w:szCs w:val="20"/>
              </w:rPr>
              <w:t>kapitālsabiedībai</w:t>
            </w:r>
            <w:proofErr w:type="spellEnd"/>
            <w:r w:rsidRPr="00F31194">
              <w:rPr>
                <w:b/>
                <w:bCs/>
                <w:sz w:val="20"/>
                <w:szCs w:val="20"/>
              </w:rPr>
              <w:t xml:space="preserve"> / % kas jāiemaksā budžetā</w:t>
            </w:r>
          </w:p>
        </w:tc>
      </w:tr>
      <w:tr w:rsidR="00624524" w:rsidRPr="00B474C5" w14:paraId="274CE25A" w14:textId="77777777" w:rsidTr="006319EE">
        <w:trPr>
          <w:trHeight w:val="288"/>
        </w:trPr>
        <w:tc>
          <w:tcPr>
            <w:tcW w:w="1659" w:type="dxa"/>
            <w:noWrap/>
            <w:tcMar>
              <w:top w:w="0" w:type="dxa"/>
              <w:left w:w="108" w:type="dxa"/>
              <w:bottom w:w="0" w:type="dxa"/>
              <w:right w:w="108" w:type="dxa"/>
            </w:tcMar>
            <w:vAlign w:val="bottom"/>
            <w:hideMark/>
          </w:tcPr>
          <w:p w14:paraId="14ED5594" w14:textId="77777777" w:rsidR="00624524" w:rsidRPr="00F31194" w:rsidRDefault="00624524" w:rsidP="00DB7E42">
            <w:pPr>
              <w:spacing w:before="100" w:beforeAutospacing="1" w:after="100" w:afterAutospacing="1"/>
              <w:rPr>
                <w:sz w:val="20"/>
                <w:szCs w:val="20"/>
              </w:rPr>
            </w:pPr>
            <w:r w:rsidRPr="00F31194">
              <w:rPr>
                <w:sz w:val="20"/>
                <w:szCs w:val="20"/>
              </w:rPr>
              <w:t>2020./2021.</w:t>
            </w:r>
          </w:p>
        </w:tc>
        <w:tc>
          <w:tcPr>
            <w:tcW w:w="2416" w:type="dxa"/>
            <w:noWrap/>
            <w:tcMar>
              <w:top w:w="0" w:type="dxa"/>
              <w:left w:w="108" w:type="dxa"/>
              <w:bottom w:w="0" w:type="dxa"/>
              <w:right w:w="108" w:type="dxa"/>
            </w:tcMar>
            <w:vAlign w:val="bottom"/>
            <w:hideMark/>
          </w:tcPr>
          <w:p w14:paraId="6FF8D26C" w14:textId="77777777" w:rsidR="00624524" w:rsidRPr="00F31194" w:rsidRDefault="00624524" w:rsidP="00DB7E42">
            <w:pPr>
              <w:spacing w:before="100" w:beforeAutospacing="1" w:after="100" w:afterAutospacing="1"/>
              <w:jc w:val="center"/>
              <w:rPr>
                <w:sz w:val="20"/>
                <w:szCs w:val="20"/>
              </w:rPr>
            </w:pPr>
            <w:r w:rsidRPr="00F31194">
              <w:rPr>
                <w:sz w:val="20"/>
                <w:szCs w:val="20"/>
              </w:rPr>
              <w:t>2 133 728</w:t>
            </w:r>
          </w:p>
        </w:tc>
        <w:tc>
          <w:tcPr>
            <w:tcW w:w="2152" w:type="dxa"/>
            <w:noWrap/>
            <w:tcMar>
              <w:top w:w="0" w:type="dxa"/>
              <w:left w:w="108" w:type="dxa"/>
              <w:bottom w:w="0" w:type="dxa"/>
              <w:right w:w="108" w:type="dxa"/>
            </w:tcMar>
            <w:vAlign w:val="bottom"/>
            <w:hideMark/>
          </w:tcPr>
          <w:p w14:paraId="37AD7A43" w14:textId="77777777" w:rsidR="00624524" w:rsidRPr="00F31194" w:rsidRDefault="00624524" w:rsidP="00DB7E42">
            <w:pPr>
              <w:spacing w:before="100" w:beforeAutospacing="1" w:after="100" w:afterAutospacing="1"/>
              <w:jc w:val="center"/>
              <w:rPr>
                <w:sz w:val="20"/>
                <w:szCs w:val="20"/>
              </w:rPr>
            </w:pPr>
            <w:r w:rsidRPr="00F31194">
              <w:rPr>
                <w:sz w:val="20"/>
                <w:szCs w:val="20"/>
              </w:rPr>
              <w:t>1 706 982</w:t>
            </w:r>
          </w:p>
        </w:tc>
        <w:tc>
          <w:tcPr>
            <w:tcW w:w="2127" w:type="dxa"/>
            <w:noWrap/>
            <w:tcMar>
              <w:top w:w="0" w:type="dxa"/>
              <w:left w:w="108" w:type="dxa"/>
              <w:bottom w:w="0" w:type="dxa"/>
              <w:right w:w="108" w:type="dxa"/>
            </w:tcMar>
            <w:vAlign w:val="bottom"/>
            <w:hideMark/>
          </w:tcPr>
          <w:p w14:paraId="15382E17" w14:textId="77777777" w:rsidR="00624524" w:rsidRPr="00F31194" w:rsidRDefault="00624524" w:rsidP="00DB7E42">
            <w:pPr>
              <w:spacing w:before="100" w:beforeAutospacing="1" w:after="100" w:afterAutospacing="1"/>
              <w:rPr>
                <w:sz w:val="20"/>
                <w:szCs w:val="20"/>
              </w:rPr>
            </w:pPr>
            <w:r w:rsidRPr="00F31194">
              <w:rPr>
                <w:sz w:val="20"/>
                <w:szCs w:val="20"/>
              </w:rPr>
              <w:t>20%/80%</w:t>
            </w:r>
          </w:p>
        </w:tc>
      </w:tr>
      <w:tr w:rsidR="00624524" w:rsidRPr="00B474C5" w14:paraId="4B7AA235" w14:textId="77777777" w:rsidTr="006319EE">
        <w:trPr>
          <w:trHeight w:val="288"/>
        </w:trPr>
        <w:tc>
          <w:tcPr>
            <w:tcW w:w="1659" w:type="dxa"/>
            <w:noWrap/>
            <w:tcMar>
              <w:top w:w="0" w:type="dxa"/>
              <w:left w:w="108" w:type="dxa"/>
              <w:bottom w:w="0" w:type="dxa"/>
              <w:right w:w="108" w:type="dxa"/>
            </w:tcMar>
            <w:vAlign w:val="bottom"/>
            <w:hideMark/>
          </w:tcPr>
          <w:p w14:paraId="4B9460CD" w14:textId="77777777" w:rsidR="00624524" w:rsidRPr="00F31194" w:rsidRDefault="00624524" w:rsidP="00DB7E42">
            <w:pPr>
              <w:spacing w:before="100" w:beforeAutospacing="1" w:after="100" w:afterAutospacing="1"/>
              <w:rPr>
                <w:sz w:val="20"/>
                <w:szCs w:val="20"/>
              </w:rPr>
            </w:pPr>
            <w:r w:rsidRPr="00F31194">
              <w:rPr>
                <w:sz w:val="20"/>
                <w:szCs w:val="20"/>
              </w:rPr>
              <w:t>2021./2022.</w:t>
            </w:r>
          </w:p>
        </w:tc>
        <w:tc>
          <w:tcPr>
            <w:tcW w:w="2416" w:type="dxa"/>
            <w:noWrap/>
            <w:tcMar>
              <w:top w:w="0" w:type="dxa"/>
              <w:left w:w="108" w:type="dxa"/>
              <w:bottom w:w="0" w:type="dxa"/>
              <w:right w:w="108" w:type="dxa"/>
            </w:tcMar>
            <w:vAlign w:val="bottom"/>
            <w:hideMark/>
          </w:tcPr>
          <w:p w14:paraId="1652649A" w14:textId="77777777" w:rsidR="00624524" w:rsidRPr="00F31194" w:rsidRDefault="00624524" w:rsidP="00DB7E42">
            <w:pPr>
              <w:spacing w:before="100" w:beforeAutospacing="1" w:after="100" w:afterAutospacing="1"/>
              <w:jc w:val="center"/>
              <w:rPr>
                <w:sz w:val="20"/>
                <w:szCs w:val="20"/>
              </w:rPr>
            </w:pPr>
            <w:r w:rsidRPr="00F31194">
              <w:rPr>
                <w:sz w:val="20"/>
                <w:szCs w:val="20"/>
              </w:rPr>
              <w:t>2 000 000</w:t>
            </w:r>
          </w:p>
        </w:tc>
        <w:tc>
          <w:tcPr>
            <w:tcW w:w="2152" w:type="dxa"/>
            <w:noWrap/>
            <w:tcMar>
              <w:top w:w="0" w:type="dxa"/>
              <w:left w:w="108" w:type="dxa"/>
              <w:bottom w:w="0" w:type="dxa"/>
              <w:right w:w="108" w:type="dxa"/>
            </w:tcMar>
            <w:vAlign w:val="bottom"/>
            <w:hideMark/>
          </w:tcPr>
          <w:p w14:paraId="71EA3066" w14:textId="77777777" w:rsidR="00624524" w:rsidRPr="00F31194" w:rsidRDefault="00624524" w:rsidP="00DB7E42">
            <w:pPr>
              <w:spacing w:before="100" w:beforeAutospacing="1" w:after="100" w:afterAutospacing="1"/>
              <w:jc w:val="center"/>
              <w:rPr>
                <w:sz w:val="20"/>
                <w:szCs w:val="20"/>
              </w:rPr>
            </w:pPr>
            <w:r w:rsidRPr="00F31194">
              <w:rPr>
                <w:sz w:val="20"/>
                <w:szCs w:val="20"/>
              </w:rPr>
              <w:t>1 600 000</w:t>
            </w:r>
          </w:p>
        </w:tc>
        <w:tc>
          <w:tcPr>
            <w:tcW w:w="2127" w:type="dxa"/>
            <w:noWrap/>
            <w:tcMar>
              <w:top w:w="0" w:type="dxa"/>
              <w:left w:w="108" w:type="dxa"/>
              <w:bottom w:w="0" w:type="dxa"/>
              <w:right w:w="108" w:type="dxa"/>
            </w:tcMar>
            <w:vAlign w:val="bottom"/>
            <w:hideMark/>
          </w:tcPr>
          <w:p w14:paraId="404FABB2" w14:textId="77777777" w:rsidR="00624524" w:rsidRPr="00F31194" w:rsidRDefault="00624524" w:rsidP="00DB7E42">
            <w:pPr>
              <w:spacing w:before="100" w:beforeAutospacing="1" w:after="100" w:afterAutospacing="1"/>
              <w:rPr>
                <w:sz w:val="20"/>
                <w:szCs w:val="20"/>
              </w:rPr>
            </w:pPr>
            <w:r w:rsidRPr="00F31194">
              <w:rPr>
                <w:sz w:val="20"/>
                <w:szCs w:val="20"/>
              </w:rPr>
              <w:t>20%/80%</w:t>
            </w:r>
          </w:p>
        </w:tc>
      </w:tr>
      <w:tr w:rsidR="00624524" w:rsidRPr="00B474C5" w14:paraId="1C8C698D" w14:textId="77777777" w:rsidTr="006319EE">
        <w:trPr>
          <w:trHeight w:val="288"/>
        </w:trPr>
        <w:tc>
          <w:tcPr>
            <w:tcW w:w="1659" w:type="dxa"/>
            <w:noWrap/>
            <w:tcMar>
              <w:top w:w="0" w:type="dxa"/>
              <w:left w:w="108" w:type="dxa"/>
              <w:bottom w:w="0" w:type="dxa"/>
              <w:right w:w="108" w:type="dxa"/>
            </w:tcMar>
            <w:vAlign w:val="bottom"/>
            <w:hideMark/>
          </w:tcPr>
          <w:p w14:paraId="3AAD9D3A" w14:textId="77777777" w:rsidR="00624524" w:rsidRPr="00F31194" w:rsidRDefault="00624524" w:rsidP="00DB7E42">
            <w:pPr>
              <w:spacing w:before="100" w:beforeAutospacing="1" w:after="100" w:afterAutospacing="1"/>
              <w:rPr>
                <w:sz w:val="20"/>
                <w:szCs w:val="20"/>
              </w:rPr>
            </w:pPr>
            <w:r w:rsidRPr="00F31194">
              <w:rPr>
                <w:sz w:val="20"/>
                <w:szCs w:val="20"/>
              </w:rPr>
              <w:t>2022. /2023.</w:t>
            </w:r>
          </w:p>
        </w:tc>
        <w:tc>
          <w:tcPr>
            <w:tcW w:w="2416" w:type="dxa"/>
            <w:noWrap/>
            <w:tcMar>
              <w:top w:w="0" w:type="dxa"/>
              <w:left w:w="108" w:type="dxa"/>
              <w:bottom w:w="0" w:type="dxa"/>
              <w:right w:w="108" w:type="dxa"/>
            </w:tcMar>
            <w:vAlign w:val="bottom"/>
            <w:hideMark/>
          </w:tcPr>
          <w:p w14:paraId="317588F9" w14:textId="77777777" w:rsidR="00624524" w:rsidRPr="00F31194" w:rsidRDefault="00624524" w:rsidP="00DB7E42">
            <w:pPr>
              <w:spacing w:before="100" w:beforeAutospacing="1" w:after="100" w:afterAutospacing="1"/>
              <w:jc w:val="center"/>
              <w:rPr>
                <w:sz w:val="20"/>
                <w:szCs w:val="20"/>
              </w:rPr>
            </w:pPr>
            <w:r w:rsidRPr="00F31194">
              <w:rPr>
                <w:sz w:val="20"/>
                <w:szCs w:val="20"/>
              </w:rPr>
              <w:t>2 000 000</w:t>
            </w:r>
          </w:p>
        </w:tc>
        <w:tc>
          <w:tcPr>
            <w:tcW w:w="2152" w:type="dxa"/>
            <w:noWrap/>
            <w:tcMar>
              <w:top w:w="0" w:type="dxa"/>
              <w:left w:w="108" w:type="dxa"/>
              <w:bottom w:w="0" w:type="dxa"/>
              <w:right w:w="108" w:type="dxa"/>
            </w:tcMar>
            <w:vAlign w:val="bottom"/>
            <w:hideMark/>
          </w:tcPr>
          <w:p w14:paraId="05147634" w14:textId="77777777" w:rsidR="00624524" w:rsidRPr="00F31194" w:rsidRDefault="00624524" w:rsidP="00DB7E42">
            <w:pPr>
              <w:spacing w:before="100" w:beforeAutospacing="1" w:after="100" w:afterAutospacing="1"/>
              <w:jc w:val="center"/>
              <w:rPr>
                <w:sz w:val="20"/>
                <w:szCs w:val="20"/>
              </w:rPr>
            </w:pPr>
            <w:r w:rsidRPr="00F31194">
              <w:rPr>
                <w:sz w:val="20"/>
                <w:szCs w:val="20"/>
              </w:rPr>
              <w:t>1 600 000</w:t>
            </w:r>
          </w:p>
        </w:tc>
        <w:tc>
          <w:tcPr>
            <w:tcW w:w="2127" w:type="dxa"/>
            <w:noWrap/>
            <w:tcMar>
              <w:top w:w="0" w:type="dxa"/>
              <w:left w:w="108" w:type="dxa"/>
              <w:bottom w:w="0" w:type="dxa"/>
              <w:right w:w="108" w:type="dxa"/>
            </w:tcMar>
            <w:vAlign w:val="bottom"/>
            <w:hideMark/>
          </w:tcPr>
          <w:p w14:paraId="7D074FC6" w14:textId="77777777" w:rsidR="00624524" w:rsidRPr="00F31194" w:rsidRDefault="00624524" w:rsidP="00DB7E42">
            <w:pPr>
              <w:spacing w:before="100" w:beforeAutospacing="1" w:after="100" w:afterAutospacing="1"/>
              <w:rPr>
                <w:sz w:val="20"/>
                <w:szCs w:val="20"/>
              </w:rPr>
            </w:pPr>
            <w:r w:rsidRPr="00F31194">
              <w:rPr>
                <w:sz w:val="20"/>
                <w:szCs w:val="20"/>
              </w:rPr>
              <w:t>20%/80%</w:t>
            </w:r>
          </w:p>
        </w:tc>
      </w:tr>
    </w:tbl>
    <w:p w14:paraId="1CB201C1" w14:textId="77777777" w:rsidR="006319EE" w:rsidRDefault="006319EE" w:rsidP="00CA26CA">
      <w:pPr>
        <w:pStyle w:val="tv213"/>
        <w:spacing w:before="0" w:beforeAutospacing="0" w:after="0" w:afterAutospacing="0"/>
        <w:jc w:val="right"/>
      </w:pPr>
    </w:p>
    <w:p w14:paraId="223C9151" w14:textId="762FB99A" w:rsidR="00CA26CA" w:rsidRPr="0027525F" w:rsidRDefault="00FF24A3" w:rsidP="00CA26CA">
      <w:pPr>
        <w:pStyle w:val="tv213"/>
        <w:spacing w:before="0" w:beforeAutospacing="0" w:after="0" w:afterAutospacing="0"/>
        <w:jc w:val="right"/>
      </w:pPr>
      <w:r>
        <w:t xml:space="preserve">9. </w:t>
      </w:r>
      <w:r w:rsidR="00CA26CA" w:rsidRPr="0027525F">
        <w:t>tabula</w:t>
      </w:r>
    </w:p>
    <w:p w14:paraId="40C7D697" w14:textId="77777777" w:rsidR="00624524" w:rsidRDefault="00624524" w:rsidP="00F31194">
      <w:pPr>
        <w:pStyle w:val="tv213"/>
        <w:spacing w:before="0" w:beforeAutospacing="0" w:after="0" w:afterAutospacing="0"/>
        <w:rPr>
          <w:b/>
        </w:rPr>
      </w:pPr>
    </w:p>
    <w:p w14:paraId="72EE647D" w14:textId="045C1FB9" w:rsidR="00903DD5" w:rsidRPr="00F31194" w:rsidRDefault="00903DD5" w:rsidP="00F31194">
      <w:pPr>
        <w:pStyle w:val="tv213"/>
        <w:spacing w:before="0" w:beforeAutospacing="0" w:after="0" w:afterAutospacing="0"/>
        <w:jc w:val="center"/>
        <w:rPr>
          <w:b/>
        </w:rPr>
      </w:pPr>
      <w:r w:rsidRPr="00F31194">
        <w:rPr>
          <w:b/>
        </w:rPr>
        <w:t>Prognozētās iegādes un uzstādīšanas izmaksas</w:t>
      </w:r>
    </w:p>
    <w:p w14:paraId="3E920E0A" w14:textId="77777777" w:rsidR="00903DD5" w:rsidRDefault="00903DD5" w:rsidP="007577EF"/>
    <w:tbl>
      <w:tblPr>
        <w:tblStyle w:val="TableGrid"/>
        <w:tblW w:w="9214" w:type="dxa"/>
        <w:tblInd w:w="-714" w:type="dxa"/>
        <w:tblLook w:val="04A0" w:firstRow="1" w:lastRow="0" w:firstColumn="1" w:lastColumn="0" w:noHBand="0" w:noVBand="1"/>
      </w:tblPr>
      <w:tblGrid>
        <w:gridCol w:w="1135"/>
        <w:gridCol w:w="1417"/>
        <w:gridCol w:w="1276"/>
        <w:gridCol w:w="1417"/>
        <w:gridCol w:w="1429"/>
        <w:gridCol w:w="1256"/>
        <w:gridCol w:w="1284"/>
      </w:tblGrid>
      <w:tr w:rsidR="009D6ADB" w14:paraId="4E39F201" w14:textId="38E2F06B" w:rsidTr="009D6ADB">
        <w:tc>
          <w:tcPr>
            <w:tcW w:w="1135" w:type="dxa"/>
            <w:vMerge w:val="restart"/>
            <w:vAlign w:val="center"/>
          </w:tcPr>
          <w:p w14:paraId="3C20BA91" w14:textId="1E33747C" w:rsidR="009D6ADB" w:rsidRPr="00F31194" w:rsidRDefault="009D6ADB" w:rsidP="004E4B14">
            <w:pPr>
              <w:jc w:val="center"/>
              <w:rPr>
                <w:sz w:val="20"/>
                <w:szCs w:val="20"/>
              </w:rPr>
            </w:pPr>
            <w:r w:rsidRPr="00F31194">
              <w:rPr>
                <w:sz w:val="20"/>
                <w:szCs w:val="20"/>
              </w:rPr>
              <w:t>GADS</w:t>
            </w:r>
          </w:p>
        </w:tc>
        <w:tc>
          <w:tcPr>
            <w:tcW w:w="1417" w:type="dxa"/>
            <w:vMerge w:val="restart"/>
            <w:vAlign w:val="center"/>
          </w:tcPr>
          <w:p w14:paraId="5739387F" w14:textId="77777777" w:rsidR="009D6ADB" w:rsidRPr="00F31194" w:rsidRDefault="009D6ADB" w:rsidP="004E4B14">
            <w:pPr>
              <w:jc w:val="center"/>
              <w:rPr>
                <w:sz w:val="20"/>
                <w:szCs w:val="20"/>
              </w:rPr>
            </w:pPr>
            <w:r w:rsidRPr="00F31194">
              <w:rPr>
                <w:sz w:val="20"/>
                <w:szCs w:val="20"/>
              </w:rPr>
              <w:t>Vietas izbūve</w:t>
            </w:r>
          </w:p>
          <w:p w14:paraId="4EA216EE" w14:textId="2FEF4559" w:rsidR="009D6ADB" w:rsidRPr="00F31194" w:rsidRDefault="009D6ADB" w:rsidP="004E4B14">
            <w:pPr>
              <w:jc w:val="center"/>
              <w:rPr>
                <w:sz w:val="20"/>
                <w:szCs w:val="20"/>
              </w:rPr>
            </w:pPr>
            <w:r w:rsidRPr="00F31194">
              <w:rPr>
                <w:sz w:val="20"/>
                <w:szCs w:val="20"/>
              </w:rPr>
              <w:t xml:space="preserve">(14 800 </w:t>
            </w:r>
            <w:r w:rsidRPr="00F31194">
              <w:rPr>
                <w:i/>
                <w:sz w:val="20"/>
                <w:szCs w:val="20"/>
              </w:rPr>
              <w:t>euro</w:t>
            </w:r>
            <w:r w:rsidRPr="00F31194">
              <w:rPr>
                <w:sz w:val="20"/>
                <w:szCs w:val="20"/>
              </w:rPr>
              <w:t>)</w:t>
            </w:r>
          </w:p>
        </w:tc>
        <w:tc>
          <w:tcPr>
            <w:tcW w:w="1276" w:type="dxa"/>
            <w:vMerge w:val="restart"/>
            <w:vAlign w:val="center"/>
          </w:tcPr>
          <w:p w14:paraId="33BE8993" w14:textId="77777777" w:rsidR="009D6ADB" w:rsidRPr="00F31194" w:rsidRDefault="009D6ADB" w:rsidP="004E4B14">
            <w:pPr>
              <w:jc w:val="center"/>
              <w:rPr>
                <w:sz w:val="20"/>
                <w:szCs w:val="20"/>
              </w:rPr>
            </w:pPr>
            <w:r w:rsidRPr="00F31194">
              <w:rPr>
                <w:sz w:val="20"/>
                <w:szCs w:val="20"/>
              </w:rPr>
              <w:t>Mulāžas</w:t>
            </w:r>
          </w:p>
          <w:p w14:paraId="542EB4CE" w14:textId="77777777" w:rsidR="009D6ADB" w:rsidRPr="00F31194" w:rsidRDefault="009D6ADB" w:rsidP="004E4B14">
            <w:pPr>
              <w:jc w:val="center"/>
              <w:rPr>
                <w:sz w:val="20"/>
                <w:szCs w:val="20"/>
              </w:rPr>
            </w:pPr>
            <w:r w:rsidRPr="00F31194">
              <w:rPr>
                <w:sz w:val="20"/>
                <w:szCs w:val="20"/>
              </w:rPr>
              <w:t>iegādes izmaksas</w:t>
            </w:r>
          </w:p>
          <w:p w14:paraId="3DFE318F" w14:textId="1EDB2A2A" w:rsidR="009D6ADB" w:rsidRPr="00F31194" w:rsidRDefault="009D6ADB" w:rsidP="004E4B14">
            <w:pPr>
              <w:jc w:val="center"/>
              <w:rPr>
                <w:sz w:val="20"/>
                <w:szCs w:val="20"/>
              </w:rPr>
            </w:pPr>
            <w:r w:rsidRPr="00F31194">
              <w:rPr>
                <w:sz w:val="20"/>
                <w:szCs w:val="20"/>
              </w:rPr>
              <w:t xml:space="preserve">(5012 </w:t>
            </w:r>
            <w:r w:rsidRPr="00F31194">
              <w:rPr>
                <w:i/>
                <w:sz w:val="20"/>
                <w:szCs w:val="20"/>
              </w:rPr>
              <w:t>euro</w:t>
            </w:r>
            <w:r w:rsidRPr="00F31194">
              <w:rPr>
                <w:sz w:val="20"/>
                <w:szCs w:val="20"/>
              </w:rPr>
              <w:t>)</w:t>
            </w:r>
          </w:p>
        </w:tc>
        <w:tc>
          <w:tcPr>
            <w:tcW w:w="1417" w:type="dxa"/>
            <w:vMerge w:val="restart"/>
            <w:vAlign w:val="center"/>
          </w:tcPr>
          <w:p w14:paraId="58ED533D" w14:textId="2D10E0AB" w:rsidR="009D6ADB" w:rsidRPr="00F31194" w:rsidRDefault="009D6ADB" w:rsidP="004E4B14">
            <w:pPr>
              <w:jc w:val="center"/>
              <w:rPr>
                <w:sz w:val="20"/>
                <w:szCs w:val="20"/>
              </w:rPr>
            </w:pPr>
            <w:r w:rsidRPr="00F31194">
              <w:rPr>
                <w:sz w:val="20"/>
                <w:szCs w:val="20"/>
              </w:rPr>
              <w:t>Fotoradara iegādes izmaksas</w:t>
            </w:r>
          </w:p>
          <w:p w14:paraId="3B568286" w14:textId="524880C1" w:rsidR="009D6ADB" w:rsidRPr="00F31194" w:rsidRDefault="009D6ADB" w:rsidP="004E4B14">
            <w:pPr>
              <w:jc w:val="center"/>
              <w:rPr>
                <w:sz w:val="20"/>
                <w:szCs w:val="20"/>
              </w:rPr>
            </w:pPr>
            <w:r w:rsidRPr="00F31194">
              <w:rPr>
                <w:sz w:val="20"/>
                <w:szCs w:val="20"/>
              </w:rPr>
              <w:t xml:space="preserve">(64 463 </w:t>
            </w:r>
            <w:r w:rsidRPr="00F31194">
              <w:rPr>
                <w:i/>
                <w:sz w:val="20"/>
                <w:szCs w:val="20"/>
              </w:rPr>
              <w:t>euro</w:t>
            </w:r>
            <w:r w:rsidRPr="00F31194">
              <w:rPr>
                <w:sz w:val="20"/>
                <w:szCs w:val="20"/>
              </w:rPr>
              <w:t>)</w:t>
            </w:r>
          </w:p>
        </w:tc>
        <w:tc>
          <w:tcPr>
            <w:tcW w:w="1429" w:type="dxa"/>
            <w:vMerge w:val="restart"/>
            <w:vAlign w:val="center"/>
          </w:tcPr>
          <w:p w14:paraId="22F64AE0" w14:textId="56D22FDA" w:rsidR="009D6ADB" w:rsidRPr="00F31194" w:rsidRDefault="009D6ADB" w:rsidP="004E4B14">
            <w:pPr>
              <w:jc w:val="center"/>
              <w:rPr>
                <w:sz w:val="20"/>
                <w:szCs w:val="20"/>
              </w:rPr>
            </w:pPr>
            <w:r w:rsidRPr="00F31194">
              <w:rPr>
                <w:sz w:val="20"/>
                <w:szCs w:val="20"/>
              </w:rPr>
              <w:t>KOPĀ</w:t>
            </w:r>
          </w:p>
        </w:tc>
        <w:tc>
          <w:tcPr>
            <w:tcW w:w="2540" w:type="dxa"/>
            <w:gridSpan w:val="2"/>
            <w:vAlign w:val="center"/>
          </w:tcPr>
          <w:p w14:paraId="752E19C0" w14:textId="21691288" w:rsidR="009D6ADB" w:rsidRPr="00F31194" w:rsidRDefault="009D6ADB" w:rsidP="004E4B14">
            <w:pPr>
              <w:jc w:val="center"/>
              <w:rPr>
                <w:sz w:val="20"/>
                <w:szCs w:val="20"/>
              </w:rPr>
            </w:pPr>
            <w:r w:rsidRPr="00F31194">
              <w:rPr>
                <w:sz w:val="20"/>
                <w:szCs w:val="20"/>
              </w:rPr>
              <w:t>Finansēšanas avots</w:t>
            </w:r>
          </w:p>
        </w:tc>
      </w:tr>
      <w:tr w:rsidR="009D6ADB" w14:paraId="0EA357EA" w14:textId="77777777" w:rsidTr="009D6ADB">
        <w:tc>
          <w:tcPr>
            <w:tcW w:w="1135" w:type="dxa"/>
            <w:vMerge/>
          </w:tcPr>
          <w:p w14:paraId="0714198C" w14:textId="77777777" w:rsidR="009D6ADB" w:rsidRPr="00F31194" w:rsidRDefault="009D6ADB" w:rsidP="007577EF">
            <w:pPr>
              <w:rPr>
                <w:sz w:val="20"/>
                <w:szCs w:val="20"/>
              </w:rPr>
            </w:pPr>
          </w:p>
        </w:tc>
        <w:tc>
          <w:tcPr>
            <w:tcW w:w="1417" w:type="dxa"/>
            <w:vMerge/>
          </w:tcPr>
          <w:p w14:paraId="2924D10C" w14:textId="77777777" w:rsidR="009D6ADB" w:rsidRPr="00F31194" w:rsidRDefault="009D6ADB" w:rsidP="007577EF">
            <w:pPr>
              <w:rPr>
                <w:sz w:val="20"/>
                <w:szCs w:val="20"/>
              </w:rPr>
            </w:pPr>
          </w:p>
        </w:tc>
        <w:tc>
          <w:tcPr>
            <w:tcW w:w="1276" w:type="dxa"/>
            <w:vMerge/>
          </w:tcPr>
          <w:p w14:paraId="04749440" w14:textId="77777777" w:rsidR="009D6ADB" w:rsidRPr="00F31194" w:rsidRDefault="009D6ADB" w:rsidP="007577EF">
            <w:pPr>
              <w:rPr>
                <w:sz w:val="20"/>
                <w:szCs w:val="20"/>
              </w:rPr>
            </w:pPr>
          </w:p>
        </w:tc>
        <w:tc>
          <w:tcPr>
            <w:tcW w:w="1417" w:type="dxa"/>
            <w:vMerge/>
          </w:tcPr>
          <w:p w14:paraId="07681B64" w14:textId="77777777" w:rsidR="009D6ADB" w:rsidRPr="00F31194" w:rsidRDefault="009D6ADB" w:rsidP="007577EF">
            <w:pPr>
              <w:rPr>
                <w:sz w:val="20"/>
                <w:szCs w:val="20"/>
              </w:rPr>
            </w:pPr>
          </w:p>
        </w:tc>
        <w:tc>
          <w:tcPr>
            <w:tcW w:w="1429" w:type="dxa"/>
            <w:vMerge/>
          </w:tcPr>
          <w:p w14:paraId="3FEF9163" w14:textId="77777777" w:rsidR="009D6ADB" w:rsidRPr="00F31194" w:rsidRDefault="009D6ADB" w:rsidP="007577EF">
            <w:pPr>
              <w:rPr>
                <w:sz w:val="20"/>
                <w:szCs w:val="20"/>
              </w:rPr>
            </w:pPr>
          </w:p>
        </w:tc>
        <w:tc>
          <w:tcPr>
            <w:tcW w:w="1256" w:type="dxa"/>
            <w:vAlign w:val="center"/>
          </w:tcPr>
          <w:p w14:paraId="64A9566F" w14:textId="39347AB3" w:rsidR="009D6ADB" w:rsidRPr="00F31194" w:rsidRDefault="009D6ADB" w:rsidP="00452F38">
            <w:pPr>
              <w:jc w:val="center"/>
              <w:rPr>
                <w:sz w:val="20"/>
                <w:szCs w:val="20"/>
              </w:rPr>
            </w:pPr>
            <w:r w:rsidRPr="00F31194">
              <w:rPr>
                <w:sz w:val="20"/>
                <w:szCs w:val="20"/>
              </w:rPr>
              <w:t>dividendes</w:t>
            </w:r>
          </w:p>
        </w:tc>
        <w:tc>
          <w:tcPr>
            <w:tcW w:w="1284" w:type="dxa"/>
            <w:vAlign w:val="center"/>
          </w:tcPr>
          <w:p w14:paraId="4F65C780" w14:textId="77B7398A" w:rsidR="009D6ADB" w:rsidRPr="00F31194" w:rsidRDefault="009D6ADB" w:rsidP="00452F38">
            <w:pPr>
              <w:jc w:val="center"/>
              <w:rPr>
                <w:sz w:val="20"/>
                <w:szCs w:val="20"/>
              </w:rPr>
            </w:pPr>
            <w:r w:rsidRPr="00F31194">
              <w:rPr>
                <w:sz w:val="20"/>
                <w:szCs w:val="20"/>
              </w:rPr>
              <w:t>nolietojuma uzkrājums</w:t>
            </w:r>
          </w:p>
        </w:tc>
      </w:tr>
      <w:tr w:rsidR="00D25704" w14:paraId="3F899684" w14:textId="049ED5A3" w:rsidTr="009D6ADB">
        <w:tc>
          <w:tcPr>
            <w:tcW w:w="1135" w:type="dxa"/>
          </w:tcPr>
          <w:p w14:paraId="2005DFB7" w14:textId="2FB09B27" w:rsidR="00D25704" w:rsidRPr="004E4B14" w:rsidRDefault="00D25704" w:rsidP="004E4B14">
            <w:pPr>
              <w:jc w:val="center"/>
              <w:rPr>
                <w:b/>
                <w:sz w:val="20"/>
                <w:szCs w:val="20"/>
              </w:rPr>
            </w:pPr>
            <w:r w:rsidRPr="004E4B14">
              <w:rPr>
                <w:b/>
                <w:sz w:val="20"/>
                <w:szCs w:val="20"/>
              </w:rPr>
              <w:t>2021</w:t>
            </w:r>
          </w:p>
        </w:tc>
        <w:tc>
          <w:tcPr>
            <w:tcW w:w="1417" w:type="dxa"/>
          </w:tcPr>
          <w:p w14:paraId="1C643C22" w14:textId="77777777" w:rsidR="00D25704" w:rsidRPr="00F31194" w:rsidRDefault="00D25704" w:rsidP="007577EF">
            <w:pPr>
              <w:rPr>
                <w:sz w:val="20"/>
                <w:szCs w:val="20"/>
              </w:rPr>
            </w:pPr>
          </w:p>
        </w:tc>
        <w:tc>
          <w:tcPr>
            <w:tcW w:w="1276" w:type="dxa"/>
          </w:tcPr>
          <w:p w14:paraId="74CD4553" w14:textId="77777777" w:rsidR="00D25704" w:rsidRPr="00F31194" w:rsidRDefault="00D25704" w:rsidP="007577EF">
            <w:pPr>
              <w:rPr>
                <w:sz w:val="20"/>
                <w:szCs w:val="20"/>
              </w:rPr>
            </w:pPr>
          </w:p>
        </w:tc>
        <w:tc>
          <w:tcPr>
            <w:tcW w:w="1417" w:type="dxa"/>
          </w:tcPr>
          <w:p w14:paraId="4C63B739" w14:textId="5BC02160" w:rsidR="00D25704" w:rsidRPr="00F31194" w:rsidRDefault="00D25704" w:rsidP="007577EF">
            <w:pPr>
              <w:rPr>
                <w:sz w:val="20"/>
                <w:szCs w:val="20"/>
              </w:rPr>
            </w:pPr>
          </w:p>
        </w:tc>
        <w:tc>
          <w:tcPr>
            <w:tcW w:w="1429" w:type="dxa"/>
          </w:tcPr>
          <w:p w14:paraId="58275E94" w14:textId="77777777" w:rsidR="00D25704" w:rsidRPr="00F31194" w:rsidRDefault="00D25704" w:rsidP="007577EF">
            <w:pPr>
              <w:rPr>
                <w:sz w:val="20"/>
                <w:szCs w:val="20"/>
              </w:rPr>
            </w:pPr>
          </w:p>
        </w:tc>
        <w:tc>
          <w:tcPr>
            <w:tcW w:w="1256" w:type="dxa"/>
          </w:tcPr>
          <w:p w14:paraId="3E75D59D" w14:textId="77777777" w:rsidR="00D25704" w:rsidRPr="00F31194" w:rsidRDefault="00D25704" w:rsidP="007577EF">
            <w:pPr>
              <w:rPr>
                <w:sz w:val="20"/>
                <w:szCs w:val="20"/>
              </w:rPr>
            </w:pPr>
          </w:p>
        </w:tc>
        <w:tc>
          <w:tcPr>
            <w:tcW w:w="1284" w:type="dxa"/>
          </w:tcPr>
          <w:p w14:paraId="5C767D7E" w14:textId="77777777" w:rsidR="00D25704" w:rsidRPr="00F31194" w:rsidRDefault="00D25704" w:rsidP="007577EF">
            <w:pPr>
              <w:rPr>
                <w:sz w:val="20"/>
                <w:szCs w:val="20"/>
              </w:rPr>
            </w:pPr>
          </w:p>
        </w:tc>
      </w:tr>
      <w:tr w:rsidR="00D25704" w14:paraId="129E1494" w14:textId="48B93C37" w:rsidTr="009D6ADB">
        <w:tc>
          <w:tcPr>
            <w:tcW w:w="1135" w:type="dxa"/>
          </w:tcPr>
          <w:p w14:paraId="1C6017B4" w14:textId="3AED631B" w:rsidR="00D25704" w:rsidRPr="00F31194" w:rsidRDefault="00D25704" w:rsidP="007577EF">
            <w:pPr>
              <w:rPr>
                <w:sz w:val="20"/>
                <w:szCs w:val="20"/>
              </w:rPr>
            </w:pPr>
            <w:r w:rsidRPr="00F31194">
              <w:rPr>
                <w:sz w:val="20"/>
                <w:szCs w:val="20"/>
              </w:rPr>
              <w:t>skaits</w:t>
            </w:r>
          </w:p>
        </w:tc>
        <w:tc>
          <w:tcPr>
            <w:tcW w:w="1417" w:type="dxa"/>
            <w:vAlign w:val="center"/>
          </w:tcPr>
          <w:p w14:paraId="2D7A0E63" w14:textId="4CF0F24A" w:rsidR="00D25704" w:rsidRPr="00F31194" w:rsidRDefault="00D25704" w:rsidP="009D6ADB">
            <w:pPr>
              <w:jc w:val="center"/>
              <w:rPr>
                <w:sz w:val="20"/>
                <w:szCs w:val="20"/>
              </w:rPr>
            </w:pPr>
            <w:r w:rsidRPr="00F31194">
              <w:rPr>
                <w:sz w:val="20"/>
                <w:szCs w:val="20"/>
              </w:rPr>
              <w:t>30</w:t>
            </w:r>
          </w:p>
        </w:tc>
        <w:tc>
          <w:tcPr>
            <w:tcW w:w="1276" w:type="dxa"/>
            <w:vAlign w:val="center"/>
          </w:tcPr>
          <w:p w14:paraId="75BE15AF" w14:textId="528BDAA5" w:rsidR="00D25704" w:rsidRPr="00F31194" w:rsidRDefault="00D25704" w:rsidP="009D6ADB">
            <w:pPr>
              <w:jc w:val="center"/>
              <w:rPr>
                <w:sz w:val="20"/>
                <w:szCs w:val="20"/>
              </w:rPr>
            </w:pPr>
            <w:r w:rsidRPr="00F31194">
              <w:rPr>
                <w:sz w:val="20"/>
                <w:szCs w:val="20"/>
              </w:rPr>
              <w:t>15</w:t>
            </w:r>
          </w:p>
        </w:tc>
        <w:tc>
          <w:tcPr>
            <w:tcW w:w="1417" w:type="dxa"/>
            <w:vAlign w:val="center"/>
          </w:tcPr>
          <w:p w14:paraId="3E86B612" w14:textId="5A4FDD02" w:rsidR="00D25704" w:rsidRPr="00F31194" w:rsidRDefault="00D25704" w:rsidP="009D6ADB">
            <w:pPr>
              <w:jc w:val="center"/>
              <w:rPr>
                <w:sz w:val="20"/>
                <w:szCs w:val="20"/>
              </w:rPr>
            </w:pPr>
            <w:r w:rsidRPr="00F31194">
              <w:rPr>
                <w:sz w:val="20"/>
                <w:szCs w:val="20"/>
              </w:rPr>
              <w:t>15</w:t>
            </w:r>
          </w:p>
        </w:tc>
        <w:tc>
          <w:tcPr>
            <w:tcW w:w="1429" w:type="dxa"/>
            <w:vAlign w:val="center"/>
          </w:tcPr>
          <w:p w14:paraId="17B71120" w14:textId="44DE733D" w:rsidR="00D25704" w:rsidRPr="00F31194" w:rsidRDefault="00D25704" w:rsidP="009D6ADB">
            <w:pPr>
              <w:jc w:val="center"/>
              <w:rPr>
                <w:sz w:val="20"/>
                <w:szCs w:val="20"/>
              </w:rPr>
            </w:pPr>
            <w:r w:rsidRPr="00F31194">
              <w:rPr>
                <w:sz w:val="20"/>
                <w:szCs w:val="20"/>
              </w:rPr>
              <w:t>30</w:t>
            </w:r>
          </w:p>
        </w:tc>
        <w:tc>
          <w:tcPr>
            <w:tcW w:w="1256" w:type="dxa"/>
            <w:vAlign w:val="center"/>
          </w:tcPr>
          <w:p w14:paraId="538CA779" w14:textId="77777777" w:rsidR="00D25704" w:rsidRPr="00F31194" w:rsidRDefault="00D25704" w:rsidP="009D6ADB">
            <w:pPr>
              <w:jc w:val="center"/>
              <w:rPr>
                <w:sz w:val="20"/>
                <w:szCs w:val="20"/>
              </w:rPr>
            </w:pPr>
          </w:p>
        </w:tc>
        <w:tc>
          <w:tcPr>
            <w:tcW w:w="1284" w:type="dxa"/>
            <w:vAlign w:val="center"/>
          </w:tcPr>
          <w:p w14:paraId="0547E3F9" w14:textId="77777777" w:rsidR="00D25704" w:rsidRPr="00F31194" w:rsidRDefault="00D25704" w:rsidP="009D6ADB">
            <w:pPr>
              <w:jc w:val="center"/>
              <w:rPr>
                <w:sz w:val="20"/>
                <w:szCs w:val="20"/>
              </w:rPr>
            </w:pPr>
          </w:p>
        </w:tc>
      </w:tr>
      <w:tr w:rsidR="00D25704" w14:paraId="642D1F73" w14:textId="320180B4" w:rsidTr="009D6ADB">
        <w:tc>
          <w:tcPr>
            <w:tcW w:w="1135" w:type="dxa"/>
          </w:tcPr>
          <w:p w14:paraId="55883E0B" w14:textId="3FFFE677" w:rsidR="00D25704" w:rsidRPr="00F31194" w:rsidRDefault="00D25704" w:rsidP="007577EF">
            <w:pPr>
              <w:rPr>
                <w:sz w:val="20"/>
                <w:szCs w:val="20"/>
              </w:rPr>
            </w:pPr>
            <w:r w:rsidRPr="00F31194">
              <w:rPr>
                <w:sz w:val="20"/>
                <w:szCs w:val="20"/>
              </w:rPr>
              <w:t>izmaksas</w:t>
            </w:r>
          </w:p>
        </w:tc>
        <w:tc>
          <w:tcPr>
            <w:tcW w:w="1417" w:type="dxa"/>
            <w:vAlign w:val="center"/>
          </w:tcPr>
          <w:p w14:paraId="66C10263" w14:textId="16F00FEA" w:rsidR="00D25704" w:rsidRPr="00F31194" w:rsidRDefault="008C494A" w:rsidP="009D6ADB">
            <w:pPr>
              <w:jc w:val="center"/>
              <w:rPr>
                <w:sz w:val="20"/>
                <w:szCs w:val="20"/>
              </w:rPr>
            </w:pPr>
            <w:r w:rsidRPr="00F31194">
              <w:rPr>
                <w:sz w:val="20"/>
                <w:szCs w:val="20"/>
              </w:rPr>
              <w:t>444 000</w:t>
            </w:r>
          </w:p>
        </w:tc>
        <w:tc>
          <w:tcPr>
            <w:tcW w:w="1276" w:type="dxa"/>
            <w:vAlign w:val="center"/>
          </w:tcPr>
          <w:p w14:paraId="3A21F544" w14:textId="5CFBCB8B" w:rsidR="00D25704" w:rsidRPr="00F31194" w:rsidRDefault="00D25704" w:rsidP="009D6ADB">
            <w:pPr>
              <w:jc w:val="center"/>
              <w:rPr>
                <w:sz w:val="20"/>
                <w:szCs w:val="20"/>
              </w:rPr>
            </w:pPr>
            <w:r w:rsidRPr="00F31194">
              <w:rPr>
                <w:sz w:val="20"/>
                <w:szCs w:val="20"/>
              </w:rPr>
              <w:t>75 180</w:t>
            </w:r>
          </w:p>
        </w:tc>
        <w:tc>
          <w:tcPr>
            <w:tcW w:w="1417" w:type="dxa"/>
            <w:vAlign w:val="center"/>
          </w:tcPr>
          <w:p w14:paraId="15857A5E" w14:textId="52215B7E" w:rsidR="00D25704" w:rsidRPr="00F31194" w:rsidRDefault="00D25704" w:rsidP="009D6ADB">
            <w:pPr>
              <w:jc w:val="center"/>
              <w:rPr>
                <w:sz w:val="20"/>
                <w:szCs w:val="20"/>
              </w:rPr>
            </w:pPr>
            <w:r w:rsidRPr="00F31194">
              <w:rPr>
                <w:sz w:val="20"/>
                <w:szCs w:val="20"/>
              </w:rPr>
              <w:t>966 945</w:t>
            </w:r>
          </w:p>
        </w:tc>
        <w:tc>
          <w:tcPr>
            <w:tcW w:w="1429" w:type="dxa"/>
            <w:vAlign w:val="center"/>
          </w:tcPr>
          <w:p w14:paraId="7E10B8CE" w14:textId="6D721809" w:rsidR="00D25704" w:rsidRPr="00AC6697" w:rsidRDefault="008C494A" w:rsidP="009D6ADB">
            <w:pPr>
              <w:jc w:val="center"/>
              <w:rPr>
                <w:b/>
                <w:sz w:val="20"/>
                <w:szCs w:val="20"/>
              </w:rPr>
            </w:pPr>
            <w:r w:rsidRPr="00AC6697">
              <w:rPr>
                <w:b/>
                <w:sz w:val="20"/>
                <w:szCs w:val="20"/>
              </w:rPr>
              <w:t>1 486 125</w:t>
            </w:r>
          </w:p>
        </w:tc>
        <w:tc>
          <w:tcPr>
            <w:tcW w:w="1256" w:type="dxa"/>
            <w:vAlign w:val="center"/>
          </w:tcPr>
          <w:p w14:paraId="1BBB8B81" w14:textId="1FDB44E4" w:rsidR="00D25704" w:rsidRPr="00F31194" w:rsidRDefault="008C494A" w:rsidP="009D6ADB">
            <w:pPr>
              <w:jc w:val="center"/>
              <w:rPr>
                <w:sz w:val="20"/>
                <w:szCs w:val="20"/>
              </w:rPr>
            </w:pPr>
            <w:r w:rsidRPr="00F31194">
              <w:rPr>
                <w:sz w:val="20"/>
                <w:szCs w:val="20"/>
              </w:rPr>
              <w:t>1 486 125</w:t>
            </w:r>
          </w:p>
        </w:tc>
        <w:tc>
          <w:tcPr>
            <w:tcW w:w="1284" w:type="dxa"/>
            <w:vAlign w:val="center"/>
          </w:tcPr>
          <w:p w14:paraId="7EB34A89" w14:textId="7DADF49F" w:rsidR="00D25704" w:rsidRPr="00F31194" w:rsidRDefault="00CB41BC" w:rsidP="009D6ADB">
            <w:pPr>
              <w:jc w:val="center"/>
              <w:rPr>
                <w:sz w:val="20"/>
                <w:szCs w:val="20"/>
              </w:rPr>
            </w:pPr>
            <w:r w:rsidRPr="00F31194">
              <w:rPr>
                <w:sz w:val="20"/>
                <w:szCs w:val="20"/>
              </w:rPr>
              <w:t>0</w:t>
            </w:r>
          </w:p>
        </w:tc>
      </w:tr>
      <w:tr w:rsidR="00D25704" w14:paraId="7B10B575" w14:textId="3F3F5F1C" w:rsidTr="009D6ADB">
        <w:tc>
          <w:tcPr>
            <w:tcW w:w="1135" w:type="dxa"/>
          </w:tcPr>
          <w:p w14:paraId="321C7970" w14:textId="428058D6" w:rsidR="00D25704" w:rsidRPr="004E4B14" w:rsidRDefault="00D25704" w:rsidP="004E4B14">
            <w:pPr>
              <w:jc w:val="center"/>
              <w:rPr>
                <w:b/>
                <w:sz w:val="20"/>
                <w:szCs w:val="20"/>
              </w:rPr>
            </w:pPr>
            <w:r w:rsidRPr="004E4B14">
              <w:rPr>
                <w:b/>
                <w:sz w:val="20"/>
                <w:szCs w:val="20"/>
              </w:rPr>
              <w:t>2022.</w:t>
            </w:r>
          </w:p>
        </w:tc>
        <w:tc>
          <w:tcPr>
            <w:tcW w:w="1417" w:type="dxa"/>
            <w:vAlign w:val="center"/>
          </w:tcPr>
          <w:p w14:paraId="096B7E6E" w14:textId="77777777" w:rsidR="00D25704" w:rsidRPr="00F31194" w:rsidRDefault="00D25704" w:rsidP="009D6ADB">
            <w:pPr>
              <w:jc w:val="center"/>
              <w:rPr>
                <w:sz w:val="20"/>
                <w:szCs w:val="20"/>
              </w:rPr>
            </w:pPr>
          </w:p>
        </w:tc>
        <w:tc>
          <w:tcPr>
            <w:tcW w:w="1276" w:type="dxa"/>
            <w:vAlign w:val="center"/>
          </w:tcPr>
          <w:p w14:paraId="5BBDF0C0" w14:textId="77777777" w:rsidR="00D25704" w:rsidRPr="00F31194" w:rsidRDefault="00D25704" w:rsidP="009D6ADB">
            <w:pPr>
              <w:jc w:val="center"/>
              <w:rPr>
                <w:sz w:val="20"/>
                <w:szCs w:val="20"/>
              </w:rPr>
            </w:pPr>
          </w:p>
        </w:tc>
        <w:tc>
          <w:tcPr>
            <w:tcW w:w="1417" w:type="dxa"/>
            <w:vAlign w:val="center"/>
          </w:tcPr>
          <w:p w14:paraId="7BDDF309" w14:textId="43CAF24B" w:rsidR="00D25704" w:rsidRPr="00F31194" w:rsidRDefault="00D25704" w:rsidP="009D6ADB">
            <w:pPr>
              <w:jc w:val="center"/>
              <w:rPr>
                <w:sz w:val="20"/>
                <w:szCs w:val="20"/>
              </w:rPr>
            </w:pPr>
          </w:p>
        </w:tc>
        <w:tc>
          <w:tcPr>
            <w:tcW w:w="1429" w:type="dxa"/>
            <w:vAlign w:val="center"/>
          </w:tcPr>
          <w:p w14:paraId="166D1F44" w14:textId="77777777" w:rsidR="00D25704" w:rsidRPr="00F31194" w:rsidRDefault="00D25704" w:rsidP="009D6ADB">
            <w:pPr>
              <w:jc w:val="center"/>
              <w:rPr>
                <w:sz w:val="20"/>
                <w:szCs w:val="20"/>
              </w:rPr>
            </w:pPr>
          </w:p>
        </w:tc>
        <w:tc>
          <w:tcPr>
            <w:tcW w:w="1256" w:type="dxa"/>
            <w:vAlign w:val="center"/>
          </w:tcPr>
          <w:p w14:paraId="28E5999B" w14:textId="77777777" w:rsidR="00D25704" w:rsidRPr="00F31194" w:rsidRDefault="00D25704" w:rsidP="009D6ADB">
            <w:pPr>
              <w:jc w:val="center"/>
              <w:rPr>
                <w:sz w:val="20"/>
                <w:szCs w:val="20"/>
              </w:rPr>
            </w:pPr>
          </w:p>
        </w:tc>
        <w:tc>
          <w:tcPr>
            <w:tcW w:w="1284" w:type="dxa"/>
            <w:vAlign w:val="center"/>
          </w:tcPr>
          <w:p w14:paraId="7D307A07" w14:textId="77777777" w:rsidR="00D25704" w:rsidRPr="00F31194" w:rsidRDefault="00D25704" w:rsidP="009D6ADB">
            <w:pPr>
              <w:jc w:val="center"/>
              <w:rPr>
                <w:sz w:val="20"/>
                <w:szCs w:val="20"/>
              </w:rPr>
            </w:pPr>
          </w:p>
        </w:tc>
      </w:tr>
      <w:tr w:rsidR="00D25704" w14:paraId="5F582803" w14:textId="47C65BF9" w:rsidTr="009D6ADB">
        <w:tc>
          <w:tcPr>
            <w:tcW w:w="1135" w:type="dxa"/>
          </w:tcPr>
          <w:p w14:paraId="4B0E400A" w14:textId="695CA017" w:rsidR="00D25704" w:rsidRPr="00F31194" w:rsidRDefault="00D25704" w:rsidP="00D52870">
            <w:pPr>
              <w:rPr>
                <w:sz w:val="20"/>
                <w:szCs w:val="20"/>
              </w:rPr>
            </w:pPr>
            <w:r w:rsidRPr="00F31194">
              <w:rPr>
                <w:sz w:val="20"/>
                <w:szCs w:val="20"/>
              </w:rPr>
              <w:t>skaits</w:t>
            </w:r>
          </w:p>
        </w:tc>
        <w:tc>
          <w:tcPr>
            <w:tcW w:w="1417" w:type="dxa"/>
            <w:vAlign w:val="center"/>
          </w:tcPr>
          <w:p w14:paraId="7CBBA741" w14:textId="24F7B903" w:rsidR="00D25704" w:rsidRPr="00F31194" w:rsidRDefault="00D25704" w:rsidP="009D6ADB">
            <w:pPr>
              <w:jc w:val="center"/>
              <w:rPr>
                <w:sz w:val="20"/>
                <w:szCs w:val="20"/>
              </w:rPr>
            </w:pPr>
            <w:r w:rsidRPr="00F31194">
              <w:rPr>
                <w:sz w:val="20"/>
                <w:szCs w:val="20"/>
              </w:rPr>
              <w:t>34</w:t>
            </w:r>
          </w:p>
        </w:tc>
        <w:tc>
          <w:tcPr>
            <w:tcW w:w="1276" w:type="dxa"/>
            <w:vAlign w:val="center"/>
          </w:tcPr>
          <w:p w14:paraId="7A4478FB" w14:textId="7039F428" w:rsidR="00D25704" w:rsidRPr="00F31194" w:rsidRDefault="00D25704" w:rsidP="009D6ADB">
            <w:pPr>
              <w:jc w:val="center"/>
              <w:rPr>
                <w:sz w:val="20"/>
                <w:szCs w:val="20"/>
              </w:rPr>
            </w:pPr>
            <w:r w:rsidRPr="00F31194">
              <w:rPr>
                <w:sz w:val="20"/>
                <w:szCs w:val="20"/>
              </w:rPr>
              <w:t>17</w:t>
            </w:r>
          </w:p>
        </w:tc>
        <w:tc>
          <w:tcPr>
            <w:tcW w:w="1417" w:type="dxa"/>
            <w:vAlign w:val="center"/>
          </w:tcPr>
          <w:p w14:paraId="460C70D5" w14:textId="04200C7B" w:rsidR="00D25704" w:rsidRPr="00F31194" w:rsidRDefault="00D25704" w:rsidP="009D6ADB">
            <w:pPr>
              <w:jc w:val="center"/>
              <w:rPr>
                <w:sz w:val="20"/>
                <w:szCs w:val="20"/>
              </w:rPr>
            </w:pPr>
            <w:r w:rsidRPr="00F31194">
              <w:rPr>
                <w:sz w:val="20"/>
                <w:szCs w:val="20"/>
              </w:rPr>
              <w:t>17</w:t>
            </w:r>
          </w:p>
        </w:tc>
        <w:tc>
          <w:tcPr>
            <w:tcW w:w="1429" w:type="dxa"/>
            <w:vAlign w:val="center"/>
          </w:tcPr>
          <w:p w14:paraId="23F54B16" w14:textId="2F9EE12F" w:rsidR="00D25704" w:rsidRPr="00F31194" w:rsidRDefault="00D25704" w:rsidP="009D6ADB">
            <w:pPr>
              <w:jc w:val="center"/>
              <w:rPr>
                <w:sz w:val="20"/>
                <w:szCs w:val="20"/>
              </w:rPr>
            </w:pPr>
            <w:r w:rsidRPr="00F31194">
              <w:rPr>
                <w:sz w:val="20"/>
                <w:szCs w:val="20"/>
              </w:rPr>
              <w:t>34</w:t>
            </w:r>
          </w:p>
        </w:tc>
        <w:tc>
          <w:tcPr>
            <w:tcW w:w="1256" w:type="dxa"/>
            <w:vAlign w:val="center"/>
          </w:tcPr>
          <w:p w14:paraId="14468C2C" w14:textId="77777777" w:rsidR="00D25704" w:rsidRPr="00F31194" w:rsidRDefault="00D25704" w:rsidP="009D6ADB">
            <w:pPr>
              <w:jc w:val="center"/>
              <w:rPr>
                <w:sz w:val="20"/>
                <w:szCs w:val="20"/>
              </w:rPr>
            </w:pPr>
          </w:p>
        </w:tc>
        <w:tc>
          <w:tcPr>
            <w:tcW w:w="1284" w:type="dxa"/>
            <w:vAlign w:val="center"/>
          </w:tcPr>
          <w:p w14:paraId="1FC33BFF" w14:textId="77777777" w:rsidR="00D25704" w:rsidRPr="00F31194" w:rsidRDefault="00D25704" w:rsidP="009D6ADB">
            <w:pPr>
              <w:jc w:val="center"/>
              <w:rPr>
                <w:sz w:val="20"/>
                <w:szCs w:val="20"/>
              </w:rPr>
            </w:pPr>
          </w:p>
        </w:tc>
      </w:tr>
      <w:tr w:rsidR="00D25704" w14:paraId="24840CC8" w14:textId="1FE165A1" w:rsidTr="009D6ADB">
        <w:tc>
          <w:tcPr>
            <w:tcW w:w="1135" w:type="dxa"/>
          </w:tcPr>
          <w:p w14:paraId="5403E929" w14:textId="21766F7E" w:rsidR="00D25704" w:rsidRPr="00F31194" w:rsidRDefault="00D25704" w:rsidP="00D52870">
            <w:pPr>
              <w:rPr>
                <w:sz w:val="20"/>
                <w:szCs w:val="20"/>
              </w:rPr>
            </w:pPr>
            <w:r w:rsidRPr="00F31194">
              <w:rPr>
                <w:sz w:val="20"/>
                <w:szCs w:val="20"/>
              </w:rPr>
              <w:t>izmaksas</w:t>
            </w:r>
          </w:p>
        </w:tc>
        <w:tc>
          <w:tcPr>
            <w:tcW w:w="1417" w:type="dxa"/>
            <w:vAlign w:val="center"/>
          </w:tcPr>
          <w:p w14:paraId="35149D37" w14:textId="0298F0C8" w:rsidR="00D25704" w:rsidRPr="00F31194" w:rsidRDefault="008C494A" w:rsidP="009D6ADB">
            <w:pPr>
              <w:jc w:val="center"/>
              <w:rPr>
                <w:sz w:val="20"/>
                <w:szCs w:val="20"/>
              </w:rPr>
            </w:pPr>
            <w:r w:rsidRPr="00F31194">
              <w:rPr>
                <w:sz w:val="20"/>
                <w:szCs w:val="20"/>
              </w:rPr>
              <w:t>503 200</w:t>
            </w:r>
          </w:p>
        </w:tc>
        <w:tc>
          <w:tcPr>
            <w:tcW w:w="1276" w:type="dxa"/>
            <w:vAlign w:val="center"/>
          </w:tcPr>
          <w:p w14:paraId="11ABA55F" w14:textId="42BC6DDC" w:rsidR="00D25704" w:rsidRPr="00F31194" w:rsidRDefault="00D25704" w:rsidP="009D6ADB">
            <w:pPr>
              <w:jc w:val="center"/>
              <w:rPr>
                <w:sz w:val="20"/>
                <w:szCs w:val="20"/>
              </w:rPr>
            </w:pPr>
            <w:r w:rsidRPr="00F31194">
              <w:rPr>
                <w:sz w:val="20"/>
                <w:szCs w:val="20"/>
              </w:rPr>
              <w:t>85 204</w:t>
            </w:r>
          </w:p>
        </w:tc>
        <w:tc>
          <w:tcPr>
            <w:tcW w:w="1417" w:type="dxa"/>
            <w:vAlign w:val="center"/>
          </w:tcPr>
          <w:p w14:paraId="72E02038" w14:textId="591F4D62" w:rsidR="00D25704" w:rsidRPr="00F31194" w:rsidRDefault="00D25704" w:rsidP="009D6ADB">
            <w:pPr>
              <w:jc w:val="center"/>
              <w:rPr>
                <w:sz w:val="20"/>
                <w:szCs w:val="20"/>
              </w:rPr>
            </w:pPr>
            <w:r w:rsidRPr="00F31194">
              <w:rPr>
                <w:sz w:val="20"/>
                <w:szCs w:val="20"/>
              </w:rPr>
              <w:t>1 095 871</w:t>
            </w:r>
          </w:p>
        </w:tc>
        <w:tc>
          <w:tcPr>
            <w:tcW w:w="1429" w:type="dxa"/>
            <w:vAlign w:val="center"/>
          </w:tcPr>
          <w:p w14:paraId="1904502A" w14:textId="340FF890" w:rsidR="00D25704" w:rsidRPr="00AC6697" w:rsidRDefault="008C494A" w:rsidP="009D6ADB">
            <w:pPr>
              <w:jc w:val="center"/>
              <w:rPr>
                <w:b/>
                <w:sz w:val="20"/>
                <w:szCs w:val="20"/>
              </w:rPr>
            </w:pPr>
            <w:r w:rsidRPr="00AC6697">
              <w:rPr>
                <w:b/>
                <w:sz w:val="20"/>
                <w:szCs w:val="20"/>
              </w:rPr>
              <w:t>1 684 275</w:t>
            </w:r>
          </w:p>
        </w:tc>
        <w:tc>
          <w:tcPr>
            <w:tcW w:w="1256" w:type="dxa"/>
            <w:vAlign w:val="center"/>
          </w:tcPr>
          <w:p w14:paraId="46ABC161" w14:textId="5C5F9387" w:rsidR="00D25704" w:rsidRPr="00F31194" w:rsidRDefault="00CB41BC" w:rsidP="009D6ADB">
            <w:pPr>
              <w:jc w:val="center"/>
              <w:rPr>
                <w:sz w:val="20"/>
                <w:szCs w:val="20"/>
              </w:rPr>
            </w:pPr>
            <w:r w:rsidRPr="00F31194">
              <w:rPr>
                <w:sz w:val="20"/>
                <w:szCs w:val="20"/>
              </w:rPr>
              <w:t>1</w:t>
            </w:r>
            <w:r w:rsidR="00275A69" w:rsidRPr="00F31194">
              <w:rPr>
                <w:sz w:val="20"/>
                <w:szCs w:val="20"/>
              </w:rPr>
              <w:t> 600 000</w:t>
            </w:r>
          </w:p>
        </w:tc>
        <w:tc>
          <w:tcPr>
            <w:tcW w:w="1284" w:type="dxa"/>
            <w:vAlign w:val="center"/>
          </w:tcPr>
          <w:p w14:paraId="2504899D" w14:textId="6C93381D" w:rsidR="00D25704" w:rsidRPr="00F31194" w:rsidRDefault="00275A69" w:rsidP="009D6ADB">
            <w:pPr>
              <w:jc w:val="center"/>
              <w:rPr>
                <w:sz w:val="20"/>
                <w:szCs w:val="20"/>
              </w:rPr>
            </w:pPr>
            <w:r w:rsidRPr="00F31194">
              <w:rPr>
                <w:sz w:val="20"/>
                <w:szCs w:val="20"/>
              </w:rPr>
              <w:t>84 275</w:t>
            </w:r>
          </w:p>
        </w:tc>
      </w:tr>
      <w:tr w:rsidR="00D25704" w14:paraId="220C14D3" w14:textId="3A200163" w:rsidTr="009D6ADB">
        <w:tc>
          <w:tcPr>
            <w:tcW w:w="1135" w:type="dxa"/>
          </w:tcPr>
          <w:p w14:paraId="78EB2DD1" w14:textId="50DCE9BA" w:rsidR="00D25704" w:rsidRPr="004E4B14" w:rsidRDefault="00D25704" w:rsidP="004E4B14">
            <w:pPr>
              <w:jc w:val="center"/>
              <w:rPr>
                <w:b/>
                <w:sz w:val="20"/>
                <w:szCs w:val="20"/>
              </w:rPr>
            </w:pPr>
            <w:r w:rsidRPr="004E4B14">
              <w:rPr>
                <w:b/>
                <w:sz w:val="20"/>
                <w:szCs w:val="20"/>
              </w:rPr>
              <w:t>2023.</w:t>
            </w:r>
          </w:p>
        </w:tc>
        <w:tc>
          <w:tcPr>
            <w:tcW w:w="1417" w:type="dxa"/>
            <w:vAlign w:val="center"/>
          </w:tcPr>
          <w:p w14:paraId="7149B0F8" w14:textId="77777777" w:rsidR="00D25704" w:rsidRPr="00F31194" w:rsidRDefault="00D25704" w:rsidP="009D6ADB">
            <w:pPr>
              <w:jc w:val="center"/>
              <w:rPr>
                <w:sz w:val="20"/>
                <w:szCs w:val="20"/>
              </w:rPr>
            </w:pPr>
          </w:p>
        </w:tc>
        <w:tc>
          <w:tcPr>
            <w:tcW w:w="1276" w:type="dxa"/>
            <w:vAlign w:val="center"/>
          </w:tcPr>
          <w:p w14:paraId="27923581" w14:textId="77777777" w:rsidR="00D25704" w:rsidRPr="00F31194" w:rsidRDefault="00D25704" w:rsidP="009D6ADB">
            <w:pPr>
              <w:jc w:val="center"/>
              <w:rPr>
                <w:sz w:val="20"/>
                <w:szCs w:val="20"/>
              </w:rPr>
            </w:pPr>
          </w:p>
        </w:tc>
        <w:tc>
          <w:tcPr>
            <w:tcW w:w="1417" w:type="dxa"/>
            <w:vAlign w:val="center"/>
          </w:tcPr>
          <w:p w14:paraId="331718A6" w14:textId="00F3E483" w:rsidR="00D25704" w:rsidRPr="00F31194" w:rsidRDefault="00D25704" w:rsidP="009D6ADB">
            <w:pPr>
              <w:jc w:val="center"/>
              <w:rPr>
                <w:sz w:val="20"/>
                <w:szCs w:val="20"/>
              </w:rPr>
            </w:pPr>
          </w:p>
        </w:tc>
        <w:tc>
          <w:tcPr>
            <w:tcW w:w="1429" w:type="dxa"/>
            <w:vAlign w:val="center"/>
          </w:tcPr>
          <w:p w14:paraId="4891B8CF" w14:textId="77777777" w:rsidR="00D25704" w:rsidRPr="00F31194" w:rsidRDefault="00D25704" w:rsidP="009D6ADB">
            <w:pPr>
              <w:jc w:val="center"/>
              <w:rPr>
                <w:sz w:val="20"/>
                <w:szCs w:val="20"/>
              </w:rPr>
            </w:pPr>
          </w:p>
        </w:tc>
        <w:tc>
          <w:tcPr>
            <w:tcW w:w="1256" w:type="dxa"/>
            <w:vAlign w:val="center"/>
          </w:tcPr>
          <w:p w14:paraId="4DDE5302" w14:textId="77777777" w:rsidR="00D25704" w:rsidRPr="00F31194" w:rsidRDefault="00D25704" w:rsidP="009D6ADB">
            <w:pPr>
              <w:jc w:val="center"/>
              <w:rPr>
                <w:sz w:val="20"/>
                <w:szCs w:val="20"/>
              </w:rPr>
            </w:pPr>
          </w:p>
        </w:tc>
        <w:tc>
          <w:tcPr>
            <w:tcW w:w="1284" w:type="dxa"/>
            <w:vAlign w:val="center"/>
          </w:tcPr>
          <w:p w14:paraId="78E1F306" w14:textId="77777777" w:rsidR="00D25704" w:rsidRPr="00F31194" w:rsidRDefault="00D25704" w:rsidP="009D6ADB">
            <w:pPr>
              <w:jc w:val="center"/>
              <w:rPr>
                <w:sz w:val="20"/>
                <w:szCs w:val="20"/>
              </w:rPr>
            </w:pPr>
          </w:p>
        </w:tc>
      </w:tr>
      <w:tr w:rsidR="00D25704" w14:paraId="36C45CC0" w14:textId="0F353900" w:rsidTr="009D6ADB">
        <w:tc>
          <w:tcPr>
            <w:tcW w:w="1135" w:type="dxa"/>
          </w:tcPr>
          <w:p w14:paraId="4BE9B23E" w14:textId="7D02572C" w:rsidR="00D25704" w:rsidRPr="00F31194" w:rsidRDefault="00D25704" w:rsidP="00D52870">
            <w:pPr>
              <w:rPr>
                <w:sz w:val="20"/>
                <w:szCs w:val="20"/>
              </w:rPr>
            </w:pPr>
            <w:r w:rsidRPr="00F31194">
              <w:rPr>
                <w:sz w:val="20"/>
                <w:szCs w:val="20"/>
              </w:rPr>
              <w:t>skaits</w:t>
            </w:r>
          </w:p>
        </w:tc>
        <w:tc>
          <w:tcPr>
            <w:tcW w:w="1417" w:type="dxa"/>
            <w:vAlign w:val="center"/>
          </w:tcPr>
          <w:p w14:paraId="5F67D7BA" w14:textId="4E81775D" w:rsidR="00D25704" w:rsidRPr="00F31194" w:rsidRDefault="00D25704" w:rsidP="009D6ADB">
            <w:pPr>
              <w:jc w:val="center"/>
              <w:rPr>
                <w:sz w:val="20"/>
                <w:szCs w:val="20"/>
              </w:rPr>
            </w:pPr>
            <w:r w:rsidRPr="00F31194">
              <w:rPr>
                <w:sz w:val="20"/>
                <w:szCs w:val="20"/>
              </w:rPr>
              <w:t>36</w:t>
            </w:r>
          </w:p>
        </w:tc>
        <w:tc>
          <w:tcPr>
            <w:tcW w:w="1276" w:type="dxa"/>
            <w:vAlign w:val="center"/>
          </w:tcPr>
          <w:p w14:paraId="2DCBE74B" w14:textId="7A5888A8" w:rsidR="00D25704" w:rsidRPr="00F31194" w:rsidRDefault="00D25704" w:rsidP="009D6ADB">
            <w:pPr>
              <w:jc w:val="center"/>
              <w:rPr>
                <w:sz w:val="20"/>
                <w:szCs w:val="20"/>
              </w:rPr>
            </w:pPr>
            <w:r w:rsidRPr="00F31194">
              <w:rPr>
                <w:sz w:val="20"/>
                <w:szCs w:val="20"/>
              </w:rPr>
              <w:t>18</w:t>
            </w:r>
          </w:p>
        </w:tc>
        <w:tc>
          <w:tcPr>
            <w:tcW w:w="1417" w:type="dxa"/>
            <w:vAlign w:val="center"/>
          </w:tcPr>
          <w:p w14:paraId="0274F13B" w14:textId="5C8B8C78" w:rsidR="00D25704" w:rsidRPr="00F31194" w:rsidRDefault="00D25704" w:rsidP="009D6ADB">
            <w:pPr>
              <w:jc w:val="center"/>
              <w:rPr>
                <w:sz w:val="20"/>
                <w:szCs w:val="20"/>
              </w:rPr>
            </w:pPr>
            <w:r w:rsidRPr="00F31194">
              <w:rPr>
                <w:sz w:val="20"/>
                <w:szCs w:val="20"/>
              </w:rPr>
              <w:t>18</w:t>
            </w:r>
          </w:p>
        </w:tc>
        <w:tc>
          <w:tcPr>
            <w:tcW w:w="1429" w:type="dxa"/>
            <w:vAlign w:val="center"/>
          </w:tcPr>
          <w:p w14:paraId="5B5714C3" w14:textId="7D319120" w:rsidR="00D25704" w:rsidRPr="00F31194" w:rsidRDefault="00D25704" w:rsidP="009D6ADB">
            <w:pPr>
              <w:jc w:val="center"/>
              <w:rPr>
                <w:sz w:val="20"/>
                <w:szCs w:val="20"/>
              </w:rPr>
            </w:pPr>
            <w:r w:rsidRPr="00F31194">
              <w:rPr>
                <w:sz w:val="20"/>
                <w:szCs w:val="20"/>
              </w:rPr>
              <w:t>36</w:t>
            </w:r>
          </w:p>
        </w:tc>
        <w:tc>
          <w:tcPr>
            <w:tcW w:w="1256" w:type="dxa"/>
            <w:vAlign w:val="center"/>
          </w:tcPr>
          <w:p w14:paraId="14B458C0" w14:textId="77777777" w:rsidR="00D25704" w:rsidRPr="00F31194" w:rsidRDefault="00D25704" w:rsidP="009D6ADB">
            <w:pPr>
              <w:jc w:val="center"/>
              <w:rPr>
                <w:sz w:val="20"/>
                <w:szCs w:val="20"/>
              </w:rPr>
            </w:pPr>
          </w:p>
        </w:tc>
        <w:tc>
          <w:tcPr>
            <w:tcW w:w="1284" w:type="dxa"/>
            <w:vAlign w:val="center"/>
          </w:tcPr>
          <w:p w14:paraId="07D86662" w14:textId="77777777" w:rsidR="00D25704" w:rsidRPr="00F31194" w:rsidRDefault="00D25704" w:rsidP="009D6ADB">
            <w:pPr>
              <w:jc w:val="center"/>
              <w:rPr>
                <w:sz w:val="20"/>
                <w:szCs w:val="20"/>
              </w:rPr>
            </w:pPr>
          </w:p>
        </w:tc>
      </w:tr>
      <w:tr w:rsidR="00275A69" w14:paraId="656F81BA" w14:textId="13DC659E" w:rsidTr="009D6ADB">
        <w:tc>
          <w:tcPr>
            <w:tcW w:w="1135" w:type="dxa"/>
          </w:tcPr>
          <w:p w14:paraId="0005E808" w14:textId="5DD73FEC" w:rsidR="00275A69" w:rsidRPr="00F31194" w:rsidRDefault="00275A69" w:rsidP="00275A69">
            <w:pPr>
              <w:rPr>
                <w:sz w:val="20"/>
                <w:szCs w:val="20"/>
              </w:rPr>
            </w:pPr>
            <w:r w:rsidRPr="00F31194">
              <w:rPr>
                <w:sz w:val="20"/>
                <w:szCs w:val="20"/>
              </w:rPr>
              <w:t>izmaksas</w:t>
            </w:r>
          </w:p>
        </w:tc>
        <w:tc>
          <w:tcPr>
            <w:tcW w:w="1417" w:type="dxa"/>
            <w:vAlign w:val="center"/>
          </w:tcPr>
          <w:p w14:paraId="7DA321DE" w14:textId="51E33B96" w:rsidR="00275A69" w:rsidRPr="00F31194" w:rsidRDefault="00275A69" w:rsidP="009D6ADB">
            <w:pPr>
              <w:jc w:val="center"/>
              <w:rPr>
                <w:sz w:val="20"/>
                <w:szCs w:val="20"/>
              </w:rPr>
            </w:pPr>
            <w:r w:rsidRPr="00F31194">
              <w:rPr>
                <w:sz w:val="20"/>
                <w:szCs w:val="20"/>
              </w:rPr>
              <w:t>532 800</w:t>
            </w:r>
          </w:p>
        </w:tc>
        <w:tc>
          <w:tcPr>
            <w:tcW w:w="1276" w:type="dxa"/>
            <w:vAlign w:val="center"/>
          </w:tcPr>
          <w:p w14:paraId="76572CDF" w14:textId="51CF6D02" w:rsidR="00275A69" w:rsidRPr="00F31194" w:rsidRDefault="00275A69" w:rsidP="009D6ADB">
            <w:pPr>
              <w:jc w:val="center"/>
              <w:rPr>
                <w:sz w:val="20"/>
                <w:szCs w:val="20"/>
              </w:rPr>
            </w:pPr>
            <w:r w:rsidRPr="00F31194">
              <w:rPr>
                <w:sz w:val="20"/>
                <w:szCs w:val="20"/>
              </w:rPr>
              <w:t>90 216</w:t>
            </w:r>
          </w:p>
        </w:tc>
        <w:tc>
          <w:tcPr>
            <w:tcW w:w="1417" w:type="dxa"/>
            <w:vAlign w:val="center"/>
          </w:tcPr>
          <w:p w14:paraId="09614BF2" w14:textId="7C9DDF4A" w:rsidR="00275A69" w:rsidRPr="00F31194" w:rsidRDefault="00275A69" w:rsidP="009D6ADB">
            <w:pPr>
              <w:jc w:val="center"/>
              <w:rPr>
                <w:sz w:val="20"/>
                <w:szCs w:val="20"/>
              </w:rPr>
            </w:pPr>
            <w:r w:rsidRPr="00F31194">
              <w:rPr>
                <w:sz w:val="20"/>
                <w:szCs w:val="20"/>
              </w:rPr>
              <w:t>1 160 334</w:t>
            </w:r>
          </w:p>
        </w:tc>
        <w:tc>
          <w:tcPr>
            <w:tcW w:w="1429" w:type="dxa"/>
            <w:vAlign w:val="center"/>
          </w:tcPr>
          <w:p w14:paraId="74AB29CD" w14:textId="76F60657" w:rsidR="00275A69" w:rsidRPr="00AC6697" w:rsidRDefault="00275A69" w:rsidP="009D6ADB">
            <w:pPr>
              <w:jc w:val="center"/>
              <w:rPr>
                <w:b/>
                <w:sz w:val="20"/>
                <w:szCs w:val="20"/>
              </w:rPr>
            </w:pPr>
            <w:r w:rsidRPr="00AC6697">
              <w:rPr>
                <w:b/>
                <w:sz w:val="20"/>
                <w:szCs w:val="20"/>
              </w:rPr>
              <w:t>1 783 350</w:t>
            </w:r>
          </w:p>
        </w:tc>
        <w:tc>
          <w:tcPr>
            <w:tcW w:w="1256" w:type="dxa"/>
            <w:vAlign w:val="center"/>
          </w:tcPr>
          <w:p w14:paraId="30430905" w14:textId="4FCE5CA4" w:rsidR="00275A69" w:rsidRPr="00F31194" w:rsidRDefault="00275A69" w:rsidP="009D6ADB">
            <w:pPr>
              <w:jc w:val="center"/>
              <w:rPr>
                <w:sz w:val="20"/>
                <w:szCs w:val="20"/>
              </w:rPr>
            </w:pPr>
            <w:r w:rsidRPr="00F31194">
              <w:rPr>
                <w:sz w:val="20"/>
                <w:szCs w:val="20"/>
              </w:rPr>
              <w:t>1 588 422</w:t>
            </w:r>
          </w:p>
        </w:tc>
        <w:tc>
          <w:tcPr>
            <w:tcW w:w="1284" w:type="dxa"/>
            <w:vAlign w:val="center"/>
          </w:tcPr>
          <w:p w14:paraId="093311BA" w14:textId="264CA34B" w:rsidR="00275A69" w:rsidRPr="00F31194" w:rsidRDefault="00275A69" w:rsidP="009D6ADB">
            <w:pPr>
              <w:jc w:val="center"/>
              <w:rPr>
                <w:sz w:val="20"/>
                <w:szCs w:val="20"/>
              </w:rPr>
            </w:pPr>
            <w:r w:rsidRPr="00F31194">
              <w:rPr>
                <w:sz w:val="20"/>
                <w:szCs w:val="20"/>
              </w:rPr>
              <w:t>194 928</w:t>
            </w:r>
          </w:p>
        </w:tc>
      </w:tr>
      <w:tr w:rsidR="00275A69" w14:paraId="1BEA803C" w14:textId="073BD04F" w:rsidTr="009D6ADB">
        <w:tc>
          <w:tcPr>
            <w:tcW w:w="1135" w:type="dxa"/>
          </w:tcPr>
          <w:p w14:paraId="04B886EE" w14:textId="37304CD8" w:rsidR="00275A69" w:rsidRPr="004E4B14" w:rsidRDefault="00275A69" w:rsidP="004E4B14">
            <w:pPr>
              <w:jc w:val="center"/>
              <w:rPr>
                <w:b/>
                <w:sz w:val="20"/>
                <w:szCs w:val="20"/>
              </w:rPr>
            </w:pPr>
            <w:r w:rsidRPr="004E4B14">
              <w:rPr>
                <w:b/>
                <w:sz w:val="20"/>
                <w:szCs w:val="20"/>
              </w:rPr>
              <w:t>KOPĀ</w:t>
            </w:r>
          </w:p>
        </w:tc>
        <w:tc>
          <w:tcPr>
            <w:tcW w:w="1417" w:type="dxa"/>
            <w:vAlign w:val="center"/>
          </w:tcPr>
          <w:p w14:paraId="361CF995" w14:textId="77777777" w:rsidR="00275A69" w:rsidRPr="00F31194" w:rsidRDefault="00275A69" w:rsidP="009D6ADB">
            <w:pPr>
              <w:jc w:val="center"/>
              <w:rPr>
                <w:sz w:val="20"/>
                <w:szCs w:val="20"/>
              </w:rPr>
            </w:pPr>
          </w:p>
        </w:tc>
        <w:tc>
          <w:tcPr>
            <w:tcW w:w="1276" w:type="dxa"/>
            <w:vAlign w:val="center"/>
          </w:tcPr>
          <w:p w14:paraId="109F878C" w14:textId="77777777" w:rsidR="00275A69" w:rsidRPr="00F31194" w:rsidRDefault="00275A69" w:rsidP="009D6ADB">
            <w:pPr>
              <w:jc w:val="center"/>
              <w:rPr>
                <w:sz w:val="20"/>
                <w:szCs w:val="20"/>
              </w:rPr>
            </w:pPr>
          </w:p>
        </w:tc>
        <w:tc>
          <w:tcPr>
            <w:tcW w:w="1417" w:type="dxa"/>
            <w:vAlign w:val="center"/>
          </w:tcPr>
          <w:p w14:paraId="531FC519" w14:textId="77777777" w:rsidR="00275A69" w:rsidRPr="00F31194" w:rsidRDefault="00275A69" w:rsidP="009D6ADB">
            <w:pPr>
              <w:jc w:val="center"/>
              <w:rPr>
                <w:sz w:val="20"/>
                <w:szCs w:val="20"/>
              </w:rPr>
            </w:pPr>
          </w:p>
        </w:tc>
        <w:tc>
          <w:tcPr>
            <w:tcW w:w="1429" w:type="dxa"/>
            <w:vAlign w:val="center"/>
          </w:tcPr>
          <w:p w14:paraId="04D9359D" w14:textId="77777777" w:rsidR="00275A69" w:rsidRPr="00F31194" w:rsidRDefault="00275A69" w:rsidP="009D6ADB">
            <w:pPr>
              <w:jc w:val="center"/>
              <w:rPr>
                <w:sz w:val="20"/>
                <w:szCs w:val="20"/>
              </w:rPr>
            </w:pPr>
          </w:p>
        </w:tc>
        <w:tc>
          <w:tcPr>
            <w:tcW w:w="1256" w:type="dxa"/>
            <w:vAlign w:val="center"/>
          </w:tcPr>
          <w:p w14:paraId="09A40C48" w14:textId="63C4C838" w:rsidR="00275A69" w:rsidRPr="00F31194" w:rsidRDefault="00275A69" w:rsidP="009D6ADB">
            <w:pPr>
              <w:jc w:val="center"/>
              <w:rPr>
                <w:sz w:val="20"/>
                <w:szCs w:val="20"/>
              </w:rPr>
            </w:pPr>
          </w:p>
        </w:tc>
        <w:tc>
          <w:tcPr>
            <w:tcW w:w="1284" w:type="dxa"/>
            <w:vAlign w:val="center"/>
          </w:tcPr>
          <w:p w14:paraId="1CB321F8" w14:textId="77777777" w:rsidR="00275A69" w:rsidRPr="00F31194" w:rsidRDefault="00275A69" w:rsidP="009D6ADB">
            <w:pPr>
              <w:jc w:val="center"/>
              <w:rPr>
                <w:sz w:val="20"/>
                <w:szCs w:val="20"/>
              </w:rPr>
            </w:pPr>
          </w:p>
        </w:tc>
      </w:tr>
      <w:tr w:rsidR="00275A69" w14:paraId="1EE4A23B" w14:textId="1F2AF492" w:rsidTr="009D6ADB">
        <w:tc>
          <w:tcPr>
            <w:tcW w:w="1135" w:type="dxa"/>
          </w:tcPr>
          <w:p w14:paraId="0B8BE51A" w14:textId="123A1051" w:rsidR="00275A69" w:rsidRPr="00F31194" w:rsidRDefault="00275A69" w:rsidP="00275A69">
            <w:pPr>
              <w:rPr>
                <w:sz w:val="20"/>
                <w:szCs w:val="20"/>
              </w:rPr>
            </w:pPr>
            <w:r w:rsidRPr="00F31194">
              <w:rPr>
                <w:sz w:val="20"/>
                <w:szCs w:val="20"/>
              </w:rPr>
              <w:t>skaits</w:t>
            </w:r>
          </w:p>
        </w:tc>
        <w:tc>
          <w:tcPr>
            <w:tcW w:w="1417" w:type="dxa"/>
            <w:vAlign w:val="center"/>
          </w:tcPr>
          <w:p w14:paraId="10E0C56E" w14:textId="57CD0B5E" w:rsidR="00275A69" w:rsidRPr="00F31194" w:rsidRDefault="00275A69" w:rsidP="009D6ADB">
            <w:pPr>
              <w:jc w:val="center"/>
              <w:rPr>
                <w:sz w:val="20"/>
                <w:szCs w:val="20"/>
              </w:rPr>
            </w:pPr>
            <w:r w:rsidRPr="00F31194">
              <w:rPr>
                <w:sz w:val="20"/>
                <w:szCs w:val="20"/>
              </w:rPr>
              <w:t>100</w:t>
            </w:r>
          </w:p>
        </w:tc>
        <w:tc>
          <w:tcPr>
            <w:tcW w:w="1276" w:type="dxa"/>
            <w:vAlign w:val="center"/>
          </w:tcPr>
          <w:p w14:paraId="1A02BC2B" w14:textId="317F850D" w:rsidR="00275A69" w:rsidRPr="00F31194" w:rsidRDefault="00275A69" w:rsidP="009D6ADB">
            <w:pPr>
              <w:jc w:val="center"/>
              <w:rPr>
                <w:sz w:val="20"/>
                <w:szCs w:val="20"/>
              </w:rPr>
            </w:pPr>
            <w:r w:rsidRPr="00F31194">
              <w:rPr>
                <w:sz w:val="20"/>
                <w:szCs w:val="20"/>
              </w:rPr>
              <w:t>50</w:t>
            </w:r>
          </w:p>
        </w:tc>
        <w:tc>
          <w:tcPr>
            <w:tcW w:w="1417" w:type="dxa"/>
            <w:vAlign w:val="center"/>
          </w:tcPr>
          <w:p w14:paraId="75F981BA" w14:textId="7098C3DD" w:rsidR="00275A69" w:rsidRPr="00F31194" w:rsidRDefault="00275A69" w:rsidP="009D6ADB">
            <w:pPr>
              <w:jc w:val="center"/>
              <w:rPr>
                <w:sz w:val="20"/>
                <w:szCs w:val="20"/>
              </w:rPr>
            </w:pPr>
            <w:r w:rsidRPr="00F31194">
              <w:rPr>
                <w:sz w:val="20"/>
                <w:szCs w:val="20"/>
              </w:rPr>
              <w:t>50</w:t>
            </w:r>
          </w:p>
        </w:tc>
        <w:tc>
          <w:tcPr>
            <w:tcW w:w="1429" w:type="dxa"/>
            <w:vAlign w:val="center"/>
          </w:tcPr>
          <w:p w14:paraId="7FF2C10A" w14:textId="71997CA5" w:rsidR="00275A69" w:rsidRPr="00F31194" w:rsidRDefault="00275A69" w:rsidP="009D6ADB">
            <w:pPr>
              <w:jc w:val="center"/>
              <w:rPr>
                <w:sz w:val="20"/>
                <w:szCs w:val="20"/>
              </w:rPr>
            </w:pPr>
            <w:r w:rsidRPr="00F31194">
              <w:rPr>
                <w:sz w:val="20"/>
                <w:szCs w:val="20"/>
              </w:rPr>
              <w:t>100</w:t>
            </w:r>
          </w:p>
        </w:tc>
        <w:tc>
          <w:tcPr>
            <w:tcW w:w="1256" w:type="dxa"/>
            <w:vAlign w:val="center"/>
          </w:tcPr>
          <w:p w14:paraId="1115F6D7" w14:textId="2BD85BF5" w:rsidR="00275A69" w:rsidRPr="00F31194" w:rsidRDefault="00275A69" w:rsidP="009D6ADB">
            <w:pPr>
              <w:jc w:val="center"/>
              <w:rPr>
                <w:sz w:val="20"/>
                <w:szCs w:val="20"/>
              </w:rPr>
            </w:pPr>
          </w:p>
        </w:tc>
        <w:tc>
          <w:tcPr>
            <w:tcW w:w="1284" w:type="dxa"/>
            <w:vAlign w:val="center"/>
          </w:tcPr>
          <w:p w14:paraId="4DF557D6" w14:textId="77777777" w:rsidR="00275A69" w:rsidRPr="00F31194" w:rsidRDefault="00275A69" w:rsidP="009D6ADB">
            <w:pPr>
              <w:jc w:val="center"/>
              <w:rPr>
                <w:sz w:val="20"/>
                <w:szCs w:val="20"/>
              </w:rPr>
            </w:pPr>
          </w:p>
        </w:tc>
      </w:tr>
      <w:tr w:rsidR="00275A69" w14:paraId="3AAC3821" w14:textId="58377B91" w:rsidTr="009D6ADB">
        <w:tc>
          <w:tcPr>
            <w:tcW w:w="1135" w:type="dxa"/>
          </w:tcPr>
          <w:p w14:paraId="58FE872C" w14:textId="5890C03A" w:rsidR="00275A69" w:rsidRPr="00F31194" w:rsidRDefault="00275A69" w:rsidP="00275A69">
            <w:pPr>
              <w:rPr>
                <w:sz w:val="20"/>
                <w:szCs w:val="20"/>
              </w:rPr>
            </w:pPr>
            <w:r w:rsidRPr="00F31194">
              <w:rPr>
                <w:sz w:val="20"/>
                <w:szCs w:val="20"/>
              </w:rPr>
              <w:t>izmaksas</w:t>
            </w:r>
          </w:p>
        </w:tc>
        <w:tc>
          <w:tcPr>
            <w:tcW w:w="1417" w:type="dxa"/>
            <w:vAlign w:val="center"/>
          </w:tcPr>
          <w:p w14:paraId="37947794" w14:textId="33852735" w:rsidR="00275A69" w:rsidRPr="00F31194" w:rsidRDefault="00275A69" w:rsidP="009D6ADB">
            <w:pPr>
              <w:jc w:val="center"/>
              <w:rPr>
                <w:sz w:val="20"/>
                <w:szCs w:val="20"/>
              </w:rPr>
            </w:pPr>
            <w:r w:rsidRPr="00F31194">
              <w:rPr>
                <w:sz w:val="20"/>
                <w:szCs w:val="20"/>
              </w:rPr>
              <w:t>1 480 000</w:t>
            </w:r>
          </w:p>
        </w:tc>
        <w:tc>
          <w:tcPr>
            <w:tcW w:w="1276" w:type="dxa"/>
            <w:vAlign w:val="center"/>
          </w:tcPr>
          <w:p w14:paraId="55BC4560" w14:textId="1D95C8A2" w:rsidR="00275A69" w:rsidRPr="00F31194" w:rsidRDefault="00275A69" w:rsidP="009D6ADB">
            <w:pPr>
              <w:jc w:val="center"/>
              <w:rPr>
                <w:sz w:val="20"/>
                <w:szCs w:val="20"/>
              </w:rPr>
            </w:pPr>
            <w:r w:rsidRPr="00F31194">
              <w:rPr>
                <w:sz w:val="20"/>
                <w:szCs w:val="20"/>
              </w:rPr>
              <w:t>250 600</w:t>
            </w:r>
          </w:p>
        </w:tc>
        <w:tc>
          <w:tcPr>
            <w:tcW w:w="1417" w:type="dxa"/>
            <w:vAlign w:val="center"/>
          </w:tcPr>
          <w:p w14:paraId="32BE6132" w14:textId="7D0AF36B" w:rsidR="00275A69" w:rsidRPr="00F31194" w:rsidRDefault="00275A69" w:rsidP="009D6ADB">
            <w:pPr>
              <w:jc w:val="center"/>
              <w:rPr>
                <w:sz w:val="20"/>
                <w:szCs w:val="20"/>
              </w:rPr>
            </w:pPr>
            <w:r w:rsidRPr="00F31194">
              <w:rPr>
                <w:sz w:val="20"/>
                <w:szCs w:val="20"/>
              </w:rPr>
              <w:t>3 223 150</w:t>
            </w:r>
          </w:p>
        </w:tc>
        <w:tc>
          <w:tcPr>
            <w:tcW w:w="1429" w:type="dxa"/>
            <w:vAlign w:val="center"/>
          </w:tcPr>
          <w:p w14:paraId="4CA39587" w14:textId="45E2D61E" w:rsidR="00275A69" w:rsidRPr="00AC6697" w:rsidRDefault="00275A69" w:rsidP="009D6ADB">
            <w:pPr>
              <w:jc w:val="center"/>
              <w:rPr>
                <w:b/>
                <w:sz w:val="20"/>
                <w:szCs w:val="20"/>
              </w:rPr>
            </w:pPr>
            <w:r w:rsidRPr="00AC6697">
              <w:rPr>
                <w:b/>
                <w:sz w:val="20"/>
                <w:szCs w:val="20"/>
              </w:rPr>
              <w:t>4 953 750</w:t>
            </w:r>
          </w:p>
        </w:tc>
        <w:tc>
          <w:tcPr>
            <w:tcW w:w="1256" w:type="dxa"/>
            <w:vAlign w:val="center"/>
          </w:tcPr>
          <w:p w14:paraId="4EA03CE8" w14:textId="11196905" w:rsidR="00275A69" w:rsidRPr="00F31194" w:rsidRDefault="00275A69" w:rsidP="009D6ADB">
            <w:pPr>
              <w:jc w:val="center"/>
              <w:rPr>
                <w:sz w:val="20"/>
                <w:szCs w:val="20"/>
              </w:rPr>
            </w:pPr>
            <w:r w:rsidRPr="00F31194">
              <w:rPr>
                <w:sz w:val="20"/>
                <w:szCs w:val="20"/>
              </w:rPr>
              <w:t>4 674 547</w:t>
            </w:r>
          </w:p>
        </w:tc>
        <w:tc>
          <w:tcPr>
            <w:tcW w:w="1284" w:type="dxa"/>
            <w:vAlign w:val="center"/>
          </w:tcPr>
          <w:p w14:paraId="638C46CF" w14:textId="3BDBA168" w:rsidR="00275A69" w:rsidRPr="00F31194" w:rsidRDefault="00275A69" w:rsidP="009D6ADB">
            <w:pPr>
              <w:jc w:val="center"/>
              <w:rPr>
                <w:sz w:val="20"/>
                <w:szCs w:val="20"/>
              </w:rPr>
            </w:pPr>
            <w:r w:rsidRPr="00F31194">
              <w:rPr>
                <w:sz w:val="20"/>
                <w:szCs w:val="20"/>
              </w:rPr>
              <w:t>279 203</w:t>
            </w:r>
          </w:p>
        </w:tc>
      </w:tr>
    </w:tbl>
    <w:p w14:paraId="04316E94" w14:textId="77777777" w:rsidR="00903DD5" w:rsidRDefault="00903DD5" w:rsidP="007577EF"/>
    <w:p w14:paraId="38C3102A" w14:textId="3E60B008" w:rsidR="005E22D8" w:rsidRDefault="005E22D8" w:rsidP="00F31194">
      <w:pPr>
        <w:jc w:val="both"/>
      </w:pPr>
      <w:r w:rsidRPr="00F31194">
        <w:t xml:space="preserve">Ievērojot, ka dividendēs sadalāmā peļņa var neatbilst plānotajai, kā arī vēl nav apstiprināta CSDD stratēģija periodam </w:t>
      </w:r>
      <w:proofErr w:type="gramStart"/>
      <w:r w:rsidRPr="00F31194">
        <w:t>2021. – 2023.</w:t>
      </w:r>
      <w:proofErr w:type="gramEnd"/>
      <w:r w:rsidRPr="00F31194">
        <w:t>gads, var mainīties fotoradaru iegādei novirzāmā finansējuma apmērs (ievērojot arī iepirkuma rezultātus un citus ar CSDD darbību saistītus apstākļus), konkrēta summa, kas novirzāma fotoradaru iegādei un uzstādīšanai tiks noteikta atsevišķā Ministru kabineta rīkojumā.</w:t>
      </w:r>
    </w:p>
    <w:p w14:paraId="3C9217E1" w14:textId="77777777" w:rsidR="00624524" w:rsidRDefault="00624524" w:rsidP="00F31194">
      <w:pPr>
        <w:jc w:val="both"/>
      </w:pPr>
    </w:p>
    <w:p w14:paraId="4BAAF56B" w14:textId="71466D42" w:rsidR="00624524" w:rsidRPr="00F31194" w:rsidRDefault="00624524" w:rsidP="00F31194">
      <w:pPr>
        <w:pStyle w:val="tv213"/>
        <w:spacing w:before="0" w:beforeAutospacing="0" w:after="0" w:afterAutospacing="0"/>
        <w:rPr>
          <w:b/>
        </w:rPr>
      </w:pPr>
      <w:r w:rsidRPr="00F31194">
        <w:rPr>
          <w:b/>
        </w:rPr>
        <w:t>Prognozētā ietekme uz vispārējās valdības budžeta bilanci</w:t>
      </w:r>
      <w:r w:rsidR="00DB7E42">
        <w:rPr>
          <w:b/>
        </w:rPr>
        <w:t xml:space="preserve"> </w:t>
      </w:r>
      <w:proofErr w:type="gramStart"/>
      <w:r w:rsidR="00DB7E42">
        <w:rPr>
          <w:b/>
        </w:rPr>
        <w:t>2021.– 202</w:t>
      </w:r>
      <w:r w:rsidR="00B474C5">
        <w:rPr>
          <w:b/>
        </w:rPr>
        <w:t>3</w:t>
      </w:r>
      <w:r w:rsidR="00DB7E42">
        <w:rPr>
          <w:b/>
        </w:rPr>
        <w:t>.</w:t>
      </w:r>
      <w:proofErr w:type="gramEnd"/>
      <w:r w:rsidR="00DB7E42">
        <w:rPr>
          <w:b/>
        </w:rPr>
        <w:t>gadā</w:t>
      </w:r>
    </w:p>
    <w:p w14:paraId="3E6A2705" w14:textId="77777777" w:rsidR="001B6FCC" w:rsidRDefault="001B6FCC" w:rsidP="00F31194">
      <w:pPr>
        <w:pStyle w:val="tv213"/>
        <w:spacing w:before="0" w:beforeAutospacing="0" w:after="0" w:afterAutospacing="0"/>
        <w:rPr>
          <w:b/>
        </w:rPr>
      </w:pPr>
    </w:p>
    <w:p w14:paraId="3C460EFE" w14:textId="77777777" w:rsidR="00B474C5" w:rsidRPr="004B3BF1" w:rsidRDefault="00B474C5" w:rsidP="00B474C5">
      <w:pPr>
        <w:jc w:val="both"/>
      </w:pPr>
      <w:r w:rsidRPr="004B3BF1">
        <w:t xml:space="preserve">      CSDD atbilstoši Centrālās statistikas pārvaldes izveidotajam un uzturētajam institucionālo vienību klasifikācijas sarakstam ir piederīga pie vispārējās valdības institucionālā sektora, kas savukārt nozīmē, ka šī institucionālā vienība ar savu saimnieciskās darbības rezultātu</w:t>
      </w:r>
      <w:r>
        <w:t xml:space="preserve"> </w:t>
      </w:r>
      <w:r w:rsidRPr="004B3BF1">
        <w:t xml:space="preserve">(veiktajiem kapitālieguldījumiem, nekustamā īpašuma atsavināšanu,  peļņu/zaudējumiem u.c. rādītājiem) Eiropas kontu sistēmas </w:t>
      </w:r>
      <w:proofErr w:type="gramStart"/>
      <w:r w:rsidRPr="004B3BF1">
        <w:t>(</w:t>
      </w:r>
      <w:proofErr w:type="gramEnd"/>
      <w:r w:rsidRPr="004B3BF1">
        <w:t>turpmāk – EKS) metodoloģijas izpratnē ietekmē vispārējās valdības budžeta bilanci (neto aizdevumus/neto aizņēmumus). </w:t>
      </w:r>
    </w:p>
    <w:p w14:paraId="66B9F2EC" w14:textId="77777777" w:rsidR="00B474C5" w:rsidRPr="004B3BF1" w:rsidRDefault="00B474C5" w:rsidP="00B474C5">
      <w:pPr>
        <w:jc w:val="both"/>
      </w:pPr>
      <w:r>
        <w:t xml:space="preserve">     </w:t>
      </w:r>
      <w:r w:rsidRPr="004B3BF1">
        <w:t xml:space="preserve">Atbilstoši EKS metodoloģijai </w:t>
      </w:r>
      <w:r>
        <w:t xml:space="preserve">II posmā paredzēto fotoradaru un to mulāžu iegādes, un </w:t>
      </w:r>
      <w:r w:rsidRPr="004B3BF1">
        <w:t>uzstādīšana</w:t>
      </w:r>
      <w:r>
        <w:t>s</w:t>
      </w:r>
      <w:proofErr w:type="gramStart"/>
      <w:r w:rsidRPr="004B3BF1">
        <w:t xml:space="preserve"> </w:t>
      </w:r>
      <w:r>
        <w:t xml:space="preserve"> </w:t>
      </w:r>
      <w:proofErr w:type="gramEnd"/>
      <w:r>
        <w:t>izdevumi</w:t>
      </w:r>
      <w:r w:rsidRPr="004B3BF1">
        <w:t xml:space="preserve"> laikposmā no 2021. līdz 2023.gadam tiks uzskaitīti kā vispārējās valdības budžeta izdevumi un sekojoši provizoriski pasliktinās vispārējās valdības budžeta bilanci (fiskālo telpu) kapitālo ieguldījumu un ar to saistīto izmaksu </w:t>
      </w:r>
      <w:r w:rsidRPr="004B3BF1">
        <w:lastRenderedPageBreak/>
        <w:t xml:space="preserve">apmērā. </w:t>
      </w:r>
      <w:r>
        <w:t>A</w:t>
      </w:r>
      <w:r w:rsidRPr="004B3BF1">
        <w:t>tbilstoši EKS metodoloģijai iepriekšminēto pasākumu finansēšana no CSDD valsts budžetā neiemaksātajām dividendēm vai nolietojuma uzkrājuma nav atzīstami par papildu izdevumu neitralizējošiem pasākumiem (</w:t>
      </w:r>
      <w:proofErr w:type="gramStart"/>
      <w:r w:rsidRPr="004B3BF1">
        <w:t>t.i.</w:t>
      </w:r>
      <w:proofErr w:type="gramEnd"/>
      <w:r w:rsidRPr="004B3BF1">
        <w:t xml:space="preserve"> tie nav ieņēmumi un tie nesamazina plānotos izdevumus).</w:t>
      </w:r>
      <w:r w:rsidRPr="00DB7E42">
        <w:rPr>
          <w:sz w:val="20"/>
          <w:szCs w:val="20"/>
          <w:shd w:val="clear" w:color="auto" w:fill="FFFFFF"/>
        </w:rPr>
        <w:t xml:space="preserve"> </w:t>
      </w:r>
    </w:p>
    <w:p w14:paraId="06A940F9" w14:textId="77777777" w:rsidR="00B474C5" w:rsidRDefault="00B474C5" w:rsidP="00B474C5">
      <w:pPr>
        <w:jc w:val="both"/>
      </w:pPr>
      <w:r>
        <w:t xml:space="preserve">     P</w:t>
      </w:r>
      <w:r w:rsidRPr="004B3BF1">
        <w:t xml:space="preserve">ar negatīvās ietekmes mazinošu vai neitralizējošu pasākumu var uzskatīt fotoradaru darbības rezultātā gūtos papildu valsts budžeta ieņēmumus, kuri nav jau attiecināti vai rezervēti pret citām izdevumu pozīcijām. </w:t>
      </w:r>
    </w:p>
    <w:p w14:paraId="79ED6175" w14:textId="79D536D9" w:rsidR="00FF24A3" w:rsidRDefault="00FF24A3" w:rsidP="00F31194">
      <w:pPr>
        <w:jc w:val="right"/>
      </w:pPr>
      <w:r>
        <w:t>10.tabula</w:t>
      </w:r>
    </w:p>
    <w:p w14:paraId="1F9DC32A" w14:textId="6D651A13" w:rsidR="00FF24A3" w:rsidRPr="00F31194" w:rsidRDefault="00FF24A3" w:rsidP="00F31194">
      <w:pPr>
        <w:jc w:val="center"/>
        <w:rPr>
          <w:b/>
        </w:rPr>
      </w:pPr>
      <w:r w:rsidRPr="00F31194">
        <w:rPr>
          <w:b/>
        </w:rPr>
        <w:t>Prognozētās ietekmes novērtējums</w:t>
      </w:r>
      <w:r w:rsidR="00A259BE">
        <w:rPr>
          <w:b/>
        </w:rPr>
        <w:t xml:space="preserve"> (</w:t>
      </w:r>
      <w:r w:rsidR="00126DB4">
        <w:rPr>
          <w:b/>
        </w:rPr>
        <w:t>I</w:t>
      </w:r>
      <w:r w:rsidR="00A259BE">
        <w:rPr>
          <w:b/>
        </w:rPr>
        <w:t>I</w:t>
      </w:r>
      <w:r w:rsidR="00126DB4">
        <w:rPr>
          <w:b/>
        </w:rPr>
        <w:t xml:space="preserve"> posms</w:t>
      </w:r>
      <w:r w:rsidR="00A259BE">
        <w:rPr>
          <w:b/>
        </w:rPr>
        <w:t>)</w:t>
      </w:r>
    </w:p>
    <w:p w14:paraId="262E3FE3" w14:textId="77777777" w:rsidR="00B474C5" w:rsidRPr="00F31194" w:rsidRDefault="00B474C5" w:rsidP="00F31194">
      <w:pPr>
        <w:jc w:val="center"/>
        <w:rPr>
          <w:b/>
        </w:rPr>
      </w:pPr>
    </w:p>
    <w:tbl>
      <w:tblPr>
        <w:tblStyle w:val="TableGrid"/>
        <w:tblW w:w="8364" w:type="dxa"/>
        <w:tblInd w:w="137" w:type="dxa"/>
        <w:tblLook w:val="04A0" w:firstRow="1" w:lastRow="0" w:firstColumn="1" w:lastColumn="0" w:noHBand="0" w:noVBand="1"/>
      </w:tblPr>
      <w:tblGrid>
        <w:gridCol w:w="1985"/>
        <w:gridCol w:w="1275"/>
        <w:gridCol w:w="1276"/>
        <w:gridCol w:w="1276"/>
        <w:gridCol w:w="1276"/>
        <w:gridCol w:w="1276"/>
      </w:tblGrid>
      <w:tr w:rsidR="00B474C5" w14:paraId="2BE4072A" w14:textId="77777777" w:rsidTr="001621B6">
        <w:tc>
          <w:tcPr>
            <w:tcW w:w="1985" w:type="dxa"/>
          </w:tcPr>
          <w:p w14:paraId="5755C07B" w14:textId="77777777" w:rsidR="00B474C5" w:rsidRPr="004B3BF1" w:rsidRDefault="00B474C5" w:rsidP="00B474C5">
            <w:pPr>
              <w:jc w:val="both"/>
              <w:rPr>
                <w:sz w:val="20"/>
                <w:szCs w:val="20"/>
              </w:rPr>
            </w:pPr>
          </w:p>
        </w:tc>
        <w:tc>
          <w:tcPr>
            <w:tcW w:w="1275" w:type="dxa"/>
          </w:tcPr>
          <w:p w14:paraId="0FC6006F" w14:textId="77777777" w:rsidR="00B474C5" w:rsidRPr="00F31194" w:rsidRDefault="00B474C5" w:rsidP="00F31194">
            <w:pPr>
              <w:jc w:val="center"/>
              <w:rPr>
                <w:b/>
                <w:sz w:val="20"/>
                <w:szCs w:val="20"/>
              </w:rPr>
            </w:pPr>
            <w:r w:rsidRPr="00F31194">
              <w:rPr>
                <w:b/>
                <w:sz w:val="20"/>
                <w:szCs w:val="20"/>
              </w:rPr>
              <w:t>2021.</w:t>
            </w:r>
          </w:p>
        </w:tc>
        <w:tc>
          <w:tcPr>
            <w:tcW w:w="1276" w:type="dxa"/>
          </w:tcPr>
          <w:p w14:paraId="3A0B5C52" w14:textId="77777777" w:rsidR="00B474C5" w:rsidRPr="00F31194" w:rsidRDefault="00B474C5" w:rsidP="00F31194">
            <w:pPr>
              <w:jc w:val="center"/>
              <w:rPr>
                <w:b/>
                <w:sz w:val="20"/>
                <w:szCs w:val="20"/>
              </w:rPr>
            </w:pPr>
            <w:r w:rsidRPr="00F31194">
              <w:rPr>
                <w:b/>
                <w:sz w:val="20"/>
                <w:szCs w:val="20"/>
              </w:rPr>
              <w:t>2022.</w:t>
            </w:r>
          </w:p>
        </w:tc>
        <w:tc>
          <w:tcPr>
            <w:tcW w:w="1276" w:type="dxa"/>
          </w:tcPr>
          <w:p w14:paraId="60E17FE4" w14:textId="77777777" w:rsidR="00B474C5" w:rsidRPr="00F31194" w:rsidRDefault="00B474C5" w:rsidP="00F31194">
            <w:pPr>
              <w:jc w:val="center"/>
              <w:rPr>
                <w:b/>
                <w:sz w:val="20"/>
                <w:szCs w:val="20"/>
              </w:rPr>
            </w:pPr>
            <w:r w:rsidRPr="00F31194">
              <w:rPr>
                <w:b/>
                <w:sz w:val="20"/>
                <w:szCs w:val="20"/>
              </w:rPr>
              <w:t>2023.</w:t>
            </w:r>
          </w:p>
        </w:tc>
        <w:tc>
          <w:tcPr>
            <w:tcW w:w="1276" w:type="dxa"/>
          </w:tcPr>
          <w:p w14:paraId="45F44052" w14:textId="77777777" w:rsidR="00B474C5" w:rsidRPr="00F31194" w:rsidRDefault="00B474C5" w:rsidP="00F31194">
            <w:pPr>
              <w:jc w:val="center"/>
              <w:rPr>
                <w:b/>
                <w:i/>
                <w:sz w:val="20"/>
                <w:szCs w:val="20"/>
              </w:rPr>
            </w:pPr>
            <w:r w:rsidRPr="00F31194">
              <w:rPr>
                <w:b/>
                <w:i/>
                <w:sz w:val="20"/>
                <w:szCs w:val="20"/>
              </w:rPr>
              <w:t>2024.</w:t>
            </w:r>
          </w:p>
        </w:tc>
        <w:tc>
          <w:tcPr>
            <w:tcW w:w="1276" w:type="dxa"/>
          </w:tcPr>
          <w:p w14:paraId="4654523F" w14:textId="77777777" w:rsidR="00B474C5" w:rsidRPr="00F31194" w:rsidRDefault="00B474C5" w:rsidP="00F31194">
            <w:pPr>
              <w:jc w:val="center"/>
              <w:rPr>
                <w:b/>
                <w:i/>
                <w:sz w:val="20"/>
                <w:szCs w:val="20"/>
              </w:rPr>
            </w:pPr>
            <w:r w:rsidRPr="00F31194">
              <w:rPr>
                <w:b/>
                <w:i/>
                <w:sz w:val="20"/>
                <w:szCs w:val="20"/>
              </w:rPr>
              <w:t>2025.</w:t>
            </w:r>
          </w:p>
        </w:tc>
      </w:tr>
      <w:tr w:rsidR="00B474C5" w14:paraId="6AF8E373" w14:textId="77777777" w:rsidTr="001621B6">
        <w:tc>
          <w:tcPr>
            <w:tcW w:w="1985" w:type="dxa"/>
            <w:vAlign w:val="center"/>
          </w:tcPr>
          <w:p w14:paraId="65F3ACA6" w14:textId="77777777" w:rsidR="00B474C5" w:rsidRPr="004B3BF1" w:rsidRDefault="00B474C5" w:rsidP="001621B6">
            <w:pPr>
              <w:rPr>
                <w:sz w:val="20"/>
                <w:szCs w:val="20"/>
              </w:rPr>
            </w:pPr>
            <w:r w:rsidRPr="004B3BF1">
              <w:rPr>
                <w:sz w:val="20"/>
                <w:szCs w:val="20"/>
              </w:rPr>
              <w:t>CSDD kapitālie ieguldījumi</w:t>
            </w:r>
          </w:p>
        </w:tc>
        <w:tc>
          <w:tcPr>
            <w:tcW w:w="1275" w:type="dxa"/>
            <w:vAlign w:val="center"/>
          </w:tcPr>
          <w:p w14:paraId="503346B4" w14:textId="77777777" w:rsidR="00B474C5" w:rsidRPr="004B3BF1" w:rsidRDefault="00B474C5" w:rsidP="001621B6">
            <w:pPr>
              <w:jc w:val="center"/>
              <w:rPr>
                <w:sz w:val="20"/>
                <w:szCs w:val="20"/>
              </w:rPr>
            </w:pPr>
            <w:r w:rsidRPr="004B3BF1">
              <w:rPr>
                <w:sz w:val="20"/>
                <w:szCs w:val="20"/>
              </w:rPr>
              <w:t>1 486 125</w:t>
            </w:r>
          </w:p>
        </w:tc>
        <w:tc>
          <w:tcPr>
            <w:tcW w:w="1276" w:type="dxa"/>
            <w:vAlign w:val="center"/>
          </w:tcPr>
          <w:p w14:paraId="5A2C3E88" w14:textId="77777777" w:rsidR="00B474C5" w:rsidRPr="004B3BF1" w:rsidRDefault="00B474C5" w:rsidP="001621B6">
            <w:pPr>
              <w:jc w:val="center"/>
              <w:rPr>
                <w:sz w:val="20"/>
                <w:szCs w:val="20"/>
              </w:rPr>
            </w:pPr>
            <w:r w:rsidRPr="004B3BF1">
              <w:rPr>
                <w:sz w:val="20"/>
                <w:szCs w:val="20"/>
              </w:rPr>
              <w:t>1 684 275</w:t>
            </w:r>
          </w:p>
        </w:tc>
        <w:tc>
          <w:tcPr>
            <w:tcW w:w="1276" w:type="dxa"/>
            <w:vAlign w:val="center"/>
          </w:tcPr>
          <w:p w14:paraId="6E67CAC2" w14:textId="77777777" w:rsidR="00B474C5" w:rsidRPr="004B3BF1" w:rsidRDefault="00B474C5" w:rsidP="001621B6">
            <w:pPr>
              <w:jc w:val="center"/>
              <w:rPr>
                <w:sz w:val="20"/>
                <w:szCs w:val="20"/>
              </w:rPr>
            </w:pPr>
            <w:r w:rsidRPr="004B3BF1">
              <w:rPr>
                <w:sz w:val="20"/>
                <w:szCs w:val="20"/>
              </w:rPr>
              <w:t>1 783 350</w:t>
            </w:r>
          </w:p>
        </w:tc>
        <w:tc>
          <w:tcPr>
            <w:tcW w:w="1276" w:type="dxa"/>
            <w:vAlign w:val="center"/>
          </w:tcPr>
          <w:p w14:paraId="1EDA6F23" w14:textId="77777777" w:rsidR="00B474C5" w:rsidRPr="001621B6" w:rsidRDefault="00B474C5" w:rsidP="001621B6">
            <w:pPr>
              <w:jc w:val="center"/>
              <w:rPr>
                <w:sz w:val="20"/>
                <w:szCs w:val="20"/>
              </w:rPr>
            </w:pPr>
            <w:r w:rsidRPr="001621B6">
              <w:rPr>
                <w:sz w:val="20"/>
                <w:szCs w:val="20"/>
              </w:rPr>
              <w:t>0</w:t>
            </w:r>
          </w:p>
        </w:tc>
        <w:tc>
          <w:tcPr>
            <w:tcW w:w="1276" w:type="dxa"/>
            <w:vAlign w:val="center"/>
          </w:tcPr>
          <w:p w14:paraId="3CE65287" w14:textId="77777777" w:rsidR="00B474C5" w:rsidRPr="001621B6" w:rsidRDefault="00B474C5" w:rsidP="001621B6">
            <w:pPr>
              <w:jc w:val="center"/>
              <w:rPr>
                <w:sz w:val="20"/>
                <w:szCs w:val="20"/>
              </w:rPr>
            </w:pPr>
            <w:r w:rsidRPr="001621B6">
              <w:rPr>
                <w:sz w:val="20"/>
                <w:szCs w:val="20"/>
              </w:rPr>
              <w:t>0</w:t>
            </w:r>
          </w:p>
        </w:tc>
      </w:tr>
      <w:tr w:rsidR="00B474C5" w14:paraId="298B150E" w14:textId="77777777" w:rsidTr="001621B6">
        <w:tc>
          <w:tcPr>
            <w:tcW w:w="1985" w:type="dxa"/>
            <w:vAlign w:val="center"/>
          </w:tcPr>
          <w:p w14:paraId="693AADE2" w14:textId="77777777" w:rsidR="00B474C5" w:rsidRPr="004B3BF1" w:rsidRDefault="00B474C5" w:rsidP="001621B6">
            <w:pPr>
              <w:rPr>
                <w:sz w:val="20"/>
                <w:szCs w:val="20"/>
              </w:rPr>
            </w:pPr>
            <w:r w:rsidRPr="004B3BF1">
              <w:rPr>
                <w:sz w:val="20"/>
                <w:szCs w:val="20"/>
              </w:rPr>
              <w:t>Papildu valsts budžeta ieņēmumi (II posms</w:t>
            </w:r>
            <w:r>
              <w:rPr>
                <w:sz w:val="20"/>
                <w:szCs w:val="20"/>
              </w:rPr>
              <w:t>, 4.pielikuma 6.tabula</w:t>
            </w:r>
            <w:r w:rsidRPr="004B3BF1">
              <w:rPr>
                <w:sz w:val="20"/>
                <w:szCs w:val="20"/>
              </w:rPr>
              <w:t>)</w:t>
            </w:r>
          </w:p>
        </w:tc>
        <w:tc>
          <w:tcPr>
            <w:tcW w:w="1275" w:type="dxa"/>
            <w:vAlign w:val="center"/>
          </w:tcPr>
          <w:p w14:paraId="0B2DA1BA" w14:textId="523C430E" w:rsidR="00B474C5" w:rsidRPr="004B3BF1" w:rsidRDefault="008F1B25" w:rsidP="001621B6">
            <w:pPr>
              <w:jc w:val="center"/>
              <w:rPr>
                <w:sz w:val="20"/>
                <w:szCs w:val="20"/>
              </w:rPr>
            </w:pPr>
            <w:r>
              <w:rPr>
                <w:sz w:val="20"/>
                <w:szCs w:val="20"/>
              </w:rPr>
              <w:t>2</w:t>
            </w:r>
            <w:r w:rsidR="00057B74">
              <w:rPr>
                <w:sz w:val="20"/>
                <w:szCs w:val="20"/>
              </w:rPr>
              <w:t xml:space="preserve"> </w:t>
            </w:r>
            <w:r>
              <w:rPr>
                <w:sz w:val="20"/>
                <w:szCs w:val="20"/>
              </w:rPr>
              <w:t>684</w:t>
            </w:r>
          </w:p>
        </w:tc>
        <w:tc>
          <w:tcPr>
            <w:tcW w:w="1276" w:type="dxa"/>
            <w:vAlign w:val="center"/>
          </w:tcPr>
          <w:p w14:paraId="70A22240" w14:textId="4A695E8F" w:rsidR="00B474C5" w:rsidRPr="004B3BF1" w:rsidRDefault="008F1B25" w:rsidP="001621B6">
            <w:pPr>
              <w:jc w:val="center"/>
              <w:rPr>
                <w:sz w:val="20"/>
                <w:szCs w:val="20"/>
              </w:rPr>
            </w:pPr>
            <w:r>
              <w:rPr>
                <w:sz w:val="20"/>
                <w:szCs w:val="20"/>
              </w:rPr>
              <w:t>36 516</w:t>
            </w:r>
          </w:p>
        </w:tc>
        <w:tc>
          <w:tcPr>
            <w:tcW w:w="1276" w:type="dxa"/>
            <w:vAlign w:val="center"/>
          </w:tcPr>
          <w:p w14:paraId="1708EE9C" w14:textId="475D804C" w:rsidR="00B474C5" w:rsidRPr="004B3BF1" w:rsidRDefault="008F1B25" w:rsidP="001621B6">
            <w:pPr>
              <w:jc w:val="center"/>
              <w:rPr>
                <w:sz w:val="20"/>
                <w:szCs w:val="20"/>
              </w:rPr>
            </w:pPr>
            <w:r>
              <w:rPr>
                <w:sz w:val="20"/>
                <w:szCs w:val="20"/>
              </w:rPr>
              <w:t>151 071</w:t>
            </w:r>
          </w:p>
        </w:tc>
        <w:tc>
          <w:tcPr>
            <w:tcW w:w="1276" w:type="dxa"/>
            <w:vAlign w:val="center"/>
          </w:tcPr>
          <w:p w14:paraId="4CB685CD" w14:textId="690FB01C" w:rsidR="00B474C5" w:rsidRPr="00F31194" w:rsidRDefault="008F1B25" w:rsidP="001621B6">
            <w:pPr>
              <w:jc w:val="center"/>
              <w:rPr>
                <w:sz w:val="20"/>
                <w:szCs w:val="20"/>
              </w:rPr>
            </w:pPr>
            <w:r w:rsidRPr="00F31194">
              <w:rPr>
                <w:sz w:val="20"/>
                <w:szCs w:val="20"/>
              </w:rPr>
              <w:t>337 784</w:t>
            </w:r>
          </w:p>
        </w:tc>
        <w:tc>
          <w:tcPr>
            <w:tcW w:w="1276" w:type="dxa"/>
            <w:vAlign w:val="center"/>
          </w:tcPr>
          <w:p w14:paraId="1137ECFB" w14:textId="19E40D79" w:rsidR="00B474C5" w:rsidRPr="00F31194" w:rsidRDefault="008F1B25" w:rsidP="001621B6">
            <w:pPr>
              <w:jc w:val="center"/>
              <w:rPr>
                <w:sz w:val="20"/>
                <w:szCs w:val="20"/>
              </w:rPr>
            </w:pPr>
            <w:r w:rsidRPr="00F31194">
              <w:rPr>
                <w:sz w:val="20"/>
                <w:szCs w:val="20"/>
              </w:rPr>
              <w:t>337 784</w:t>
            </w:r>
          </w:p>
        </w:tc>
      </w:tr>
      <w:tr w:rsidR="00B474C5" w14:paraId="0FDB55AD" w14:textId="77777777" w:rsidTr="001621B6">
        <w:tc>
          <w:tcPr>
            <w:tcW w:w="1985" w:type="dxa"/>
            <w:vAlign w:val="center"/>
          </w:tcPr>
          <w:p w14:paraId="6791DC10" w14:textId="77777777" w:rsidR="00B474C5" w:rsidRPr="004B3BF1" w:rsidRDefault="00B474C5" w:rsidP="001621B6">
            <w:pPr>
              <w:rPr>
                <w:sz w:val="20"/>
                <w:szCs w:val="20"/>
              </w:rPr>
            </w:pPr>
            <w:r w:rsidRPr="004B3BF1">
              <w:rPr>
                <w:sz w:val="20"/>
                <w:szCs w:val="20"/>
              </w:rPr>
              <w:t>Ietekme</w:t>
            </w:r>
          </w:p>
        </w:tc>
        <w:tc>
          <w:tcPr>
            <w:tcW w:w="1275" w:type="dxa"/>
          </w:tcPr>
          <w:p w14:paraId="61B45071" w14:textId="6734F5C7" w:rsidR="00B474C5" w:rsidRPr="004B3BF1" w:rsidRDefault="008F1B25" w:rsidP="00B474C5">
            <w:pPr>
              <w:jc w:val="both"/>
              <w:rPr>
                <w:sz w:val="20"/>
                <w:szCs w:val="20"/>
              </w:rPr>
            </w:pPr>
            <w:r>
              <w:rPr>
                <w:sz w:val="20"/>
                <w:szCs w:val="20"/>
              </w:rPr>
              <w:t>  - 1 483 441</w:t>
            </w:r>
          </w:p>
        </w:tc>
        <w:tc>
          <w:tcPr>
            <w:tcW w:w="1276" w:type="dxa"/>
          </w:tcPr>
          <w:p w14:paraId="5D7ED7D7" w14:textId="20A2EF1B" w:rsidR="00B474C5" w:rsidRPr="004B3BF1" w:rsidRDefault="008F1B25" w:rsidP="00D76FD0">
            <w:pPr>
              <w:jc w:val="both"/>
              <w:rPr>
                <w:sz w:val="20"/>
                <w:szCs w:val="20"/>
              </w:rPr>
            </w:pPr>
            <w:r>
              <w:rPr>
                <w:sz w:val="20"/>
                <w:szCs w:val="20"/>
              </w:rPr>
              <w:t xml:space="preserve"> - </w:t>
            </w:r>
            <w:r w:rsidR="00D76FD0">
              <w:rPr>
                <w:sz w:val="20"/>
                <w:szCs w:val="20"/>
              </w:rPr>
              <w:t>1 647 759</w:t>
            </w:r>
          </w:p>
        </w:tc>
        <w:tc>
          <w:tcPr>
            <w:tcW w:w="1276" w:type="dxa"/>
          </w:tcPr>
          <w:p w14:paraId="662B364F" w14:textId="1CD19B52" w:rsidR="00B474C5" w:rsidRPr="004B3BF1" w:rsidRDefault="008F1B25" w:rsidP="009E573E">
            <w:pPr>
              <w:jc w:val="both"/>
              <w:rPr>
                <w:sz w:val="20"/>
                <w:szCs w:val="20"/>
              </w:rPr>
            </w:pPr>
            <w:r>
              <w:rPr>
                <w:sz w:val="20"/>
                <w:szCs w:val="20"/>
              </w:rPr>
              <w:t> </w:t>
            </w:r>
            <w:r w:rsidR="009E573E">
              <w:rPr>
                <w:sz w:val="20"/>
                <w:szCs w:val="20"/>
              </w:rPr>
              <w:t xml:space="preserve"> </w:t>
            </w:r>
            <w:r w:rsidR="0011245C">
              <w:rPr>
                <w:sz w:val="20"/>
                <w:szCs w:val="20"/>
              </w:rPr>
              <w:t xml:space="preserve"> -</w:t>
            </w:r>
            <w:r w:rsidR="00F22802">
              <w:rPr>
                <w:sz w:val="20"/>
                <w:szCs w:val="20"/>
              </w:rPr>
              <w:t xml:space="preserve"> </w:t>
            </w:r>
            <w:r w:rsidR="009E573E">
              <w:rPr>
                <w:sz w:val="20"/>
                <w:szCs w:val="20"/>
              </w:rPr>
              <w:t>1 632 279</w:t>
            </w:r>
          </w:p>
        </w:tc>
        <w:tc>
          <w:tcPr>
            <w:tcW w:w="1276" w:type="dxa"/>
          </w:tcPr>
          <w:p w14:paraId="22CF616C" w14:textId="36155469" w:rsidR="00B474C5" w:rsidRPr="00F31194" w:rsidRDefault="00F22802" w:rsidP="0011245C">
            <w:pPr>
              <w:jc w:val="both"/>
              <w:rPr>
                <w:i/>
                <w:sz w:val="20"/>
                <w:szCs w:val="20"/>
              </w:rPr>
            </w:pPr>
            <w:r>
              <w:rPr>
                <w:i/>
                <w:sz w:val="20"/>
                <w:szCs w:val="20"/>
              </w:rPr>
              <w:t xml:space="preserve">+ </w:t>
            </w:r>
            <w:r w:rsidR="0011245C">
              <w:rPr>
                <w:i/>
                <w:sz w:val="20"/>
                <w:szCs w:val="20"/>
              </w:rPr>
              <w:t>337 784</w:t>
            </w:r>
          </w:p>
        </w:tc>
        <w:tc>
          <w:tcPr>
            <w:tcW w:w="1276" w:type="dxa"/>
          </w:tcPr>
          <w:p w14:paraId="08D93538" w14:textId="713D4DC3" w:rsidR="00B474C5" w:rsidRPr="00F31194" w:rsidRDefault="0011245C" w:rsidP="0011245C">
            <w:pPr>
              <w:jc w:val="both"/>
              <w:rPr>
                <w:i/>
                <w:sz w:val="20"/>
                <w:szCs w:val="20"/>
              </w:rPr>
            </w:pPr>
            <w:r>
              <w:rPr>
                <w:i/>
                <w:sz w:val="20"/>
                <w:szCs w:val="20"/>
              </w:rPr>
              <w:t> </w:t>
            </w:r>
            <w:r w:rsidR="00F22802">
              <w:rPr>
                <w:i/>
                <w:sz w:val="20"/>
                <w:szCs w:val="20"/>
              </w:rPr>
              <w:t xml:space="preserve">+ </w:t>
            </w:r>
            <w:r>
              <w:rPr>
                <w:i/>
                <w:sz w:val="20"/>
                <w:szCs w:val="20"/>
              </w:rPr>
              <w:t>337 784</w:t>
            </w:r>
          </w:p>
        </w:tc>
      </w:tr>
      <w:tr w:rsidR="00B474C5" w14:paraId="056ADF44" w14:textId="77777777" w:rsidTr="001621B6">
        <w:trPr>
          <w:trHeight w:val="340"/>
        </w:trPr>
        <w:tc>
          <w:tcPr>
            <w:tcW w:w="1985" w:type="dxa"/>
            <w:vAlign w:val="center"/>
          </w:tcPr>
          <w:p w14:paraId="6C728764" w14:textId="77777777" w:rsidR="00B474C5" w:rsidRPr="004B3BF1" w:rsidRDefault="00B474C5" w:rsidP="001621B6">
            <w:pPr>
              <w:rPr>
                <w:sz w:val="20"/>
                <w:szCs w:val="20"/>
              </w:rPr>
            </w:pPr>
            <w:r>
              <w:rPr>
                <w:sz w:val="20"/>
                <w:szCs w:val="20"/>
              </w:rPr>
              <w:t>Ietekme 2021.-2025.</w:t>
            </w:r>
          </w:p>
        </w:tc>
        <w:tc>
          <w:tcPr>
            <w:tcW w:w="6379" w:type="dxa"/>
            <w:gridSpan w:val="5"/>
            <w:vAlign w:val="center"/>
          </w:tcPr>
          <w:p w14:paraId="00C0F45A" w14:textId="49BA3D87" w:rsidR="00B474C5" w:rsidRPr="001621B6" w:rsidRDefault="00F22802" w:rsidP="001621B6">
            <w:pPr>
              <w:jc w:val="center"/>
              <w:rPr>
                <w:b/>
                <w:sz w:val="20"/>
                <w:szCs w:val="20"/>
              </w:rPr>
            </w:pPr>
            <w:r w:rsidRPr="001621B6">
              <w:rPr>
                <w:b/>
                <w:sz w:val="20"/>
                <w:szCs w:val="20"/>
              </w:rPr>
              <w:t>– 4 087 911</w:t>
            </w:r>
          </w:p>
        </w:tc>
      </w:tr>
    </w:tbl>
    <w:p w14:paraId="56EF7AC7" w14:textId="77777777" w:rsidR="00B474C5" w:rsidRPr="00F31194" w:rsidRDefault="00B474C5" w:rsidP="00F31194">
      <w:pPr>
        <w:pStyle w:val="tv213"/>
        <w:spacing w:before="0" w:beforeAutospacing="0" w:after="0" w:afterAutospacing="0"/>
        <w:rPr>
          <w:b/>
        </w:rPr>
      </w:pPr>
    </w:p>
    <w:p w14:paraId="79FE3694" w14:textId="0BED0875" w:rsidR="00DB7E42" w:rsidRDefault="006E4783" w:rsidP="00F31194">
      <w:pPr>
        <w:framePr w:hSpace="180" w:wrap="around" w:vAnchor="text" w:hAnchor="text" w:y="1"/>
        <w:suppressOverlap/>
        <w:jc w:val="both"/>
        <w:rPr>
          <w:b/>
          <w:sz w:val="28"/>
          <w:szCs w:val="28"/>
        </w:rPr>
      </w:pPr>
      <w:r w:rsidRPr="00F31194">
        <w:t xml:space="preserve">      </w:t>
      </w:r>
    </w:p>
    <w:p w14:paraId="5647402D" w14:textId="77777777" w:rsidR="007577EF" w:rsidRPr="00F163BC" w:rsidRDefault="007577EF" w:rsidP="006142E9">
      <w:pPr>
        <w:ind w:firstLine="720"/>
        <w:jc w:val="center"/>
        <w:rPr>
          <w:b/>
          <w:sz w:val="28"/>
          <w:szCs w:val="28"/>
        </w:rPr>
      </w:pPr>
      <w:r w:rsidRPr="00F163BC">
        <w:rPr>
          <w:b/>
          <w:sz w:val="28"/>
          <w:szCs w:val="28"/>
        </w:rPr>
        <w:t xml:space="preserve">3.modelis </w:t>
      </w:r>
    </w:p>
    <w:p w14:paraId="0675DB30" w14:textId="77777777" w:rsidR="007577EF" w:rsidRPr="00F163BC" w:rsidRDefault="007577EF" w:rsidP="007577EF">
      <w:pPr>
        <w:jc w:val="both"/>
        <w:rPr>
          <w:b/>
          <w:i/>
          <w:sz w:val="28"/>
          <w:szCs w:val="28"/>
        </w:rPr>
      </w:pPr>
      <w:r w:rsidRPr="00F163BC">
        <w:rPr>
          <w:b/>
          <w:i/>
          <w:sz w:val="28"/>
          <w:szCs w:val="28"/>
        </w:rPr>
        <w:t xml:space="preserve">Fotoradaru iegādi un uzstādīšanu nodrošina CSDD no valstij izmaksājamām dividendēm, </w:t>
      </w:r>
      <w:proofErr w:type="gramStart"/>
      <w:r w:rsidRPr="00F163BC">
        <w:rPr>
          <w:b/>
          <w:i/>
          <w:sz w:val="28"/>
          <w:szCs w:val="28"/>
        </w:rPr>
        <w:t>kas netiek</w:t>
      </w:r>
      <w:proofErr w:type="gramEnd"/>
      <w:r w:rsidRPr="00F163BC">
        <w:rPr>
          <w:b/>
          <w:i/>
          <w:sz w:val="28"/>
          <w:szCs w:val="28"/>
        </w:rPr>
        <w:t xml:space="preserve"> ieskaitītas valsts pamatbudžeta ieņēmumos, veidojot nolietojuma uzkrājumu no valsts budžeta līdzekļiem, ko paredzēts izlietot iegādāto fotoradaru atjaunošanai</w:t>
      </w:r>
    </w:p>
    <w:p w14:paraId="726675EF" w14:textId="77777777" w:rsidR="007577EF" w:rsidRPr="00F163BC" w:rsidRDefault="007577EF" w:rsidP="007577EF">
      <w:pPr>
        <w:jc w:val="both"/>
        <w:rPr>
          <w:b/>
        </w:rPr>
      </w:pPr>
    </w:p>
    <w:p w14:paraId="5FC74630" w14:textId="3B1EB8C6" w:rsidR="007577EF" w:rsidRPr="00F163BC" w:rsidRDefault="007577EF" w:rsidP="007577EF">
      <w:pPr>
        <w:jc w:val="both"/>
        <w:rPr>
          <w:b/>
        </w:rPr>
      </w:pPr>
      <w:r w:rsidRPr="00F163BC">
        <w:rPr>
          <w:b/>
        </w:rPr>
        <w:t xml:space="preserve">Tiesiskais </w:t>
      </w:r>
      <w:r w:rsidR="00984DF9">
        <w:rPr>
          <w:b/>
        </w:rPr>
        <w:t>regulējums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7577EF" w:rsidRPr="00F163BC" w14:paraId="5C767B63" w14:textId="77777777" w:rsidTr="00EE1FC3">
        <w:tc>
          <w:tcPr>
            <w:tcW w:w="9321" w:type="dxa"/>
            <w:tcBorders>
              <w:top w:val="single" w:sz="4" w:space="0" w:color="auto"/>
              <w:left w:val="single" w:sz="4" w:space="0" w:color="auto"/>
              <w:bottom w:val="single" w:sz="4" w:space="0" w:color="auto"/>
              <w:right w:val="single" w:sz="4" w:space="0" w:color="auto"/>
            </w:tcBorders>
          </w:tcPr>
          <w:p w14:paraId="7ADC7CB8" w14:textId="77777777" w:rsidR="007577EF" w:rsidRPr="00F163BC" w:rsidRDefault="007577EF" w:rsidP="00EE1FC3">
            <w:pPr>
              <w:pStyle w:val="tv213"/>
              <w:spacing w:before="0" w:beforeAutospacing="0" w:after="0" w:afterAutospacing="0"/>
              <w:jc w:val="both"/>
            </w:pPr>
            <w:r w:rsidRPr="00F163BC">
              <w:t xml:space="preserve">- Publiskas personas kapitāla daļu un kapitālsabiedrību pārvaldības likuma </w:t>
            </w:r>
            <w:proofErr w:type="gramStart"/>
            <w:r w:rsidRPr="00F163BC">
              <w:t>28.pants</w:t>
            </w:r>
            <w:proofErr w:type="gramEnd"/>
          </w:p>
          <w:p w14:paraId="77A9A483" w14:textId="77777777" w:rsidR="007577EF" w:rsidRPr="00F163BC" w:rsidRDefault="007577EF" w:rsidP="00EE1FC3">
            <w:pPr>
              <w:pStyle w:val="tv213"/>
              <w:spacing w:before="0" w:beforeAutospacing="0" w:after="0" w:afterAutospacing="0"/>
              <w:jc w:val="both"/>
            </w:pPr>
            <w:r w:rsidRPr="00F163BC">
              <w:t>- 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p w14:paraId="42193797" w14:textId="77777777" w:rsidR="007577EF" w:rsidRPr="00F163BC" w:rsidRDefault="007577EF" w:rsidP="00EE1FC3">
            <w:pPr>
              <w:pStyle w:val="tv213"/>
              <w:spacing w:before="0" w:beforeAutospacing="0" w:after="0" w:afterAutospacing="0"/>
              <w:jc w:val="both"/>
            </w:pPr>
            <w:r w:rsidRPr="00F163BC">
              <w:t xml:space="preserve">- ikgadējs Ministru kabineta rīkojums par dividendēm, </w:t>
            </w:r>
            <w:proofErr w:type="gramStart"/>
            <w:r w:rsidRPr="00F163BC">
              <w:t>nosakot, ka tās tiek</w:t>
            </w:r>
            <w:proofErr w:type="gramEnd"/>
            <w:r w:rsidRPr="00F163BC">
              <w:t xml:space="preserve"> atstātas CSDD rīcībā šim mērķim.</w:t>
            </w:r>
          </w:p>
        </w:tc>
      </w:tr>
    </w:tbl>
    <w:p w14:paraId="48687582" w14:textId="77777777" w:rsidR="007577EF" w:rsidRPr="00F163BC" w:rsidRDefault="007577EF" w:rsidP="007577EF">
      <w:pPr>
        <w:pStyle w:val="tv213"/>
        <w:spacing w:before="0" w:beforeAutospacing="0" w:after="0" w:afterAutospacing="0"/>
        <w:jc w:val="both"/>
        <w:rPr>
          <w:i/>
        </w:rPr>
      </w:pPr>
    </w:p>
    <w:p w14:paraId="6A70CF52" w14:textId="77777777" w:rsidR="007577EF" w:rsidRPr="00F163BC" w:rsidRDefault="007577EF" w:rsidP="007577EF">
      <w:pPr>
        <w:jc w:val="both"/>
        <w:rPr>
          <w:b/>
        </w:rPr>
      </w:pPr>
      <w:r w:rsidRPr="00F163BC">
        <w:rPr>
          <w:b/>
        </w:rPr>
        <w:t>SVID analīze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8"/>
        <w:gridCol w:w="3902"/>
      </w:tblGrid>
      <w:tr w:rsidR="007577EF" w:rsidRPr="00F163BC" w14:paraId="24CD7FAF"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04CE677E" w14:textId="77777777" w:rsidR="007577EF" w:rsidRPr="00F163BC" w:rsidRDefault="007577EF" w:rsidP="00EE1FC3">
            <w:pPr>
              <w:jc w:val="center"/>
              <w:rPr>
                <w:i/>
                <w:iCs/>
              </w:rPr>
            </w:pPr>
            <w:r w:rsidRPr="00F163BC">
              <w:rPr>
                <w:i/>
                <w:iCs/>
              </w:rPr>
              <w:t>Stiprās puses</w:t>
            </w:r>
          </w:p>
        </w:tc>
        <w:tc>
          <w:tcPr>
            <w:tcW w:w="2326" w:type="pct"/>
            <w:tcBorders>
              <w:top w:val="outset" w:sz="6" w:space="0" w:color="auto"/>
              <w:left w:val="outset" w:sz="6" w:space="0" w:color="auto"/>
              <w:bottom w:val="outset" w:sz="6" w:space="0" w:color="auto"/>
              <w:right w:val="outset" w:sz="6" w:space="0" w:color="auto"/>
            </w:tcBorders>
            <w:hideMark/>
          </w:tcPr>
          <w:p w14:paraId="7D64F30F" w14:textId="77777777" w:rsidR="007577EF" w:rsidRPr="00F163BC" w:rsidRDefault="007577EF" w:rsidP="00EE1FC3">
            <w:pPr>
              <w:jc w:val="center"/>
              <w:rPr>
                <w:i/>
                <w:iCs/>
              </w:rPr>
            </w:pPr>
            <w:r w:rsidRPr="00F163BC">
              <w:rPr>
                <w:i/>
                <w:iCs/>
              </w:rPr>
              <w:t>Vājās puses</w:t>
            </w:r>
          </w:p>
        </w:tc>
      </w:tr>
      <w:tr w:rsidR="007577EF" w:rsidRPr="00F163BC" w14:paraId="2AEB3669"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7AA83284" w14:textId="77777777" w:rsidR="007577EF" w:rsidRPr="00F163BC" w:rsidRDefault="007577EF" w:rsidP="00EE1FC3">
            <w:pPr>
              <w:jc w:val="both"/>
            </w:pPr>
            <w:r w:rsidRPr="00F163BC">
              <w:t>√ Mazāks administratīvais slogs CSDD, Valsts policijai, Finanšu ministrijai, jo dividendes nav jāieplāno (jāieskaita) valsts pamatbudžeta ieņēmumos, lai pēc tam tās ieplānotu Iekšlietu ministrijas ieņēmumos un izdevumos, kas kā valsts budžeta līdzekļi (dotācija) caur Valsts policiju tiktu pārskaitīta atpakaļ CSDD. Nauda “paliek mājās”.</w:t>
            </w:r>
          </w:p>
        </w:tc>
        <w:tc>
          <w:tcPr>
            <w:tcW w:w="2326" w:type="pct"/>
            <w:tcBorders>
              <w:top w:val="outset" w:sz="6" w:space="0" w:color="auto"/>
              <w:left w:val="outset" w:sz="6" w:space="0" w:color="auto"/>
              <w:bottom w:val="outset" w:sz="6" w:space="0" w:color="auto"/>
              <w:right w:val="outset" w:sz="6" w:space="0" w:color="auto"/>
            </w:tcBorders>
          </w:tcPr>
          <w:p w14:paraId="21A6D8E8" w14:textId="77777777" w:rsidR="007577EF" w:rsidRPr="00F163BC" w:rsidRDefault="007577EF" w:rsidP="00EE1FC3">
            <w:pPr>
              <w:jc w:val="both"/>
            </w:pPr>
            <w:r w:rsidRPr="00F163BC">
              <w:t>√ Valsts budžetā netiek atspoguļoti visi ieņēmumi, kas valstij pienākas, un visi izdevumi, ko tai</w:t>
            </w:r>
            <w:proofErr w:type="gramStart"/>
            <w:r w:rsidRPr="00F163BC">
              <w:t xml:space="preserve">  </w:t>
            </w:r>
            <w:proofErr w:type="gramEnd"/>
            <w:r w:rsidRPr="00F163BC">
              <w:t>jāveic, lai nodrošinātu valsts pārvaldes deleģēta uzdevuma izpildi.</w:t>
            </w:r>
          </w:p>
          <w:p w14:paraId="18DC05F0" w14:textId="77777777" w:rsidR="007577EF" w:rsidRPr="00F163BC" w:rsidRDefault="007577EF" w:rsidP="00EE1FC3">
            <w:pPr>
              <w:jc w:val="both"/>
            </w:pPr>
            <w:r w:rsidRPr="00F163BC">
              <w:t>√ Ja dividenžu faktiskais apjoms būs mazāks par prognozēto, fotoradaru ieviešana var aizkavēties.</w:t>
            </w:r>
          </w:p>
          <w:p w14:paraId="4BDC90DE" w14:textId="77777777" w:rsidR="007577EF" w:rsidRPr="00F163BC" w:rsidRDefault="007577EF" w:rsidP="00EE1FC3">
            <w:pPr>
              <w:jc w:val="both"/>
            </w:pPr>
            <w:r w:rsidRPr="00F163BC">
              <w:t>√ Fotoradaru uzturēšanas un darbības nodrošināšanas izmaksas ievērojami lielākas, jo tiek veidots nolietojuma uzkrājums no valsts budžeta līdzekļiem fotoradaru atjaunošanai.</w:t>
            </w:r>
          </w:p>
          <w:p w14:paraId="67AE75D4" w14:textId="77777777" w:rsidR="007577EF" w:rsidRPr="00F163BC" w:rsidRDefault="007577EF" w:rsidP="00EE1FC3">
            <w:pPr>
              <w:jc w:val="both"/>
            </w:pPr>
            <w:r w:rsidRPr="00F163BC">
              <w:lastRenderedPageBreak/>
              <w:t>√ Līdz laikam, kamēr fotoradarus nav nepieciešams atjaunot, nolietojuma uzkrājums (valsts budžeta līdzekļi) ir CSDD rīcībā, un tā to var izlietot citiem mērķiem, kas var</w:t>
            </w:r>
            <w:proofErr w:type="gramStart"/>
            <w:r w:rsidRPr="00F163BC">
              <w:t xml:space="preserve">  </w:t>
            </w:r>
            <w:proofErr w:type="gramEnd"/>
            <w:r w:rsidRPr="00F163BC">
              <w:t xml:space="preserve">radīt finansējuma pieejamības risku. </w:t>
            </w:r>
          </w:p>
        </w:tc>
      </w:tr>
      <w:tr w:rsidR="007577EF" w:rsidRPr="00F163BC" w14:paraId="43E33FE9"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hideMark/>
          </w:tcPr>
          <w:p w14:paraId="1C931F4E" w14:textId="77777777" w:rsidR="007577EF" w:rsidRPr="00F163BC" w:rsidRDefault="007577EF" w:rsidP="00EE1FC3">
            <w:pPr>
              <w:jc w:val="center"/>
              <w:rPr>
                <w:i/>
                <w:iCs/>
              </w:rPr>
            </w:pPr>
            <w:r w:rsidRPr="00F163BC">
              <w:rPr>
                <w:i/>
                <w:iCs/>
              </w:rPr>
              <w:lastRenderedPageBreak/>
              <w:t>Iespējas</w:t>
            </w:r>
          </w:p>
        </w:tc>
        <w:tc>
          <w:tcPr>
            <w:tcW w:w="2326" w:type="pct"/>
            <w:tcBorders>
              <w:top w:val="outset" w:sz="6" w:space="0" w:color="auto"/>
              <w:left w:val="outset" w:sz="6" w:space="0" w:color="auto"/>
              <w:bottom w:val="outset" w:sz="6" w:space="0" w:color="auto"/>
              <w:right w:val="outset" w:sz="6" w:space="0" w:color="auto"/>
            </w:tcBorders>
            <w:hideMark/>
          </w:tcPr>
          <w:p w14:paraId="5324BFE9" w14:textId="77777777" w:rsidR="007577EF" w:rsidRPr="00F163BC" w:rsidRDefault="007577EF" w:rsidP="00EE1FC3">
            <w:pPr>
              <w:jc w:val="center"/>
              <w:rPr>
                <w:i/>
                <w:iCs/>
              </w:rPr>
            </w:pPr>
            <w:r w:rsidRPr="00F163BC">
              <w:rPr>
                <w:i/>
                <w:iCs/>
              </w:rPr>
              <w:t>Draudi</w:t>
            </w:r>
          </w:p>
        </w:tc>
      </w:tr>
      <w:tr w:rsidR="007577EF" w:rsidRPr="00F163BC" w14:paraId="0E32EEC4" w14:textId="77777777" w:rsidTr="00EE1FC3">
        <w:trPr>
          <w:tblCellSpacing w:w="15" w:type="dxa"/>
        </w:trPr>
        <w:tc>
          <w:tcPr>
            <w:tcW w:w="2619" w:type="pct"/>
            <w:tcBorders>
              <w:top w:val="outset" w:sz="6" w:space="0" w:color="auto"/>
              <w:left w:val="outset" w:sz="6" w:space="0" w:color="auto"/>
              <w:bottom w:val="outset" w:sz="6" w:space="0" w:color="auto"/>
              <w:right w:val="outset" w:sz="6" w:space="0" w:color="auto"/>
            </w:tcBorders>
          </w:tcPr>
          <w:p w14:paraId="0017A790" w14:textId="77777777" w:rsidR="007577EF" w:rsidRPr="00F163BC" w:rsidRDefault="007577EF" w:rsidP="00EE1FC3">
            <w:r w:rsidRPr="00F163BC">
              <w:t>√ Pilnveidot esošo normatīvo regulējumu valsts pārvaldes uzdevuma deleģēšanas jomā, ņemot vērā praktisko pieredzi.</w:t>
            </w:r>
          </w:p>
          <w:p w14:paraId="2683F197" w14:textId="2B149772" w:rsidR="007577EF" w:rsidRPr="00F163BC" w:rsidRDefault="007577EF" w:rsidP="00EE1FC3"/>
        </w:tc>
        <w:tc>
          <w:tcPr>
            <w:tcW w:w="2326" w:type="pct"/>
            <w:tcBorders>
              <w:top w:val="outset" w:sz="6" w:space="0" w:color="auto"/>
              <w:left w:val="outset" w:sz="6" w:space="0" w:color="auto"/>
              <w:bottom w:val="outset" w:sz="6" w:space="0" w:color="auto"/>
              <w:right w:val="outset" w:sz="6" w:space="0" w:color="auto"/>
            </w:tcBorders>
          </w:tcPr>
          <w:p w14:paraId="2FFCBEDD" w14:textId="4058A7B6" w:rsidR="007577EF" w:rsidRPr="00F163BC" w:rsidRDefault="007577EF" w:rsidP="0075100F">
            <w:pPr>
              <w:jc w:val="both"/>
            </w:pPr>
            <w:r w:rsidRPr="00F163BC">
              <w:t>√ Ja netiek pilnveidots normatīvais regulējums, var nebūt skaidrs, kas ir fotoradaru īpašnieks, no kā izriet problēmas, piemēram, ar nolietojuma uzkrājuma fonda izveidi, naudas līdzekļiem, kas var tikt iegūti, pārdodot izsolē vai utilizējot fotoradarus pēc to darbības beigām.</w:t>
            </w:r>
          </w:p>
        </w:tc>
      </w:tr>
    </w:tbl>
    <w:p w14:paraId="52FE9DCF" w14:textId="77777777" w:rsidR="007577EF" w:rsidRPr="00F163BC" w:rsidRDefault="007577EF" w:rsidP="007577EF">
      <w:pPr>
        <w:pStyle w:val="tv213"/>
        <w:spacing w:before="0" w:beforeAutospacing="0" w:after="0" w:afterAutospacing="0"/>
        <w:rPr>
          <w:b/>
        </w:rPr>
      </w:pPr>
    </w:p>
    <w:p w14:paraId="0CF8E86B" w14:textId="77777777" w:rsidR="007577EF" w:rsidRPr="00F163BC" w:rsidRDefault="007577EF" w:rsidP="007577EF">
      <w:pPr>
        <w:pStyle w:val="tv213"/>
        <w:spacing w:before="0" w:beforeAutospacing="0" w:after="0" w:afterAutospacing="0"/>
        <w:rPr>
          <w:b/>
        </w:rPr>
      </w:pPr>
      <w:r w:rsidRPr="00F163BC">
        <w:rPr>
          <w:b/>
        </w:rPr>
        <w:t>Nepieciešamie tiesību aktu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77EF" w:rsidRPr="00F163BC" w14:paraId="50478CB6" w14:textId="77777777" w:rsidTr="00EE1FC3">
        <w:tc>
          <w:tcPr>
            <w:tcW w:w="9287" w:type="dxa"/>
            <w:tcBorders>
              <w:top w:val="single" w:sz="4" w:space="0" w:color="auto"/>
              <w:left w:val="single" w:sz="4" w:space="0" w:color="auto"/>
              <w:bottom w:val="single" w:sz="4" w:space="0" w:color="auto"/>
              <w:right w:val="single" w:sz="4" w:space="0" w:color="auto"/>
            </w:tcBorders>
          </w:tcPr>
          <w:p w14:paraId="147E1538" w14:textId="11054967" w:rsidR="00080CD9" w:rsidRPr="00F163BC" w:rsidRDefault="00080CD9" w:rsidP="00080CD9">
            <w:pPr>
              <w:pStyle w:val="NormalWeb"/>
              <w:spacing w:before="0" w:beforeAutospacing="0" w:after="0" w:afterAutospacing="0"/>
              <w:jc w:val="both"/>
              <w:rPr>
                <w:szCs w:val="28"/>
                <w:lang w:val="lv-LV"/>
              </w:rPr>
            </w:pPr>
            <w:r w:rsidRPr="00F163BC">
              <w:rPr>
                <w:i/>
                <w:lang w:val="lv-LV"/>
              </w:rPr>
              <w:t xml:space="preserve">√ </w:t>
            </w:r>
            <w:r w:rsidRPr="00F31194">
              <w:rPr>
                <w:szCs w:val="28"/>
                <w:lang w:val="lv-LV"/>
              </w:rPr>
              <w:t>grozījumi</w:t>
            </w:r>
            <w:r>
              <w:rPr>
                <w:i/>
                <w:lang w:val="lv-LV"/>
              </w:rPr>
              <w:t xml:space="preserve"> </w:t>
            </w:r>
            <w:r w:rsidRPr="00F163BC">
              <w:rPr>
                <w:szCs w:val="28"/>
                <w:lang w:val="lv-LV"/>
              </w:rPr>
              <w:t xml:space="preserve">tiesību aktos </w:t>
            </w:r>
            <w:r>
              <w:rPr>
                <w:szCs w:val="28"/>
                <w:lang w:val="lv-LV"/>
              </w:rPr>
              <w:t xml:space="preserve">(piemēram, pārvaldes uzdevuma deleģēšanas, budžeta, grāmatvedības vai kapitālsabiedrību pārvaldības jomā), </w:t>
            </w:r>
            <w:r w:rsidRPr="00F163BC">
              <w:rPr>
                <w:szCs w:val="28"/>
                <w:lang w:val="lv-LV"/>
              </w:rPr>
              <w:t>nosakot, ka:</w:t>
            </w:r>
          </w:p>
          <w:p w14:paraId="550D24CF" w14:textId="643D6FCC" w:rsidR="007577EF" w:rsidRPr="00F163BC" w:rsidRDefault="00080CD9" w:rsidP="00F31194">
            <w:pPr>
              <w:jc w:val="both"/>
              <w:rPr>
                <w:szCs w:val="28"/>
              </w:rPr>
            </w:pPr>
            <w:r w:rsidRPr="00F163BC">
              <w:rPr>
                <w:szCs w:val="28"/>
              </w:rPr>
              <w:t>-</w:t>
            </w:r>
            <w:r w:rsidRPr="00F163BC">
              <w:rPr>
                <w:i/>
              </w:rPr>
              <w:t xml:space="preserve"> </w:t>
            </w:r>
            <w:r w:rsidRPr="00F163BC">
              <w:rPr>
                <w:szCs w:val="28"/>
              </w:rPr>
              <w:t xml:space="preserve">valstij pienākošie dividenžu maksājumi, kas ar īpašu Ministru kabineta lēmumu atstāti kapitālsabiedrības rīcībā </w:t>
            </w:r>
            <w:r>
              <w:rPr>
                <w:szCs w:val="28"/>
              </w:rPr>
              <w:t xml:space="preserve">kā finansējums </w:t>
            </w:r>
            <w:r w:rsidRPr="00F163BC">
              <w:rPr>
                <w:szCs w:val="28"/>
              </w:rPr>
              <w:t xml:space="preserve">valsts pārvaldes </w:t>
            </w:r>
            <w:r>
              <w:rPr>
                <w:szCs w:val="28"/>
              </w:rPr>
              <w:t xml:space="preserve">deleģēta uzdevuma izpildei, </w:t>
            </w:r>
            <w:r w:rsidRPr="0027525F">
              <w:rPr>
                <w:szCs w:val="28"/>
              </w:rPr>
              <w:t>šis finansējums</w:t>
            </w:r>
            <w:r>
              <w:rPr>
                <w:rStyle w:val="spelle"/>
                <w:sz w:val="28"/>
              </w:rPr>
              <w:t xml:space="preserve"> </w:t>
            </w:r>
            <w:r w:rsidRPr="0027525F">
              <w:rPr>
                <w:szCs w:val="28"/>
              </w:rPr>
              <w:t>būtu uzskatāms par kapitālsabiedrībai piešķirtu valsts finansējumu (dotāciju)</w:t>
            </w:r>
            <w:r>
              <w:rPr>
                <w:szCs w:val="28"/>
              </w:rPr>
              <w:t>;</w:t>
            </w:r>
          </w:p>
          <w:p w14:paraId="7449F9B4" w14:textId="77777777" w:rsidR="007577EF" w:rsidRPr="00F163BC" w:rsidRDefault="007577EF" w:rsidP="00EE1FC3">
            <w:pPr>
              <w:pStyle w:val="NormalWeb"/>
              <w:spacing w:before="0" w:beforeAutospacing="0" w:after="0" w:afterAutospacing="0"/>
              <w:jc w:val="both"/>
              <w:rPr>
                <w:szCs w:val="28"/>
                <w:lang w:val="lv-LV"/>
              </w:rPr>
            </w:pPr>
            <w:r w:rsidRPr="00F163BC">
              <w:rPr>
                <w:szCs w:val="28"/>
                <w:lang w:val="lv-LV"/>
              </w:rPr>
              <w:t>- šo finansējumu attiecīgi atspoguļo kapitālsabiedrības stratēģijā (ja finansējums saistīts ar publiskai personai noteikto funkciju izpildes nodrošināšanu, tas atspoguļojams stratēģijas sadaļā par nefinanšu mērķiem) un grāmatvedības uzskaitē;</w:t>
            </w:r>
          </w:p>
          <w:p w14:paraId="54FD6CCB" w14:textId="77777777" w:rsidR="007577EF" w:rsidRPr="00F163BC" w:rsidRDefault="007577EF" w:rsidP="00EE1FC3">
            <w:pPr>
              <w:pStyle w:val="NormalWeb"/>
              <w:spacing w:before="0" w:beforeAutospacing="0" w:after="0" w:afterAutospacing="0"/>
              <w:jc w:val="both"/>
              <w:rPr>
                <w:szCs w:val="28"/>
                <w:lang w:val="lv-LV"/>
              </w:rPr>
            </w:pPr>
            <w:r w:rsidRPr="00F163BC">
              <w:rPr>
                <w:szCs w:val="28"/>
                <w:lang w:val="lv-LV"/>
              </w:rPr>
              <w:t>- ja šis finansējums saistīts ar publiskai personai noteikto funkciju izpildes nodrošināšanu (piešķirts valsts pārvaldes deleģēta uzdevuma izpildei, nevis CSDD pamatfunkciju izpildei), paredzot pamatkapitāla veidošanu, kas nepieciešams šā uzdevuma izpildei, samaksā par deleģēto valsts pārvaldes uzdevumu izpildi iekļauj attiecīgā pamatkapitāla nolietojuma posteni, nosakot, ka to nav atļauts izmantot citiem mērķiem;</w:t>
            </w:r>
          </w:p>
          <w:p w14:paraId="3F87C344" w14:textId="77777777" w:rsidR="0075100F" w:rsidRPr="00F163BC" w:rsidRDefault="0075100F" w:rsidP="0075100F">
            <w:pPr>
              <w:pStyle w:val="NormalWeb"/>
              <w:spacing w:before="0" w:beforeAutospacing="0" w:after="0" w:afterAutospacing="0"/>
              <w:jc w:val="both"/>
              <w:rPr>
                <w:lang w:val="lv-LV"/>
              </w:rPr>
            </w:pPr>
            <w:r w:rsidRPr="0075100F">
              <w:rPr>
                <w:lang w:val="lv-LV"/>
              </w:rPr>
              <w:t>- ja valsts kapitālsabiedrība realizē kustamo mantu, ko tā valsts pārvaldes deleģēta uzdevuma ietvaros iegādājusies par šim mērķim piešķirtajām valstij izmaksājamām dividendēm vai nolietojuma uzkrājumu, ieņēmumi ieskaitāmi valsts pamatbudžetā.</w:t>
            </w:r>
          </w:p>
          <w:p w14:paraId="19439212" w14:textId="4D1A1B7C" w:rsidR="007577EF" w:rsidRPr="00F163BC" w:rsidRDefault="007577EF" w:rsidP="00EE1FC3">
            <w:pPr>
              <w:pStyle w:val="NormalWeb"/>
              <w:spacing w:before="0" w:beforeAutospacing="0" w:after="0" w:afterAutospacing="0"/>
              <w:jc w:val="both"/>
              <w:rPr>
                <w:lang w:val="lv-LV"/>
              </w:rPr>
            </w:pPr>
          </w:p>
        </w:tc>
      </w:tr>
    </w:tbl>
    <w:p w14:paraId="63EE0997" w14:textId="77777777" w:rsidR="007577EF" w:rsidRPr="00F163BC" w:rsidRDefault="007577EF" w:rsidP="007577EF"/>
    <w:p w14:paraId="3DF2E024" w14:textId="77777777" w:rsidR="007577EF" w:rsidRPr="00F163BC" w:rsidRDefault="00264FAF" w:rsidP="007577EF">
      <w:pPr>
        <w:jc w:val="both"/>
      </w:pPr>
      <w:r w:rsidRPr="00F163BC">
        <w:t xml:space="preserve">     </w:t>
      </w:r>
      <w:r w:rsidR="007577EF" w:rsidRPr="00F163BC">
        <w:t>Ievērojot</w:t>
      </w:r>
      <w:proofErr w:type="gramStart"/>
      <w:r w:rsidR="007577EF" w:rsidRPr="00F163BC">
        <w:t xml:space="preserve">  </w:t>
      </w:r>
      <w:proofErr w:type="gramEnd"/>
      <w:r w:rsidR="007577EF" w:rsidRPr="00F163BC">
        <w:t xml:space="preserve">papildu valsts budžeta līdzekļu reālo pieejamību, kā arī </w:t>
      </w:r>
      <w:r w:rsidR="007577EF" w:rsidRPr="00F163BC">
        <w:rPr>
          <w:i/>
        </w:rPr>
        <w:t>Publiskas personas finanšu līdzekļu un mantas izšķērdēšanas novēršanas likuma</w:t>
      </w:r>
      <w:r w:rsidR="007577EF" w:rsidRPr="00F163BC">
        <w:t xml:space="preserve"> regulējumu attiecībā uz </w:t>
      </w:r>
      <w:r w:rsidR="007577EF" w:rsidRPr="00F163BC">
        <w:rPr>
          <w:b/>
          <w:bCs/>
        </w:rPr>
        <w:t>pienākumu likumīgi un lietderīgi rīkoties ar finanšu līdzekļiem un mantu (</w:t>
      </w:r>
      <w:r w:rsidR="007577EF" w:rsidRPr="00F163BC">
        <w:t>jebkura rīcība ar publiskas personas finanšu līdzekļiem un mantu atbilst ārējos normatīvajos aktos paredzētajiem mērķiem, kā arī normatīvajos aktos noteiktajai kārtībai; publiska persona, kā arī kapitālsabiedrība rīkojas ar finanšu līdzekļiem un mantu lietderīgi, tas ir rīcībai jābūt tādai, lai mērķi sasniegtu ar mazāko finanšu līdzekļu un mantas izlietojumu), Iekšlietu ministrija atbalsta 2.modeli.</w:t>
      </w:r>
    </w:p>
    <w:p w14:paraId="298D8957" w14:textId="12DD9F81" w:rsidR="007577EF" w:rsidRPr="00F163BC" w:rsidRDefault="007577EF" w:rsidP="007577EF">
      <w:pPr>
        <w:jc w:val="both"/>
      </w:pPr>
      <w:r w:rsidRPr="00F163BC">
        <w:t xml:space="preserve">    Salīdzinot veiktos aprēķinus (</w:t>
      </w:r>
      <w:r w:rsidR="002A3218" w:rsidRPr="00F163BC">
        <w:t>3.</w:t>
      </w:r>
      <w:r w:rsidR="00080CD9">
        <w:t>, 4.</w:t>
      </w:r>
      <w:r w:rsidR="002A3218" w:rsidRPr="00F163BC">
        <w:t xml:space="preserve"> un </w:t>
      </w:r>
      <w:r w:rsidR="00080CD9">
        <w:t>6</w:t>
      </w:r>
      <w:r w:rsidR="002A3218" w:rsidRPr="00F163BC">
        <w:t>.</w:t>
      </w:r>
      <w:r w:rsidRPr="00F163BC">
        <w:t xml:space="preserve">pielikums), nolietojuma uzkrājuma veidošanai laikposmā no 2020.-2030. gadam papildu nepieciešami valsts budžeta līdzekļi 4 953 754 </w:t>
      </w:r>
      <w:r w:rsidRPr="00F163BC">
        <w:rPr>
          <w:i/>
        </w:rPr>
        <w:t xml:space="preserve">euro </w:t>
      </w:r>
      <w:r w:rsidRPr="00F163BC">
        <w:t>apmērā.</w:t>
      </w:r>
    </w:p>
    <w:p w14:paraId="1F2EF199" w14:textId="77777777" w:rsidR="006225FC" w:rsidRPr="00F163BC" w:rsidRDefault="006225FC" w:rsidP="006225FC">
      <w:pPr>
        <w:pStyle w:val="NormalWeb"/>
        <w:spacing w:after="0" w:afterAutospacing="0"/>
        <w:ind w:firstLine="567"/>
        <w:jc w:val="both"/>
        <w:rPr>
          <w:lang w:val="lv-LV"/>
        </w:rPr>
      </w:pPr>
      <w:r w:rsidRPr="00F163BC">
        <w:rPr>
          <w:lang w:val="lv-LV"/>
        </w:rPr>
        <w:lastRenderedPageBreak/>
        <w:t xml:space="preserve">Prognozēto </w:t>
      </w:r>
      <w:r w:rsidRPr="00F163BC">
        <w:rPr>
          <w:b/>
          <w:lang w:val="lv-LV"/>
        </w:rPr>
        <w:t>CSDD izmaksu</w:t>
      </w:r>
      <w:r w:rsidRPr="00F163BC">
        <w:rPr>
          <w:lang w:val="lv-LV"/>
        </w:rPr>
        <w:t xml:space="preserve"> aprēķini 2020.- </w:t>
      </w:r>
      <w:proofErr w:type="gramStart"/>
      <w:r w:rsidRPr="00F163BC">
        <w:rPr>
          <w:lang w:val="lv-LV"/>
        </w:rPr>
        <w:t>2030.gadam</w:t>
      </w:r>
      <w:proofErr w:type="gramEnd"/>
      <w:r w:rsidRPr="00F163BC">
        <w:rPr>
          <w:lang w:val="lv-LV"/>
        </w:rPr>
        <w:t xml:space="preserve"> par valsts pārvaldes deleģēto uzdevumu izpildi veikti 2 variantos:</w:t>
      </w:r>
    </w:p>
    <w:p w14:paraId="66F7412A" w14:textId="5C46F2BD" w:rsidR="006225FC" w:rsidRPr="00F163BC" w:rsidRDefault="006225FC" w:rsidP="006225FC">
      <w:pPr>
        <w:ind w:firstLine="567"/>
        <w:jc w:val="both"/>
      </w:pPr>
      <w:r w:rsidRPr="00F163BC">
        <w:t xml:space="preserve">1. bez nolietojuma uzkrājuma </w:t>
      </w:r>
      <w:proofErr w:type="gramStart"/>
      <w:r w:rsidRPr="00F163BC">
        <w:t>(</w:t>
      </w:r>
      <w:proofErr w:type="gramEnd"/>
      <w:r w:rsidRPr="00F163BC">
        <w:t xml:space="preserve">3. </w:t>
      </w:r>
      <w:r w:rsidR="000C21DC">
        <w:t xml:space="preserve"> un 4.</w:t>
      </w:r>
      <w:r w:rsidRPr="00F163BC">
        <w:t>pielikums);</w:t>
      </w:r>
    </w:p>
    <w:p w14:paraId="535E8E97" w14:textId="5B3CDC59" w:rsidR="00CA26CA" w:rsidRDefault="006225FC" w:rsidP="00CA26CA">
      <w:pPr>
        <w:ind w:firstLine="567"/>
        <w:jc w:val="both"/>
      </w:pPr>
      <w:r w:rsidRPr="00F163BC">
        <w:t>2. ar nolietojuma uzkrājumu (</w:t>
      </w:r>
      <w:r w:rsidR="000C21DC">
        <w:t>6</w:t>
      </w:r>
      <w:r w:rsidRPr="00F163BC">
        <w:t>.pielikums).</w:t>
      </w:r>
    </w:p>
    <w:p w14:paraId="2F51A5EE" w14:textId="77777777" w:rsidR="00CA26CA" w:rsidRDefault="00CA26CA" w:rsidP="00CA26CA">
      <w:pPr>
        <w:ind w:firstLine="567"/>
        <w:jc w:val="both"/>
      </w:pPr>
    </w:p>
    <w:p w14:paraId="760C43B1" w14:textId="3068E310" w:rsidR="00CA26CA" w:rsidRDefault="00FF24A3" w:rsidP="00F31194">
      <w:pPr>
        <w:ind w:firstLine="567"/>
        <w:jc w:val="right"/>
      </w:pPr>
      <w:r>
        <w:t>11</w:t>
      </w:r>
      <w:r w:rsidR="00CA26CA">
        <w:t>. tabula</w:t>
      </w:r>
    </w:p>
    <w:p w14:paraId="104D591E" w14:textId="303B33F9" w:rsidR="00E74A42" w:rsidRDefault="00CA26CA" w:rsidP="008B0B90">
      <w:pPr>
        <w:ind w:firstLine="567"/>
        <w:jc w:val="center"/>
      </w:pPr>
      <w:r w:rsidRPr="00F31194">
        <w:rPr>
          <w:b/>
        </w:rPr>
        <w:t xml:space="preserve">INFORMATĪVI: </w:t>
      </w:r>
      <w:r w:rsidR="006225FC" w:rsidRPr="00F31194">
        <w:rPr>
          <w:b/>
        </w:rPr>
        <w:t xml:space="preserve">Izmaksu apjoma salīdzinājums un ietekme uz valsts budžetu </w:t>
      </w:r>
    </w:p>
    <w:tbl>
      <w:tblPr>
        <w:tblW w:w="9192" w:type="dxa"/>
        <w:tblInd w:w="-289" w:type="dxa"/>
        <w:tblLook w:val="04A0" w:firstRow="1" w:lastRow="0" w:firstColumn="1" w:lastColumn="0" w:noHBand="0" w:noVBand="1"/>
      </w:tblPr>
      <w:tblGrid>
        <w:gridCol w:w="846"/>
        <w:gridCol w:w="1276"/>
        <w:gridCol w:w="1275"/>
        <w:gridCol w:w="1418"/>
        <w:gridCol w:w="1276"/>
        <w:gridCol w:w="1701"/>
        <w:gridCol w:w="1400"/>
      </w:tblGrid>
      <w:tr w:rsidR="006C0427" w:rsidRPr="006C0427" w14:paraId="216E2E43" w14:textId="77777777" w:rsidTr="008B0B90">
        <w:trPr>
          <w:trHeight w:val="1335"/>
        </w:trPr>
        <w:tc>
          <w:tcPr>
            <w:tcW w:w="84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BC8A1C" w14:textId="77777777" w:rsidR="006C0427" w:rsidRPr="00F31194" w:rsidRDefault="006C0427" w:rsidP="006C0427">
            <w:pPr>
              <w:jc w:val="center"/>
              <w:rPr>
                <w:b/>
                <w:bCs/>
                <w:color w:val="000000"/>
                <w:sz w:val="18"/>
                <w:szCs w:val="18"/>
              </w:rPr>
            </w:pPr>
            <w:r w:rsidRPr="00F31194">
              <w:rPr>
                <w:b/>
                <w:bCs/>
                <w:color w:val="000000"/>
                <w:sz w:val="18"/>
                <w:szCs w:val="18"/>
              </w:rPr>
              <w:t>Gads</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6D0B3820" w14:textId="77777777" w:rsidR="006C0427" w:rsidRPr="00F31194" w:rsidRDefault="006C0427" w:rsidP="006C0427">
            <w:pPr>
              <w:jc w:val="center"/>
              <w:rPr>
                <w:color w:val="000000"/>
                <w:sz w:val="18"/>
                <w:szCs w:val="18"/>
              </w:rPr>
            </w:pPr>
            <w:r w:rsidRPr="00F31194">
              <w:rPr>
                <w:color w:val="000000"/>
                <w:sz w:val="18"/>
                <w:szCs w:val="18"/>
              </w:rPr>
              <w:t xml:space="preserve">Izdevumi* 1. </w:t>
            </w:r>
            <w:r w:rsidRPr="00F31194">
              <w:rPr>
                <w:color w:val="000000"/>
                <w:sz w:val="18"/>
                <w:szCs w:val="18"/>
              </w:rPr>
              <w:br/>
              <w:t>(bez nolietojuma uzkrājuma)</w:t>
            </w:r>
          </w:p>
        </w:tc>
        <w:tc>
          <w:tcPr>
            <w:tcW w:w="1275" w:type="dxa"/>
            <w:tcBorders>
              <w:top w:val="single" w:sz="4" w:space="0" w:color="BFBFBF"/>
              <w:left w:val="nil"/>
              <w:bottom w:val="single" w:sz="4" w:space="0" w:color="BFBFBF"/>
              <w:right w:val="single" w:sz="4" w:space="0" w:color="BFBFBF"/>
            </w:tcBorders>
            <w:shd w:val="clear" w:color="auto" w:fill="auto"/>
            <w:vAlign w:val="center"/>
            <w:hideMark/>
          </w:tcPr>
          <w:p w14:paraId="6275094D" w14:textId="77777777" w:rsidR="006C0427" w:rsidRPr="00F31194" w:rsidRDefault="006C0427" w:rsidP="006C0427">
            <w:pPr>
              <w:jc w:val="center"/>
              <w:rPr>
                <w:color w:val="000000"/>
                <w:sz w:val="18"/>
                <w:szCs w:val="18"/>
              </w:rPr>
            </w:pPr>
            <w:r w:rsidRPr="00F31194">
              <w:rPr>
                <w:color w:val="000000"/>
                <w:sz w:val="18"/>
                <w:szCs w:val="18"/>
              </w:rPr>
              <w:t>Izdevumi* 2.</w:t>
            </w:r>
            <w:r w:rsidRPr="00F31194">
              <w:rPr>
                <w:color w:val="000000"/>
                <w:sz w:val="18"/>
                <w:szCs w:val="18"/>
              </w:rPr>
              <w:br/>
              <w:t xml:space="preserve"> (ar nolietojuma uzkrājumu)</w:t>
            </w:r>
          </w:p>
        </w:tc>
        <w:tc>
          <w:tcPr>
            <w:tcW w:w="1418" w:type="dxa"/>
            <w:tcBorders>
              <w:top w:val="single" w:sz="4" w:space="0" w:color="BFBFBF"/>
              <w:left w:val="nil"/>
              <w:bottom w:val="single" w:sz="4" w:space="0" w:color="BFBFBF"/>
              <w:right w:val="single" w:sz="4" w:space="0" w:color="BFBFBF"/>
            </w:tcBorders>
            <w:shd w:val="clear" w:color="auto" w:fill="auto"/>
            <w:vAlign w:val="center"/>
            <w:hideMark/>
          </w:tcPr>
          <w:p w14:paraId="3EF2BB8B" w14:textId="49B5DBA6" w:rsidR="006C0427" w:rsidRPr="00F31194" w:rsidRDefault="00752F4B" w:rsidP="006C0427">
            <w:pPr>
              <w:jc w:val="center"/>
              <w:rPr>
                <w:color w:val="000000"/>
                <w:sz w:val="18"/>
                <w:szCs w:val="18"/>
              </w:rPr>
            </w:pPr>
            <w:r w:rsidRPr="00752F4B">
              <w:rPr>
                <w:color w:val="000000"/>
                <w:sz w:val="18"/>
                <w:szCs w:val="18"/>
              </w:rPr>
              <w:t>Izdevumi* 2. m</w:t>
            </w:r>
            <w:r>
              <w:rPr>
                <w:color w:val="000000"/>
                <w:sz w:val="18"/>
                <w:szCs w:val="18"/>
              </w:rPr>
              <w:t>īnuss izdevumi*</w:t>
            </w:r>
            <w:r w:rsidR="006C0427" w:rsidRPr="00F31194">
              <w:rPr>
                <w:color w:val="000000"/>
                <w:sz w:val="18"/>
                <w:szCs w:val="18"/>
              </w:rPr>
              <w:t>1 (nolietojuma uzkrājums)</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0111A4E8" w14:textId="77777777" w:rsidR="006C0427" w:rsidRPr="00F31194" w:rsidRDefault="006C0427" w:rsidP="006C0427">
            <w:pPr>
              <w:jc w:val="center"/>
              <w:rPr>
                <w:color w:val="000000"/>
                <w:sz w:val="18"/>
                <w:szCs w:val="18"/>
              </w:rPr>
            </w:pPr>
            <w:r w:rsidRPr="00F31194">
              <w:rPr>
                <w:color w:val="000000"/>
                <w:sz w:val="18"/>
                <w:szCs w:val="18"/>
              </w:rPr>
              <w:t>Ieņēmumi (precizētā prognoze)</w:t>
            </w:r>
          </w:p>
        </w:tc>
        <w:tc>
          <w:tcPr>
            <w:tcW w:w="1701" w:type="dxa"/>
            <w:tcBorders>
              <w:top w:val="single" w:sz="4" w:space="0" w:color="BFBFBF"/>
              <w:left w:val="nil"/>
              <w:bottom w:val="single" w:sz="4" w:space="0" w:color="BFBFBF"/>
              <w:right w:val="single" w:sz="4" w:space="0" w:color="BFBFBF"/>
            </w:tcBorders>
            <w:shd w:val="clear" w:color="auto" w:fill="auto"/>
            <w:vAlign w:val="center"/>
            <w:hideMark/>
          </w:tcPr>
          <w:p w14:paraId="1CF010DB" w14:textId="3FD8598C" w:rsidR="006C0427" w:rsidRPr="00F31194" w:rsidRDefault="006C0427" w:rsidP="006C0427">
            <w:pPr>
              <w:jc w:val="center"/>
              <w:rPr>
                <w:color w:val="000000"/>
                <w:sz w:val="18"/>
                <w:szCs w:val="18"/>
              </w:rPr>
            </w:pPr>
            <w:r w:rsidRPr="00F31194">
              <w:rPr>
                <w:color w:val="000000"/>
                <w:sz w:val="18"/>
                <w:szCs w:val="18"/>
              </w:rPr>
              <w:t xml:space="preserve">Ieņēmumi </w:t>
            </w:r>
            <w:r w:rsidRPr="006C0427">
              <w:rPr>
                <w:color w:val="000000"/>
                <w:sz w:val="18"/>
                <w:szCs w:val="18"/>
              </w:rPr>
              <w:t>(precizētā prognoze) m</w:t>
            </w:r>
            <w:r>
              <w:rPr>
                <w:color w:val="000000"/>
                <w:sz w:val="18"/>
                <w:szCs w:val="18"/>
              </w:rPr>
              <w:t>īnuss</w:t>
            </w:r>
            <w:r w:rsidRPr="006C0427">
              <w:rPr>
                <w:color w:val="000000"/>
                <w:sz w:val="18"/>
                <w:szCs w:val="18"/>
              </w:rPr>
              <w:t xml:space="preserve"> izdevumi *1</w:t>
            </w:r>
          </w:p>
        </w:tc>
        <w:tc>
          <w:tcPr>
            <w:tcW w:w="1400" w:type="dxa"/>
            <w:tcBorders>
              <w:top w:val="single" w:sz="4" w:space="0" w:color="BFBFBF"/>
              <w:left w:val="nil"/>
              <w:bottom w:val="single" w:sz="4" w:space="0" w:color="BFBFBF"/>
              <w:right w:val="single" w:sz="4" w:space="0" w:color="BFBFBF"/>
            </w:tcBorders>
            <w:shd w:val="clear" w:color="auto" w:fill="auto"/>
            <w:vAlign w:val="center"/>
            <w:hideMark/>
          </w:tcPr>
          <w:p w14:paraId="40C35A5B" w14:textId="5FCFA36F" w:rsidR="006C0427" w:rsidRPr="00F31194" w:rsidRDefault="006C0427" w:rsidP="006C0427">
            <w:pPr>
              <w:jc w:val="center"/>
              <w:rPr>
                <w:color w:val="000000"/>
                <w:sz w:val="18"/>
                <w:szCs w:val="18"/>
              </w:rPr>
            </w:pPr>
            <w:r w:rsidRPr="006C0427">
              <w:rPr>
                <w:color w:val="000000"/>
                <w:sz w:val="18"/>
                <w:szCs w:val="18"/>
              </w:rPr>
              <w:t>Ieņēmumi (precizētā prognoze) m</w:t>
            </w:r>
            <w:r>
              <w:rPr>
                <w:color w:val="000000"/>
                <w:sz w:val="18"/>
                <w:szCs w:val="18"/>
              </w:rPr>
              <w:t>īnuss</w:t>
            </w:r>
            <w:r w:rsidRPr="006C0427">
              <w:rPr>
                <w:color w:val="000000"/>
                <w:sz w:val="18"/>
                <w:szCs w:val="18"/>
              </w:rPr>
              <w:t xml:space="preserve"> izdevum*2</w:t>
            </w:r>
          </w:p>
        </w:tc>
      </w:tr>
      <w:tr w:rsidR="006C0427" w:rsidRPr="006C0427" w14:paraId="2A508841"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1AF1905E" w14:textId="77777777" w:rsidR="006C0427" w:rsidRPr="00F31194" w:rsidRDefault="006C0427" w:rsidP="006C0427">
            <w:pPr>
              <w:jc w:val="center"/>
              <w:rPr>
                <w:b/>
                <w:bCs/>
                <w:color w:val="000000"/>
                <w:sz w:val="18"/>
                <w:szCs w:val="18"/>
              </w:rPr>
            </w:pPr>
            <w:r w:rsidRPr="00F31194">
              <w:rPr>
                <w:b/>
                <w:bCs/>
                <w:color w:val="000000"/>
                <w:sz w:val="18"/>
                <w:szCs w:val="18"/>
              </w:rPr>
              <w:t>2020</w:t>
            </w:r>
          </w:p>
        </w:tc>
        <w:tc>
          <w:tcPr>
            <w:tcW w:w="1276" w:type="dxa"/>
            <w:tcBorders>
              <w:top w:val="nil"/>
              <w:left w:val="nil"/>
              <w:bottom w:val="single" w:sz="4" w:space="0" w:color="BFBFBF"/>
              <w:right w:val="single" w:sz="4" w:space="0" w:color="BFBFBF"/>
            </w:tcBorders>
            <w:shd w:val="clear" w:color="auto" w:fill="auto"/>
            <w:noWrap/>
            <w:vAlign w:val="center"/>
            <w:hideMark/>
          </w:tcPr>
          <w:p w14:paraId="403C1953" w14:textId="77777777" w:rsidR="006C0427" w:rsidRPr="00F31194" w:rsidRDefault="006C0427" w:rsidP="006C0427">
            <w:pPr>
              <w:jc w:val="center"/>
              <w:rPr>
                <w:color w:val="000000"/>
                <w:sz w:val="18"/>
                <w:szCs w:val="18"/>
              </w:rPr>
            </w:pPr>
            <w:r w:rsidRPr="00F31194">
              <w:rPr>
                <w:color w:val="000000"/>
                <w:sz w:val="18"/>
                <w:szCs w:val="18"/>
              </w:rPr>
              <w:t>2 519 029</w:t>
            </w:r>
          </w:p>
        </w:tc>
        <w:tc>
          <w:tcPr>
            <w:tcW w:w="1275" w:type="dxa"/>
            <w:tcBorders>
              <w:top w:val="nil"/>
              <w:left w:val="nil"/>
              <w:bottom w:val="single" w:sz="4" w:space="0" w:color="BFBFBF"/>
              <w:right w:val="single" w:sz="4" w:space="0" w:color="BFBFBF"/>
            </w:tcBorders>
            <w:shd w:val="clear" w:color="auto" w:fill="auto"/>
            <w:noWrap/>
            <w:vAlign w:val="center"/>
            <w:hideMark/>
          </w:tcPr>
          <w:p w14:paraId="5CA46150" w14:textId="77777777" w:rsidR="006C0427" w:rsidRPr="00F31194" w:rsidRDefault="006C0427" w:rsidP="006C0427">
            <w:pPr>
              <w:jc w:val="center"/>
              <w:rPr>
                <w:color w:val="000000"/>
                <w:sz w:val="18"/>
                <w:szCs w:val="18"/>
              </w:rPr>
            </w:pPr>
            <w:r w:rsidRPr="00F31194">
              <w:rPr>
                <w:color w:val="000000"/>
                <w:sz w:val="18"/>
                <w:szCs w:val="18"/>
              </w:rPr>
              <w:t>2 519 029</w:t>
            </w:r>
          </w:p>
        </w:tc>
        <w:tc>
          <w:tcPr>
            <w:tcW w:w="1418" w:type="dxa"/>
            <w:tcBorders>
              <w:top w:val="nil"/>
              <w:left w:val="nil"/>
              <w:bottom w:val="single" w:sz="4" w:space="0" w:color="BFBFBF"/>
              <w:right w:val="single" w:sz="4" w:space="0" w:color="BFBFBF"/>
            </w:tcBorders>
            <w:shd w:val="clear" w:color="auto" w:fill="auto"/>
            <w:noWrap/>
            <w:vAlign w:val="center"/>
            <w:hideMark/>
          </w:tcPr>
          <w:p w14:paraId="293623F0" w14:textId="77777777" w:rsidR="006C0427" w:rsidRPr="00F31194" w:rsidRDefault="006C0427" w:rsidP="006C0427">
            <w:pPr>
              <w:jc w:val="center"/>
              <w:rPr>
                <w:color w:val="000000"/>
                <w:sz w:val="18"/>
                <w:szCs w:val="18"/>
              </w:rPr>
            </w:pPr>
            <w:r w:rsidRPr="00F31194">
              <w:rPr>
                <w:color w:val="000000"/>
                <w:sz w:val="18"/>
                <w:szCs w:val="18"/>
              </w:rPr>
              <w:t>0</w:t>
            </w:r>
          </w:p>
        </w:tc>
        <w:tc>
          <w:tcPr>
            <w:tcW w:w="1276" w:type="dxa"/>
            <w:tcBorders>
              <w:top w:val="nil"/>
              <w:left w:val="nil"/>
              <w:bottom w:val="single" w:sz="4" w:space="0" w:color="BFBFBF"/>
              <w:right w:val="single" w:sz="4" w:space="0" w:color="BFBFBF"/>
            </w:tcBorders>
            <w:shd w:val="clear" w:color="auto" w:fill="auto"/>
            <w:noWrap/>
            <w:vAlign w:val="center"/>
            <w:hideMark/>
          </w:tcPr>
          <w:p w14:paraId="1D0D7AEB" w14:textId="77777777" w:rsidR="006C0427" w:rsidRPr="00F31194" w:rsidRDefault="006C0427" w:rsidP="006C0427">
            <w:pPr>
              <w:jc w:val="center"/>
              <w:rPr>
                <w:color w:val="000000"/>
                <w:sz w:val="18"/>
                <w:szCs w:val="18"/>
              </w:rPr>
            </w:pPr>
            <w:r w:rsidRPr="00F31194">
              <w:rPr>
                <w:color w:val="000000"/>
                <w:sz w:val="18"/>
                <w:szCs w:val="18"/>
              </w:rPr>
              <w:t>8 930 304</w:t>
            </w:r>
          </w:p>
        </w:tc>
        <w:tc>
          <w:tcPr>
            <w:tcW w:w="1701" w:type="dxa"/>
            <w:tcBorders>
              <w:top w:val="nil"/>
              <w:left w:val="nil"/>
              <w:bottom w:val="single" w:sz="4" w:space="0" w:color="BFBFBF"/>
              <w:right w:val="single" w:sz="4" w:space="0" w:color="BFBFBF"/>
            </w:tcBorders>
            <w:shd w:val="clear" w:color="auto" w:fill="auto"/>
            <w:noWrap/>
            <w:vAlign w:val="center"/>
            <w:hideMark/>
          </w:tcPr>
          <w:p w14:paraId="29313CD9" w14:textId="77777777" w:rsidR="006C0427" w:rsidRPr="00F31194" w:rsidRDefault="006C0427" w:rsidP="006C0427">
            <w:pPr>
              <w:jc w:val="center"/>
              <w:rPr>
                <w:color w:val="000000"/>
                <w:sz w:val="18"/>
                <w:szCs w:val="18"/>
              </w:rPr>
            </w:pPr>
            <w:r w:rsidRPr="00F31194">
              <w:rPr>
                <w:color w:val="000000"/>
                <w:sz w:val="18"/>
                <w:szCs w:val="18"/>
              </w:rPr>
              <w:t>6 411 275</w:t>
            </w:r>
          </w:p>
        </w:tc>
        <w:tc>
          <w:tcPr>
            <w:tcW w:w="1400" w:type="dxa"/>
            <w:tcBorders>
              <w:top w:val="nil"/>
              <w:left w:val="nil"/>
              <w:bottom w:val="single" w:sz="4" w:space="0" w:color="BFBFBF"/>
              <w:right w:val="single" w:sz="4" w:space="0" w:color="BFBFBF"/>
            </w:tcBorders>
            <w:shd w:val="clear" w:color="auto" w:fill="auto"/>
            <w:noWrap/>
            <w:vAlign w:val="center"/>
            <w:hideMark/>
          </w:tcPr>
          <w:p w14:paraId="60F82281" w14:textId="77777777" w:rsidR="006C0427" w:rsidRPr="00F31194" w:rsidRDefault="006C0427" w:rsidP="006C0427">
            <w:pPr>
              <w:jc w:val="center"/>
              <w:rPr>
                <w:color w:val="000000"/>
                <w:sz w:val="18"/>
                <w:szCs w:val="18"/>
              </w:rPr>
            </w:pPr>
            <w:r w:rsidRPr="00F31194">
              <w:rPr>
                <w:color w:val="000000"/>
                <w:sz w:val="18"/>
                <w:szCs w:val="18"/>
              </w:rPr>
              <w:t>6 411 275</w:t>
            </w:r>
          </w:p>
        </w:tc>
      </w:tr>
      <w:tr w:rsidR="006C0427" w:rsidRPr="006C0427" w14:paraId="0D76551F"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6E87F3D6" w14:textId="77777777" w:rsidR="006C0427" w:rsidRPr="00F31194" w:rsidRDefault="006C0427" w:rsidP="006C0427">
            <w:pPr>
              <w:jc w:val="center"/>
              <w:rPr>
                <w:b/>
                <w:bCs/>
                <w:color w:val="000000"/>
                <w:sz w:val="18"/>
                <w:szCs w:val="18"/>
              </w:rPr>
            </w:pPr>
            <w:r w:rsidRPr="00F31194">
              <w:rPr>
                <w:b/>
                <w:bCs/>
                <w:color w:val="000000"/>
                <w:sz w:val="18"/>
                <w:szCs w:val="18"/>
              </w:rPr>
              <w:t>2021</w:t>
            </w:r>
          </w:p>
        </w:tc>
        <w:tc>
          <w:tcPr>
            <w:tcW w:w="1276" w:type="dxa"/>
            <w:tcBorders>
              <w:top w:val="nil"/>
              <w:left w:val="nil"/>
              <w:bottom w:val="single" w:sz="4" w:space="0" w:color="BFBFBF"/>
              <w:right w:val="single" w:sz="4" w:space="0" w:color="BFBFBF"/>
            </w:tcBorders>
            <w:shd w:val="clear" w:color="auto" w:fill="auto"/>
            <w:noWrap/>
            <w:vAlign w:val="center"/>
            <w:hideMark/>
          </w:tcPr>
          <w:p w14:paraId="70A24ADB" w14:textId="77777777" w:rsidR="006C0427" w:rsidRPr="00F31194" w:rsidRDefault="006C0427" w:rsidP="006C0427">
            <w:pPr>
              <w:jc w:val="center"/>
              <w:rPr>
                <w:color w:val="000000"/>
                <w:sz w:val="18"/>
                <w:szCs w:val="18"/>
              </w:rPr>
            </w:pPr>
            <w:r w:rsidRPr="00F31194">
              <w:rPr>
                <w:color w:val="000000"/>
                <w:sz w:val="18"/>
                <w:szCs w:val="18"/>
              </w:rPr>
              <w:t>2 794 177</w:t>
            </w:r>
          </w:p>
        </w:tc>
        <w:tc>
          <w:tcPr>
            <w:tcW w:w="1275" w:type="dxa"/>
            <w:tcBorders>
              <w:top w:val="nil"/>
              <w:left w:val="nil"/>
              <w:bottom w:val="single" w:sz="4" w:space="0" w:color="BFBFBF"/>
              <w:right w:val="single" w:sz="4" w:space="0" w:color="BFBFBF"/>
            </w:tcBorders>
            <w:shd w:val="clear" w:color="auto" w:fill="auto"/>
            <w:noWrap/>
            <w:vAlign w:val="center"/>
            <w:hideMark/>
          </w:tcPr>
          <w:p w14:paraId="1D1EA5FA" w14:textId="77777777" w:rsidR="006C0427" w:rsidRPr="00F31194" w:rsidRDefault="006C0427" w:rsidP="006C0427">
            <w:pPr>
              <w:jc w:val="center"/>
              <w:rPr>
                <w:color w:val="000000"/>
                <w:sz w:val="18"/>
                <w:szCs w:val="18"/>
              </w:rPr>
            </w:pPr>
            <w:r w:rsidRPr="00F31194">
              <w:rPr>
                <w:color w:val="000000"/>
                <w:sz w:val="18"/>
                <w:szCs w:val="18"/>
              </w:rPr>
              <w:t>2 880 868</w:t>
            </w:r>
          </w:p>
        </w:tc>
        <w:tc>
          <w:tcPr>
            <w:tcW w:w="1418" w:type="dxa"/>
            <w:tcBorders>
              <w:top w:val="nil"/>
              <w:left w:val="nil"/>
              <w:bottom w:val="single" w:sz="4" w:space="0" w:color="BFBFBF"/>
              <w:right w:val="single" w:sz="4" w:space="0" w:color="BFBFBF"/>
            </w:tcBorders>
            <w:shd w:val="clear" w:color="auto" w:fill="auto"/>
            <w:noWrap/>
            <w:vAlign w:val="center"/>
            <w:hideMark/>
          </w:tcPr>
          <w:p w14:paraId="3BD22962" w14:textId="77777777" w:rsidR="006C0427" w:rsidRPr="00F31194" w:rsidRDefault="006C0427" w:rsidP="006C0427">
            <w:pPr>
              <w:jc w:val="center"/>
              <w:rPr>
                <w:color w:val="000000"/>
                <w:sz w:val="18"/>
                <w:szCs w:val="18"/>
              </w:rPr>
            </w:pPr>
            <w:r w:rsidRPr="00F31194">
              <w:rPr>
                <w:color w:val="000000"/>
                <w:sz w:val="18"/>
                <w:szCs w:val="18"/>
              </w:rPr>
              <w:t>86 691</w:t>
            </w:r>
          </w:p>
        </w:tc>
        <w:tc>
          <w:tcPr>
            <w:tcW w:w="1276" w:type="dxa"/>
            <w:tcBorders>
              <w:top w:val="nil"/>
              <w:left w:val="nil"/>
              <w:bottom w:val="single" w:sz="4" w:space="0" w:color="BFBFBF"/>
              <w:right w:val="single" w:sz="4" w:space="0" w:color="BFBFBF"/>
            </w:tcBorders>
            <w:shd w:val="clear" w:color="auto" w:fill="auto"/>
            <w:noWrap/>
            <w:vAlign w:val="center"/>
            <w:hideMark/>
          </w:tcPr>
          <w:p w14:paraId="088A6BF9" w14:textId="77777777" w:rsidR="006C0427" w:rsidRPr="00F31194" w:rsidRDefault="006C0427" w:rsidP="006C0427">
            <w:pPr>
              <w:jc w:val="center"/>
              <w:rPr>
                <w:color w:val="000000"/>
                <w:sz w:val="18"/>
                <w:szCs w:val="18"/>
              </w:rPr>
            </w:pPr>
            <w:r w:rsidRPr="00F31194">
              <w:rPr>
                <w:color w:val="000000"/>
                <w:sz w:val="18"/>
                <w:szCs w:val="18"/>
              </w:rPr>
              <w:t>9 208 136</w:t>
            </w:r>
          </w:p>
        </w:tc>
        <w:tc>
          <w:tcPr>
            <w:tcW w:w="1701" w:type="dxa"/>
            <w:tcBorders>
              <w:top w:val="nil"/>
              <w:left w:val="nil"/>
              <w:bottom w:val="single" w:sz="4" w:space="0" w:color="BFBFBF"/>
              <w:right w:val="single" w:sz="4" w:space="0" w:color="BFBFBF"/>
            </w:tcBorders>
            <w:shd w:val="clear" w:color="auto" w:fill="auto"/>
            <w:noWrap/>
            <w:vAlign w:val="center"/>
            <w:hideMark/>
          </w:tcPr>
          <w:p w14:paraId="415CDAFE" w14:textId="77777777" w:rsidR="006C0427" w:rsidRPr="00F31194" w:rsidRDefault="006C0427" w:rsidP="006C0427">
            <w:pPr>
              <w:jc w:val="center"/>
              <w:rPr>
                <w:color w:val="000000"/>
                <w:sz w:val="18"/>
                <w:szCs w:val="18"/>
              </w:rPr>
            </w:pPr>
            <w:r w:rsidRPr="00F31194">
              <w:rPr>
                <w:color w:val="000000"/>
                <w:sz w:val="18"/>
                <w:szCs w:val="18"/>
              </w:rPr>
              <w:t>6 413 959</w:t>
            </w:r>
          </w:p>
        </w:tc>
        <w:tc>
          <w:tcPr>
            <w:tcW w:w="1400" w:type="dxa"/>
            <w:tcBorders>
              <w:top w:val="nil"/>
              <w:left w:val="nil"/>
              <w:bottom w:val="single" w:sz="4" w:space="0" w:color="BFBFBF"/>
              <w:right w:val="single" w:sz="4" w:space="0" w:color="BFBFBF"/>
            </w:tcBorders>
            <w:shd w:val="clear" w:color="auto" w:fill="auto"/>
            <w:noWrap/>
            <w:vAlign w:val="center"/>
            <w:hideMark/>
          </w:tcPr>
          <w:p w14:paraId="224A0A35" w14:textId="77777777" w:rsidR="006C0427" w:rsidRPr="00F31194" w:rsidRDefault="006C0427" w:rsidP="006C0427">
            <w:pPr>
              <w:jc w:val="center"/>
              <w:rPr>
                <w:color w:val="000000"/>
                <w:sz w:val="18"/>
                <w:szCs w:val="18"/>
              </w:rPr>
            </w:pPr>
            <w:r w:rsidRPr="00F31194">
              <w:rPr>
                <w:color w:val="000000"/>
                <w:sz w:val="18"/>
                <w:szCs w:val="18"/>
              </w:rPr>
              <w:t>6 327 268</w:t>
            </w:r>
          </w:p>
        </w:tc>
      </w:tr>
      <w:tr w:rsidR="006C0427" w:rsidRPr="006C0427" w14:paraId="32CA6137"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0FAC2CC7" w14:textId="77777777" w:rsidR="006C0427" w:rsidRPr="00F31194" w:rsidRDefault="006C0427" w:rsidP="006C0427">
            <w:pPr>
              <w:jc w:val="center"/>
              <w:rPr>
                <w:b/>
                <w:bCs/>
                <w:color w:val="000000"/>
                <w:sz w:val="18"/>
                <w:szCs w:val="18"/>
              </w:rPr>
            </w:pPr>
            <w:r w:rsidRPr="00F31194">
              <w:rPr>
                <w:b/>
                <w:bCs/>
                <w:color w:val="000000"/>
                <w:sz w:val="18"/>
                <w:szCs w:val="18"/>
              </w:rPr>
              <w:t>2022</w:t>
            </w:r>
          </w:p>
        </w:tc>
        <w:tc>
          <w:tcPr>
            <w:tcW w:w="1276" w:type="dxa"/>
            <w:tcBorders>
              <w:top w:val="nil"/>
              <w:left w:val="nil"/>
              <w:bottom w:val="single" w:sz="4" w:space="0" w:color="BFBFBF"/>
              <w:right w:val="single" w:sz="4" w:space="0" w:color="BFBFBF"/>
            </w:tcBorders>
            <w:shd w:val="clear" w:color="auto" w:fill="auto"/>
            <w:noWrap/>
            <w:vAlign w:val="center"/>
            <w:hideMark/>
          </w:tcPr>
          <w:p w14:paraId="5B3E8FB4" w14:textId="77777777" w:rsidR="006C0427" w:rsidRPr="00F31194" w:rsidRDefault="006C0427" w:rsidP="006C0427">
            <w:pPr>
              <w:jc w:val="center"/>
              <w:rPr>
                <w:color w:val="000000"/>
                <w:sz w:val="18"/>
                <w:szCs w:val="18"/>
              </w:rPr>
            </w:pPr>
            <w:r w:rsidRPr="00F31194">
              <w:rPr>
                <w:color w:val="000000"/>
                <w:sz w:val="18"/>
                <w:szCs w:val="18"/>
              </w:rPr>
              <w:t>3 123 859</w:t>
            </w:r>
          </w:p>
        </w:tc>
        <w:tc>
          <w:tcPr>
            <w:tcW w:w="1275" w:type="dxa"/>
            <w:tcBorders>
              <w:top w:val="nil"/>
              <w:left w:val="nil"/>
              <w:bottom w:val="single" w:sz="4" w:space="0" w:color="BFBFBF"/>
              <w:right w:val="single" w:sz="4" w:space="0" w:color="BFBFBF"/>
            </w:tcBorders>
            <w:shd w:val="clear" w:color="auto" w:fill="auto"/>
            <w:noWrap/>
            <w:vAlign w:val="center"/>
            <w:hideMark/>
          </w:tcPr>
          <w:p w14:paraId="0A1BDC30" w14:textId="77777777" w:rsidR="006C0427" w:rsidRPr="00F31194" w:rsidRDefault="006C0427" w:rsidP="006C0427">
            <w:pPr>
              <w:jc w:val="center"/>
              <w:rPr>
                <w:color w:val="000000"/>
                <w:sz w:val="18"/>
                <w:szCs w:val="18"/>
              </w:rPr>
            </w:pPr>
            <w:r w:rsidRPr="00F31194">
              <w:rPr>
                <w:color w:val="000000"/>
                <w:sz w:val="18"/>
                <w:szCs w:val="18"/>
              </w:rPr>
              <w:t>3 421 084</w:t>
            </w:r>
          </w:p>
        </w:tc>
        <w:tc>
          <w:tcPr>
            <w:tcW w:w="1418" w:type="dxa"/>
            <w:tcBorders>
              <w:top w:val="nil"/>
              <w:left w:val="nil"/>
              <w:bottom w:val="single" w:sz="4" w:space="0" w:color="BFBFBF"/>
              <w:right w:val="single" w:sz="4" w:space="0" w:color="BFBFBF"/>
            </w:tcBorders>
            <w:shd w:val="clear" w:color="auto" w:fill="auto"/>
            <w:noWrap/>
            <w:vAlign w:val="center"/>
            <w:hideMark/>
          </w:tcPr>
          <w:p w14:paraId="69DAD136" w14:textId="77777777" w:rsidR="006C0427" w:rsidRPr="00F31194" w:rsidRDefault="006C0427" w:rsidP="006C0427">
            <w:pPr>
              <w:jc w:val="center"/>
              <w:rPr>
                <w:color w:val="000000"/>
                <w:sz w:val="18"/>
                <w:szCs w:val="18"/>
              </w:rPr>
            </w:pPr>
            <w:r w:rsidRPr="00F31194">
              <w:rPr>
                <w:color w:val="000000"/>
                <w:sz w:val="18"/>
                <w:szCs w:val="18"/>
              </w:rPr>
              <w:t>297 225</w:t>
            </w:r>
          </w:p>
        </w:tc>
        <w:tc>
          <w:tcPr>
            <w:tcW w:w="1276" w:type="dxa"/>
            <w:tcBorders>
              <w:top w:val="nil"/>
              <w:left w:val="nil"/>
              <w:bottom w:val="single" w:sz="4" w:space="0" w:color="BFBFBF"/>
              <w:right w:val="single" w:sz="4" w:space="0" w:color="BFBFBF"/>
            </w:tcBorders>
            <w:shd w:val="clear" w:color="auto" w:fill="auto"/>
            <w:noWrap/>
            <w:vAlign w:val="center"/>
            <w:hideMark/>
          </w:tcPr>
          <w:p w14:paraId="0A98F22A" w14:textId="77777777" w:rsidR="006C0427" w:rsidRPr="00F31194" w:rsidRDefault="006C0427" w:rsidP="006C0427">
            <w:pPr>
              <w:jc w:val="center"/>
              <w:rPr>
                <w:color w:val="000000"/>
                <w:sz w:val="18"/>
                <w:szCs w:val="18"/>
              </w:rPr>
            </w:pPr>
            <w:r w:rsidRPr="00F31194">
              <w:rPr>
                <w:color w:val="000000"/>
                <w:sz w:val="18"/>
                <w:szCs w:val="18"/>
              </w:rPr>
              <w:t>8 652 472</w:t>
            </w:r>
          </w:p>
        </w:tc>
        <w:tc>
          <w:tcPr>
            <w:tcW w:w="1701" w:type="dxa"/>
            <w:tcBorders>
              <w:top w:val="nil"/>
              <w:left w:val="nil"/>
              <w:bottom w:val="single" w:sz="4" w:space="0" w:color="BFBFBF"/>
              <w:right w:val="single" w:sz="4" w:space="0" w:color="BFBFBF"/>
            </w:tcBorders>
            <w:shd w:val="clear" w:color="auto" w:fill="auto"/>
            <w:noWrap/>
            <w:vAlign w:val="center"/>
            <w:hideMark/>
          </w:tcPr>
          <w:p w14:paraId="288EFE2A" w14:textId="77777777" w:rsidR="006C0427" w:rsidRPr="00F31194" w:rsidRDefault="006C0427" w:rsidP="006C0427">
            <w:pPr>
              <w:jc w:val="center"/>
              <w:rPr>
                <w:color w:val="000000"/>
                <w:sz w:val="18"/>
                <w:szCs w:val="18"/>
              </w:rPr>
            </w:pPr>
            <w:r w:rsidRPr="00F31194">
              <w:rPr>
                <w:color w:val="000000"/>
                <w:sz w:val="18"/>
                <w:szCs w:val="18"/>
              </w:rPr>
              <w:t>5 528 613</w:t>
            </w:r>
          </w:p>
        </w:tc>
        <w:tc>
          <w:tcPr>
            <w:tcW w:w="1400" w:type="dxa"/>
            <w:tcBorders>
              <w:top w:val="nil"/>
              <w:left w:val="nil"/>
              <w:bottom w:val="single" w:sz="4" w:space="0" w:color="BFBFBF"/>
              <w:right w:val="single" w:sz="4" w:space="0" w:color="BFBFBF"/>
            </w:tcBorders>
            <w:shd w:val="clear" w:color="auto" w:fill="auto"/>
            <w:noWrap/>
            <w:vAlign w:val="center"/>
            <w:hideMark/>
          </w:tcPr>
          <w:p w14:paraId="10B960FC" w14:textId="77777777" w:rsidR="006C0427" w:rsidRPr="00F31194" w:rsidRDefault="006C0427" w:rsidP="006C0427">
            <w:pPr>
              <w:jc w:val="center"/>
              <w:rPr>
                <w:color w:val="000000"/>
                <w:sz w:val="18"/>
                <w:szCs w:val="18"/>
              </w:rPr>
            </w:pPr>
            <w:r w:rsidRPr="00F31194">
              <w:rPr>
                <w:color w:val="000000"/>
                <w:sz w:val="18"/>
                <w:szCs w:val="18"/>
              </w:rPr>
              <w:t>5 231 388</w:t>
            </w:r>
          </w:p>
        </w:tc>
      </w:tr>
      <w:tr w:rsidR="006C0427" w:rsidRPr="006C0427" w14:paraId="61B5777B"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19004144" w14:textId="77777777" w:rsidR="006C0427" w:rsidRPr="00F31194" w:rsidRDefault="006C0427" w:rsidP="006C0427">
            <w:pPr>
              <w:jc w:val="center"/>
              <w:rPr>
                <w:b/>
                <w:bCs/>
                <w:color w:val="000000"/>
                <w:sz w:val="18"/>
                <w:szCs w:val="18"/>
              </w:rPr>
            </w:pPr>
            <w:r w:rsidRPr="00F31194">
              <w:rPr>
                <w:b/>
                <w:bCs/>
                <w:color w:val="000000"/>
                <w:sz w:val="18"/>
                <w:szCs w:val="18"/>
              </w:rPr>
              <w:t>2023</w:t>
            </w:r>
          </w:p>
        </w:tc>
        <w:tc>
          <w:tcPr>
            <w:tcW w:w="1276" w:type="dxa"/>
            <w:tcBorders>
              <w:top w:val="nil"/>
              <w:left w:val="nil"/>
              <w:bottom w:val="single" w:sz="4" w:space="0" w:color="BFBFBF"/>
              <w:right w:val="single" w:sz="4" w:space="0" w:color="BFBFBF"/>
            </w:tcBorders>
            <w:shd w:val="clear" w:color="auto" w:fill="auto"/>
            <w:noWrap/>
            <w:vAlign w:val="center"/>
            <w:hideMark/>
          </w:tcPr>
          <w:p w14:paraId="39D48FB7" w14:textId="77777777" w:rsidR="006C0427" w:rsidRPr="00F31194" w:rsidRDefault="006C0427" w:rsidP="006C0427">
            <w:pPr>
              <w:jc w:val="center"/>
              <w:rPr>
                <w:color w:val="000000"/>
                <w:sz w:val="18"/>
                <w:szCs w:val="18"/>
              </w:rPr>
            </w:pPr>
            <w:r w:rsidRPr="00F31194">
              <w:rPr>
                <w:color w:val="000000"/>
                <w:sz w:val="18"/>
                <w:szCs w:val="18"/>
              </w:rPr>
              <w:t>2 939 986</w:t>
            </w:r>
          </w:p>
        </w:tc>
        <w:tc>
          <w:tcPr>
            <w:tcW w:w="1275" w:type="dxa"/>
            <w:tcBorders>
              <w:top w:val="nil"/>
              <w:left w:val="nil"/>
              <w:bottom w:val="single" w:sz="4" w:space="0" w:color="BFBFBF"/>
              <w:right w:val="single" w:sz="4" w:space="0" w:color="BFBFBF"/>
            </w:tcBorders>
            <w:shd w:val="clear" w:color="auto" w:fill="auto"/>
            <w:noWrap/>
            <w:vAlign w:val="center"/>
            <w:hideMark/>
          </w:tcPr>
          <w:p w14:paraId="2A9A3A4C" w14:textId="77777777" w:rsidR="006C0427" w:rsidRPr="00F31194" w:rsidRDefault="006C0427" w:rsidP="006C0427">
            <w:pPr>
              <w:jc w:val="center"/>
              <w:rPr>
                <w:color w:val="000000"/>
                <w:sz w:val="18"/>
                <w:szCs w:val="18"/>
              </w:rPr>
            </w:pPr>
            <w:r w:rsidRPr="00F31194">
              <w:rPr>
                <w:color w:val="000000"/>
                <w:sz w:val="18"/>
                <w:szCs w:val="18"/>
              </w:rPr>
              <w:t>3 447 746</w:t>
            </w:r>
          </w:p>
        </w:tc>
        <w:tc>
          <w:tcPr>
            <w:tcW w:w="1418" w:type="dxa"/>
            <w:tcBorders>
              <w:top w:val="nil"/>
              <w:left w:val="nil"/>
              <w:bottom w:val="single" w:sz="4" w:space="0" w:color="BFBFBF"/>
              <w:right w:val="single" w:sz="4" w:space="0" w:color="BFBFBF"/>
            </w:tcBorders>
            <w:shd w:val="clear" w:color="auto" w:fill="auto"/>
            <w:noWrap/>
            <w:vAlign w:val="center"/>
            <w:hideMark/>
          </w:tcPr>
          <w:p w14:paraId="79BB2EC7" w14:textId="77777777" w:rsidR="006C0427" w:rsidRPr="00F31194" w:rsidRDefault="006C0427" w:rsidP="006C0427">
            <w:pPr>
              <w:jc w:val="center"/>
              <w:rPr>
                <w:color w:val="000000"/>
                <w:sz w:val="18"/>
                <w:szCs w:val="18"/>
              </w:rPr>
            </w:pPr>
            <w:r w:rsidRPr="00F31194">
              <w:rPr>
                <w:color w:val="000000"/>
                <w:sz w:val="18"/>
                <w:szCs w:val="18"/>
              </w:rPr>
              <w:t>507 760</w:t>
            </w:r>
          </w:p>
        </w:tc>
        <w:tc>
          <w:tcPr>
            <w:tcW w:w="1276" w:type="dxa"/>
            <w:tcBorders>
              <w:top w:val="nil"/>
              <w:left w:val="nil"/>
              <w:bottom w:val="single" w:sz="4" w:space="0" w:color="BFBFBF"/>
              <w:right w:val="single" w:sz="4" w:space="0" w:color="BFBFBF"/>
            </w:tcBorders>
            <w:shd w:val="clear" w:color="auto" w:fill="auto"/>
            <w:noWrap/>
            <w:vAlign w:val="center"/>
            <w:hideMark/>
          </w:tcPr>
          <w:p w14:paraId="1CFE78D6" w14:textId="77777777" w:rsidR="006C0427" w:rsidRPr="00F31194" w:rsidRDefault="006C0427" w:rsidP="006C0427">
            <w:pPr>
              <w:jc w:val="center"/>
              <w:rPr>
                <w:color w:val="000000"/>
                <w:sz w:val="18"/>
                <w:szCs w:val="18"/>
              </w:rPr>
            </w:pPr>
            <w:r w:rsidRPr="00F31194">
              <w:rPr>
                <w:color w:val="000000"/>
                <w:sz w:val="18"/>
                <w:szCs w:val="18"/>
              </w:rPr>
              <w:t>5 387 950</w:t>
            </w:r>
          </w:p>
        </w:tc>
        <w:tc>
          <w:tcPr>
            <w:tcW w:w="1701" w:type="dxa"/>
            <w:tcBorders>
              <w:top w:val="nil"/>
              <w:left w:val="nil"/>
              <w:bottom w:val="single" w:sz="4" w:space="0" w:color="BFBFBF"/>
              <w:right w:val="single" w:sz="4" w:space="0" w:color="BFBFBF"/>
            </w:tcBorders>
            <w:shd w:val="clear" w:color="auto" w:fill="auto"/>
            <w:noWrap/>
            <w:vAlign w:val="center"/>
            <w:hideMark/>
          </w:tcPr>
          <w:p w14:paraId="696E7CFC" w14:textId="77777777" w:rsidR="006C0427" w:rsidRPr="00F31194" w:rsidRDefault="006C0427" w:rsidP="006C0427">
            <w:pPr>
              <w:jc w:val="center"/>
              <w:rPr>
                <w:color w:val="000000"/>
                <w:sz w:val="18"/>
                <w:szCs w:val="18"/>
              </w:rPr>
            </w:pPr>
            <w:r w:rsidRPr="00F31194">
              <w:rPr>
                <w:color w:val="000000"/>
                <w:sz w:val="18"/>
                <w:szCs w:val="18"/>
              </w:rPr>
              <w:t>2 447 964</w:t>
            </w:r>
          </w:p>
        </w:tc>
        <w:tc>
          <w:tcPr>
            <w:tcW w:w="1400" w:type="dxa"/>
            <w:tcBorders>
              <w:top w:val="nil"/>
              <w:left w:val="nil"/>
              <w:bottom w:val="single" w:sz="4" w:space="0" w:color="BFBFBF"/>
              <w:right w:val="single" w:sz="4" w:space="0" w:color="BFBFBF"/>
            </w:tcBorders>
            <w:shd w:val="clear" w:color="auto" w:fill="auto"/>
            <w:noWrap/>
            <w:vAlign w:val="center"/>
            <w:hideMark/>
          </w:tcPr>
          <w:p w14:paraId="4EBDC82E" w14:textId="77777777" w:rsidR="006C0427" w:rsidRPr="00F31194" w:rsidRDefault="006C0427" w:rsidP="006C0427">
            <w:pPr>
              <w:jc w:val="center"/>
              <w:rPr>
                <w:color w:val="000000"/>
                <w:sz w:val="18"/>
                <w:szCs w:val="18"/>
              </w:rPr>
            </w:pPr>
            <w:r w:rsidRPr="00F31194">
              <w:rPr>
                <w:color w:val="000000"/>
                <w:sz w:val="18"/>
                <w:szCs w:val="18"/>
              </w:rPr>
              <w:t>1 940 204</w:t>
            </w:r>
          </w:p>
        </w:tc>
      </w:tr>
      <w:tr w:rsidR="006C0427" w:rsidRPr="006C0427" w14:paraId="5C5BF465"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09B5A3AC" w14:textId="77777777" w:rsidR="006C0427" w:rsidRPr="00F31194" w:rsidRDefault="006C0427" w:rsidP="006C0427">
            <w:pPr>
              <w:jc w:val="center"/>
              <w:rPr>
                <w:b/>
                <w:bCs/>
                <w:color w:val="000000"/>
                <w:sz w:val="18"/>
                <w:szCs w:val="18"/>
              </w:rPr>
            </w:pPr>
            <w:r w:rsidRPr="00F31194">
              <w:rPr>
                <w:b/>
                <w:bCs/>
                <w:color w:val="000000"/>
                <w:sz w:val="18"/>
                <w:szCs w:val="18"/>
              </w:rPr>
              <w:t>2024</w:t>
            </w:r>
          </w:p>
        </w:tc>
        <w:tc>
          <w:tcPr>
            <w:tcW w:w="1276" w:type="dxa"/>
            <w:tcBorders>
              <w:top w:val="nil"/>
              <w:left w:val="nil"/>
              <w:bottom w:val="single" w:sz="4" w:space="0" w:color="BFBFBF"/>
              <w:right w:val="single" w:sz="4" w:space="0" w:color="BFBFBF"/>
            </w:tcBorders>
            <w:shd w:val="clear" w:color="auto" w:fill="auto"/>
            <w:noWrap/>
            <w:vAlign w:val="center"/>
            <w:hideMark/>
          </w:tcPr>
          <w:p w14:paraId="1854A5E0" w14:textId="77777777" w:rsidR="006C0427" w:rsidRPr="00F31194" w:rsidRDefault="006C0427" w:rsidP="006C0427">
            <w:pPr>
              <w:jc w:val="center"/>
              <w:rPr>
                <w:color w:val="000000"/>
                <w:sz w:val="18"/>
                <w:szCs w:val="18"/>
              </w:rPr>
            </w:pPr>
            <w:r w:rsidRPr="00F31194">
              <w:rPr>
                <w:color w:val="000000"/>
                <w:sz w:val="18"/>
                <w:szCs w:val="18"/>
              </w:rPr>
              <w:t>2 486 982</w:t>
            </w:r>
          </w:p>
        </w:tc>
        <w:tc>
          <w:tcPr>
            <w:tcW w:w="1275" w:type="dxa"/>
            <w:tcBorders>
              <w:top w:val="nil"/>
              <w:left w:val="nil"/>
              <w:bottom w:val="single" w:sz="4" w:space="0" w:color="BFBFBF"/>
              <w:right w:val="single" w:sz="4" w:space="0" w:color="BFBFBF"/>
            </w:tcBorders>
            <w:shd w:val="clear" w:color="auto" w:fill="auto"/>
            <w:noWrap/>
            <w:vAlign w:val="center"/>
            <w:hideMark/>
          </w:tcPr>
          <w:p w14:paraId="026C322F" w14:textId="77777777" w:rsidR="006C0427" w:rsidRPr="00F31194" w:rsidRDefault="006C0427" w:rsidP="006C0427">
            <w:pPr>
              <w:jc w:val="center"/>
              <w:rPr>
                <w:color w:val="000000"/>
                <w:sz w:val="18"/>
                <w:szCs w:val="18"/>
              </w:rPr>
            </w:pPr>
            <w:r w:rsidRPr="00F31194">
              <w:rPr>
                <w:color w:val="000000"/>
                <w:sz w:val="18"/>
                <w:szCs w:val="18"/>
              </w:rPr>
              <w:t>3 106 201</w:t>
            </w:r>
          </w:p>
        </w:tc>
        <w:tc>
          <w:tcPr>
            <w:tcW w:w="1418" w:type="dxa"/>
            <w:tcBorders>
              <w:top w:val="nil"/>
              <w:left w:val="nil"/>
              <w:bottom w:val="single" w:sz="4" w:space="0" w:color="BFBFBF"/>
              <w:right w:val="single" w:sz="4" w:space="0" w:color="BFBFBF"/>
            </w:tcBorders>
            <w:shd w:val="clear" w:color="auto" w:fill="auto"/>
            <w:noWrap/>
            <w:vAlign w:val="center"/>
            <w:hideMark/>
          </w:tcPr>
          <w:p w14:paraId="0BCDE435" w14:textId="77777777" w:rsidR="006C0427" w:rsidRPr="00F31194" w:rsidRDefault="006C0427" w:rsidP="006C0427">
            <w:pPr>
              <w:jc w:val="center"/>
              <w:rPr>
                <w:color w:val="000000"/>
                <w:sz w:val="18"/>
                <w:szCs w:val="18"/>
              </w:rPr>
            </w:pPr>
            <w:r w:rsidRPr="00F31194">
              <w:rPr>
                <w:color w:val="000000"/>
                <w:sz w:val="18"/>
                <w:szCs w:val="18"/>
              </w:rPr>
              <w:t>619 219</w:t>
            </w:r>
          </w:p>
        </w:tc>
        <w:tc>
          <w:tcPr>
            <w:tcW w:w="1276" w:type="dxa"/>
            <w:tcBorders>
              <w:top w:val="nil"/>
              <w:left w:val="nil"/>
              <w:bottom w:val="single" w:sz="4" w:space="0" w:color="BFBFBF"/>
              <w:right w:val="single" w:sz="4" w:space="0" w:color="BFBFBF"/>
            </w:tcBorders>
            <w:shd w:val="clear" w:color="auto" w:fill="auto"/>
            <w:noWrap/>
            <w:vAlign w:val="center"/>
            <w:hideMark/>
          </w:tcPr>
          <w:p w14:paraId="74B88265" w14:textId="77777777" w:rsidR="006C0427" w:rsidRPr="00F31194" w:rsidRDefault="006C0427" w:rsidP="006C0427">
            <w:pPr>
              <w:jc w:val="center"/>
              <w:rPr>
                <w:color w:val="000000"/>
                <w:sz w:val="18"/>
                <w:szCs w:val="18"/>
              </w:rPr>
            </w:pPr>
            <w:r w:rsidRPr="00F31194">
              <w:rPr>
                <w:color w:val="000000"/>
                <w:sz w:val="18"/>
                <w:szCs w:val="18"/>
              </w:rPr>
              <w:t>4 465 152</w:t>
            </w:r>
          </w:p>
        </w:tc>
        <w:tc>
          <w:tcPr>
            <w:tcW w:w="1701" w:type="dxa"/>
            <w:tcBorders>
              <w:top w:val="nil"/>
              <w:left w:val="nil"/>
              <w:bottom w:val="single" w:sz="4" w:space="0" w:color="BFBFBF"/>
              <w:right w:val="single" w:sz="4" w:space="0" w:color="BFBFBF"/>
            </w:tcBorders>
            <w:shd w:val="clear" w:color="auto" w:fill="auto"/>
            <w:noWrap/>
            <w:vAlign w:val="center"/>
            <w:hideMark/>
          </w:tcPr>
          <w:p w14:paraId="656F55EA" w14:textId="77777777" w:rsidR="006C0427" w:rsidRPr="00F31194" w:rsidRDefault="006C0427" w:rsidP="006C0427">
            <w:pPr>
              <w:jc w:val="center"/>
              <w:rPr>
                <w:color w:val="000000"/>
                <w:sz w:val="18"/>
                <w:szCs w:val="18"/>
              </w:rPr>
            </w:pPr>
            <w:r w:rsidRPr="00F31194">
              <w:rPr>
                <w:color w:val="000000"/>
                <w:sz w:val="18"/>
                <w:szCs w:val="18"/>
              </w:rPr>
              <w:t>1 978 170</w:t>
            </w:r>
          </w:p>
        </w:tc>
        <w:tc>
          <w:tcPr>
            <w:tcW w:w="1400" w:type="dxa"/>
            <w:tcBorders>
              <w:top w:val="nil"/>
              <w:left w:val="nil"/>
              <w:bottom w:val="single" w:sz="4" w:space="0" w:color="BFBFBF"/>
              <w:right w:val="single" w:sz="4" w:space="0" w:color="BFBFBF"/>
            </w:tcBorders>
            <w:shd w:val="clear" w:color="auto" w:fill="auto"/>
            <w:noWrap/>
            <w:vAlign w:val="center"/>
            <w:hideMark/>
          </w:tcPr>
          <w:p w14:paraId="7B3FDF06" w14:textId="77777777" w:rsidR="006C0427" w:rsidRPr="00F31194" w:rsidRDefault="006C0427" w:rsidP="006C0427">
            <w:pPr>
              <w:jc w:val="center"/>
              <w:rPr>
                <w:color w:val="000000"/>
                <w:sz w:val="18"/>
                <w:szCs w:val="18"/>
              </w:rPr>
            </w:pPr>
            <w:r w:rsidRPr="00F31194">
              <w:rPr>
                <w:color w:val="000000"/>
                <w:sz w:val="18"/>
                <w:szCs w:val="18"/>
              </w:rPr>
              <w:t>1 358 951</w:t>
            </w:r>
          </w:p>
        </w:tc>
      </w:tr>
      <w:tr w:rsidR="006C0427" w:rsidRPr="006C0427" w14:paraId="254C94CD"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4EBBB369" w14:textId="77777777" w:rsidR="006C0427" w:rsidRPr="00F31194" w:rsidRDefault="006C0427" w:rsidP="006C0427">
            <w:pPr>
              <w:jc w:val="center"/>
              <w:rPr>
                <w:b/>
                <w:bCs/>
                <w:color w:val="000000"/>
                <w:sz w:val="18"/>
                <w:szCs w:val="18"/>
              </w:rPr>
            </w:pPr>
            <w:r w:rsidRPr="00F31194">
              <w:rPr>
                <w:b/>
                <w:bCs/>
                <w:color w:val="000000"/>
                <w:sz w:val="18"/>
                <w:szCs w:val="18"/>
              </w:rPr>
              <w:t>2025</w:t>
            </w:r>
          </w:p>
        </w:tc>
        <w:tc>
          <w:tcPr>
            <w:tcW w:w="1276" w:type="dxa"/>
            <w:tcBorders>
              <w:top w:val="nil"/>
              <w:left w:val="nil"/>
              <w:bottom w:val="single" w:sz="4" w:space="0" w:color="BFBFBF"/>
              <w:right w:val="single" w:sz="4" w:space="0" w:color="BFBFBF"/>
            </w:tcBorders>
            <w:shd w:val="clear" w:color="auto" w:fill="auto"/>
            <w:noWrap/>
            <w:vAlign w:val="center"/>
            <w:hideMark/>
          </w:tcPr>
          <w:p w14:paraId="11DEB27E" w14:textId="77777777" w:rsidR="006C0427" w:rsidRPr="00F31194" w:rsidRDefault="006C0427" w:rsidP="006C0427">
            <w:pPr>
              <w:jc w:val="center"/>
              <w:rPr>
                <w:color w:val="000000"/>
                <w:sz w:val="18"/>
                <w:szCs w:val="18"/>
              </w:rPr>
            </w:pPr>
            <w:r w:rsidRPr="00F31194">
              <w:rPr>
                <w:color w:val="000000"/>
                <w:sz w:val="18"/>
                <w:szCs w:val="18"/>
              </w:rPr>
              <w:t>2 041 810</w:t>
            </w:r>
          </w:p>
        </w:tc>
        <w:tc>
          <w:tcPr>
            <w:tcW w:w="1275" w:type="dxa"/>
            <w:tcBorders>
              <w:top w:val="nil"/>
              <w:left w:val="nil"/>
              <w:bottom w:val="single" w:sz="4" w:space="0" w:color="BFBFBF"/>
              <w:right w:val="single" w:sz="4" w:space="0" w:color="BFBFBF"/>
            </w:tcBorders>
            <w:shd w:val="clear" w:color="auto" w:fill="auto"/>
            <w:noWrap/>
            <w:vAlign w:val="center"/>
            <w:hideMark/>
          </w:tcPr>
          <w:p w14:paraId="27723C1B" w14:textId="77777777" w:rsidR="006C0427" w:rsidRPr="00F31194" w:rsidRDefault="006C0427" w:rsidP="006C0427">
            <w:pPr>
              <w:jc w:val="center"/>
              <w:rPr>
                <w:color w:val="000000"/>
                <w:sz w:val="18"/>
                <w:szCs w:val="18"/>
              </w:rPr>
            </w:pPr>
            <w:r w:rsidRPr="00F31194">
              <w:rPr>
                <w:color w:val="000000"/>
                <w:sz w:val="18"/>
                <w:szCs w:val="18"/>
              </w:rPr>
              <w:t>2 661 029</w:t>
            </w:r>
          </w:p>
        </w:tc>
        <w:tc>
          <w:tcPr>
            <w:tcW w:w="1418" w:type="dxa"/>
            <w:tcBorders>
              <w:top w:val="nil"/>
              <w:left w:val="nil"/>
              <w:bottom w:val="single" w:sz="4" w:space="0" w:color="BFBFBF"/>
              <w:right w:val="single" w:sz="4" w:space="0" w:color="BFBFBF"/>
            </w:tcBorders>
            <w:shd w:val="clear" w:color="auto" w:fill="auto"/>
            <w:noWrap/>
            <w:vAlign w:val="center"/>
            <w:hideMark/>
          </w:tcPr>
          <w:p w14:paraId="6478915A" w14:textId="77777777" w:rsidR="006C0427" w:rsidRPr="00F31194" w:rsidRDefault="006C0427" w:rsidP="006C0427">
            <w:pPr>
              <w:jc w:val="center"/>
              <w:rPr>
                <w:color w:val="000000"/>
                <w:sz w:val="18"/>
                <w:szCs w:val="18"/>
              </w:rPr>
            </w:pPr>
            <w:r w:rsidRPr="00F31194">
              <w:rPr>
                <w:color w:val="000000"/>
                <w:sz w:val="18"/>
                <w:szCs w:val="18"/>
              </w:rPr>
              <w:t>619 219</w:t>
            </w:r>
          </w:p>
        </w:tc>
        <w:tc>
          <w:tcPr>
            <w:tcW w:w="1276" w:type="dxa"/>
            <w:tcBorders>
              <w:top w:val="nil"/>
              <w:left w:val="nil"/>
              <w:bottom w:val="single" w:sz="4" w:space="0" w:color="BFBFBF"/>
              <w:right w:val="single" w:sz="4" w:space="0" w:color="BFBFBF"/>
            </w:tcBorders>
            <w:shd w:val="clear" w:color="auto" w:fill="auto"/>
            <w:noWrap/>
            <w:vAlign w:val="center"/>
            <w:hideMark/>
          </w:tcPr>
          <w:p w14:paraId="006D16B8" w14:textId="77777777" w:rsidR="006C0427" w:rsidRPr="00F31194" w:rsidRDefault="006C0427" w:rsidP="006C0427">
            <w:pPr>
              <w:jc w:val="center"/>
              <w:rPr>
                <w:color w:val="000000"/>
                <w:sz w:val="18"/>
                <w:szCs w:val="18"/>
              </w:rPr>
            </w:pPr>
            <w:r w:rsidRPr="00F31194">
              <w:rPr>
                <w:color w:val="000000"/>
                <w:sz w:val="18"/>
                <w:szCs w:val="18"/>
              </w:rPr>
              <w:t>3 472 896</w:t>
            </w:r>
          </w:p>
        </w:tc>
        <w:tc>
          <w:tcPr>
            <w:tcW w:w="1701" w:type="dxa"/>
            <w:tcBorders>
              <w:top w:val="nil"/>
              <w:left w:val="nil"/>
              <w:bottom w:val="single" w:sz="4" w:space="0" w:color="BFBFBF"/>
              <w:right w:val="single" w:sz="4" w:space="0" w:color="BFBFBF"/>
            </w:tcBorders>
            <w:shd w:val="clear" w:color="auto" w:fill="auto"/>
            <w:noWrap/>
            <w:vAlign w:val="center"/>
            <w:hideMark/>
          </w:tcPr>
          <w:p w14:paraId="740D4F55" w14:textId="77777777" w:rsidR="006C0427" w:rsidRPr="00F31194" w:rsidRDefault="006C0427" w:rsidP="006C0427">
            <w:pPr>
              <w:jc w:val="center"/>
              <w:rPr>
                <w:color w:val="000000"/>
                <w:sz w:val="18"/>
                <w:szCs w:val="18"/>
              </w:rPr>
            </w:pPr>
            <w:r w:rsidRPr="00F31194">
              <w:rPr>
                <w:color w:val="000000"/>
                <w:sz w:val="18"/>
                <w:szCs w:val="18"/>
              </w:rPr>
              <w:t>1 431 086</w:t>
            </w:r>
          </w:p>
        </w:tc>
        <w:tc>
          <w:tcPr>
            <w:tcW w:w="1400" w:type="dxa"/>
            <w:tcBorders>
              <w:top w:val="nil"/>
              <w:left w:val="nil"/>
              <w:bottom w:val="single" w:sz="4" w:space="0" w:color="BFBFBF"/>
              <w:right w:val="single" w:sz="4" w:space="0" w:color="BFBFBF"/>
            </w:tcBorders>
            <w:shd w:val="clear" w:color="auto" w:fill="auto"/>
            <w:noWrap/>
            <w:vAlign w:val="center"/>
            <w:hideMark/>
          </w:tcPr>
          <w:p w14:paraId="3DA95C74" w14:textId="77777777" w:rsidR="006C0427" w:rsidRPr="00F31194" w:rsidRDefault="006C0427" w:rsidP="006C0427">
            <w:pPr>
              <w:jc w:val="center"/>
              <w:rPr>
                <w:color w:val="000000"/>
                <w:sz w:val="18"/>
                <w:szCs w:val="18"/>
              </w:rPr>
            </w:pPr>
            <w:r w:rsidRPr="00F31194">
              <w:rPr>
                <w:color w:val="000000"/>
                <w:sz w:val="18"/>
                <w:szCs w:val="18"/>
              </w:rPr>
              <w:t>811 867</w:t>
            </w:r>
          </w:p>
        </w:tc>
      </w:tr>
      <w:tr w:rsidR="006C0427" w:rsidRPr="006C0427" w14:paraId="7F596508"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05F53AF7" w14:textId="77777777" w:rsidR="006C0427" w:rsidRPr="00F31194" w:rsidRDefault="006C0427" w:rsidP="006C0427">
            <w:pPr>
              <w:jc w:val="center"/>
              <w:rPr>
                <w:b/>
                <w:bCs/>
                <w:color w:val="000000"/>
                <w:sz w:val="18"/>
                <w:szCs w:val="18"/>
              </w:rPr>
            </w:pPr>
            <w:r w:rsidRPr="00F31194">
              <w:rPr>
                <w:b/>
                <w:bCs/>
                <w:color w:val="000000"/>
                <w:sz w:val="18"/>
                <w:szCs w:val="18"/>
              </w:rPr>
              <w:t>2026</w:t>
            </w:r>
          </w:p>
        </w:tc>
        <w:tc>
          <w:tcPr>
            <w:tcW w:w="1276" w:type="dxa"/>
            <w:tcBorders>
              <w:top w:val="nil"/>
              <w:left w:val="nil"/>
              <w:bottom w:val="single" w:sz="4" w:space="0" w:color="BFBFBF"/>
              <w:right w:val="single" w:sz="4" w:space="0" w:color="BFBFBF"/>
            </w:tcBorders>
            <w:shd w:val="clear" w:color="auto" w:fill="auto"/>
            <w:noWrap/>
            <w:vAlign w:val="center"/>
            <w:hideMark/>
          </w:tcPr>
          <w:p w14:paraId="2BE3DBF1" w14:textId="77777777" w:rsidR="006C0427" w:rsidRPr="00F31194" w:rsidRDefault="006C0427" w:rsidP="006C0427">
            <w:pPr>
              <w:jc w:val="center"/>
              <w:rPr>
                <w:color w:val="000000"/>
                <w:sz w:val="18"/>
                <w:szCs w:val="18"/>
              </w:rPr>
            </w:pPr>
            <w:r w:rsidRPr="00F31194">
              <w:rPr>
                <w:color w:val="000000"/>
                <w:sz w:val="18"/>
                <w:szCs w:val="18"/>
              </w:rPr>
              <w:t>1 150 600</w:t>
            </w:r>
          </w:p>
        </w:tc>
        <w:tc>
          <w:tcPr>
            <w:tcW w:w="1275" w:type="dxa"/>
            <w:tcBorders>
              <w:top w:val="nil"/>
              <w:left w:val="nil"/>
              <w:bottom w:val="single" w:sz="4" w:space="0" w:color="BFBFBF"/>
              <w:right w:val="single" w:sz="4" w:space="0" w:color="BFBFBF"/>
            </w:tcBorders>
            <w:shd w:val="clear" w:color="auto" w:fill="auto"/>
            <w:noWrap/>
            <w:vAlign w:val="center"/>
            <w:hideMark/>
          </w:tcPr>
          <w:p w14:paraId="5F796798" w14:textId="77777777" w:rsidR="006C0427" w:rsidRPr="00F31194" w:rsidRDefault="006C0427" w:rsidP="006C0427">
            <w:pPr>
              <w:jc w:val="center"/>
              <w:rPr>
                <w:color w:val="000000"/>
                <w:sz w:val="18"/>
                <w:szCs w:val="18"/>
              </w:rPr>
            </w:pPr>
            <w:r w:rsidRPr="00F31194">
              <w:rPr>
                <w:color w:val="000000"/>
                <w:sz w:val="18"/>
                <w:szCs w:val="18"/>
              </w:rPr>
              <w:t>1 769 819</w:t>
            </w:r>
          </w:p>
        </w:tc>
        <w:tc>
          <w:tcPr>
            <w:tcW w:w="1418" w:type="dxa"/>
            <w:tcBorders>
              <w:top w:val="nil"/>
              <w:left w:val="nil"/>
              <w:bottom w:val="single" w:sz="4" w:space="0" w:color="BFBFBF"/>
              <w:right w:val="single" w:sz="4" w:space="0" w:color="BFBFBF"/>
            </w:tcBorders>
            <w:shd w:val="clear" w:color="auto" w:fill="auto"/>
            <w:noWrap/>
            <w:vAlign w:val="center"/>
            <w:hideMark/>
          </w:tcPr>
          <w:p w14:paraId="4F881127" w14:textId="77777777" w:rsidR="006C0427" w:rsidRPr="00F31194" w:rsidRDefault="006C0427" w:rsidP="006C0427">
            <w:pPr>
              <w:jc w:val="center"/>
              <w:rPr>
                <w:color w:val="000000"/>
                <w:sz w:val="18"/>
                <w:szCs w:val="18"/>
              </w:rPr>
            </w:pPr>
            <w:r w:rsidRPr="00F31194">
              <w:rPr>
                <w:color w:val="000000"/>
                <w:sz w:val="18"/>
                <w:szCs w:val="18"/>
              </w:rPr>
              <w:t>619 219</w:t>
            </w:r>
          </w:p>
        </w:tc>
        <w:tc>
          <w:tcPr>
            <w:tcW w:w="1276" w:type="dxa"/>
            <w:tcBorders>
              <w:top w:val="nil"/>
              <w:left w:val="nil"/>
              <w:bottom w:val="single" w:sz="4" w:space="0" w:color="BFBFBF"/>
              <w:right w:val="single" w:sz="4" w:space="0" w:color="BFBFBF"/>
            </w:tcBorders>
            <w:shd w:val="clear" w:color="auto" w:fill="auto"/>
            <w:noWrap/>
            <w:vAlign w:val="center"/>
            <w:hideMark/>
          </w:tcPr>
          <w:p w14:paraId="3206E454" w14:textId="77777777" w:rsidR="006C0427" w:rsidRPr="00F31194" w:rsidRDefault="006C0427" w:rsidP="006C0427">
            <w:pPr>
              <w:jc w:val="center"/>
              <w:rPr>
                <w:color w:val="000000"/>
                <w:sz w:val="18"/>
                <w:szCs w:val="18"/>
              </w:rPr>
            </w:pPr>
            <w:r w:rsidRPr="00F31194">
              <w:rPr>
                <w:color w:val="000000"/>
                <w:sz w:val="18"/>
                <w:szCs w:val="18"/>
              </w:rPr>
              <w:t>1 488 384</w:t>
            </w:r>
          </w:p>
        </w:tc>
        <w:tc>
          <w:tcPr>
            <w:tcW w:w="1701" w:type="dxa"/>
            <w:tcBorders>
              <w:top w:val="nil"/>
              <w:left w:val="nil"/>
              <w:bottom w:val="single" w:sz="4" w:space="0" w:color="BFBFBF"/>
              <w:right w:val="single" w:sz="4" w:space="0" w:color="BFBFBF"/>
            </w:tcBorders>
            <w:shd w:val="clear" w:color="auto" w:fill="auto"/>
            <w:noWrap/>
            <w:vAlign w:val="center"/>
            <w:hideMark/>
          </w:tcPr>
          <w:p w14:paraId="4D723837" w14:textId="77777777" w:rsidR="006C0427" w:rsidRPr="00F31194" w:rsidRDefault="006C0427" w:rsidP="006C0427">
            <w:pPr>
              <w:jc w:val="center"/>
              <w:rPr>
                <w:color w:val="000000"/>
                <w:sz w:val="18"/>
                <w:szCs w:val="18"/>
              </w:rPr>
            </w:pPr>
            <w:r w:rsidRPr="00F31194">
              <w:rPr>
                <w:color w:val="000000"/>
                <w:sz w:val="18"/>
                <w:szCs w:val="18"/>
              </w:rPr>
              <w:t>337 784</w:t>
            </w:r>
          </w:p>
        </w:tc>
        <w:tc>
          <w:tcPr>
            <w:tcW w:w="1400" w:type="dxa"/>
            <w:tcBorders>
              <w:top w:val="nil"/>
              <w:left w:val="nil"/>
              <w:bottom w:val="single" w:sz="4" w:space="0" w:color="BFBFBF"/>
              <w:right w:val="single" w:sz="4" w:space="0" w:color="BFBFBF"/>
            </w:tcBorders>
            <w:shd w:val="clear" w:color="auto" w:fill="auto"/>
            <w:noWrap/>
            <w:vAlign w:val="center"/>
            <w:hideMark/>
          </w:tcPr>
          <w:p w14:paraId="31E37DAF" w14:textId="77777777" w:rsidR="006C0427" w:rsidRPr="00F31194" w:rsidRDefault="006C0427" w:rsidP="006C0427">
            <w:pPr>
              <w:jc w:val="center"/>
              <w:rPr>
                <w:color w:val="000000"/>
                <w:sz w:val="18"/>
                <w:szCs w:val="18"/>
              </w:rPr>
            </w:pPr>
            <w:r w:rsidRPr="00F31194">
              <w:rPr>
                <w:color w:val="000000"/>
                <w:sz w:val="18"/>
                <w:szCs w:val="18"/>
              </w:rPr>
              <w:t>-281 435</w:t>
            </w:r>
          </w:p>
        </w:tc>
      </w:tr>
      <w:tr w:rsidR="006C0427" w:rsidRPr="006C0427" w14:paraId="6216E29F"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2385E888" w14:textId="77777777" w:rsidR="006C0427" w:rsidRPr="00F31194" w:rsidRDefault="006C0427" w:rsidP="006C0427">
            <w:pPr>
              <w:jc w:val="center"/>
              <w:rPr>
                <w:b/>
                <w:bCs/>
                <w:color w:val="000000"/>
                <w:sz w:val="18"/>
                <w:szCs w:val="18"/>
              </w:rPr>
            </w:pPr>
            <w:r w:rsidRPr="00F31194">
              <w:rPr>
                <w:b/>
                <w:bCs/>
                <w:color w:val="000000"/>
                <w:sz w:val="18"/>
                <w:szCs w:val="18"/>
              </w:rPr>
              <w:t>2027</w:t>
            </w:r>
          </w:p>
        </w:tc>
        <w:tc>
          <w:tcPr>
            <w:tcW w:w="1276" w:type="dxa"/>
            <w:tcBorders>
              <w:top w:val="nil"/>
              <w:left w:val="nil"/>
              <w:bottom w:val="single" w:sz="4" w:space="0" w:color="BFBFBF"/>
              <w:right w:val="single" w:sz="4" w:space="0" w:color="BFBFBF"/>
            </w:tcBorders>
            <w:shd w:val="clear" w:color="auto" w:fill="auto"/>
            <w:noWrap/>
            <w:vAlign w:val="center"/>
            <w:hideMark/>
          </w:tcPr>
          <w:p w14:paraId="6336705D" w14:textId="77777777" w:rsidR="006C0427" w:rsidRPr="00F31194" w:rsidRDefault="006C0427" w:rsidP="006C0427">
            <w:pPr>
              <w:jc w:val="center"/>
              <w:rPr>
                <w:color w:val="000000"/>
                <w:sz w:val="18"/>
                <w:szCs w:val="18"/>
              </w:rPr>
            </w:pPr>
            <w:r w:rsidRPr="00F31194">
              <w:rPr>
                <w:color w:val="000000"/>
                <w:sz w:val="18"/>
                <w:szCs w:val="18"/>
              </w:rPr>
              <w:t>1 150 600</w:t>
            </w:r>
          </w:p>
        </w:tc>
        <w:tc>
          <w:tcPr>
            <w:tcW w:w="1275" w:type="dxa"/>
            <w:tcBorders>
              <w:top w:val="nil"/>
              <w:left w:val="nil"/>
              <w:bottom w:val="single" w:sz="4" w:space="0" w:color="BFBFBF"/>
              <w:right w:val="single" w:sz="4" w:space="0" w:color="BFBFBF"/>
            </w:tcBorders>
            <w:shd w:val="clear" w:color="auto" w:fill="auto"/>
            <w:noWrap/>
            <w:vAlign w:val="center"/>
            <w:hideMark/>
          </w:tcPr>
          <w:p w14:paraId="3A817A26" w14:textId="77777777" w:rsidR="006C0427" w:rsidRPr="00F31194" w:rsidRDefault="006C0427" w:rsidP="006C0427">
            <w:pPr>
              <w:jc w:val="center"/>
              <w:rPr>
                <w:color w:val="000000"/>
                <w:sz w:val="18"/>
                <w:szCs w:val="18"/>
              </w:rPr>
            </w:pPr>
            <w:r w:rsidRPr="00F31194">
              <w:rPr>
                <w:color w:val="000000"/>
                <w:sz w:val="18"/>
                <w:szCs w:val="18"/>
              </w:rPr>
              <w:t>1 769 819</w:t>
            </w:r>
          </w:p>
        </w:tc>
        <w:tc>
          <w:tcPr>
            <w:tcW w:w="1418" w:type="dxa"/>
            <w:tcBorders>
              <w:top w:val="nil"/>
              <w:left w:val="nil"/>
              <w:bottom w:val="single" w:sz="4" w:space="0" w:color="BFBFBF"/>
              <w:right w:val="single" w:sz="4" w:space="0" w:color="BFBFBF"/>
            </w:tcBorders>
            <w:shd w:val="clear" w:color="auto" w:fill="auto"/>
            <w:noWrap/>
            <w:vAlign w:val="center"/>
            <w:hideMark/>
          </w:tcPr>
          <w:p w14:paraId="1437DFE5" w14:textId="77777777" w:rsidR="006C0427" w:rsidRPr="00F31194" w:rsidRDefault="006C0427" w:rsidP="006C0427">
            <w:pPr>
              <w:jc w:val="center"/>
              <w:rPr>
                <w:color w:val="000000"/>
                <w:sz w:val="18"/>
                <w:szCs w:val="18"/>
              </w:rPr>
            </w:pPr>
            <w:r w:rsidRPr="00F31194">
              <w:rPr>
                <w:color w:val="000000"/>
                <w:sz w:val="18"/>
                <w:szCs w:val="18"/>
              </w:rPr>
              <w:t>619 219</w:t>
            </w:r>
          </w:p>
        </w:tc>
        <w:tc>
          <w:tcPr>
            <w:tcW w:w="1276" w:type="dxa"/>
            <w:tcBorders>
              <w:top w:val="nil"/>
              <w:left w:val="nil"/>
              <w:bottom w:val="single" w:sz="4" w:space="0" w:color="BFBFBF"/>
              <w:right w:val="single" w:sz="4" w:space="0" w:color="BFBFBF"/>
            </w:tcBorders>
            <w:shd w:val="clear" w:color="auto" w:fill="auto"/>
            <w:noWrap/>
            <w:vAlign w:val="center"/>
            <w:hideMark/>
          </w:tcPr>
          <w:p w14:paraId="3E9510BC" w14:textId="77777777" w:rsidR="006C0427" w:rsidRPr="00F31194" w:rsidRDefault="006C0427" w:rsidP="006C0427">
            <w:pPr>
              <w:jc w:val="center"/>
              <w:rPr>
                <w:color w:val="000000"/>
                <w:sz w:val="18"/>
                <w:szCs w:val="18"/>
              </w:rPr>
            </w:pPr>
            <w:r w:rsidRPr="00F31194">
              <w:rPr>
                <w:color w:val="000000"/>
                <w:sz w:val="18"/>
                <w:szCs w:val="18"/>
              </w:rPr>
              <w:t>1 488 384</w:t>
            </w:r>
          </w:p>
        </w:tc>
        <w:tc>
          <w:tcPr>
            <w:tcW w:w="1701" w:type="dxa"/>
            <w:tcBorders>
              <w:top w:val="nil"/>
              <w:left w:val="nil"/>
              <w:bottom w:val="single" w:sz="4" w:space="0" w:color="BFBFBF"/>
              <w:right w:val="single" w:sz="4" w:space="0" w:color="BFBFBF"/>
            </w:tcBorders>
            <w:shd w:val="clear" w:color="auto" w:fill="auto"/>
            <w:noWrap/>
            <w:vAlign w:val="center"/>
            <w:hideMark/>
          </w:tcPr>
          <w:p w14:paraId="77AFCD24" w14:textId="77777777" w:rsidR="006C0427" w:rsidRPr="00F31194" w:rsidRDefault="006C0427" w:rsidP="006C0427">
            <w:pPr>
              <w:jc w:val="center"/>
              <w:rPr>
                <w:color w:val="000000"/>
                <w:sz w:val="18"/>
                <w:szCs w:val="18"/>
              </w:rPr>
            </w:pPr>
            <w:r w:rsidRPr="00F31194">
              <w:rPr>
                <w:color w:val="000000"/>
                <w:sz w:val="18"/>
                <w:szCs w:val="18"/>
              </w:rPr>
              <w:t>337 784</w:t>
            </w:r>
          </w:p>
        </w:tc>
        <w:tc>
          <w:tcPr>
            <w:tcW w:w="1400" w:type="dxa"/>
            <w:tcBorders>
              <w:top w:val="nil"/>
              <w:left w:val="nil"/>
              <w:bottom w:val="single" w:sz="4" w:space="0" w:color="BFBFBF"/>
              <w:right w:val="single" w:sz="4" w:space="0" w:color="BFBFBF"/>
            </w:tcBorders>
            <w:shd w:val="clear" w:color="auto" w:fill="auto"/>
            <w:noWrap/>
            <w:vAlign w:val="center"/>
            <w:hideMark/>
          </w:tcPr>
          <w:p w14:paraId="2E5DDDE8" w14:textId="77777777" w:rsidR="006C0427" w:rsidRPr="00F31194" w:rsidRDefault="006C0427" w:rsidP="006C0427">
            <w:pPr>
              <w:jc w:val="center"/>
              <w:rPr>
                <w:color w:val="000000"/>
                <w:sz w:val="18"/>
                <w:szCs w:val="18"/>
              </w:rPr>
            </w:pPr>
            <w:r w:rsidRPr="00F31194">
              <w:rPr>
                <w:color w:val="000000"/>
                <w:sz w:val="18"/>
                <w:szCs w:val="18"/>
              </w:rPr>
              <w:t>-281 435</w:t>
            </w:r>
          </w:p>
        </w:tc>
      </w:tr>
      <w:tr w:rsidR="006C0427" w:rsidRPr="006C0427" w14:paraId="56784AEC"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2300E9B2" w14:textId="77777777" w:rsidR="006C0427" w:rsidRPr="00F31194" w:rsidRDefault="006C0427" w:rsidP="006C0427">
            <w:pPr>
              <w:jc w:val="center"/>
              <w:rPr>
                <w:b/>
                <w:bCs/>
                <w:color w:val="000000"/>
                <w:sz w:val="18"/>
                <w:szCs w:val="18"/>
              </w:rPr>
            </w:pPr>
            <w:r w:rsidRPr="00F31194">
              <w:rPr>
                <w:b/>
                <w:bCs/>
                <w:color w:val="000000"/>
                <w:sz w:val="18"/>
                <w:szCs w:val="18"/>
              </w:rPr>
              <w:t>2028</w:t>
            </w:r>
          </w:p>
        </w:tc>
        <w:tc>
          <w:tcPr>
            <w:tcW w:w="1276" w:type="dxa"/>
            <w:tcBorders>
              <w:top w:val="nil"/>
              <w:left w:val="nil"/>
              <w:bottom w:val="single" w:sz="4" w:space="0" w:color="BFBFBF"/>
              <w:right w:val="single" w:sz="4" w:space="0" w:color="BFBFBF"/>
            </w:tcBorders>
            <w:shd w:val="clear" w:color="auto" w:fill="auto"/>
            <w:noWrap/>
            <w:vAlign w:val="center"/>
            <w:hideMark/>
          </w:tcPr>
          <w:p w14:paraId="751215C5" w14:textId="77777777" w:rsidR="006C0427" w:rsidRPr="00F31194" w:rsidRDefault="006C0427" w:rsidP="006C0427">
            <w:pPr>
              <w:jc w:val="center"/>
              <w:rPr>
                <w:color w:val="000000"/>
                <w:sz w:val="18"/>
                <w:szCs w:val="18"/>
              </w:rPr>
            </w:pPr>
            <w:r w:rsidRPr="00F31194">
              <w:rPr>
                <w:color w:val="000000"/>
                <w:sz w:val="18"/>
                <w:szCs w:val="18"/>
              </w:rPr>
              <w:t>1 150 600</w:t>
            </w:r>
          </w:p>
        </w:tc>
        <w:tc>
          <w:tcPr>
            <w:tcW w:w="1275" w:type="dxa"/>
            <w:tcBorders>
              <w:top w:val="nil"/>
              <w:left w:val="nil"/>
              <w:bottom w:val="single" w:sz="4" w:space="0" w:color="BFBFBF"/>
              <w:right w:val="single" w:sz="4" w:space="0" w:color="BFBFBF"/>
            </w:tcBorders>
            <w:shd w:val="clear" w:color="auto" w:fill="auto"/>
            <w:noWrap/>
            <w:vAlign w:val="center"/>
            <w:hideMark/>
          </w:tcPr>
          <w:p w14:paraId="51DA2B0A" w14:textId="77777777" w:rsidR="006C0427" w:rsidRPr="00F31194" w:rsidRDefault="006C0427" w:rsidP="006C0427">
            <w:pPr>
              <w:jc w:val="center"/>
              <w:rPr>
                <w:color w:val="000000"/>
                <w:sz w:val="18"/>
                <w:szCs w:val="18"/>
              </w:rPr>
            </w:pPr>
            <w:r w:rsidRPr="00F31194">
              <w:rPr>
                <w:color w:val="000000"/>
                <w:sz w:val="18"/>
                <w:szCs w:val="18"/>
              </w:rPr>
              <w:t>1 769 819</w:t>
            </w:r>
          </w:p>
        </w:tc>
        <w:tc>
          <w:tcPr>
            <w:tcW w:w="1418" w:type="dxa"/>
            <w:tcBorders>
              <w:top w:val="nil"/>
              <w:left w:val="nil"/>
              <w:bottom w:val="single" w:sz="4" w:space="0" w:color="BFBFBF"/>
              <w:right w:val="single" w:sz="4" w:space="0" w:color="BFBFBF"/>
            </w:tcBorders>
            <w:shd w:val="clear" w:color="auto" w:fill="auto"/>
            <w:noWrap/>
            <w:vAlign w:val="center"/>
            <w:hideMark/>
          </w:tcPr>
          <w:p w14:paraId="39B1FDDE" w14:textId="77777777" w:rsidR="006C0427" w:rsidRPr="00F31194" w:rsidRDefault="006C0427" w:rsidP="006C0427">
            <w:pPr>
              <w:jc w:val="center"/>
              <w:rPr>
                <w:color w:val="000000"/>
                <w:sz w:val="18"/>
                <w:szCs w:val="18"/>
              </w:rPr>
            </w:pPr>
            <w:r w:rsidRPr="00F31194">
              <w:rPr>
                <w:color w:val="000000"/>
                <w:sz w:val="18"/>
                <w:szCs w:val="18"/>
              </w:rPr>
              <w:t>619 219</w:t>
            </w:r>
          </w:p>
        </w:tc>
        <w:tc>
          <w:tcPr>
            <w:tcW w:w="1276" w:type="dxa"/>
            <w:tcBorders>
              <w:top w:val="nil"/>
              <w:left w:val="nil"/>
              <w:bottom w:val="single" w:sz="4" w:space="0" w:color="BFBFBF"/>
              <w:right w:val="single" w:sz="4" w:space="0" w:color="BFBFBF"/>
            </w:tcBorders>
            <w:shd w:val="clear" w:color="auto" w:fill="auto"/>
            <w:noWrap/>
            <w:vAlign w:val="center"/>
            <w:hideMark/>
          </w:tcPr>
          <w:p w14:paraId="7C650250" w14:textId="77777777" w:rsidR="006C0427" w:rsidRPr="00F31194" w:rsidRDefault="006C0427" w:rsidP="006C0427">
            <w:pPr>
              <w:jc w:val="center"/>
              <w:rPr>
                <w:color w:val="000000"/>
                <w:sz w:val="18"/>
                <w:szCs w:val="18"/>
              </w:rPr>
            </w:pPr>
            <w:r w:rsidRPr="00F31194">
              <w:rPr>
                <w:color w:val="000000"/>
                <w:sz w:val="18"/>
                <w:szCs w:val="18"/>
              </w:rPr>
              <w:t>1 488 384</w:t>
            </w:r>
          </w:p>
        </w:tc>
        <w:tc>
          <w:tcPr>
            <w:tcW w:w="1701" w:type="dxa"/>
            <w:tcBorders>
              <w:top w:val="nil"/>
              <w:left w:val="nil"/>
              <w:bottom w:val="single" w:sz="4" w:space="0" w:color="BFBFBF"/>
              <w:right w:val="single" w:sz="4" w:space="0" w:color="BFBFBF"/>
            </w:tcBorders>
            <w:shd w:val="clear" w:color="auto" w:fill="auto"/>
            <w:noWrap/>
            <w:vAlign w:val="center"/>
            <w:hideMark/>
          </w:tcPr>
          <w:p w14:paraId="4A16C101" w14:textId="77777777" w:rsidR="006C0427" w:rsidRPr="00F31194" w:rsidRDefault="006C0427" w:rsidP="006C0427">
            <w:pPr>
              <w:jc w:val="center"/>
              <w:rPr>
                <w:color w:val="000000"/>
                <w:sz w:val="18"/>
                <w:szCs w:val="18"/>
              </w:rPr>
            </w:pPr>
            <w:r w:rsidRPr="00F31194">
              <w:rPr>
                <w:color w:val="000000"/>
                <w:sz w:val="18"/>
                <w:szCs w:val="18"/>
              </w:rPr>
              <w:t>337 784</w:t>
            </w:r>
          </w:p>
        </w:tc>
        <w:tc>
          <w:tcPr>
            <w:tcW w:w="1400" w:type="dxa"/>
            <w:tcBorders>
              <w:top w:val="nil"/>
              <w:left w:val="nil"/>
              <w:bottom w:val="single" w:sz="4" w:space="0" w:color="BFBFBF"/>
              <w:right w:val="single" w:sz="4" w:space="0" w:color="BFBFBF"/>
            </w:tcBorders>
            <w:shd w:val="clear" w:color="auto" w:fill="auto"/>
            <w:noWrap/>
            <w:vAlign w:val="center"/>
            <w:hideMark/>
          </w:tcPr>
          <w:p w14:paraId="65F72CA3" w14:textId="77777777" w:rsidR="006C0427" w:rsidRPr="00F31194" w:rsidRDefault="006C0427" w:rsidP="006C0427">
            <w:pPr>
              <w:jc w:val="center"/>
              <w:rPr>
                <w:color w:val="000000"/>
                <w:sz w:val="18"/>
                <w:szCs w:val="18"/>
              </w:rPr>
            </w:pPr>
            <w:r w:rsidRPr="00F31194">
              <w:rPr>
                <w:color w:val="000000"/>
                <w:sz w:val="18"/>
                <w:szCs w:val="18"/>
              </w:rPr>
              <w:t>-281 435</w:t>
            </w:r>
          </w:p>
        </w:tc>
      </w:tr>
      <w:tr w:rsidR="006C0427" w:rsidRPr="006C0427" w14:paraId="48390100"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5FDF142D" w14:textId="77777777" w:rsidR="006C0427" w:rsidRPr="00F31194" w:rsidRDefault="006C0427" w:rsidP="006C0427">
            <w:pPr>
              <w:jc w:val="center"/>
              <w:rPr>
                <w:b/>
                <w:bCs/>
                <w:color w:val="000000"/>
                <w:sz w:val="18"/>
                <w:szCs w:val="18"/>
              </w:rPr>
            </w:pPr>
            <w:r w:rsidRPr="00F31194">
              <w:rPr>
                <w:b/>
                <w:bCs/>
                <w:color w:val="000000"/>
                <w:sz w:val="18"/>
                <w:szCs w:val="18"/>
              </w:rPr>
              <w:t>2029</w:t>
            </w:r>
          </w:p>
        </w:tc>
        <w:tc>
          <w:tcPr>
            <w:tcW w:w="1276" w:type="dxa"/>
            <w:tcBorders>
              <w:top w:val="nil"/>
              <w:left w:val="nil"/>
              <w:bottom w:val="single" w:sz="4" w:space="0" w:color="BFBFBF"/>
              <w:right w:val="single" w:sz="4" w:space="0" w:color="BFBFBF"/>
            </w:tcBorders>
            <w:shd w:val="clear" w:color="auto" w:fill="auto"/>
            <w:noWrap/>
            <w:vAlign w:val="center"/>
            <w:hideMark/>
          </w:tcPr>
          <w:p w14:paraId="0C15F764" w14:textId="77777777" w:rsidR="006C0427" w:rsidRPr="00F31194" w:rsidRDefault="006C0427" w:rsidP="006C0427">
            <w:pPr>
              <w:jc w:val="center"/>
              <w:rPr>
                <w:color w:val="000000"/>
                <w:sz w:val="18"/>
                <w:szCs w:val="18"/>
              </w:rPr>
            </w:pPr>
            <w:r w:rsidRPr="00F31194">
              <w:rPr>
                <w:color w:val="000000"/>
                <w:sz w:val="18"/>
                <w:szCs w:val="18"/>
              </w:rPr>
              <w:t>992 201</w:t>
            </w:r>
          </w:p>
        </w:tc>
        <w:tc>
          <w:tcPr>
            <w:tcW w:w="1275" w:type="dxa"/>
            <w:tcBorders>
              <w:top w:val="nil"/>
              <w:left w:val="nil"/>
              <w:bottom w:val="single" w:sz="4" w:space="0" w:color="BFBFBF"/>
              <w:right w:val="single" w:sz="4" w:space="0" w:color="BFBFBF"/>
            </w:tcBorders>
            <w:shd w:val="clear" w:color="auto" w:fill="auto"/>
            <w:noWrap/>
            <w:vAlign w:val="center"/>
            <w:hideMark/>
          </w:tcPr>
          <w:p w14:paraId="41C0602A" w14:textId="77777777" w:rsidR="006C0427" w:rsidRPr="00F31194" w:rsidRDefault="006C0427" w:rsidP="006C0427">
            <w:pPr>
              <w:jc w:val="center"/>
              <w:rPr>
                <w:color w:val="000000"/>
                <w:sz w:val="18"/>
                <w:szCs w:val="18"/>
              </w:rPr>
            </w:pPr>
            <w:r w:rsidRPr="00F31194">
              <w:rPr>
                <w:color w:val="000000"/>
                <w:sz w:val="18"/>
                <w:szCs w:val="18"/>
              </w:rPr>
              <w:t>1 524 730</w:t>
            </w:r>
          </w:p>
        </w:tc>
        <w:tc>
          <w:tcPr>
            <w:tcW w:w="1418" w:type="dxa"/>
            <w:tcBorders>
              <w:top w:val="nil"/>
              <w:left w:val="nil"/>
              <w:bottom w:val="single" w:sz="4" w:space="0" w:color="BFBFBF"/>
              <w:right w:val="single" w:sz="4" w:space="0" w:color="BFBFBF"/>
            </w:tcBorders>
            <w:shd w:val="clear" w:color="auto" w:fill="auto"/>
            <w:noWrap/>
            <w:vAlign w:val="center"/>
            <w:hideMark/>
          </w:tcPr>
          <w:p w14:paraId="0C3604E0" w14:textId="77777777" w:rsidR="006C0427" w:rsidRPr="00F31194" w:rsidRDefault="006C0427" w:rsidP="006C0427">
            <w:pPr>
              <w:jc w:val="center"/>
              <w:rPr>
                <w:color w:val="000000"/>
                <w:sz w:val="18"/>
                <w:szCs w:val="18"/>
              </w:rPr>
            </w:pPr>
            <w:r w:rsidRPr="00F31194">
              <w:rPr>
                <w:color w:val="000000"/>
                <w:sz w:val="18"/>
                <w:szCs w:val="18"/>
              </w:rPr>
              <w:t>532 529</w:t>
            </w:r>
          </w:p>
        </w:tc>
        <w:tc>
          <w:tcPr>
            <w:tcW w:w="1276" w:type="dxa"/>
            <w:tcBorders>
              <w:top w:val="nil"/>
              <w:left w:val="nil"/>
              <w:bottom w:val="single" w:sz="4" w:space="0" w:color="BFBFBF"/>
              <w:right w:val="single" w:sz="4" w:space="0" w:color="BFBFBF"/>
            </w:tcBorders>
            <w:shd w:val="clear" w:color="auto" w:fill="auto"/>
            <w:noWrap/>
            <w:vAlign w:val="center"/>
            <w:hideMark/>
          </w:tcPr>
          <w:p w14:paraId="0F65C225" w14:textId="77777777" w:rsidR="006C0427" w:rsidRPr="00F31194" w:rsidRDefault="006C0427" w:rsidP="006C0427">
            <w:pPr>
              <w:jc w:val="center"/>
              <w:rPr>
                <w:color w:val="000000"/>
                <w:sz w:val="18"/>
                <w:szCs w:val="18"/>
              </w:rPr>
            </w:pPr>
            <w:r w:rsidRPr="00F31194">
              <w:rPr>
                <w:color w:val="000000"/>
                <w:sz w:val="18"/>
                <w:szCs w:val="18"/>
              </w:rPr>
              <w:t>1 280 010</w:t>
            </w:r>
          </w:p>
        </w:tc>
        <w:tc>
          <w:tcPr>
            <w:tcW w:w="1701" w:type="dxa"/>
            <w:tcBorders>
              <w:top w:val="nil"/>
              <w:left w:val="nil"/>
              <w:bottom w:val="single" w:sz="4" w:space="0" w:color="BFBFBF"/>
              <w:right w:val="single" w:sz="4" w:space="0" w:color="BFBFBF"/>
            </w:tcBorders>
            <w:shd w:val="clear" w:color="auto" w:fill="auto"/>
            <w:noWrap/>
            <w:vAlign w:val="center"/>
            <w:hideMark/>
          </w:tcPr>
          <w:p w14:paraId="4DD5C4D5" w14:textId="77777777" w:rsidR="006C0427" w:rsidRPr="00F31194" w:rsidRDefault="006C0427" w:rsidP="006C0427">
            <w:pPr>
              <w:jc w:val="center"/>
              <w:rPr>
                <w:color w:val="000000"/>
                <w:sz w:val="18"/>
                <w:szCs w:val="18"/>
              </w:rPr>
            </w:pPr>
            <w:r w:rsidRPr="00F31194">
              <w:rPr>
                <w:color w:val="000000"/>
                <w:sz w:val="18"/>
                <w:szCs w:val="18"/>
              </w:rPr>
              <w:t>287 809</w:t>
            </w:r>
          </w:p>
        </w:tc>
        <w:tc>
          <w:tcPr>
            <w:tcW w:w="1400" w:type="dxa"/>
            <w:tcBorders>
              <w:top w:val="nil"/>
              <w:left w:val="nil"/>
              <w:bottom w:val="single" w:sz="4" w:space="0" w:color="BFBFBF"/>
              <w:right w:val="single" w:sz="4" w:space="0" w:color="BFBFBF"/>
            </w:tcBorders>
            <w:shd w:val="clear" w:color="auto" w:fill="auto"/>
            <w:noWrap/>
            <w:vAlign w:val="center"/>
            <w:hideMark/>
          </w:tcPr>
          <w:p w14:paraId="1CECEC7C" w14:textId="77777777" w:rsidR="006C0427" w:rsidRPr="00F31194" w:rsidRDefault="006C0427" w:rsidP="006C0427">
            <w:pPr>
              <w:jc w:val="center"/>
              <w:rPr>
                <w:color w:val="000000"/>
                <w:sz w:val="18"/>
                <w:szCs w:val="18"/>
              </w:rPr>
            </w:pPr>
            <w:r w:rsidRPr="00F31194">
              <w:rPr>
                <w:color w:val="000000"/>
                <w:sz w:val="18"/>
                <w:szCs w:val="18"/>
              </w:rPr>
              <w:t>-244 720</w:t>
            </w:r>
          </w:p>
        </w:tc>
      </w:tr>
      <w:tr w:rsidR="006C0427" w:rsidRPr="006C0427" w14:paraId="493F7C33"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4DE8406E" w14:textId="77777777" w:rsidR="006C0427" w:rsidRPr="00F31194" w:rsidRDefault="006C0427" w:rsidP="006C0427">
            <w:pPr>
              <w:jc w:val="center"/>
              <w:rPr>
                <w:b/>
                <w:bCs/>
                <w:color w:val="000000"/>
                <w:sz w:val="18"/>
                <w:szCs w:val="18"/>
              </w:rPr>
            </w:pPr>
            <w:r w:rsidRPr="00F31194">
              <w:rPr>
                <w:b/>
                <w:bCs/>
                <w:color w:val="000000"/>
                <w:sz w:val="18"/>
                <w:szCs w:val="18"/>
              </w:rPr>
              <w:t>2030</w:t>
            </w:r>
          </w:p>
        </w:tc>
        <w:tc>
          <w:tcPr>
            <w:tcW w:w="1276" w:type="dxa"/>
            <w:tcBorders>
              <w:top w:val="nil"/>
              <w:left w:val="nil"/>
              <w:bottom w:val="single" w:sz="4" w:space="0" w:color="BFBFBF"/>
              <w:right w:val="single" w:sz="4" w:space="0" w:color="BFBFBF"/>
            </w:tcBorders>
            <w:shd w:val="clear" w:color="auto" w:fill="auto"/>
            <w:noWrap/>
            <w:vAlign w:val="center"/>
            <w:hideMark/>
          </w:tcPr>
          <w:p w14:paraId="61FC9739" w14:textId="77777777" w:rsidR="006C0427" w:rsidRPr="00F31194" w:rsidRDefault="006C0427" w:rsidP="006C0427">
            <w:pPr>
              <w:jc w:val="center"/>
              <w:rPr>
                <w:color w:val="000000"/>
                <w:sz w:val="18"/>
                <w:szCs w:val="18"/>
              </w:rPr>
            </w:pPr>
            <w:r w:rsidRPr="00F31194">
              <w:rPr>
                <w:color w:val="000000"/>
                <w:sz w:val="18"/>
                <w:szCs w:val="18"/>
              </w:rPr>
              <w:t>607 512</w:t>
            </w:r>
          </w:p>
        </w:tc>
        <w:tc>
          <w:tcPr>
            <w:tcW w:w="1275" w:type="dxa"/>
            <w:tcBorders>
              <w:top w:val="nil"/>
              <w:left w:val="nil"/>
              <w:bottom w:val="single" w:sz="4" w:space="0" w:color="BFBFBF"/>
              <w:right w:val="single" w:sz="4" w:space="0" w:color="BFBFBF"/>
            </w:tcBorders>
            <w:shd w:val="clear" w:color="auto" w:fill="auto"/>
            <w:noWrap/>
            <w:vAlign w:val="center"/>
            <w:hideMark/>
          </w:tcPr>
          <w:p w14:paraId="324248B0" w14:textId="77777777" w:rsidR="006C0427" w:rsidRPr="00F31194" w:rsidRDefault="006C0427" w:rsidP="006C0427">
            <w:pPr>
              <w:jc w:val="center"/>
              <w:rPr>
                <w:color w:val="000000"/>
                <w:sz w:val="18"/>
                <w:szCs w:val="18"/>
              </w:rPr>
            </w:pPr>
            <w:r w:rsidRPr="00F31194">
              <w:rPr>
                <w:color w:val="000000"/>
                <w:sz w:val="18"/>
                <w:szCs w:val="18"/>
              </w:rPr>
              <w:t>929 506</w:t>
            </w:r>
          </w:p>
        </w:tc>
        <w:tc>
          <w:tcPr>
            <w:tcW w:w="1418" w:type="dxa"/>
            <w:tcBorders>
              <w:top w:val="nil"/>
              <w:left w:val="nil"/>
              <w:bottom w:val="single" w:sz="4" w:space="0" w:color="BFBFBF"/>
              <w:right w:val="single" w:sz="4" w:space="0" w:color="BFBFBF"/>
            </w:tcBorders>
            <w:shd w:val="clear" w:color="auto" w:fill="auto"/>
            <w:noWrap/>
            <w:vAlign w:val="center"/>
            <w:hideMark/>
          </w:tcPr>
          <w:p w14:paraId="33EB5FC1" w14:textId="77777777" w:rsidR="006C0427" w:rsidRPr="00F31194" w:rsidRDefault="006C0427" w:rsidP="006C0427">
            <w:pPr>
              <w:jc w:val="center"/>
              <w:rPr>
                <w:color w:val="000000"/>
                <w:sz w:val="18"/>
                <w:szCs w:val="18"/>
              </w:rPr>
            </w:pPr>
            <w:r w:rsidRPr="00F31194">
              <w:rPr>
                <w:color w:val="000000"/>
                <w:sz w:val="18"/>
                <w:szCs w:val="18"/>
              </w:rPr>
              <w:t>321 994</w:t>
            </w:r>
          </w:p>
        </w:tc>
        <w:tc>
          <w:tcPr>
            <w:tcW w:w="1276" w:type="dxa"/>
            <w:tcBorders>
              <w:top w:val="nil"/>
              <w:left w:val="nil"/>
              <w:bottom w:val="single" w:sz="4" w:space="0" w:color="BFBFBF"/>
              <w:right w:val="single" w:sz="4" w:space="0" w:color="BFBFBF"/>
            </w:tcBorders>
            <w:shd w:val="clear" w:color="auto" w:fill="auto"/>
            <w:noWrap/>
            <w:vAlign w:val="center"/>
            <w:hideMark/>
          </w:tcPr>
          <w:p w14:paraId="67C54474" w14:textId="77777777" w:rsidR="006C0427" w:rsidRPr="00F31194" w:rsidRDefault="006C0427" w:rsidP="006C0427">
            <w:pPr>
              <w:jc w:val="center"/>
              <w:rPr>
                <w:color w:val="000000"/>
                <w:sz w:val="18"/>
                <w:szCs w:val="18"/>
              </w:rPr>
            </w:pPr>
            <w:r w:rsidRPr="00F31194">
              <w:rPr>
                <w:color w:val="000000"/>
                <w:sz w:val="18"/>
                <w:szCs w:val="18"/>
              </w:rPr>
              <w:t>773 960</w:t>
            </w:r>
          </w:p>
        </w:tc>
        <w:tc>
          <w:tcPr>
            <w:tcW w:w="1701" w:type="dxa"/>
            <w:tcBorders>
              <w:top w:val="nil"/>
              <w:left w:val="nil"/>
              <w:bottom w:val="single" w:sz="4" w:space="0" w:color="BFBFBF"/>
              <w:right w:val="single" w:sz="4" w:space="0" w:color="BFBFBF"/>
            </w:tcBorders>
            <w:shd w:val="clear" w:color="auto" w:fill="auto"/>
            <w:noWrap/>
            <w:vAlign w:val="center"/>
            <w:hideMark/>
          </w:tcPr>
          <w:p w14:paraId="15E01213" w14:textId="77777777" w:rsidR="006C0427" w:rsidRPr="00F31194" w:rsidRDefault="006C0427" w:rsidP="006C0427">
            <w:pPr>
              <w:jc w:val="center"/>
              <w:rPr>
                <w:color w:val="000000"/>
                <w:sz w:val="18"/>
                <w:szCs w:val="18"/>
              </w:rPr>
            </w:pPr>
            <w:r w:rsidRPr="00F31194">
              <w:rPr>
                <w:color w:val="000000"/>
                <w:sz w:val="18"/>
                <w:szCs w:val="18"/>
              </w:rPr>
              <w:t>166 448</w:t>
            </w:r>
          </w:p>
        </w:tc>
        <w:tc>
          <w:tcPr>
            <w:tcW w:w="1400" w:type="dxa"/>
            <w:tcBorders>
              <w:top w:val="nil"/>
              <w:left w:val="nil"/>
              <w:bottom w:val="single" w:sz="4" w:space="0" w:color="BFBFBF"/>
              <w:right w:val="single" w:sz="4" w:space="0" w:color="BFBFBF"/>
            </w:tcBorders>
            <w:shd w:val="clear" w:color="auto" w:fill="auto"/>
            <w:noWrap/>
            <w:vAlign w:val="center"/>
            <w:hideMark/>
          </w:tcPr>
          <w:p w14:paraId="50222703" w14:textId="77777777" w:rsidR="006C0427" w:rsidRPr="00F31194" w:rsidRDefault="006C0427" w:rsidP="006C0427">
            <w:pPr>
              <w:jc w:val="center"/>
              <w:rPr>
                <w:color w:val="000000"/>
                <w:sz w:val="18"/>
                <w:szCs w:val="18"/>
              </w:rPr>
            </w:pPr>
            <w:r w:rsidRPr="00F31194">
              <w:rPr>
                <w:color w:val="000000"/>
                <w:sz w:val="18"/>
                <w:szCs w:val="18"/>
              </w:rPr>
              <w:t>-155 546</w:t>
            </w:r>
          </w:p>
        </w:tc>
      </w:tr>
      <w:tr w:rsidR="006C0427" w:rsidRPr="006C0427" w14:paraId="7C932B94"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238C8FC3" w14:textId="77777777" w:rsidR="006C0427" w:rsidRPr="00F31194" w:rsidRDefault="006C0427" w:rsidP="006C0427">
            <w:pPr>
              <w:jc w:val="center"/>
              <w:rPr>
                <w:b/>
                <w:bCs/>
                <w:color w:val="000000"/>
                <w:sz w:val="18"/>
                <w:szCs w:val="18"/>
              </w:rPr>
            </w:pPr>
            <w:r w:rsidRPr="00F31194">
              <w:rPr>
                <w:b/>
                <w:bCs/>
                <w:color w:val="000000"/>
                <w:sz w:val="18"/>
                <w:szCs w:val="18"/>
              </w:rPr>
              <w:t>2031</w:t>
            </w:r>
          </w:p>
        </w:tc>
        <w:tc>
          <w:tcPr>
            <w:tcW w:w="1276" w:type="dxa"/>
            <w:tcBorders>
              <w:top w:val="nil"/>
              <w:left w:val="nil"/>
              <w:bottom w:val="single" w:sz="4" w:space="0" w:color="BFBFBF"/>
              <w:right w:val="single" w:sz="4" w:space="0" w:color="BFBFBF"/>
            </w:tcBorders>
            <w:shd w:val="clear" w:color="auto" w:fill="auto"/>
            <w:noWrap/>
            <w:vAlign w:val="center"/>
            <w:hideMark/>
          </w:tcPr>
          <w:p w14:paraId="62740082" w14:textId="77777777" w:rsidR="006C0427" w:rsidRPr="00F31194" w:rsidRDefault="006C0427" w:rsidP="006C0427">
            <w:pPr>
              <w:jc w:val="center"/>
              <w:rPr>
                <w:color w:val="000000"/>
                <w:sz w:val="18"/>
                <w:szCs w:val="18"/>
              </w:rPr>
            </w:pPr>
            <w:r w:rsidRPr="00F31194">
              <w:rPr>
                <w:color w:val="000000"/>
                <w:sz w:val="18"/>
                <w:szCs w:val="18"/>
              </w:rPr>
              <w:t>222 826</w:t>
            </w:r>
          </w:p>
        </w:tc>
        <w:tc>
          <w:tcPr>
            <w:tcW w:w="1275" w:type="dxa"/>
            <w:tcBorders>
              <w:top w:val="nil"/>
              <w:left w:val="nil"/>
              <w:bottom w:val="single" w:sz="4" w:space="0" w:color="BFBFBF"/>
              <w:right w:val="single" w:sz="4" w:space="0" w:color="BFBFBF"/>
            </w:tcBorders>
            <w:shd w:val="clear" w:color="auto" w:fill="auto"/>
            <w:noWrap/>
            <w:vAlign w:val="center"/>
            <w:hideMark/>
          </w:tcPr>
          <w:p w14:paraId="17445ECF" w14:textId="77777777" w:rsidR="006C0427" w:rsidRPr="00F31194" w:rsidRDefault="006C0427" w:rsidP="006C0427">
            <w:pPr>
              <w:jc w:val="center"/>
              <w:rPr>
                <w:color w:val="000000"/>
                <w:sz w:val="18"/>
                <w:szCs w:val="18"/>
              </w:rPr>
            </w:pPr>
            <w:r w:rsidRPr="00F31194">
              <w:rPr>
                <w:color w:val="000000"/>
                <w:sz w:val="18"/>
                <w:szCs w:val="18"/>
              </w:rPr>
              <w:t>334 286</w:t>
            </w:r>
          </w:p>
        </w:tc>
        <w:tc>
          <w:tcPr>
            <w:tcW w:w="1418" w:type="dxa"/>
            <w:tcBorders>
              <w:top w:val="nil"/>
              <w:left w:val="nil"/>
              <w:bottom w:val="single" w:sz="4" w:space="0" w:color="BFBFBF"/>
              <w:right w:val="single" w:sz="4" w:space="0" w:color="BFBFBF"/>
            </w:tcBorders>
            <w:shd w:val="clear" w:color="auto" w:fill="auto"/>
            <w:noWrap/>
            <w:vAlign w:val="center"/>
            <w:hideMark/>
          </w:tcPr>
          <w:p w14:paraId="34F5EE09" w14:textId="77777777" w:rsidR="006C0427" w:rsidRPr="00F31194" w:rsidRDefault="006C0427" w:rsidP="006C0427">
            <w:pPr>
              <w:jc w:val="center"/>
              <w:rPr>
                <w:color w:val="000000"/>
                <w:sz w:val="18"/>
                <w:szCs w:val="18"/>
              </w:rPr>
            </w:pPr>
            <w:r w:rsidRPr="00F31194">
              <w:rPr>
                <w:color w:val="000000"/>
                <w:sz w:val="18"/>
                <w:szCs w:val="18"/>
              </w:rPr>
              <w:t>111 460</w:t>
            </w:r>
          </w:p>
        </w:tc>
        <w:tc>
          <w:tcPr>
            <w:tcW w:w="1276" w:type="dxa"/>
            <w:tcBorders>
              <w:top w:val="nil"/>
              <w:left w:val="nil"/>
              <w:bottom w:val="single" w:sz="4" w:space="0" w:color="BFBFBF"/>
              <w:right w:val="single" w:sz="4" w:space="0" w:color="BFBFBF"/>
            </w:tcBorders>
            <w:shd w:val="clear" w:color="auto" w:fill="auto"/>
            <w:noWrap/>
            <w:vAlign w:val="center"/>
            <w:hideMark/>
          </w:tcPr>
          <w:p w14:paraId="59B9AA02" w14:textId="77777777" w:rsidR="006C0427" w:rsidRPr="00F31194" w:rsidRDefault="006C0427" w:rsidP="006C0427">
            <w:pPr>
              <w:jc w:val="center"/>
              <w:rPr>
                <w:color w:val="000000"/>
                <w:sz w:val="18"/>
                <w:szCs w:val="18"/>
              </w:rPr>
            </w:pPr>
            <w:r w:rsidRPr="00F31194">
              <w:rPr>
                <w:color w:val="000000"/>
                <w:sz w:val="18"/>
                <w:szCs w:val="18"/>
              </w:rPr>
              <w:t>267 909</w:t>
            </w:r>
          </w:p>
        </w:tc>
        <w:tc>
          <w:tcPr>
            <w:tcW w:w="1701" w:type="dxa"/>
            <w:tcBorders>
              <w:top w:val="nil"/>
              <w:left w:val="nil"/>
              <w:bottom w:val="single" w:sz="4" w:space="0" w:color="BFBFBF"/>
              <w:right w:val="single" w:sz="4" w:space="0" w:color="BFBFBF"/>
            </w:tcBorders>
            <w:shd w:val="clear" w:color="auto" w:fill="auto"/>
            <w:noWrap/>
            <w:vAlign w:val="center"/>
            <w:hideMark/>
          </w:tcPr>
          <w:p w14:paraId="42BBE74B" w14:textId="77777777" w:rsidR="006C0427" w:rsidRPr="00F31194" w:rsidRDefault="006C0427" w:rsidP="006C0427">
            <w:pPr>
              <w:jc w:val="center"/>
              <w:rPr>
                <w:color w:val="000000"/>
                <w:sz w:val="18"/>
                <w:szCs w:val="18"/>
              </w:rPr>
            </w:pPr>
            <w:r w:rsidRPr="00F31194">
              <w:rPr>
                <w:color w:val="000000"/>
                <w:sz w:val="18"/>
                <w:szCs w:val="18"/>
              </w:rPr>
              <w:t>45 083</w:t>
            </w:r>
          </w:p>
        </w:tc>
        <w:tc>
          <w:tcPr>
            <w:tcW w:w="1400" w:type="dxa"/>
            <w:tcBorders>
              <w:top w:val="nil"/>
              <w:left w:val="nil"/>
              <w:bottom w:val="single" w:sz="4" w:space="0" w:color="BFBFBF"/>
              <w:right w:val="single" w:sz="4" w:space="0" w:color="BFBFBF"/>
            </w:tcBorders>
            <w:shd w:val="clear" w:color="auto" w:fill="auto"/>
            <w:noWrap/>
            <w:vAlign w:val="center"/>
            <w:hideMark/>
          </w:tcPr>
          <w:p w14:paraId="3DA4F68C" w14:textId="77777777" w:rsidR="006C0427" w:rsidRPr="00F31194" w:rsidRDefault="006C0427" w:rsidP="006C0427">
            <w:pPr>
              <w:jc w:val="center"/>
              <w:rPr>
                <w:color w:val="000000"/>
                <w:sz w:val="18"/>
                <w:szCs w:val="18"/>
              </w:rPr>
            </w:pPr>
            <w:r w:rsidRPr="00F31194">
              <w:rPr>
                <w:color w:val="000000"/>
                <w:sz w:val="18"/>
                <w:szCs w:val="18"/>
              </w:rPr>
              <w:t>-66 377</w:t>
            </w:r>
          </w:p>
        </w:tc>
      </w:tr>
      <w:tr w:rsidR="006C0427" w:rsidRPr="006C0427" w14:paraId="373B285C" w14:textId="77777777" w:rsidTr="008B0B90">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14:paraId="34FBBAFC" w14:textId="77777777" w:rsidR="006C0427" w:rsidRPr="00F31194" w:rsidRDefault="006C0427" w:rsidP="006C0427">
            <w:pPr>
              <w:jc w:val="center"/>
              <w:rPr>
                <w:b/>
                <w:bCs/>
                <w:color w:val="000000"/>
                <w:sz w:val="18"/>
                <w:szCs w:val="18"/>
              </w:rPr>
            </w:pPr>
            <w:r w:rsidRPr="00F31194">
              <w:rPr>
                <w:b/>
                <w:bCs/>
                <w:color w:val="000000"/>
                <w:sz w:val="18"/>
                <w:szCs w:val="18"/>
              </w:rPr>
              <w:t>KOPĀ:</w:t>
            </w:r>
          </w:p>
        </w:tc>
        <w:tc>
          <w:tcPr>
            <w:tcW w:w="1276" w:type="dxa"/>
            <w:tcBorders>
              <w:top w:val="nil"/>
              <w:left w:val="nil"/>
              <w:bottom w:val="single" w:sz="4" w:space="0" w:color="BFBFBF"/>
              <w:right w:val="single" w:sz="4" w:space="0" w:color="BFBFBF"/>
            </w:tcBorders>
            <w:shd w:val="clear" w:color="auto" w:fill="auto"/>
            <w:noWrap/>
            <w:vAlign w:val="center"/>
            <w:hideMark/>
          </w:tcPr>
          <w:p w14:paraId="384136E1" w14:textId="77777777" w:rsidR="006C0427" w:rsidRPr="00F31194" w:rsidRDefault="006C0427" w:rsidP="006C0427">
            <w:pPr>
              <w:jc w:val="center"/>
              <w:rPr>
                <w:b/>
                <w:bCs/>
                <w:color w:val="000000"/>
                <w:sz w:val="18"/>
                <w:szCs w:val="18"/>
              </w:rPr>
            </w:pPr>
            <w:r w:rsidRPr="00F31194">
              <w:rPr>
                <w:b/>
                <w:bCs/>
                <w:color w:val="000000"/>
                <w:sz w:val="18"/>
                <w:szCs w:val="18"/>
              </w:rPr>
              <w:t>21 180 182</w:t>
            </w:r>
          </w:p>
        </w:tc>
        <w:tc>
          <w:tcPr>
            <w:tcW w:w="1275" w:type="dxa"/>
            <w:tcBorders>
              <w:top w:val="nil"/>
              <w:left w:val="nil"/>
              <w:bottom w:val="single" w:sz="4" w:space="0" w:color="BFBFBF"/>
              <w:right w:val="single" w:sz="4" w:space="0" w:color="BFBFBF"/>
            </w:tcBorders>
            <w:shd w:val="clear" w:color="auto" w:fill="auto"/>
            <w:noWrap/>
            <w:vAlign w:val="center"/>
            <w:hideMark/>
          </w:tcPr>
          <w:p w14:paraId="38E32DB4" w14:textId="77777777" w:rsidR="006C0427" w:rsidRPr="00F31194" w:rsidRDefault="006C0427" w:rsidP="006C0427">
            <w:pPr>
              <w:jc w:val="center"/>
              <w:rPr>
                <w:b/>
                <w:bCs/>
                <w:color w:val="000000"/>
                <w:sz w:val="18"/>
                <w:szCs w:val="18"/>
              </w:rPr>
            </w:pPr>
            <w:r w:rsidRPr="00F31194">
              <w:rPr>
                <w:b/>
                <w:bCs/>
                <w:color w:val="000000"/>
                <w:sz w:val="18"/>
                <w:szCs w:val="18"/>
              </w:rPr>
              <w:t>26 133 936</w:t>
            </w:r>
          </w:p>
        </w:tc>
        <w:tc>
          <w:tcPr>
            <w:tcW w:w="1418" w:type="dxa"/>
            <w:tcBorders>
              <w:top w:val="nil"/>
              <w:left w:val="nil"/>
              <w:bottom w:val="single" w:sz="4" w:space="0" w:color="BFBFBF"/>
              <w:right w:val="single" w:sz="4" w:space="0" w:color="BFBFBF"/>
            </w:tcBorders>
            <w:shd w:val="clear" w:color="auto" w:fill="auto"/>
            <w:noWrap/>
            <w:vAlign w:val="center"/>
            <w:hideMark/>
          </w:tcPr>
          <w:p w14:paraId="7E5D35AB" w14:textId="77777777" w:rsidR="006C0427" w:rsidRPr="00F31194" w:rsidRDefault="006C0427" w:rsidP="006C0427">
            <w:pPr>
              <w:jc w:val="center"/>
              <w:rPr>
                <w:b/>
                <w:bCs/>
                <w:color w:val="000000"/>
                <w:sz w:val="18"/>
                <w:szCs w:val="18"/>
              </w:rPr>
            </w:pPr>
            <w:r w:rsidRPr="00F31194">
              <w:rPr>
                <w:b/>
                <w:bCs/>
                <w:color w:val="000000"/>
                <w:sz w:val="18"/>
                <w:szCs w:val="18"/>
              </w:rPr>
              <w:t>4 953 754</w:t>
            </w:r>
          </w:p>
        </w:tc>
        <w:tc>
          <w:tcPr>
            <w:tcW w:w="1276" w:type="dxa"/>
            <w:tcBorders>
              <w:top w:val="nil"/>
              <w:left w:val="nil"/>
              <w:bottom w:val="single" w:sz="4" w:space="0" w:color="BFBFBF"/>
              <w:right w:val="single" w:sz="4" w:space="0" w:color="BFBFBF"/>
            </w:tcBorders>
            <w:shd w:val="clear" w:color="auto" w:fill="auto"/>
            <w:noWrap/>
            <w:vAlign w:val="center"/>
            <w:hideMark/>
          </w:tcPr>
          <w:p w14:paraId="58E0D4CF" w14:textId="77777777" w:rsidR="006C0427" w:rsidRPr="00F31194" w:rsidRDefault="006C0427" w:rsidP="006C0427">
            <w:pPr>
              <w:jc w:val="center"/>
              <w:rPr>
                <w:b/>
                <w:bCs/>
                <w:color w:val="000000"/>
                <w:sz w:val="18"/>
                <w:szCs w:val="18"/>
              </w:rPr>
            </w:pPr>
            <w:r w:rsidRPr="00F31194">
              <w:rPr>
                <w:b/>
                <w:bCs/>
                <w:color w:val="000000"/>
                <w:sz w:val="18"/>
                <w:szCs w:val="18"/>
              </w:rPr>
              <w:t>46 903 941</w:t>
            </w:r>
          </w:p>
        </w:tc>
        <w:tc>
          <w:tcPr>
            <w:tcW w:w="1701" w:type="dxa"/>
            <w:tcBorders>
              <w:top w:val="nil"/>
              <w:left w:val="nil"/>
              <w:bottom w:val="single" w:sz="4" w:space="0" w:color="BFBFBF"/>
              <w:right w:val="single" w:sz="4" w:space="0" w:color="BFBFBF"/>
            </w:tcBorders>
            <w:shd w:val="clear" w:color="auto" w:fill="auto"/>
            <w:noWrap/>
            <w:vAlign w:val="center"/>
            <w:hideMark/>
          </w:tcPr>
          <w:p w14:paraId="4450F46C" w14:textId="77777777" w:rsidR="006C0427" w:rsidRPr="00F31194" w:rsidRDefault="006C0427" w:rsidP="006C0427">
            <w:pPr>
              <w:jc w:val="center"/>
              <w:rPr>
                <w:b/>
                <w:bCs/>
                <w:color w:val="000000"/>
                <w:sz w:val="18"/>
                <w:szCs w:val="18"/>
              </w:rPr>
            </w:pPr>
            <w:r w:rsidRPr="00F31194">
              <w:rPr>
                <w:b/>
                <w:bCs/>
                <w:color w:val="000000"/>
                <w:sz w:val="18"/>
                <w:szCs w:val="18"/>
              </w:rPr>
              <w:t>25 723 759</w:t>
            </w:r>
          </w:p>
        </w:tc>
        <w:tc>
          <w:tcPr>
            <w:tcW w:w="1400" w:type="dxa"/>
            <w:tcBorders>
              <w:top w:val="nil"/>
              <w:left w:val="nil"/>
              <w:bottom w:val="single" w:sz="4" w:space="0" w:color="BFBFBF"/>
              <w:right w:val="single" w:sz="4" w:space="0" w:color="BFBFBF"/>
            </w:tcBorders>
            <w:shd w:val="clear" w:color="auto" w:fill="auto"/>
            <w:noWrap/>
            <w:vAlign w:val="center"/>
            <w:hideMark/>
          </w:tcPr>
          <w:p w14:paraId="70BDAA4C" w14:textId="77777777" w:rsidR="006C0427" w:rsidRPr="00F31194" w:rsidRDefault="006C0427" w:rsidP="006C0427">
            <w:pPr>
              <w:jc w:val="center"/>
              <w:rPr>
                <w:b/>
                <w:bCs/>
                <w:color w:val="000000"/>
                <w:sz w:val="18"/>
                <w:szCs w:val="18"/>
              </w:rPr>
            </w:pPr>
            <w:r w:rsidRPr="00F31194">
              <w:rPr>
                <w:b/>
                <w:bCs/>
                <w:color w:val="000000"/>
                <w:sz w:val="18"/>
                <w:szCs w:val="18"/>
              </w:rPr>
              <w:t>20 770 005</w:t>
            </w:r>
          </w:p>
        </w:tc>
      </w:tr>
      <w:tr w:rsidR="006C0427" w:rsidRPr="006C0427" w14:paraId="49BCBD57" w14:textId="77777777" w:rsidTr="008B0B90">
        <w:trPr>
          <w:trHeight w:val="405"/>
        </w:trPr>
        <w:tc>
          <w:tcPr>
            <w:tcW w:w="9192" w:type="dxa"/>
            <w:gridSpan w:val="7"/>
            <w:tcBorders>
              <w:top w:val="single" w:sz="4" w:space="0" w:color="BFBFBF"/>
              <w:left w:val="nil"/>
              <w:bottom w:val="nil"/>
              <w:right w:val="nil"/>
            </w:tcBorders>
            <w:shd w:val="clear" w:color="auto" w:fill="auto"/>
            <w:noWrap/>
            <w:vAlign w:val="center"/>
            <w:hideMark/>
          </w:tcPr>
          <w:p w14:paraId="738829E9" w14:textId="77777777" w:rsidR="006C0427" w:rsidRPr="00F31194" w:rsidRDefault="006C0427" w:rsidP="006C0427">
            <w:pPr>
              <w:rPr>
                <w:i/>
                <w:iCs/>
                <w:color w:val="000000"/>
                <w:sz w:val="18"/>
                <w:szCs w:val="18"/>
              </w:rPr>
            </w:pPr>
            <w:r w:rsidRPr="00F31194">
              <w:rPr>
                <w:i/>
                <w:iCs/>
                <w:color w:val="000000"/>
                <w:sz w:val="18"/>
                <w:szCs w:val="18"/>
              </w:rPr>
              <w:t xml:space="preserve"> Piezīme: </w:t>
            </w:r>
            <w:r w:rsidRPr="00F31194">
              <w:rPr>
                <w:b/>
                <w:bCs/>
                <w:i/>
                <w:iCs/>
                <w:color w:val="000000"/>
                <w:sz w:val="18"/>
                <w:szCs w:val="18"/>
              </w:rPr>
              <w:t xml:space="preserve">tikai CSDD izmaksas par pārvaldes deleģēto uzdevumu izpildi </w:t>
            </w:r>
            <w:r w:rsidRPr="00F31194">
              <w:rPr>
                <w:i/>
                <w:iCs/>
                <w:color w:val="000000"/>
                <w:sz w:val="18"/>
                <w:szCs w:val="18"/>
              </w:rPr>
              <w:t>(bez VP un IeM IC)</w:t>
            </w:r>
          </w:p>
        </w:tc>
      </w:tr>
    </w:tbl>
    <w:p w14:paraId="685DBD99" w14:textId="78C76C4E" w:rsidR="006225FC" w:rsidRPr="00F163BC" w:rsidRDefault="006225FC" w:rsidP="006225FC">
      <w:pPr>
        <w:ind w:firstLine="567"/>
        <w:jc w:val="right"/>
      </w:pPr>
    </w:p>
    <w:p w14:paraId="1D77B1E1" w14:textId="77777777" w:rsidR="007577EF" w:rsidRPr="00F163BC" w:rsidRDefault="007577EF" w:rsidP="007577EF">
      <w:pPr>
        <w:ind w:left="720"/>
        <w:jc w:val="center"/>
        <w:rPr>
          <w:b/>
          <w:sz w:val="28"/>
          <w:szCs w:val="28"/>
        </w:rPr>
      </w:pPr>
      <w:r w:rsidRPr="00F163BC">
        <w:rPr>
          <w:b/>
          <w:sz w:val="28"/>
          <w:szCs w:val="28"/>
        </w:rPr>
        <w:t>3.2.2. Fotoradaru uzturēšana un darbības nodrošināšana</w:t>
      </w:r>
    </w:p>
    <w:p w14:paraId="13EFB3CC" w14:textId="77777777" w:rsidR="007577EF" w:rsidRPr="00F163BC" w:rsidRDefault="007577EF" w:rsidP="007577EF">
      <w:pPr>
        <w:ind w:left="720"/>
        <w:jc w:val="center"/>
        <w:rPr>
          <w:b/>
          <w:sz w:val="28"/>
          <w:szCs w:val="28"/>
        </w:rPr>
      </w:pPr>
    </w:p>
    <w:p w14:paraId="288550DD" w14:textId="37C27419" w:rsidR="007577EF" w:rsidRPr="00F163BC" w:rsidRDefault="007577EF">
      <w:pPr>
        <w:jc w:val="both"/>
      </w:pPr>
      <w:r w:rsidRPr="00F163BC">
        <w:t>Lai</w:t>
      </w:r>
      <w:proofErr w:type="gramStart"/>
      <w:r w:rsidRPr="00F163BC">
        <w:t xml:space="preserve">  </w:t>
      </w:r>
      <w:proofErr w:type="gramEnd"/>
      <w:r w:rsidRPr="00F163BC">
        <w:t>risinātu 3.1. sadaļā minētās problēmas, nepieciešami  grozījumi noteikumos Nr.170, nosakot</w:t>
      </w:r>
      <w:r w:rsidR="00746142">
        <w:t>,</w:t>
      </w:r>
      <w:r w:rsidR="00746142" w:rsidRPr="00F163BC" w:rsidDel="00746142">
        <w:t xml:space="preserve"> </w:t>
      </w:r>
      <w:r w:rsidRPr="00F163BC">
        <w:t>ka no Valsts policijai piešķirtajiem valsts budžeta līdzekļiem CSDD tiek segtas ar fotoradaru uzturēšanu un darbības nodrošināšanu saistītās faktiskās izmaksas attiecīgajam saimnieciskajam gadam šim mērķim piešķirto valsts budžeta līdzekļu ietvaros, izslēdzot samaksu par radaru darbības dienām</w:t>
      </w:r>
      <w:r w:rsidR="008B2A27">
        <w:t>.</w:t>
      </w:r>
    </w:p>
    <w:p w14:paraId="21981732" w14:textId="77777777" w:rsidR="007577EF" w:rsidRPr="00F163BC" w:rsidRDefault="007577EF" w:rsidP="007577EF">
      <w:pPr>
        <w:jc w:val="both"/>
      </w:pPr>
    </w:p>
    <w:p w14:paraId="62BE96C1" w14:textId="77777777" w:rsidR="007577EF" w:rsidRPr="00F163BC" w:rsidRDefault="007577EF" w:rsidP="0055421B">
      <w:pPr>
        <w:jc w:val="both"/>
      </w:pPr>
      <w:r w:rsidRPr="00F163BC">
        <w:t>Lai paredzētu ilgtermiņa saistības Iekšlietu ministrijai I posmā uzstādīto, II posmā uzstādāmo fotoradaru (mulāžu)</w:t>
      </w:r>
      <w:r w:rsidR="002311FE" w:rsidRPr="00F163BC">
        <w:t xml:space="preserve">, kā arī jauno tehnisko risinājumu </w:t>
      </w:r>
      <w:r w:rsidRPr="00F163BC">
        <w:t>uzturēšanai un darbības nodrošināšanai, kā arī precizētu valsts pamatbudžeta ieņēmumu prognozi no naudas sodiem, ko uzliek Valsts policija, nepieciešami</w:t>
      </w:r>
      <w:proofErr w:type="gramStart"/>
      <w:r w:rsidRPr="00F163BC">
        <w:t xml:space="preserve">  </w:t>
      </w:r>
      <w:proofErr w:type="gramEnd"/>
      <w:r w:rsidR="0055421B" w:rsidRPr="00F163BC">
        <w:t>grozījumi rīkojumā Nr.382</w:t>
      </w:r>
      <w:r w:rsidR="002311FE" w:rsidRPr="00F163BC">
        <w:t>, precizējot arī tā nosaukumu (svītrojot vārdu “fotoradari”).</w:t>
      </w:r>
    </w:p>
    <w:p w14:paraId="28FC2823" w14:textId="77777777" w:rsidR="002C5884" w:rsidRDefault="002C5884" w:rsidP="007577EF"/>
    <w:p w14:paraId="54C3E4E1" w14:textId="77777777" w:rsidR="00F178CF" w:rsidRPr="008F11E8" w:rsidRDefault="00F178CF" w:rsidP="00F178CF">
      <w:pPr>
        <w:ind w:left="720"/>
        <w:jc w:val="center"/>
        <w:rPr>
          <w:b/>
        </w:rPr>
      </w:pPr>
      <w:r w:rsidRPr="008F11E8">
        <w:rPr>
          <w:b/>
        </w:rPr>
        <w:t>3.3. Valsts pamatbudžeta ieņēmumu no naudas sodiem, ko uzliek Valsts policija par pārkāpumiem ceļu satiksmē,</w:t>
      </w:r>
      <w:r>
        <w:rPr>
          <w:b/>
        </w:rPr>
        <w:t xml:space="preserve"> </w:t>
      </w:r>
      <w:r w:rsidRPr="008F11E8">
        <w:rPr>
          <w:b/>
        </w:rPr>
        <w:t>kas fiksēti ar CSDD tehniskajiem līdzekļiem, kā arī izdevumu (ilgtermiņa saistību) izpilde un prognoze</w:t>
      </w:r>
    </w:p>
    <w:p w14:paraId="7A30662C" w14:textId="77777777" w:rsidR="00F178CF" w:rsidRPr="008F11E8" w:rsidRDefault="00F178CF" w:rsidP="00F178CF">
      <w:pPr>
        <w:ind w:left="720"/>
        <w:jc w:val="center"/>
        <w:rPr>
          <w:b/>
        </w:rPr>
      </w:pPr>
    </w:p>
    <w:p w14:paraId="2DCCAF68" w14:textId="77777777" w:rsidR="00F865AA" w:rsidRDefault="00F865AA" w:rsidP="00F865AA">
      <w:pPr>
        <w:jc w:val="both"/>
      </w:pPr>
      <w:r>
        <w:lastRenderedPageBreak/>
        <w:t xml:space="preserve">   Detalizēti aprēķini par prognozētajiem valsts pamatbudžeta ieņēmumiem no naudas sodiem, ko uzliek Valsts policija par pārkāpumiem ceļu satiksmē, kas fiksēti ar CSDD tehniskajiem līdzekļiem, un izdevumiem atspoguļoti </w:t>
      </w:r>
      <w:r w:rsidRPr="00080CD9">
        <w:t>3., 4., 5. un 6.pielikumā.</w:t>
      </w:r>
    </w:p>
    <w:p w14:paraId="2071E15B" w14:textId="77777777" w:rsidR="00F865AA" w:rsidRDefault="00F865AA" w:rsidP="00F865AA">
      <w:pPr>
        <w:jc w:val="both"/>
      </w:pPr>
      <w:r>
        <w:t xml:space="preserve">    Jau konceptuālajā</w:t>
      </w:r>
      <w:proofErr w:type="gramStart"/>
      <w:r>
        <w:t xml:space="preserve">  </w:t>
      </w:r>
      <w:proofErr w:type="gramEnd"/>
      <w:r>
        <w:t>ziņojumā “Par valsts akciju sabiedrības “Ceļu satiksmes drošības direkcija” uzstādīto stacionāro fotoradaru darbības rezultātiem, priekšlikumiem par tehnisko līdzekļu (</w:t>
      </w:r>
      <w:proofErr w:type="spellStart"/>
      <w:r>
        <w:t>fotoiekārtu</w:t>
      </w:r>
      <w:proofErr w:type="spellEnd"/>
      <w:r>
        <w:t xml:space="preserve"> vai videoiekārtu) turpmāko izmantošanu un fotoradaru iegādes, uzstādīšanas un darbības nodrošināšanas finansēšanu” (rīkojumu Nr.678) tika norādīts, ka pastāv risks, ka, pozitīvi mainoties braukšanas paradumiem, valsts pamatbudžeta ieņēmumi no naudas sodiem samazināsies un var  nesegt nepieciešamos izdevumus. Šī tendence faktiski norāda, ka fotoradaru ieviešanas projekts dod pozitīvus rezultātus, kas ir arī valsts pamatbudžeta ieņēmumu samazināšanās. Ieņēmumu no naudas sodiem apjoma plānošana šajā projektā nevar būt precīza un tā ir jāaktualizē katru gadu nākamā gada budžeta veidošanas procesā atbilstoši faktiskajai situācijai  un tendencēm (nākotnes situācijas </w:t>
      </w:r>
      <w:proofErr w:type="spellStart"/>
      <w:r>
        <w:rPr>
          <w:i/>
        </w:rPr>
        <w:t>ex-ante</w:t>
      </w:r>
      <w:proofErr w:type="spellEnd"/>
      <w:r>
        <w:t xml:space="preserve"> novērtējumam). Vienlaikus arī izdevumi, kas saistīti ar informācijas apstrādi un protokolu-lēmumu apriti,  var samazināties, ja tos neietekmēs pieaugošās izmaksas.</w:t>
      </w:r>
    </w:p>
    <w:p w14:paraId="6074B09B" w14:textId="77777777" w:rsidR="00CA26CA" w:rsidRDefault="00CA26CA" w:rsidP="00F865AA">
      <w:pPr>
        <w:jc w:val="both"/>
      </w:pPr>
    </w:p>
    <w:p w14:paraId="5CDA58BF" w14:textId="4B43E1F9" w:rsidR="00CA26CA" w:rsidRDefault="00FF24A3" w:rsidP="00CA26CA">
      <w:pPr>
        <w:jc w:val="right"/>
      </w:pPr>
      <w:r>
        <w:t>12</w:t>
      </w:r>
      <w:r w:rsidR="00CA26CA">
        <w:t>.tabula</w:t>
      </w:r>
    </w:p>
    <w:p w14:paraId="02006CCC" w14:textId="77777777" w:rsidR="00CA26CA" w:rsidRDefault="00F865AA" w:rsidP="00F31194">
      <w:pPr>
        <w:jc w:val="center"/>
        <w:rPr>
          <w:b/>
        </w:rPr>
      </w:pPr>
      <w:r w:rsidRPr="00F31194">
        <w:rPr>
          <w:b/>
        </w:rPr>
        <w:t>Situācija valsts pamatbudžeta ieņēmumu plānošanas un izpildes jomā 2015.-</w:t>
      </w:r>
    </w:p>
    <w:p w14:paraId="48C95742" w14:textId="2B7AEE56" w:rsidR="00F865AA" w:rsidRDefault="00F865AA" w:rsidP="00F31194">
      <w:pPr>
        <w:jc w:val="center"/>
      </w:pPr>
      <w:proofErr w:type="gramStart"/>
      <w:r w:rsidRPr="00F31194">
        <w:rPr>
          <w:b/>
        </w:rPr>
        <w:t>2023.gadā</w:t>
      </w:r>
      <w:proofErr w:type="gramEnd"/>
      <w:r w:rsidR="005F2B01">
        <w:rPr>
          <w:b/>
        </w:rPr>
        <w:t xml:space="preserve"> (I posms)</w:t>
      </w:r>
    </w:p>
    <w:tbl>
      <w:tblPr>
        <w:tblStyle w:val="TableGrid"/>
        <w:tblW w:w="5000" w:type="pct"/>
        <w:tblLook w:val="04A0" w:firstRow="1" w:lastRow="0" w:firstColumn="1" w:lastColumn="0" w:noHBand="0" w:noVBand="1"/>
      </w:tblPr>
      <w:tblGrid>
        <w:gridCol w:w="1660"/>
        <w:gridCol w:w="1659"/>
        <w:gridCol w:w="1659"/>
        <w:gridCol w:w="1659"/>
        <w:gridCol w:w="1659"/>
      </w:tblGrid>
      <w:tr w:rsidR="00F865AA" w14:paraId="74695462" w14:textId="77777777" w:rsidTr="00F865AA">
        <w:tc>
          <w:tcPr>
            <w:tcW w:w="1000" w:type="pct"/>
            <w:tcBorders>
              <w:top w:val="single" w:sz="4" w:space="0" w:color="auto"/>
              <w:left w:val="single" w:sz="4" w:space="0" w:color="auto"/>
              <w:bottom w:val="single" w:sz="4" w:space="0" w:color="auto"/>
              <w:right w:val="single" w:sz="4" w:space="0" w:color="auto"/>
            </w:tcBorders>
            <w:vAlign w:val="center"/>
            <w:hideMark/>
          </w:tcPr>
          <w:p w14:paraId="6F2566AD" w14:textId="77777777" w:rsidR="00F865AA" w:rsidRPr="00C522DB" w:rsidRDefault="00F865AA">
            <w:pPr>
              <w:jc w:val="center"/>
              <w:rPr>
                <w:b/>
                <w:sz w:val="18"/>
                <w:szCs w:val="18"/>
              </w:rPr>
            </w:pPr>
            <w:r w:rsidRPr="00C522DB">
              <w:rPr>
                <w:b/>
                <w:sz w:val="18"/>
                <w:szCs w:val="18"/>
              </w:rPr>
              <w:t>Gads</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8E0E3AD" w14:textId="77777777" w:rsidR="00F865AA" w:rsidRPr="00C522DB" w:rsidRDefault="00F865AA">
            <w:pPr>
              <w:jc w:val="center"/>
              <w:rPr>
                <w:b/>
                <w:sz w:val="18"/>
                <w:szCs w:val="18"/>
              </w:rPr>
            </w:pPr>
            <w:r w:rsidRPr="00C522DB">
              <w:rPr>
                <w:b/>
                <w:sz w:val="18"/>
                <w:szCs w:val="18"/>
              </w:rPr>
              <w:t>Plānotie ieņēmumi</w:t>
            </w:r>
            <w:r w:rsidRPr="00C522DB">
              <w:rPr>
                <w:rStyle w:val="FootnoteReference"/>
                <w:b/>
                <w:sz w:val="18"/>
                <w:szCs w:val="18"/>
              </w:rPr>
              <w:footnoteReference w:id="37"/>
            </w:r>
          </w:p>
        </w:tc>
        <w:tc>
          <w:tcPr>
            <w:tcW w:w="1000" w:type="pct"/>
            <w:tcBorders>
              <w:top w:val="single" w:sz="4" w:space="0" w:color="auto"/>
              <w:left w:val="single" w:sz="4" w:space="0" w:color="auto"/>
              <w:bottom w:val="single" w:sz="4" w:space="0" w:color="auto"/>
              <w:right w:val="single" w:sz="4" w:space="0" w:color="auto"/>
            </w:tcBorders>
            <w:vAlign w:val="center"/>
            <w:hideMark/>
          </w:tcPr>
          <w:p w14:paraId="368B1BD2" w14:textId="77777777" w:rsidR="00F865AA" w:rsidRPr="00C522DB" w:rsidRDefault="00F865AA">
            <w:pPr>
              <w:jc w:val="center"/>
              <w:rPr>
                <w:b/>
                <w:sz w:val="18"/>
                <w:szCs w:val="18"/>
              </w:rPr>
            </w:pPr>
            <w:r w:rsidRPr="00C522DB">
              <w:rPr>
                <w:b/>
                <w:sz w:val="18"/>
                <w:szCs w:val="18"/>
              </w:rPr>
              <w:t>Izpilde</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1B71511" w14:textId="77777777" w:rsidR="00F865AA" w:rsidRPr="00C522DB" w:rsidRDefault="00F865AA">
            <w:pPr>
              <w:jc w:val="center"/>
              <w:rPr>
                <w:b/>
                <w:sz w:val="18"/>
                <w:szCs w:val="18"/>
              </w:rPr>
            </w:pPr>
            <w:r w:rsidRPr="00C522DB">
              <w:rPr>
                <w:b/>
                <w:sz w:val="18"/>
                <w:szCs w:val="18"/>
              </w:rPr>
              <w:t>Uzliktie sodi</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7AFF57B" w14:textId="77777777" w:rsidR="00F865AA" w:rsidRPr="00C522DB" w:rsidRDefault="00F865AA">
            <w:pPr>
              <w:jc w:val="center"/>
              <w:rPr>
                <w:b/>
                <w:sz w:val="18"/>
                <w:szCs w:val="18"/>
              </w:rPr>
            </w:pPr>
            <w:r w:rsidRPr="00C522DB">
              <w:rPr>
                <w:b/>
                <w:sz w:val="18"/>
                <w:szCs w:val="18"/>
              </w:rPr>
              <w:t>Plānotie ieņēmi-precizēti</w:t>
            </w:r>
            <w:r w:rsidRPr="00C522DB">
              <w:rPr>
                <w:rStyle w:val="FootnoteReference"/>
                <w:b/>
                <w:sz w:val="18"/>
                <w:szCs w:val="18"/>
              </w:rPr>
              <w:footnoteReference w:id="38"/>
            </w:r>
          </w:p>
        </w:tc>
      </w:tr>
      <w:tr w:rsidR="00F865AA" w14:paraId="4DD7C419" w14:textId="77777777"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07D7389A" w14:textId="77777777" w:rsidR="00F865AA" w:rsidRPr="00C522DB" w:rsidRDefault="00F865AA">
            <w:pPr>
              <w:jc w:val="center"/>
              <w:rPr>
                <w:sz w:val="18"/>
                <w:szCs w:val="18"/>
              </w:rPr>
            </w:pPr>
            <w:r w:rsidRPr="00C522DB">
              <w:rPr>
                <w:sz w:val="18"/>
                <w:szCs w:val="18"/>
              </w:rPr>
              <w:t>2015</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6A32F4E" w14:textId="77777777" w:rsidR="00F865AA" w:rsidRPr="00C522DB" w:rsidRDefault="00F865AA">
            <w:pPr>
              <w:jc w:val="center"/>
              <w:rPr>
                <w:sz w:val="18"/>
                <w:szCs w:val="18"/>
              </w:rPr>
            </w:pPr>
            <w:r w:rsidRPr="00C522DB">
              <w:rPr>
                <w:sz w:val="18"/>
                <w:szCs w:val="18"/>
              </w:rPr>
              <w:t>2 376 000</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D5AA87E" w14:textId="77777777" w:rsidR="00F865AA" w:rsidRPr="00C522DB" w:rsidRDefault="00F865AA">
            <w:pPr>
              <w:jc w:val="center"/>
              <w:rPr>
                <w:sz w:val="18"/>
                <w:szCs w:val="18"/>
              </w:rPr>
            </w:pPr>
            <w:r w:rsidRPr="00C522DB">
              <w:rPr>
                <w:sz w:val="18"/>
                <w:szCs w:val="18"/>
              </w:rPr>
              <w:t>822 182</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9FEA57E" w14:textId="77777777" w:rsidR="00F865AA" w:rsidRPr="00C522DB" w:rsidRDefault="00F865AA">
            <w:pPr>
              <w:jc w:val="center"/>
              <w:rPr>
                <w:sz w:val="18"/>
                <w:szCs w:val="18"/>
              </w:rPr>
            </w:pPr>
            <w:r w:rsidRPr="00C522DB">
              <w:rPr>
                <w:sz w:val="18"/>
                <w:szCs w:val="18"/>
              </w:rPr>
              <w:t>1 298 511</w:t>
            </w:r>
          </w:p>
        </w:tc>
        <w:tc>
          <w:tcPr>
            <w:tcW w:w="1000" w:type="pct"/>
            <w:tcBorders>
              <w:top w:val="single" w:sz="4" w:space="0" w:color="auto"/>
              <w:left w:val="single" w:sz="4" w:space="0" w:color="auto"/>
              <w:bottom w:val="single" w:sz="4" w:space="0" w:color="auto"/>
              <w:right w:val="single" w:sz="4" w:space="0" w:color="auto"/>
            </w:tcBorders>
            <w:vAlign w:val="center"/>
          </w:tcPr>
          <w:p w14:paraId="791FA3B1" w14:textId="77777777" w:rsidR="00F865AA" w:rsidRPr="00C522DB" w:rsidRDefault="00F865AA">
            <w:pPr>
              <w:jc w:val="center"/>
              <w:rPr>
                <w:sz w:val="18"/>
                <w:szCs w:val="18"/>
              </w:rPr>
            </w:pPr>
          </w:p>
        </w:tc>
      </w:tr>
      <w:tr w:rsidR="00F865AA" w14:paraId="676AAA57" w14:textId="77777777"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698AC43A" w14:textId="77777777" w:rsidR="00F865AA" w:rsidRPr="00C522DB" w:rsidRDefault="00F865AA">
            <w:pPr>
              <w:jc w:val="center"/>
              <w:rPr>
                <w:sz w:val="18"/>
                <w:szCs w:val="18"/>
              </w:rPr>
            </w:pPr>
            <w:r w:rsidRPr="00C522DB">
              <w:rPr>
                <w:sz w:val="18"/>
                <w:szCs w:val="18"/>
              </w:rPr>
              <w:t>2016</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B96DA69" w14:textId="77777777" w:rsidR="00F865AA" w:rsidRPr="00C522DB" w:rsidRDefault="00F865AA">
            <w:pPr>
              <w:jc w:val="center"/>
              <w:rPr>
                <w:sz w:val="18"/>
                <w:szCs w:val="18"/>
              </w:rPr>
            </w:pPr>
            <w:r w:rsidRPr="00C522DB">
              <w:rPr>
                <w:sz w:val="18"/>
                <w:szCs w:val="18"/>
              </w:rPr>
              <w:t>3 195 598</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545B2DB" w14:textId="77777777" w:rsidR="00F865AA" w:rsidRPr="00C522DB" w:rsidRDefault="00F865AA">
            <w:pPr>
              <w:jc w:val="center"/>
              <w:rPr>
                <w:sz w:val="18"/>
                <w:szCs w:val="18"/>
              </w:rPr>
            </w:pPr>
            <w:r w:rsidRPr="00C522DB">
              <w:rPr>
                <w:sz w:val="18"/>
                <w:szCs w:val="18"/>
              </w:rPr>
              <w:t>2 748 312</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DEB44B0" w14:textId="77777777" w:rsidR="00F865AA" w:rsidRPr="00C522DB" w:rsidRDefault="00F865AA">
            <w:pPr>
              <w:jc w:val="center"/>
              <w:rPr>
                <w:sz w:val="18"/>
                <w:szCs w:val="18"/>
              </w:rPr>
            </w:pPr>
            <w:r w:rsidRPr="00C522DB">
              <w:rPr>
                <w:sz w:val="18"/>
                <w:szCs w:val="18"/>
              </w:rPr>
              <w:t>3 735 316</w:t>
            </w:r>
          </w:p>
        </w:tc>
        <w:tc>
          <w:tcPr>
            <w:tcW w:w="1000" w:type="pct"/>
            <w:tcBorders>
              <w:top w:val="single" w:sz="4" w:space="0" w:color="auto"/>
              <w:left w:val="single" w:sz="4" w:space="0" w:color="auto"/>
              <w:bottom w:val="single" w:sz="4" w:space="0" w:color="auto"/>
              <w:right w:val="single" w:sz="4" w:space="0" w:color="auto"/>
            </w:tcBorders>
            <w:vAlign w:val="center"/>
          </w:tcPr>
          <w:p w14:paraId="55B6F891" w14:textId="77777777" w:rsidR="00F865AA" w:rsidRPr="00C522DB" w:rsidRDefault="00F865AA">
            <w:pPr>
              <w:jc w:val="center"/>
              <w:rPr>
                <w:sz w:val="18"/>
                <w:szCs w:val="18"/>
              </w:rPr>
            </w:pPr>
          </w:p>
        </w:tc>
      </w:tr>
      <w:tr w:rsidR="00F865AA" w14:paraId="0F145918" w14:textId="77777777"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0215B961" w14:textId="77777777" w:rsidR="00F865AA" w:rsidRPr="00C522DB" w:rsidRDefault="00F865AA">
            <w:pPr>
              <w:jc w:val="center"/>
              <w:rPr>
                <w:sz w:val="18"/>
                <w:szCs w:val="18"/>
              </w:rPr>
            </w:pPr>
            <w:r w:rsidRPr="00C522DB">
              <w:rPr>
                <w:sz w:val="18"/>
                <w:szCs w:val="18"/>
              </w:rPr>
              <w:t>2017</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67575B0" w14:textId="77777777" w:rsidR="00F865AA" w:rsidRPr="00C522DB" w:rsidRDefault="00F865AA">
            <w:pPr>
              <w:jc w:val="center"/>
              <w:rPr>
                <w:sz w:val="18"/>
                <w:szCs w:val="18"/>
              </w:rPr>
            </w:pPr>
            <w:r w:rsidRPr="00C522DB">
              <w:rPr>
                <w:sz w:val="18"/>
                <w:szCs w:val="18"/>
              </w:rPr>
              <w:t>4 796 549</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330A44D" w14:textId="77777777" w:rsidR="00F865AA" w:rsidRPr="00C522DB" w:rsidRDefault="00F865AA">
            <w:pPr>
              <w:jc w:val="center"/>
              <w:rPr>
                <w:sz w:val="18"/>
                <w:szCs w:val="18"/>
              </w:rPr>
            </w:pPr>
            <w:r w:rsidRPr="00C522DB">
              <w:rPr>
                <w:sz w:val="18"/>
                <w:szCs w:val="18"/>
              </w:rPr>
              <w:t>8 420 772</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C1BF3C3" w14:textId="77777777" w:rsidR="00F865AA" w:rsidRPr="00C522DB" w:rsidRDefault="00F865AA">
            <w:pPr>
              <w:jc w:val="center"/>
              <w:rPr>
                <w:sz w:val="18"/>
                <w:szCs w:val="18"/>
              </w:rPr>
            </w:pPr>
            <w:r w:rsidRPr="00C522DB">
              <w:rPr>
                <w:sz w:val="18"/>
                <w:szCs w:val="18"/>
              </w:rPr>
              <w:t>10 279 675</w:t>
            </w:r>
          </w:p>
        </w:tc>
        <w:tc>
          <w:tcPr>
            <w:tcW w:w="1000" w:type="pct"/>
            <w:tcBorders>
              <w:top w:val="single" w:sz="4" w:space="0" w:color="auto"/>
              <w:left w:val="single" w:sz="4" w:space="0" w:color="auto"/>
              <w:bottom w:val="single" w:sz="4" w:space="0" w:color="auto"/>
              <w:right w:val="single" w:sz="4" w:space="0" w:color="auto"/>
            </w:tcBorders>
            <w:vAlign w:val="center"/>
          </w:tcPr>
          <w:p w14:paraId="07637F39" w14:textId="77777777" w:rsidR="00F865AA" w:rsidRPr="00C522DB" w:rsidRDefault="00F865AA">
            <w:pPr>
              <w:jc w:val="center"/>
              <w:rPr>
                <w:sz w:val="18"/>
                <w:szCs w:val="18"/>
              </w:rPr>
            </w:pPr>
          </w:p>
        </w:tc>
      </w:tr>
      <w:tr w:rsidR="00F865AA" w14:paraId="3873851A" w14:textId="77777777"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1AAAA7B7" w14:textId="77777777" w:rsidR="00F865AA" w:rsidRPr="00C522DB" w:rsidRDefault="00F865AA">
            <w:pPr>
              <w:jc w:val="center"/>
              <w:rPr>
                <w:sz w:val="18"/>
                <w:szCs w:val="18"/>
              </w:rPr>
            </w:pPr>
            <w:r w:rsidRPr="00C522DB">
              <w:rPr>
                <w:sz w:val="18"/>
                <w:szCs w:val="18"/>
              </w:rPr>
              <w:t>2018</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FF0E196" w14:textId="77777777" w:rsidR="00F865AA" w:rsidRPr="00C522DB" w:rsidRDefault="00F865AA">
            <w:pPr>
              <w:jc w:val="center"/>
              <w:rPr>
                <w:sz w:val="18"/>
                <w:szCs w:val="18"/>
              </w:rPr>
            </w:pPr>
            <w:r w:rsidRPr="00C522DB">
              <w:rPr>
                <w:sz w:val="18"/>
                <w:szCs w:val="18"/>
              </w:rPr>
              <w:t>11 785 830</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70B039E" w14:textId="77777777" w:rsidR="00F865AA" w:rsidRPr="00C522DB" w:rsidRDefault="00F865AA">
            <w:pPr>
              <w:jc w:val="center"/>
              <w:rPr>
                <w:sz w:val="18"/>
                <w:szCs w:val="18"/>
              </w:rPr>
            </w:pPr>
            <w:r w:rsidRPr="00C522DB">
              <w:rPr>
                <w:sz w:val="18"/>
                <w:szCs w:val="18"/>
              </w:rPr>
              <w:t>9 052 704</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C96B337" w14:textId="77777777" w:rsidR="00F865AA" w:rsidRPr="00C522DB" w:rsidRDefault="00F865AA">
            <w:pPr>
              <w:jc w:val="center"/>
              <w:rPr>
                <w:sz w:val="18"/>
                <w:szCs w:val="18"/>
              </w:rPr>
            </w:pPr>
            <w:r w:rsidRPr="00C522DB">
              <w:rPr>
                <w:sz w:val="18"/>
                <w:szCs w:val="18"/>
              </w:rPr>
              <w:t>11 959 665</w:t>
            </w:r>
          </w:p>
        </w:tc>
        <w:tc>
          <w:tcPr>
            <w:tcW w:w="1000" w:type="pct"/>
            <w:tcBorders>
              <w:top w:val="single" w:sz="4" w:space="0" w:color="auto"/>
              <w:left w:val="single" w:sz="4" w:space="0" w:color="auto"/>
              <w:bottom w:val="single" w:sz="4" w:space="0" w:color="auto"/>
              <w:right w:val="single" w:sz="4" w:space="0" w:color="auto"/>
            </w:tcBorders>
            <w:vAlign w:val="center"/>
          </w:tcPr>
          <w:p w14:paraId="3C6637B2" w14:textId="77777777" w:rsidR="00F865AA" w:rsidRPr="00C522DB" w:rsidRDefault="00F865AA">
            <w:pPr>
              <w:jc w:val="center"/>
              <w:rPr>
                <w:sz w:val="18"/>
                <w:szCs w:val="18"/>
              </w:rPr>
            </w:pPr>
          </w:p>
        </w:tc>
      </w:tr>
      <w:tr w:rsidR="00F865AA" w14:paraId="303C8569" w14:textId="77777777"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42C5FD54" w14:textId="77777777" w:rsidR="00F865AA" w:rsidRPr="00C522DB" w:rsidRDefault="00F865AA">
            <w:pPr>
              <w:jc w:val="center"/>
              <w:rPr>
                <w:b/>
                <w:sz w:val="18"/>
                <w:szCs w:val="18"/>
              </w:rPr>
            </w:pPr>
            <w:r w:rsidRPr="00C522DB">
              <w:rPr>
                <w:b/>
                <w:sz w:val="18"/>
                <w:szCs w:val="18"/>
              </w:rPr>
              <w:t>KOPĀ</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09452E9" w14:textId="77777777" w:rsidR="00F865AA" w:rsidRPr="00C522DB" w:rsidRDefault="00F865AA">
            <w:pPr>
              <w:jc w:val="center"/>
              <w:rPr>
                <w:b/>
                <w:sz w:val="18"/>
                <w:szCs w:val="18"/>
              </w:rPr>
            </w:pPr>
            <w:r w:rsidRPr="00C522DB">
              <w:rPr>
                <w:b/>
                <w:sz w:val="18"/>
                <w:szCs w:val="18"/>
              </w:rPr>
              <w:t>22 153 977</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53D94DB" w14:textId="77777777" w:rsidR="00F865AA" w:rsidRPr="00C522DB" w:rsidRDefault="00F865AA">
            <w:pPr>
              <w:jc w:val="center"/>
              <w:rPr>
                <w:b/>
                <w:sz w:val="18"/>
                <w:szCs w:val="18"/>
              </w:rPr>
            </w:pPr>
            <w:r w:rsidRPr="00C522DB">
              <w:rPr>
                <w:b/>
                <w:sz w:val="18"/>
                <w:szCs w:val="18"/>
              </w:rPr>
              <w:t>21 043 970</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68451B9" w14:textId="77777777" w:rsidR="00F865AA" w:rsidRPr="00C522DB" w:rsidRDefault="00F865AA">
            <w:pPr>
              <w:jc w:val="center"/>
              <w:rPr>
                <w:b/>
                <w:sz w:val="18"/>
                <w:szCs w:val="18"/>
              </w:rPr>
            </w:pPr>
            <w:r w:rsidRPr="00C522DB">
              <w:rPr>
                <w:b/>
                <w:sz w:val="18"/>
                <w:szCs w:val="18"/>
              </w:rPr>
              <w:t>27 273 167</w:t>
            </w:r>
          </w:p>
        </w:tc>
        <w:tc>
          <w:tcPr>
            <w:tcW w:w="1000" w:type="pct"/>
            <w:tcBorders>
              <w:top w:val="single" w:sz="4" w:space="0" w:color="auto"/>
              <w:left w:val="single" w:sz="4" w:space="0" w:color="auto"/>
              <w:bottom w:val="single" w:sz="4" w:space="0" w:color="auto"/>
              <w:right w:val="single" w:sz="4" w:space="0" w:color="auto"/>
            </w:tcBorders>
            <w:vAlign w:val="center"/>
          </w:tcPr>
          <w:p w14:paraId="4D4020F0" w14:textId="77777777" w:rsidR="00F865AA" w:rsidRPr="00C522DB" w:rsidRDefault="00F865AA">
            <w:pPr>
              <w:jc w:val="center"/>
              <w:rPr>
                <w:b/>
                <w:sz w:val="18"/>
                <w:szCs w:val="18"/>
              </w:rPr>
            </w:pPr>
          </w:p>
        </w:tc>
      </w:tr>
      <w:tr w:rsidR="00F865AA" w14:paraId="1041CBD1" w14:textId="77777777" w:rsidTr="00C522DB">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1CD6C80A" w14:textId="77777777" w:rsidR="00F865AA" w:rsidRPr="00C522DB" w:rsidRDefault="00F865AA">
            <w:pPr>
              <w:jc w:val="center"/>
              <w:rPr>
                <w:sz w:val="18"/>
                <w:szCs w:val="18"/>
              </w:rPr>
            </w:pPr>
            <w:r w:rsidRPr="00C522DB">
              <w:rPr>
                <w:sz w:val="18"/>
                <w:szCs w:val="18"/>
              </w:rPr>
              <w:t>2019</w:t>
            </w:r>
            <w:r w:rsidRPr="00C522DB">
              <w:rPr>
                <w:rStyle w:val="FootnoteReference"/>
                <w:sz w:val="18"/>
                <w:szCs w:val="18"/>
              </w:rPr>
              <w:footnoteReference w:id="39"/>
            </w:r>
          </w:p>
        </w:tc>
        <w:tc>
          <w:tcPr>
            <w:tcW w:w="1000" w:type="pct"/>
            <w:tcBorders>
              <w:top w:val="single" w:sz="4" w:space="0" w:color="auto"/>
              <w:left w:val="single" w:sz="4" w:space="0" w:color="auto"/>
              <w:bottom w:val="single" w:sz="4" w:space="0" w:color="auto"/>
              <w:right w:val="single" w:sz="4" w:space="0" w:color="auto"/>
            </w:tcBorders>
            <w:vAlign w:val="center"/>
            <w:hideMark/>
          </w:tcPr>
          <w:p w14:paraId="76C4F8A1" w14:textId="77777777" w:rsidR="00F865AA" w:rsidRPr="00C522DB" w:rsidRDefault="00F865AA">
            <w:pPr>
              <w:jc w:val="center"/>
              <w:rPr>
                <w:sz w:val="18"/>
                <w:szCs w:val="18"/>
              </w:rPr>
            </w:pPr>
            <w:r w:rsidRPr="00C522DB">
              <w:rPr>
                <w:sz w:val="18"/>
                <w:szCs w:val="18"/>
              </w:rPr>
              <w:t>15 126 348</w:t>
            </w:r>
          </w:p>
        </w:tc>
        <w:tc>
          <w:tcPr>
            <w:tcW w:w="1000" w:type="pct"/>
            <w:tcBorders>
              <w:top w:val="single" w:sz="4" w:space="0" w:color="auto"/>
              <w:left w:val="single" w:sz="4" w:space="0" w:color="auto"/>
              <w:bottom w:val="single" w:sz="4" w:space="0" w:color="auto"/>
              <w:right w:val="single" w:sz="4" w:space="0" w:color="auto"/>
            </w:tcBorders>
            <w:vAlign w:val="center"/>
          </w:tcPr>
          <w:p w14:paraId="7D831FE3"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2A6B3AC8"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6EBAD31C" w14:textId="77777777" w:rsidR="00F865AA" w:rsidRPr="00C522DB" w:rsidRDefault="00F865AA">
            <w:pPr>
              <w:jc w:val="center"/>
              <w:rPr>
                <w:sz w:val="18"/>
                <w:szCs w:val="18"/>
              </w:rPr>
            </w:pPr>
            <w:r w:rsidRPr="00C522DB">
              <w:rPr>
                <w:sz w:val="18"/>
                <w:szCs w:val="18"/>
              </w:rPr>
              <w:t>15 126 348</w:t>
            </w:r>
          </w:p>
        </w:tc>
      </w:tr>
      <w:tr w:rsidR="00F865AA" w14:paraId="3CDFEC7A" w14:textId="77777777" w:rsidTr="00F31194">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4734C11B" w14:textId="77777777" w:rsidR="00F865AA" w:rsidRPr="00C522DB" w:rsidRDefault="00F865AA">
            <w:pPr>
              <w:jc w:val="center"/>
              <w:rPr>
                <w:sz w:val="18"/>
                <w:szCs w:val="18"/>
              </w:rPr>
            </w:pPr>
            <w:r w:rsidRPr="00C522DB">
              <w:rPr>
                <w:sz w:val="18"/>
                <w:szCs w:val="18"/>
              </w:rPr>
              <w:t>2020</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DE0FAC8" w14:textId="77777777" w:rsidR="00F865AA" w:rsidRPr="00C522DB" w:rsidRDefault="00F865AA">
            <w:pPr>
              <w:jc w:val="center"/>
              <w:rPr>
                <w:sz w:val="18"/>
                <w:szCs w:val="18"/>
              </w:rPr>
            </w:pPr>
            <w:r w:rsidRPr="00C522DB">
              <w:rPr>
                <w:sz w:val="18"/>
                <w:szCs w:val="18"/>
              </w:rPr>
              <w:t>12 668 457</w:t>
            </w:r>
          </w:p>
        </w:tc>
        <w:tc>
          <w:tcPr>
            <w:tcW w:w="1000" w:type="pct"/>
            <w:tcBorders>
              <w:top w:val="single" w:sz="4" w:space="0" w:color="auto"/>
              <w:left w:val="single" w:sz="4" w:space="0" w:color="auto"/>
              <w:bottom w:val="single" w:sz="4" w:space="0" w:color="auto"/>
              <w:right w:val="single" w:sz="4" w:space="0" w:color="auto"/>
            </w:tcBorders>
            <w:vAlign w:val="center"/>
          </w:tcPr>
          <w:p w14:paraId="4B01998E"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176CC0B1"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4229138D" w14:textId="3D36B85A" w:rsidR="00F865AA" w:rsidRPr="00C522DB" w:rsidRDefault="006104BE">
            <w:pPr>
              <w:jc w:val="center"/>
              <w:rPr>
                <w:sz w:val="18"/>
                <w:szCs w:val="18"/>
              </w:rPr>
            </w:pPr>
            <w:r>
              <w:rPr>
                <w:sz w:val="18"/>
                <w:szCs w:val="18"/>
              </w:rPr>
              <w:t>8 930 304</w:t>
            </w:r>
          </w:p>
        </w:tc>
      </w:tr>
      <w:tr w:rsidR="00F865AA" w14:paraId="0BF17148" w14:textId="77777777" w:rsidTr="00F31194">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757FDF81" w14:textId="77777777" w:rsidR="00F865AA" w:rsidRPr="00C522DB" w:rsidRDefault="00F865AA">
            <w:pPr>
              <w:jc w:val="center"/>
              <w:rPr>
                <w:sz w:val="18"/>
                <w:szCs w:val="18"/>
              </w:rPr>
            </w:pPr>
            <w:r w:rsidRPr="00C522DB">
              <w:rPr>
                <w:sz w:val="18"/>
                <w:szCs w:val="18"/>
              </w:rPr>
              <w:t>2021</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5AE5A3D" w14:textId="77777777" w:rsidR="00F865AA" w:rsidRPr="00C522DB" w:rsidRDefault="00F865AA">
            <w:pPr>
              <w:jc w:val="center"/>
              <w:rPr>
                <w:sz w:val="18"/>
                <w:szCs w:val="18"/>
              </w:rPr>
            </w:pPr>
            <w:r w:rsidRPr="00C522DB">
              <w:rPr>
                <w:sz w:val="18"/>
                <w:szCs w:val="18"/>
              </w:rPr>
              <w:t>10 746 843</w:t>
            </w:r>
          </w:p>
        </w:tc>
        <w:tc>
          <w:tcPr>
            <w:tcW w:w="1000" w:type="pct"/>
            <w:tcBorders>
              <w:top w:val="single" w:sz="4" w:space="0" w:color="auto"/>
              <w:left w:val="single" w:sz="4" w:space="0" w:color="auto"/>
              <w:bottom w:val="single" w:sz="4" w:space="0" w:color="auto"/>
              <w:right w:val="single" w:sz="4" w:space="0" w:color="auto"/>
            </w:tcBorders>
            <w:vAlign w:val="center"/>
          </w:tcPr>
          <w:p w14:paraId="4CC8B219"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4A653E0D"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290A51D0" w14:textId="1A8A0C57" w:rsidR="00F865AA" w:rsidRPr="00C522DB" w:rsidRDefault="006104BE">
            <w:pPr>
              <w:jc w:val="center"/>
              <w:rPr>
                <w:sz w:val="18"/>
                <w:szCs w:val="18"/>
              </w:rPr>
            </w:pPr>
            <w:r>
              <w:rPr>
                <w:sz w:val="18"/>
                <w:szCs w:val="18"/>
              </w:rPr>
              <w:t>8 930 304</w:t>
            </w:r>
          </w:p>
        </w:tc>
      </w:tr>
      <w:tr w:rsidR="00F865AA" w14:paraId="50A6A1FD" w14:textId="77777777" w:rsidTr="00F31194">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48938D08" w14:textId="77777777" w:rsidR="00F865AA" w:rsidRPr="00C522DB" w:rsidRDefault="00F865AA">
            <w:pPr>
              <w:jc w:val="center"/>
              <w:rPr>
                <w:sz w:val="18"/>
                <w:szCs w:val="18"/>
              </w:rPr>
            </w:pPr>
            <w:r w:rsidRPr="00C522DB">
              <w:rPr>
                <w:sz w:val="18"/>
                <w:szCs w:val="18"/>
              </w:rPr>
              <w:t>2022</w:t>
            </w:r>
          </w:p>
        </w:tc>
        <w:tc>
          <w:tcPr>
            <w:tcW w:w="1000" w:type="pct"/>
            <w:tcBorders>
              <w:top w:val="single" w:sz="4" w:space="0" w:color="auto"/>
              <w:left w:val="single" w:sz="4" w:space="0" w:color="auto"/>
              <w:bottom w:val="single" w:sz="4" w:space="0" w:color="auto"/>
              <w:right w:val="single" w:sz="4" w:space="0" w:color="auto"/>
            </w:tcBorders>
            <w:vAlign w:val="center"/>
            <w:hideMark/>
          </w:tcPr>
          <w:p w14:paraId="5F963662" w14:textId="77777777" w:rsidR="00F865AA" w:rsidRPr="00C522DB" w:rsidRDefault="00F865AA">
            <w:pPr>
              <w:jc w:val="center"/>
              <w:rPr>
                <w:sz w:val="18"/>
                <w:szCs w:val="18"/>
              </w:rPr>
            </w:pPr>
            <w:r w:rsidRPr="00C522DB">
              <w:rPr>
                <w:sz w:val="18"/>
                <w:szCs w:val="18"/>
              </w:rPr>
              <w:t>6 349 724</w:t>
            </w:r>
          </w:p>
        </w:tc>
        <w:tc>
          <w:tcPr>
            <w:tcW w:w="1000" w:type="pct"/>
            <w:tcBorders>
              <w:top w:val="single" w:sz="4" w:space="0" w:color="auto"/>
              <w:left w:val="single" w:sz="4" w:space="0" w:color="auto"/>
              <w:bottom w:val="single" w:sz="4" w:space="0" w:color="auto"/>
              <w:right w:val="single" w:sz="4" w:space="0" w:color="auto"/>
            </w:tcBorders>
            <w:vAlign w:val="center"/>
          </w:tcPr>
          <w:p w14:paraId="20B13C93"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4A6D8741"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66EA96C3" w14:textId="7D1870E1" w:rsidR="00F865AA" w:rsidRPr="00C522DB" w:rsidRDefault="006104BE">
            <w:pPr>
              <w:jc w:val="center"/>
              <w:rPr>
                <w:sz w:val="18"/>
                <w:szCs w:val="18"/>
              </w:rPr>
            </w:pPr>
            <w:r>
              <w:rPr>
                <w:sz w:val="18"/>
                <w:szCs w:val="18"/>
              </w:rPr>
              <w:t>7 938 048</w:t>
            </w:r>
          </w:p>
        </w:tc>
      </w:tr>
      <w:tr w:rsidR="00F865AA" w14:paraId="320D36AE" w14:textId="77777777" w:rsidTr="00F31194">
        <w:trPr>
          <w:trHeight w:val="113"/>
        </w:trPr>
        <w:tc>
          <w:tcPr>
            <w:tcW w:w="1000" w:type="pct"/>
            <w:tcBorders>
              <w:top w:val="single" w:sz="4" w:space="0" w:color="auto"/>
              <w:left w:val="single" w:sz="4" w:space="0" w:color="auto"/>
              <w:bottom w:val="single" w:sz="4" w:space="0" w:color="auto"/>
              <w:right w:val="single" w:sz="4" w:space="0" w:color="auto"/>
            </w:tcBorders>
            <w:vAlign w:val="center"/>
            <w:hideMark/>
          </w:tcPr>
          <w:p w14:paraId="23A13703" w14:textId="77777777" w:rsidR="00F865AA" w:rsidRPr="00C522DB" w:rsidRDefault="00F865AA">
            <w:pPr>
              <w:jc w:val="center"/>
              <w:rPr>
                <w:sz w:val="18"/>
                <w:szCs w:val="18"/>
              </w:rPr>
            </w:pPr>
            <w:r w:rsidRPr="00C522DB">
              <w:rPr>
                <w:sz w:val="18"/>
                <w:szCs w:val="18"/>
              </w:rPr>
              <w:t>2023</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AC8283B" w14:textId="77777777" w:rsidR="00F865AA" w:rsidRPr="00C522DB" w:rsidRDefault="00F865AA">
            <w:pPr>
              <w:jc w:val="center"/>
              <w:rPr>
                <w:sz w:val="18"/>
                <w:szCs w:val="18"/>
              </w:rPr>
            </w:pPr>
            <w:r w:rsidRPr="00C522DB">
              <w:rPr>
                <w:sz w:val="18"/>
                <w:szCs w:val="18"/>
              </w:rPr>
              <w:t>3 025 213</w:t>
            </w:r>
          </w:p>
        </w:tc>
        <w:tc>
          <w:tcPr>
            <w:tcW w:w="1000" w:type="pct"/>
            <w:tcBorders>
              <w:top w:val="single" w:sz="4" w:space="0" w:color="auto"/>
              <w:left w:val="single" w:sz="4" w:space="0" w:color="auto"/>
              <w:bottom w:val="single" w:sz="4" w:space="0" w:color="auto"/>
              <w:right w:val="single" w:sz="4" w:space="0" w:color="auto"/>
            </w:tcBorders>
            <w:vAlign w:val="center"/>
          </w:tcPr>
          <w:p w14:paraId="6BBC5DD6"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3468C511" w14:textId="77777777" w:rsidR="00F865AA" w:rsidRPr="00C522DB" w:rsidRDefault="00F865AA">
            <w:pPr>
              <w:jc w:val="center"/>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325CED6D" w14:textId="3E6F8C12" w:rsidR="00F865AA" w:rsidRPr="00C522DB" w:rsidRDefault="006104BE">
            <w:pPr>
              <w:jc w:val="center"/>
              <w:rPr>
                <w:sz w:val="18"/>
                <w:szCs w:val="18"/>
              </w:rPr>
            </w:pPr>
            <w:r>
              <w:rPr>
                <w:sz w:val="18"/>
                <w:szCs w:val="18"/>
              </w:rPr>
              <w:t>4 167 475</w:t>
            </w:r>
          </w:p>
        </w:tc>
      </w:tr>
    </w:tbl>
    <w:p w14:paraId="3FF78103" w14:textId="77777777" w:rsidR="00F178CF" w:rsidRDefault="00F178CF" w:rsidP="00F865AA">
      <w:pPr>
        <w:jc w:val="both"/>
      </w:pPr>
    </w:p>
    <w:p w14:paraId="56067BA6" w14:textId="5EF1F5FA" w:rsidR="00417CF9" w:rsidRDefault="0033434D" w:rsidP="00417CF9">
      <w:pPr>
        <w:jc w:val="right"/>
      </w:pPr>
      <w:r>
        <w:t>1</w:t>
      </w:r>
      <w:r w:rsidR="00FF24A3">
        <w:t>3</w:t>
      </w:r>
      <w:r w:rsidR="00417CF9">
        <w:t>.tabula</w:t>
      </w:r>
    </w:p>
    <w:p w14:paraId="750F6BC9" w14:textId="77777777" w:rsidR="00417CF9" w:rsidRDefault="00417CF9" w:rsidP="00F31194">
      <w:pPr>
        <w:jc w:val="center"/>
        <w:rPr>
          <w:b/>
        </w:rPr>
      </w:pPr>
    </w:p>
    <w:p w14:paraId="151D14BA" w14:textId="585D75F0" w:rsidR="00F865AA" w:rsidRDefault="00F865AA" w:rsidP="00F31194">
      <w:pPr>
        <w:jc w:val="center"/>
        <w:rPr>
          <w:lang w:eastAsia="en-US"/>
        </w:rPr>
      </w:pPr>
      <w:r w:rsidRPr="00F31194">
        <w:rPr>
          <w:b/>
        </w:rPr>
        <w:t>Informācija par izdevumiem ilgtermiņa saistību pasākumam “Ceļu satiksmes pārkāpumu fiksēšanas tehnisko līdzekļu (fotoradaru) darbības nodrošināšana”</w:t>
      </w:r>
      <w:r>
        <w:t xml:space="preserve"> </w:t>
      </w:r>
      <w:r w:rsidR="00632BC0">
        <w:t>(I un II posms)</w:t>
      </w:r>
    </w:p>
    <w:p w14:paraId="17B0E5BC" w14:textId="14826B81" w:rsidR="00F865AA" w:rsidRDefault="00F865AA" w:rsidP="00F865AA">
      <w:pPr>
        <w:jc w:val="right"/>
      </w:pPr>
    </w:p>
    <w:tbl>
      <w:tblPr>
        <w:tblW w:w="10207" w:type="dxa"/>
        <w:tblInd w:w="-856" w:type="dxa"/>
        <w:tblLayout w:type="fixed"/>
        <w:tblLook w:val="04A0" w:firstRow="1" w:lastRow="0" w:firstColumn="1" w:lastColumn="0" w:noHBand="0" w:noVBand="1"/>
      </w:tblPr>
      <w:tblGrid>
        <w:gridCol w:w="709"/>
        <w:gridCol w:w="782"/>
        <w:gridCol w:w="701"/>
        <w:gridCol w:w="927"/>
        <w:gridCol w:w="801"/>
        <w:gridCol w:w="850"/>
        <w:gridCol w:w="644"/>
        <w:gridCol w:w="830"/>
        <w:gridCol w:w="830"/>
        <w:gridCol w:w="903"/>
        <w:gridCol w:w="1379"/>
        <w:gridCol w:w="851"/>
      </w:tblGrid>
      <w:tr w:rsidR="00E13052" w:rsidRPr="00E13052" w14:paraId="3A4858C9" w14:textId="77777777" w:rsidTr="00283ACB">
        <w:trPr>
          <w:trHeight w:val="420"/>
        </w:trPr>
        <w:tc>
          <w:tcPr>
            <w:tcW w:w="709" w:type="dxa"/>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20AF9D65" w14:textId="77777777" w:rsidR="00E13052" w:rsidRPr="00F31194" w:rsidRDefault="00E13052" w:rsidP="00E13052">
            <w:pPr>
              <w:jc w:val="center"/>
              <w:rPr>
                <w:b/>
                <w:bCs/>
                <w:sz w:val="14"/>
                <w:szCs w:val="14"/>
              </w:rPr>
            </w:pPr>
            <w:r w:rsidRPr="00F31194">
              <w:rPr>
                <w:b/>
                <w:bCs/>
                <w:sz w:val="14"/>
                <w:szCs w:val="14"/>
              </w:rPr>
              <w:t>Gads</w:t>
            </w:r>
          </w:p>
        </w:tc>
        <w:tc>
          <w:tcPr>
            <w:tcW w:w="4705" w:type="dxa"/>
            <w:gridSpan w:val="6"/>
            <w:tcBorders>
              <w:top w:val="single" w:sz="4" w:space="0" w:color="A6A6A6"/>
              <w:left w:val="nil"/>
              <w:bottom w:val="single" w:sz="4" w:space="0" w:color="A6A6A6"/>
              <w:right w:val="single" w:sz="4" w:space="0" w:color="A6A6A6"/>
            </w:tcBorders>
            <w:shd w:val="clear" w:color="auto" w:fill="auto"/>
            <w:noWrap/>
            <w:vAlign w:val="center"/>
            <w:hideMark/>
          </w:tcPr>
          <w:p w14:paraId="0C35E889" w14:textId="77777777" w:rsidR="00E13052" w:rsidRPr="00F31194" w:rsidRDefault="00E13052" w:rsidP="00E13052">
            <w:pPr>
              <w:jc w:val="center"/>
              <w:rPr>
                <w:b/>
                <w:bCs/>
                <w:sz w:val="14"/>
                <w:szCs w:val="14"/>
              </w:rPr>
            </w:pPr>
            <w:r w:rsidRPr="00F31194">
              <w:rPr>
                <w:b/>
                <w:bCs/>
                <w:sz w:val="14"/>
                <w:szCs w:val="14"/>
              </w:rPr>
              <w:t>06.01.00</w:t>
            </w:r>
          </w:p>
        </w:tc>
        <w:tc>
          <w:tcPr>
            <w:tcW w:w="1660" w:type="dxa"/>
            <w:gridSpan w:val="2"/>
            <w:tcBorders>
              <w:top w:val="single" w:sz="4" w:space="0" w:color="A6A6A6"/>
              <w:left w:val="nil"/>
              <w:bottom w:val="single" w:sz="4" w:space="0" w:color="A6A6A6"/>
              <w:right w:val="single" w:sz="4" w:space="0" w:color="A6A6A6"/>
            </w:tcBorders>
            <w:shd w:val="clear" w:color="auto" w:fill="auto"/>
            <w:noWrap/>
            <w:vAlign w:val="center"/>
            <w:hideMark/>
          </w:tcPr>
          <w:p w14:paraId="0B269621" w14:textId="77777777" w:rsidR="00E13052" w:rsidRPr="00F31194" w:rsidRDefault="00E13052" w:rsidP="00E13052">
            <w:pPr>
              <w:jc w:val="center"/>
              <w:rPr>
                <w:b/>
                <w:bCs/>
                <w:sz w:val="14"/>
                <w:szCs w:val="14"/>
              </w:rPr>
            </w:pPr>
            <w:r w:rsidRPr="00F31194">
              <w:rPr>
                <w:b/>
                <w:bCs/>
                <w:sz w:val="14"/>
                <w:szCs w:val="14"/>
              </w:rPr>
              <w:t>02.03.00</w:t>
            </w:r>
          </w:p>
        </w:tc>
        <w:tc>
          <w:tcPr>
            <w:tcW w:w="3133" w:type="dxa"/>
            <w:gridSpan w:val="3"/>
            <w:tcBorders>
              <w:top w:val="single" w:sz="4" w:space="0" w:color="A6A6A6"/>
              <w:left w:val="nil"/>
              <w:bottom w:val="single" w:sz="4" w:space="0" w:color="A6A6A6"/>
              <w:right w:val="single" w:sz="4" w:space="0" w:color="A6A6A6"/>
            </w:tcBorders>
            <w:shd w:val="clear" w:color="auto" w:fill="auto"/>
            <w:vAlign w:val="center"/>
            <w:hideMark/>
          </w:tcPr>
          <w:p w14:paraId="625A38F7" w14:textId="77777777" w:rsidR="00E13052" w:rsidRPr="00F31194" w:rsidRDefault="00E13052" w:rsidP="00E13052">
            <w:pPr>
              <w:jc w:val="center"/>
              <w:rPr>
                <w:b/>
                <w:bCs/>
                <w:sz w:val="14"/>
                <w:szCs w:val="14"/>
              </w:rPr>
            </w:pPr>
            <w:r w:rsidRPr="00F31194">
              <w:rPr>
                <w:b/>
                <w:bCs/>
                <w:sz w:val="14"/>
                <w:szCs w:val="14"/>
              </w:rPr>
              <w:t>06.01.00 un 02.03.00</w:t>
            </w:r>
          </w:p>
        </w:tc>
      </w:tr>
      <w:tr w:rsidR="00E13052" w:rsidRPr="00E13052" w14:paraId="5C1F6BC7" w14:textId="77777777" w:rsidTr="00283ACB">
        <w:trPr>
          <w:trHeight w:val="870"/>
        </w:trPr>
        <w:tc>
          <w:tcPr>
            <w:tcW w:w="709" w:type="dxa"/>
            <w:vMerge/>
            <w:tcBorders>
              <w:top w:val="single" w:sz="4" w:space="0" w:color="A6A6A6"/>
              <w:left w:val="single" w:sz="4" w:space="0" w:color="A6A6A6"/>
              <w:bottom w:val="single" w:sz="4" w:space="0" w:color="A6A6A6"/>
              <w:right w:val="single" w:sz="4" w:space="0" w:color="A6A6A6"/>
            </w:tcBorders>
            <w:vAlign w:val="center"/>
            <w:hideMark/>
          </w:tcPr>
          <w:p w14:paraId="0482F6EF" w14:textId="77777777" w:rsidR="00E13052" w:rsidRPr="00F31194" w:rsidRDefault="00E13052" w:rsidP="00E13052">
            <w:pPr>
              <w:rPr>
                <w:b/>
                <w:bCs/>
                <w:sz w:val="14"/>
                <w:szCs w:val="14"/>
              </w:rPr>
            </w:pPr>
          </w:p>
        </w:tc>
        <w:tc>
          <w:tcPr>
            <w:tcW w:w="1483" w:type="dxa"/>
            <w:gridSpan w:val="2"/>
            <w:tcBorders>
              <w:top w:val="single" w:sz="4" w:space="0" w:color="A6A6A6"/>
              <w:left w:val="nil"/>
              <w:bottom w:val="single" w:sz="4" w:space="0" w:color="A6A6A6"/>
              <w:right w:val="single" w:sz="4" w:space="0" w:color="A6A6A6"/>
            </w:tcBorders>
            <w:shd w:val="clear" w:color="auto" w:fill="auto"/>
            <w:vAlign w:val="center"/>
            <w:hideMark/>
          </w:tcPr>
          <w:p w14:paraId="2F47CF1F" w14:textId="77777777" w:rsidR="00E13052" w:rsidRPr="00F31194" w:rsidRDefault="00E13052" w:rsidP="00E13052">
            <w:pPr>
              <w:jc w:val="center"/>
              <w:rPr>
                <w:b/>
                <w:bCs/>
                <w:sz w:val="14"/>
                <w:szCs w:val="14"/>
              </w:rPr>
            </w:pPr>
            <w:r w:rsidRPr="00F31194">
              <w:rPr>
                <w:b/>
                <w:bCs/>
                <w:sz w:val="14"/>
                <w:szCs w:val="14"/>
              </w:rPr>
              <w:t>Valsts policija</w:t>
            </w:r>
          </w:p>
        </w:tc>
        <w:tc>
          <w:tcPr>
            <w:tcW w:w="1728" w:type="dxa"/>
            <w:gridSpan w:val="2"/>
            <w:tcBorders>
              <w:top w:val="single" w:sz="4" w:space="0" w:color="A6A6A6"/>
              <w:left w:val="nil"/>
              <w:bottom w:val="single" w:sz="4" w:space="0" w:color="A6A6A6"/>
              <w:right w:val="single" w:sz="4" w:space="0" w:color="A6A6A6"/>
            </w:tcBorders>
            <w:shd w:val="clear" w:color="auto" w:fill="auto"/>
            <w:vAlign w:val="center"/>
            <w:hideMark/>
          </w:tcPr>
          <w:p w14:paraId="70E196C0" w14:textId="77777777" w:rsidR="00E13052" w:rsidRPr="00F31194" w:rsidRDefault="00E13052" w:rsidP="00E13052">
            <w:pPr>
              <w:jc w:val="center"/>
              <w:rPr>
                <w:b/>
                <w:bCs/>
                <w:sz w:val="14"/>
                <w:szCs w:val="14"/>
              </w:rPr>
            </w:pPr>
            <w:r w:rsidRPr="00F31194">
              <w:rPr>
                <w:b/>
                <w:bCs/>
                <w:sz w:val="14"/>
                <w:szCs w:val="14"/>
              </w:rPr>
              <w:t>CSDD (bez nolietojuma uzkrājuma)</w:t>
            </w:r>
          </w:p>
        </w:tc>
        <w:tc>
          <w:tcPr>
            <w:tcW w:w="1494" w:type="dxa"/>
            <w:gridSpan w:val="2"/>
            <w:tcBorders>
              <w:top w:val="single" w:sz="4" w:space="0" w:color="A6A6A6"/>
              <w:left w:val="nil"/>
              <w:bottom w:val="single" w:sz="4" w:space="0" w:color="A6A6A6"/>
              <w:right w:val="single" w:sz="4" w:space="0" w:color="A6A6A6"/>
            </w:tcBorders>
            <w:shd w:val="clear" w:color="auto" w:fill="auto"/>
            <w:vAlign w:val="center"/>
            <w:hideMark/>
          </w:tcPr>
          <w:p w14:paraId="0723C8A2" w14:textId="3DC40FB5" w:rsidR="00632BC0" w:rsidRDefault="00632BC0" w:rsidP="00E13052">
            <w:pPr>
              <w:jc w:val="center"/>
              <w:rPr>
                <w:b/>
                <w:bCs/>
                <w:sz w:val="14"/>
                <w:szCs w:val="14"/>
              </w:rPr>
            </w:pPr>
            <w:r>
              <w:rPr>
                <w:b/>
                <w:bCs/>
                <w:sz w:val="14"/>
                <w:szCs w:val="14"/>
              </w:rPr>
              <w:t>INFORMATĪVI:</w:t>
            </w:r>
          </w:p>
          <w:p w14:paraId="19613053" w14:textId="77777777" w:rsidR="00E13052" w:rsidRPr="00F31194" w:rsidRDefault="00E13052" w:rsidP="00E13052">
            <w:pPr>
              <w:jc w:val="center"/>
              <w:rPr>
                <w:b/>
                <w:bCs/>
                <w:sz w:val="14"/>
                <w:szCs w:val="14"/>
              </w:rPr>
            </w:pPr>
            <w:r w:rsidRPr="00F31194">
              <w:rPr>
                <w:b/>
                <w:bCs/>
                <w:sz w:val="14"/>
                <w:szCs w:val="14"/>
              </w:rPr>
              <w:t>CSDD ( ar nolietojuma uzkrājumu no 2021. gada)</w:t>
            </w:r>
          </w:p>
        </w:tc>
        <w:tc>
          <w:tcPr>
            <w:tcW w:w="1660" w:type="dxa"/>
            <w:gridSpan w:val="2"/>
            <w:tcBorders>
              <w:top w:val="single" w:sz="4" w:space="0" w:color="A6A6A6"/>
              <w:left w:val="nil"/>
              <w:bottom w:val="single" w:sz="4" w:space="0" w:color="A6A6A6"/>
              <w:right w:val="single" w:sz="4" w:space="0" w:color="A6A6A6"/>
            </w:tcBorders>
            <w:shd w:val="clear" w:color="auto" w:fill="auto"/>
            <w:vAlign w:val="center"/>
            <w:hideMark/>
          </w:tcPr>
          <w:p w14:paraId="40879B45" w14:textId="77777777" w:rsidR="00E13052" w:rsidRPr="00F31194" w:rsidRDefault="00E13052" w:rsidP="00E13052">
            <w:pPr>
              <w:jc w:val="center"/>
              <w:rPr>
                <w:b/>
                <w:bCs/>
                <w:sz w:val="14"/>
                <w:szCs w:val="14"/>
              </w:rPr>
            </w:pPr>
            <w:r w:rsidRPr="00F31194">
              <w:rPr>
                <w:b/>
                <w:bCs/>
                <w:sz w:val="14"/>
                <w:szCs w:val="14"/>
              </w:rPr>
              <w:t>Iekšlietu ministrijas Informācijas centrs</w:t>
            </w:r>
          </w:p>
        </w:tc>
        <w:tc>
          <w:tcPr>
            <w:tcW w:w="903" w:type="dxa"/>
            <w:tcBorders>
              <w:top w:val="nil"/>
              <w:left w:val="nil"/>
              <w:bottom w:val="single" w:sz="4" w:space="0" w:color="A6A6A6"/>
              <w:right w:val="single" w:sz="4" w:space="0" w:color="A6A6A6"/>
            </w:tcBorders>
            <w:shd w:val="clear" w:color="auto" w:fill="auto"/>
            <w:vAlign w:val="center"/>
            <w:hideMark/>
          </w:tcPr>
          <w:p w14:paraId="2D5C8BF8" w14:textId="77777777" w:rsidR="00E13052" w:rsidRPr="00F31194" w:rsidRDefault="00E13052" w:rsidP="00E13052">
            <w:pPr>
              <w:jc w:val="center"/>
              <w:rPr>
                <w:b/>
                <w:bCs/>
                <w:sz w:val="14"/>
                <w:szCs w:val="14"/>
              </w:rPr>
            </w:pPr>
            <w:r w:rsidRPr="00F31194">
              <w:rPr>
                <w:b/>
                <w:bCs/>
                <w:sz w:val="14"/>
                <w:szCs w:val="14"/>
              </w:rPr>
              <w:t>Kopā</w:t>
            </w:r>
            <w:r w:rsidRPr="00F31194">
              <w:rPr>
                <w:b/>
                <w:bCs/>
                <w:sz w:val="14"/>
                <w:szCs w:val="14"/>
              </w:rPr>
              <w:br/>
            </w:r>
            <w:r w:rsidRPr="008A5CEA">
              <w:rPr>
                <w:bCs/>
                <w:sz w:val="14"/>
                <w:szCs w:val="14"/>
              </w:rPr>
              <w:t>(bez nolietojuma uzkrājuma)</w:t>
            </w:r>
          </w:p>
        </w:tc>
        <w:tc>
          <w:tcPr>
            <w:tcW w:w="1379" w:type="dxa"/>
            <w:tcBorders>
              <w:top w:val="nil"/>
              <w:left w:val="nil"/>
              <w:bottom w:val="single" w:sz="4" w:space="0" w:color="A6A6A6"/>
              <w:right w:val="single" w:sz="4" w:space="0" w:color="A6A6A6"/>
            </w:tcBorders>
            <w:shd w:val="clear" w:color="auto" w:fill="auto"/>
            <w:vAlign w:val="center"/>
            <w:hideMark/>
          </w:tcPr>
          <w:p w14:paraId="102B1596" w14:textId="77777777" w:rsidR="00A364F1" w:rsidRDefault="00A364F1" w:rsidP="00E13052">
            <w:pPr>
              <w:jc w:val="center"/>
              <w:rPr>
                <w:b/>
                <w:bCs/>
                <w:sz w:val="14"/>
                <w:szCs w:val="14"/>
              </w:rPr>
            </w:pPr>
            <w:r>
              <w:rPr>
                <w:b/>
                <w:bCs/>
                <w:sz w:val="14"/>
                <w:szCs w:val="14"/>
              </w:rPr>
              <w:t>INFORMATĪVI:</w:t>
            </w:r>
          </w:p>
          <w:p w14:paraId="52728421" w14:textId="7DA8FF7E" w:rsidR="00E13052" w:rsidRPr="00F31194" w:rsidRDefault="00E13052" w:rsidP="00E13052">
            <w:pPr>
              <w:jc w:val="center"/>
              <w:rPr>
                <w:b/>
                <w:bCs/>
                <w:sz w:val="14"/>
                <w:szCs w:val="14"/>
              </w:rPr>
            </w:pPr>
            <w:r w:rsidRPr="00F31194">
              <w:rPr>
                <w:b/>
                <w:bCs/>
                <w:sz w:val="14"/>
                <w:szCs w:val="14"/>
              </w:rPr>
              <w:t>Kopā</w:t>
            </w:r>
            <w:r w:rsidRPr="00F31194">
              <w:rPr>
                <w:b/>
                <w:bCs/>
                <w:sz w:val="14"/>
                <w:szCs w:val="14"/>
              </w:rPr>
              <w:br/>
            </w:r>
            <w:r w:rsidRPr="008A5CEA">
              <w:rPr>
                <w:bCs/>
                <w:sz w:val="14"/>
                <w:szCs w:val="14"/>
              </w:rPr>
              <w:t>(ar nolietojuma uzkrājumu)</w:t>
            </w:r>
          </w:p>
        </w:tc>
        <w:tc>
          <w:tcPr>
            <w:tcW w:w="851" w:type="dxa"/>
            <w:tcBorders>
              <w:top w:val="nil"/>
              <w:left w:val="nil"/>
              <w:bottom w:val="single" w:sz="4" w:space="0" w:color="A6A6A6"/>
              <w:right w:val="single" w:sz="4" w:space="0" w:color="A6A6A6"/>
            </w:tcBorders>
            <w:shd w:val="clear" w:color="auto" w:fill="auto"/>
            <w:vAlign w:val="center"/>
            <w:hideMark/>
          </w:tcPr>
          <w:p w14:paraId="0E43DA6E" w14:textId="77777777" w:rsidR="00E13052" w:rsidRPr="00F31194" w:rsidRDefault="00E13052" w:rsidP="00E13052">
            <w:pPr>
              <w:jc w:val="center"/>
              <w:rPr>
                <w:b/>
                <w:bCs/>
                <w:sz w:val="14"/>
                <w:szCs w:val="14"/>
              </w:rPr>
            </w:pPr>
            <w:r w:rsidRPr="00F31194">
              <w:rPr>
                <w:b/>
                <w:bCs/>
                <w:sz w:val="14"/>
                <w:szCs w:val="14"/>
              </w:rPr>
              <w:t>Kopā</w:t>
            </w:r>
          </w:p>
        </w:tc>
      </w:tr>
      <w:tr w:rsidR="00E13052" w:rsidRPr="00E13052" w14:paraId="29B5EA9F"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3C768583" w14:textId="5FE7E4EC" w:rsidR="00E13052" w:rsidRPr="00F31194" w:rsidRDefault="00E13052" w:rsidP="00E13052">
            <w:pPr>
              <w:rPr>
                <w:sz w:val="14"/>
                <w:szCs w:val="14"/>
              </w:rPr>
            </w:pPr>
            <w:r w:rsidRPr="00F31194">
              <w:rPr>
                <w:sz w:val="14"/>
                <w:szCs w:val="14"/>
              </w:rPr>
              <w:t> </w:t>
            </w:r>
          </w:p>
        </w:tc>
        <w:tc>
          <w:tcPr>
            <w:tcW w:w="782" w:type="dxa"/>
            <w:tcBorders>
              <w:top w:val="nil"/>
              <w:left w:val="nil"/>
              <w:bottom w:val="single" w:sz="4" w:space="0" w:color="A6A6A6"/>
              <w:right w:val="single" w:sz="4" w:space="0" w:color="A6A6A6"/>
            </w:tcBorders>
            <w:shd w:val="clear" w:color="auto" w:fill="auto"/>
            <w:noWrap/>
            <w:vAlign w:val="center"/>
            <w:hideMark/>
          </w:tcPr>
          <w:p w14:paraId="29ECD2B9" w14:textId="77777777" w:rsidR="00E13052" w:rsidRPr="00F31194" w:rsidRDefault="00E13052" w:rsidP="00283ACB">
            <w:pPr>
              <w:jc w:val="center"/>
              <w:rPr>
                <w:sz w:val="14"/>
                <w:szCs w:val="14"/>
              </w:rPr>
            </w:pPr>
            <w:r w:rsidRPr="00F31194">
              <w:rPr>
                <w:sz w:val="14"/>
                <w:szCs w:val="14"/>
              </w:rPr>
              <w:t>Plāns</w:t>
            </w:r>
          </w:p>
        </w:tc>
        <w:tc>
          <w:tcPr>
            <w:tcW w:w="701" w:type="dxa"/>
            <w:tcBorders>
              <w:top w:val="nil"/>
              <w:left w:val="nil"/>
              <w:bottom w:val="single" w:sz="4" w:space="0" w:color="A6A6A6"/>
              <w:right w:val="single" w:sz="4" w:space="0" w:color="A6A6A6"/>
            </w:tcBorders>
            <w:shd w:val="clear" w:color="auto" w:fill="auto"/>
            <w:noWrap/>
            <w:vAlign w:val="center"/>
            <w:hideMark/>
          </w:tcPr>
          <w:p w14:paraId="7D5CDEC4" w14:textId="77777777" w:rsidR="00E13052" w:rsidRPr="00F31194" w:rsidRDefault="00E13052" w:rsidP="00283ACB">
            <w:pPr>
              <w:jc w:val="center"/>
              <w:rPr>
                <w:sz w:val="14"/>
                <w:szCs w:val="14"/>
              </w:rPr>
            </w:pPr>
            <w:r w:rsidRPr="00F31194">
              <w:rPr>
                <w:sz w:val="14"/>
                <w:szCs w:val="14"/>
              </w:rPr>
              <w:t>Izpilde</w:t>
            </w:r>
          </w:p>
        </w:tc>
        <w:tc>
          <w:tcPr>
            <w:tcW w:w="927" w:type="dxa"/>
            <w:tcBorders>
              <w:top w:val="nil"/>
              <w:left w:val="nil"/>
              <w:bottom w:val="single" w:sz="4" w:space="0" w:color="A6A6A6"/>
              <w:right w:val="single" w:sz="4" w:space="0" w:color="A6A6A6"/>
            </w:tcBorders>
            <w:shd w:val="clear" w:color="auto" w:fill="auto"/>
            <w:noWrap/>
            <w:vAlign w:val="center"/>
            <w:hideMark/>
          </w:tcPr>
          <w:p w14:paraId="6EDB040E" w14:textId="77777777" w:rsidR="00E13052" w:rsidRPr="00F31194" w:rsidRDefault="00E13052" w:rsidP="00283ACB">
            <w:pPr>
              <w:jc w:val="center"/>
              <w:rPr>
                <w:sz w:val="14"/>
                <w:szCs w:val="14"/>
              </w:rPr>
            </w:pPr>
            <w:r w:rsidRPr="00F31194">
              <w:rPr>
                <w:sz w:val="14"/>
                <w:szCs w:val="14"/>
              </w:rPr>
              <w:t>Plāns</w:t>
            </w:r>
          </w:p>
        </w:tc>
        <w:tc>
          <w:tcPr>
            <w:tcW w:w="801" w:type="dxa"/>
            <w:tcBorders>
              <w:top w:val="nil"/>
              <w:left w:val="nil"/>
              <w:bottom w:val="single" w:sz="4" w:space="0" w:color="A6A6A6"/>
              <w:right w:val="single" w:sz="4" w:space="0" w:color="A6A6A6"/>
            </w:tcBorders>
            <w:shd w:val="clear" w:color="auto" w:fill="auto"/>
            <w:noWrap/>
            <w:vAlign w:val="center"/>
            <w:hideMark/>
          </w:tcPr>
          <w:p w14:paraId="63377ADB" w14:textId="77777777" w:rsidR="00E13052" w:rsidRPr="00F31194" w:rsidRDefault="00E13052" w:rsidP="00283ACB">
            <w:pPr>
              <w:jc w:val="center"/>
              <w:rPr>
                <w:sz w:val="14"/>
                <w:szCs w:val="14"/>
              </w:rPr>
            </w:pPr>
            <w:r w:rsidRPr="00F31194">
              <w:rPr>
                <w:sz w:val="14"/>
                <w:szCs w:val="14"/>
              </w:rPr>
              <w:t>Izpilde</w:t>
            </w:r>
          </w:p>
        </w:tc>
        <w:tc>
          <w:tcPr>
            <w:tcW w:w="850" w:type="dxa"/>
            <w:tcBorders>
              <w:top w:val="nil"/>
              <w:left w:val="nil"/>
              <w:bottom w:val="single" w:sz="4" w:space="0" w:color="A6A6A6"/>
              <w:right w:val="single" w:sz="4" w:space="0" w:color="A6A6A6"/>
            </w:tcBorders>
            <w:shd w:val="clear" w:color="auto" w:fill="auto"/>
            <w:noWrap/>
            <w:vAlign w:val="center"/>
            <w:hideMark/>
          </w:tcPr>
          <w:p w14:paraId="62710171" w14:textId="77777777" w:rsidR="00E13052" w:rsidRPr="00F31194" w:rsidRDefault="00E13052" w:rsidP="00283ACB">
            <w:pPr>
              <w:jc w:val="center"/>
              <w:rPr>
                <w:sz w:val="14"/>
                <w:szCs w:val="14"/>
              </w:rPr>
            </w:pPr>
            <w:r w:rsidRPr="00F31194">
              <w:rPr>
                <w:sz w:val="14"/>
                <w:szCs w:val="14"/>
              </w:rPr>
              <w:t>Plāns</w:t>
            </w:r>
          </w:p>
        </w:tc>
        <w:tc>
          <w:tcPr>
            <w:tcW w:w="644" w:type="dxa"/>
            <w:tcBorders>
              <w:top w:val="nil"/>
              <w:left w:val="nil"/>
              <w:bottom w:val="single" w:sz="4" w:space="0" w:color="A6A6A6"/>
              <w:right w:val="single" w:sz="4" w:space="0" w:color="A6A6A6"/>
            </w:tcBorders>
            <w:shd w:val="clear" w:color="auto" w:fill="auto"/>
            <w:noWrap/>
            <w:vAlign w:val="center"/>
            <w:hideMark/>
          </w:tcPr>
          <w:p w14:paraId="24513CBF" w14:textId="77777777" w:rsidR="00E13052" w:rsidRPr="00F31194" w:rsidRDefault="00E13052" w:rsidP="00283ACB">
            <w:pPr>
              <w:jc w:val="center"/>
              <w:rPr>
                <w:sz w:val="14"/>
                <w:szCs w:val="14"/>
              </w:rPr>
            </w:pPr>
            <w:r w:rsidRPr="00F31194">
              <w:rPr>
                <w:sz w:val="14"/>
                <w:szCs w:val="14"/>
              </w:rPr>
              <w:t>Izpilde</w:t>
            </w:r>
          </w:p>
        </w:tc>
        <w:tc>
          <w:tcPr>
            <w:tcW w:w="830" w:type="dxa"/>
            <w:tcBorders>
              <w:top w:val="nil"/>
              <w:left w:val="nil"/>
              <w:bottom w:val="single" w:sz="4" w:space="0" w:color="A6A6A6"/>
              <w:right w:val="single" w:sz="4" w:space="0" w:color="A6A6A6"/>
            </w:tcBorders>
            <w:shd w:val="clear" w:color="auto" w:fill="auto"/>
            <w:noWrap/>
            <w:vAlign w:val="center"/>
            <w:hideMark/>
          </w:tcPr>
          <w:p w14:paraId="5B94260E" w14:textId="77777777" w:rsidR="00E13052" w:rsidRPr="00F31194" w:rsidRDefault="00E13052" w:rsidP="00283ACB">
            <w:pPr>
              <w:jc w:val="center"/>
              <w:rPr>
                <w:sz w:val="14"/>
                <w:szCs w:val="14"/>
              </w:rPr>
            </w:pPr>
            <w:r w:rsidRPr="00F31194">
              <w:rPr>
                <w:sz w:val="14"/>
                <w:szCs w:val="14"/>
              </w:rPr>
              <w:t>Plāns</w:t>
            </w:r>
          </w:p>
        </w:tc>
        <w:tc>
          <w:tcPr>
            <w:tcW w:w="830" w:type="dxa"/>
            <w:tcBorders>
              <w:top w:val="nil"/>
              <w:left w:val="nil"/>
              <w:bottom w:val="single" w:sz="4" w:space="0" w:color="A6A6A6"/>
              <w:right w:val="single" w:sz="4" w:space="0" w:color="A6A6A6"/>
            </w:tcBorders>
            <w:shd w:val="clear" w:color="auto" w:fill="auto"/>
            <w:noWrap/>
            <w:vAlign w:val="center"/>
            <w:hideMark/>
          </w:tcPr>
          <w:p w14:paraId="5D84C98A" w14:textId="77777777" w:rsidR="00E13052" w:rsidRPr="00F31194" w:rsidRDefault="00E13052" w:rsidP="00283ACB">
            <w:pPr>
              <w:jc w:val="center"/>
              <w:rPr>
                <w:sz w:val="14"/>
                <w:szCs w:val="14"/>
              </w:rPr>
            </w:pPr>
            <w:r w:rsidRPr="00F31194">
              <w:rPr>
                <w:sz w:val="14"/>
                <w:szCs w:val="14"/>
              </w:rPr>
              <w:t>Izpilde</w:t>
            </w:r>
          </w:p>
        </w:tc>
        <w:tc>
          <w:tcPr>
            <w:tcW w:w="903" w:type="dxa"/>
            <w:tcBorders>
              <w:top w:val="nil"/>
              <w:left w:val="nil"/>
              <w:bottom w:val="single" w:sz="4" w:space="0" w:color="A6A6A6"/>
              <w:right w:val="single" w:sz="4" w:space="0" w:color="A6A6A6"/>
            </w:tcBorders>
            <w:shd w:val="clear" w:color="auto" w:fill="auto"/>
            <w:noWrap/>
            <w:vAlign w:val="center"/>
            <w:hideMark/>
          </w:tcPr>
          <w:p w14:paraId="4A34A6E6" w14:textId="77777777" w:rsidR="00E13052" w:rsidRPr="00F31194" w:rsidRDefault="00E13052" w:rsidP="00283ACB">
            <w:pPr>
              <w:jc w:val="center"/>
              <w:rPr>
                <w:sz w:val="14"/>
                <w:szCs w:val="14"/>
              </w:rPr>
            </w:pPr>
            <w:r w:rsidRPr="00F31194">
              <w:rPr>
                <w:sz w:val="14"/>
                <w:szCs w:val="14"/>
              </w:rPr>
              <w:t>Plāns</w:t>
            </w:r>
          </w:p>
        </w:tc>
        <w:tc>
          <w:tcPr>
            <w:tcW w:w="1379" w:type="dxa"/>
            <w:tcBorders>
              <w:top w:val="nil"/>
              <w:left w:val="nil"/>
              <w:bottom w:val="single" w:sz="4" w:space="0" w:color="A6A6A6"/>
              <w:right w:val="single" w:sz="4" w:space="0" w:color="A6A6A6"/>
            </w:tcBorders>
            <w:shd w:val="clear" w:color="auto" w:fill="auto"/>
            <w:noWrap/>
            <w:vAlign w:val="center"/>
            <w:hideMark/>
          </w:tcPr>
          <w:p w14:paraId="60F39161" w14:textId="77777777" w:rsidR="00E13052" w:rsidRPr="00F31194" w:rsidRDefault="00E13052" w:rsidP="00283ACB">
            <w:pPr>
              <w:jc w:val="center"/>
              <w:rPr>
                <w:sz w:val="14"/>
                <w:szCs w:val="14"/>
              </w:rPr>
            </w:pPr>
            <w:r w:rsidRPr="00F31194">
              <w:rPr>
                <w:sz w:val="14"/>
                <w:szCs w:val="14"/>
              </w:rPr>
              <w:t>Plāns</w:t>
            </w:r>
          </w:p>
        </w:tc>
        <w:tc>
          <w:tcPr>
            <w:tcW w:w="851" w:type="dxa"/>
            <w:tcBorders>
              <w:top w:val="nil"/>
              <w:left w:val="nil"/>
              <w:bottom w:val="single" w:sz="4" w:space="0" w:color="A6A6A6"/>
              <w:right w:val="single" w:sz="4" w:space="0" w:color="A6A6A6"/>
            </w:tcBorders>
            <w:shd w:val="clear" w:color="auto" w:fill="auto"/>
            <w:noWrap/>
            <w:vAlign w:val="center"/>
            <w:hideMark/>
          </w:tcPr>
          <w:p w14:paraId="7B1D2F8B" w14:textId="77777777" w:rsidR="00E13052" w:rsidRPr="00F31194" w:rsidRDefault="00E13052" w:rsidP="00283ACB">
            <w:pPr>
              <w:jc w:val="center"/>
              <w:rPr>
                <w:sz w:val="14"/>
                <w:szCs w:val="14"/>
              </w:rPr>
            </w:pPr>
            <w:r w:rsidRPr="00F31194">
              <w:rPr>
                <w:sz w:val="14"/>
                <w:szCs w:val="14"/>
              </w:rPr>
              <w:t>Izpilde</w:t>
            </w:r>
          </w:p>
        </w:tc>
      </w:tr>
      <w:tr w:rsidR="00E13052" w:rsidRPr="00E13052" w14:paraId="67A11F5A"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42F6AACE" w14:textId="77777777" w:rsidR="00E13052" w:rsidRPr="00F31194" w:rsidRDefault="00E13052" w:rsidP="00E13052">
            <w:pPr>
              <w:jc w:val="center"/>
              <w:rPr>
                <w:sz w:val="14"/>
                <w:szCs w:val="14"/>
              </w:rPr>
            </w:pPr>
            <w:r w:rsidRPr="00F31194">
              <w:rPr>
                <w:sz w:val="14"/>
                <w:szCs w:val="14"/>
              </w:rPr>
              <w:t>2015</w:t>
            </w:r>
          </w:p>
        </w:tc>
        <w:tc>
          <w:tcPr>
            <w:tcW w:w="782" w:type="dxa"/>
            <w:tcBorders>
              <w:top w:val="nil"/>
              <w:left w:val="nil"/>
              <w:bottom w:val="single" w:sz="4" w:space="0" w:color="A6A6A6"/>
              <w:right w:val="single" w:sz="4" w:space="0" w:color="A6A6A6"/>
            </w:tcBorders>
            <w:shd w:val="clear" w:color="auto" w:fill="auto"/>
            <w:noWrap/>
            <w:vAlign w:val="bottom"/>
            <w:hideMark/>
          </w:tcPr>
          <w:p w14:paraId="0C0380E6" w14:textId="77777777" w:rsidR="00E13052" w:rsidRPr="00F31194" w:rsidRDefault="00E13052" w:rsidP="00E13052">
            <w:pPr>
              <w:jc w:val="right"/>
              <w:rPr>
                <w:sz w:val="14"/>
                <w:szCs w:val="14"/>
              </w:rPr>
            </w:pPr>
            <w:r w:rsidRPr="00F31194">
              <w:rPr>
                <w:sz w:val="14"/>
                <w:szCs w:val="14"/>
              </w:rPr>
              <w:t>249 010</w:t>
            </w:r>
          </w:p>
        </w:tc>
        <w:tc>
          <w:tcPr>
            <w:tcW w:w="701" w:type="dxa"/>
            <w:tcBorders>
              <w:top w:val="nil"/>
              <w:left w:val="nil"/>
              <w:bottom w:val="single" w:sz="4" w:space="0" w:color="A6A6A6"/>
              <w:right w:val="single" w:sz="4" w:space="0" w:color="A6A6A6"/>
            </w:tcBorders>
            <w:shd w:val="clear" w:color="auto" w:fill="auto"/>
            <w:noWrap/>
            <w:vAlign w:val="bottom"/>
            <w:hideMark/>
          </w:tcPr>
          <w:p w14:paraId="7D74A5C8" w14:textId="77777777" w:rsidR="00E13052" w:rsidRPr="00F31194" w:rsidRDefault="00E13052" w:rsidP="00E13052">
            <w:pPr>
              <w:jc w:val="right"/>
              <w:rPr>
                <w:sz w:val="14"/>
                <w:szCs w:val="14"/>
              </w:rPr>
            </w:pPr>
            <w:r w:rsidRPr="00F31194">
              <w:rPr>
                <w:sz w:val="14"/>
                <w:szCs w:val="14"/>
              </w:rPr>
              <w:t>102 910</w:t>
            </w:r>
          </w:p>
        </w:tc>
        <w:tc>
          <w:tcPr>
            <w:tcW w:w="927" w:type="dxa"/>
            <w:tcBorders>
              <w:top w:val="nil"/>
              <w:left w:val="nil"/>
              <w:bottom w:val="single" w:sz="4" w:space="0" w:color="A6A6A6"/>
              <w:right w:val="single" w:sz="4" w:space="0" w:color="A6A6A6"/>
            </w:tcBorders>
            <w:shd w:val="clear" w:color="auto" w:fill="auto"/>
            <w:noWrap/>
            <w:vAlign w:val="bottom"/>
            <w:hideMark/>
          </w:tcPr>
          <w:p w14:paraId="7F08ECA1" w14:textId="77777777" w:rsidR="00E13052" w:rsidRPr="00F31194" w:rsidRDefault="00E13052" w:rsidP="00E13052">
            <w:pPr>
              <w:jc w:val="right"/>
              <w:rPr>
                <w:sz w:val="14"/>
                <w:szCs w:val="14"/>
              </w:rPr>
            </w:pPr>
            <w:r w:rsidRPr="00F31194">
              <w:rPr>
                <w:sz w:val="14"/>
                <w:szCs w:val="14"/>
              </w:rPr>
              <w:t>890 160</w:t>
            </w:r>
          </w:p>
        </w:tc>
        <w:tc>
          <w:tcPr>
            <w:tcW w:w="801" w:type="dxa"/>
            <w:tcBorders>
              <w:top w:val="nil"/>
              <w:left w:val="nil"/>
              <w:bottom w:val="single" w:sz="4" w:space="0" w:color="A6A6A6"/>
              <w:right w:val="single" w:sz="4" w:space="0" w:color="A6A6A6"/>
            </w:tcBorders>
            <w:shd w:val="clear" w:color="auto" w:fill="auto"/>
            <w:noWrap/>
            <w:vAlign w:val="bottom"/>
            <w:hideMark/>
          </w:tcPr>
          <w:p w14:paraId="146AC9D0" w14:textId="77777777" w:rsidR="00E13052" w:rsidRPr="00F31194" w:rsidRDefault="00E13052" w:rsidP="00E13052">
            <w:pPr>
              <w:jc w:val="right"/>
              <w:rPr>
                <w:sz w:val="14"/>
                <w:szCs w:val="14"/>
              </w:rPr>
            </w:pPr>
            <w:r w:rsidRPr="00F31194">
              <w:rPr>
                <w:sz w:val="14"/>
                <w:szCs w:val="14"/>
              </w:rPr>
              <w:t>310 251</w:t>
            </w:r>
          </w:p>
        </w:tc>
        <w:tc>
          <w:tcPr>
            <w:tcW w:w="850" w:type="dxa"/>
            <w:tcBorders>
              <w:top w:val="nil"/>
              <w:left w:val="nil"/>
              <w:bottom w:val="single" w:sz="4" w:space="0" w:color="A6A6A6"/>
              <w:right w:val="single" w:sz="4" w:space="0" w:color="A6A6A6"/>
            </w:tcBorders>
            <w:shd w:val="clear" w:color="auto" w:fill="auto"/>
            <w:noWrap/>
            <w:vAlign w:val="bottom"/>
            <w:hideMark/>
          </w:tcPr>
          <w:p w14:paraId="5FCCE4A3" w14:textId="77777777" w:rsidR="00E13052" w:rsidRPr="00F31194" w:rsidRDefault="00E13052" w:rsidP="00E13052">
            <w:pPr>
              <w:jc w:val="right"/>
              <w:rPr>
                <w:sz w:val="14"/>
                <w:szCs w:val="14"/>
              </w:rPr>
            </w:pPr>
            <w:r w:rsidRPr="00F31194">
              <w:rPr>
                <w:sz w:val="14"/>
                <w:szCs w:val="14"/>
              </w:rPr>
              <w:t>890 160</w:t>
            </w:r>
          </w:p>
        </w:tc>
        <w:tc>
          <w:tcPr>
            <w:tcW w:w="644" w:type="dxa"/>
            <w:tcBorders>
              <w:top w:val="nil"/>
              <w:left w:val="nil"/>
              <w:bottom w:val="single" w:sz="4" w:space="0" w:color="A6A6A6"/>
              <w:right w:val="single" w:sz="4" w:space="0" w:color="A6A6A6"/>
            </w:tcBorders>
            <w:shd w:val="clear" w:color="auto" w:fill="auto"/>
            <w:noWrap/>
            <w:vAlign w:val="bottom"/>
            <w:hideMark/>
          </w:tcPr>
          <w:p w14:paraId="526C2445" w14:textId="6A62FC3E" w:rsidR="00E13052" w:rsidRPr="00F31194" w:rsidRDefault="00277801" w:rsidP="008A5CEA">
            <w:pPr>
              <w:jc w:val="center"/>
              <w:rPr>
                <w:sz w:val="14"/>
                <w:szCs w:val="14"/>
              </w:rPr>
            </w:pPr>
            <w:r>
              <w:rPr>
                <w:sz w:val="14"/>
                <w:szCs w:val="14"/>
              </w:rPr>
              <w:t>x</w:t>
            </w:r>
          </w:p>
        </w:tc>
        <w:tc>
          <w:tcPr>
            <w:tcW w:w="830" w:type="dxa"/>
            <w:tcBorders>
              <w:top w:val="nil"/>
              <w:left w:val="nil"/>
              <w:bottom w:val="single" w:sz="4" w:space="0" w:color="A6A6A6"/>
              <w:right w:val="single" w:sz="4" w:space="0" w:color="A6A6A6"/>
            </w:tcBorders>
            <w:shd w:val="clear" w:color="auto" w:fill="auto"/>
            <w:noWrap/>
            <w:vAlign w:val="bottom"/>
            <w:hideMark/>
          </w:tcPr>
          <w:p w14:paraId="19B849DA" w14:textId="77777777" w:rsidR="00E13052" w:rsidRPr="00F31194" w:rsidRDefault="00E13052" w:rsidP="00E13052">
            <w:pPr>
              <w:jc w:val="right"/>
              <w:rPr>
                <w:sz w:val="14"/>
                <w:szCs w:val="14"/>
              </w:rPr>
            </w:pPr>
            <w:r w:rsidRPr="00F31194">
              <w:rPr>
                <w:sz w:val="14"/>
                <w:szCs w:val="14"/>
              </w:rPr>
              <w:t>56 436</w:t>
            </w:r>
          </w:p>
        </w:tc>
        <w:tc>
          <w:tcPr>
            <w:tcW w:w="830" w:type="dxa"/>
            <w:tcBorders>
              <w:top w:val="nil"/>
              <w:left w:val="nil"/>
              <w:bottom w:val="single" w:sz="4" w:space="0" w:color="A6A6A6"/>
              <w:right w:val="single" w:sz="4" w:space="0" w:color="A6A6A6"/>
            </w:tcBorders>
            <w:shd w:val="clear" w:color="auto" w:fill="auto"/>
            <w:noWrap/>
            <w:vAlign w:val="bottom"/>
            <w:hideMark/>
          </w:tcPr>
          <w:p w14:paraId="4DF6016B" w14:textId="77777777" w:rsidR="00E13052" w:rsidRPr="00F31194" w:rsidRDefault="00E13052" w:rsidP="00E13052">
            <w:pPr>
              <w:jc w:val="right"/>
              <w:rPr>
                <w:sz w:val="14"/>
                <w:szCs w:val="14"/>
              </w:rPr>
            </w:pPr>
            <w:r w:rsidRPr="00F31194">
              <w:rPr>
                <w:sz w:val="14"/>
                <w:szCs w:val="14"/>
              </w:rPr>
              <w:t>56 436</w:t>
            </w:r>
          </w:p>
        </w:tc>
        <w:tc>
          <w:tcPr>
            <w:tcW w:w="903" w:type="dxa"/>
            <w:tcBorders>
              <w:top w:val="nil"/>
              <w:left w:val="nil"/>
              <w:bottom w:val="single" w:sz="4" w:space="0" w:color="A6A6A6"/>
              <w:right w:val="single" w:sz="4" w:space="0" w:color="A6A6A6"/>
            </w:tcBorders>
            <w:shd w:val="clear" w:color="auto" w:fill="auto"/>
            <w:noWrap/>
            <w:vAlign w:val="bottom"/>
            <w:hideMark/>
          </w:tcPr>
          <w:p w14:paraId="71A13BD0" w14:textId="77777777" w:rsidR="00E13052" w:rsidRPr="00F31194" w:rsidRDefault="00E13052" w:rsidP="00E13052">
            <w:pPr>
              <w:jc w:val="right"/>
              <w:rPr>
                <w:sz w:val="14"/>
                <w:szCs w:val="14"/>
              </w:rPr>
            </w:pPr>
            <w:r w:rsidRPr="00F31194">
              <w:rPr>
                <w:sz w:val="14"/>
                <w:szCs w:val="14"/>
              </w:rPr>
              <w:t>1 195 606</w:t>
            </w:r>
          </w:p>
        </w:tc>
        <w:tc>
          <w:tcPr>
            <w:tcW w:w="1379" w:type="dxa"/>
            <w:tcBorders>
              <w:top w:val="nil"/>
              <w:left w:val="nil"/>
              <w:bottom w:val="single" w:sz="4" w:space="0" w:color="A6A6A6"/>
              <w:right w:val="single" w:sz="4" w:space="0" w:color="A6A6A6"/>
            </w:tcBorders>
            <w:shd w:val="clear" w:color="auto" w:fill="auto"/>
            <w:noWrap/>
            <w:vAlign w:val="bottom"/>
            <w:hideMark/>
          </w:tcPr>
          <w:p w14:paraId="51808183" w14:textId="77777777" w:rsidR="00E13052" w:rsidRPr="00F31194" w:rsidRDefault="00E13052" w:rsidP="00E13052">
            <w:pPr>
              <w:jc w:val="right"/>
              <w:rPr>
                <w:sz w:val="14"/>
                <w:szCs w:val="14"/>
              </w:rPr>
            </w:pPr>
            <w:r w:rsidRPr="00F31194">
              <w:rPr>
                <w:sz w:val="14"/>
                <w:szCs w:val="14"/>
              </w:rPr>
              <w:t>1 195 606</w:t>
            </w:r>
          </w:p>
        </w:tc>
        <w:tc>
          <w:tcPr>
            <w:tcW w:w="851" w:type="dxa"/>
            <w:tcBorders>
              <w:top w:val="nil"/>
              <w:left w:val="nil"/>
              <w:bottom w:val="single" w:sz="4" w:space="0" w:color="A6A6A6"/>
              <w:right w:val="single" w:sz="4" w:space="0" w:color="A6A6A6"/>
            </w:tcBorders>
            <w:shd w:val="clear" w:color="auto" w:fill="auto"/>
            <w:noWrap/>
            <w:vAlign w:val="bottom"/>
            <w:hideMark/>
          </w:tcPr>
          <w:p w14:paraId="49F56E9B" w14:textId="77777777" w:rsidR="00E13052" w:rsidRPr="00F31194" w:rsidRDefault="00E13052" w:rsidP="00E13052">
            <w:pPr>
              <w:jc w:val="right"/>
              <w:rPr>
                <w:sz w:val="14"/>
                <w:szCs w:val="14"/>
              </w:rPr>
            </w:pPr>
            <w:r w:rsidRPr="00F31194">
              <w:rPr>
                <w:sz w:val="14"/>
                <w:szCs w:val="14"/>
              </w:rPr>
              <w:t>469 597</w:t>
            </w:r>
          </w:p>
        </w:tc>
      </w:tr>
      <w:tr w:rsidR="00E13052" w:rsidRPr="00E13052" w14:paraId="02F03F66"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2B3CA0E1" w14:textId="77777777" w:rsidR="00E13052" w:rsidRPr="00F31194" w:rsidRDefault="00E13052" w:rsidP="00E13052">
            <w:pPr>
              <w:jc w:val="center"/>
              <w:rPr>
                <w:sz w:val="14"/>
                <w:szCs w:val="14"/>
              </w:rPr>
            </w:pPr>
            <w:r w:rsidRPr="00F31194">
              <w:rPr>
                <w:sz w:val="14"/>
                <w:szCs w:val="14"/>
              </w:rPr>
              <w:t>2016</w:t>
            </w:r>
          </w:p>
        </w:tc>
        <w:tc>
          <w:tcPr>
            <w:tcW w:w="782" w:type="dxa"/>
            <w:tcBorders>
              <w:top w:val="nil"/>
              <w:left w:val="nil"/>
              <w:bottom w:val="single" w:sz="4" w:space="0" w:color="A6A6A6"/>
              <w:right w:val="single" w:sz="4" w:space="0" w:color="A6A6A6"/>
            </w:tcBorders>
            <w:shd w:val="clear" w:color="auto" w:fill="auto"/>
            <w:noWrap/>
            <w:vAlign w:val="bottom"/>
            <w:hideMark/>
          </w:tcPr>
          <w:p w14:paraId="4FF4A1C4" w14:textId="77777777" w:rsidR="00E13052" w:rsidRPr="00F31194" w:rsidRDefault="00E13052" w:rsidP="00E13052">
            <w:pPr>
              <w:jc w:val="right"/>
              <w:rPr>
                <w:sz w:val="14"/>
                <w:szCs w:val="14"/>
              </w:rPr>
            </w:pPr>
            <w:r w:rsidRPr="00F31194">
              <w:rPr>
                <w:sz w:val="14"/>
                <w:szCs w:val="14"/>
              </w:rPr>
              <w:t>273 552</w:t>
            </w:r>
          </w:p>
        </w:tc>
        <w:tc>
          <w:tcPr>
            <w:tcW w:w="701" w:type="dxa"/>
            <w:tcBorders>
              <w:top w:val="nil"/>
              <w:left w:val="nil"/>
              <w:bottom w:val="single" w:sz="4" w:space="0" w:color="A6A6A6"/>
              <w:right w:val="single" w:sz="4" w:space="0" w:color="A6A6A6"/>
            </w:tcBorders>
            <w:shd w:val="clear" w:color="auto" w:fill="auto"/>
            <w:noWrap/>
            <w:vAlign w:val="bottom"/>
            <w:hideMark/>
          </w:tcPr>
          <w:p w14:paraId="76EEC7B9" w14:textId="77777777" w:rsidR="00E13052" w:rsidRPr="00F31194" w:rsidRDefault="00E13052" w:rsidP="00E13052">
            <w:pPr>
              <w:jc w:val="right"/>
              <w:rPr>
                <w:sz w:val="14"/>
                <w:szCs w:val="14"/>
              </w:rPr>
            </w:pPr>
            <w:r w:rsidRPr="00F31194">
              <w:rPr>
                <w:sz w:val="14"/>
                <w:szCs w:val="14"/>
              </w:rPr>
              <w:t>163 528</w:t>
            </w:r>
          </w:p>
        </w:tc>
        <w:tc>
          <w:tcPr>
            <w:tcW w:w="927" w:type="dxa"/>
            <w:tcBorders>
              <w:top w:val="nil"/>
              <w:left w:val="nil"/>
              <w:bottom w:val="single" w:sz="4" w:space="0" w:color="A6A6A6"/>
              <w:right w:val="single" w:sz="4" w:space="0" w:color="A6A6A6"/>
            </w:tcBorders>
            <w:shd w:val="clear" w:color="auto" w:fill="auto"/>
            <w:noWrap/>
            <w:vAlign w:val="bottom"/>
            <w:hideMark/>
          </w:tcPr>
          <w:p w14:paraId="4170F726" w14:textId="77777777" w:rsidR="00E13052" w:rsidRPr="00F31194" w:rsidRDefault="00E13052" w:rsidP="00E13052">
            <w:pPr>
              <w:jc w:val="right"/>
              <w:rPr>
                <w:sz w:val="14"/>
                <w:szCs w:val="14"/>
              </w:rPr>
            </w:pPr>
            <w:r w:rsidRPr="00F31194">
              <w:rPr>
                <w:sz w:val="14"/>
                <w:szCs w:val="14"/>
              </w:rPr>
              <w:t>1 098 134</w:t>
            </w:r>
          </w:p>
        </w:tc>
        <w:tc>
          <w:tcPr>
            <w:tcW w:w="801" w:type="dxa"/>
            <w:tcBorders>
              <w:top w:val="nil"/>
              <w:left w:val="nil"/>
              <w:bottom w:val="single" w:sz="4" w:space="0" w:color="A6A6A6"/>
              <w:right w:val="single" w:sz="4" w:space="0" w:color="A6A6A6"/>
            </w:tcBorders>
            <w:shd w:val="clear" w:color="auto" w:fill="auto"/>
            <w:noWrap/>
            <w:vAlign w:val="bottom"/>
            <w:hideMark/>
          </w:tcPr>
          <w:p w14:paraId="25C638DC" w14:textId="77777777" w:rsidR="00E13052" w:rsidRPr="00F31194" w:rsidRDefault="00E13052" w:rsidP="00E13052">
            <w:pPr>
              <w:jc w:val="right"/>
              <w:rPr>
                <w:sz w:val="14"/>
                <w:szCs w:val="14"/>
              </w:rPr>
            </w:pPr>
            <w:r w:rsidRPr="00F31194">
              <w:rPr>
                <w:sz w:val="14"/>
                <w:szCs w:val="14"/>
              </w:rPr>
              <w:t>515 366</w:t>
            </w:r>
          </w:p>
        </w:tc>
        <w:tc>
          <w:tcPr>
            <w:tcW w:w="850" w:type="dxa"/>
            <w:tcBorders>
              <w:top w:val="nil"/>
              <w:left w:val="nil"/>
              <w:bottom w:val="single" w:sz="4" w:space="0" w:color="A6A6A6"/>
              <w:right w:val="single" w:sz="4" w:space="0" w:color="A6A6A6"/>
            </w:tcBorders>
            <w:shd w:val="clear" w:color="auto" w:fill="auto"/>
            <w:noWrap/>
            <w:vAlign w:val="bottom"/>
            <w:hideMark/>
          </w:tcPr>
          <w:p w14:paraId="40801169" w14:textId="77777777" w:rsidR="00E13052" w:rsidRPr="00F31194" w:rsidRDefault="00E13052" w:rsidP="00E13052">
            <w:pPr>
              <w:jc w:val="right"/>
              <w:rPr>
                <w:sz w:val="14"/>
                <w:szCs w:val="14"/>
              </w:rPr>
            </w:pPr>
            <w:r w:rsidRPr="00F31194">
              <w:rPr>
                <w:sz w:val="14"/>
                <w:szCs w:val="14"/>
              </w:rPr>
              <w:t>1 098 134</w:t>
            </w:r>
          </w:p>
        </w:tc>
        <w:tc>
          <w:tcPr>
            <w:tcW w:w="644" w:type="dxa"/>
            <w:tcBorders>
              <w:top w:val="nil"/>
              <w:left w:val="nil"/>
              <w:bottom w:val="single" w:sz="4" w:space="0" w:color="A6A6A6"/>
              <w:right w:val="single" w:sz="4" w:space="0" w:color="A6A6A6"/>
            </w:tcBorders>
            <w:shd w:val="clear" w:color="auto" w:fill="auto"/>
            <w:noWrap/>
            <w:vAlign w:val="bottom"/>
            <w:hideMark/>
          </w:tcPr>
          <w:p w14:paraId="0C28B98C" w14:textId="10281E61" w:rsidR="00E13052" w:rsidRPr="00F31194" w:rsidRDefault="00277801" w:rsidP="008A5CEA">
            <w:pPr>
              <w:jc w:val="center"/>
              <w:rPr>
                <w:sz w:val="14"/>
                <w:szCs w:val="14"/>
              </w:rPr>
            </w:pPr>
            <w:r>
              <w:rPr>
                <w:sz w:val="14"/>
                <w:szCs w:val="14"/>
              </w:rPr>
              <w:t>x</w:t>
            </w:r>
          </w:p>
        </w:tc>
        <w:tc>
          <w:tcPr>
            <w:tcW w:w="830" w:type="dxa"/>
            <w:tcBorders>
              <w:top w:val="nil"/>
              <w:left w:val="nil"/>
              <w:bottom w:val="single" w:sz="4" w:space="0" w:color="A6A6A6"/>
              <w:right w:val="single" w:sz="4" w:space="0" w:color="A6A6A6"/>
            </w:tcBorders>
            <w:shd w:val="clear" w:color="auto" w:fill="auto"/>
            <w:noWrap/>
            <w:vAlign w:val="bottom"/>
            <w:hideMark/>
          </w:tcPr>
          <w:p w14:paraId="1162DF84" w14:textId="77777777" w:rsidR="00E13052" w:rsidRPr="00F31194" w:rsidRDefault="00E13052" w:rsidP="00E13052">
            <w:pPr>
              <w:jc w:val="right"/>
              <w:rPr>
                <w:sz w:val="14"/>
                <w:szCs w:val="14"/>
              </w:rPr>
            </w:pPr>
            <w:r w:rsidRPr="00F31194">
              <w:rPr>
                <w:sz w:val="14"/>
                <w:szCs w:val="14"/>
              </w:rPr>
              <w:t>21 766</w:t>
            </w:r>
          </w:p>
        </w:tc>
        <w:tc>
          <w:tcPr>
            <w:tcW w:w="830" w:type="dxa"/>
            <w:tcBorders>
              <w:top w:val="nil"/>
              <w:left w:val="nil"/>
              <w:bottom w:val="single" w:sz="4" w:space="0" w:color="A6A6A6"/>
              <w:right w:val="single" w:sz="4" w:space="0" w:color="A6A6A6"/>
            </w:tcBorders>
            <w:shd w:val="clear" w:color="auto" w:fill="auto"/>
            <w:noWrap/>
            <w:vAlign w:val="bottom"/>
            <w:hideMark/>
          </w:tcPr>
          <w:p w14:paraId="19259283" w14:textId="77777777" w:rsidR="00E13052" w:rsidRPr="00F31194" w:rsidRDefault="00E13052" w:rsidP="00E13052">
            <w:pPr>
              <w:jc w:val="right"/>
              <w:rPr>
                <w:sz w:val="14"/>
                <w:szCs w:val="14"/>
              </w:rPr>
            </w:pPr>
            <w:r w:rsidRPr="00F31194">
              <w:rPr>
                <w:sz w:val="14"/>
                <w:szCs w:val="14"/>
              </w:rPr>
              <w:t>21 766</w:t>
            </w:r>
          </w:p>
        </w:tc>
        <w:tc>
          <w:tcPr>
            <w:tcW w:w="903" w:type="dxa"/>
            <w:tcBorders>
              <w:top w:val="nil"/>
              <w:left w:val="nil"/>
              <w:bottom w:val="single" w:sz="4" w:space="0" w:color="A6A6A6"/>
              <w:right w:val="single" w:sz="4" w:space="0" w:color="A6A6A6"/>
            </w:tcBorders>
            <w:shd w:val="clear" w:color="auto" w:fill="auto"/>
            <w:noWrap/>
            <w:vAlign w:val="bottom"/>
            <w:hideMark/>
          </w:tcPr>
          <w:p w14:paraId="517270F9" w14:textId="77777777" w:rsidR="00E13052" w:rsidRPr="00F31194" w:rsidRDefault="00E13052" w:rsidP="00E13052">
            <w:pPr>
              <w:jc w:val="right"/>
              <w:rPr>
                <w:sz w:val="14"/>
                <w:szCs w:val="14"/>
              </w:rPr>
            </w:pPr>
            <w:r w:rsidRPr="00F31194">
              <w:rPr>
                <w:sz w:val="14"/>
                <w:szCs w:val="14"/>
              </w:rPr>
              <w:t>1 393 452</w:t>
            </w:r>
          </w:p>
        </w:tc>
        <w:tc>
          <w:tcPr>
            <w:tcW w:w="1379" w:type="dxa"/>
            <w:tcBorders>
              <w:top w:val="nil"/>
              <w:left w:val="nil"/>
              <w:bottom w:val="single" w:sz="4" w:space="0" w:color="A6A6A6"/>
              <w:right w:val="single" w:sz="4" w:space="0" w:color="A6A6A6"/>
            </w:tcBorders>
            <w:shd w:val="clear" w:color="auto" w:fill="auto"/>
            <w:noWrap/>
            <w:vAlign w:val="bottom"/>
            <w:hideMark/>
          </w:tcPr>
          <w:p w14:paraId="2E64E1F1" w14:textId="77777777" w:rsidR="00E13052" w:rsidRPr="00F31194" w:rsidRDefault="00E13052" w:rsidP="00E13052">
            <w:pPr>
              <w:jc w:val="right"/>
              <w:rPr>
                <w:sz w:val="14"/>
                <w:szCs w:val="14"/>
              </w:rPr>
            </w:pPr>
            <w:r w:rsidRPr="00F31194">
              <w:rPr>
                <w:sz w:val="14"/>
                <w:szCs w:val="14"/>
              </w:rPr>
              <w:t>1 393 452</w:t>
            </w:r>
          </w:p>
        </w:tc>
        <w:tc>
          <w:tcPr>
            <w:tcW w:w="851" w:type="dxa"/>
            <w:tcBorders>
              <w:top w:val="nil"/>
              <w:left w:val="nil"/>
              <w:bottom w:val="single" w:sz="4" w:space="0" w:color="A6A6A6"/>
              <w:right w:val="single" w:sz="4" w:space="0" w:color="A6A6A6"/>
            </w:tcBorders>
            <w:shd w:val="clear" w:color="auto" w:fill="auto"/>
            <w:noWrap/>
            <w:vAlign w:val="bottom"/>
            <w:hideMark/>
          </w:tcPr>
          <w:p w14:paraId="6F3C9A16" w14:textId="77777777" w:rsidR="00E13052" w:rsidRPr="00F31194" w:rsidRDefault="00E13052" w:rsidP="00E13052">
            <w:pPr>
              <w:jc w:val="right"/>
              <w:rPr>
                <w:sz w:val="14"/>
                <w:szCs w:val="14"/>
              </w:rPr>
            </w:pPr>
            <w:r w:rsidRPr="00F31194">
              <w:rPr>
                <w:sz w:val="14"/>
                <w:szCs w:val="14"/>
              </w:rPr>
              <w:t>700 660</w:t>
            </w:r>
          </w:p>
        </w:tc>
      </w:tr>
      <w:tr w:rsidR="00E13052" w:rsidRPr="00E13052" w14:paraId="0B7A18E0"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55BCD3D7" w14:textId="77777777" w:rsidR="00E13052" w:rsidRPr="00F31194" w:rsidRDefault="00E13052" w:rsidP="00E13052">
            <w:pPr>
              <w:jc w:val="center"/>
              <w:rPr>
                <w:sz w:val="14"/>
                <w:szCs w:val="14"/>
              </w:rPr>
            </w:pPr>
            <w:r w:rsidRPr="00F31194">
              <w:rPr>
                <w:sz w:val="14"/>
                <w:szCs w:val="14"/>
              </w:rPr>
              <w:t>2017</w:t>
            </w:r>
          </w:p>
        </w:tc>
        <w:tc>
          <w:tcPr>
            <w:tcW w:w="782" w:type="dxa"/>
            <w:tcBorders>
              <w:top w:val="nil"/>
              <w:left w:val="nil"/>
              <w:bottom w:val="single" w:sz="4" w:space="0" w:color="A6A6A6"/>
              <w:right w:val="single" w:sz="4" w:space="0" w:color="A6A6A6"/>
            </w:tcBorders>
            <w:shd w:val="clear" w:color="auto" w:fill="auto"/>
            <w:noWrap/>
            <w:vAlign w:val="bottom"/>
            <w:hideMark/>
          </w:tcPr>
          <w:p w14:paraId="4817CA41" w14:textId="77777777" w:rsidR="00E13052" w:rsidRPr="00F31194" w:rsidRDefault="00E13052" w:rsidP="00E13052">
            <w:pPr>
              <w:jc w:val="right"/>
              <w:rPr>
                <w:sz w:val="14"/>
                <w:szCs w:val="14"/>
              </w:rPr>
            </w:pPr>
            <w:r w:rsidRPr="00F31194">
              <w:rPr>
                <w:sz w:val="14"/>
                <w:szCs w:val="14"/>
              </w:rPr>
              <w:t>273 552</w:t>
            </w:r>
          </w:p>
        </w:tc>
        <w:tc>
          <w:tcPr>
            <w:tcW w:w="701" w:type="dxa"/>
            <w:tcBorders>
              <w:top w:val="nil"/>
              <w:left w:val="nil"/>
              <w:bottom w:val="single" w:sz="4" w:space="0" w:color="A6A6A6"/>
              <w:right w:val="single" w:sz="4" w:space="0" w:color="A6A6A6"/>
            </w:tcBorders>
            <w:shd w:val="clear" w:color="auto" w:fill="auto"/>
            <w:noWrap/>
            <w:vAlign w:val="bottom"/>
            <w:hideMark/>
          </w:tcPr>
          <w:p w14:paraId="53B706B7" w14:textId="77777777" w:rsidR="00E13052" w:rsidRPr="00F31194" w:rsidRDefault="00E13052" w:rsidP="00E13052">
            <w:pPr>
              <w:jc w:val="right"/>
              <w:rPr>
                <w:sz w:val="14"/>
                <w:szCs w:val="14"/>
              </w:rPr>
            </w:pPr>
            <w:r w:rsidRPr="00F31194">
              <w:rPr>
                <w:sz w:val="14"/>
                <w:szCs w:val="14"/>
              </w:rPr>
              <w:t>250 263</w:t>
            </w:r>
          </w:p>
        </w:tc>
        <w:tc>
          <w:tcPr>
            <w:tcW w:w="927" w:type="dxa"/>
            <w:tcBorders>
              <w:top w:val="nil"/>
              <w:left w:val="nil"/>
              <w:bottom w:val="single" w:sz="4" w:space="0" w:color="A6A6A6"/>
              <w:right w:val="single" w:sz="4" w:space="0" w:color="A6A6A6"/>
            </w:tcBorders>
            <w:shd w:val="clear" w:color="auto" w:fill="auto"/>
            <w:noWrap/>
            <w:vAlign w:val="bottom"/>
            <w:hideMark/>
          </w:tcPr>
          <w:p w14:paraId="2F8971EC" w14:textId="77777777" w:rsidR="00E13052" w:rsidRPr="00F31194" w:rsidRDefault="00E13052" w:rsidP="00E13052">
            <w:pPr>
              <w:jc w:val="right"/>
              <w:rPr>
                <w:sz w:val="14"/>
                <w:szCs w:val="14"/>
              </w:rPr>
            </w:pPr>
            <w:r w:rsidRPr="00F31194">
              <w:rPr>
                <w:sz w:val="14"/>
                <w:szCs w:val="14"/>
              </w:rPr>
              <w:t>994 525</w:t>
            </w:r>
          </w:p>
        </w:tc>
        <w:tc>
          <w:tcPr>
            <w:tcW w:w="801" w:type="dxa"/>
            <w:tcBorders>
              <w:top w:val="nil"/>
              <w:left w:val="nil"/>
              <w:bottom w:val="single" w:sz="4" w:space="0" w:color="A6A6A6"/>
              <w:right w:val="single" w:sz="4" w:space="0" w:color="A6A6A6"/>
            </w:tcBorders>
            <w:shd w:val="clear" w:color="auto" w:fill="auto"/>
            <w:noWrap/>
            <w:vAlign w:val="bottom"/>
            <w:hideMark/>
          </w:tcPr>
          <w:p w14:paraId="46E44399" w14:textId="77777777" w:rsidR="00E13052" w:rsidRPr="00F31194" w:rsidRDefault="00E13052" w:rsidP="00E13052">
            <w:pPr>
              <w:jc w:val="right"/>
              <w:rPr>
                <w:sz w:val="14"/>
                <w:szCs w:val="14"/>
              </w:rPr>
            </w:pPr>
            <w:r w:rsidRPr="00F31194">
              <w:rPr>
                <w:sz w:val="14"/>
                <w:szCs w:val="14"/>
              </w:rPr>
              <w:t>947 734</w:t>
            </w:r>
          </w:p>
        </w:tc>
        <w:tc>
          <w:tcPr>
            <w:tcW w:w="850" w:type="dxa"/>
            <w:tcBorders>
              <w:top w:val="nil"/>
              <w:left w:val="nil"/>
              <w:bottom w:val="single" w:sz="4" w:space="0" w:color="A6A6A6"/>
              <w:right w:val="single" w:sz="4" w:space="0" w:color="A6A6A6"/>
            </w:tcBorders>
            <w:shd w:val="clear" w:color="auto" w:fill="auto"/>
            <w:noWrap/>
            <w:vAlign w:val="bottom"/>
            <w:hideMark/>
          </w:tcPr>
          <w:p w14:paraId="3E022EC2" w14:textId="77777777" w:rsidR="00E13052" w:rsidRPr="00F31194" w:rsidRDefault="00E13052" w:rsidP="00E13052">
            <w:pPr>
              <w:jc w:val="right"/>
              <w:rPr>
                <w:sz w:val="14"/>
                <w:szCs w:val="14"/>
              </w:rPr>
            </w:pPr>
            <w:r w:rsidRPr="00F31194">
              <w:rPr>
                <w:sz w:val="14"/>
                <w:szCs w:val="14"/>
              </w:rPr>
              <w:t>994 525</w:t>
            </w:r>
          </w:p>
        </w:tc>
        <w:tc>
          <w:tcPr>
            <w:tcW w:w="644" w:type="dxa"/>
            <w:tcBorders>
              <w:top w:val="nil"/>
              <w:left w:val="nil"/>
              <w:bottom w:val="single" w:sz="4" w:space="0" w:color="A6A6A6"/>
              <w:right w:val="single" w:sz="4" w:space="0" w:color="A6A6A6"/>
            </w:tcBorders>
            <w:shd w:val="clear" w:color="auto" w:fill="auto"/>
            <w:noWrap/>
            <w:vAlign w:val="bottom"/>
            <w:hideMark/>
          </w:tcPr>
          <w:p w14:paraId="74C88AB6" w14:textId="319A15A0" w:rsidR="00E13052" w:rsidRPr="00F31194" w:rsidRDefault="00277801" w:rsidP="008A5CEA">
            <w:pPr>
              <w:jc w:val="center"/>
              <w:rPr>
                <w:sz w:val="14"/>
                <w:szCs w:val="14"/>
              </w:rPr>
            </w:pPr>
            <w:r>
              <w:rPr>
                <w:sz w:val="14"/>
                <w:szCs w:val="14"/>
              </w:rPr>
              <w:t>x</w:t>
            </w:r>
          </w:p>
        </w:tc>
        <w:tc>
          <w:tcPr>
            <w:tcW w:w="830" w:type="dxa"/>
            <w:tcBorders>
              <w:top w:val="nil"/>
              <w:left w:val="nil"/>
              <w:bottom w:val="single" w:sz="4" w:space="0" w:color="A6A6A6"/>
              <w:right w:val="single" w:sz="4" w:space="0" w:color="A6A6A6"/>
            </w:tcBorders>
            <w:shd w:val="clear" w:color="auto" w:fill="auto"/>
            <w:noWrap/>
            <w:vAlign w:val="bottom"/>
            <w:hideMark/>
          </w:tcPr>
          <w:p w14:paraId="4C7E57D6" w14:textId="77777777" w:rsidR="00E13052" w:rsidRPr="00F31194" w:rsidRDefault="00E13052" w:rsidP="00E13052">
            <w:pPr>
              <w:jc w:val="right"/>
              <w:rPr>
                <w:sz w:val="14"/>
                <w:szCs w:val="14"/>
              </w:rPr>
            </w:pPr>
            <w:r w:rsidRPr="00F31194">
              <w:rPr>
                <w:sz w:val="14"/>
                <w:szCs w:val="14"/>
              </w:rPr>
              <w:t>21 766</w:t>
            </w:r>
          </w:p>
        </w:tc>
        <w:tc>
          <w:tcPr>
            <w:tcW w:w="830" w:type="dxa"/>
            <w:tcBorders>
              <w:top w:val="nil"/>
              <w:left w:val="nil"/>
              <w:bottom w:val="single" w:sz="4" w:space="0" w:color="A6A6A6"/>
              <w:right w:val="single" w:sz="4" w:space="0" w:color="A6A6A6"/>
            </w:tcBorders>
            <w:shd w:val="clear" w:color="auto" w:fill="auto"/>
            <w:noWrap/>
            <w:vAlign w:val="bottom"/>
            <w:hideMark/>
          </w:tcPr>
          <w:p w14:paraId="25FC7FFD" w14:textId="77777777" w:rsidR="00E13052" w:rsidRPr="00F31194" w:rsidRDefault="00E13052" w:rsidP="00E13052">
            <w:pPr>
              <w:jc w:val="right"/>
              <w:rPr>
                <w:sz w:val="14"/>
                <w:szCs w:val="14"/>
              </w:rPr>
            </w:pPr>
            <w:r w:rsidRPr="00F31194">
              <w:rPr>
                <w:sz w:val="14"/>
                <w:szCs w:val="14"/>
              </w:rPr>
              <w:t>21 766</w:t>
            </w:r>
          </w:p>
        </w:tc>
        <w:tc>
          <w:tcPr>
            <w:tcW w:w="903" w:type="dxa"/>
            <w:tcBorders>
              <w:top w:val="nil"/>
              <w:left w:val="nil"/>
              <w:bottom w:val="single" w:sz="4" w:space="0" w:color="A6A6A6"/>
              <w:right w:val="single" w:sz="4" w:space="0" w:color="A6A6A6"/>
            </w:tcBorders>
            <w:shd w:val="clear" w:color="auto" w:fill="auto"/>
            <w:noWrap/>
            <w:vAlign w:val="bottom"/>
            <w:hideMark/>
          </w:tcPr>
          <w:p w14:paraId="62C6DF2E" w14:textId="77777777" w:rsidR="00E13052" w:rsidRPr="00F31194" w:rsidRDefault="00E13052" w:rsidP="00E13052">
            <w:pPr>
              <w:jc w:val="right"/>
              <w:rPr>
                <w:sz w:val="14"/>
                <w:szCs w:val="14"/>
              </w:rPr>
            </w:pPr>
            <w:r w:rsidRPr="00F31194">
              <w:rPr>
                <w:sz w:val="14"/>
                <w:szCs w:val="14"/>
              </w:rPr>
              <w:t>1 289 843</w:t>
            </w:r>
          </w:p>
        </w:tc>
        <w:tc>
          <w:tcPr>
            <w:tcW w:w="1379" w:type="dxa"/>
            <w:tcBorders>
              <w:top w:val="nil"/>
              <w:left w:val="nil"/>
              <w:bottom w:val="single" w:sz="4" w:space="0" w:color="A6A6A6"/>
              <w:right w:val="single" w:sz="4" w:space="0" w:color="A6A6A6"/>
            </w:tcBorders>
            <w:shd w:val="clear" w:color="auto" w:fill="auto"/>
            <w:noWrap/>
            <w:vAlign w:val="bottom"/>
            <w:hideMark/>
          </w:tcPr>
          <w:p w14:paraId="026CD27D" w14:textId="77777777" w:rsidR="00E13052" w:rsidRPr="00F31194" w:rsidRDefault="00E13052" w:rsidP="00E13052">
            <w:pPr>
              <w:jc w:val="right"/>
              <w:rPr>
                <w:sz w:val="14"/>
                <w:szCs w:val="14"/>
              </w:rPr>
            </w:pPr>
            <w:r w:rsidRPr="00F31194">
              <w:rPr>
                <w:sz w:val="14"/>
                <w:szCs w:val="14"/>
              </w:rPr>
              <w:t>1 289 843</w:t>
            </w:r>
          </w:p>
        </w:tc>
        <w:tc>
          <w:tcPr>
            <w:tcW w:w="851" w:type="dxa"/>
            <w:tcBorders>
              <w:top w:val="nil"/>
              <w:left w:val="nil"/>
              <w:bottom w:val="single" w:sz="4" w:space="0" w:color="A6A6A6"/>
              <w:right w:val="single" w:sz="4" w:space="0" w:color="A6A6A6"/>
            </w:tcBorders>
            <w:shd w:val="clear" w:color="auto" w:fill="auto"/>
            <w:noWrap/>
            <w:vAlign w:val="bottom"/>
            <w:hideMark/>
          </w:tcPr>
          <w:p w14:paraId="23D3B2AB" w14:textId="77777777" w:rsidR="00E13052" w:rsidRPr="00F31194" w:rsidRDefault="00E13052" w:rsidP="00E13052">
            <w:pPr>
              <w:jc w:val="right"/>
              <w:rPr>
                <w:sz w:val="14"/>
                <w:szCs w:val="14"/>
              </w:rPr>
            </w:pPr>
            <w:r w:rsidRPr="00F31194">
              <w:rPr>
                <w:sz w:val="14"/>
                <w:szCs w:val="14"/>
              </w:rPr>
              <w:t>1 219 763</w:t>
            </w:r>
          </w:p>
        </w:tc>
      </w:tr>
      <w:tr w:rsidR="00E13052" w:rsidRPr="00E13052" w14:paraId="5E07372D"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6619102E" w14:textId="77777777" w:rsidR="00E13052" w:rsidRPr="00F31194" w:rsidRDefault="00E13052" w:rsidP="00E13052">
            <w:pPr>
              <w:jc w:val="center"/>
              <w:rPr>
                <w:sz w:val="14"/>
                <w:szCs w:val="14"/>
              </w:rPr>
            </w:pPr>
            <w:r w:rsidRPr="00F31194">
              <w:rPr>
                <w:sz w:val="14"/>
                <w:szCs w:val="14"/>
              </w:rPr>
              <w:lastRenderedPageBreak/>
              <w:t>2018</w:t>
            </w:r>
          </w:p>
        </w:tc>
        <w:tc>
          <w:tcPr>
            <w:tcW w:w="782" w:type="dxa"/>
            <w:tcBorders>
              <w:top w:val="nil"/>
              <w:left w:val="nil"/>
              <w:bottom w:val="single" w:sz="4" w:space="0" w:color="A6A6A6"/>
              <w:right w:val="single" w:sz="4" w:space="0" w:color="A6A6A6"/>
            </w:tcBorders>
            <w:shd w:val="clear" w:color="auto" w:fill="auto"/>
            <w:noWrap/>
            <w:vAlign w:val="bottom"/>
            <w:hideMark/>
          </w:tcPr>
          <w:p w14:paraId="6A8EA780" w14:textId="77777777" w:rsidR="00E13052" w:rsidRPr="00F31194" w:rsidRDefault="00E13052" w:rsidP="00E13052">
            <w:pPr>
              <w:jc w:val="right"/>
              <w:rPr>
                <w:sz w:val="14"/>
                <w:szCs w:val="14"/>
              </w:rPr>
            </w:pPr>
            <w:r w:rsidRPr="00F31194">
              <w:rPr>
                <w:sz w:val="14"/>
                <w:szCs w:val="14"/>
              </w:rPr>
              <w:t>561 706</w:t>
            </w:r>
          </w:p>
        </w:tc>
        <w:tc>
          <w:tcPr>
            <w:tcW w:w="701" w:type="dxa"/>
            <w:tcBorders>
              <w:top w:val="nil"/>
              <w:left w:val="nil"/>
              <w:bottom w:val="single" w:sz="4" w:space="0" w:color="A6A6A6"/>
              <w:right w:val="single" w:sz="4" w:space="0" w:color="A6A6A6"/>
            </w:tcBorders>
            <w:shd w:val="clear" w:color="auto" w:fill="auto"/>
            <w:noWrap/>
            <w:vAlign w:val="bottom"/>
            <w:hideMark/>
          </w:tcPr>
          <w:p w14:paraId="7DBCBDD3" w14:textId="77777777" w:rsidR="00E13052" w:rsidRPr="00F31194" w:rsidRDefault="00E13052" w:rsidP="00E13052">
            <w:pPr>
              <w:jc w:val="right"/>
              <w:rPr>
                <w:sz w:val="14"/>
                <w:szCs w:val="14"/>
              </w:rPr>
            </w:pPr>
            <w:r w:rsidRPr="00F31194">
              <w:rPr>
                <w:sz w:val="14"/>
                <w:szCs w:val="14"/>
              </w:rPr>
              <w:t>313 604</w:t>
            </w:r>
          </w:p>
        </w:tc>
        <w:tc>
          <w:tcPr>
            <w:tcW w:w="927" w:type="dxa"/>
            <w:tcBorders>
              <w:top w:val="nil"/>
              <w:left w:val="nil"/>
              <w:bottom w:val="single" w:sz="4" w:space="0" w:color="A6A6A6"/>
              <w:right w:val="single" w:sz="4" w:space="0" w:color="A6A6A6"/>
            </w:tcBorders>
            <w:shd w:val="clear" w:color="auto" w:fill="auto"/>
            <w:noWrap/>
            <w:vAlign w:val="bottom"/>
            <w:hideMark/>
          </w:tcPr>
          <w:p w14:paraId="4CCB502C" w14:textId="77777777" w:rsidR="00E13052" w:rsidRPr="00F31194" w:rsidRDefault="00E13052" w:rsidP="00E13052">
            <w:pPr>
              <w:jc w:val="right"/>
              <w:rPr>
                <w:sz w:val="14"/>
                <w:szCs w:val="14"/>
              </w:rPr>
            </w:pPr>
            <w:r w:rsidRPr="00F31194">
              <w:rPr>
                <w:sz w:val="14"/>
                <w:szCs w:val="14"/>
              </w:rPr>
              <w:t>2 037 775</w:t>
            </w:r>
          </w:p>
        </w:tc>
        <w:tc>
          <w:tcPr>
            <w:tcW w:w="801" w:type="dxa"/>
            <w:tcBorders>
              <w:top w:val="nil"/>
              <w:left w:val="nil"/>
              <w:bottom w:val="single" w:sz="4" w:space="0" w:color="A6A6A6"/>
              <w:right w:val="single" w:sz="4" w:space="0" w:color="A6A6A6"/>
            </w:tcBorders>
            <w:shd w:val="clear" w:color="auto" w:fill="auto"/>
            <w:noWrap/>
            <w:vAlign w:val="bottom"/>
            <w:hideMark/>
          </w:tcPr>
          <w:p w14:paraId="2ECF8007" w14:textId="77777777" w:rsidR="00E13052" w:rsidRPr="00F31194" w:rsidRDefault="00E13052" w:rsidP="00E13052">
            <w:pPr>
              <w:jc w:val="right"/>
              <w:rPr>
                <w:sz w:val="14"/>
                <w:szCs w:val="14"/>
              </w:rPr>
            </w:pPr>
            <w:r w:rsidRPr="00F31194">
              <w:rPr>
                <w:sz w:val="14"/>
                <w:szCs w:val="14"/>
              </w:rPr>
              <w:t>1 563 066</w:t>
            </w:r>
          </w:p>
        </w:tc>
        <w:tc>
          <w:tcPr>
            <w:tcW w:w="850" w:type="dxa"/>
            <w:tcBorders>
              <w:top w:val="nil"/>
              <w:left w:val="nil"/>
              <w:bottom w:val="single" w:sz="4" w:space="0" w:color="A6A6A6"/>
              <w:right w:val="single" w:sz="4" w:space="0" w:color="A6A6A6"/>
            </w:tcBorders>
            <w:shd w:val="clear" w:color="auto" w:fill="auto"/>
            <w:noWrap/>
            <w:vAlign w:val="bottom"/>
            <w:hideMark/>
          </w:tcPr>
          <w:p w14:paraId="696F506D" w14:textId="77777777" w:rsidR="00E13052" w:rsidRPr="00F31194" w:rsidRDefault="00E13052" w:rsidP="00E13052">
            <w:pPr>
              <w:jc w:val="right"/>
              <w:rPr>
                <w:sz w:val="14"/>
                <w:szCs w:val="14"/>
              </w:rPr>
            </w:pPr>
            <w:r w:rsidRPr="00F31194">
              <w:rPr>
                <w:sz w:val="14"/>
                <w:szCs w:val="14"/>
              </w:rPr>
              <w:t>2 037 775</w:t>
            </w:r>
          </w:p>
        </w:tc>
        <w:tc>
          <w:tcPr>
            <w:tcW w:w="644" w:type="dxa"/>
            <w:tcBorders>
              <w:top w:val="nil"/>
              <w:left w:val="nil"/>
              <w:bottom w:val="single" w:sz="4" w:space="0" w:color="A6A6A6"/>
              <w:right w:val="single" w:sz="4" w:space="0" w:color="A6A6A6"/>
            </w:tcBorders>
            <w:shd w:val="clear" w:color="auto" w:fill="auto"/>
            <w:noWrap/>
            <w:vAlign w:val="bottom"/>
            <w:hideMark/>
          </w:tcPr>
          <w:p w14:paraId="6E6D552A" w14:textId="4966672F" w:rsidR="00E13052" w:rsidRPr="00F31194" w:rsidRDefault="00277801" w:rsidP="008A5CEA">
            <w:pPr>
              <w:jc w:val="center"/>
              <w:rPr>
                <w:sz w:val="14"/>
                <w:szCs w:val="14"/>
              </w:rPr>
            </w:pPr>
            <w:r>
              <w:rPr>
                <w:sz w:val="14"/>
                <w:szCs w:val="14"/>
              </w:rPr>
              <w:t>x</w:t>
            </w:r>
          </w:p>
        </w:tc>
        <w:tc>
          <w:tcPr>
            <w:tcW w:w="830" w:type="dxa"/>
            <w:tcBorders>
              <w:top w:val="nil"/>
              <w:left w:val="nil"/>
              <w:bottom w:val="single" w:sz="4" w:space="0" w:color="A6A6A6"/>
              <w:right w:val="single" w:sz="4" w:space="0" w:color="A6A6A6"/>
            </w:tcBorders>
            <w:shd w:val="clear" w:color="auto" w:fill="auto"/>
            <w:noWrap/>
            <w:vAlign w:val="bottom"/>
            <w:hideMark/>
          </w:tcPr>
          <w:p w14:paraId="736917DA" w14:textId="77777777" w:rsidR="00E13052" w:rsidRPr="00F31194" w:rsidRDefault="00E13052" w:rsidP="00E13052">
            <w:pPr>
              <w:jc w:val="right"/>
              <w:rPr>
                <w:sz w:val="14"/>
                <w:szCs w:val="14"/>
              </w:rPr>
            </w:pPr>
            <w:r w:rsidRPr="00F31194">
              <w:rPr>
                <w:sz w:val="14"/>
                <w:szCs w:val="14"/>
              </w:rPr>
              <w:t>54 836</w:t>
            </w:r>
          </w:p>
        </w:tc>
        <w:tc>
          <w:tcPr>
            <w:tcW w:w="830" w:type="dxa"/>
            <w:tcBorders>
              <w:top w:val="nil"/>
              <w:left w:val="nil"/>
              <w:bottom w:val="single" w:sz="4" w:space="0" w:color="A6A6A6"/>
              <w:right w:val="single" w:sz="4" w:space="0" w:color="A6A6A6"/>
            </w:tcBorders>
            <w:shd w:val="clear" w:color="auto" w:fill="auto"/>
            <w:noWrap/>
            <w:vAlign w:val="bottom"/>
            <w:hideMark/>
          </w:tcPr>
          <w:p w14:paraId="21C5001B" w14:textId="77777777" w:rsidR="00E13052" w:rsidRPr="00F31194" w:rsidRDefault="00E13052" w:rsidP="00E13052">
            <w:pPr>
              <w:jc w:val="right"/>
              <w:rPr>
                <w:sz w:val="14"/>
                <w:szCs w:val="14"/>
              </w:rPr>
            </w:pPr>
            <w:r w:rsidRPr="00F31194">
              <w:rPr>
                <w:sz w:val="14"/>
                <w:szCs w:val="14"/>
              </w:rPr>
              <w:t>54 836</w:t>
            </w:r>
          </w:p>
        </w:tc>
        <w:tc>
          <w:tcPr>
            <w:tcW w:w="903" w:type="dxa"/>
            <w:tcBorders>
              <w:top w:val="nil"/>
              <w:left w:val="nil"/>
              <w:bottom w:val="single" w:sz="4" w:space="0" w:color="A6A6A6"/>
              <w:right w:val="single" w:sz="4" w:space="0" w:color="A6A6A6"/>
            </w:tcBorders>
            <w:shd w:val="clear" w:color="auto" w:fill="auto"/>
            <w:noWrap/>
            <w:vAlign w:val="bottom"/>
            <w:hideMark/>
          </w:tcPr>
          <w:p w14:paraId="1DA1D3AB" w14:textId="77777777" w:rsidR="00E13052" w:rsidRPr="00F31194" w:rsidRDefault="00E13052" w:rsidP="00E13052">
            <w:pPr>
              <w:jc w:val="right"/>
              <w:rPr>
                <w:sz w:val="14"/>
                <w:szCs w:val="14"/>
              </w:rPr>
            </w:pPr>
            <w:r w:rsidRPr="00F31194">
              <w:rPr>
                <w:sz w:val="14"/>
                <w:szCs w:val="14"/>
              </w:rPr>
              <w:t>2 654 317</w:t>
            </w:r>
          </w:p>
        </w:tc>
        <w:tc>
          <w:tcPr>
            <w:tcW w:w="1379" w:type="dxa"/>
            <w:tcBorders>
              <w:top w:val="nil"/>
              <w:left w:val="nil"/>
              <w:bottom w:val="single" w:sz="4" w:space="0" w:color="A6A6A6"/>
              <w:right w:val="single" w:sz="4" w:space="0" w:color="A6A6A6"/>
            </w:tcBorders>
            <w:shd w:val="clear" w:color="auto" w:fill="auto"/>
            <w:noWrap/>
            <w:vAlign w:val="bottom"/>
            <w:hideMark/>
          </w:tcPr>
          <w:p w14:paraId="64420203" w14:textId="77777777" w:rsidR="00E13052" w:rsidRPr="00F31194" w:rsidRDefault="00E13052" w:rsidP="00E13052">
            <w:pPr>
              <w:jc w:val="right"/>
              <w:rPr>
                <w:sz w:val="14"/>
                <w:szCs w:val="14"/>
              </w:rPr>
            </w:pPr>
            <w:r w:rsidRPr="00F31194">
              <w:rPr>
                <w:sz w:val="14"/>
                <w:szCs w:val="14"/>
              </w:rPr>
              <w:t>2 654 317</w:t>
            </w:r>
          </w:p>
        </w:tc>
        <w:tc>
          <w:tcPr>
            <w:tcW w:w="851" w:type="dxa"/>
            <w:tcBorders>
              <w:top w:val="nil"/>
              <w:left w:val="nil"/>
              <w:bottom w:val="single" w:sz="4" w:space="0" w:color="A6A6A6"/>
              <w:right w:val="single" w:sz="4" w:space="0" w:color="A6A6A6"/>
            </w:tcBorders>
            <w:shd w:val="clear" w:color="auto" w:fill="auto"/>
            <w:noWrap/>
            <w:vAlign w:val="bottom"/>
            <w:hideMark/>
          </w:tcPr>
          <w:p w14:paraId="53542473" w14:textId="77777777" w:rsidR="00E13052" w:rsidRPr="00F31194" w:rsidRDefault="00E13052" w:rsidP="00E13052">
            <w:pPr>
              <w:jc w:val="right"/>
              <w:rPr>
                <w:sz w:val="14"/>
                <w:szCs w:val="14"/>
              </w:rPr>
            </w:pPr>
            <w:r w:rsidRPr="00F31194">
              <w:rPr>
                <w:sz w:val="14"/>
                <w:szCs w:val="14"/>
              </w:rPr>
              <w:t>1 931 506</w:t>
            </w:r>
          </w:p>
        </w:tc>
      </w:tr>
      <w:tr w:rsidR="00E13052" w:rsidRPr="00E13052" w14:paraId="5644ACBE"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55DCACA9" w14:textId="77777777" w:rsidR="00E13052" w:rsidRPr="00F31194" w:rsidRDefault="00E13052" w:rsidP="00E13052">
            <w:pPr>
              <w:jc w:val="center"/>
              <w:rPr>
                <w:b/>
                <w:bCs/>
                <w:sz w:val="14"/>
                <w:szCs w:val="14"/>
              </w:rPr>
            </w:pPr>
            <w:r w:rsidRPr="00F31194">
              <w:rPr>
                <w:b/>
                <w:bCs/>
                <w:sz w:val="14"/>
                <w:szCs w:val="14"/>
              </w:rPr>
              <w:t>Kopā</w:t>
            </w:r>
          </w:p>
        </w:tc>
        <w:tc>
          <w:tcPr>
            <w:tcW w:w="782" w:type="dxa"/>
            <w:tcBorders>
              <w:top w:val="nil"/>
              <w:left w:val="nil"/>
              <w:bottom w:val="single" w:sz="4" w:space="0" w:color="A6A6A6"/>
              <w:right w:val="single" w:sz="4" w:space="0" w:color="A6A6A6"/>
            </w:tcBorders>
            <w:shd w:val="clear" w:color="auto" w:fill="auto"/>
            <w:noWrap/>
            <w:vAlign w:val="bottom"/>
            <w:hideMark/>
          </w:tcPr>
          <w:p w14:paraId="0DD8BE24" w14:textId="77777777" w:rsidR="00E13052" w:rsidRPr="00F31194" w:rsidRDefault="00E13052" w:rsidP="00E13052">
            <w:pPr>
              <w:jc w:val="right"/>
              <w:rPr>
                <w:b/>
                <w:bCs/>
                <w:sz w:val="14"/>
                <w:szCs w:val="14"/>
              </w:rPr>
            </w:pPr>
            <w:r w:rsidRPr="00F31194">
              <w:rPr>
                <w:b/>
                <w:bCs/>
                <w:sz w:val="14"/>
                <w:szCs w:val="14"/>
              </w:rPr>
              <w:t>1 357 820</w:t>
            </w:r>
          </w:p>
        </w:tc>
        <w:tc>
          <w:tcPr>
            <w:tcW w:w="701" w:type="dxa"/>
            <w:tcBorders>
              <w:top w:val="nil"/>
              <w:left w:val="nil"/>
              <w:bottom w:val="single" w:sz="4" w:space="0" w:color="A6A6A6"/>
              <w:right w:val="single" w:sz="4" w:space="0" w:color="A6A6A6"/>
            </w:tcBorders>
            <w:shd w:val="clear" w:color="auto" w:fill="auto"/>
            <w:noWrap/>
            <w:vAlign w:val="bottom"/>
            <w:hideMark/>
          </w:tcPr>
          <w:p w14:paraId="4F033063" w14:textId="77777777" w:rsidR="00E13052" w:rsidRPr="00F31194" w:rsidRDefault="00E13052" w:rsidP="00E13052">
            <w:pPr>
              <w:jc w:val="right"/>
              <w:rPr>
                <w:b/>
                <w:bCs/>
                <w:sz w:val="14"/>
                <w:szCs w:val="14"/>
              </w:rPr>
            </w:pPr>
            <w:r w:rsidRPr="00F31194">
              <w:rPr>
                <w:b/>
                <w:bCs/>
                <w:sz w:val="14"/>
                <w:szCs w:val="14"/>
              </w:rPr>
              <w:t>830 305</w:t>
            </w:r>
          </w:p>
        </w:tc>
        <w:tc>
          <w:tcPr>
            <w:tcW w:w="927" w:type="dxa"/>
            <w:tcBorders>
              <w:top w:val="nil"/>
              <w:left w:val="nil"/>
              <w:bottom w:val="single" w:sz="4" w:space="0" w:color="A6A6A6"/>
              <w:right w:val="single" w:sz="4" w:space="0" w:color="A6A6A6"/>
            </w:tcBorders>
            <w:shd w:val="clear" w:color="auto" w:fill="auto"/>
            <w:noWrap/>
            <w:vAlign w:val="bottom"/>
            <w:hideMark/>
          </w:tcPr>
          <w:p w14:paraId="4864207A" w14:textId="77777777" w:rsidR="00E13052" w:rsidRPr="00F31194" w:rsidRDefault="00E13052" w:rsidP="00E13052">
            <w:pPr>
              <w:jc w:val="right"/>
              <w:rPr>
                <w:b/>
                <w:bCs/>
                <w:sz w:val="14"/>
                <w:szCs w:val="14"/>
              </w:rPr>
            </w:pPr>
            <w:r w:rsidRPr="00F31194">
              <w:rPr>
                <w:b/>
                <w:bCs/>
                <w:sz w:val="14"/>
                <w:szCs w:val="14"/>
              </w:rPr>
              <w:t>5 020 594</w:t>
            </w:r>
          </w:p>
        </w:tc>
        <w:tc>
          <w:tcPr>
            <w:tcW w:w="801" w:type="dxa"/>
            <w:tcBorders>
              <w:top w:val="nil"/>
              <w:left w:val="nil"/>
              <w:bottom w:val="single" w:sz="4" w:space="0" w:color="A6A6A6"/>
              <w:right w:val="single" w:sz="4" w:space="0" w:color="A6A6A6"/>
            </w:tcBorders>
            <w:shd w:val="clear" w:color="auto" w:fill="auto"/>
            <w:noWrap/>
            <w:vAlign w:val="bottom"/>
            <w:hideMark/>
          </w:tcPr>
          <w:p w14:paraId="443ED258" w14:textId="77777777" w:rsidR="00E13052" w:rsidRPr="00F31194" w:rsidRDefault="00E13052" w:rsidP="00E13052">
            <w:pPr>
              <w:jc w:val="right"/>
              <w:rPr>
                <w:b/>
                <w:bCs/>
                <w:sz w:val="14"/>
                <w:szCs w:val="14"/>
              </w:rPr>
            </w:pPr>
            <w:r w:rsidRPr="00F31194">
              <w:rPr>
                <w:b/>
                <w:bCs/>
                <w:sz w:val="14"/>
                <w:szCs w:val="14"/>
              </w:rPr>
              <w:t>3 336 417</w:t>
            </w:r>
          </w:p>
        </w:tc>
        <w:tc>
          <w:tcPr>
            <w:tcW w:w="850" w:type="dxa"/>
            <w:tcBorders>
              <w:top w:val="nil"/>
              <w:left w:val="nil"/>
              <w:bottom w:val="single" w:sz="4" w:space="0" w:color="A6A6A6"/>
              <w:right w:val="single" w:sz="4" w:space="0" w:color="A6A6A6"/>
            </w:tcBorders>
            <w:shd w:val="clear" w:color="auto" w:fill="auto"/>
            <w:noWrap/>
            <w:vAlign w:val="bottom"/>
            <w:hideMark/>
          </w:tcPr>
          <w:p w14:paraId="391854A2" w14:textId="77777777" w:rsidR="00E13052" w:rsidRPr="00F31194" w:rsidRDefault="00E13052" w:rsidP="00E13052">
            <w:pPr>
              <w:jc w:val="right"/>
              <w:rPr>
                <w:b/>
                <w:bCs/>
                <w:sz w:val="14"/>
                <w:szCs w:val="14"/>
              </w:rPr>
            </w:pPr>
            <w:r w:rsidRPr="00F31194">
              <w:rPr>
                <w:b/>
                <w:bCs/>
                <w:sz w:val="14"/>
                <w:szCs w:val="14"/>
              </w:rPr>
              <w:t>5 020 594</w:t>
            </w:r>
          </w:p>
        </w:tc>
        <w:tc>
          <w:tcPr>
            <w:tcW w:w="644" w:type="dxa"/>
            <w:tcBorders>
              <w:top w:val="nil"/>
              <w:left w:val="nil"/>
              <w:bottom w:val="single" w:sz="4" w:space="0" w:color="A6A6A6"/>
              <w:right w:val="single" w:sz="4" w:space="0" w:color="A6A6A6"/>
            </w:tcBorders>
            <w:shd w:val="clear" w:color="auto" w:fill="auto"/>
            <w:noWrap/>
            <w:vAlign w:val="bottom"/>
            <w:hideMark/>
          </w:tcPr>
          <w:p w14:paraId="75739C72" w14:textId="79CA94A4" w:rsidR="00E13052" w:rsidRPr="00F31194" w:rsidRDefault="00277801" w:rsidP="008A5CEA">
            <w:pPr>
              <w:jc w:val="center"/>
              <w:rPr>
                <w:b/>
                <w:bCs/>
                <w:sz w:val="14"/>
                <w:szCs w:val="14"/>
              </w:rPr>
            </w:pPr>
            <w:r>
              <w:rPr>
                <w:b/>
                <w:bCs/>
                <w:sz w:val="14"/>
                <w:szCs w:val="14"/>
              </w:rPr>
              <w:t>x</w:t>
            </w:r>
          </w:p>
        </w:tc>
        <w:tc>
          <w:tcPr>
            <w:tcW w:w="830" w:type="dxa"/>
            <w:tcBorders>
              <w:top w:val="nil"/>
              <w:left w:val="nil"/>
              <w:bottom w:val="single" w:sz="4" w:space="0" w:color="A6A6A6"/>
              <w:right w:val="single" w:sz="4" w:space="0" w:color="A6A6A6"/>
            </w:tcBorders>
            <w:shd w:val="clear" w:color="auto" w:fill="auto"/>
            <w:noWrap/>
            <w:vAlign w:val="bottom"/>
            <w:hideMark/>
          </w:tcPr>
          <w:p w14:paraId="6F45BA32" w14:textId="77777777" w:rsidR="00E13052" w:rsidRPr="00F31194" w:rsidRDefault="00E13052" w:rsidP="00E13052">
            <w:pPr>
              <w:jc w:val="right"/>
              <w:rPr>
                <w:b/>
                <w:bCs/>
                <w:sz w:val="14"/>
                <w:szCs w:val="14"/>
              </w:rPr>
            </w:pPr>
            <w:r w:rsidRPr="00F31194">
              <w:rPr>
                <w:b/>
                <w:bCs/>
                <w:sz w:val="14"/>
                <w:szCs w:val="14"/>
              </w:rPr>
              <w:t>154 804</w:t>
            </w:r>
          </w:p>
        </w:tc>
        <w:tc>
          <w:tcPr>
            <w:tcW w:w="830" w:type="dxa"/>
            <w:tcBorders>
              <w:top w:val="nil"/>
              <w:left w:val="nil"/>
              <w:bottom w:val="single" w:sz="4" w:space="0" w:color="A6A6A6"/>
              <w:right w:val="single" w:sz="4" w:space="0" w:color="A6A6A6"/>
            </w:tcBorders>
            <w:shd w:val="clear" w:color="auto" w:fill="auto"/>
            <w:noWrap/>
            <w:vAlign w:val="bottom"/>
            <w:hideMark/>
          </w:tcPr>
          <w:p w14:paraId="610508DF" w14:textId="77777777" w:rsidR="00E13052" w:rsidRPr="00F31194" w:rsidRDefault="00E13052" w:rsidP="00E13052">
            <w:pPr>
              <w:jc w:val="right"/>
              <w:rPr>
                <w:b/>
                <w:bCs/>
                <w:sz w:val="14"/>
                <w:szCs w:val="14"/>
              </w:rPr>
            </w:pPr>
            <w:r w:rsidRPr="00F31194">
              <w:rPr>
                <w:b/>
                <w:bCs/>
                <w:sz w:val="14"/>
                <w:szCs w:val="14"/>
              </w:rPr>
              <w:t>154 804</w:t>
            </w:r>
          </w:p>
        </w:tc>
        <w:tc>
          <w:tcPr>
            <w:tcW w:w="903" w:type="dxa"/>
            <w:tcBorders>
              <w:top w:val="nil"/>
              <w:left w:val="nil"/>
              <w:bottom w:val="single" w:sz="4" w:space="0" w:color="A6A6A6"/>
              <w:right w:val="single" w:sz="4" w:space="0" w:color="A6A6A6"/>
            </w:tcBorders>
            <w:shd w:val="clear" w:color="auto" w:fill="auto"/>
            <w:noWrap/>
            <w:vAlign w:val="bottom"/>
            <w:hideMark/>
          </w:tcPr>
          <w:p w14:paraId="193244D5" w14:textId="77777777" w:rsidR="00E13052" w:rsidRPr="00F31194" w:rsidRDefault="00E13052" w:rsidP="00E13052">
            <w:pPr>
              <w:jc w:val="right"/>
              <w:rPr>
                <w:b/>
                <w:bCs/>
                <w:sz w:val="14"/>
                <w:szCs w:val="14"/>
              </w:rPr>
            </w:pPr>
            <w:r w:rsidRPr="00F31194">
              <w:rPr>
                <w:b/>
                <w:bCs/>
                <w:sz w:val="14"/>
                <w:szCs w:val="14"/>
              </w:rPr>
              <w:t>6 533 218</w:t>
            </w:r>
          </w:p>
        </w:tc>
        <w:tc>
          <w:tcPr>
            <w:tcW w:w="1379" w:type="dxa"/>
            <w:tcBorders>
              <w:top w:val="nil"/>
              <w:left w:val="nil"/>
              <w:bottom w:val="single" w:sz="4" w:space="0" w:color="A6A6A6"/>
              <w:right w:val="single" w:sz="4" w:space="0" w:color="A6A6A6"/>
            </w:tcBorders>
            <w:shd w:val="clear" w:color="auto" w:fill="auto"/>
            <w:noWrap/>
            <w:vAlign w:val="bottom"/>
            <w:hideMark/>
          </w:tcPr>
          <w:p w14:paraId="38874F7C" w14:textId="77777777" w:rsidR="00E13052" w:rsidRPr="00F31194" w:rsidRDefault="00E13052" w:rsidP="00E13052">
            <w:pPr>
              <w:jc w:val="right"/>
              <w:rPr>
                <w:b/>
                <w:bCs/>
                <w:sz w:val="14"/>
                <w:szCs w:val="14"/>
              </w:rPr>
            </w:pPr>
            <w:r w:rsidRPr="00F31194">
              <w:rPr>
                <w:b/>
                <w:bCs/>
                <w:sz w:val="14"/>
                <w:szCs w:val="14"/>
              </w:rPr>
              <w:t>6 533 218</w:t>
            </w:r>
          </w:p>
        </w:tc>
        <w:tc>
          <w:tcPr>
            <w:tcW w:w="851" w:type="dxa"/>
            <w:tcBorders>
              <w:top w:val="nil"/>
              <w:left w:val="nil"/>
              <w:bottom w:val="single" w:sz="4" w:space="0" w:color="A6A6A6"/>
              <w:right w:val="single" w:sz="4" w:space="0" w:color="A6A6A6"/>
            </w:tcBorders>
            <w:shd w:val="clear" w:color="auto" w:fill="auto"/>
            <w:noWrap/>
            <w:vAlign w:val="bottom"/>
            <w:hideMark/>
          </w:tcPr>
          <w:p w14:paraId="3A01130D" w14:textId="77777777" w:rsidR="00E13052" w:rsidRPr="00F31194" w:rsidRDefault="00E13052" w:rsidP="00E13052">
            <w:pPr>
              <w:jc w:val="right"/>
              <w:rPr>
                <w:b/>
                <w:bCs/>
                <w:sz w:val="14"/>
                <w:szCs w:val="14"/>
              </w:rPr>
            </w:pPr>
            <w:r w:rsidRPr="00F31194">
              <w:rPr>
                <w:b/>
                <w:bCs/>
                <w:sz w:val="14"/>
                <w:szCs w:val="14"/>
              </w:rPr>
              <w:t>4 321 526</w:t>
            </w:r>
          </w:p>
        </w:tc>
      </w:tr>
      <w:tr w:rsidR="00E13052" w:rsidRPr="00E13052" w14:paraId="7AC6F439"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000000" w:fill="FFFFFF"/>
            <w:noWrap/>
            <w:vAlign w:val="bottom"/>
            <w:hideMark/>
          </w:tcPr>
          <w:p w14:paraId="23A3D8C1" w14:textId="77777777" w:rsidR="00E13052" w:rsidRPr="00F31194" w:rsidRDefault="00E13052" w:rsidP="00E13052">
            <w:pPr>
              <w:jc w:val="center"/>
              <w:rPr>
                <w:sz w:val="14"/>
                <w:szCs w:val="14"/>
              </w:rPr>
            </w:pPr>
            <w:r w:rsidRPr="00F31194">
              <w:rPr>
                <w:sz w:val="14"/>
                <w:szCs w:val="14"/>
              </w:rPr>
              <w:t>2019</w:t>
            </w:r>
          </w:p>
        </w:tc>
        <w:tc>
          <w:tcPr>
            <w:tcW w:w="782" w:type="dxa"/>
            <w:tcBorders>
              <w:top w:val="nil"/>
              <w:left w:val="nil"/>
              <w:bottom w:val="single" w:sz="4" w:space="0" w:color="A6A6A6"/>
              <w:right w:val="single" w:sz="4" w:space="0" w:color="A6A6A6"/>
            </w:tcBorders>
            <w:shd w:val="clear" w:color="auto" w:fill="auto"/>
            <w:noWrap/>
            <w:vAlign w:val="bottom"/>
            <w:hideMark/>
          </w:tcPr>
          <w:p w14:paraId="5FBF34E2"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455CBAF6"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117D48AF" w14:textId="77777777" w:rsidR="00E13052" w:rsidRPr="00F31194" w:rsidRDefault="00E13052" w:rsidP="00E13052">
            <w:pPr>
              <w:jc w:val="right"/>
              <w:rPr>
                <w:sz w:val="14"/>
                <w:szCs w:val="14"/>
              </w:rPr>
            </w:pPr>
            <w:r w:rsidRPr="00F31194">
              <w:rPr>
                <w:sz w:val="14"/>
                <w:szCs w:val="14"/>
              </w:rPr>
              <w:t>2 736 159</w:t>
            </w:r>
          </w:p>
        </w:tc>
        <w:tc>
          <w:tcPr>
            <w:tcW w:w="801" w:type="dxa"/>
            <w:tcBorders>
              <w:top w:val="nil"/>
              <w:left w:val="nil"/>
              <w:bottom w:val="single" w:sz="4" w:space="0" w:color="A6A6A6"/>
              <w:right w:val="single" w:sz="4" w:space="0" w:color="A6A6A6"/>
            </w:tcBorders>
            <w:shd w:val="clear" w:color="auto" w:fill="auto"/>
            <w:noWrap/>
            <w:vAlign w:val="bottom"/>
            <w:hideMark/>
          </w:tcPr>
          <w:p w14:paraId="0E5A28D6"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33DD4341" w14:textId="77777777" w:rsidR="00E13052" w:rsidRPr="00F31194" w:rsidRDefault="00E13052" w:rsidP="00E13052">
            <w:pPr>
              <w:jc w:val="right"/>
              <w:rPr>
                <w:sz w:val="14"/>
                <w:szCs w:val="14"/>
              </w:rPr>
            </w:pPr>
            <w:r w:rsidRPr="00F31194">
              <w:rPr>
                <w:sz w:val="14"/>
                <w:szCs w:val="14"/>
              </w:rPr>
              <w:t>2 736 159</w:t>
            </w:r>
          </w:p>
        </w:tc>
        <w:tc>
          <w:tcPr>
            <w:tcW w:w="644" w:type="dxa"/>
            <w:tcBorders>
              <w:top w:val="nil"/>
              <w:left w:val="nil"/>
              <w:bottom w:val="single" w:sz="4" w:space="0" w:color="A6A6A6"/>
              <w:right w:val="single" w:sz="4" w:space="0" w:color="A6A6A6"/>
            </w:tcBorders>
            <w:shd w:val="clear" w:color="auto" w:fill="auto"/>
            <w:noWrap/>
            <w:vAlign w:val="bottom"/>
            <w:hideMark/>
          </w:tcPr>
          <w:p w14:paraId="4A69E037"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5ACB8262"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4C55D2BA"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1381FD58" w14:textId="77777777" w:rsidR="00E13052" w:rsidRPr="00F31194" w:rsidRDefault="00E13052" w:rsidP="00E13052">
            <w:pPr>
              <w:jc w:val="right"/>
              <w:rPr>
                <w:sz w:val="14"/>
                <w:szCs w:val="14"/>
              </w:rPr>
            </w:pPr>
            <w:r w:rsidRPr="00F31194">
              <w:rPr>
                <w:sz w:val="14"/>
                <w:szCs w:val="14"/>
              </w:rPr>
              <w:t>3 328 002</w:t>
            </w:r>
          </w:p>
        </w:tc>
        <w:tc>
          <w:tcPr>
            <w:tcW w:w="1379" w:type="dxa"/>
            <w:tcBorders>
              <w:top w:val="nil"/>
              <w:left w:val="nil"/>
              <w:bottom w:val="single" w:sz="4" w:space="0" w:color="A6A6A6"/>
              <w:right w:val="single" w:sz="4" w:space="0" w:color="A6A6A6"/>
            </w:tcBorders>
            <w:shd w:val="clear" w:color="auto" w:fill="auto"/>
            <w:noWrap/>
            <w:vAlign w:val="bottom"/>
            <w:hideMark/>
          </w:tcPr>
          <w:p w14:paraId="7CE0CF4A" w14:textId="77777777" w:rsidR="00E13052" w:rsidRPr="00F31194" w:rsidRDefault="00E13052" w:rsidP="00E13052">
            <w:pPr>
              <w:jc w:val="right"/>
              <w:rPr>
                <w:sz w:val="14"/>
                <w:szCs w:val="14"/>
              </w:rPr>
            </w:pPr>
            <w:r w:rsidRPr="00F31194">
              <w:rPr>
                <w:sz w:val="14"/>
                <w:szCs w:val="14"/>
              </w:rPr>
              <w:t>3 328 002</w:t>
            </w:r>
          </w:p>
        </w:tc>
        <w:tc>
          <w:tcPr>
            <w:tcW w:w="851" w:type="dxa"/>
            <w:tcBorders>
              <w:top w:val="nil"/>
              <w:left w:val="nil"/>
              <w:bottom w:val="single" w:sz="4" w:space="0" w:color="A6A6A6"/>
              <w:right w:val="single" w:sz="4" w:space="0" w:color="A6A6A6"/>
            </w:tcBorders>
            <w:shd w:val="clear" w:color="auto" w:fill="auto"/>
            <w:noWrap/>
            <w:vAlign w:val="bottom"/>
            <w:hideMark/>
          </w:tcPr>
          <w:p w14:paraId="577D3E2C" w14:textId="77777777" w:rsidR="00E13052" w:rsidRPr="00F31194" w:rsidRDefault="00E13052" w:rsidP="00E13052">
            <w:pPr>
              <w:jc w:val="right"/>
              <w:rPr>
                <w:sz w:val="14"/>
                <w:szCs w:val="14"/>
              </w:rPr>
            </w:pPr>
            <w:r w:rsidRPr="00F31194">
              <w:rPr>
                <w:sz w:val="14"/>
                <w:szCs w:val="14"/>
              </w:rPr>
              <w:t>0</w:t>
            </w:r>
          </w:p>
        </w:tc>
      </w:tr>
      <w:tr w:rsidR="00E13052" w:rsidRPr="00E13052" w14:paraId="6BB27E84"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3D943188" w14:textId="77777777" w:rsidR="00E13052" w:rsidRPr="00F31194" w:rsidRDefault="00E13052" w:rsidP="00E13052">
            <w:pPr>
              <w:jc w:val="center"/>
              <w:rPr>
                <w:sz w:val="14"/>
                <w:szCs w:val="14"/>
              </w:rPr>
            </w:pPr>
            <w:r w:rsidRPr="00F31194">
              <w:rPr>
                <w:sz w:val="14"/>
                <w:szCs w:val="14"/>
              </w:rPr>
              <w:t>2020</w:t>
            </w:r>
          </w:p>
        </w:tc>
        <w:tc>
          <w:tcPr>
            <w:tcW w:w="782" w:type="dxa"/>
            <w:tcBorders>
              <w:top w:val="nil"/>
              <w:left w:val="nil"/>
              <w:bottom w:val="single" w:sz="4" w:space="0" w:color="A6A6A6"/>
              <w:right w:val="single" w:sz="4" w:space="0" w:color="A6A6A6"/>
            </w:tcBorders>
            <w:shd w:val="clear" w:color="auto" w:fill="auto"/>
            <w:noWrap/>
            <w:vAlign w:val="bottom"/>
            <w:hideMark/>
          </w:tcPr>
          <w:p w14:paraId="793D0DF0"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364CA0BB"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34BEF92E" w14:textId="77777777" w:rsidR="00E13052" w:rsidRPr="00F31194" w:rsidRDefault="00E13052" w:rsidP="00E13052">
            <w:pPr>
              <w:jc w:val="right"/>
              <w:rPr>
                <w:sz w:val="14"/>
                <w:szCs w:val="14"/>
              </w:rPr>
            </w:pPr>
            <w:r w:rsidRPr="00F31194">
              <w:rPr>
                <w:sz w:val="14"/>
                <w:szCs w:val="14"/>
              </w:rPr>
              <w:t>2 519 029</w:t>
            </w:r>
          </w:p>
        </w:tc>
        <w:tc>
          <w:tcPr>
            <w:tcW w:w="801" w:type="dxa"/>
            <w:tcBorders>
              <w:top w:val="nil"/>
              <w:left w:val="nil"/>
              <w:bottom w:val="single" w:sz="4" w:space="0" w:color="A6A6A6"/>
              <w:right w:val="single" w:sz="4" w:space="0" w:color="A6A6A6"/>
            </w:tcBorders>
            <w:shd w:val="clear" w:color="auto" w:fill="auto"/>
            <w:noWrap/>
            <w:vAlign w:val="bottom"/>
            <w:hideMark/>
          </w:tcPr>
          <w:p w14:paraId="1D6A2BFC"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0D2626F6" w14:textId="77777777" w:rsidR="00E13052" w:rsidRPr="00F31194" w:rsidRDefault="00E13052" w:rsidP="00E13052">
            <w:pPr>
              <w:jc w:val="right"/>
              <w:rPr>
                <w:sz w:val="14"/>
                <w:szCs w:val="14"/>
              </w:rPr>
            </w:pPr>
            <w:r w:rsidRPr="00F31194">
              <w:rPr>
                <w:sz w:val="14"/>
                <w:szCs w:val="14"/>
              </w:rPr>
              <w:t>2 519 029</w:t>
            </w:r>
          </w:p>
        </w:tc>
        <w:tc>
          <w:tcPr>
            <w:tcW w:w="644" w:type="dxa"/>
            <w:tcBorders>
              <w:top w:val="nil"/>
              <w:left w:val="nil"/>
              <w:bottom w:val="single" w:sz="4" w:space="0" w:color="A6A6A6"/>
              <w:right w:val="single" w:sz="4" w:space="0" w:color="A6A6A6"/>
            </w:tcBorders>
            <w:shd w:val="clear" w:color="auto" w:fill="auto"/>
            <w:noWrap/>
            <w:vAlign w:val="bottom"/>
            <w:hideMark/>
          </w:tcPr>
          <w:p w14:paraId="0BB158A1"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2DA1C0E0"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3171278B"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5D06D4FD" w14:textId="77777777" w:rsidR="00E13052" w:rsidRPr="00F31194" w:rsidRDefault="00E13052" w:rsidP="00E13052">
            <w:pPr>
              <w:jc w:val="right"/>
              <w:rPr>
                <w:sz w:val="14"/>
                <w:szCs w:val="14"/>
              </w:rPr>
            </w:pPr>
            <w:r w:rsidRPr="00F31194">
              <w:rPr>
                <w:sz w:val="14"/>
                <w:szCs w:val="14"/>
              </w:rPr>
              <w:t>3 110 872</w:t>
            </w:r>
          </w:p>
        </w:tc>
        <w:tc>
          <w:tcPr>
            <w:tcW w:w="1379" w:type="dxa"/>
            <w:tcBorders>
              <w:top w:val="nil"/>
              <w:left w:val="nil"/>
              <w:bottom w:val="single" w:sz="4" w:space="0" w:color="A6A6A6"/>
              <w:right w:val="single" w:sz="4" w:space="0" w:color="A6A6A6"/>
            </w:tcBorders>
            <w:shd w:val="clear" w:color="auto" w:fill="auto"/>
            <w:noWrap/>
            <w:vAlign w:val="bottom"/>
            <w:hideMark/>
          </w:tcPr>
          <w:p w14:paraId="6A25D16A" w14:textId="77777777" w:rsidR="00E13052" w:rsidRPr="00F31194" w:rsidRDefault="00E13052" w:rsidP="00E13052">
            <w:pPr>
              <w:jc w:val="right"/>
              <w:rPr>
                <w:sz w:val="14"/>
                <w:szCs w:val="14"/>
              </w:rPr>
            </w:pPr>
            <w:r w:rsidRPr="00F31194">
              <w:rPr>
                <w:sz w:val="14"/>
                <w:szCs w:val="14"/>
              </w:rPr>
              <w:t>3 110 872</w:t>
            </w:r>
          </w:p>
        </w:tc>
        <w:tc>
          <w:tcPr>
            <w:tcW w:w="851" w:type="dxa"/>
            <w:tcBorders>
              <w:top w:val="nil"/>
              <w:left w:val="nil"/>
              <w:bottom w:val="single" w:sz="4" w:space="0" w:color="A6A6A6"/>
              <w:right w:val="single" w:sz="4" w:space="0" w:color="A6A6A6"/>
            </w:tcBorders>
            <w:shd w:val="clear" w:color="auto" w:fill="auto"/>
            <w:noWrap/>
            <w:vAlign w:val="bottom"/>
            <w:hideMark/>
          </w:tcPr>
          <w:p w14:paraId="47DFB1BD" w14:textId="77777777" w:rsidR="00E13052" w:rsidRPr="00F31194" w:rsidRDefault="00E13052" w:rsidP="00E13052">
            <w:pPr>
              <w:jc w:val="right"/>
              <w:rPr>
                <w:sz w:val="14"/>
                <w:szCs w:val="14"/>
              </w:rPr>
            </w:pPr>
            <w:r w:rsidRPr="00F31194">
              <w:rPr>
                <w:sz w:val="14"/>
                <w:szCs w:val="14"/>
              </w:rPr>
              <w:t>0</w:t>
            </w:r>
          </w:p>
        </w:tc>
      </w:tr>
      <w:tr w:rsidR="00E13052" w:rsidRPr="00E13052" w14:paraId="1EBF0344"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39AC8C82" w14:textId="77777777" w:rsidR="00E13052" w:rsidRPr="00F31194" w:rsidRDefault="00E13052" w:rsidP="00E13052">
            <w:pPr>
              <w:jc w:val="center"/>
              <w:rPr>
                <w:sz w:val="14"/>
                <w:szCs w:val="14"/>
              </w:rPr>
            </w:pPr>
            <w:r w:rsidRPr="00F31194">
              <w:rPr>
                <w:sz w:val="14"/>
                <w:szCs w:val="14"/>
              </w:rPr>
              <w:t>2021</w:t>
            </w:r>
          </w:p>
        </w:tc>
        <w:tc>
          <w:tcPr>
            <w:tcW w:w="782" w:type="dxa"/>
            <w:tcBorders>
              <w:top w:val="nil"/>
              <w:left w:val="nil"/>
              <w:bottom w:val="single" w:sz="4" w:space="0" w:color="A6A6A6"/>
              <w:right w:val="single" w:sz="4" w:space="0" w:color="A6A6A6"/>
            </w:tcBorders>
            <w:shd w:val="clear" w:color="auto" w:fill="auto"/>
            <w:noWrap/>
            <w:vAlign w:val="bottom"/>
            <w:hideMark/>
          </w:tcPr>
          <w:p w14:paraId="2B972920"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6111788E"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764AC7CF" w14:textId="77777777" w:rsidR="00E13052" w:rsidRPr="00F31194" w:rsidRDefault="00E13052" w:rsidP="00E13052">
            <w:pPr>
              <w:jc w:val="right"/>
              <w:rPr>
                <w:sz w:val="14"/>
                <w:szCs w:val="14"/>
              </w:rPr>
            </w:pPr>
            <w:r w:rsidRPr="00F31194">
              <w:rPr>
                <w:sz w:val="14"/>
                <w:szCs w:val="14"/>
              </w:rPr>
              <w:t>2 794 177</w:t>
            </w:r>
          </w:p>
        </w:tc>
        <w:tc>
          <w:tcPr>
            <w:tcW w:w="801" w:type="dxa"/>
            <w:tcBorders>
              <w:top w:val="nil"/>
              <w:left w:val="nil"/>
              <w:bottom w:val="single" w:sz="4" w:space="0" w:color="A6A6A6"/>
              <w:right w:val="single" w:sz="4" w:space="0" w:color="A6A6A6"/>
            </w:tcBorders>
            <w:shd w:val="clear" w:color="auto" w:fill="auto"/>
            <w:noWrap/>
            <w:vAlign w:val="bottom"/>
            <w:hideMark/>
          </w:tcPr>
          <w:p w14:paraId="2DE04371"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0F88079E" w14:textId="77777777" w:rsidR="00E13052" w:rsidRPr="00F31194" w:rsidRDefault="00E13052" w:rsidP="00E13052">
            <w:pPr>
              <w:jc w:val="right"/>
              <w:rPr>
                <w:sz w:val="14"/>
                <w:szCs w:val="14"/>
              </w:rPr>
            </w:pPr>
            <w:r w:rsidRPr="00F31194">
              <w:rPr>
                <w:sz w:val="14"/>
                <w:szCs w:val="14"/>
              </w:rPr>
              <w:t>2 880 868</w:t>
            </w:r>
          </w:p>
        </w:tc>
        <w:tc>
          <w:tcPr>
            <w:tcW w:w="644" w:type="dxa"/>
            <w:tcBorders>
              <w:top w:val="nil"/>
              <w:left w:val="nil"/>
              <w:bottom w:val="single" w:sz="4" w:space="0" w:color="A6A6A6"/>
              <w:right w:val="single" w:sz="4" w:space="0" w:color="A6A6A6"/>
            </w:tcBorders>
            <w:shd w:val="clear" w:color="auto" w:fill="auto"/>
            <w:noWrap/>
            <w:vAlign w:val="bottom"/>
            <w:hideMark/>
          </w:tcPr>
          <w:p w14:paraId="7098E966"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353EE651"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4916796F"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7E3D6027" w14:textId="77777777" w:rsidR="00E13052" w:rsidRPr="00F31194" w:rsidRDefault="00E13052" w:rsidP="00E13052">
            <w:pPr>
              <w:jc w:val="right"/>
              <w:rPr>
                <w:sz w:val="14"/>
                <w:szCs w:val="14"/>
              </w:rPr>
            </w:pPr>
            <w:r w:rsidRPr="00F31194">
              <w:rPr>
                <w:sz w:val="14"/>
                <w:szCs w:val="14"/>
              </w:rPr>
              <w:t>3 386 020</w:t>
            </w:r>
          </w:p>
        </w:tc>
        <w:tc>
          <w:tcPr>
            <w:tcW w:w="1379" w:type="dxa"/>
            <w:tcBorders>
              <w:top w:val="nil"/>
              <w:left w:val="nil"/>
              <w:bottom w:val="single" w:sz="4" w:space="0" w:color="A6A6A6"/>
              <w:right w:val="single" w:sz="4" w:space="0" w:color="A6A6A6"/>
            </w:tcBorders>
            <w:shd w:val="clear" w:color="auto" w:fill="auto"/>
            <w:noWrap/>
            <w:vAlign w:val="bottom"/>
            <w:hideMark/>
          </w:tcPr>
          <w:p w14:paraId="139EA74A" w14:textId="77777777" w:rsidR="00E13052" w:rsidRPr="00F31194" w:rsidRDefault="00E13052" w:rsidP="00E13052">
            <w:pPr>
              <w:jc w:val="right"/>
              <w:rPr>
                <w:sz w:val="14"/>
                <w:szCs w:val="14"/>
              </w:rPr>
            </w:pPr>
            <w:r w:rsidRPr="00F31194">
              <w:rPr>
                <w:sz w:val="14"/>
                <w:szCs w:val="14"/>
              </w:rPr>
              <w:t>3 472 711</w:t>
            </w:r>
          </w:p>
        </w:tc>
        <w:tc>
          <w:tcPr>
            <w:tcW w:w="851" w:type="dxa"/>
            <w:tcBorders>
              <w:top w:val="nil"/>
              <w:left w:val="nil"/>
              <w:bottom w:val="single" w:sz="4" w:space="0" w:color="A6A6A6"/>
              <w:right w:val="single" w:sz="4" w:space="0" w:color="A6A6A6"/>
            </w:tcBorders>
            <w:shd w:val="clear" w:color="auto" w:fill="auto"/>
            <w:noWrap/>
            <w:vAlign w:val="bottom"/>
            <w:hideMark/>
          </w:tcPr>
          <w:p w14:paraId="488483BF" w14:textId="77777777" w:rsidR="00E13052" w:rsidRPr="00F31194" w:rsidRDefault="00E13052" w:rsidP="00E13052">
            <w:pPr>
              <w:jc w:val="right"/>
              <w:rPr>
                <w:sz w:val="14"/>
                <w:szCs w:val="14"/>
              </w:rPr>
            </w:pPr>
            <w:r w:rsidRPr="00F31194">
              <w:rPr>
                <w:sz w:val="14"/>
                <w:szCs w:val="14"/>
              </w:rPr>
              <w:t>0</w:t>
            </w:r>
          </w:p>
        </w:tc>
      </w:tr>
      <w:tr w:rsidR="00E13052" w:rsidRPr="00E13052" w14:paraId="5BC2742D"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20ED091E" w14:textId="77777777" w:rsidR="00E13052" w:rsidRPr="00F31194" w:rsidRDefault="00E13052" w:rsidP="00E13052">
            <w:pPr>
              <w:jc w:val="center"/>
              <w:rPr>
                <w:sz w:val="14"/>
                <w:szCs w:val="14"/>
              </w:rPr>
            </w:pPr>
            <w:r w:rsidRPr="00F31194">
              <w:rPr>
                <w:sz w:val="14"/>
                <w:szCs w:val="14"/>
              </w:rPr>
              <w:t>2022</w:t>
            </w:r>
          </w:p>
        </w:tc>
        <w:tc>
          <w:tcPr>
            <w:tcW w:w="782" w:type="dxa"/>
            <w:tcBorders>
              <w:top w:val="nil"/>
              <w:left w:val="nil"/>
              <w:bottom w:val="single" w:sz="4" w:space="0" w:color="A6A6A6"/>
              <w:right w:val="single" w:sz="4" w:space="0" w:color="A6A6A6"/>
            </w:tcBorders>
            <w:shd w:val="clear" w:color="auto" w:fill="auto"/>
            <w:noWrap/>
            <w:vAlign w:val="bottom"/>
            <w:hideMark/>
          </w:tcPr>
          <w:p w14:paraId="40838D54"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11D1A9A8"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33665937" w14:textId="77777777" w:rsidR="00E13052" w:rsidRPr="00F31194" w:rsidRDefault="00E13052" w:rsidP="00E13052">
            <w:pPr>
              <w:jc w:val="right"/>
              <w:rPr>
                <w:sz w:val="14"/>
                <w:szCs w:val="14"/>
              </w:rPr>
            </w:pPr>
            <w:r w:rsidRPr="00F31194">
              <w:rPr>
                <w:sz w:val="14"/>
                <w:szCs w:val="14"/>
              </w:rPr>
              <w:t>3 123 859</w:t>
            </w:r>
          </w:p>
        </w:tc>
        <w:tc>
          <w:tcPr>
            <w:tcW w:w="801" w:type="dxa"/>
            <w:tcBorders>
              <w:top w:val="nil"/>
              <w:left w:val="nil"/>
              <w:bottom w:val="single" w:sz="4" w:space="0" w:color="A6A6A6"/>
              <w:right w:val="single" w:sz="4" w:space="0" w:color="A6A6A6"/>
            </w:tcBorders>
            <w:shd w:val="clear" w:color="auto" w:fill="auto"/>
            <w:noWrap/>
            <w:vAlign w:val="bottom"/>
            <w:hideMark/>
          </w:tcPr>
          <w:p w14:paraId="78795BE2"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62C6E330" w14:textId="77777777" w:rsidR="00E13052" w:rsidRPr="00F31194" w:rsidRDefault="00E13052" w:rsidP="00E13052">
            <w:pPr>
              <w:jc w:val="right"/>
              <w:rPr>
                <w:sz w:val="14"/>
                <w:szCs w:val="14"/>
              </w:rPr>
            </w:pPr>
            <w:r w:rsidRPr="00F31194">
              <w:rPr>
                <w:sz w:val="14"/>
                <w:szCs w:val="14"/>
              </w:rPr>
              <w:t>3 421 084</w:t>
            </w:r>
          </w:p>
        </w:tc>
        <w:tc>
          <w:tcPr>
            <w:tcW w:w="644" w:type="dxa"/>
            <w:tcBorders>
              <w:top w:val="nil"/>
              <w:left w:val="nil"/>
              <w:bottom w:val="single" w:sz="4" w:space="0" w:color="A6A6A6"/>
              <w:right w:val="single" w:sz="4" w:space="0" w:color="A6A6A6"/>
            </w:tcBorders>
            <w:shd w:val="clear" w:color="auto" w:fill="auto"/>
            <w:noWrap/>
            <w:vAlign w:val="bottom"/>
            <w:hideMark/>
          </w:tcPr>
          <w:p w14:paraId="03068C79"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2D479DE1"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2F8082C1"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7024F190" w14:textId="77777777" w:rsidR="00E13052" w:rsidRPr="00F31194" w:rsidRDefault="00E13052" w:rsidP="00E13052">
            <w:pPr>
              <w:jc w:val="right"/>
              <w:rPr>
                <w:sz w:val="14"/>
                <w:szCs w:val="14"/>
              </w:rPr>
            </w:pPr>
            <w:r w:rsidRPr="00F31194">
              <w:rPr>
                <w:sz w:val="14"/>
                <w:szCs w:val="14"/>
              </w:rPr>
              <w:t>3 715 702</w:t>
            </w:r>
          </w:p>
        </w:tc>
        <w:tc>
          <w:tcPr>
            <w:tcW w:w="1379" w:type="dxa"/>
            <w:tcBorders>
              <w:top w:val="nil"/>
              <w:left w:val="nil"/>
              <w:bottom w:val="single" w:sz="4" w:space="0" w:color="A6A6A6"/>
              <w:right w:val="single" w:sz="4" w:space="0" w:color="A6A6A6"/>
            </w:tcBorders>
            <w:shd w:val="clear" w:color="auto" w:fill="auto"/>
            <w:noWrap/>
            <w:vAlign w:val="bottom"/>
            <w:hideMark/>
          </w:tcPr>
          <w:p w14:paraId="54541E24" w14:textId="77777777" w:rsidR="00E13052" w:rsidRPr="00F31194" w:rsidRDefault="00E13052" w:rsidP="00E13052">
            <w:pPr>
              <w:jc w:val="right"/>
              <w:rPr>
                <w:sz w:val="14"/>
                <w:szCs w:val="14"/>
              </w:rPr>
            </w:pPr>
            <w:r w:rsidRPr="00F31194">
              <w:rPr>
                <w:sz w:val="14"/>
                <w:szCs w:val="14"/>
              </w:rPr>
              <w:t>4 012 927</w:t>
            </w:r>
          </w:p>
        </w:tc>
        <w:tc>
          <w:tcPr>
            <w:tcW w:w="851" w:type="dxa"/>
            <w:tcBorders>
              <w:top w:val="nil"/>
              <w:left w:val="nil"/>
              <w:bottom w:val="single" w:sz="4" w:space="0" w:color="A6A6A6"/>
              <w:right w:val="single" w:sz="4" w:space="0" w:color="A6A6A6"/>
            </w:tcBorders>
            <w:shd w:val="clear" w:color="auto" w:fill="auto"/>
            <w:noWrap/>
            <w:vAlign w:val="bottom"/>
            <w:hideMark/>
          </w:tcPr>
          <w:p w14:paraId="3A153C98" w14:textId="77777777" w:rsidR="00E13052" w:rsidRPr="00F31194" w:rsidRDefault="00E13052" w:rsidP="00E13052">
            <w:pPr>
              <w:jc w:val="right"/>
              <w:rPr>
                <w:sz w:val="14"/>
                <w:szCs w:val="14"/>
              </w:rPr>
            </w:pPr>
            <w:r w:rsidRPr="00F31194">
              <w:rPr>
                <w:sz w:val="14"/>
                <w:szCs w:val="14"/>
              </w:rPr>
              <w:t>0</w:t>
            </w:r>
          </w:p>
        </w:tc>
      </w:tr>
      <w:tr w:rsidR="00E13052" w:rsidRPr="00E13052" w14:paraId="27CE0125"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4DEFBDD6" w14:textId="77777777" w:rsidR="00E13052" w:rsidRPr="00F31194" w:rsidRDefault="00E13052" w:rsidP="00E13052">
            <w:pPr>
              <w:jc w:val="center"/>
              <w:rPr>
                <w:sz w:val="14"/>
                <w:szCs w:val="14"/>
              </w:rPr>
            </w:pPr>
            <w:r w:rsidRPr="00F31194">
              <w:rPr>
                <w:sz w:val="14"/>
                <w:szCs w:val="14"/>
              </w:rPr>
              <w:t>2023</w:t>
            </w:r>
          </w:p>
        </w:tc>
        <w:tc>
          <w:tcPr>
            <w:tcW w:w="782" w:type="dxa"/>
            <w:tcBorders>
              <w:top w:val="nil"/>
              <w:left w:val="nil"/>
              <w:bottom w:val="single" w:sz="4" w:space="0" w:color="A6A6A6"/>
              <w:right w:val="single" w:sz="4" w:space="0" w:color="A6A6A6"/>
            </w:tcBorders>
            <w:shd w:val="clear" w:color="auto" w:fill="auto"/>
            <w:noWrap/>
            <w:vAlign w:val="bottom"/>
            <w:hideMark/>
          </w:tcPr>
          <w:p w14:paraId="01528C45"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56DBD828"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4B004D00" w14:textId="77777777" w:rsidR="00E13052" w:rsidRPr="00F31194" w:rsidRDefault="00E13052" w:rsidP="00E13052">
            <w:pPr>
              <w:jc w:val="right"/>
              <w:rPr>
                <w:sz w:val="14"/>
                <w:szCs w:val="14"/>
              </w:rPr>
            </w:pPr>
            <w:r w:rsidRPr="00F31194">
              <w:rPr>
                <w:sz w:val="14"/>
                <w:szCs w:val="14"/>
              </w:rPr>
              <w:t>2 939 986</w:t>
            </w:r>
          </w:p>
        </w:tc>
        <w:tc>
          <w:tcPr>
            <w:tcW w:w="801" w:type="dxa"/>
            <w:tcBorders>
              <w:top w:val="nil"/>
              <w:left w:val="nil"/>
              <w:bottom w:val="single" w:sz="4" w:space="0" w:color="A6A6A6"/>
              <w:right w:val="single" w:sz="4" w:space="0" w:color="A6A6A6"/>
            </w:tcBorders>
            <w:shd w:val="clear" w:color="auto" w:fill="auto"/>
            <w:noWrap/>
            <w:vAlign w:val="bottom"/>
            <w:hideMark/>
          </w:tcPr>
          <w:p w14:paraId="6596CF77"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000000" w:fill="FFFFFF"/>
            <w:noWrap/>
            <w:vAlign w:val="bottom"/>
            <w:hideMark/>
          </w:tcPr>
          <w:p w14:paraId="65A1F998" w14:textId="77777777" w:rsidR="00E13052" w:rsidRPr="00F31194" w:rsidRDefault="00E13052" w:rsidP="00E13052">
            <w:pPr>
              <w:jc w:val="right"/>
              <w:rPr>
                <w:sz w:val="14"/>
                <w:szCs w:val="14"/>
              </w:rPr>
            </w:pPr>
            <w:r w:rsidRPr="00F31194">
              <w:rPr>
                <w:sz w:val="14"/>
                <w:szCs w:val="14"/>
              </w:rPr>
              <w:t>3 447 746</w:t>
            </w:r>
          </w:p>
        </w:tc>
        <w:tc>
          <w:tcPr>
            <w:tcW w:w="644" w:type="dxa"/>
            <w:tcBorders>
              <w:top w:val="nil"/>
              <w:left w:val="nil"/>
              <w:bottom w:val="single" w:sz="4" w:space="0" w:color="A6A6A6"/>
              <w:right w:val="single" w:sz="4" w:space="0" w:color="A6A6A6"/>
            </w:tcBorders>
            <w:shd w:val="clear" w:color="auto" w:fill="auto"/>
            <w:noWrap/>
            <w:vAlign w:val="bottom"/>
            <w:hideMark/>
          </w:tcPr>
          <w:p w14:paraId="11F1359B"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6DA238AC"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036515A0"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57FB4768" w14:textId="77777777" w:rsidR="00E13052" w:rsidRPr="00F31194" w:rsidRDefault="00E13052" w:rsidP="00E13052">
            <w:pPr>
              <w:jc w:val="right"/>
              <w:rPr>
                <w:sz w:val="14"/>
                <w:szCs w:val="14"/>
              </w:rPr>
            </w:pPr>
            <w:r w:rsidRPr="00F31194">
              <w:rPr>
                <w:sz w:val="14"/>
                <w:szCs w:val="14"/>
              </w:rPr>
              <w:t>3 531 829</w:t>
            </w:r>
          </w:p>
        </w:tc>
        <w:tc>
          <w:tcPr>
            <w:tcW w:w="1379" w:type="dxa"/>
            <w:tcBorders>
              <w:top w:val="nil"/>
              <w:left w:val="nil"/>
              <w:bottom w:val="single" w:sz="4" w:space="0" w:color="A6A6A6"/>
              <w:right w:val="single" w:sz="4" w:space="0" w:color="A6A6A6"/>
            </w:tcBorders>
            <w:shd w:val="clear" w:color="auto" w:fill="auto"/>
            <w:noWrap/>
            <w:vAlign w:val="bottom"/>
            <w:hideMark/>
          </w:tcPr>
          <w:p w14:paraId="5DEF4808" w14:textId="77777777" w:rsidR="00E13052" w:rsidRPr="00F31194" w:rsidRDefault="00E13052" w:rsidP="00E13052">
            <w:pPr>
              <w:jc w:val="right"/>
              <w:rPr>
                <w:sz w:val="14"/>
                <w:szCs w:val="14"/>
              </w:rPr>
            </w:pPr>
            <w:r w:rsidRPr="00F31194">
              <w:rPr>
                <w:sz w:val="14"/>
                <w:szCs w:val="14"/>
              </w:rPr>
              <w:t>4 039 589</w:t>
            </w:r>
          </w:p>
        </w:tc>
        <w:tc>
          <w:tcPr>
            <w:tcW w:w="851" w:type="dxa"/>
            <w:tcBorders>
              <w:top w:val="nil"/>
              <w:left w:val="nil"/>
              <w:bottom w:val="single" w:sz="4" w:space="0" w:color="A6A6A6"/>
              <w:right w:val="single" w:sz="4" w:space="0" w:color="A6A6A6"/>
            </w:tcBorders>
            <w:shd w:val="clear" w:color="auto" w:fill="auto"/>
            <w:noWrap/>
            <w:vAlign w:val="bottom"/>
            <w:hideMark/>
          </w:tcPr>
          <w:p w14:paraId="3FAB4049" w14:textId="77777777" w:rsidR="00E13052" w:rsidRPr="00F31194" w:rsidRDefault="00E13052" w:rsidP="00E13052">
            <w:pPr>
              <w:jc w:val="right"/>
              <w:rPr>
                <w:sz w:val="14"/>
                <w:szCs w:val="14"/>
              </w:rPr>
            </w:pPr>
            <w:r w:rsidRPr="00F31194">
              <w:rPr>
                <w:sz w:val="14"/>
                <w:szCs w:val="14"/>
              </w:rPr>
              <w:t>0</w:t>
            </w:r>
          </w:p>
        </w:tc>
      </w:tr>
      <w:tr w:rsidR="00E13052" w:rsidRPr="00E13052" w14:paraId="65D1BFEA"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250EAD01" w14:textId="77777777" w:rsidR="00E13052" w:rsidRPr="00F31194" w:rsidRDefault="00E13052" w:rsidP="00E13052">
            <w:pPr>
              <w:jc w:val="center"/>
              <w:rPr>
                <w:sz w:val="14"/>
                <w:szCs w:val="14"/>
              </w:rPr>
            </w:pPr>
            <w:r w:rsidRPr="00F31194">
              <w:rPr>
                <w:sz w:val="14"/>
                <w:szCs w:val="14"/>
              </w:rPr>
              <w:t>2024</w:t>
            </w:r>
          </w:p>
        </w:tc>
        <w:tc>
          <w:tcPr>
            <w:tcW w:w="782" w:type="dxa"/>
            <w:tcBorders>
              <w:top w:val="nil"/>
              <w:left w:val="nil"/>
              <w:bottom w:val="single" w:sz="4" w:space="0" w:color="A6A6A6"/>
              <w:right w:val="single" w:sz="4" w:space="0" w:color="A6A6A6"/>
            </w:tcBorders>
            <w:shd w:val="clear" w:color="auto" w:fill="auto"/>
            <w:noWrap/>
            <w:vAlign w:val="bottom"/>
            <w:hideMark/>
          </w:tcPr>
          <w:p w14:paraId="3F0FBA8F"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5974C675"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6FEE4D6B" w14:textId="77777777" w:rsidR="00E13052" w:rsidRPr="00F31194" w:rsidRDefault="00E13052" w:rsidP="00E13052">
            <w:pPr>
              <w:jc w:val="right"/>
              <w:rPr>
                <w:sz w:val="14"/>
                <w:szCs w:val="14"/>
              </w:rPr>
            </w:pPr>
            <w:r w:rsidRPr="00F31194">
              <w:rPr>
                <w:sz w:val="14"/>
                <w:szCs w:val="14"/>
              </w:rPr>
              <w:t>2 486 982</w:t>
            </w:r>
          </w:p>
        </w:tc>
        <w:tc>
          <w:tcPr>
            <w:tcW w:w="801" w:type="dxa"/>
            <w:tcBorders>
              <w:top w:val="nil"/>
              <w:left w:val="nil"/>
              <w:bottom w:val="single" w:sz="4" w:space="0" w:color="A6A6A6"/>
              <w:right w:val="single" w:sz="4" w:space="0" w:color="A6A6A6"/>
            </w:tcBorders>
            <w:shd w:val="clear" w:color="auto" w:fill="auto"/>
            <w:noWrap/>
            <w:vAlign w:val="bottom"/>
            <w:hideMark/>
          </w:tcPr>
          <w:p w14:paraId="241CF6B0"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0630784F" w14:textId="77777777" w:rsidR="00E13052" w:rsidRPr="00F31194" w:rsidRDefault="00E13052" w:rsidP="00E13052">
            <w:pPr>
              <w:jc w:val="right"/>
              <w:rPr>
                <w:sz w:val="14"/>
                <w:szCs w:val="14"/>
              </w:rPr>
            </w:pPr>
            <w:r w:rsidRPr="00F31194">
              <w:rPr>
                <w:sz w:val="14"/>
                <w:szCs w:val="14"/>
              </w:rPr>
              <w:t>3 106 201</w:t>
            </w:r>
          </w:p>
        </w:tc>
        <w:tc>
          <w:tcPr>
            <w:tcW w:w="644" w:type="dxa"/>
            <w:tcBorders>
              <w:top w:val="nil"/>
              <w:left w:val="nil"/>
              <w:bottom w:val="single" w:sz="4" w:space="0" w:color="A6A6A6"/>
              <w:right w:val="single" w:sz="4" w:space="0" w:color="A6A6A6"/>
            </w:tcBorders>
            <w:shd w:val="clear" w:color="auto" w:fill="auto"/>
            <w:noWrap/>
            <w:vAlign w:val="bottom"/>
            <w:hideMark/>
          </w:tcPr>
          <w:p w14:paraId="0C843549"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46FCE90B"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6F851553"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5F8FF22F" w14:textId="77777777" w:rsidR="00E13052" w:rsidRPr="00F31194" w:rsidRDefault="00E13052" w:rsidP="00E13052">
            <w:pPr>
              <w:jc w:val="right"/>
              <w:rPr>
                <w:sz w:val="14"/>
                <w:szCs w:val="14"/>
              </w:rPr>
            </w:pPr>
            <w:r w:rsidRPr="00F31194">
              <w:rPr>
                <w:sz w:val="14"/>
                <w:szCs w:val="14"/>
              </w:rPr>
              <w:t>3 078 825</w:t>
            </w:r>
          </w:p>
        </w:tc>
        <w:tc>
          <w:tcPr>
            <w:tcW w:w="1379" w:type="dxa"/>
            <w:tcBorders>
              <w:top w:val="nil"/>
              <w:left w:val="nil"/>
              <w:bottom w:val="single" w:sz="4" w:space="0" w:color="A6A6A6"/>
              <w:right w:val="single" w:sz="4" w:space="0" w:color="A6A6A6"/>
            </w:tcBorders>
            <w:shd w:val="clear" w:color="auto" w:fill="auto"/>
            <w:noWrap/>
            <w:vAlign w:val="bottom"/>
            <w:hideMark/>
          </w:tcPr>
          <w:p w14:paraId="304AD79B" w14:textId="77777777" w:rsidR="00E13052" w:rsidRPr="00F31194" w:rsidRDefault="00E13052" w:rsidP="00E13052">
            <w:pPr>
              <w:jc w:val="right"/>
              <w:rPr>
                <w:sz w:val="14"/>
                <w:szCs w:val="14"/>
              </w:rPr>
            </w:pPr>
            <w:r w:rsidRPr="00F31194">
              <w:rPr>
                <w:sz w:val="14"/>
                <w:szCs w:val="14"/>
              </w:rPr>
              <w:t>3 698 044</w:t>
            </w:r>
          </w:p>
        </w:tc>
        <w:tc>
          <w:tcPr>
            <w:tcW w:w="851" w:type="dxa"/>
            <w:tcBorders>
              <w:top w:val="nil"/>
              <w:left w:val="nil"/>
              <w:bottom w:val="single" w:sz="4" w:space="0" w:color="A6A6A6"/>
              <w:right w:val="single" w:sz="4" w:space="0" w:color="A6A6A6"/>
            </w:tcBorders>
            <w:shd w:val="clear" w:color="auto" w:fill="auto"/>
            <w:noWrap/>
            <w:vAlign w:val="bottom"/>
            <w:hideMark/>
          </w:tcPr>
          <w:p w14:paraId="423E29AE" w14:textId="77777777" w:rsidR="00E13052" w:rsidRPr="00F31194" w:rsidRDefault="00E13052" w:rsidP="00E13052">
            <w:pPr>
              <w:jc w:val="right"/>
              <w:rPr>
                <w:sz w:val="14"/>
                <w:szCs w:val="14"/>
              </w:rPr>
            </w:pPr>
            <w:r w:rsidRPr="00F31194">
              <w:rPr>
                <w:sz w:val="14"/>
                <w:szCs w:val="14"/>
              </w:rPr>
              <w:t>0</w:t>
            </w:r>
          </w:p>
        </w:tc>
      </w:tr>
      <w:tr w:rsidR="00E13052" w:rsidRPr="00E13052" w14:paraId="508DB704"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3ABC6DB1" w14:textId="77777777" w:rsidR="00E13052" w:rsidRPr="00F31194" w:rsidRDefault="00E13052" w:rsidP="00E13052">
            <w:pPr>
              <w:jc w:val="center"/>
              <w:rPr>
                <w:sz w:val="14"/>
                <w:szCs w:val="14"/>
              </w:rPr>
            </w:pPr>
            <w:r w:rsidRPr="00F31194">
              <w:rPr>
                <w:sz w:val="14"/>
                <w:szCs w:val="14"/>
              </w:rPr>
              <w:t>2025</w:t>
            </w:r>
          </w:p>
        </w:tc>
        <w:tc>
          <w:tcPr>
            <w:tcW w:w="782" w:type="dxa"/>
            <w:tcBorders>
              <w:top w:val="nil"/>
              <w:left w:val="nil"/>
              <w:bottom w:val="single" w:sz="4" w:space="0" w:color="A6A6A6"/>
              <w:right w:val="single" w:sz="4" w:space="0" w:color="A6A6A6"/>
            </w:tcBorders>
            <w:shd w:val="clear" w:color="auto" w:fill="auto"/>
            <w:noWrap/>
            <w:vAlign w:val="bottom"/>
            <w:hideMark/>
          </w:tcPr>
          <w:p w14:paraId="69C8F88A" w14:textId="77777777" w:rsidR="00E13052" w:rsidRPr="00F31194" w:rsidRDefault="00E13052" w:rsidP="00E13052">
            <w:pPr>
              <w:jc w:val="right"/>
              <w:rPr>
                <w:sz w:val="14"/>
                <w:szCs w:val="14"/>
              </w:rPr>
            </w:pPr>
            <w:r w:rsidRPr="00F31194">
              <w:rPr>
                <w:sz w:val="14"/>
                <w:szCs w:val="14"/>
              </w:rPr>
              <w:t>551 770</w:t>
            </w:r>
          </w:p>
        </w:tc>
        <w:tc>
          <w:tcPr>
            <w:tcW w:w="701" w:type="dxa"/>
            <w:tcBorders>
              <w:top w:val="nil"/>
              <w:left w:val="nil"/>
              <w:bottom w:val="single" w:sz="4" w:space="0" w:color="A6A6A6"/>
              <w:right w:val="single" w:sz="4" w:space="0" w:color="A6A6A6"/>
            </w:tcBorders>
            <w:shd w:val="clear" w:color="auto" w:fill="auto"/>
            <w:noWrap/>
            <w:vAlign w:val="bottom"/>
            <w:hideMark/>
          </w:tcPr>
          <w:p w14:paraId="5DF3ACC8"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68386F03" w14:textId="77777777" w:rsidR="00E13052" w:rsidRPr="00F31194" w:rsidRDefault="00E13052" w:rsidP="00E13052">
            <w:pPr>
              <w:jc w:val="right"/>
              <w:rPr>
                <w:sz w:val="14"/>
                <w:szCs w:val="14"/>
              </w:rPr>
            </w:pPr>
            <w:r w:rsidRPr="00F31194">
              <w:rPr>
                <w:sz w:val="14"/>
                <w:szCs w:val="14"/>
              </w:rPr>
              <w:t>2 041 810</w:t>
            </w:r>
          </w:p>
        </w:tc>
        <w:tc>
          <w:tcPr>
            <w:tcW w:w="801" w:type="dxa"/>
            <w:tcBorders>
              <w:top w:val="nil"/>
              <w:left w:val="nil"/>
              <w:bottom w:val="single" w:sz="4" w:space="0" w:color="A6A6A6"/>
              <w:right w:val="single" w:sz="4" w:space="0" w:color="A6A6A6"/>
            </w:tcBorders>
            <w:shd w:val="clear" w:color="auto" w:fill="auto"/>
            <w:noWrap/>
            <w:vAlign w:val="bottom"/>
            <w:hideMark/>
          </w:tcPr>
          <w:p w14:paraId="5807B7AE"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3B1E7623" w14:textId="77777777" w:rsidR="00E13052" w:rsidRPr="00F31194" w:rsidRDefault="00E13052" w:rsidP="00E13052">
            <w:pPr>
              <w:jc w:val="right"/>
              <w:rPr>
                <w:sz w:val="14"/>
                <w:szCs w:val="14"/>
              </w:rPr>
            </w:pPr>
            <w:r w:rsidRPr="00F31194">
              <w:rPr>
                <w:sz w:val="14"/>
                <w:szCs w:val="14"/>
              </w:rPr>
              <w:t>2 661 029</w:t>
            </w:r>
          </w:p>
        </w:tc>
        <w:tc>
          <w:tcPr>
            <w:tcW w:w="644" w:type="dxa"/>
            <w:tcBorders>
              <w:top w:val="nil"/>
              <w:left w:val="nil"/>
              <w:bottom w:val="single" w:sz="4" w:space="0" w:color="A6A6A6"/>
              <w:right w:val="single" w:sz="4" w:space="0" w:color="A6A6A6"/>
            </w:tcBorders>
            <w:shd w:val="clear" w:color="auto" w:fill="auto"/>
            <w:noWrap/>
            <w:vAlign w:val="bottom"/>
            <w:hideMark/>
          </w:tcPr>
          <w:p w14:paraId="1AA6F415"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11EE9B87" w14:textId="77777777" w:rsidR="00E13052" w:rsidRPr="00F31194" w:rsidRDefault="00E13052" w:rsidP="00E13052">
            <w:pPr>
              <w:jc w:val="right"/>
              <w:rPr>
                <w:sz w:val="14"/>
                <w:szCs w:val="14"/>
              </w:rPr>
            </w:pPr>
            <w:r w:rsidRPr="00F31194">
              <w:rPr>
                <w:sz w:val="14"/>
                <w:szCs w:val="14"/>
              </w:rPr>
              <w:t>40 073</w:t>
            </w:r>
          </w:p>
        </w:tc>
        <w:tc>
          <w:tcPr>
            <w:tcW w:w="830" w:type="dxa"/>
            <w:tcBorders>
              <w:top w:val="nil"/>
              <w:left w:val="nil"/>
              <w:bottom w:val="single" w:sz="4" w:space="0" w:color="A6A6A6"/>
              <w:right w:val="single" w:sz="4" w:space="0" w:color="A6A6A6"/>
            </w:tcBorders>
            <w:shd w:val="clear" w:color="auto" w:fill="auto"/>
            <w:noWrap/>
            <w:vAlign w:val="bottom"/>
            <w:hideMark/>
          </w:tcPr>
          <w:p w14:paraId="09D151FA"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3E42A5AF" w14:textId="77777777" w:rsidR="00E13052" w:rsidRPr="00F31194" w:rsidRDefault="00E13052" w:rsidP="00E13052">
            <w:pPr>
              <w:jc w:val="right"/>
              <w:rPr>
                <w:sz w:val="14"/>
                <w:szCs w:val="14"/>
              </w:rPr>
            </w:pPr>
            <w:r w:rsidRPr="00F31194">
              <w:rPr>
                <w:sz w:val="14"/>
                <w:szCs w:val="14"/>
              </w:rPr>
              <w:t>2 633 653</w:t>
            </w:r>
          </w:p>
        </w:tc>
        <w:tc>
          <w:tcPr>
            <w:tcW w:w="1379" w:type="dxa"/>
            <w:tcBorders>
              <w:top w:val="nil"/>
              <w:left w:val="nil"/>
              <w:bottom w:val="single" w:sz="4" w:space="0" w:color="A6A6A6"/>
              <w:right w:val="single" w:sz="4" w:space="0" w:color="A6A6A6"/>
            </w:tcBorders>
            <w:shd w:val="clear" w:color="auto" w:fill="auto"/>
            <w:noWrap/>
            <w:vAlign w:val="bottom"/>
            <w:hideMark/>
          </w:tcPr>
          <w:p w14:paraId="1DDAF774" w14:textId="77777777" w:rsidR="00E13052" w:rsidRPr="00F31194" w:rsidRDefault="00E13052" w:rsidP="00E13052">
            <w:pPr>
              <w:jc w:val="right"/>
              <w:rPr>
                <w:sz w:val="14"/>
                <w:szCs w:val="14"/>
              </w:rPr>
            </w:pPr>
            <w:r w:rsidRPr="00F31194">
              <w:rPr>
                <w:sz w:val="14"/>
                <w:szCs w:val="14"/>
              </w:rPr>
              <w:t>3 252 872</w:t>
            </w:r>
          </w:p>
        </w:tc>
        <w:tc>
          <w:tcPr>
            <w:tcW w:w="851" w:type="dxa"/>
            <w:tcBorders>
              <w:top w:val="nil"/>
              <w:left w:val="nil"/>
              <w:bottom w:val="single" w:sz="4" w:space="0" w:color="A6A6A6"/>
              <w:right w:val="single" w:sz="4" w:space="0" w:color="A6A6A6"/>
            </w:tcBorders>
            <w:shd w:val="clear" w:color="auto" w:fill="auto"/>
            <w:noWrap/>
            <w:vAlign w:val="bottom"/>
            <w:hideMark/>
          </w:tcPr>
          <w:p w14:paraId="7453DE8D" w14:textId="77777777" w:rsidR="00E13052" w:rsidRPr="00F31194" w:rsidRDefault="00E13052" w:rsidP="00E13052">
            <w:pPr>
              <w:jc w:val="right"/>
              <w:rPr>
                <w:sz w:val="14"/>
                <w:szCs w:val="14"/>
              </w:rPr>
            </w:pPr>
            <w:r w:rsidRPr="00F31194">
              <w:rPr>
                <w:sz w:val="14"/>
                <w:szCs w:val="14"/>
              </w:rPr>
              <w:t>0</w:t>
            </w:r>
          </w:p>
        </w:tc>
      </w:tr>
      <w:tr w:rsidR="00E13052" w:rsidRPr="00E13052" w14:paraId="7293D172"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67B2EE97" w14:textId="77777777" w:rsidR="00E13052" w:rsidRPr="00F31194" w:rsidRDefault="00E13052" w:rsidP="00E13052">
            <w:pPr>
              <w:jc w:val="center"/>
              <w:rPr>
                <w:sz w:val="14"/>
                <w:szCs w:val="14"/>
              </w:rPr>
            </w:pPr>
            <w:r w:rsidRPr="00F31194">
              <w:rPr>
                <w:sz w:val="14"/>
                <w:szCs w:val="14"/>
              </w:rPr>
              <w:t>2026</w:t>
            </w:r>
          </w:p>
        </w:tc>
        <w:tc>
          <w:tcPr>
            <w:tcW w:w="782" w:type="dxa"/>
            <w:tcBorders>
              <w:top w:val="nil"/>
              <w:left w:val="nil"/>
              <w:bottom w:val="single" w:sz="4" w:space="0" w:color="A6A6A6"/>
              <w:right w:val="single" w:sz="4" w:space="0" w:color="A6A6A6"/>
            </w:tcBorders>
            <w:shd w:val="clear" w:color="auto" w:fill="auto"/>
            <w:noWrap/>
            <w:vAlign w:val="bottom"/>
            <w:hideMark/>
          </w:tcPr>
          <w:p w14:paraId="56780466" w14:textId="77777777" w:rsidR="00E13052" w:rsidRPr="00F31194" w:rsidRDefault="00E13052" w:rsidP="00E13052">
            <w:pPr>
              <w:jc w:val="right"/>
              <w:rPr>
                <w:sz w:val="14"/>
                <w:szCs w:val="14"/>
              </w:rPr>
            </w:pPr>
            <w:r w:rsidRPr="00F31194">
              <w:rPr>
                <w:sz w:val="14"/>
                <w:szCs w:val="14"/>
              </w:rPr>
              <w:t>275 885</w:t>
            </w:r>
          </w:p>
        </w:tc>
        <w:tc>
          <w:tcPr>
            <w:tcW w:w="701" w:type="dxa"/>
            <w:tcBorders>
              <w:top w:val="nil"/>
              <w:left w:val="nil"/>
              <w:bottom w:val="single" w:sz="4" w:space="0" w:color="A6A6A6"/>
              <w:right w:val="single" w:sz="4" w:space="0" w:color="A6A6A6"/>
            </w:tcBorders>
            <w:shd w:val="clear" w:color="auto" w:fill="auto"/>
            <w:noWrap/>
            <w:vAlign w:val="bottom"/>
            <w:hideMark/>
          </w:tcPr>
          <w:p w14:paraId="554DAC52"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1FD8BBE1" w14:textId="77777777" w:rsidR="00E13052" w:rsidRPr="00F31194" w:rsidRDefault="00E13052" w:rsidP="00E13052">
            <w:pPr>
              <w:jc w:val="right"/>
              <w:rPr>
                <w:sz w:val="14"/>
                <w:szCs w:val="14"/>
              </w:rPr>
            </w:pPr>
            <w:r w:rsidRPr="00F31194">
              <w:rPr>
                <w:sz w:val="14"/>
                <w:szCs w:val="14"/>
              </w:rPr>
              <w:t>1 150 600</w:t>
            </w:r>
          </w:p>
        </w:tc>
        <w:tc>
          <w:tcPr>
            <w:tcW w:w="801" w:type="dxa"/>
            <w:tcBorders>
              <w:top w:val="nil"/>
              <w:left w:val="nil"/>
              <w:bottom w:val="single" w:sz="4" w:space="0" w:color="A6A6A6"/>
              <w:right w:val="single" w:sz="4" w:space="0" w:color="A6A6A6"/>
            </w:tcBorders>
            <w:shd w:val="clear" w:color="auto" w:fill="auto"/>
            <w:noWrap/>
            <w:vAlign w:val="bottom"/>
            <w:hideMark/>
          </w:tcPr>
          <w:p w14:paraId="58AC6467"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6894B010" w14:textId="77777777" w:rsidR="00E13052" w:rsidRPr="00F31194" w:rsidRDefault="00E13052" w:rsidP="00E13052">
            <w:pPr>
              <w:jc w:val="right"/>
              <w:rPr>
                <w:sz w:val="14"/>
                <w:szCs w:val="14"/>
              </w:rPr>
            </w:pPr>
            <w:r w:rsidRPr="00F31194">
              <w:rPr>
                <w:sz w:val="14"/>
                <w:szCs w:val="14"/>
              </w:rPr>
              <w:t>1 769 819</w:t>
            </w:r>
          </w:p>
        </w:tc>
        <w:tc>
          <w:tcPr>
            <w:tcW w:w="644" w:type="dxa"/>
            <w:tcBorders>
              <w:top w:val="nil"/>
              <w:left w:val="nil"/>
              <w:bottom w:val="single" w:sz="4" w:space="0" w:color="A6A6A6"/>
              <w:right w:val="single" w:sz="4" w:space="0" w:color="A6A6A6"/>
            </w:tcBorders>
            <w:shd w:val="clear" w:color="auto" w:fill="auto"/>
            <w:noWrap/>
            <w:vAlign w:val="bottom"/>
            <w:hideMark/>
          </w:tcPr>
          <w:p w14:paraId="2B333E30"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67E59240" w14:textId="77777777" w:rsidR="00E13052" w:rsidRPr="00F31194" w:rsidRDefault="00E13052" w:rsidP="00E13052">
            <w:pPr>
              <w:jc w:val="right"/>
              <w:rPr>
                <w:sz w:val="14"/>
                <w:szCs w:val="14"/>
              </w:rPr>
            </w:pPr>
            <w:r w:rsidRPr="00F31194">
              <w:rPr>
                <w:sz w:val="14"/>
                <w:szCs w:val="14"/>
              </w:rPr>
              <w:t>20 037</w:t>
            </w:r>
          </w:p>
        </w:tc>
        <w:tc>
          <w:tcPr>
            <w:tcW w:w="830" w:type="dxa"/>
            <w:tcBorders>
              <w:top w:val="nil"/>
              <w:left w:val="nil"/>
              <w:bottom w:val="single" w:sz="4" w:space="0" w:color="A6A6A6"/>
              <w:right w:val="single" w:sz="4" w:space="0" w:color="A6A6A6"/>
            </w:tcBorders>
            <w:shd w:val="clear" w:color="auto" w:fill="auto"/>
            <w:noWrap/>
            <w:vAlign w:val="bottom"/>
            <w:hideMark/>
          </w:tcPr>
          <w:p w14:paraId="6D2880C8"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45E16933" w14:textId="77777777" w:rsidR="00E13052" w:rsidRPr="00F31194" w:rsidRDefault="00E13052" w:rsidP="00E13052">
            <w:pPr>
              <w:jc w:val="right"/>
              <w:rPr>
                <w:sz w:val="14"/>
                <w:szCs w:val="14"/>
              </w:rPr>
            </w:pPr>
            <w:r w:rsidRPr="00F31194">
              <w:rPr>
                <w:sz w:val="14"/>
                <w:szCs w:val="14"/>
              </w:rPr>
              <w:t>1 446 522</w:t>
            </w:r>
          </w:p>
        </w:tc>
        <w:tc>
          <w:tcPr>
            <w:tcW w:w="1379" w:type="dxa"/>
            <w:tcBorders>
              <w:top w:val="nil"/>
              <w:left w:val="nil"/>
              <w:bottom w:val="single" w:sz="4" w:space="0" w:color="A6A6A6"/>
              <w:right w:val="single" w:sz="4" w:space="0" w:color="A6A6A6"/>
            </w:tcBorders>
            <w:shd w:val="clear" w:color="auto" w:fill="auto"/>
            <w:noWrap/>
            <w:vAlign w:val="bottom"/>
            <w:hideMark/>
          </w:tcPr>
          <w:p w14:paraId="738D9CC5" w14:textId="77777777" w:rsidR="00E13052" w:rsidRPr="00F31194" w:rsidRDefault="00E13052" w:rsidP="00E13052">
            <w:pPr>
              <w:jc w:val="right"/>
              <w:rPr>
                <w:sz w:val="14"/>
                <w:szCs w:val="14"/>
              </w:rPr>
            </w:pPr>
            <w:r w:rsidRPr="00F31194">
              <w:rPr>
                <w:sz w:val="14"/>
                <w:szCs w:val="14"/>
              </w:rPr>
              <w:t>2 065 741</w:t>
            </w:r>
          </w:p>
        </w:tc>
        <w:tc>
          <w:tcPr>
            <w:tcW w:w="851" w:type="dxa"/>
            <w:tcBorders>
              <w:top w:val="nil"/>
              <w:left w:val="nil"/>
              <w:bottom w:val="single" w:sz="4" w:space="0" w:color="A6A6A6"/>
              <w:right w:val="single" w:sz="4" w:space="0" w:color="A6A6A6"/>
            </w:tcBorders>
            <w:shd w:val="clear" w:color="auto" w:fill="auto"/>
            <w:noWrap/>
            <w:vAlign w:val="bottom"/>
            <w:hideMark/>
          </w:tcPr>
          <w:p w14:paraId="1AC42A34" w14:textId="77777777" w:rsidR="00E13052" w:rsidRPr="00F31194" w:rsidRDefault="00E13052" w:rsidP="00E13052">
            <w:pPr>
              <w:jc w:val="right"/>
              <w:rPr>
                <w:sz w:val="14"/>
                <w:szCs w:val="14"/>
              </w:rPr>
            </w:pPr>
            <w:r w:rsidRPr="00F31194">
              <w:rPr>
                <w:sz w:val="14"/>
                <w:szCs w:val="14"/>
              </w:rPr>
              <w:t>0</w:t>
            </w:r>
          </w:p>
        </w:tc>
      </w:tr>
      <w:tr w:rsidR="00E13052" w:rsidRPr="00E13052" w14:paraId="3ECFDBDA"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2BD70A56" w14:textId="77777777" w:rsidR="00E13052" w:rsidRPr="00F31194" w:rsidRDefault="00E13052" w:rsidP="00E13052">
            <w:pPr>
              <w:jc w:val="center"/>
              <w:rPr>
                <w:sz w:val="14"/>
                <w:szCs w:val="14"/>
              </w:rPr>
            </w:pPr>
            <w:r w:rsidRPr="00F31194">
              <w:rPr>
                <w:sz w:val="14"/>
                <w:szCs w:val="14"/>
              </w:rPr>
              <w:t>2027</w:t>
            </w:r>
          </w:p>
        </w:tc>
        <w:tc>
          <w:tcPr>
            <w:tcW w:w="782" w:type="dxa"/>
            <w:tcBorders>
              <w:top w:val="nil"/>
              <w:left w:val="nil"/>
              <w:bottom w:val="single" w:sz="4" w:space="0" w:color="A6A6A6"/>
              <w:right w:val="single" w:sz="4" w:space="0" w:color="A6A6A6"/>
            </w:tcBorders>
            <w:shd w:val="clear" w:color="auto" w:fill="auto"/>
            <w:noWrap/>
            <w:vAlign w:val="bottom"/>
            <w:hideMark/>
          </w:tcPr>
          <w:p w14:paraId="73B44BE6" w14:textId="77777777" w:rsidR="00E13052" w:rsidRPr="00F31194" w:rsidRDefault="00E13052" w:rsidP="00E13052">
            <w:pPr>
              <w:jc w:val="right"/>
              <w:rPr>
                <w:sz w:val="14"/>
                <w:szCs w:val="14"/>
              </w:rPr>
            </w:pPr>
            <w:r w:rsidRPr="00F31194">
              <w:rPr>
                <w:sz w:val="14"/>
                <w:szCs w:val="14"/>
              </w:rPr>
              <w:t>275 885</w:t>
            </w:r>
          </w:p>
        </w:tc>
        <w:tc>
          <w:tcPr>
            <w:tcW w:w="701" w:type="dxa"/>
            <w:tcBorders>
              <w:top w:val="nil"/>
              <w:left w:val="nil"/>
              <w:bottom w:val="single" w:sz="4" w:space="0" w:color="A6A6A6"/>
              <w:right w:val="single" w:sz="4" w:space="0" w:color="A6A6A6"/>
            </w:tcBorders>
            <w:shd w:val="clear" w:color="auto" w:fill="auto"/>
            <w:noWrap/>
            <w:vAlign w:val="bottom"/>
            <w:hideMark/>
          </w:tcPr>
          <w:p w14:paraId="66D09B68"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6BE6D180" w14:textId="77777777" w:rsidR="00E13052" w:rsidRPr="00F31194" w:rsidRDefault="00E13052" w:rsidP="00E13052">
            <w:pPr>
              <w:jc w:val="right"/>
              <w:rPr>
                <w:sz w:val="14"/>
                <w:szCs w:val="14"/>
              </w:rPr>
            </w:pPr>
            <w:r w:rsidRPr="00F31194">
              <w:rPr>
                <w:sz w:val="14"/>
                <w:szCs w:val="14"/>
              </w:rPr>
              <w:t>1 150 600</w:t>
            </w:r>
          </w:p>
        </w:tc>
        <w:tc>
          <w:tcPr>
            <w:tcW w:w="801" w:type="dxa"/>
            <w:tcBorders>
              <w:top w:val="nil"/>
              <w:left w:val="nil"/>
              <w:bottom w:val="single" w:sz="4" w:space="0" w:color="A6A6A6"/>
              <w:right w:val="single" w:sz="4" w:space="0" w:color="A6A6A6"/>
            </w:tcBorders>
            <w:shd w:val="clear" w:color="auto" w:fill="auto"/>
            <w:noWrap/>
            <w:vAlign w:val="bottom"/>
            <w:hideMark/>
          </w:tcPr>
          <w:p w14:paraId="11000AD9"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49ACD74F" w14:textId="77777777" w:rsidR="00E13052" w:rsidRPr="00F31194" w:rsidRDefault="00E13052" w:rsidP="00E13052">
            <w:pPr>
              <w:jc w:val="right"/>
              <w:rPr>
                <w:sz w:val="14"/>
                <w:szCs w:val="14"/>
              </w:rPr>
            </w:pPr>
            <w:r w:rsidRPr="00F31194">
              <w:rPr>
                <w:sz w:val="14"/>
                <w:szCs w:val="14"/>
              </w:rPr>
              <w:t>1 769 819</w:t>
            </w:r>
          </w:p>
        </w:tc>
        <w:tc>
          <w:tcPr>
            <w:tcW w:w="644" w:type="dxa"/>
            <w:tcBorders>
              <w:top w:val="nil"/>
              <w:left w:val="nil"/>
              <w:bottom w:val="single" w:sz="4" w:space="0" w:color="A6A6A6"/>
              <w:right w:val="single" w:sz="4" w:space="0" w:color="A6A6A6"/>
            </w:tcBorders>
            <w:shd w:val="clear" w:color="auto" w:fill="auto"/>
            <w:noWrap/>
            <w:vAlign w:val="bottom"/>
            <w:hideMark/>
          </w:tcPr>
          <w:p w14:paraId="06CCDF8C"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7CA8BC45" w14:textId="77777777" w:rsidR="00E13052" w:rsidRPr="00F31194" w:rsidRDefault="00E13052" w:rsidP="00E13052">
            <w:pPr>
              <w:jc w:val="right"/>
              <w:rPr>
                <w:sz w:val="14"/>
                <w:szCs w:val="14"/>
              </w:rPr>
            </w:pPr>
            <w:r w:rsidRPr="00F31194">
              <w:rPr>
                <w:sz w:val="14"/>
                <w:szCs w:val="14"/>
              </w:rPr>
              <w:t>20 037</w:t>
            </w:r>
          </w:p>
        </w:tc>
        <w:tc>
          <w:tcPr>
            <w:tcW w:w="830" w:type="dxa"/>
            <w:tcBorders>
              <w:top w:val="nil"/>
              <w:left w:val="nil"/>
              <w:bottom w:val="single" w:sz="4" w:space="0" w:color="A6A6A6"/>
              <w:right w:val="single" w:sz="4" w:space="0" w:color="A6A6A6"/>
            </w:tcBorders>
            <w:shd w:val="clear" w:color="auto" w:fill="auto"/>
            <w:noWrap/>
            <w:vAlign w:val="bottom"/>
            <w:hideMark/>
          </w:tcPr>
          <w:p w14:paraId="704BAF08"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2286AB70" w14:textId="77777777" w:rsidR="00E13052" w:rsidRPr="00F31194" w:rsidRDefault="00E13052" w:rsidP="00E13052">
            <w:pPr>
              <w:jc w:val="right"/>
              <w:rPr>
                <w:sz w:val="14"/>
                <w:szCs w:val="14"/>
              </w:rPr>
            </w:pPr>
            <w:r w:rsidRPr="00F31194">
              <w:rPr>
                <w:sz w:val="14"/>
                <w:szCs w:val="14"/>
              </w:rPr>
              <w:t>1 446 522</w:t>
            </w:r>
          </w:p>
        </w:tc>
        <w:tc>
          <w:tcPr>
            <w:tcW w:w="1379" w:type="dxa"/>
            <w:tcBorders>
              <w:top w:val="nil"/>
              <w:left w:val="nil"/>
              <w:bottom w:val="single" w:sz="4" w:space="0" w:color="A6A6A6"/>
              <w:right w:val="single" w:sz="4" w:space="0" w:color="A6A6A6"/>
            </w:tcBorders>
            <w:shd w:val="clear" w:color="auto" w:fill="auto"/>
            <w:noWrap/>
            <w:vAlign w:val="bottom"/>
            <w:hideMark/>
          </w:tcPr>
          <w:p w14:paraId="236B9FF6" w14:textId="77777777" w:rsidR="00E13052" w:rsidRPr="00F31194" w:rsidRDefault="00E13052" w:rsidP="00E13052">
            <w:pPr>
              <w:jc w:val="right"/>
              <w:rPr>
                <w:sz w:val="14"/>
                <w:szCs w:val="14"/>
              </w:rPr>
            </w:pPr>
            <w:r w:rsidRPr="00F31194">
              <w:rPr>
                <w:sz w:val="14"/>
                <w:szCs w:val="14"/>
              </w:rPr>
              <w:t>2 065 741</w:t>
            </w:r>
          </w:p>
        </w:tc>
        <w:tc>
          <w:tcPr>
            <w:tcW w:w="851" w:type="dxa"/>
            <w:tcBorders>
              <w:top w:val="nil"/>
              <w:left w:val="nil"/>
              <w:bottom w:val="single" w:sz="4" w:space="0" w:color="A6A6A6"/>
              <w:right w:val="single" w:sz="4" w:space="0" w:color="A6A6A6"/>
            </w:tcBorders>
            <w:shd w:val="clear" w:color="auto" w:fill="auto"/>
            <w:noWrap/>
            <w:vAlign w:val="bottom"/>
            <w:hideMark/>
          </w:tcPr>
          <w:p w14:paraId="72E463A6" w14:textId="77777777" w:rsidR="00E13052" w:rsidRPr="00F31194" w:rsidRDefault="00E13052" w:rsidP="00E13052">
            <w:pPr>
              <w:jc w:val="right"/>
              <w:rPr>
                <w:sz w:val="14"/>
                <w:szCs w:val="14"/>
              </w:rPr>
            </w:pPr>
            <w:r w:rsidRPr="00F31194">
              <w:rPr>
                <w:sz w:val="14"/>
                <w:szCs w:val="14"/>
              </w:rPr>
              <w:t>0</w:t>
            </w:r>
          </w:p>
        </w:tc>
      </w:tr>
      <w:tr w:rsidR="00E13052" w:rsidRPr="00E13052" w14:paraId="155BCFED"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47322079" w14:textId="77777777" w:rsidR="00E13052" w:rsidRPr="00F31194" w:rsidRDefault="00E13052" w:rsidP="00E13052">
            <w:pPr>
              <w:jc w:val="center"/>
              <w:rPr>
                <w:sz w:val="14"/>
                <w:szCs w:val="14"/>
              </w:rPr>
            </w:pPr>
            <w:r w:rsidRPr="00F31194">
              <w:rPr>
                <w:sz w:val="14"/>
                <w:szCs w:val="14"/>
              </w:rPr>
              <w:t>2028</w:t>
            </w:r>
          </w:p>
        </w:tc>
        <w:tc>
          <w:tcPr>
            <w:tcW w:w="782" w:type="dxa"/>
            <w:tcBorders>
              <w:top w:val="nil"/>
              <w:left w:val="nil"/>
              <w:bottom w:val="single" w:sz="4" w:space="0" w:color="A6A6A6"/>
              <w:right w:val="single" w:sz="4" w:space="0" w:color="A6A6A6"/>
            </w:tcBorders>
            <w:shd w:val="clear" w:color="auto" w:fill="auto"/>
            <w:noWrap/>
            <w:vAlign w:val="bottom"/>
            <w:hideMark/>
          </w:tcPr>
          <w:p w14:paraId="69149979" w14:textId="77777777" w:rsidR="00E13052" w:rsidRPr="00F31194" w:rsidRDefault="00E13052" w:rsidP="00E13052">
            <w:pPr>
              <w:jc w:val="right"/>
              <w:rPr>
                <w:sz w:val="14"/>
                <w:szCs w:val="14"/>
              </w:rPr>
            </w:pPr>
            <w:r w:rsidRPr="00F31194">
              <w:rPr>
                <w:sz w:val="14"/>
                <w:szCs w:val="14"/>
              </w:rPr>
              <w:t>275 885</w:t>
            </w:r>
          </w:p>
        </w:tc>
        <w:tc>
          <w:tcPr>
            <w:tcW w:w="701" w:type="dxa"/>
            <w:tcBorders>
              <w:top w:val="nil"/>
              <w:left w:val="nil"/>
              <w:bottom w:val="single" w:sz="4" w:space="0" w:color="A6A6A6"/>
              <w:right w:val="single" w:sz="4" w:space="0" w:color="A6A6A6"/>
            </w:tcBorders>
            <w:shd w:val="clear" w:color="auto" w:fill="auto"/>
            <w:noWrap/>
            <w:vAlign w:val="bottom"/>
            <w:hideMark/>
          </w:tcPr>
          <w:p w14:paraId="565096CA"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6CB5A96F" w14:textId="77777777" w:rsidR="00E13052" w:rsidRPr="00F31194" w:rsidRDefault="00E13052" w:rsidP="00E13052">
            <w:pPr>
              <w:jc w:val="right"/>
              <w:rPr>
                <w:sz w:val="14"/>
                <w:szCs w:val="14"/>
              </w:rPr>
            </w:pPr>
            <w:r w:rsidRPr="00F31194">
              <w:rPr>
                <w:sz w:val="14"/>
                <w:szCs w:val="14"/>
              </w:rPr>
              <w:t>1 150 600</w:t>
            </w:r>
          </w:p>
        </w:tc>
        <w:tc>
          <w:tcPr>
            <w:tcW w:w="801" w:type="dxa"/>
            <w:tcBorders>
              <w:top w:val="nil"/>
              <w:left w:val="nil"/>
              <w:bottom w:val="single" w:sz="4" w:space="0" w:color="A6A6A6"/>
              <w:right w:val="single" w:sz="4" w:space="0" w:color="A6A6A6"/>
            </w:tcBorders>
            <w:shd w:val="clear" w:color="auto" w:fill="auto"/>
            <w:noWrap/>
            <w:vAlign w:val="bottom"/>
            <w:hideMark/>
          </w:tcPr>
          <w:p w14:paraId="1031F04D"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66DC7FE1" w14:textId="77777777" w:rsidR="00E13052" w:rsidRPr="00F31194" w:rsidRDefault="00E13052" w:rsidP="00E13052">
            <w:pPr>
              <w:jc w:val="right"/>
              <w:rPr>
                <w:sz w:val="14"/>
                <w:szCs w:val="14"/>
              </w:rPr>
            </w:pPr>
            <w:r w:rsidRPr="00F31194">
              <w:rPr>
                <w:sz w:val="14"/>
                <w:szCs w:val="14"/>
              </w:rPr>
              <w:t>1 769 819</w:t>
            </w:r>
          </w:p>
        </w:tc>
        <w:tc>
          <w:tcPr>
            <w:tcW w:w="644" w:type="dxa"/>
            <w:tcBorders>
              <w:top w:val="nil"/>
              <w:left w:val="nil"/>
              <w:bottom w:val="single" w:sz="4" w:space="0" w:color="A6A6A6"/>
              <w:right w:val="single" w:sz="4" w:space="0" w:color="A6A6A6"/>
            </w:tcBorders>
            <w:shd w:val="clear" w:color="auto" w:fill="auto"/>
            <w:noWrap/>
            <w:vAlign w:val="bottom"/>
            <w:hideMark/>
          </w:tcPr>
          <w:p w14:paraId="3422C6A3"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352B2445" w14:textId="77777777" w:rsidR="00E13052" w:rsidRPr="00F31194" w:rsidRDefault="00E13052" w:rsidP="00E13052">
            <w:pPr>
              <w:jc w:val="right"/>
              <w:rPr>
                <w:sz w:val="14"/>
                <w:szCs w:val="14"/>
              </w:rPr>
            </w:pPr>
            <w:r w:rsidRPr="00F31194">
              <w:rPr>
                <w:sz w:val="14"/>
                <w:szCs w:val="14"/>
              </w:rPr>
              <w:t>20 037</w:t>
            </w:r>
          </w:p>
        </w:tc>
        <w:tc>
          <w:tcPr>
            <w:tcW w:w="830" w:type="dxa"/>
            <w:tcBorders>
              <w:top w:val="nil"/>
              <w:left w:val="nil"/>
              <w:bottom w:val="single" w:sz="4" w:space="0" w:color="A6A6A6"/>
              <w:right w:val="single" w:sz="4" w:space="0" w:color="A6A6A6"/>
            </w:tcBorders>
            <w:shd w:val="clear" w:color="auto" w:fill="auto"/>
            <w:noWrap/>
            <w:vAlign w:val="bottom"/>
            <w:hideMark/>
          </w:tcPr>
          <w:p w14:paraId="531B48BA"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58C1E35B" w14:textId="77777777" w:rsidR="00E13052" w:rsidRPr="00F31194" w:rsidRDefault="00E13052" w:rsidP="00E13052">
            <w:pPr>
              <w:jc w:val="right"/>
              <w:rPr>
                <w:sz w:val="14"/>
                <w:szCs w:val="14"/>
              </w:rPr>
            </w:pPr>
            <w:r w:rsidRPr="00F31194">
              <w:rPr>
                <w:sz w:val="14"/>
                <w:szCs w:val="14"/>
              </w:rPr>
              <w:t>1 446 522</w:t>
            </w:r>
          </w:p>
        </w:tc>
        <w:tc>
          <w:tcPr>
            <w:tcW w:w="1379" w:type="dxa"/>
            <w:tcBorders>
              <w:top w:val="nil"/>
              <w:left w:val="nil"/>
              <w:bottom w:val="single" w:sz="4" w:space="0" w:color="A6A6A6"/>
              <w:right w:val="single" w:sz="4" w:space="0" w:color="A6A6A6"/>
            </w:tcBorders>
            <w:shd w:val="clear" w:color="auto" w:fill="auto"/>
            <w:noWrap/>
            <w:vAlign w:val="bottom"/>
            <w:hideMark/>
          </w:tcPr>
          <w:p w14:paraId="213C0775" w14:textId="77777777" w:rsidR="00E13052" w:rsidRPr="00F31194" w:rsidRDefault="00E13052" w:rsidP="00E13052">
            <w:pPr>
              <w:jc w:val="right"/>
              <w:rPr>
                <w:sz w:val="14"/>
                <w:szCs w:val="14"/>
              </w:rPr>
            </w:pPr>
            <w:r w:rsidRPr="00F31194">
              <w:rPr>
                <w:sz w:val="14"/>
                <w:szCs w:val="14"/>
              </w:rPr>
              <w:t>2 065 741</w:t>
            </w:r>
          </w:p>
        </w:tc>
        <w:tc>
          <w:tcPr>
            <w:tcW w:w="851" w:type="dxa"/>
            <w:tcBorders>
              <w:top w:val="nil"/>
              <w:left w:val="nil"/>
              <w:bottom w:val="single" w:sz="4" w:space="0" w:color="A6A6A6"/>
              <w:right w:val="single" w:sz="4" w:space="0" w:color="A6A6A6"/>
            </w:tcBorders>
            <w:shd w:val="clear" w:color="auto" w:fill="auto"/>
            <w:noWrap/>
            <w:vAlign w:val="bottom"/>
            <w:hideMark/>
          </w:tcPr>
          <w:p w14:paraId="16F6CE7A" w14:textId="77777777" w:rsidR="00E13052" w:rsidRPr="00F31194" w:rsidRDefault="00E13052" w:rsidP="00E13052">
            <w:pPr>
              <w:jc w:val="right"/>
              <w:rPr>
                <w:sz w:val="14"/>
                <w:szCs w:val="14"/>
              </w:rPr>
            </w:pPr>
            <w:r w:rsidRPr="00F31194">
              <w:rPr>
                <w:sz w:val="14"/>
                <w:szCs w:val="14"/>
              </w:rPr>
              <w:t>0</w:t>
            </w:r>
          </w:p>
        </w:tc>
      </w:tr>
      <w:tr w:rsidR="00E13052" w:rsidRPr="00E13052" w14:paraId="7E01C634"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7E447403" w14:textId="77777777" w:rsidR="00E13052" w:rsidRPr="00F31194" w:rsidRDefault="00E13052" w:rsidP="00E13052">
            <w:pPr>
              <w:jc w:val="center"/>
              <w:rPr>
                <w:sz w:val="14"/>
                <w:szCs w:val="14"/>
              </w:rPr>
            </w:pPr>
            <w:r w:rsidRPr="00F31194">
              <w:rPr>
                <w:sz w:val="14"/>
                <w:szCs w:val="14"/>
              </w:rPr>
              <w:t>2029</w:t>
            </w:r>
          </w:p>
        </w:tc>
        <w:tc>
          <w:tcPr>
            <w:tcW w:w="782" w:type="dxa"/>
            <w:tcBorders>
              <w:top w:val="nil"/>
              <w:left w:val="nil"/>
              <w:bottom w:val="single" w:sz="4" w:space="0" w:color="A6A6A6"/>
              <w:right w:val="single" w:sz="4" w:space="0" w:color="A6A6A6"/>
            </w:tcBorders>
            <w:shd w:val="clear" w:color="auto" w:fill="auto"/>
            <w:noWrap/>
            <w:vAlign w:val="bottom"/>
            <w:hideMark/>
          </w:tcPr>
          <w:p w14:paraId="23238AC8" w14:textId="77777777" w:rsidR="00E13052" w:rsidRPr="00F31194" w:rsidRDefault="00E13052" w:rsidP="00E13052">
            <w:pPr>
              <w:jc w:val="right"/>
              <w:rPr>
                <w:sz w:val="14"/>
                <w:szCs w:val="14"/>
              </w:rPr>
            </w:pPr>
            <w:r w:rsidRPr="00F31194">
              <w:rPr>
                <w:sz w:val="14"/>
                <w:szCs w:val="14"/>
              </w:rPr>
              <w:t>275 885</w:t>
            </w:r>
          </w:p>
        </w:tc>
        <w:tc>
          <w:tcPr>
            <w:tcW w:w="701" w:type="dxa"/>
            <w:tcBorders>
              <w:top w:val="nil"/>
              <w:left w:val="nil"/>
              <w:bottom w:val="single" w:sz="4" w:space="0" w:color="A6A6A6"/>
              <w:right w:val="single" w:sz="4" w:space="0" w:color="A6A6A6"/>
            </w:tcBorders>
            <w:shd w:val="clear" w:color="auto" w:fill="auto"/>
            <w:noWrap/>
            <w:vAlign w:val="bottom"/>
            <w:hideMark/>
          </w:tcPr>
          <w:p w14:paraId="258FDF84"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1B7EA206" w14:textId="77777777" w:rsidR="00E13052" w:rsidRPr="00F31194" w:rsidRDefault="00E13052" w:rsidP="00E13052">
            <w:pPr>
              <w:jc w:val="right"/>
              <w:rPr>
                <w:sz w:val="14"/>
                <w:szCs w:val="14"/>
              </w:rPr>
            </w:pPr>
            <w:r w:rsidRPr="00F31194">
              <w:rPr>
                <w:sz w:val="14"/>
                <w:szCs w:val="14"/>
              </w:rPr>
              <w:t>992 201</w:t>
            </w:r>
          </w:p>
        </w:tc>
        <w:tc>
          <w:tcPr>
            <w:tcW w:w="801" w:type="dxa"/>
            <w:tcBorders>
              <w:top w:val="nil"/>
              <w:left w:val="nil"/>
              <w:bottom w:val="single" w:sz="4" w:space="0" w:color="A6A6A6"/>
              <w:right w:val="single" w:sz="4" w:space="0" w:color="A6A6A6"/>
            </w:tcBorders>
            <w:shd w:val="clear" w:color="auto" w:fill="auto"/>
            <w:noWrap/>
            <w:vAlign w:val="bottom"/>
            <w:hideMark/>
          </w:tcPr>
          <w:p w14:paraId="641A7633"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6635814E" w14:textId="77777777" w:rsidR="00E13052" w:rsidRPr="00F31194" w:rsidRDefault="00E13052" w:rsidP="00E13052">
            <w:pPr>
              <w:jc w:val="right"/>
              <w:rPr>
                <w:sz w:val="14"/>
                <w:szCs w:val="14"/>
              </w:rPr>
            </w:pPr>
            <w:r w:rsidRPr="00F31194">
              <w:rPr>
                <w:sz w:val="14"/>
                <w:szCs w:val="14"/>
              </w:rPr>
              <w:t>1 524 730</w:t>
            </w:r>
          </w:p>
        </w:tc>
        <w:tc>
          <w:tcPr>
            <w:tcW w:w="644" w:type="dxa"/>
            <w:tcBorders>
              <w:top w:val="nil"/>
              <w:left w:val="nil"/>
              <w:bottom w:val="single" w:sz="4" w:space="0" w:color="A6A6A6"/>
              <w:right w:val="single" w:sz="4" w:space="0" w:color="A6A6A6"/>
            </w:tcBorders>
            <w:shd w:val="clear" w:color="auto" w:fill="auto"/>
            <w:noWrap/>
            <w:vAlign w:val="bottom"/>
            <w:hideMark/>
          </w:tcPr>
          <w:p w14:paraId="2DAE7410"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18A764C7" w14:textId="77777777" w:rsidR="00E13052" w:rsidRPr="00F31194" w:rsidRDefault="00E13052" w:rsidP="00E13052">
            <w:pPr>
              <w:jc w:val="right"/>
              <w:rPr>
                <w:sz w:val="14"/>
                <w:szCs w:val="14"/>
              </w:rPr>
            </w:pPr>
            <w:r w:rsidRPr="00F31194">
              <w:rPr>
                <w:sz w:val="14"/>
                <w:szCs w:val="14"/>
              </w:rPr>
              <w:t>20 037</w:t>
            </w:r>
          </w:p>
        </w:tc>
        <w:tc>
          <w:tcPr>
            <w:tcW w:w="830" w:type="dxa"/>
            <w:tcBorders>
              <w:top w:val="nil"/>
              <w:left w:val="nil"/>
              <w:bottom w:val="single" w:sz="4" w:space="0" w:color="A6A6A6"/>
              <w:right w:val="single" w:sz="4" w:space="0" w:color="A6A6A6"/>
            </w:tcBorders>
            <w:shd w:val="clear" w:color="auto" w:fill="auto"/>
            <w:noWrap/>
            <w:vAlign w:val="bottom"/>
            <w:hideMark/>
          </w:tcPr>
          <w:p w14:paraId="68D1ED66"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588D4A5B" w14:textId="77777777" w:rsidR="00E13052" w:rsidRPr="00F31194" w:rsidRDefault="00E13052" w:rsidP="00E13052">
            <w:pPr>
              <w:jc w:val="right"/>
              <w:rPr>
                <w:sz w:val="14"/>
                <w:szCs w:val="14"/>
              </w:rPr>
            </w:pPr>
            <w:r w:rsidRPr="00F31194">
              <w:rPr>
                <w:sz w:val="14"/>
                <w:szCs w:val="14"/>
              </w:rPr>
              <w:t>1 288 123</w:t>
            </w:r>
          </w:p>
        </w:tc>
        <w:tc>
          <w:tcPr>
            <w:tcW w:w="1379" w:type="dxa"/>
            <w:tcBorders>
              <w:top w:val="nil"/>
              <w:left w:val="nil"/>
              <w:bottom w:val="single" w:sz="4" w:space="0" w:color="A6A6A6"/>
              <w:right w:val="single" w:sz="4" w:space="0" w:color="A6A6A6"/>
            </w:tcBorders>
            <w:shd w:val="clear" w:color="auto" w:fill="auto"/>
            <w:noWrap/>
            <w:vAlign w:val="bottom"/>
            <w:hideMark/>
          </w:tcPr>
          <w:p w14:paraId="3F6A58E7" w14:textId="77777777" w:rsidR="00E13052" w:rsidRPr="00F31194" w:rsidRDefault="00E13052" w:rsidP="00E13052">
            <w:pPr>
              <w:jc w:val="right"/>
              <w:rPr>
                <w:sz w:val="14"/>
                <w:szCs w:val="14"/>
              </w:rPr>
            </w:pPr>
            <w:r w:rsidRPr="00F31194">
              <w:rPr>
                <w:sz w:val="14"/>
                <w:szCs w:val="14"/>
              </w:rPr>
              <w:t>1 820 652</w:t>
            </w:r>
          </w:p>
        </w:tc>
        <w:tc>
          <w:tcPr>
            <w:tcW w:w="851" w:type="dxa"/>
            <w:tcBorders>
              <w:top w:val="nil"/>
              <w:left w:val="nil"/>
              <w:bottom w:val="single" w:sz="4" w:space="0" w:color="A6A6A6"/>
              <w:right w:val="single" w:sz="4" w:space="0" w:color="A6A6A6"/>
            </w:tcBorders>
            <w:shd w:val="clear" w:color="auto" w:fill="auto"/>
            <w:noWrap/>
            <w:vAlign w:val="bottom"/>
            <w:hideMark/>
          </w:tcPr>
          <w:p w14:paraId="6DE17992" w14:textId="77777777" w:rsidR="00E13052" w:rsidRPr="00F31194" w:rsidRDefault="00E13052" w:rsidP="00E13052">
            <w:pPr>
              <w:jc w:val="right"/>
              <w:rPr>
                <w:sz w:val="14"/>
                <w:szCs w:val="14"/>
              </w:rPr>
            </w:pPr>
            <w:r w:rsidRPr="00F31194">
              <w:rPr>
                <w:sz w:val="14"/>
                <w:szCs w:val="14"/>
              </w:rPr>
              <w:t>0</w:t>
            </w:r>
          </w:p>
        </w:tc>
      </w:tr>
      <w:tr w:rsidR="00E13052" w:rsidRPr="00E13052" w14:paraId="0EBED444"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bottom"/>
            <w:hideMark/>
          </w:tcPr>
          <w:p w14:paraId="251DB5F3" w14:textId="77777777" w:rsidR="00E13052" w:rsidRPr="00F31194" w:rsidRDefault="00E13052" w:rsidP="00E13052">
            <w:pPr>
              <w:jc w:val="center"/>
              <w:rPr>
                <w:sz w:val="14"/>
                <w:szCs w:val="14"/>
              </w:rPr>
            </w:pPr>
            <w:r w:rsidRPr="00F31194">
              <w:rPr>
                <w:sz w:val="14"/>
                <w:szCs w:val="14"/>
              </w:rPr>
              <w:t>2030</w:t>
            </w:r>
          </w:p>
        </w:tc>
        <w:tc>
          <w:tcPr>
            <w:tcW w:w="782" w:type="dxa"/>
            <w:tcBorders>
              <w:top w:val="nil"/>
              <w:left w:val="nil"/>
              <w:bottom w:val="single" w:sz="4" w:space="0" w:color="A6A6A6"/>
              <w:right w:val="single" w:sz="4" w:space="0" w:color="A6A6A6"/>
            </w:tcBorders>
            <w:shd w:val="clear" w:color="auto" w:fill="auto"/>
            <w:noWrap/>
            <w:vAlign w:val="bottom"/>
            <w:hideMark/>
          </w:tcPr>
          <w:p w14:paraId="7FD9E4E5" w14:textId="77777777" w:rsidR="00E13052" w:rsidRPr="00F31194" w:rsidRDefault="00E13052" w:rsidP="00E13052">
            <w:pPr>
              <w:jc w:val="right"/>
              <w:rPr>
                <w:sz w:val="14"/>
                <w:szCs w:val="14"/>
              </w:rPr>
            </w:pPr>
            <w:r w:rsidRPr="00F31194">
              <w:rPr>
                <w:sz w:val="14"/>
                <w:szCs w:val="14"/>
              </w:rPr>
              <w:t>275 885</w:t>
            </w:r>
          </w:p>
        </w:tc>
        <w:tc>
          <w:tcPr>
            <w:tcW w:w="701" w:type="dxa"/>
            <w:tcBorders>
              <w:top w:val="nil"/>
              <w:left w:val="nil"/>
              <w:bottom w:val="single" w:sz="4" w:space="0" w:color="A6A6A6"/>
              <w:right w:val="single" w:sz="4" w:space="0" w:color="A6A6A6"/>
            </w:tcBorders>
            <w:shd w:val="clear" w:color="auto" w:fill="auto"/>
            <w:noWrap/>
            <w:vAlign w:val="bottom"/>
            <w:hideMark/>
          </w:tcPr>
          <w:p w14:paraId="652F192E"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5AE5DA71" w14:textId="77777777" w:rsidR="00E13052" w:rsidRPr="00F31194" w:rsidRDefault="00E13052" w:rsidP="00E13052">
            <w:pPr>
              <w:jc w:val="right"/>
              <w:rPr>
                <w:sz w:val="14"/>
                <w:szCs w:val="14"/>
              </w:rPr>
            </w:pPr>
            <w:r w:rsidRPr="00F31194">
              <w:rPr>
                <w:sz w:val="14"/>
                <w:szCs w:val="14"/>
              </w:rPr>
              <w:t>607 512</w:t>
            </w:r>
          </w:p>
        </w:tc>
        <w:tc>
          <w:tcPr>
            <w:tcW w:w="801" w:type="dxa"/>
            <w:tcBorders>
              <w:top w:val="nil"/>
              <w:left w:val="nil"/>
              <w:bottom w:val="single" w:sz="4" w:space="0" w:color="A6A6A6"/>
              <w:right w:val="single" w:sz="4" w:space="0" w:color="A6A6A6"/>
            </w:tcBorders>
            <w:shd w:val="clear" w:color="auto" w:fill="auto"/>
            <w:noWrap/>
            <w:vAlign w:val="bottom"/>
            <w:hideMark/>
          </w:tcPr>
          <w:p w14:paraId="3EFA0DFF"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19F7CD86" w14:textId="77777777" w:rsidR="00E13052" w:rsidRPr="00F31194" w:rsidRDefault="00E13052" w:rsidP="00E13052">
            <w:pPr>
              <w:jc w:val="right"/>
              <w:rPr>
                <w:sz w:val="14"/>
                <w:szCs w:val="14"/>
              </w:rPr>
            </w:pPr>
            <w:r w:rsidRPr="00F31194">
              <w:rPr>
                <w:sz w:val="14"/>
                <w:szCs w:val="14"/>
              </w:rPr>
              <w:t>929 506</w:t>
            </w:r>
          </w:p>
        </w:tc>
        <w:tc>
          <w:tcPr>
            <w:tcW w:w="644" w:type="dxa"/>
            <w:tcBorders>
              <w:top w:val="nil"/>
              <w:left w:val="nil"/>
              <w:bottom w:val="single" w:sz="4" w:space="0" w:color="A6A6A6"/>
              <w:right w:val="single" w:sz="4" w:space="0" w:color="A6A6A6"/>
            </w:tcBorders>
            <w:shd w:val="clear" w:color="auto" w:fill="auto"/>
            <w:noWrap/>
            <w:vAlign w:val="bottom"/>
            <w:hideMark/>
          </w:tcPr>
          <w:p w14:paraId="52945802"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200125C3" w14:textId="77777777" w:rsidR="00E13052" w:rsidRPr="00F31194" w:rsidRDefault="00E13052" w:rsidP="00E13052">
            <w:pPr>
              <w:jc w:val="right"/>
              <w:rPr>
                <w:sz w:val="14"/>
                <w:szCs w:val="14"/>
              </w:rPr>
            </w:pPr>
            <w:r w:rsidRPr="00F31194">
              <w:rPr>
                <w:sz w:val="14"/>
                <w:szCs w:val="14"/>
              </w:rPr>
              <w:t>20 037</w:t>
            </w:r>
          </w:p>
        </w:tc>
        <w:tc>
          <w:tcPr>
            <w:tcW w:w="830" w:type="dxa"/>
            <w:tcBorders>
              <w:top w:val="nil"/>
              <w:left w:val="nil"/>
              <w:bottom w:val="single" w:sz="4" w:space="0" w:color="A6A6A6"/>
              <w:right w:val="single" w:sz="4" w:space="0" w:color="A6A6A6"/>
            </w:tcBorders>
            <w:shd w:val="clear" w:color="auto" w:fill="auto"/>
            <w:noWrap/>
            <w:vAlign w:val="bottom"/>
            <w:hideMark/>
          </w:tcPr>
          <w:p w14:paraId="671265EE"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47DD4F3A" w14:textId="77777777" w:rsidR="00E13052" w:rsidRPr="00F31194" w:rsidRDefault="00E13052" w:rsidP="00E13052">
            <w:pPr>
              <w:jc w:val="right"/>
              <w:rPr>
                <w:sz w:val="14"/>
                <w:szCs w:val="14"/>
              </w:rPr>
            </w:pPr>
            <w:r w:rsidRPr="00F31194">
              <w:rPr>
                <w:sz w:val="14"/>
                <w:szCs w:val="14"/>
              </w:rPr>
              <w:t>903 434</w:t>
            </w:r>
          </w:p>
        </w:tc>
        <w:tc>
          <w:tcPr>
            <w:tcW w:w="1379" w:type="dxa"/>
            <w:tcBorders>
              <w:top w:val="nil"/>
              <w:left w:val="nil"/>
              <w:bottom w:val="single" w:sz="4" w:space="0" w:color="A6A6A6"/>
              <w:right w:val="single" w:sz="4" w:space="0" w:color="A6A6A6"/>
            </w:tcBorders>
            <w:shd w:val="clear" w:color="auto" w:fill="auto"/>
            <w:noWrap/>
            <w:vAlign w:val="bottom"/>
            <w:hideMark/>
          </w:tcPr>
          <w:p w14:paraId="10352FE7" w14:textId="77777777" w:rsidR="00E13052" w:rsidRPr="00F31194" w:rsidRDefault="00E13052" w:rsidP="00E13052">
            <w:pPr>
              <w:jc w:val="right"/>
              <w:rPr>
                <w:sz w:val="14"/>
                <w:szCs w:val="14"/>
              </w:rPr>
            </w:pPr>
            <w:r w:rsidRPr="00F31194">
              <w:rPr>
                <w:sz w:val="14"/>
                <w:szCs w:val="14"/>
              </w:rPr>
              <w:t>1 225 428</w:t>
            </w:r>
          </w:p>
        </w:tc>
        <w:tc>
          <w:tcPr>
            <w:tcW w:w="851" w:type="dxa"/>
            <w:tcBorders>
              <w:top w:val="nil"/>
              <w:left w:val="nil"/>
              <w:bottom w:val="single" w:sz="4" w:space="0" w:color="A6A6A6"/>
              <w:right w:val="single" w:sz="4" w:space="0" w:color="A6A6A6"/>
            </w:tcBorders>
            <w:shd w:val="clear" w:color="auto" w:fill="auto"/>
            <w:noWrap/>
            <w:vAlign w:val="bottom"/>
            <w:hideMark/>
          </w:tcPr>
          <w:p w14:paraId="637B5D80" w14:textId="77777777" w:rsidR="00E13052" w:rsidRPr="00F31194" w:rsidRDefault="00E13052" w:rsidP="00E13052">
            <w:pPr>
              <w:jc w:val="right"/>
              <w:rPr>
                <w:sz w:val="14"/>
                <w:szCs w:val="14"/>
              </w:rPr>
            </w:pPr>
            <w:r w:rsidRPr="00F31194">
              <w:rPr>
                <w:sz w:val="14"/>
                <w:szCs w:val="14"/>
              </w:rPr>
              <w:t>0</w:t>
            </w:r>
          </w:p>
        </w:tc>
      </w:tr>
      <w:tr w:rsidR="00E13052" w:rsidRPr="00E13052" w14:paraId="351E25BC" w14:textId="77777777" w:rsidTr="00283ACB">
        <w:trPr>
          <w:trHeight w:val="300"/>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14:paraId="49E1E33C" w14:textId="77777777" w:rsidR="00E13052" w:rsidRPr="00F31194" w:rsidRDefault="00E13052" w:rsidP="00E13052">
            <w:pPr>
              <w:jc w:val="center"/>
              <w:rPr>
                <w:sz w:val="14"/>
                <w:szCs w:val="14"/>
              </w:rPr>
            </w:pPr>
            <w:r w:rsidRPr="00F31194">
              <w:rPr>
                <w:sz w:val="14"/>
                <w:szCs w:val="14"/>
              </w:rPr>
              <w:t>2031</w:t>
            </w:r>
          </w:p>
        </w:tc>
        <w:tc>
          <w:tcPr>
            <w:tcW w:w="782" w:type="dxa"/>
            <w:tcBorders>
              <w:top w:val="nil"/>
              <w:left w:val="nil"/>
              <w:bottom w:val="single" w:sz="4" w:space="0" w:color="A6A6A6"/>
              <w:right w:val="single" w:sz="4" w:space="0" w:color="A6A6A6"/>
            </w:tcBorders>
            <w:shd w:val="clear" w:color="auto" w:fill="auto"/>
            <w:noWrap/>
            <w:vAlign w:val="bottom"/>
            <w:hideMark/>
          </w:tcPr>
          <w:p w14:paraId="79D746EA" w14:textId="77777777" w:rsidR="00E13052" w:rsidRPr="00F31194" w:rsidRDefault="00E13052" w:rsidP="00E13052">
            <w:pPr>
              <w:jc w:val="right"/>
              <w:rPr>
                <w:sz w:val="14"/>
                <w:szCs w:val="14"/>
              </w:rPr>
            </w:pPr>
            <w:r w:rsidRPr="00F31194">
              <w:rPr>
                <w:sz w:val="14"/>
                <w:szCs w:val="14"/>
              </w:rPr>
              <w:t>275 885</w:t>
            </w:r>
          </w:p>
        </w:tc>
        <w:tc>
          <w:tcPr>
            <w:tcW w:w="701" w:type="dxa"/>
            <w:tcBorders>
              <w:top w:val="nil"/>
              <w:left w:val="nil"/>
              <w:bottom w:val="single" w:sz="4" w:space="0" w:color="A6A6A6"/>
              <w:right w:val="single" w:sz="4" w:space="0" w:color="A6A6A6"/>
            </w:tcBorders>
            <w:shd w:val="clear" w:color="auto" w:fill="auto"/>
            <w:noWrap/>
            <w:vAlign w:val="bottom"/>
            <w:hideMark/>
          </w:tcPr>
          <w:p w14:paraId="52C88235" w14:textId="77777777" w:rsidR="00E13052" w:rsidRPr="00F31194" w:rsidRDefault="00E13052" w:rsidP="00E13052">
            <w:pPr>
              <w:rPr>
                <w:sz w:val="14"/>
                <w:szCs w:val="14"/>
              </w:rPr>
            </w:pPr>
            <w:r w:rsidRPr="00F31194">
              <w:rPr>
                <w:sz w:val="14"/>
                <w:szCs w:val="14"/>
              </w:rPr>
              <w:t> </w:t>
            </w:r>
          </w:p>
        </w:tc>
        <w:tc>
          <w:tcPr>
            <w:tcW w:w="927" w:type="dxa"/>
            <w:tcBorders>
              <w:top w:val="nil"/>
              <w:left w:val="nil"/>
              <w:bottom w:val="single" w:sz="4" w:space="0" w:color="A6A6A6"/>
              <w:right w:val="single" w:sz="4" w:space="0" w:color="A6A6A6"/>
            </w:tcBorders>
            <w:shd w:val="clear" w:color="auto" w:fill="auto"/>
            <w:noWrap/>
            <w:vAlign w:val="bottom"/>
            <w:hideMark/>
          </w:tcPr>
          <w:p w14:paraId="71380730" w14:textId="77777777" w:rsidR="00E13052" w:rsidRPr="00F31194" w:rsidRDefault="00E13052" w:rsidP="00E13052">
            <w:pPr>
              <w:jc w:val="right"/>
              <w:rPr>
                <w:sz w:val="14"/>
                <w:szCs w:val="14"/>
              </w:rPr>
            </w:pPr>
            <w:r w:rsidRPr="00F31194">
              <w:rPr>
                <w:sz w:val="14"/>
                <w:szCs w:val="14"/>
              </w:rPr>
              <w:t>222 826</w:t>
            </w:r>
          </w:p>
        </w:tc>
        <w:tc>
          <w:tcPr>
            <w:tcW w:w="801" w:type="dxa"/>
            <w:tcBorders>
              <w:top w:val="nil"/>
              <w:left w:val="nil"/>
              <w:bottom w:val="single" w:sz="4" w:space="0" w:color="A6A6A6"/>
              <w:right w:val="single" w:sz="4" w:space="0" w:color="A6A6A6"/>
            </w:tcBorders>
            <w:shd w:val="clear" w:color="auto" w:fill="auto"/>
            <w:noWrap/>
            <w:vAlign w:val="bottom"/>
            <w:hideMark/>
          </w:tcPr>
          <w:p w14:paraId="0D78B7C6" w14:textId="77777777" w:rsidR="00E13052" w:rsidRPr="00F31194" w:rsidRDefault="00E13052" w:rsidP="00E13052">
            <w:pPr>
              <w:rPr>
                <w:sz w:val="14"/>
                <w:szCs w:val="14"/>
              </w:rPr>
            </w:pPr>
            <w:r w:rsidRPr="00F31194">
              <w:rPr>
                <w:sz w:val="14"/>
                <w:szCs w:val="14"/>
              </w:rPr>
              <w:t> </w:t>
            </w:r>
          </w:p>
        </w:tc>
        <w:tc>
          <w:tcPr>
            <w:tcW w:w="850" w:type="dxa"/>
            <w:tcBorders>
              <w:top w:val="nil"/>
              <w:left w:val="nil"/>
              <w:bottom w:val="single" w:sz="4" w:space="0" w:color="A6A6A6"/>
              <w:right w:val="single" w:sz="4" w:space="0" w:color="A6A6A6"/>
            </w:tcBorders>
            <w:shd w:val="clear" w:color="auto" w:fill="auto"/>
            <w:noWrap/>
            <w:vAlign w:val="bottom"/>
            <w:hideMark/>
          </w:tcPr>
          <w:p w14:paraId="6B2ED9CE" w14:textId="77777777" w:rsidR="00E13052" w:rsidRPr="00F31194" w:rsidRDefault="00E13052" w:rsidP="00E13052">
            <w:pPr>
              <w:jc w:val="right"/>
              <w:rPr>
                <w:sz w:val="14"/>
                <w:szCs w:val="14"/>
              </w:rPr>
            </w:pPr>
            <w:r w:rsidRPr="00F31194">
              <w:rPr>
                <w:sz w:val="14"/>
                <w:szCs w:val="14"/>
              </w:rPr>
              <w:t>334 286</w:t>
            </w:r>
          </w:p>
        </w:tc>
        <w:tc>
          <w:tcPr>
            <w:tcW w:w="644" w:type="dxa"/>
            <w:tcBorders>
              <w:top w:val="nil"/>
              <w:left w:val="nil"/>
              <w:bottom w:val="single" w:sz="4" w:space="0" w:color="A6A6A6"/>
              <w:right w:val="single" w:sz="4" w:space="0" w:color="A6A6A6"/>
            </w:tcBorders>
            <w:shd w:val="clear" w:color="auto" w:fill="auto"/>
            <w:noWrap/>
            <w:vAlign w:val="bottom"/>
            <w:hideMark/>
          </w:tcPr>
          <w:p w14:paraId="7F669A7C" w14:textId="77777777" w:rsidR="00E13052" w:rsidRPr="00F31194" w:rsidRDefault="00E13052" w:rsidP="00E13052">
            <w:pPr>
              <w:rPr>
                <w:sz w:val="14"/>
                <w:szCs w:val="14"/>
              </w:rPr>
            </w:pPr>
            <w:r w:rsidRPr="00F31194">
              <w:rPr>
                <w:sz w:val="14"/>
                <w:szCs w:val="14"/>
              </w:rPr>
              <w:t> </w:t>
            </w:r>
          </w:p>
        </w:tc>
        <w:tc>
          <w:tcPr>
            <w:tcW w:w="830" w:type="dxa"/>
            <w:tcBorders>
              <w:top w:val="nil"/>
              <w:left w:val="nil"/>
              <w:bottom w:val="single" w:sz="4" w:space="0" w:color="A6A6A6"/>
              <w:right w:val="single" w:sz="4" w:space="0" w:color="A6A6A6"/>
            </w:tcBorders>
            <w:shd w:val="clear" w:color="auto" w:fill="auto"/>
            <w:noWrap/>
            <w:vAlign w:val="bottom"/>
            <w:hideMark/>
          </w:tcPr>
          <w:p w14:paraId="1E41818F" w14:textId="77777777" w:rsidR="00E13052" w:rsidRPr="00F31194" w:rsidRDefault="00E13052" w:rsidP="00E13052">
            <w:pPr>
              <w:jc w:val="right"/>
              <w:rPr>
                <w:sz w:val="14"/>
                <w:szCs w:val="14"/>
              </w:rPr>
            </w:pPr>
            <w:r w:rsidRPr="00F31194">
              <w:rPr>
                <w:sz w:val="14"/>
                <w:szCs w:val="14"/>
              </w:rPr>
              <w:t>20 037</w:t>
            </w:r>
          </w:p>
        </w:tc>
        <w:tc>
          <w:tcPr>
            <w:tcW w:w="830" w:type="dxa"/>
            <w:tcBorders>
              <w:top w:val="nil"/>
              <w:left w:val="nil"/>
              <w:bottom w:val="single" w:sz="4" w:space="0" w:color="A6A6A6"/>
              <w:right w:val="single" w:sz="4" w:space="0" w:color="A6A6A6"/>
            </w:tcBorders>
            <w:shd w:val="clear" w:color="auto" w:fill="auto"/>
            <w:noWrap/>
            <w:vAlign w:val="bottom"/>
            <w:hideMark/>
          </w:tcPr>
          <w:p w14:paraId="5213FDD3" w14:textId="77777777" w:rsidR="00E13052" w:rsidRPr="00F31194" w:rsidRDefault="00E13052" w:rsidP="00E13052">
            <w:pPr>
              <w:rPr>
                <w:sz w:val="14"/>
                <w:szCs w:val="14"/>
              </w:rPr>
            </w:pPr>
            <w:r w:rsidRPr="00F31194">
              <w:rPr>
                <w:sz w:val="14"/>
                <w:szCs w:val="14"/>
              </w:rPr>
              <w:t> </w:t>
            </w:r>
          </w:p>
        </w:tc>
        <w:tc>
          <w:tcPr>
            <w:tcW w:w="903" w:type="dxa"/>
            <w:tcBorders>
              <w:top w:val="nil"/>
              <w:left w:val="nil"/>
              <w:bottom w:val="single" w:sz="4" w:space="0" w:color="A6A6A6"/>
              <w:right w:val="single" w:sz="4" w:space="0" w:color="A6A6A6"/>
            </w:tcBorders>
            <w:shd w:val="clear" w:color="auto" w:fill="auto"/>
            <w:noWrap/>
            <w:vAlign w:val="bottom"/>
            <w:hideMark/>
          </w:tcPr>
          <w:p w14:paraId="63FD6E4D" w14:textId="77777777" w:rsidR="00E13052" w:rsidRPr="00F31194" w:rsidRDefault="00E13052" w:rsidP="00E13052">
            <w:pPr>
              <w:jc w:val="right"/>
              <w:rPr>
                <w:sz w:val="14"/>
                <w:szCs w:val="14"/>
              </w:rPr>
            </w:pPr>
            <w:r w:rsidRPr="00F31194">
              <w:rPr>
                <w:sz w:val="14"/>
                <w:szCs w:val="14"/>
              </w:rPr>
              <w:t>518 748</w:t>
            </w:r>
          </w:p>
        </w:tc>
        <w:tc>
          <w:tcPr>
            <w:tcW w:w="1379" w:type="dxa"/>
            <w:tcBorders>
              <w:top w:val="nil"/>
              <w:left w:val="nil"/>
              <w:bottom w:val="single" w:sz="4" w:space="0" w:color="A6A6A6"/>
              <w:right w:val="single" w:sz="4" w:space="0" w:color="A6A6A6"/>
            </w:tcBorders>
            <w:shd w:val="clear" w:color="auto" w:fill="auto"/>
            <w:noWrap/>
            <w:vAlign w:val="bottom"/>
            <w:hideMark/>
          </w:tcPr>
          <w:p w14:paraId="0C7D7A56" w14:textId="77777777" w:rsidR="00E13052" w:rsidRPr="00F31194" w:rsidRDefault="00E13052" w:rsidP="00E13052">
            <w:pPr>
              <w:jc w:val="right"/>
              <w:rPr>
                <w:sz w:val="14"/>
                <w:szCs w:val="14"/>
              </w:rPr>
            </w:pPr>
            <w:r w:rsidRPr="00F31194">
              <w:rPr>
                <w:sz w:val="14"/>
                <w:szCs w:val="14"/>
              </w:rPr>
              <w:t>630 208</w:t>
            </w:r>
          </w:p>
        </w:tc>
        <w:tc>
          <w:tcPr>
            <w:tcW w:w="851" w:type="dxa"/>
            <w:tcBorders>
              <w:top w:val="nil"/>
              <w:left w:val="nil"/>
              <w:bottom w:val="single" w:sz="4" w:space="0" w:color="A6A6A6"/>
              <w:right w:val="single" w:sz="4" w:space="0" w:color="A6A6A6"/>
            </w:tcBorders>
            <w:shd w:val="clear" w:color="auto" w:fill="auto"/>
            <w:noWrap/>
            <w:vAlign w:val="bottom"/>
            <w:hideMark/>
          </w:tcPr>
          <w:p w14:paraId="44CADA1B" w14:textId="77777777" w:rsidR="00E13052" w:rsidRPr="00F31194" w:rsidRDefault="00E13052" w:rsidP="00E13052">
            <w:pPr>
              <w:rPr>
                <w:sz w:val="14"/>
                <w:szCs w:val="14"/>
              </w:rPr>
            </w:pPr>
            <w:r w:rsidRPr="00F31194">
              <w:rPr>
                <w:sz w:val="14"/>
                <w:szCs w:val="14"/>
              </w:rPr>
              <w:t> </w:t>
            </w:r>
          </w:p>
        </w:tc>
      </w:tr>
      <w:tr w:rsidR="00E13052" w:rsidRPr="00E13052" w14:paraId="51D15C3D" w14:textId="77777777" w:rsidTr="00283ACB">
        <w:trPr>
          <w:trHeight w:val="420"/>
        </w:trPr>
        <w:tc>
          <w:tcPr>
            <w:tcW w:w="709" w:type="dxa"/>
            <w:tcBorders>
              <w:top w:val="nil"/>
              <w:left w:val="single" w:sz="4" w:space="0" w:color="A6A6A6"/>
              <w:bottom w:val="single" w:sz="4" w:space="0" w:color="A6A6A6"/>
              <w:right w:val="single" w:sz="4" w:space="0" w:color="A6A6A6"/>
            </w:tcBorders>
            <w:shd w:val="clear" w:color="auto" w:fill="auto"/>
            <w:vAlign w:val="center"/>
            <w:hideMark/>
          </w:tcPr>
          <w:p w14:paraId="609A74A9" w14:textId="77777777" w:rsidR="00E13052" w:rsidRPr="00F31194" w:rsidRDefault="00E13052" w:rsidP="00E13052">
            <w:pPr>
              <w:jc w:val="center"/>
              <w:rPr>
                <w:b/>
                <w:bCs/>
                <w:sz w:val="14"/>
                <w:szCs w:val="14"/>
              </w:rPr>
            </w:pPr>
            <w:r w:rsidRPr="00F31194">
              <w:rPr>
                <w:b/>
                <w:bCs/>
                <w:sz w:val="14"/>
                <w:szCs w:val="14"/>
              </w:rPr>
              <w:t>Kopā 2019.-2031.</w:t>
            </w:r>
          </w:p>
        </w:tc>
        <w:tc>
          <w:tcPr>
            <w:tcW w:w="782" w:type="dxa"/>
            <w:tcBorders>
              <w:top w:val="nil"/>
              <w:left w:val="nil"/>
              <w:bottom w:val="single" w:sz="4" w:space="0" w:color="A6A6A6"/>
              <w:right w:val="single" w:sz="4" w:space="0" w:color="A6A6A6"/>
            </w:tcBorders>
            <w:shd w:val="clear" w:color="auto" w:fill="auto"/>
            <w:noWrap/>
            <w:vAlign w:val="center"/>
            <w:hideMark/>
          </w:tcPr>
          <w:p w14:paraId="207A6FA8" w14:textId="77777777" w:rsidR="00E13052" w:rsidRPr="00F31194" w:rsidRDefault="00E13052" w:rsidP="00E13052">
            <w:pPr>
              <w:jc w:val="right"/>
              <w:rPr>
                <w:b/>
                <w:bCs/>
                <w:sz w:val="14"/>
                <w:szCs w:val="14"/>
              </w:rPr>
            </w:pPr>
            <w:r w:rsidRPr="00F31194">
              <w:rPr>
                <w:b/>
                <w:bCs/>
                <w:sz w:val="14"/>
                <w:szCs w:val="14"/>
              </w:rPr>
              <w:t>5 517 700</w:t>
            </w:r>
          </w:p>
        </w:tc>
        <w:tc>
          <w:tcPr>
            <w:tcW w:w="701" w:type="dxa"/>
            <w:tcBorders>
              <w:top w:val="nil"/>
              <w:left w:val="nil"/>
              <w:bottom w:val="single" w:sz="4" w:space="0" w:color="A6A6A6"/>
              <w:right w:val="single" w:sz="4" w:space="0" w:color="A6A6A6"/>
            </w:tcBorders>
            <w:shd w:val="clear" w:color="auto" w:fill="auto"/>
            <w:noWrap/>
            <w:vAlign w:val="center"/>
            <w:hideMark/>
          </w:tcPr>
          <w:p w14:paraId="141A47F7" w14:textId="77777777" w:rsidR="00E13052" w:rsidRPr="00F31194" w:rsidRDefault="00E13052" w:rsidP="00E13052">
            <w:pPr>
              <w:jc w:val="center"/>
              <w:rPr>
                <w:b/>
                <w:bCs/>
                <w:sz w:val="14"/>
                <w:szCs w:val="14"/>
              </w:rPr>
            </w:pPr>
            <w:r w:rsidRPr="00F31194">
              <w:rPr>
                <w:b/>
                <w:bCs/>
                <w:sz w:val="14"/>
                <w:szCs w:val="14"/>
              </w:rPr>
              <w:t>x</w:t>
            </w:r>
          </w:p>
        </w:tc>
        <w:tc>
          <w:tcPr>
            <w:tcW w:w="927" w:type="dxa"/>
            <w:tcBorders>
              <w:top w:val="nil"/>
              <w:left w:val="nil"/>
              <w:bottom w:val="single" w:sz="4" w:space="0" w:color="A6A6A6"/>
              <w:right w:val="single" w:sz="4" w:space="0" w:color="A6A6A6"/>
            </w:tcBorders>
            <w:shd w:val="clear" w:color="auto" w:fill="auto"/>
            <w:noWrap/>
            <w:vAlign w:val="center"/>
            <w:hideMark/>
          </w:tcPr>
          <w:p w14:paraId="4F479098" w14:textId="77777777" w:rsidR="00E13052" w:rsidRPr="00F31194" w:rsidRDefault="00E13052" w:rsidP="00E13052">
            <w:pPr>
              <w:jc w:val="right"/>
              <w:rPr>
                <w:b/>
                <w:bCs/>
                <w:sz w:val="14"/>
                <w:szCs w:val="14"/>
              </w:rPr>
            </w:pPr>
            <w:r w:rsidRPr="00F31194">
              <w:rPr>
                <w:b/>
                <w:bCs/>
                <w:sz w:val="14"/>
                <w:szCs w:val="14"/>
              </w:rPr>
              <w:t>23 916 341</w:t>
            </w:r>
          </w:p>
        </w:tc>
        <w:tc>
          <w:tcPr>
            <w:tcW w:w="801" w:type="dxa"/>
            <w:tcBorders>
              <w:top w:val="nil"/>
              <w:left w:val="nil"/>
              <w:bottom w:val="single" w:sz="4" w:space="0" w:color="A6A6A6"/>
              <w:right w:val="single" w:sz="4" w:space="0" w:color="A6A6A6"/>
            </w:tcBorders>
            <w:shd w:val="clear" w:color="auto" w:fill="auto"/>
            <w:noWrap/>
            <w:vAlign w:val="center"/>
            <w:hideMark/>
          </w:tcPr>
          <w:p w14:paraId="0782E419" w14:textId="77777777" w:rsidR="00E13052" w:rsidRPr="00F31194" w:rsidRDefault="00E13052" w:rsidP="00E13052">
            <w:pPr>
              <w:jc w:val="center"/>
              <w:rPr>
                <w:b/>
                <w:bCs/>
                <w:sz w:val="14"/>
                <w:szCs w:val="14"/>
              </w:rPr>
            </w:pPr>
            <w:r w:rsidRPr="00F31194">
              <w:rPr>
                <w:b/>
                <w:bCs/>
                <w:sz w:val="14"/>
                <w:szCs w:val="14"/>
              </w:rPr>
              <w:t>x</w:t>
            </w:r>
          </w:p>
        </w:tc>
        <w:tc>
          <w:tcPr>
            <w:tcW w:w="850" w:type="dxa"/>
            <w:tcBorders>
              <w:top w:val="nil"/>
              <w:left w:val="nil"/>
              <w:bottom w:val="single" w:sz="4" w:space="0" w:color="A6A6A6"/>
              <w:right w:val="single" w:sz="4" w:space="0" w:color="A6A6A6"/>
            </w:tcBorders>
            <w:shd w:val="clear" w:color="auto" w:fill="auto"/>
            <w:noWrap/>
            <w:vAlign w:val="center"/>
            <w:hideMark/>
          </w:tcPr>
          <w:p w14:paraId="4375547F" w14:textId="77777777" w:rsidR="00E13052" w:rsidRPr="00F31194" w:rsidRDefault="00E13052" w:rsidP="00E13052">
            <w:pPr>
              <w:jc w:val="right"/>
              <w:rPr>
                <w:b/>
                <w:bCs/>
                <w:sz w:val="14"/>
                <w:szCs w:val="14"/>
              </w:rPr>
            </w:pPr>
            <w:r w:rsidRPr="00F31194">
              <w:rPr>
                <w:b/>
                <w:bCs/>
                <w:sz w:val="14"/>
                <w:szCs w:val="14"/>
              </w:rPr>
              <w:t>28 870 095</w:t>
            </w:r>
          </w:p>
        </w:tc>
        <w:tc>
          <w:tcPr>
            <w:tcW w:w="644" w:type="dxa"/>
            <w:tcBorders>
              <w:top w:val="nil"/>
              <w:left w:val="nil"/>
              <w:bottom w:val="single" w:sz="4" w:space="0" w:color="A6A6A6"/>
              <w:right w:val="single" w:sz="4" w:space="0" w:color="A6A6A6"/>
            </w:tcBorders>
            <w:shd w:val="clear" w:color="auto" w:fill="auto"/>
            <w:noWrap/>
            <w:vAlign w:val="center"/>
            <w:hideMark/>
          </w:tcPr>
          <w:p w14:paraId="07375592" w14:textId="77777777" w:rsidR="00E13052" w:rsidRPr="00F31194" w:rsidRDefault="00E13052" w:rsidP="00E13052">
            <w:pPr>
              <w:jc w:val="center"/>
              <w:rPr>
                <w:b/>
                <w:bCs/>
                <w:sz w:val="14"/>
                <w:szCs w:val="14"/>
              </w:rPr>
            </w:pPr>
            <w:r w:rsidRPr="00F31194">
              <w:rPr>
                <w:b/>
                <w:bCs/>
                <w:sz w:val="14"/>
                <w:szCs w:val="14"/>
              </w:rPr>
              <w:t>x</w:t>
            </w:r>
          </w:p>
        </w:tc>
        <w:tc>
          <w:tcPr>
            <w:tcW w:w="830" w:type="dxa"/>
            <w:tcBorders>
              <w:top w:val="nil"/>
              <w:left w:val="nil"/>
              <w:bottom w:val="single" w:sz="4" w:space="0" w:color="A6A6A6"/>
              <w:right w:val="single" w:sz="4" w:space="0" w:color="A6A6A6"/>
            </w:tcBorders>
            <w:shd w:val="clear" w:color="auto" w:fill="auto"/>
            <w:noWrap/>
            <w:vAlign w:val="center"/>
            <w:hideMark/>
          </w:tcPr>
          <w:p w14:paraId="70DA75D0" w14:textId="77777777" w:rsidR="00E13052" w:rsidRPr="00F31194" w:rsidRDefault="00E13052" w:rsidP="00E13052">
            <w:pPr>
              <w:jc w:val="right"/>
              <w:rPr>
                <w:b/>
                <w:bCs/>
                <w:sz w:val="14"/>
                <w:szCs w:val="14"/>
              </w:rPr>
            </w:pPr>
            <w:r w:rsidRPr="00F31194">
              <w:rPr>
                <w:b/>
                <w:bCs/>
                <w:sz w:val="14"/>
                <w:szCs w:val="14"/>
              </w:rPr>
              <w:t>400 733</w:t>
            </w:r>
          </w:p>
        </w:tc>
        <w:tc>
          <w:tcPr>
            <w:tcW w:w="830" w:type="dxa"/>
            <w:tcBorders>
              <w:top w:val="nil"/>
              <w:left w:val="nil"/>
              <w:bottom w:val="single" w:sz="4" w:space="0" w:color="A6A6A6"/>
              <w:right w:val="single" w:sz="4" w:space="0" w:color="A6A6A6"/>
            </w:tcBorders>
            <w:shd w:val="clear" w:color="auto" w:fill="auto"/>
            <w:noWrap/>
            <w:vAlign w:val="center"/>
            <w:hideMark/>
          </w:tcPr>
          <w:p w14:paraId="07E69A1D" w14:textId="77777777" w:rsidR="00E13052" w:rsidRPr="00F31194" w:rsidRDefault="00E13052" w:rsidP="00E13052">
            <w:pPr>
              <w:jc w:val="center"/>
              <w:rPr>
                <w:b/>
                <w:bCs/>
                <w:sz w:val="14"/>
                <w:szCs w:val="14"/>
              </w:rPr>
            </w:pPr>
            <w:r w:rsidRPr="00F31194">
              <w:rPr>
                <w:b/>
                <w:bCs/>
                <w:sz w:val="14"/>
                <w:szCs w:val="14"/>
              </w:rPr>
              <w:t>x</w:t>
            </w:r>
          </w:p>
        </w:tc>
        <w:tc>
          <w:tcPr>
            <w:tcW w:w="903" w:type="dxa"/>
            <w:tcBorders>
              <w:top w:val="nil"/>
              <w:left w:val="nil"/>
              <w:bottom w:val="single" w:sz="4" w:space="0" w:color="A6A6A6"/>
              <w:right w:val="single" w:sz="4" w:space="0" w:color="A6A6A6"/>
            </w:tcBorders>
            <w:shd w:val="clear" w:color="auto" w:fill="auto"/>
            <w:noWrap/>
            <w:vAlign w:val="center"/>
            <w:hideMark/>
          </w:tcPr>
          <w:p w14:paraId="34B2ED3A" w14:textId="77777777" w:rsidR="00E13052" w:rsidRPr="00F31194" w:rsidRDefault="00E13052" w:rsidP="00E13052">
            <w:pPr>
              <w:jc w:val="right"/>
              <w:rPr>
                <w:b/>
                <w:bCs/>
                <w:sz w:val="14"/>
                <w:szCs w:val="14"/>
              </w:rPr>
            </w:pPr>
            <w:r w:rsidRPr="00F31194">
              <w:rPr>
                <w:b/>
                <w:bCs/>
                <w:sz w:val="14"/>
                <w:szCs w:val="14"/>
              </w:rPr>
              <w:t>29 316 026</w:t>
            </w:r>
          </w:p>
        </w:tc>
        <w:tc>
          <w:tcPr>
            <w:tcW w:w="1379" w:type="dxa"/>
            <w:tcBorders>
              <w:top w:val="nil"/>
              <w:left w:val="nil"/>
              <w:bottom w:val="single" w:sz="4" w:space="0" w:color="A6A6A6"/>
              <w:right w:val="single" w:sz="4" w:space="0" w:color="A6A6A6"/>
            </w:tcBorders>
            <w:shd w:val="clear" w:color="auto" w:fill="auto"/>
            <w:noWrap/>
            <w:vAlign w:val="center"/>
            <w:hideMark/>
          </w:tcPr>
          <w:p w14:paraId="4F43A7BB" w14:textId="77777777" w:rsidR="00E13052" w:rsidRPr="00F31194" w:rsidRDefault="00E13052" w:rsidP="00E13052">
            <w:pPr>
              <w:jc w:val="right"/>
              <w:rPr>
                <w:b/>
                <w:bCs/>
                <w:sz w:val="14"/>
                <w:szCs w:val="14"/>
              </w:rPr>
            </w:pPr>
            <w:r w:rsidRPr="00F31194">
              <w:rPr>
                <w:b/>
                <w:bCs/>
                <w:sz w:val="14"/>
                <w:szCs w:val="14"/>
              </w:rPr>
              <w:t>34 158 320</w:t>
            </w:r>
          </w:p>
        </w:tc>
        <w:tc>
          <w:tcPr>
            <w:tcW w:w="851" w:type="dxa"/>
            <w:tcBorders>
              <w:top w:val="nil"/>
              <w:left w:val="nil"/>
              <w:bottom w:val="single" w:sz="4" w:space="0" w:color="A6A6A6"/>
              <w:right w:val="single" w:sz="4" w:space="0" w:color="A6A6A6"/>
            </w:tcBorders>
            <w:shd w:val="clear" w:color="auto" w:fill="auto"/>
            <w:noWrap/>
            <w:vAlign w:val="center"/>
            <w:hideMark/>
          </w:tcPr>
          <w:p w14:paraId="71868CB8" w14:textId="77777777" w:rsidR="00E13052" w:rsidRPr="00F31194" w:rsidRDefault="00E13052" w:rsidP="00E13052">
            <w:pPr>
              <w:jc w:val="right"/>
              <w:rPr>
                <w:b/>
                <w:bCs/>
                <w:sz w:val="14"/>
                <w:szCs w:val="14"/>
              </w:rPr>
            </w:pPr>
            <w:r w:rsidRPr="00F31194">
              <w:rPr>
                <w:b/>
                <w:bCs/>
                <w:sz w:val="14"/>
                <w:szCs w:val="14"/>
              </w:rPr>
              <w:t>0</w:t>
            </w:r>
          </w:p>
        </w:tc>
      </w:tr>
      <w:tr w:rsidR="00E13052" w:rsidRPr="00E13052" w14:paraId="62B3F86B" w14:textId="77777777" w:rsidTr="00283ACB">
        <w:trPr>
          <w:trHeight w:val="555"/>
        </w:trPr>
        <w:tc>
          <w:tcPr>
            <w:tcW w:w="709" w:type="dxa"/>
            <w:tcBorders>
              <w:top w:val="nil"/>
              <w:left w:val="single" w:sz="4" w:space="0" w:color="A6A6A6"/>
              <w:bottom w:val="single" w:sz="4" w:space="0" w:color="A6A6A6"/>
              <w:right w:val="single" w:sz="4" w:space="0" w:color="A6A6A6"/>
            </w:tcBorders>
            <w:shd w:val="clear" w:color="auto" w:fill="auto"/>
            <w:vAlign w:val="center"/>
            <w:hideMark/>
          </w:tcPr>
          <w:p w14:paraId="67CC717D" w14:textId="77777777" w:rsidR="00E13052" w:rsidRPr="00F31194" w:rsidRDefault="00E13052" w:rsidP="00E13052">
            <w:pPr>
              <w:jc w:val="center"/>
              <w:rPr>
                <w:b/>
                <w:bCs/>
                <w:sz w:val="14"/>
                <w:szCs w:val="14"/>
              </w:rPr>
            </w:pPr>
            <w:r w:rsidRPr="00524F11">
              <w:rPr>
                <w:bCs/>
                <w:sz w:val="14"/>
                <w:szCs w:val="14"/>
              </w:rPr>
              <w:t>Pavisam</w:t>
            </w:r>
            <w:r w:rsidRPr="00F31194">
              <w:rPr>
                <w:b/>
                <w:bCs/>
                <w:sz w:val="14"/>
                <w:szCs w:val="14"/>
              </w:rPr>
              <w:t xml:space="preserve"> 2015.-2031.</w:t>
            </w:r>
          </w:p>
        </w:tc>
        <w:tc>
          <w:tcPr>
            <w:tcW w:w="782" w:type="dxa"/>
            <w:tcBorders>
              <w:top w:val="nil"/>
              <w:left w:val="nil"/>
              <w:bottom w:val="single" w:sz="4" w:space="0" w:color="A6A6A6"/>
              <w:right w:val="single" w:sz="4" w:space="0" w:color="A6A6A6"/>
            </w:tcBorders>
            <w:shd w:val="clear" w:color="auto" w:fill="auto"/>
            <w:noWrap/>
            <w:vAlign w:val="center"/>
            <w:hideMark/>
          </w:tcPr>
          <w:p w14:paraId="292AC6BE" w14:textId="77777777" w:rsidR="00E13052" w:rsidRPr="00F31194" w:rsidRDefault="00E13052" w:rsidP="00E13052">
            <w:pPr>
              <w:jc w:val="right"/>
              <w:rPr>
                <w:b/>
                <w:bCs/>
                <w:sz w:val="14"/>
                <w:szCs w:val="14"/>
              </w:rPr>
            </w:pPr>
            <w:r w:rsidRPr="00F31194">
              <w:rPr>
                <w:b/>
                <w:bCs/>
                <w:sz w:val="14"/>
                <w:szCs w:val="14"/>
              </w:rPr>
              <w:t>6 875 520</w:t>
            </w:r>
          </w:p>
        </w:tc>
        <w:tc>
          <w:tcPr>
            <w:tcW w:w="701" w:type="dxa"/>
            <w:tcBorders>
              <w:top w:val="nil"/>
              <w:left w:val="nil"/>
              <w:bottom w:val="single" w:sz="4" w:space="0" w:color="A6A6A6"/>
              <w:right w:val="single" w:sz="4" w:space="0" w:color="A6A6A6"/>
            </w:tcBorders>
            <w:shd w:val="clear" w:color="auto" w:fill="auto"/>
            <w:noWrap/>
            <w:vAlign w:val="center"/>
            <w:hideMark/>
          </w:tcPr>
          <w:p w14:paraId="691723F0" w14:textId="77777777" w:rsidR="00E13052" w:rsidRPr="00F31194" w:rsidRDefault="00E13052" w:rsidP="00E13052">
            <w:pPr>
              <w:jc w:val="center"/>
              <w:rPr>
                <w:b/>
                <w:bCs/>
                <w:sz w:val="14"/>
                <w:szCs w:val="14"/>
              </w:rPr>
            </w:pPr>
            <w:r w:rsidRPr="00F31194">
              <w:rPr>
                <w:b/>
                <w:bCs/>
                <w:sz w:val="14"/>
                <w:szCs w:val="14"/>
              </w:rPr>
              <w:t>x</w:t>
            </w:r>
          </w:p>
        </w:tc>
        <w:tc>
          <w:tcPr>
            <w:tcW w:w="927" w:type="dxa"/>
            <w:tcBorders>
              <w:top w:val="nil"/>
              <w:left w:val="nil"/>
              <w:bottom w:val="single" w:sz="4" w:space="0" w:color="A6A6A6"/>
              <w:right w:val="single" w:sz="4" w:space="0" w:color="A6A6A6"/>
            </w:tcBorders>
            <w:shd w:val="clear" w:color="auto" w:fill="auto"/>
            <w:noWrap/>
            <w:vAlign w:val="center"/>
            <w:hideMark/>
          </w:tcPr>
          <w:p w14:paraId="37CAA1E1" w14:textId="77777777" w:rsidR="00E13052" w:rsidRPr="00F31194" w:rsidRDefault="00E13052" w:rsidP="00E13052">
            <w:pPr>
              <w:jc w:val="right"/>
              <w:rPr>
                <w:b/>
                <w:bCs/>
                <w:sz w:val="14"/>
                <w:szCs w:val="14"/>
              </w:rPr>
            </w:pPr>
            <w:r w:rsidRPr="00F31194">
              <w:rPr>
                <w:b/>
                <w:bCs/>
                <w:sz w:val="14"/>
                <w:szCs w:val="14"/>
              </w:rPr>
              <w:t>28 936 935</w:t>
            </w:r>
          </w:p>
        </w:tc>
        <w:tc>
          <w:tcPr>
            <w:tcW w:w="801" w:type="dxa"/>
            <w:tcBorders>
              <w:top w:val="nil"/>
              <w:left w:val="nil"/>
              <w:bottom w:val="single" w:sz="4" w:space="0" w:color="A6A6A6"/>
              <w:right w:val="single" w:sz="4" w:space="0" w:color="A6A6A6"/>
            </w:tcBorders>
            <w:shd w:val="clear" w:color="auto" w:fill="auto"/>
            <w:noWrap/>
            <w:vAlign w:val="center"/>
            <w:hideMark/>
          </w:tcPr>
          <w:p w14:paraId="73B0F998" w14:textId="77777777" w:rsidR="00E13052" w:rsidRPr="00F31194" w:rsidRDefault="00E13052" w:rsidP="00E13052">
            <w:pPr>
              <w:jc w:val="center"/>
              <w:rPr>
                <w:b/>
                <w:bCs/>
                <w:sz w:val="14"/>
                <w:szCs w:val="14"/>
              </w:rPr>
            </w:pPr>
            <w:r w:rsidRPr="00F31194">
              <w:rPr>
                <w:b/>
                <w:bCs/>
                <w:sz w:val="14"/>
                <w:szCs w:val="14"/>
              </w:rPr>
              <w:t>x</w:t>
            </w:r>
          </w:p>
        </w:tc>
        <w:tc>
          <w:tcPr>
            <w:tcW w:w="850" w:type="dxa"/>
            <w:tcBorders>
              <w:top w:val="nil"/>
              <w:left w:val="nil"/>
              <w:bottom w:val="single" w:sz="4" w:space="0" w:color="A6A6A6"/>
              <w:right w:val="single" w:sz="4" w:space="0" w:color="A6A6A6"/>
            </w:tcBorders>
            <w:shd w:val="clear" w:color="auto" w:fill="auto"/>
            <w:noWrap/>
            <w:vAlign w:val="center"/>
            <w:hideMark/>
          </w:tcPr>
          <w:p w14:paraId="676439A6" w14:textId="77777777" w:rsidR="00E13052" w:rsidRPr="00F31194" w:rsidRDefault="00E13052" w:rsidP="00E13052">
            <w:pPr>
              <w:jc w:val="right"/>
              <w:rPr>
                <w:b/>
                <w:bCs/>
                <w:sz w:val="14"/>
                <w:szCs w:val="14"/>
              </w:rPr>
            </w:pPr>
            <w:r w:rsidRPr="00F31194">
              <w:rPr>
                <w:b/>
                <w:bCs/>
                <w:sz w:val="14"/>
                <w:szCs w:val="14"/>
              </w:rPr>
              <w:t>33 890 689</w:t>
            </w:r>
          </w:p>
        </w:tc>
        <w:tc>
          <w:tcPr>
            <w:tcW w:w="644" w:type="dxa"/>
            <w:tcBorders>
              <w:top w:val="nil"/>
              <w:left w:val="nil"/>
              <w:bottom w:val="single" w:sz="4" w:space="0" w:color="A6A6A6"/>
              <w:right w:val="single" w:sz="4" w:space="0" w:color="A6A6A6"/>
            </w:tcBorders>
            <w:shd w:val="clear" w:color="auto" w:fill="auto"/>
            <w:noWrap/>
            <w:vAlign w:val="center"/>
            <w:hideMark/>
          </w:tcPr>
          <w:p w14:paraId="0B0471D8" w14:textId="77777777" w:rsidR="00E13052" w:rsidRPr="00F31194" w:rsidRDefault="00E13052" w:rsidP="00E13052">
            <w:pPr>
              <w:jc w:val="center"/>
              <w:rPr>
                <w:b/>
                <w:bCs/>
                <w:sz w:val="14"/>
                <w:szCs w:val="14"/>
              </w:rPr>
            </w:pPr>
            <w:r w:rsidRPr="00F31194">
              <w:rPr>
                <w:b/>
                <w:bCs/>
                <w:sz w:val="14"/>
                <w:szCs w:val="14"/>
              </w:rPr>
              <w:t>x</w:t>
            </w:r>
          </w:p>
        </w:tc>
        <w:tc>
          <w:tcPr>
            <w:tcW w:w="830" w:type="dxa"/>
            <w:tcBorders>
              <w:top w:val="nil"/>
              <w:left w:val="nil"/>
              <w:bottom w:val="single" w:sz="4" w:space="0" w:color="A6A6A6"/>
              <w:right w:val="single" w:sz="4" w:space="0" w:color="A6A6A6"/>
            </w:tcBorders>
            <w:shd w:val="clear" w:color="auto" w:fill="auto"/>
            <w:noWrap/>
            <w:vAlign w:val="center"/>
            <w:hideMark/>
          </w:tcPr>
          <w:p w14:paraId="44902B75" w14:textId="77777777" w:rsidR="00E13052" w:rsidRPr="00F31194" w:rsidRDefault="00E13052" w:rsidP="00E13052">
            <w:pPr>
              <w:jc w:val="right"/>
              <w:rPr>
                <w:b/>
                <w:bCs/>
                <w:sz w:val="14"/>
                <w:szCs w:val="14"/>
              </w:rPr>
            </w:pPr>
            <w:r w:rsidRPr="00F31194">
              <w:rPr>
                <w:b/>
                <w:bCs/>
                <w:sz w:val="14"/>
                <w:szCs w:val="14"/>
              </w:rPr>
              <w:t>555 537</w:t>
            </w:r>
          </w:p>
        </w:tc>
        <w:tc>
          <w:tcPr>
            <w:tcW w:w="830" w:type="dxa"/>
            <w:tcBorders>
              <w:top w:val="nil"/>
              <w:left w:val="nil"/>
              <w:bottom w:val="single" w:sz="4" w:space="0" w:color="A6A6A6"/>
              <w:right w:val="single" w:sz="4" w:space="0" w:color="A6A6A6"/>
            </w:tcBorders>
            <w:shd w:val="clear" w:color="auto" w:fill="auto"/>
            <w:noWrap/>
            <w:vAlign w:val="center"/>
            <w:hideMark/>
          </w:tcPr>
          <w:p w14:paraId="69E005FC" w14:textId="77777777" w:rsidR="00E13052" w:rsidRPr="00F31194" w:rsidRDefault="00E13052" w:rsidP="00E13052">
            <w:pPr>
              <w:jc w:val="center"/>
              <w:rPr>
                <w:b/>
                <w:bCs/>
                <w:sz w:val="14"/>
                <w:szCs w:val="14"/>
              </w:rPr>
            </w:pPr>
            <w:r w:rsidRPr="00F31194">
              <w:rPr>
                <w:b/>
                <w:bCs/>
                <w:sz w:val="14"/>
                <w:szCs w:val="14"/>
              </w:rPr>
              <w:t>x</w:t>
            </w:r>
          </w:p>
        </w:tc>
        <w:tc>
          <w:tcPr>
            <w:tcW w:w="903" w:type="dxa"/>
            <w:tcBorders>
              <w:top w:val="nil"/>
              <w:left w:val="nil"/>
              <w:bottom w:val="single" w:sz="4" w:space="0" w:color="A6A6A6"/>
              <w:right w:val="single" w:sz="4" w:space="0" w:color="A6A6A6"/>
            </w:tcBorders>
            <w:shd w:val="clear" w:color="auto" w:fill="auto"/>
            <w:noWrap/>
            <w:vAlign w:val="center"/>
            <w:hideMark/>
          </w:tcPr>
          <w:p w14:paraId="5252969F" w14:textId="77777777" w:rsidR="00E13052" w:rsidRPr="00F31194" w:rsidRDefault="00E13052" w:rsidP="00E13052">
            <w:pPr>
              <w:jc w:val="right"/>
              <w:rPr>
                <w:b/>
                <w:bCs/>
                <w:sz w:val="14"/>
                <w:szCs w:val="14"/>
              </w:rPr>
            </w:pPr>
            <w:r w:rsidRPr="00F31194">
              <w:rPr>
                <w:b/>
                <w:bCs/>
                <w:sz w:val="14"/>
                <w:szCs w:val="14"/>
              </w:rPr>
              <w:t>35 849 244</w:t>
            </w:r>
          </w:p>
        </w:tc>
        <w:tc>
          <w:tcPr>
            <w:tcW w:w="1379" w:type="dxa"/>
            <w:tcBorders>
              <w:top w:val="nil"/>
              <w:left w:val="nil"/>
              <w:bottom w:val="single" w:sz="4" w:space="0" w:color="A6A6A6"/>
              <w:right w:val="single" w:sz="4" w:space="0" w:color="A6A6A6"/>
            </w:tcBorders>
            <w:shd w:val="clear" w:color="auto" w:fill="auto"/>
            <w:noWrap/>
            <w:vAlign w:val="center"/>
            <w:hideMark/>
          </w:tcPr>
          <w:p w14:paraId="45693830" w14:textId="77777777" w:rsidR="00E13052" w:rsidRPr="00F31194" w:rsidRDefault="00E13052" w:rsidP="00E13052">
            <w:pPr>
              <w:jc w:val="right"/>
              <w:rPr>
                <w:b/>
                <w:bCs/>
                <w:sz w:val="14"/>
                <w:szCs w:val="14"/>
              </w:rPr>
            </w:pPr>
            <w:r w:rsidRPr="00F31194">
              <w:rPr>
                <w:b/>
                <w:bCs/>
                <w:sz w:val="14"/>
                <w:szCs w:val="14"/>
              </w:rPr>
              <w:t>40 691 538</w:t>
            </w:r>
          </w:p>
        </w:tc>
        <w:tc>
          <w:tcPr>
            <w:tcW w:w="851" w:type="dxa"/>
            <w:tcBorders>
              <w:top w:val="nil"/>
              <w:left w:val="nil"/>
              <w:bottom w:val="single" w:sz="4" w:space="0" w:color="A6A6A6"/>
              <w:right w:val="single" w:sz="4" w:space="0" w:color="A6A6A6"/>
            </w:tcBorders>
            <w:shd w:val="clear" w:color="auto" w:fill="auto"/>
            <w:noWrap/>
            <w:vAlign w:val="center"/>
            <w:hideMark/>
          </w:tcPr>
          <w:p w14:paraId="709D6EE3" w14:textId="77777777" w:rsidR="00E13052" w:rsidRPr="00F31194" w:rsidRDefault="00E13052" w:rsidP="00E13052">
            <w:pPr>
              <w:jc w:val="right"/>
              <w:rPr>
                <w:b/>
                <w:bCs/>
                <w:sz w:val="14"/>
                <w:szCs w:val="14"/>
              </w:rPr>
            </w:pPr>
            <w:r w:rsidRPr="00F31194">
              <w:rPr>
                <w:b/>
                <w:bCs/>
                <w:sz w:val="14"/>
                <w:szCs w:val="14"/>
              </w:rPr>
              <w:t>4 321 526</w:t>
            </w:r>
          </w:p>
        </w:tc>
      </w:tr>
    </w:tbl>
    <w:p w14:paraId="668AA6D4" w14:textId="77777777" w:rsidR="00E13052" w:rsidRDefault="00E13052" w:rsidP="00F31194"/>
    <w:p w14:paraId="0A29B458" w14:textId="77777777" w:rsidR="00524F11" w:rsidRDefault="00524F11" w:rsidP="00F31194"/>
    <w:p w14:paraId="12203EF3" w14:textId="504C8AA2" w:rsidR="00D20036" w:rsidRDefault="00D20036" w:rsidP="00D20036">
      <w:pPr>
        <w:jc w:val="right"/>
      </w:pPr>
      <w:r>
        <w:t>1</w:t>
      </w:r>
      <w:r w:rsidR="00FF24A3">
        <w:t>4</w:t>
      </w:r>
      <w:r>
        <w:t>.tabula</w:t>
      </w:r>
    </w:p>
    <w:p w14:paraId="26BFD7B5" w14:textId="77777777" w:rsidR="00B709FC" w:rsidRDefault="00F178CF" w:rsidP="00F31194">
      <w:pPr>
        <w:jc w:val="center"/>
        <w:rPr>
          <w:b/>
        </w:rPr>
      </w:pPr>
      <w:r w:rsidRPr="00F31194">
        <w:rPr>
          <w:b/>
        </w:rPr>
        <w:t xml:space="preserve">Informācija par kopējiem izdevumiem I posmā uzstādīto fotoradaru </w:t>
      </w:r>
    </w:p>
    <w:p w14:paraId="31CC0820" w14:textId="28C301A3" w:rsidR="00F178CF" w:rsidRDefault="00F178CF" w:rsidP="00F31194">
      <w:pPr>
        <w:jc w:val="center"/>
      </w:pPr>
      <w:r w:rsidRPr="00F31194">
        <w:rPr>
          <w:b/>
        </w:rPr>
        <w:t>ieviešanai</w:t>
      </w:r>
      <w:proofErr w:type="gramStart"/>
      <w:r w:rsidRPr="00F31194">
        <w:rPr>
          <w:b/>
        </w:rPr>
        <w:t xml:space="preserve">  </w:t>
      </w:r>
      <w:proofErr w:type="gramEnd"/>
      <w:r w:rsidRPr="00F31194">
        <w:rPr>
          <w:b/>
        </w:rPr>
        <w:t>un darbības nodrošināšanai</w:t>
      </w:r>
      <w:r>
        <w:t xml:space="preserve"> </w:t>
      </w:r>
    </w:p>
    <w:p w14:paraId="7B60812C" w14:textId="77777777" w:rsidR="00F178CF" w:rsidRPr="00F163BC" w:rsidRDefault="00F178CF" w:rsidP="007577EF"/>
    <w:tbl>
      <w:tblPr>
        <w:tblStyle w:val="TableGrid"/>
        <w:tblW w:w="8926" w:type="dxa"/>
        <w:jc w:val="center"/>
        <w:tblLook w:val="04A0" w:firstRow="1" w:lastRow="0" w:firstColumn="1" w:lastColumn="0" w:noHBand="0" w:noVBand="1"/>
      </w:tblPr>
      <w:tblGrid>
        <w:gridCol w:w="2693"/>
        <w:gridCol w:w="1413"/>
        <w:gridCol w:w="4820"/>
      </w:tblGrid>
      <w:tr w:rsidR="00F178CF" w:rsidRPr="00733AB2" w14:paraId="62F5891D" w14:textId="77777777" w:rsidTr="00FC6351">
        <w:trPr>
          <w:jc w:val="center"/>
        </w:trPr>
        <w:tc>
          <w:tcPr>
            <w:tcW w:w="2693" w:type="dxa"/>
            <w:vAlign w:val="center"/>
          </w:tcPr>
          <w:p w14:paraId="4048751D" w14:textId="1E6E42E0" w:rsidR="00F178CF" w:rsidRDefault="00F178CF" w:rsidP="000C6BE9">
            <w:pPr>
              <w:jc w:val="center"/>
              <w:rPr>
                <w:b/>
                <w:sz w:val="28"/>
                <w:szCs w:val="28"/>
              </w:rPr>
            </w:pPr>
            <w:r w:rsidRPr="00F163BC">
              <w:rPr>
                <w:sz w:val="20"/>
                <w:szCs w:val="20"/>
              </w:rPr>
              <w:t xml:space="preserve">Fotoradaru iegādei un uzstādīšanai </w:t>
            </w:r>
            <w:r>
              <w:rPr>
                <w:sz w:val="20"/>
                <w:szCs w:val="20"/>
              </w:rPr>
              <w:t xml:space="preserve">izlietotais </w:t>
            </w:r>
            <w:r w:rsidRPr="00F163BC">
              <w:rPr>
                <w:sz w:val="20"/>
                <w:szCs w:val="20"/>
              </w:rPr>
              <w:t>finansējums</w:t>
            </w:r>
            <w:r>
              <w:rPr>
                <w:sz w:val="20"/>
                <w:szCs w:val="20"/>
              </w:rPr>
              <w:t xml:space="preserve"> (2014</w:t>
            </w:r>
            <w:r w:rsidR="000C6BE9">
              <w:rPr>
                <w:sz w:val="20"/>
                <w:szCs w:val="20"/>
              </w:rPr>
              <w:t xml:space="preserve">. – </w:t>
            </w:r>
            <w:r>
              <w:rPr>
                <w:sz w:val="20"/>
                <w:szCs w:val="20"/>
              </w:rPr>
              <w:t>2018</w:t>
            </w:r>
            <w:r w:rsidR="000C6BE9">
              <w:rPr>
                <w:sz w:val="20"/>
                <w:szCs w:val="20"/>
              </w:rPr>
              <w:t>.</w:t>
            </w:r>
            <w:r>
              <w:rPr>
                <w:sz w:val="20"/>
                <w:szCs w:val="20"/>
              </w:rPr>
              <w:t>)</w:t>
            </w:r>
          </w:p>
        </w:tc>
        <w:tc>
          <w:tcPr>
            <w:tcW w:w="1413" w:type="dxa"/>
            <w:vAlign w:val="center"/>
          </w:tcPr>
          <w:p w14:paraId="36C1A464" w14:textId="77777777" w:rsidR="00F178CF" w:rsidRPr="00026018" w:rsidRDefault="00F178CF" w:rsidP="00A12DA5">
            <w:pPr>
              <w:jc w:val="center"/>
              <w:rPr>
                <w:sz w:val="20"/>
                <w:szCs w:val="20"/>
              </w:rPr>
            </w:pPr>
            <w:r w:rsidRPr="00026018">
              <w:rPr>
                <w:sz w:val="20"/>
                <w:szCs w:val="20"/>
              </w:rPr>
              <w:t>7 208 183</w:t>
            </w:r>
          </w:p>
        </w:tc>
        <w:tc>
          <w:tcPr>
            <w:tcW w:w="4820" w:type="dxa"/>
            <w:vAlign w:val="center"/>
          </w:tcPr>
          <w:p w14:paraId="3DCC556A" w14:textId="770B617D" w:rsidR="00F178CF" w:rsidRPr="00733AB2" w:rsidRDefault="00847377" w:rsidP="00F321F7">
            <w:pPr>
              <w:rPr>
                <w:sz w:val="20"/>
                <w:szCs w:val="20"/>
              </w:rPr>
            </w:pPr>
            <w:r>
              <w:rPr>
                <w:sz w:val="20"/>
                <w:szCs w:val="20"/>
              </w:rPr>
              <w:t>1</w:t>
            </w:r>
            <w:r w:rsidR="00F178CF" w:rsidRPr="00733AB2">
              <w:rPr>
                <w:sz w:val="20"/>
                <w:szCs w:val="20"/>
              </w:rPr>
              <w:t>.tabula</w:t>
            </w:r>
          </w:p>
        </w:tc>
      </w:tr>
      <w:tr w:rsidR="00F178CF" w14:paraId="6F25793A" w14:textId="77777777" w:rsidTr="00FC6351">
        <w:trPr>
          <w:jc w:val="center"/>
        </w:trPr>
        <w:tc>
          <w:tcPr>
            <w:tcW w:w="2693" w:type="dxa"/>
            <w:vAlign w:val="center"/>
          </w:tcPr>
          <w:p w14:paraId="009A13ED" w14:textId="4152BF8F" w:rsidR="00F178CF" w:rsidRDefault="00F178CF" w:rsidP="000C6BE9">
            <w:pPr>
              <w:jc w:val="center"/>
              <w:rPr>
                <w:b/>
                <w:sz w:val="28"/>
                <w:szCs w:val="28"/>
              </w:rPr>
            </w:pPr>
            <w:r w:rsidRPr="00733AB2">
              <w:rPr>
                <w:sz w:val="20"/>
                <w:szCs w:val="20"/>
              </w:rPr>
              <w:t>Izdevumi</w:t>
            </w:r>
            <w:proofErr w:type="gramStart"/>
            <w:r w:rsidRPr="00733AB2">
              <w:rPr>
                <w:sz w:val="20"/>
                <w:szCs w:val="20"/>
              </w:rPr>
              <w:t xml:space="preserve"> </w:t>
            </w:r>
            <w:r>
              <w:rPr>
                <w:sz w:val="20"/>
                <w:szCs w:val="20"/>
              </w:rPr>
              <w:t xml:space="preserve"> </w:t>
            </w:r>
            <w:proofErr w:type="gramEnd"/>
            <w:r>
              <w:rPr>
                <w:sz w:val="20"/>
                <w:szCs w:val="20"/>
              </w:rPr>
              <w:t>(2015</w:t>
            </w:r>
            <w:r w:rsidR="000C6BE9">
              <w:rPr>
                <w:sz w:val="20"/>
                <w:szCs w:val="20"/>
              </w:rPr>
              <w:t xml:space="preserve">. – </w:t>
            </w:r>
            <w:r>
              <w:rPr>
                <w:sz w:val="20"/>
                <w:szCs w:val="20"/>
              </w:rPr>
              <w:t>2025</w:t>
            </w:r>
            <w:r w:rsidR="000C6BE9">
              <w:rPr>
                <w:sz w:val="20"/>
                <w:szCs w:val="20"/>
              </w:rPr>
              <w:t>.</w:t>
            </w:r>
            <w:r>
              <w:rPr>
                <w:sz w:val="20"/>
                <w:szCs w:val="20"/>
              </w:rPr>
              <w:t>)</w:t>
            </w:r>
          </w:p>
        </w:tc>
        <w:tc>
          <w:tcPr>
            <w:tcW w:w="1413" w:type="dxa"/>
            <w:vAlign w:val="center"/>
          </w:tcPr>
          <w:p w14:paraId="31FB1E46" w14:textId="01895C17" w:rsidR="00F178CF" w:rsidRPr="00026018" w:rsidRDefault="002A19E2" w:rsidP="002A19E2">
            <w:pPr>
              <w:jc w:val="center"/>
              <w:rPr>
                <w:sz w:val="20"/>
                <w:szCs w:val="20"/>
              </w:rPr>
            </w:pPr>
            <w:r>
              <w:rPr>
                <w:sz w:val="20"/>
                <w:szCs w:val="20"/>
              </w:rPr>
              <w:t>22 782</w:t>
            </w:r>
            <w:r w:rsidR="00F96FCD">
              <w:rPr>
                <w:sz w:val="20"/>
                <w:szCs w:val="20"/>
              </w:rPr>
              <w:t> </w:t>
            </w:r>
            <w:r>
              <w:rPr>
                <w:sz w:val="20"/>
                <w:szCs w:val="20"/>
              </w:rPr>
              <w:t>769</w:t>
            </w:r>
          </w:p>
        </w:tc>
        <w:tc>
          <w:tcPr>
            <w:tcW w:w="4820" w:type="dxa"/>
            <w:vAlign w:val="center"/>
          </w:tcPr>
          <w:p w14:paraId="0D9E7E21" w14:textId="78914CCC" w:rsidR="00F96FCD" w:rsidRDefault="00F96FCD" w:rsidP="00F31194">
            <w:pPr>
              <w:rPr>
                <w:sz w:val="20"/>
                <w:szCs w:val="20"/>
              </w:rPr>
            </w:pPr>
            <w:r>
              <w:rPr>
                <w:sz w:val="20"/>
                <w:szCs w:val="20"/>
              </w:rPr>
              <w:t>13.tabula:</w:t>
            </w:r>
          </w:p>
          <w:p w14:paraId="286674CB" w14:textId="571CF590" w:rsidR="001469ED" w:rsidRDefault="0078553E" w:rsidP="00F96FCD">
            <w:pPr>
              <w:ind w:left="196"/>
              <w:rPr>
                <w:sz w:val="20"/>
                <w:szCs w:val="20"/>
              </w:rPr>
            </w:pPr>
            <w:r>
              <w:rPr>
                <w:sz w:val="20"/>
                <w:szCs w:val="20"/>
              </w:rPr>
              <w:t xml:space="preserve">- </w:t>
            </w:r>
            <w:r w:rsidR="001469ED">
              <w:rPr>
                <w:sz w:val="20"/>
                <w:szCs w:val="20"/>
              </w:rPr>
              <w:t xml:space="preserve">izpilde no 2015. līdz </w:t>
            </w:r>
            <w:proofErr w:type="gramStart"/>
            <w:r w:rsidR="001469ED">
              <w:rPr>
                <w:sz w:val="20"/>
                <w:szCs w:val="20"/>
              </w:rPr>
              <w:t>2018.gadam</w:t>
            </w:r>
            <w:proofErr w:type="gramEnd"/>
            <w:r w:rsidR="001469ED">
              <w:rPr>
                <w:sz w:val="20"/>
                <w:szCs w:val="20"/>
              </w:rPr>
              <w:t xml:space="preserve"> 4 321 526 </w:t>
            </w:r>
            <w:r w:rsidR="001469ED" w:rsidRPr="00F31194">
              <w:rPr>
                <w:i/>
                <w:sz w:val="20"/>
                <w:szCs w:val="20"/>
              </w:rPr>
              <w:t>euro</w:t>
            </w:r>
            <w:r w:rsidR="001469ED">
              <w:rPr>
                <w:sz w:val="20"/>
                <w:szCs w:val="20"/>
              </w:rPr>
              <w:t>;</w:t>
            </w:r>
          </w:p>
          <w:p w14:paraId="1E1541B6" w14:textId="134CBB92" w:rsidR="001469ED" w:rsidRDefault="0078553E" w:rsidP="00F96FCD">
            <w:pPr>
              <w:ind w:left="196"/>
              <w:rPr>
                <w:i/>
                <w:sz w:val="20"/>
                <w:szCs w:val="20"/>
              </w:rPr>
            </w:pPr>
            <w:r>
              <w:rPr>
                <w:sz w:val="20"/>
                <w:szCs w:val="20"/>
              </w:rPr>
              <w:t xml:space="preserve">- plāns 2019. gadam 3 328 002 </w:t>
            </w:r>
            <w:r w:rsidRPr="00F31194">
              <w:rPr>
                <w:i/>
                <w:sz w:val="20"/>
                <w:szCs w:val="20"/>
              </w:rPr>
              <w:t>euro</w:t>
            </w:r>
            <w:r w:rsidR="00D24754">
              <w:rPr>
                <w:i/>
                <w:sz w:val="20"/>
                <w:szCs w:val="20"/>
              </w:rPr>
              <w:t>;</w:t>
            </w:r>
          </w:p>
          <w:p w14:paraId="43BF5067" w14:textId="38830A39" w:rsidR="00DC48CA" w:rsidRDefault="00DC48CA" w:rsidP="00F31194">
            <w:pPr>
              <w:rPr>
                <w:i/>
                <w:sz w:val="20"/>
                <w:szCs w:val="20"/>
              </w:rPr>
            </w:pPr>
            <w:r w:rsidRPr="00FF24A3">
              <w:rPr>
                <w:sz w:val="20"/>
                <w:szCs w:val="20"/>
              </w:rPr>
              <w:t>3.pielikums</w:t>
            </w:r>
            <w:r>
              <w:rPr>
                <w:sz w:val="20"/>
                <w:szCs w:val="20"/>
              </w:rPr>
              <w:t>:</w:t>
            </w:r>
          </w:p>
          <w:p w14:paraId="09C53F99" w14:textId="01C48817" w:rsidR="001469ED" w:rsidRDefault="0078553E" w:rsidP="00F96FCD">
            <w:pPr>
              <w:ind w:left="196"/>
              <w:rPr>
                <w:b/>
                <w:sz w:val="28"/>
                <w:szCs w:val="28"/>
              </w:rPr>
            </w:pPr>
            <w:r>
              <w:rPr>
                <w:sz w:val="20"/>
                <w:szCs w:val="20"/>
              </w:rPr>
              <w:t xml:space="preserve">- precizētie izdevumi no 2020. līdz 2025. gadam </w:t>
            </w:r>
            <w:r w:rsidR="00F96FCD">
              <w:rPr>
                <w:sz w:val="20"/>
                <w:szCs w:val="20"/>
              </w:rPr>
              <w:t>15</w:t>
            </w:r>
            <w:r w:rsidR="00D7662C">
              <w:rPr>
                <w:sz w:val="20"/>
                <w:szCs w:val="20"/>
              </w:rPr>
              <w:t> 133 241</w:t>
            </w:r>
            <w:r w:rsidR="004F2334">
              <w:rPr>
                <w:sz w:val="20"/>
                <w:szCs w:val="20"/>
              </w:rPr>
              <w:t xml:space="preserve"> </w:t>
            </w:r>
            <w:r w:rsidRPr="00F31194">
              <w:rPr>
                <w:i/>
                <w:sz w:val="20"/>
                <w:szCs w:val="20"/>
              </w:rPr>
              <w:t>euro</w:t>
            </w:r>
            <w:r w:rsidR="00D24754">
              <w:rPr>
                <w:i/>
                <w:sz w:val="20"/>
                <w:szCs w:val="20"/>
              </w:rPr>
              <w:t>.</w:t>
            </w:r>
          </w:p>
        </w:tc>
      </w:tr>
      <w:tr w:rsidR="00F178CF" w14:paraId="60D0CC11" w14:textId="77777777" w:rsidTr="00FC6351">
        <w:trPr>
          <w:jc w:val="center"/>
        </w:trPr>
        <w:tc>
          <w:tcPr>
            <w:tcW w:w="2693" w:type="dxa"/>
            <w:vAlign w:val="center"/>
          </w:tcPr>
          <w:p w14:paraId="0BA8A7D0" w14:textId="053C0F0A" w:rsidR="00F178CF" w:rsidRPr="00C47DC7" w:rsidRDefault="00F178CF" w:rsidP="00A12DA5">
            <w:pPr>
              <w:jc w:val="center"/>
              <w:rPr>
                <w:b/>
                <w:sz w:val="22"/>
                <w:szCs w:val="22"/>
              </w:rPr>
            </w:pPr>
            <w:r w:rsidRPr="00C47DC7">
              <w:rPr>
                <w:b/>
                <w:sz w:val="22"/>
                <w:szCs w:val="22"/>
              </w:rPr>
              <w:t>KOPĀ</w:t>
            </w:r>
            <w:r w:rsidR="00C65509">
              <w:rPr>
                <w:b/>
                <w:sz w:val="22"/>
                <w:szCs w:val="22"/>
              </w:rPr>
              <w:t>:</w:t>
            </w:r>
          </w:p>
        </w:tc>
        <w:tc>
          <w:tcPr>
            <w:tcW w:w="1413" w:type="dxa"/>
            <w:vAlign w:val="center"/>
          </w:tcPr>
          <w:p w14:paraId="603A8A7C" w14:textId="1342BAD7" w:rsidR="00F178CF" w:rsidRPr="00026018" w:rsidRDefault="002A19E2" w:rsidP="002A19E2">
            <w:pPr>
              <w:jc w:val="center"/>
              <w:rPr>
                <w:b/>
                <w:sz w:val="20"/>
                <w:szCs w:val="20"/>
              </w:rPr>
            </w:pPr>
            <w:r>
              <w:rPr>
                <w:b/>
                <w:sz w:val="20"/>
                <w:szCs w:val="20"/>
              </w:rPr>
              <w:t>29 990 952</w:t>
            </w:r>
          </w:p>
        </w:tc>
        <w:tc>
          <w:tcPr>
            <w:tcW w:w="4820" w:type="dxa"/>
            <w:vAlign w:val="center"/>
          </w:tcPr>
          <w:p w14:paraId="40DFB287" w14:textId="77777777" w:rsidR="00F178CF" w:rsidRDefault="00F178CF" w:rsidP="00A12DA5">
            <w:pPr>
              <w:jc w:val="center"/>
              <w:rPr>
                <w:b/>
                <w:sz w:val="28"/>
                <w:szCs w:val="28"/>
              </w:rPr>
            </w:pPr>
          </w:p>
        </w:tc>
      </w:tr>
    </w:tbl>
    <w:p w14:paraId="45319F03" w14:textId="77777777" w:rsidR="00F865AA" w:rsidRPr="003815E6" w:rsidRDefault="00F865AA" w:rsidP="00644AA4">
      <w:pPr>
        <w:pStyle w:val="MediumGrid21"/>
        <w:spacing w:before="80"/>
        <w:ind w:firstLine="720"/>
        <w:jc w:val="both"/>
        <w:rPr>
          <w:sz w:val="20"/>
          <w:szCs w:val="20"/>
        </w:rPr>
      </w:pPr>
    </w:p>
    <w:p w14:paraId="65D979B1" w14:textId="77777777" w:rsidR="00404A52" w:rsidRPr="003815E6" w:rsidRDefault="00404A52" w:rsidP="00644AA4">
      <w:pPr>
        <w:pStyle w:val="MediumGrid21"/>
        <w:spacing w:before="80"/>
        <w:ind w:firstLine="720"/>
        <w:jc w:val="both"/>
        <w:rPr>
          <w:sz w:val="20"/>
          <w:szCs w:val="20"/>
        </w:rPr>
      </w:pPr>
    </w:p>
    <w:p w14:paraId="001EA9B5" w14:textId="1F834DD2" w:rsidR="00B12A76" w:rsidRPr="00F163BC" w:rsidRDefault="00B12A76" w:rsidP="002C5884">
      <w:pPr>
        <w:pStyle w:val="MediumGrid21"/>
        <w:spacing w:before="80"/>
        <w:jc w:val="both"/>
        <w:rPr>
          <w:szCs w:val="24"/>
        </w:rPr>
      </w:pPr>
      <w:r w:rsidRPr="00F163BC">
        <w:rPr>
          <w:szCs w:val="24"/>
        </w:rPr>
        <w:t>Iekšlietu ministrs</w:t>
      </w:r>
      <w:r w:rsidRPr="00F163BC">
        <w:rPr>
          <w:szCs w:val="24"/>
        </w:rPr>
        <w:tab/>
      </w:r>
      <w:r w:rsidRPr="00F163BC">
        <w:rPr>
          <w:szCs w:val="24"/>
        </w:rPr>
        <w:tab/>
      </w:r>
      <w:r w:rsidRPr="00F163BC">
        <w:rPr>
          <w:szCs w:val="24"/>
        </w:rPr>
        <w:tab/>
      </w:r>
      <w:r w:rsidRPr="00F163BC">
        <w:rPr>
          <w:szCs w:val="24"/>
        </w:rPr>
        <w:tab/>
      </w:r>
      <w:r w:rsidRPr="00F163BC">
        <w:rPr>
          <w:szCs w:val="24"/>
        </w:rPr>
        <w:tab/>
      </w:r>
      <w:proofErr w:type="gramStart"/>
      <w:r w:rsidRPr="00F163BC">
        <w:rPr>
          <w:szCs w:val="24"/>
        </w:rPr>
        <w:t xml:space="preserve">           </w:t>
      </w:r>
      <w:r w:rsidR="002C5884">
        <w:rPr>
          <w:szCs w:val="24"/>
        </w:rPr>
        <w:t xml:space="preserve">                </w:t>
      </w:r>
      <w:r w:rsidRPr="00F163BC">
        <w:rPr>
          <w:szCs w:val="24"/>
        </w:rPr>
        <w:t xml:space="preserve"> </w:t>
      </w:r>
      <w:r w:rsidR="002C5884">
        <w:rPr>
          <w:szCs w:val="24"/>
        </w:rPr>
        <w:t xml:space="preserve">  </w:t>
      </w:r>
      <w:proofErr w:type="gramEnd"/>
      <w:r w:rsidR="00C65509">
        <w:rPr>
          <w:szCs w:val="24"/>
        </w:rPr>
        <w:t>Sandis Ģirģens</w:t>
      </w:r>
    </w:p>
    <w:p w14:paraId="3CD1ED28" w14:textId="77777777" w:rsidR="003815E6" w:rsidRPr="003815E6" w:rsidRDefault="003815E6" w:rsidP="00B12A76">
      <w:pPr>
        <w:pStyle w:val="MediumGrid21"/>
        <w:spacing w:before="80"/>
        <w:ind w:left="709"/>
        <w:jc w:val="both"/>
        <w:rPr>
          <w:sz w:val="20"/>
          <w:szCs w:val="20"/>
        </w:rPr>
      </w:pPr>
    </w:p>
    <w:p w14:paraId="33612426" w14:textId="77777777" w:rsidR="00B12A76" w:rsidRPr="003815E6" w:rsidRDefault="00B12A76" w:rsidP="00B12A76">
      <w:pPr>
        <w:pStyle w:val="MediumGrid21"/>
        <w:spacing w:before="80"/>
        <w:ind w:left="709"/>
        <w:jc w:val="both"/>
        <w:rPr>
          <w:sz w:val="20"/>
          <w:szCs w:val="20"/>
        </w:rPr>
      </w:pPr>
      <w:r w:rsidRPr="003815E6">
        <w:rPr>
          <w:sz w:val="20"/>
          <w:szCs w:val="20"/>
        </w:rPr>
        <w:tab/>
      </w:r>
    </w:p>
    <w:p w14:paraId="30B4A3C4" w14:textId="4EBFA857" w:rsidR="00B12A76" w:rsidRDefault="00BE04E5" w:rsidP="00B12A76">
      <w:pPr>
        <w:pStyle w:val="MediumGrid21"/>
        <w:spacing w:before="80"/>
        <w:jc w:val="both"/>
        <w:rPr>
          <w:szCs w:val="24"/>
        </w:rPr>
      </w:pPr>
      <w:r>
        <w:rPr>
          <w:szCs w:val="24"/>
        </w:rPr>
        <w:t>Vīza: v</w:t>
      </w:r>
      <w:r w:rsidR="00B12A76" w:rsidRPr="00F163BC">
        <w:rPr>
          <w:szCs w:val="24"/>
        </w:rPr>
        <w:t>alsts sekretārs</w:t>
      </w:r>
      <w:proofErr w:type="gramStart"/>
      <w:r w:rsidR="00B12A76" w:rsidRPr="00F163BC">
        <w:rPr>
          <w:szCs w:val="24"/>
        </w:rPr>
        <w:t xml:space="preserve">                                                      </w:t>
      </w:r>
      <w:r w:rsidR="002C5884">
        <w:rPr>
          <w:szCs w:val="24"/>
        </w:rPr>
        <w:t xml:space="preserve">                </w:t>
      </w:r>
      <w:r w:rsidR="00B12A76" w:rsidRPr="00F163BC">
        <w:rPr>
          <w:szCs w:val="24"/>
        </w:rPr>
        <w:t xml:space="preserve">   </w:t>
      </w:r>
      <w:proofErr w:type="gramEnd"/>
      <w:r w:rsidR="00B12A76" w:rsidRPr="00F163BC">
        <w:rPr>
          <w:szCs w:val="24"/>
        </w:rPr>
        <w:t>Dimitrijs Trofimovs</w:t>
      </w:r>
    </w:p>
    <w:p w14:paraId="0AA7ECA1" w14:textId="77777777" w:rsidR="00847377" w:rsidRDefault="00847377" w:rsidP="00B12A76">
      <w:pPr>
        <w:pStyle w:val="MediumGrid21"/>
        <w:spacing w:before="80"/>
        <w:jc w:val="both"/>
        <w:rPr>
          <w:szCs w:val="24"/>
        </w:rPr>
      </w:pPr>
      <w:bookmarkStart w:id="1" w:name="_GoBack"/>
      <w:bookmarkEnd w:id="1"/>
    </w:p>
    <w:p w14:paraId="1CFB75E4" w14:textId="77777777" w:rsidR="00B12A76" w:rsidRPr="00F163BC" w:rsidRDefault="00B12A76" w:rsidP="00B12A76">
      <w:pPr>
        <w:tabs>
          <w:tab w:val="left" w:pos="2592"/>
        </w:tabs>
        <w:rPr>
          <w:sz w:val="20"/>
          <w:szCs w:val="20"/>
        </w:rPr>
      </w:pPr>
    </w:p>
    <w:p w14:paraId="05EA8673" w14:textId="77777777" w:rsidR="00D06D7E" w:rsidRPr="00DA71C3" w:rsidRDefault="00D06D7E" w:rsidP="00D06D7E">
      <w:pPr>
        <w:jc w:val="both"/>
        <w:rPr>
          <w:sz w:val="20"/>
          <w:szCs w:val="20"/>
        </w:rPr>
      </w:pPr>
      <w:r w:rsidRPr="00DA71C3">
        <w:rPr>
          <w:sz w:val="20"/>
          <w:szCs w:val="20"/>
        </w:rPr>
        <w:fldChar w:fldCharType="begin"/>
      </w:r>
      <w:r w:rsidRPr="00DA71C3">
        <w:rPr>
          <w:sz w:val="20"/>
          <w:szCs w:val="20"/>
        </w:rPr>
        <w:instrText xml:space="preserve"> DATE  \@ "dd.MM.yyyy. H:mm"  \* MERGEFORMAT </w:instrText>
      </w:r>
      <w:r w:rsidRPr="00DA71C3">
        <w:rPr>
          <w:sz w:val="20"/>
          <w:szCs w:val="20"/>
        </w:rPr>
        <w:fldChar w:fldCharType="separate"/>
      </w:r>
      <w:r w:rsidR="00877211">
        <w:rPr>
          <w:noProof/>
          <w:sz w:val="20"/>
          <w:szCs w:val="20"/>
        </w:rPr>
        <w:t>14.05.2019. 8:27</w:t>
      </w:r>
      <w:r w:rsidRPr="00DA71C3">
        <w:rPr>
          <w:sz w:val="20"/>
          <w:szCs w:val="20"/>
        </w:rPr>
        <w:fldChar w:fldCharType="end"/>
      </w:r>
      <w:r w:rsidRPr="00DA71C3">
        <w:rPr>
          <w:sz w:val="20"/>
          <w:szCs w:val="20"/>
        </w:rPr>
        <w:tab/>
      </w:r>
    </w:p>
    <w:p w14:paraId="2CE01D00" w14:textId="5421A3F9" w:rsidR="00D06D7E" w:rsidRDefault="00C756A8" w:rsidP="00D06D7E">
      <w:pPr>
        <w:jc w:val="both"/>
        <w:rPr>
          <w:sz w:val="20"/>
          <w:szCs w:val="20"/>
        </w:rPr>
      </w:pPr>
      <w:r>
        <w:rPr>
          <w:sz w:val="20"/>
          <w:szCs w:val="20"/>
        </w:rPr>
        <w:t>15841</w:t>
      </w:r>
    </w:p>
    <w:p w14:paraId="0B5B8964" w14:textId="5B49E7D1" w:rsidR="00F163BC" w:rsidRPr="00F163BC" w:rsidRDefault="00644AA4" w:rsidP="00D06D7E">
      <w:pPr>
        <w:jc w:val="both"/>
        <w:rPr>
          <w:sz w:val="20"/>
          <w:szCs w:val="20"/>
        </w:rPr>
      </w:pPr>
      <w:r w:rsidRPr="00F163BC">
        <w:rPr>
          <w:sz w:val="20"/>
          <w:szCs w:val="20"/>
        </w:rPr>
        <w:t>R.Petrovskis</w:t>
      </w:r>
      <w:proofErr w:type="gramStart"/>
      <w:r w:rsidR="00F163BC" w:rsidRPr="00F163BC">
        <w:rPr>
          <w:sz w:val="20"/>
          <w:szCs w:val="20"/>
        </w:rPr>
        <w:t xml:space="preserve"> </w:t>
      </w:r>
      <w:r w:rsidRPr="00F163BC">
        <w:rPr>
          <w:sz w:val="20"/>
          <w:szCs w:val="20"/>
        </w:rPr>
        <w:t xml:space="preserve"> </w:t>
      </w:r>
      <w:proofErr w:type="gramEnd"/>
      <w:r w:rsidRPr="00F163BC">
        <w:rPr>
          <w:sz w:val="20"/>
          <w:szCs w:val="20"/>
        </w:rPr>
        <w:t xml:space="preserve">67219593, </w:t>
      </w:r>
    </w:p>
    <w:p w14:paraId="472389E7" w14:textId="285C7DBD" w:rsidR="00F163BC" w:rsidRPr="00F163BC" w:rsidRDefault="00F163BC" w:rsidP="00644AA4">
      <w:pPr>
        <w:jc w:val="both"/>
        <w:rPr>
          <w:sz w:val="20"/>
          <w:szCs w:val="20"/>
        </w:rPr>
      </w:pPr>
      <w:r w:rsidRPr="00F163BC">
        <w:rPr>
          <w:sz w:val="20"/>
          <w:szCs w:val="20"/>
        </w:rPr>
        <w:t>ronalds.petrovskis@iem.gov.lv</w:t>
      </w:r>
    </w:p>
    <w:p w14:paraId="396E43A7" w14:textId="200C1927" w:rsidR="00F163BC" w:rsidRPr="00F163BC" w:rsidRDefault="0063129A" w:rsidP="00644AA4">
      <w:pPr>
        <w:jc w:val="both"/>
        <w:rPr>
          <w:sz w:val="20"/>
          <w:szCs w:val="20"/>
        </w:rPr>
      </w:pPr>
      <w:proofErr w:type="spellStart"/>
      <w:r>
        <w:rPr>
          <w:sz w:val="20"/>
          <w:szCs w:val="20"/>
        </w:rPr>
        <w:t>A.Strode</w:t>
      </w:r>
      <w:proofErr w:type="spellEnd"/>
      <w:r w:rsidR="00644AA4" w:rsidRPr="00F163BC">
        <w:rPr>
          <w:sz w:val="20"/>
          <w:szCs w:val="20"/>
        </w:rPr>
        <w:t xml:space="preserve"> 67219602,</w:t>
      </w:r>
    </w:p>
    <w:p w14:paraId="10498923" w14:textId="7F507A99" w:rsidR="00F163BC" w:rsidRPr="00F163BC" w:rsidRDefault="00F163BC" w:rsidP="00644AA4">
      <w:pPr>
        <w:jc w:val="both"/>
        <w:rPr>
          <w:rStyle w:val="Hyperlink"/>
          <w:color w:val="auto"/>
          <w:sz w:val="20"/>
          <w:szCs w:val="20"/>
          <w:u w:val="none"/>
        </w:rPr>
      </w:pPr>
      <w:r w:rsidRPr="00F163BC">
        <w:rPr>
          <w:rStyle w:val="Hyperlink"/>
          <w:color w:val="auto"/>
          <w:sz w:val="20"/>
          <w:szCs w:val="20"/>
          <w:u w:val="none"/>
        </w:rPr>
        <w:t>alda.strode@iem.gov.lv</w:t>
      </w:r>
    </w:p>
    <w:p w14:paraId="701ECE0B" w14:textId="70226F7E" w:rsidR="00F163BC" w:rsidRPr="00F163BC" w:rsidRDefault="0063129A" w:rsidP="00F163BC">
      <w:pPr>
        <w:jc w:val="both"/>
        <w:rPr>
          <w:sz w:val="20"/>
          <w:szCs w:val="20"/>
        </w:rPr>
      </w:pPr>
      <w:proofErr w:type="spellStart"/>
      <w:r>
        <w:rPr>
          <w:sz w:val="20"/>
          <w:szCs w:val="20"/>
        </w:rPr>
        <w:t>J.Vaģele</w:t>
      </w:r>
      <w:proofErr w:type="spellEnd"/>
      <w:r w:rsidR="00F163BC" w:rsidRPr="00F163BC">
        <w:rPr>
          <w:sz w:val="20"/>
          <w:szCs w:val="20"/>
        </w:rPr>
        <w:t xml:space="preserve"> 67208394,</w:t>
      </w:r>
    </w:p>
    <w:p w14:paraId="68D35D07" w14:textId="77777777" w:rsidR="00F163BC" w:rsidRPr="00F163BC" w:rsidRDefault="00F163BC" w:rsidP="00F163BC">
      <w:pPr>
        <w:jc w:val="both"/>
        <w:rPr>
          <w:sz w:val="20"/>
          <w:szCs w:val="20"/>
        </w:rPr>
      </w:pPr>
      <w:r w:rsidRPr="00F163BC">
        <w:rPr>
          <w:sz w:val="20"/>
          <w:szCs w:val="20"/>
        </w:rPr>
        <w:t>jolanta.vagele@vp.gov.lv</w:t>
      </w:r>
    </w:p>
    <w:sectPr w:rsidR="00F163BC" w:rsidRPr="00F163BC" w:rsidSect="00E20CE5">
      <w:headerReference w:type="default" r:id="rId29"/>
      <w:footerReference w:type="default" r:id="rId30"/>
      <w:footerReference w:type="first" r:id="rId31"/>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5250" w14:textId="77777777" w:rsidR="00DF33A4" w:rsidRDefault="00DF33A4" w:rsidP="00817B05">
      <w:r>
        <w:separator/>
      </w:r>
    </w:p>
  </w:endnote>
  <w:endnote w:type="continuationSeparator" w:id="0">
    <w:p w14:paraId="6FF62A07" w14:textId="77777777" w:rsidR="00DF33A4" w:rsidRDefault="00DF33A4" w:rsidP="00817B05">
      <w:r>
        <w:continuationSeparator/>
      </w:r>
    </w:p>
  </w:endnote>
  <w:endnote w:type="continuationNotice" w:id="1">
    <w:p w14:paraId="7CB450D4" w14:textId="77777777" w:rsidR="00DF33A4" w:rsidRDefault="00DF3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5575" w14:textId="6F19B46B" w:rsidR="00F31194" w:rsidRDefault="00F31194">
    <w:pPr>
      <w:pStyle w:val="Footer"/>
    </w:pPr>
    <w:r w:rsidRPr="00DF6803">
      <w:rPr>
        <w:sz w:val="20"/>
        <w:szCs w:val="20"/>
      </w:rPr>
      <w:fldChar w:fldCharType="begin"/>
    </w:r>
    <w:r w:rsidRPr="00DF6803">
      <w:rPr>
        <w:sz w:val="20"/>
        <w:szCs w:val="20"/>
      </w:rPr>
      <w:instrText xml:space="preserve"> FILENAME   \* MERGEFORMAT </w:instrText>
    </w:r>
    <w:r w:rsidRPr="00DF6803">
      <w:rPr>
        <w:sz w:val="20"/>
        <w:szCs w:val="20"/>
      </w:rPr>
      <w:fldChar w:fldCharType="separate"/>
    </w:r>
    <w:r w:rsidR="00877211">
      <w:rPr>
        <w:noProof/>
        <w:sz w:val="20"/>
        <w:szCs w:val="20"/>
      </w:rPr>
      <w:t>IEMZin_140519_radari</w:t>
    </w:r>
    <w:r w:rsidRPr="00DF680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22C9" w14:textId="482B5429" w:rsidR="00F31194" w:rsidRPr="00DF6803" w:rsidRDefault="00F31194" w:rsidP="00DF6803">
    <w:pPr>
      <w:pStyle w:val="Footer"/>
      <w:rPr>
        <w:sz w:val="20"/>
        <w:szCs w:val="20"/>
      </w:rPr>
    </w:pPr>
    <w:r w:rsidRPr="00DF6803">
      <w:rPr>
        <w:sz w:val="20"/>
        <w:szCs w:val="20"/>
      </w:rPr>
      <w:fldChar w:fldCharType="begin"/>
    </w:r>
    <w:r w:rsidRPr="00DF6803">
      <w:rPr>
        <w:sz w:val="20"/>
        <w:szCs w:val="20"/>
      </w:rPr>
      <w:instrText xml:space="preserve"> FILENAME   \* MERGEFORMAT </w:instrText>
    </w:r>
    <w:r w:rsidRPr="00DF6803">
      <w:rPr>
        <w:sz w:val="20"/>
        <w:szCs w:val="20"/>
      </w:rPr>
      <w:fldChar w:fldCharType="separate"/>
    </w:r>
    <w:r w:rsidR="00877211">
      <w:rPr>
        <w:noProof/>
        <w:sz w:val="20"/>
        <w:szCs w:val="20"/>
      </w:rPr>
      <w:t>IEMZin_140519_radari</w:t>
    </w:r>
    <w:r w:rsidRPr="00DF680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91C6D" w14:textId="77777777" w:rsidR="00DF33A4" w:rsidRDefault="00DF33A4" w:rsidP="00817B05">
      <w:r>
        <w:separator/>
      </w:r>
    </w:p>
  </w:footnote>
  <w:footnote w:type="continuationSeparator" w:id="0">
    <w:p w14:paraId="165EE99F" w14:textId="77777777" w:rsidR="00DF33A4" w:rsidRDefault="00DF33A4" w:rsidP="00817B05">
      <w:r>
        <w:continuationSeparator/>
      </w:r>
    </w:p>
  </w:footnote>
  <w:footnote w:type="continuationNotice" w:id="1">
    <w:p w14:paraId="5E19FB62" w14:textId="77777777" w:rsidR="00DF33A4" w:rsidRDefault="00DF33A4"/>
  </w:footnote>
  <w:footnote w:id="2">
    <w:p w14:paraId="4134DEE7" w14:textId="77777777" w:rsidR="00F31194" w:rsidRPr="005F26E5" w:rsidRDefault="00F31194" w:rsidP="006B2416">
      <w:pPr>
        <w:jc w:val="both"/>
        <w:rPr>
          <w:sz w:val="20"/>
          <w:szCs w:val="20"/>
        </w:rPr>
      </w:pPr>
      <w:r w:rsidRPr="005F26E5">
        <w:rPr>
          <w:sz w:val="20"/>
          <w:szCs w:val="20"/>
        </w:rPr>
        <w:t xml:space="preserve"> </w:t>
      </w:r>
      <w:r w:rsidRPr="005F26E5">
        <w:rPr>
          <w:rStyle w:val="FootnoteReference"/>
          <w:sz w:val="20"/>
          <w:szCs w:val="20"/>
        </w:rPr>
        <w:footnoteRef/>
      </w:r>
      <w:r w:rsidRPr="005F26E5">
        <w:rPr>
          <w:sz w:val="20"/>
          <w:szCs w:val="20"/>
        </w:rPr>
        <w:t xml:space="preserve"> Informācijas avots: “Ceļu satiksmes drošības plāns 2017.-</w:t>
      </w:r>
      <w:proofErr w:type="gramStart"/>
      <w:r w:rsidRPr="005F26E5">
        <w:rPr>
          <w:sz w:val="20"/>
          <w:szCs w:val="20"/>
        </w:rPr>
        <w:t>2020.gadam</w:t>
      </w:r>
      <w:proofErr w:type="gramEnd"/>
      <w:r w:rsidRPr="005F26E5">
        <w:rPr>
          <w:sz w:val="20"/>
          <w:szCs w:val="20"/>
        </w:rPr>
        <w:t>” (apstiprināts ar Ministru kabineta 2017.gada 4.aprīļa rīkojumu Nr.180) iekļautā ceļu satiksmes negadījumu statistika un tās izvērtējums</w:t>
      </w:r>
    </w:p>
    <w:p w14:paraId="245818AA" w14:textId="77777777" w:rsidR="00F31194" w:rsidRDefault="00F31194" w:rsidP="006B2416">
      <w:pPr>
        <w:jc w:val="both"/>
        <w:rPr>
          <w:sz w:val="20"/>
          <w:szCs w:val="20"/>
        </w:rPr>
      </w:pPr>
    </w:p>
    <w:p w14:paraId="62B6F5F1" w14:textId="77777777" w:rsidR="00F31194" w:rsidRDefault="00F31194" w:rsidP="006B2416">
      <w:pPr>
        <w:jc w:val="both"/>
        <w:rPr>
          <w:sz w:val="20"/>
          <w:szCs w:val="20"/>
        </w:rPr>
      </w:pPr>
      <w:r>
        <w:rPr>
          <w:sz w:val="20"/>
          <w:szCs w:val="20"/>
        </w:rPr>
        <w:t xml:space="preserve"> </w:t>
      </w:r>
    </w:p>
    <w:p w14:paraId="200603A2" w14:textId="77777777" w:rsidR="00F31194" w:rsidRDefault="00F31194" w:rsidP="006B2416">
      <w:pPr>
        <w:pStyle w:val="FootnoteText"/>
        <w:rPr>
          <w:sz w:val="20"/>
          <w:szCs w:val="20"/>
        </w:rPr>
      </w:pPr>
    </w:p>
  </w:footnote>
  <w:footnote w:id="3">
    <w:p w14:paraId="21C6129A" w14:textId="77777777" w:rsidR="00F31194" w:rsidRPr="002661B2" w:rsidRDefault="00F31194" w:rsidP="0073190F">
      <w:pPr>
        <w:jc w:val="both"/>
        <w:rPr>
          <w:sz w:val="20"/>
          <w:szCs w:val="20"/>
        </w:rPr>
      </w:pPr>
      <w:r>
        <w:t xml:space="preserve"> </w:t>
      </w:r>
      <w:r w:rsidRPr="0073190F">
        <w:rPr>
          <w:rStyle w:val="FootnoteReference"/>
        </w:rPr>
        <w:footnoteRef/>
      </w:r>
      <w:r w:rsidRPr="0073190F">
        <w:t xml:space="preserve"> </w:t>
      </w:r>
      <w:r w:rsidRPr="0073190F">
        <w:rPr>
          <w:sz w:val="20"/>
          <w:szCs w:val="20"/>
        </w:rPr>
        <w:t>“Ceļu satiksmes drošības plāns 2017.-</w:t>
      </w:r>
      <w:proofErr w:type="gramStart"/>
      <w:r w:rsidRPr="0073190F">
        <w:rPr>
          <w:sz w:val="20"/>
          <w:szCs w:val="20"/>
        </w:rPr>
        <w:t>2020.gadam</w:t>
      </w:r>
      <w:proofErr w:type="gramEnd"/>
      <w:r w:rsidRPr="0073190F">
        <w:rPr>
          <w:sz w:val="20"/>
          <w:szCs w:val="20"/>
        </w:rPr>
        <w:t>” (apstiprināts ar Ministru kabineta 2017.gada 4.aprīļa rīkojumu Nr.180) izstrādāts, izvirzot mērķi samazināt ceļu satiksmes negadījumos bojāgājušo skaitu par 50%, salīdzinot ar 2010.gadu.</w:t>
      </w:r>
    </w:p>
    <w:p w14:paraId="46C472FD" w14:textId="77777777" w:rsidR="00F31194" w:rsidRDefault="00F31194" w:rsidP="00A120A6">
      <w:pPr>
        <w:jc w:val="both"/>
        <w:rPr>
          <w:sz w:val="20"/>
          <w:szCs w:val="20"/>
        </w:rPr>
      </w:pPr>
    </w:p>
  </w:footnote>
  <w:footnote w:id="4">
    <w:p w14:paraId="797C33F7" w14:textId="77777777" w:rsidR="00F31194" w:rsidRPr="00F84292" w:rsidRDefault="00F31194" w:rsidP="008626B4">
      <w:pPr>
        <w:jc w:val="both"/>
        <w:rPr>
          <w:sz w:val="20"/>
          <w:szCs w:val="20"/>
        </w:rPr>
      </w:pPr>
      <w:r>
        <w:t xml:space="preserve"> </w:t>
      </w:r>
      <w:r>
        <w:rPr>
          <w:rStyle w:val="FootnoteReference"/>
        </w:rPr>
        <w:footnoteRef/>
      </w:r>
      <w:r>
        <w:t xml:space="preserve"> </w:t>
      </w:r>
      <w:r w:rsidRPr="00F84292">
        <w:rPr>
          <w:sz w:val="20"/>
          <w:szCs w:val="20"/>
        </w:rPr>
        <w:t xml:space="preserve">Informācijas avots: </w:t>
      </w:r>
      <w:hyperlink r:id="rId1" w:history="1">
        <w:r w:rsidRPr="00F84292">
          <w:rPr>
            <w:rStyle w:val="Hyperlink"/>
            <w:color w:val="auto"/>
            <w:sz w:val="20"/>
            <w:szCs w:val="20"/>
          </w:rPr>
          <w:t>https://intranet.vp.gov.lv/page/personals</w:t>
        </w:r>
      </w:hyperlink>
      <w:r w:rsidRPr="00F84292">
        <w:rPr>
          <w:sz w:val="20"/>
          <w:szCs w:val="20"/>
        </w:rPr>
        <w:t xml:space="preserve"> (personāla uzskaites atskaites)</w:t>
      </w:r>
    </w:p>
    <w:p w14:paraId="2CE285B0" w14:textId="77777777" w:rsidR="00F31194" w:rsidRPr="00F84292" w:rsidRDefault="00F31194" w:rsidP="008626B4">
      <w:pPr>
        <w:jc w:val="both"/>
        <w:rPr>
          <w:sz w:val="20"/>
          <w:szCs w:val="20"/>
        </w:rPr>
      </w:pPr>
      <w:r w:rsidRPr="00F84292">
        <w:rPr>
          <w:sz w:val="20"/>
          <w:szCs w:val="20"/>
        </w:rPr>
        <w:t xml:space="preserve"> </w:t>
      </w:r>
    </w:p>
    <w:p w14:paraId="092F8DA1" w14:textId="77777777" w:rsidR="00F31194" w:rsidRPr="00F84292" w:rsidRDefault="00F31194" w:rsidP="008626B4">
      <w:pPr>
        <w:pStyle w:val="FootnoteText"/>
        <w:rPr>
          <w:sz w:val="20"/>
          <w:szCs w:val="20"/>
        </w:rPr>
      </w:pPr>
    </w:p>
  </w:footnote>
  <w:footnote w:id="5">
    <w:p w14:paraId="0059010E" w14:textId="77777777" w:rsidR="00F31194" w:rsidRPr="00047234" w:rsidRDefault="00F31194" w:rsidP="00047234">
      <w:pPr>
        <w:pStyle w:val="FootnoteText"/>
        <w:jc w:val="both"/>
        <w:rPr>
          <w:rFonts w:ascii="Times New Roman" w:hAnsi="Times New Roman" w:cs="Times New Roman"/>
          <w:sz w:val="20"/>
          <w:szCs w:val="20"/>
        </w:rPr>
      </w:pPr>
      <w:r w:rsidRPr="00047234">
        <w:rPr>
          <w:rStyle w:val="FootnoteReference"/>
          <w:rFonts w:ascii="Times New Roman" w:hAnsi="Times New Roman" w:cs="Times New Roman"/>
          <w:sz w:val="20"/>
          <w:szCs w:val="20"/>
        </w:rPr>
        <w:footnoteRef/>
      </w:r>
      <w:r w:rsidRPr="00047234">
        <w:rPr>
          <w:rFonts w:ascii="Times New Roman" w:hAnsi="Times New Roman" w:cs="Times New Roman"/>
          <w:sz w:val="20"/>
          <w:szCs w:val="20"/>
        </w:rPr>
        <w:t xml:space="preserve"> Atbildība par atļautā braukšanas ātruma pārkāpumiem paredzēta </w:t>
      </w:r>
      <w:r w:rsidRPr="00047234">
        <w:rPr>
          <w:rFonts w:ascii="Times New Roman" w:hAnsi="Times New Roman" w:cs="Times New Roman"/>
          <w:bCs/>
          <w:sz w:val="20"/>
          <w:szCs w:val="20"/>
          <w:shd w:val="clear" w:color="auto" w:fill="FFFFFF"/>
        </w:rPr>
        <w:t>Lietuvas Republikas administratīvo pārkāpumu kodeksā (pieņemts 25.03.2015.)</w:t>
      </w:r>
    </w:p>
  </w:footnote>
  <w:footnote w:id="6">
    <w:p w14:paraId="718A25F6" w14:textId="77777777" w:rsidR="00F31194" w:rsidRDefault="00F31194" w:rsidP="00047234">
      <w:pPr>
        <w:pStyle w:val="FootnoteText"/>
        <w:jc w:val="both"/>
      </w:pPr>
      <w:r w:rsidRPr="00047234">
        <w:rPr>
          <w:rStyle w:val="FootnoteReference"/>
          <w:rFonts w:ascii="Times New Roman" w:hAnsi="Times New Roman" w:cs="Times New Roman"/>
          <w:sz w:val="20"/>
          <w:szCs w:val="20"/>
        </w:rPr>
        <w:footnoteRef/>
      </w:r>
      <w:r w:rsidRPr="00047234">
        <w:rPr>
          <w:rFonts w:ascii="Times New Roman" w:hAnsi="Times New Roman" w:cs="Times New Roman"/>
          <w:sz w:val="20"/>
          <w:szCs w:val="20"/>
        </w:rPr>
        <w:t xml:space="preserve"> Atbildība par atļautā braukšanas ātruma pārkāpumiem paredzēta </w:t>
      </w:r>
      <w:r w:rsidRPr="00047234">
        <w:rPr>
          <w:rFonts w:ascii="Times New Roman" w:hAnsi="Times New Roman" w:cs="Times New Roman"/>
          <w:bCs/>
          <w:sz w:val="20"/>
          <w:szCs w:val="20"/>
          <w:shd w:val="clear" w:color="auto" w:fill="FFFFFF"/>
        </w:rPr>
        <w:t>Igaunijas Republikas Satiksmes likumā (pieņemts 17.06.2010.)</w:t>
      </w:r>
    </w:p>
  </w:footnote>
  <w:footnote w:id="7">
    <w:p w14:paraId="5BDF5131" w14:textId="77777777" w:rsidR="00F31194" w:rsidRDefault="00F31194" w:rsidP="001E31B4">
      <w:pPr>
        <w:jc w:val="both"/>
        <w:rPr>
          <w:sz w:val="20"/>
          <w:szCs w:val="20"/>
        </w:rPr>
      </w:pPr>
      <w:r>
        <w:rPr>
          <w:rStyle w:val="FootnoteReference"/>
        </w:rPr>
        <w:footnoteRef/>
      </w:r>
      <w:r>
        <w:t xml:space="preserve"> </w:t>
      </w:r>
      <w:r w:rsidRPr="00FB1FC0">
        <w:rPr>
          <w:sz w:val="20"/>
          <w:szCs w:val="20"/>
        </w:rPr>
        <w:t>Informācijas avots: Eiropas Komisija</w:t>
      </w:r>
      <w:proofErr w:type="gramStart"/>
      <w:r w:rsidRPr="00FB1FC0">
        <w:rPr>
          <w:sz w:val="20"/>
          <w:szCs w:val="20"/>
        </w:rPr>
        <w:t xml:space="preserve">  </w:t>
      </w:r>
      <w:proofErr w:type="gramEnd"/>
      <w:r>
        <w:rPr>
          <w:sz w:val="20"/>
          <w:szCs w:val="20"/>
        </w:rPr>
        <w:t>(</w:t>
      </w:r>
      <w:hyperlink r:id="rId2" w:history="1">
        <w:r w:rsidRPr="00F778DC">
          <w:rPr>
            <w:rStyle w:val="Hyperlink"/>
            <w:sz w:val="20"/>
            <w:szCs w:val="20"/>
          </w:rPr>
          <w:t>http://europa.eu/rapid/press-release_MEMO-18-2762_en.htm</w:t>
        </w:r>
      </w:hyperlink>
      <w:r>
        <w:rPr>
          <w:sz w:val="20"/>
          <w:szCs w:val="20"/>
        </w:rPr>
        <w:t>)</w:t>
      </w:r>
    </w:p>
  </w:footnote>
  <w:footnote w:id="8">
    <w:p w14:paraId="213AB293" w14:textId="77777777" w:rsidR="00F31194" w:rsidRPr="000172B2" w:rsidRDefault="00F31194" w:rsidP="0094337C">
      <w:pPr>
        <w:pStyle w:val="FootnoteText"/>
        <w:rPr>
          <w:rFonts w:ascii="Times New Roman" w:hAnsi="Times New Roman" w:cs="Times New Roman"/>
        </w:rPr>
      </w:pPr>
      <w:r w:rsidRPr="000172B2">
        <w:rPr>
          <w:rStyle w:val="FootnoteReference"/>
          <w:rFonts w:ascii="Times New Roman" w:hAnsi="Times New Roman" w:cs="Times New Roman"/>
        </w:rPr>
        <w:footnoteRef/>
      </w:r>
      <w:r w:rsidRPr="000172B2">
        <w:rPr>
          <w:rFonts w:ascii="Times New Roman" w:hAnsi="Times New Roman" w:cs="Times New Roman"/>
        </w:rPr>
        <w:t xml:space="preserve"> </w:t>
      </w:r>
      <w:r w:rsidRPr="000172B2">
        <w:rPr>
          <w:rFonts w:ascii="Times New Roman" w:hAnsi="Times New Roman" w:cs="Times New Roman"/>
          <w:sz w:val="20"/>
          <w:szCs w:val="20"/>
        </w:rPr>
        <w:t>Informācijas avots: “Visaptverošs pētījums par ceļu satiksmes drošību ietekmējošiem riska faktoriem Rīgas reģionā</w:t>
      </w:r>
      <w:r>
        <w:rPr>
          <w:rFonts w:ascii="Times New Roman" w:hAnsi="Times New Roman" w:cs="Times New Roman"/>
          <w:sz w:val="20"/>
          <w:szCs w:val="20"/>
        </w:rPr>
        <w:t>”</w:t>
      </w:r>
      <w:r w:rsidRPr="000172B2">
        <w:rPr>
          <w:rFonts w:ascii="Times New Roman" w:hAnsi="Times New Roman" w:cs="Times New Roman"/>
          <w:sz w:val="20"/>
          <w:szCs w:val="20"/>
        </w:rPr>
        <w:t xml:space="preserve">, </w:t>
      </w:r>
      <w:proofErr w:type="gramStart"/>
      <w:r w:rsidRPr="000172B2">
        <w:rPr>
          <w:rFonts w:ascii="Times New Roman" w:hAnsi="Times New Roman" w:cs="Times New Roman"/>
          <w:sz w:val="20"/>
          <w:szCs w:val="20"/>
        </w:rPr>
        <w:t>35.lapppuse</w:t>
      </w:r>
      <w:proofErr w:type="gramEnd"/>
    </w:p>
  </w:footnote>
  <w:footnote w:id="9">
    <w:p w14:paraId="5980368E" w14:textId="77777777" w:rsidR="00F31194" w:rsidRPr="00A269B1" w:rsidRDefault="00F31194">
      <w:pPr>
        <w:pStyle w:val="FootnoteText"/>
        <w:rPr>
          <w:rFonts w:ascii="Times New Roman" w:hAnsi="Times New Roman" w:cs="Times New Roman"/>
          <w:sz w:val="20"/>
          <w:szCs w:val="20"/>
        </w:rPr>
      </w:pPr>
      <w:r w:rsidRPr="00F56623">
        <w:rPr>
          <w:rStyle w:val="FootnoteReference"/>
          <w:sz w:val="20"/>
          <w:szCs w:val="20"/>
        </w:rPr>
        <w:footnoteRef/>
      </w:r>
      <w:r w:rsidRPr="00F56623">
        <w:rPr>
          <w:sz w:val="20"/>
          <w:szCs w:val="20"/>
        </w:rPr>
        <w:t xml:space="preserve"> </w:t>
      </w:r>
      <w:r w:rsidRPr="00A269B1">
        <w:rPr>
          <w:rFonts w:ascii="Times New Roman" w:hAnsi="Times New Roman" w:cs="Times New Roman"/>
          <w:sz w:val="20"/>
          <w:szCs w:val="20"/>
        </w:rPr>
        <w:t>Ekonomikas ministrijas 26.03.2018. vēstule Nr.1.9-1/2018/188</w:t>
      </w:r>
    </w:p>
  </w:footnote>
  <w:footnote w:id="10">
    <w:p w14:paraId="26B9CABE" w14:textId="77777777" w:rsidR="00F31194" w:rsidRPr="00A269B1" w:rsidRDefault="00F31194">
      <w:pPr>
        <w:pStyle w:val="FootnoteText"/>
        <w:rPr>
          <w:rFonts w:ascii="Times New Roman" w:hAnsi="Times New Roman" w:cs="Times New Roman"/>
        </w:rPr>
      </w:pPr>
      <w:r w:rsidRPr="00A269B1">
        <w:rPr>
          <w:rStyle w:val="FootnoteReference"/>
          <w:sz w:val="20"/>
          <w:szCs w:val="20"/>
        </w:rPr>
        <w:footnoteRef/>
      </w:r>
      <w:r w:rsidRPr="00A269B1">
        <w:rPr>
          <w:sz w:val="20"/>
          <w:szCs w:val="20"/>
        </w:rPr>
        <w:t xml:space="preserve"> </w:t>
      </w:r>
      <w:r w:rsidRPr="00A269B1">
        <w:rPr>
          <w:rFonts w:ascii="Times New Roman" w:hAnsi="Times New Roman" w:cs="Times New Roman"/>
          <w:sz w:val="20"/>
          <w:szCs w:val="20"/>
        </w:rPr>
        <w:t>Tieslietu ministrijas 23.01.2018. vēstule Nr.1-17/164</w:t>
      </w:r>
    </w:p>
  </w:footnote>
  <w:footnote w:id="11">
    <w:p w14:paraId="7EF7DD9B" w14:textId="1530FEF5" w:rsidR="00F31194" w:rsidRPr="00F31194" w:rsidRDefault="00F31194">
      <w:pPr>
        <w:pStyle w:val="FootnoteText"/>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Likumprojekts “Grozījumi Autoceļu lietošanas nodevas likumā” (Nr.258/Lp13) iesniegts Saeimā likumprojektu “Par valsts budžetu </w:t>
      </w:r>
      <w:proofErr w:type="gramStart"/>
      <w:r w:rsidRPr="00F31194">
        <w:rPr>
          <w:rFonts w:ascii="Times New Roman" w:hAnsi="Times New Roman" w:cs="Times New Roman"/>
          <w:sz w:val="20"/>
          <w:szCs w:val="20"/>
        </w:rPr>
        <w:t>2019.gadam</w:t>
      </w:r>
      <w:proofErr w:type="gramEnd"/>
      <w:r w:rsidRPr="00F31194">
        <w:rPr>
          <w:rFonts w:ascii="Times New Roman" w:hAnsi="Times New Roman" w:cs="Times New Roman"/>
          <w:sz w:val="20"/>
          <w:szCs w:val="20"/>
        </w:rPr>
        <w:t>” pavadošo likumprojektu paketē (pieņemts Saeimā 2019.gada 3.aprīlī)</w:t>
      </w:r>
    </w:p>
  </w:footnote>
  <w:footnote w:id="12">
    <w:p w14:paraId="5EDAC7F2" w14:textId="77777777" w:rsidR="00F31194" w:rsidRPr="006B3444" w:rsidRDefault="00F31194" w:rsidP="007577EF">
      <w:pPr>
        <w:jc w:val="both"/>
        <w:rPr>
          <w:sz w:val="20"/>
          <w:szCs w:val="20"/>
        </w:rPr>
      </w:pPr>
      <w:r>
        <w:rPr>
          <w:rStyle w:val="FootnoteReference"/>
        </w:rPr>
        <w:footnoteRef/>
      </w:r>
      <w:r>
        <w:t xml:space="preserve"> </w:t>
      </w:r>
      <w:r w:rsidRPr="006B3444">
        <w:rPr>
          <w:sz w:val="20"/>
          <w:szCs w:val="20"/>
        </w:rPr>
        <w:t xml:space="preserve">Ministru kabineta 2015. gada 22. 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 </w:t>
      </w:r>
      <w:proofErr w:type="gramStart"/>
      <w:r w:rsidRPr="006B3444">
        <w:rPr>
          <w:sz w:val="20"/>
          <w:szCs w:val="20"/>
        </w:rPr>
        <w:t>(</w:t>
      </w:r>
      <w:proofErr w:type="gramEnd"/>
      <w:r w:rsidRPr="006B3444">
        <w:rPr>
          <w:sz w:val="20"/>
          <w:szCs w:val="20"/>
        </w:rPr>
        <w:t>līdz to spēkā stāšanās – Ministru kabineta 2009.gada 15.decembra noteikumi Nr.1471 "</w:t>
      </w:r>
      <w:hyperlink r:id="rId3" w:tgtFrame="_blank" w:history="1">
        <w:r w:rsidRPr="006B3444">
          <w:rPr>
            <w:rStyle w:val="Hyperlink"/>
            <w:color w:val="auto"/>
            <w:sz w:val="20"/>
            <w:szCs w:val="20"/>
          </w:rPr>
          <w:t>Kārtība, kādā tiek noteikta un ieskaitīta valsts budžetā izmaksājamā peļņas daļa par valsts kapitāla izmantošanu</w:t>
        </w:r>
      </w:hyperlink>
      <w:r w:rsidRPr="006B3444">
        <w:rPr>
          <w:sz w:val="20"/>
          <w:szCs w:val="20"/>
        </w:rPr>
        <w:t xml:space="preserve">"); Publiskas personas kapitāla daļu un kapitālsabiedrību pārvaldības likums, gadskārtējie valsts budžeta likumi </w:t>
      </w:r>
    </w:p>
    <w:p w14:paraId="0A356F5A" w14:textId="77777777" w:rsidR="00F31194" w:rsidRDefault="00F31194" w:rsidP="007577EF">
      <w:pPr>
        <w:pStyle w:val="FootnoteText"/>
        <w:rPr>
          <w:sz w:val="20"/>
          <w:szCs w:val="20"/>
        </w:rPr>
      </w:pPr>
    </w:p>
  </w:footnote>
  <w:footnote w:id="13">
    <w:p w14:paraId="4F221F78" w14:textId="44C339EE" w:rsidR="00F31194" w:rsidRPr="00F31194" w:rsidRDefault="00F31194" w:rsidP="00F31194">
      <w:pPr>
        <w:pStyle w:val="FootnoteText"/>
        <w:jc w:val="both"/>
        <w:rPr>
          <w:rFonts w:ascii="Times New Roman" w:hAnsi="Times New Roman" w:cs="Times New Roman"/>
        </w:rPr>
      </w:pPr>
      <w:r>
        <w:rPr>
          <w:rStyle w:val="FootnoteReference"/>
        </w:rPr>
        <w:footnoteRef/>
      </w:r>
      <w:r>
        <w:t xml:space="preserve"> </w:t>
      </w:r>
      <w:r w:rsidRPr="00F31194">
        <w:rPr>
          <w:rFonts w:ascii="Times New Roman" w:hAnsi="Times New Roman" w:cs="Times New Roman"/>
        </w:rPr>
        <w:t>Proporcija PVN atskaitāmā priekšnodokļa aprēķināšanai tiek aprēķināta katru gadu</w:t>
      </w:r>
      <w:r>
        <w:rPr>
          <w:rFonts w:ascii="Times New Roman" w:hAnsi="Times New Roman" w:cs="Times New Roman"/>
        </w:rPr>
        <w:t>,</w:t>
      </w:r>
      <w:r w:rsidRPr="00F31194">
        <w:rPr>
          <w:rFonts w:ascii="Times New Roman" w:hAnsi="Times New Roman" w:cs="Times New Roman"/>
        </w:rPr>
        <w:t xml:space="preserve"> CSDD sagatavojot Pievienotās vērtības nodokļa deklarāciju par taksācijas gadu. Proporcija tiek aprēķināta</w:t>
      </w:r>
      <w:r>
        <w:rPr>
          <w:rFonts w:ascii="Times New Roman" w:hAnsi="Times New Roman" w:cs="Times New Roman"/>
        </w:rPr>
        <w:t>,</w:t>
      </w:r>
      <w:r w:rsidRPr="00F31194">
        <w:rPr>
          <w:rFonts w:ascii="Times New Roman" w:hAnsi="Times New Roman" w:cs="Times New Roman"/>
        </w:rPr>
        <w:t xml:space="preserve"> dalot ar PVN neapliekamo darījumu ieņēmumu summu pret apliekamo darījumu ieņēmumu summu. Saskaņā ar Pievienotās vērtības nodokļa deklarāciju par 2018. taksācijas gadu, ne</w:t>
      </w:r>
      <w:r>
        <w:rPr>
          <w:rFonts w:ascii="Times New Roman" w:hAnsi="Times New Roman" w:cs="Times New Roman"/>
        </w:rPr>
        <w:t>a</w:t>
      </w:r>
      <w:r w:rsidRPr="00F31194">
        <w:rPr>
          <w:rFonts w:ascii="Times New Roman" w:hAnsi="Times New Roman" w:cs="Times New Roman"/>
        </w:rPr>
        <w:t>pliekamo darījumu īpatnējais svars (%) ir 16%.</w:t>
      </w:r>
      <w:r>
        <w:rPr>
          <w:rFonts w:ascii="Times New Roman" w:hAnsi="Times New Roman" w:cs="Times New Roman"/>
        </w:rPr>
        <w:t xml:space="preserve"> </w:t>
      </w:r>
      <w:r w:rsidRPr="00F31194">
        <w:rPr>
          <w:rFonts w:ascii="Times New Roman" w:hAnsi="Times New Roman" w:cs="Times New Roman"/>
        </w:rPr>
        <w:t xml:space="preserve">Esošā CSDD fotoradaru darbības nodrošināšanas organizācija (nodrošināšanas funkciju sadalījums starp CSDD struktūrvienībām), autotransporta izmantošanas un darba laika uzskaites metodoloģija un </w:t>
      </w:r>
      <w:proofErr w:type="gramStart"/>
      <w:r w:rsidRPr="00F31194">
        <w:rPr>
          <w:rFonts w:ascii="Times New Roman" w:hAnsi="Times New Roman" w:cs="Times New Roman"/>
        </w:rPr>
        <w:t>informāciju sistēmu</w:t>
      </w:r>
      <w:proofErr w:type="gramEnd"/>
      <w:r w:rsidRPr="00F31194">
        <w:rPr>
          <w:rFonts w:ascii="Times New Roman" w:hAnsi="Times New Roman" w:cs="Times New Roman"/>
        </w:rPr>
        <w:t xml:space="preserve"> loģika neļauj nošķirt autotransporta nomas un degvielas un datoru izmantošanas izdevumus, kas izlietoti CSDD funkciju veikšanai no valsts deleģētā uzdevuma fotoradaru darbības nodrošināšanas. CSDD resursu izlietojums uzskaites procesu reorganizēšanai (t.sk. IS izmaiņu izstrādei), lai nodrošinātu precīzu izmaksu sadalīšanu, būtu nesamērīgs</w:t>
      </w:r>
    </w:p>
  </w:footnote>
  <w:footnote w:id="14">
    <w:p w14:paraId="3EFD7A68" w14:textId="77777777" w:rsidR="00F31194" w:rsidRPr="00365027" w:rsidRDefault="00F31194" w:rsidP="007577EF">
      <w:pPr>
        <w:pStyle w:val="FootnoteText"/>
        <w:jc w:val="both"/>
        <w:rPr>
          <w:rFonts w:ascii="Times New Roman" w:eastAsia="Times New Roman" w:hAnsi="Times New Roman" w:cs="Times New Roman"/>
          <w:sz w:val="20"/>
          <w:szCs w:val="20"/>
          <w:lang w:eastAsia="lv-LV"/>
        </w:rPr>
      </w:pPr>
      <w:r>
        <w:rPr>
          <w:rStyle w:val="FootnoteReference"/>
        </w:rPr>
        <w:footnoteRef/>
      </w:r>
      <w:r>
        <w:t xml:space="preserve"> </w:t>
      </w:r>
      <w:r w:rsidRPr="00365027">
        <w:rPr>
          <w:rFonts w:ascii="Times New Roman" w:eastAsia="Times New Roman" w:hAnsi="Times New Roman" w:cs="Times New Roman"/>
          <w:sz w:val="20"/>
          <w:szCs w:val="20"/>
          <w:lang w:eastAsia="lv-LV"/>
        </w:rPr>
        <w:t>No Finanšu ministrijas sniegtā skaidrojuma atbilstoši VSS 18.01.2018.sēdes protokola Nr.3 32.§ “Noteikumu projekts “Samaksas noteikumi valsts akciju sabiedrībai “Ceļu satiksmes drošības direkcija” par deleģēto valsts pārvaldes uzdevumu izpildi”” 2.punktā dotajam uzdevumam - Satiksmes ministrijai kopīgi ar Finanšu ministriju divu nedēļu laikā, tiekoties ministriju grāmatvedības ekspertiem, izdiskutēt jautājumu par fotoradaru un to pamatņu nolietojuma izmaksu segšanas kārtību un atspoguļošanu grāmatvedības dokumentos un iesniegt Valsts kancelejā attiecīgu informāciju par diskusijas rezultātiem</w:t>
      </w:r>
    </w:p>
  </w:footnote>
  <w:footnote w:id="15">
    <w:p w14:paraId="1D4DAFCA" w14:textId="77777777" w:rsidR="00F31194" w:rsidRPr="00CA26CA" w:rsidRDefault="00F31194" w:rsidP="007577EF">
      <w:pPr>
        <w:pStyle w:val="FootnoteText"/>
        <w:jc w:val="both"/>
        <w:rPr>
          <w:rFonts w:ascii="Times New Roman" w:eastAsia="Times New Roman" w:hAnsi="Times New Roman" w:cs="Times New Roman"/>
          <w:sz w:val="20"/>
          <w:szCs w:val="20"/>
          <w:lang w:eastAsia="lv-LV"/>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w:t>
      </w:r>
      <w:r w:rsidRPr="00CA26CA">
        <w:rPr>
          <w:rFonts w:ascii="Times New Roman" w:eastAsia="Times New Roman" w:hAnsi="Times New Roman" w:cs="Times New Roman"/>
          <w:sz w:val="20"/>
          <w:szCs w:val="20"/>
          <w:lang w:eastAsia="lv-LV"/>
        </w:rPr>
        <w:t>Saskaņā ar Ministru kabineta 2015. gada 22. decembra noteikumu Nr. 775</w:t>
      </w:r>
      <w:proofErr w:type="gramStart"/>
      <w:r w:rsidRPr="00CA26CA">
        <w:rPr>
          <w:rFonts w:ascii="Times New Roman" w:eastAsia="Times New Roman" w:hAnsi="Times New Roman" w:cs="Times New Roman"/>
          <w:sz w:val="20"/>
          <w:szCs w:val="20"/>
          <w:lang w:eastAsia="lv-LV"/>
        </w:rPr>
        <w:t xml:space="preserve">  </w:t>
      </w:r>
      <w:proofErr w:type="gramEnd"/>
      <w:r w:rsidRPr="00CA26CA">
        <w:rPr>
          <w:rFonts w:ascii="Times New Roman" w:eastAsia="Times New Roman" w:hAnsi="Times New Roman" w:cs="Times New Roman"/>
          <w:sz w:val="20"/>
          <w:szCs w:val="20"/>
          <w:lang w:eastAsia="lv-LV"/>
        </w:rPr>
        <w:t>“</w:t>
      </w:r>
      <w:hyperlink r:id="rId4" w:tgtFrame="_blank" w:history="1">
        <w:r w:rsidRPr="00CA26CA">
          <w:rPr>
            <w:rFonts w:ascii="Times New Roman" w:eastAsia="Times New Roman" w:hAnsi="Times New Roman" w:cs="Times New Roman"/>
            <w:sz w:val="20"/>
            <w:szCs w:val="20"/>
            <w:lang w:eastAsia="lv-LV"/>
          </w:rPr>
          <w:t>Gada pārskatu un konsolidēto gada pārskatu likuma</w:t>
        </w:r>
      </w:hyperlink>
      <w:r w:rsidRPr="00CA26CA">
        <w:rPr>
          <w:rFonts w:ascii="Times New Roman" w:eastAsia="Times New Roman" w:hAnsi="Times New Roman" w:cs="Times New Roman"/>
          <w:sz w:val="20"/>
          <w:szCs w:val="20"/>
          <w:lang w:eastAsia="lv-LV"/>
        </w:rPr>
        <w:t xml:space="preserve"> piemērošanas noteikumi “5.2. nodaļa ”Pamatlīdzekļu sākotnējās vērtības noteikšana”</w:t>
      </w:r>
    </w:p>
  </w:footnote>
  <w:footnote w:id="16">
    <w:p w14:paraId="485DA137" w14:textId="77777777" w:rsidR="00F31194" w:rsidRPr="00F31194" w:rsidRDefault="00F31194" w:rsidP="007577EF">
      <w:pPr>
        <w:pStyle w:val="FootnoteText"/>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Aprēķins: uzliktie naudas sodi/ nosūtīto protokolu – lēmumu skaits</w:t>
      </w:r>
    </w:p>
  </w:footnote>
  <w:footnote w:id="17">
    <w:p w14:paraId="4AFE83BC" w14:textId="77777777" w:rsidR="00F31194" w:rsidRPr="00F31194" w:rsidRDefault="00F31194" w:rsidP="007577EF">
      <w:pPr>
        <w:pStyle w:val="FootnoteText"/>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Aprēķins: nosūtīto protokolu – lēmumu skaits/ radardienu skaitu </w:t>
      </w:r>
    </w:p>
  </w:footnote>
  <w:footnote w:id="18">
    <w:p w14:paraId="2110AB73" w14:textId="77777777" w:rsidR="00F31194" w:rsidRPr="00F31194" w:rsidRDefault="00F31194" w:rsidP="007577EF">
      <w:pPr>
        <w:pStyle w:val="FootnoteText"/>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Skaits uz katra attiecīgā gada kalendāra mēneša pēdējo datumu/12</w:t>
      </w:r>
    </w:p>
  </w:footnote>
  <w:footnote w:id="19">
    <w:p w14:paraId="178E20B0" w14:textId="77777777" w:rsidR="00F31194" w:rsidRPr="0040771C" w:rsidRDefault="00F31194" w:rsidP="007577EF">
      <w:pPr>
        <w:pStyle w:val="FootnoteText"/>
        <w:rPr>
          <w:rFonts w:ascii="Times New Roman" w:hAnsi="Times New Roman" w:cs="Times New Roman"/>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Ievērojot nosacījumu, ka</w:t>
      </w:r>
      <w:proofErr w:type="gramStart"/>
      <w:r w:rsidRPr="00F31194">
        <w:rPr>
          <w:rFonts w:ascii="Times New Roman" w:hAnsi="Times New Roman" w:cs="Times New Roman"/>
          <w:sz w:val="20"/>
          <w:szCs w:val="20"/>
        </w:rPr>
        <w:t xml:space="preserve">  </w:t>
      </w:r>
      <w:proofErr w:type="gramEnd"/>
      <w:r w:rsidRPr="00F31194">
        <w:rPr>
          <w:rFonts w:ascii="Times New Roman" w:hAnsi="Times New Roman" w:cs="Times New Roman"/>
          <w:sz w:val="20"/>
          <w:szCs w:val="20"/>
        </w:rPr>
        <w:t>fotoradars darbojies vismaz 16 stundas diennaktī; saskaņā ar CSDD  sniegto informāciju</w:t>
      </w:r>
    </w:p>
  </w:footnote>
  <w:footnote w:id="20">
    <w:p w14:paraId="140C7C04" w14:textId="77777777" w:rsidR="00F31194" w:rsidRPr="00080CD9" w:rsidRDefault="00F31194" w:rsidP="007577EF">
      <w:pPr>
        <w:pStyle w:val="FootnoteText"/>
        <w:jc w:val="both"/>
        <w:rPr>
          <w:rFonts w:ascii="Times New Roman" w:hAnsi="Times New Roman" w:cs="Times New Roman"/>
          <w:sz w:val="20"/>
          <w:szCs w:val="20"/>
        </w:rPr>
      </w:pPr>
      <w:r w:rsidRPr="00F31194">
        <w:rPr>
          <w:rFonts w:ascii="Times New Roman" w:hAnsi="Times New Roman" w:cs="Times New Roman"/>
          <w:sz w:val="20"/>
          <w:szCs w:val="20"/>
          <w:vertAlign w:val="superscript"/>
        </w:rPr>
        <w:footnoteRef/>
      </w:r>
      <w:r w:rsidRPr="00080CD9">
        <w:rPr>
          <w:rFonts w:ascii="Times New Roman" w:eastAsia="Times New Roman" w:hAnsi="Times New Roman" w:cs="Times New Roman"/>
          <w:sz w:val="20"/>
          <w:szCs w:val="20"/>
          <w:vertAlign w:val="superscript"/>
          <w:lang w:eastAsia="lv-LV"/>
        </w:rPr>
        <w:t xml:space="preserve"> </w:t>
      </w:r>
      <w:r w:rsidRPr="00080CD9">
        <w:rPr>
          <w:rFonts w:ascii="Times New Roman" w:eastAsia="Times New Roman" w:hAnsi="Times New Roman" w:cs="Times New Roman"/>
          <w:sz w:val="20"/>
          <w:szCs w:val="20"/>
          <w:lang w:eastAsia="lv-LV"/>
        </w:rPr>
        <w:t>Ieņēmumi no valsts kapitāla izmantošanas</w:t>
      </w:r>
    </w:p>
  </w:footnote>
  <w:footnote w:id="21">
    <w:p w14:paraId="3DFE5CC0" w14:textId="77777777" w:rsidR="00F31194" w:rsidRDefault="00F31194" w:rsidP="007577EF">
      <w:pPr>
        <w:pStyle w:val="tv213"/>
        <w:spacing w:before="0" w:beforeAutospacing="0" w:after="0" w:afterAutospacing="0"/>
      </w:pPr>
      <w:r w:rsidRPr="00F31194">
        <w:rPr>
          <w:rStyle w:val="FootnoteReference"/>
          <w:sz w:val="20"/>
          <w:szCs w:val="20"/>
        </w:rPr>
        <w:footnoteRef/>
      </w:r>
      <w:r w:rsidRPr="00F31194">
        <w:rPr>
          <w:sz w:val="20"/>
          <w:szCs w:val="20"/>
        </w:rPr>
        <w:t xml:space="preserve"> </w:t>
      </w:r>
      <w:r w:rsidRPr="00F31194">
        <w:rPr>
          <w:rFonts w:eastAsiaTheme="minorHAnsi"/>
          <w:sz w:val="20"/>
          <w:szCs w:val="20"/>
          <w:lang w:eastAsia="en-US"/>
        </w:rPr>
        <w:t>(1) Lai Valsts policija veiktu ceļu satiksmes uzraudzību, Ceļu satiksmes drošības direkcija, pamatojoties uz deleģēšanas līgumu, kas noslēgts ar Valsts policiju, var nodrošināt tehnisko līdzekļu (</w:t>
      </w:r>
      <w:proofErr w:type="spellStart"/>
      <w:r w:rsidRPr="00F31194">
        <w:rPr>
          <w:rFonts w:eastAsiaTheme="minorHAnsi"/>
          <w:sz w:val="20"/>
          <w:szCs w:val="20"/>
          <w:lang w:eastAsia="en-US"/>
        </w:rPr>
        <w:t>fotoiekārtas</w:t>
      </w:r>
      <w:proofErr w:type="spellEnd"/>
      <w:r w:rsidRPr="00F31194">
        <w:rPr>
          <w:rFonts w:eastAsiaTheme="minorHAnsi"/>
          <w:sz w:val="20"/>
          <w:szCs w:val="20"/>
          <w:lang w:eastAsia="en-US"/>
        </w:rPr>
        <w:t xml:space="preserve"> vai videoiekārtas) uzstādīšanu un to darbību pārkāpumu fiksēšanai, neapturot transportlīdzekli</w:t>
      </w:r>
      <w:r w:rsidRPr="00365027">
        <w:rPr>
          <w:rFonts w:eastAsiaTheme="minorHAnsi"/>
          <w:sz w:val="22"/>
          <w:szCs w:val="22"/>
          <w:lang w:eastAsia="en-US"/>
        </w:rPr>
        <w:t>.</w:t>
      </w:r>
    </w:p>
  </w:footnote>
  <w:footnote w:id="22">
    <w:p w14:paraId="62390D89" w14:textId="77777777" w:rsidR="00F31194" w:rsidRPr="00DD3585" w:rsidRDefault="00F31194"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Visi maksājumi, kas saskaņā ar likumu vai citu normatīvo aktu vai līgumu ieskaitāmi valsts budžeta ieņēmumos, ir valsts budžeta līdzekļi, kurus saskaņā ar gadskārtējā valsts budžeta likumā noteiktu apropriāciju var </w:t>
      </w:r>
      <w:proofErr w:type="spellStart"/>
      <w:r w:rsidRPr="00DD3585">
        <w:rPr>
          <w:rFonts w:ascii="Times New Roman" w:hAnsi="Times New Roman" w:cs="Times New Roman"/>
        </w:rPr>
        <w:t>apropriēt</w:t>
      </w:r>
      <w:proofErr w:type="spellEnd"/>
      <w:r w:rsidRPr="00DD3585">
        <w:rPr>
          <w:rFonts w:ascii="Times New Roman" w:hAnsi="Times New Roman" w:cs="Times New Roman"/>
        </w:rPr>
        <w:t xml:space="preserve"> valsts mērķim.</w:t>
      </w:r>
    </w:p>
    <w:p w14:paraId="41C92E2A"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Valsts budžeta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p>
    <w:p w14:paraId="5DFCE297"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(3) Valsts budžeta līdzekļus var piešķirt vai saņemt vienīgi ar gadskārtējā valsts budžeta likumā paredzētu apropriāciju.</w:t>
      </w:r>
    </w:p>
    <w:p w14:paraId="498D92D2"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(4) Valsts budžeta izdevumi sastāv no apropriācijām, kas noteiktas konkrētām valsts vajadzībām saskaņā ar gadskārtējo valsts budžeta likumu.</w:t>
      </w:r>
    </w:p>
  </w:footnote>
  <w:footnote w:id="23">
    <w:p w14:paraId="57466591" w14:textId="77777777" w:rsidR="00F31194" w:rsidRPr="00DD3585" w:rsidRDefault="00F31194"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14:paraId="42B35F5D"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14:paraId="765E5E01"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(3)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14:paraId="1D4949CC"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(4) Ja koordinācijas institūcija ar Finanšu ministriju un valsts kapitāla daļu turētāju nevienojas par prognozējamo peļņas daļu, kas izmaksājama dividendēs, un dividendēs izmaksājamo peļņas daļu, valsts kapitāla daļu turētājs sagatavo un iesniedz rīkojuma projektu Ministru kabinetam, kas pieņem valsts kapitāla daļu turētājam saistošu lēmumu.</w:t>
      </w:r>
    </w:p>
    <w:p w14:paraId="1FA0CD49"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(5) Lēmumu par dividendēs izmaksājamo peļņas daļu dalībnieku (akcionāru) sapulce pieņem pēc sabiedrības gada pārskata apstiprināšanas.</w:t>
      </w:r>
    </w:p>
  </w:footnote>
  <w:footnote w:id="24">
    <w:p w14:paraId="76F02981" w14:textId="77777777" w:rsidR="00F31194" w:rsidRPr="00DD3585" w:rsidRDefault="00F31194"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 xml:space="preserve">Ja tajā paredzēti īpaši nosacījumi. Piemēram, likuma “Par valsts budžetu </w:t>
      </w:r>
      <w:proofErr w:type="gramStart"/>
      <w:r w:rsidRPr="00DD3585">
        <w:rPr>
          <w:rFonts w:ascii="Times New Roman" w:hAnsi="Times New Roman" w:cs="Times New Roman"/>
        </w:rPr>
        <w:t>2018.gadam</w:t>
      </w:r>
      <w:proofErr w:type="gramEnd"/>
      <w:r w:rsidRPr="00DD3585">
        <w:rPr>
          <w:rFonts w:ascii="Times New Roman" w:hAnsi="Times New Roman" w:cs="Times New Roman"/>
        </w:rPr>
        <w:t>” 44. pants paredz: (1) Noteikt, ka minimālo dividendēs izmaksājamo peļņas daļu par 2017. pārskata gadu [...] kapitālsabiedrībām, kurās visas kapitāla daļas tieši vai pastarpināti pieder valstij, 2018. gadā (par 2017. pārskata gadu) nosaka un aprēķina 80 procentu apmērā no attiecīgās kapitālsabiedrības tīrās peļņas, ja šajā likumā nav noteikts citādi.</w:t>
      </w:r>
    </w:p>
    <w:p w14:paraId="76753EB5"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Ministru kabineta noteiktajā kārtībā var tikt pieņemts lēmums par atšķirīgu dividendēs izmaksājamo minimālo peļņas daļu.</w:t>
      </w:r>
    </w:p>
    <w:p w14:paraId="0AF3A7E8" w14:textId="77777777" w:rsidR="00F31194" w:rsidRPr="00DD3585" w:rsidRDefault="00F31194" w:rsidP="007577EF">
      <w:pPr>
        <w:pStyle w:val="FootnoteText"/>
        <w:rPr>
          <w:rFonts w:ascii="Times New Roman" w:hAnsi="Times New Roman" w:cs="Times New Roman"/>
        </w:rPr>
      </w:pPr>
    </w:p>
  </w:footnote>
  <w:footnote w:id="25">
    <w:p w14:paraId="407D3663" w14:textId="77777777" w:rsidR="00F31194" w:rsidRDefault="00F31194" w:rsidP="007577EF">
      <w:pPr>
        <w:pStyle w:val="tv213"/>
        <w:spacing w:before="0" w:beforeAutospacing="0" w:after="0" w:afterAutospacing="0"/>
      </w:pPr>
      <w:r>
        <w:rPr>
          <w:rStyle w:val="FootnoteReference"/>
        </w:rPr>
        <w:footnoteRef/>
      </w:r>
      <w:r>
        <w:t xml:space="preserve"> </w:t>
      </w:r>
      <w:r w:rsidRPr="00DD3585">
        <w:rPr>
          <w:rFonts w:eastAsiaTheme="minorHAnsi"/>
          <w:sz w:val="22"/>
          <w:szCs w:val="22"/>
          <w:lang w:eastAsia="en-US"/>
        </w:rPr>
        <w:t>(1) Lai Valsts policija veiktu ceļu satiksmes uzraudzību, Ceļu satiksmes drošības direkcija, pamatojoties uz deleģēšanas līgumu, kas noslēgts ar Valsts policiju, var nodrošināt tehnisko līdzekļu (</w:t>
      </w:r>
      <w:proofErr w:type="spellStart"/>
      <w:r w:rsidRPr="00DD3585">
        <w:rPr>
          <w:rFonts w:eastAsiaTheme="minorHAnsi"/>
          <w:sz w:val="22"/>
          <w:szCs w:val="22"/>
          <w:lang w:eastAsia="en-US"/>
        </w:rPr>
        <w:t>fotoiekārtas</w:t>
      </w:r>
      <w:proofErr w:type="spellEnd"/>
      <w:r w:rsidRPr="00DD3585">
        <w:rPr>
          <w:rFonts w:eastAsiaTheme="minorHAnsi"/>
          <w:sz w:val="22"/>
          <w:szCs w:val="22"/>
          <w:lang w:eastAsia="en-US"/>
        </w:rPr>
        <w:t xml:space="preserve"> vai videoiekārtas) </w:t>
      </w:r>
      <w:r w:rsidRPr="0040771C">
        <w:rPr>
          <w:rFonts w:eastAsiaTheme="minorHAnsi"/>
          <w:sz w:val="22"/>
          <w:szCs w:val="22"/>
          <w:lang w:eastAsia="en-US"/>
        </w:rPr>
        <w:t>uzstādīšanu</w:t>
      </w:r>
      <w:r w:rsidRPr="00DD3585">
        <w:rPr>
          <w:rFonts w:eastAsiaTheme="minorHAnsi"/>
          <w:sz w:val="22"/>
          <w:szCs w:val="22"/>
          <w:lang w:eastAsia="en-US"/>
        </w:rPr>
        <w:t xml:space="preserve"> un to darbību pārkāpumu fiksēšanai, neapturot transportlīdzekli.</w:t>
      </w:r>
    </w:p>
  </w:footnote>
  <w:footnote w:id="26">
    <w:p w14:paraId="1E9C5C44" w14:textId="77777777" w:rsidR="00F31194" w:rsidRPr="00DD3585" w:rsidRDefault="00F31194"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Visi maksājumi, kas saskaņā ar likumu vai citu normatīvo aktu vai līgumu ieskaitāmi valsts budžeta ieņēmumos, ir valsts budžeta līdzekļi, kurus saskaņā ar gadskārtējā valsts budžeta likumā noteiktu apropriāciju var </w:t>
      </w:r>
      <w:proofErr w:type="spellStart"/>
      <w:r w:rsidRPr="00DD3585">
        <w:rPr>
          <w:rFonts w:ascii="Times New Roman" w:hAnsi="Times New Roman" w:cs="Times New Roman"/>
        </w:rPr>
        <w:t>apropriēt</w:t>
      </w:r>
      <w:proofErr w:type="spellEnd"/>
      <w:r w:rsidRPr="00DD3585">
        <w:rPr>
          <w:rFonts w:ascii="Times New Roman" w:hAnsi="Times New Roman" w:cs="Times New Roman"/>
        </w:rPr>
        <w:t xml:space="preserve"> valsts mērķim.</w:t>
      </w:r>
    </w:p>
    <w:p w14:paraId="6F8C708C"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Valsts budžeta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p>
    <w:p w14:paraId="79C68E83"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(3) Valsts budžeta līdzekļus var piešķirt vai saņemt vienīgi ar gadskārtējā valsts budžeta likumā paredzētu apropriāciju.</w:t>
      </w:r>
    </w:p>
    <w:p w14:paraId="515627E8"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(4) Valsts budžeta izdevumi sastāv no apropriācijām, kas noteiktas konkrētām valsts vajadzībām saskaņā ar gadskārtējo valsts budžeta likumu.</w:t>
      </w:r>
    </w:p>
  </w:footnote>
  <w:footnote w:id="27">
    <w:p w14:paraId="7145D3E8" w14:textId="77777777" w:rsidR="00F31194" w:rsidRPr="00DD3585" w:rsidRDefault="00F31194" w:rsidP="007577EF">
      <w:pPr>
        <w:pStyle w:val="FootnoteText"/>
        <w:jc w:val="both"/>
        <w:rPr>
          <w:rFonts w:ascii="Times New Roman" w:hAnsi="Times New Roman" w:cs="Times New Roman"/>
        </w:rPr>
      </w:pPr>
      <w:r w:rsidRPr="00DD3585">
        <w:rPr>
          <w:rStyle w:val="FootnoteReference"/>
          <w:rFonts w:ascii="Times New Roman" w:hAnsi="Times New Roman" w:cs="Times New Roman"/>
        </w:rPr>
        <w:footnoteRef/>
      </w:r>
      <w:r w:rsidRPr="00DD3585">
        <w:rPr>
          <w:rFonts w:ascii="Times New Roman" w:hAnsi="Times New Roman" w:cs="Times New Roman"/>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14:paraId="1EDF6950"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14:paraId="7BD7E99E"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(3) Ja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14:paraId="252A3E26"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(4) Ja koordinācijas institūcija ar Finanšu ministriju un valsts kapitāla daļu turētāju nevienojas par prognozējamo peļņas daļu, kas izmaksājama dividendēs, un dividendēs izmaksājamo peļņas daļu, valsts kapitāla daļu turētājs sagatavo un iesniedz rīkojuma projektu Ministru kabinetam, kas pieņem valsts kapitāla daļu turētājam saistošu lēmumu.</w:t>
      </w:r>
    </w:p>
    <w:p w14:paraId="609EF312"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(5) Lēmumu par dividendēs izmaksājamo peļņas daļu dalībnieku (akcionāru) sapulce pieņem pēc sabiedrības gada pārskata apstiprināšanas.</w:t>
      </w:r>
    </w:p>
  </w:footnote>
  <w:footnote w:id="28">
    <w:p w14:paraId="4CDFED61" w14:textId="77777777" w:rsidR="00F31194" w:rsidRPr="00DD3585" w:rsidRDefault="00F31194"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 xml:space="preserve">Ja tajā paredzēti īpaši nosacījumi. Piemēram, likuma “Par valsts budžetu </w:t>
      </w:r>
      <w:proofErr w:type="gramStart"/>
      <w:r w:rsidRPr="00DD3585">
        <w:rPr>
          <w:rFonts w:ascii="Times New Roman" w:hAnsi="Times New Roman" w:cs="Times New Roman"/>
        </w:rPr>
        <w:t>2018.gadam</w:t>
      </w:r>
      <w:proofErr w:type="gramEnd"/>
      <w:r w:rsidRPr="00DD3585">
        <w:rPr>
          <w:rFonts w:ascii="Times New Roman" w:hAnsi="Times New Roman" w:cs="Times New Roman"/>
        </w:rPr>
        <w:t>” 44. pants paredz: (1) Noteikt, ka minimālo dividendēs izmaksājamo peļņas daļu par 2017. pārskata gadu [...] kapitālsabiedrībām, kurās visas kapitāla daļas tieši vai pastarpināti pieder valstij, 2018. gadā (par 2017. pārskata gadu) nosaka un aprēķina 80 procentu apmērā no attiecīgās kapitālsabiedrības tīrās peļņas, ja šajā likumā nav noteikts citādi.</w:t>
      </w:r>
    </w:p>
    <w:p w14:paraId="45A27509"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Ministru kabineta noteiktajā kārtībā var tikt pieņemts lēmums par atšķirīgu dividendēs izmaksājamo minimālo peļņas daļu.</w:t>
      </w:r>
    </w:p>
    <w:p w14:paraId="0470A919" w14:textId="77777777" w:rsidR="00F31194" w:rsidRPr="00DD3585" w:rsidRDefault="00F31194" w:rsidP="007577EF">
      <w:pPr>
        <w:pStyle w:val="FootnoteText"/>
        <w:rPr>
          <w:rFonts w:ascii="Times New Roman" w:hAnsi="Times New Roman" w:cs="Times New Roman"/>
        </w:rPr>
      </w:pPr>
    </w:p>
  </w:footnote>
  <w:footnote w:id="29">
    <w:p w14:paraId="7113DADA" w14:textId="77777777" w:rsidR="00F31194" w:rsidRDefault="00F31194" w:rsidP="007577EF">
      <w:pPr>
        <w:pStyle w:val="FootnoteText"/>
        <w:jc w:val="both"/>
        <w:rPr>
          <w:rFonts w:ascii="Times New Roman" w:hAnsi="Times New Roman" w:cs="Times New Roman"/>
        </w:rPr>
      </w:pPr>
      <w:r>
        <w:rPr>
          <w:rStyle w:val="FootnoteReference"/>
        </w:rPr>
        <w:footnoteRef/>
      </w:r>
      <w:r>
        <w:t xml:space="preserve"> </w:t>
      </w:r>
      <w:r w:rsidRPr="00365027">
        <w:rPr>
          <w:rFonts w:ascii="Times New Roman" w:hAnsi="Times New Roman" w:cs="Times New Roman"/>
        </w:rPr>
        <w:t xml:space="preserve">Piemēram, likumā “Par valsts budžetu </w:t>
      </w:r>
      <w:proofErr w:type="gramStart"/>
      <w:r w:rsidRPr="00365027">
        <w:rPr>
          <w:rFonts w:ascii="Times New Roman" w:hAnsi="Times New Roman" w:cs="Times New Roman"/>
        </w:rPr>
        <w:t>2018.gadam</w:t>
      </w:r>
      <w:proofErr w:type="gramEnd"/>
      <w:r w:rsidRPr="00365027">
        <w:rPr>
          <w:rFonts w:ascii="Times New Roman" w:hAnsi="Times New Roman" w:cs="Times New Roman"/>
        </w:rPr>
        <w:t>”</w:t>
      </w:r>
      <w:r>
        <w:rPr>
          <w:rFonts w:ascii="Times New Roman" w:hAnsi="Times New Roman" w:cs="Times New Roman"/>
        </w:rPr>
        <w:t xml:space="preserve"> </w:t>
      </w:r>
      <w:r w:rsidRPr="00365027">
        <w:rPr>
          <w:rFonts w:ascii="Times New Roman" w:hAnsi="Times New Roman" w:cs="Times New Roman"/>
        </w:rPr>
        <w:t>noteikts:</w:t>
      </w:r>
    </w:p>
    <w:p w14:paraId="21BFD4EF" w14:textId="77777777" w:rsidR="00F31194" w:rsidRDefault="00F31194" w:rsidP="007577EF">
      <w:pPr>
        <w:pStyle w:val="FootnoteText"/>
        <w:jc w:val="both"/>
        <w:rPr>
          <w:rFonts w:ascii="Times New Roman" w:hAnsi="Times New Roman" w:cs="Times New Roman"/>
        </w:rPr>
      </w:pPr>
      <w:r w:rsidRPr="00365027">
        <w:rPr>
          <w:rFonts w:ascii="Times New Roman" w:hAnsi="Times New Roman" w:cs="Times New Roman"/>
        </w:rPr>
        <w:t xml:space="preserve">41. pants. Noteikt, ka akciju sabiedrība "Latvenergo" ieskaita valsts pamatbudžeta ieņēmumos maksājumu par valsts kapitāla izmantošanu (ieņēmumus no dividendēm) 2018. gadā (par 2017. pārskata gadu) 94 217 866 </w:t>
      </w:r>
      <w:r w:rsidRPr="00365027">
        <w:rPr>
          <w:rFonts w:ascii="Times New Roman" w:hAnsi="Times New Roman" w:cs="Times New Roman"/>
          <w:i/>
        </w:rPr>
        <w:t>euro</w:t>
      </w:r>
      <w:r w:rsidRPr="00365027">
        <w:rPr>
          <w:rFonts w:ascii="Times New Roman" w:hAnsi="Times New Roman" w:cs="Times New Roman"/>
        </w:rPr>
        <w:t>.</w:t>
      </w:r>
    </w:p>
    <w:p w14:paraId="5758927D" w14:textId="77777777" w:rsidR="00F31194" w:rsidRPr="00365027" w:rsidRDefault="00F31194" w:rsidP="007577EF">
      <w:pPr>
        <w:pStyle w:val="FootnoteText"/>
        <w:jc w:val="both"/>
        <w:rPr>
          <w:rFonts w:ascii="Times New Roman" w:hAnsi="Times New Roman" w:cs="Times New Roman"/>
        </w:rPr>
      </w:pPr>
      <w:r w:rsidRPr="00365027">
        <w:rPr>
          <w:rFonts w:ascii="Times New Roman" w:hAnsi="Times New Roman" w:cs="Times New Roman"/>
        </w:rPr>
        <w:t xml:space="preserve">52. pants. Noteikt, ka no akciju sabiedrības "Latvenergo" ikgadējām dividendēm 2018. gadā tiek novirzīti resursi izdevumu segšanai Ekonomikas ministrijas budžeta apakšprogrammā 29.02.00 "Elektroenerģijas lietotāju atbalsts" 35 987 866 </w:t>
      </w:r>
      <w:r w:rsidRPr="00365027">
        <w:rPr>
          <w:rFonts w:ascii="Times New Roman" w:hAnsi="Times New Roman" w:cs="Times New Roman"/>
          <w:i/>
        </w:rPr>
        <w:t>euro</w:t>
      </w:r>
      <w:r w:rsidRPr="00365027">
        <w:rPr>
          <w:rFonts w:ascii="Times New Roman" w:hAnsi="Times New Roman" w:cs="Times New Roman"/>
        </w:rPr>
        <w:t xml:space="preserve"> apmērā un apakšprogrammā </w:t>
      </w:r>
      <w:proofErr w:type="gramStart"/>
      <w:r w:rsidRPr="00365027">
        <w:rPr>
          <w:rFonts w:ascii="Times New Roman" w:hAnsi="Times New Roman" w:cs="Times New Roman"/>
        </w:rPr>
        <w:t>29.05.00 "Valsts pētījumu programma enerģētikā"</w:t>
      </w:r>
      <w:proofErr w:type="gramEnd"/>
      <w:r w:rsidRPr="00365027">
        <w:rPr>
          <w:rFonts w:ascii="Times New Roman" w:hAnsi="Times New Roman" w:cs="Times New Roman"/>
        </w:rPr>
        <w:t xml:space="preserve"> 2 000 000 </w:t>
      </w:r>
      <w:r w:rsidRPr="00365027">
        <w:rPr>
          <w:rFonts w:ascii="Times New Roman" w:hAnsi="Times New Roman" w:cs="Times New Roman"/>
          <w:i/>
        </w:rPr>
        <w:t>euro</w:t>
      </w:r>
      <w:r w:rsidRPr="00365027">
        <w:rPr>
          <w:rFonts w:ascii="Times New Roman" w:hAnsi="Times New Roman" w:cs="Times New Roman"/>
        </w:rPr>
        <w:t xml:space="preserve"> apmērā.</w:t>
      </w:r>
    </w:p>
  </w:footnote>
  <w:footnote w:id="30">
    <w:p w14:paraId="7BF8B20E" w14:textId="77777777" w:rsidR="00F31194" w:rsidRPr="00F31194" w:rsidRDefault="00F31194" w:rsidP="007577EF">
      <w:pPr>
        <w:pStyle w:val="tv213"/>
        <w:spacing w:before="0" w:beforeAutospacing="0" w:after="0" w:afterAutospacing="0"/>
        <w:jc w:val="both"/>
        <w:rPr>
          <w:rFonts w:eastAsiaTheme="minorHAnsi"/>
          <w:sz w:val="20"/>
          <w:szCs w:val="20"/>
          <w:lang w:eastAsia="en-US"/>
        </w:rPr>
      </w:pPr>
      <w:r w:rsidRPr="00F31194">
        <w:rPr>
          <w:rFonts w:eastAsiaTheme="minorHAnsi"/>
          <w:sz w:val="20"/>
          <w:szCs w:val="20"/>
          <w:vertAlign w:val="superscript"/>
          <w:lang w:eastAsia="en-US"/>
        </w:rPr>
        <w:footnoteRef/>
      </w:r>
      <w:r w:rsidRPr="00F31194">
        <w:rPr>
          <w:rFonts w:eastAsiaTheme="minorHAnsi"/>
          <w:sz w:val="20"/>
          <w:szCs w:val="20"/>
          <w:lang w:eastAsia="en-US"/>
        </w:rPr>
        <w:t xml:space="preserve"> 5. pants. Aizliegums nodot publiskas personas mantu bezatlīdzības lietošanā </w:t>
      </w:r>
    </w:p>
    <w:p w14:paraId="0ED3AB77" w14:textId="77777777" w:rsidR="00F31194" w:rsidRPr="00F31194" w:rsidRDefault="00F31194" w:rsidP="007577EF">
      <w:pPr>
        <w:pStyle w:val="tv213"/>
        <w:spacing w:before="0" w:beforeAutospacing="0" w:after="0" w:afterAutospacing="0"/>
        <w:jc w:val="both"/>
        <w:rPr>
          <w:rFonts w:eastAsiaTheme="minorHAnsi"/>
          <w:sz w:val="20"/>
          <w:szCs w:val="20"/>
          <w:lang w:eastAsia="en-US"/>
        </w:rPr>
      </w:pPr>
      <w:r w:rsidRPr="00F31194">
        <w:rPr>
          <w:rFonts w:eastAsiaTheme="minorHAnsi"/>
          <w:sz w:val="20"/>
          <w:szCs w:val="20"/>
          <w:lang w:eastAsia="en-US"/>
        </w:rPr>
        <w:t>(1) Publiskas personas mantu aizliegts nodot privātpersonai vai kapitālsabiedrībai bezatlīdzības lietošanā.</w:t>
      </w:r>
    </w:p>
    <w:p w14:paraId="6965A8C1" w14:textId="77777777" w:rsidR="00F31194" w:rsidRPr="00F31194" w:rsidRDefault="00F31194" w:rsidP="007577EF">
      <w:pPr>
        <w:pStyle w:val="tv213"/>
        <w:spacing w:before="0" w:beforeAutospacing="0" w:after="0" w:afterAutospacing="0"/>
        <w:jc w:val="both"/>
        <w:rPr>
          <w:rFonts w:eastAsiaTheme="minorHAnsi"/>
          <w:sz w:val="20"/>
          <w:szCs w:val="20"/>
          <w:lang w:eastAsia="en-US"/>
        </w:rPr>
      </w:pPr>
      <w:r w:rsidRPr="00F31194">
        <w:rPr>
          <w:rFonts w:eastAsiaTheme="minorHAnsi"/>
          <w:sz w:val="20"/>
          <w:szCs w:val="20"/>
          <w:lang w:eastAsia="en-US"/>
        </w:rPr>
        <w:t>(2) Šā panta pirmās daļas noteikumi neattiecas uz gadījumiem, kad:</w:t>
      </w:r>
    </w:p>
    <w:p w14:paraId="7C07DA9D" w14:textId="77777777" w:rsidR="00F31194" w:rsidRPr="00F31194" w:rsidRDefault="00F31194" w:rsidP="007577EF">
      <w:pPr>
        <w:pStyle w:val="tv213"/>
        <w:spacing w:before="0" w:beforeAutospacing="0" w:after="0" w:afterAutospacing="0"/>
        <w:jc w:val="both"/>
        <w:rPr>
          <w:rFonts w:eastAsiaTheme="minorHAnsi"/>
          <w:sz w:val="20"/>
          <w:szCs w:val="20"/>
          <w:lang w:eastAsia="en-US"/>
        </w:rPr>
      </w:pPr>
      <w:r w:rsidRPr="00F31194">
        <w:rPr>
          <w:rFonts w:eastAsiaTheme="minorHAnsi"/>
          <w:sz w:val="20"/>
          <w:szCs w:val="20"/>
          <w:lang w:eastAsia="en-US"/>
        </w:rPr>
        <w:t>[...]5) publiska persona savu mantu nodod privātpersonai vai kapitālsabiedrībai tai deleģēto valsts pārvaldes uzdevumu pildīšanai, arī publiskas personas pakalpojumu sniegšanai;</w:t>
      </w:r>
    </w:p>
  </w:footnote>
  <w:footnote w:id="31">
    <w:p w14:paraId="545AA575" w14:textId="77777777" w:rsidR="00F31194" w:rsidRPr="00F31194" w:rsidRDefault="00F31194" w:rsidP="007577EF">
      <w:pPr>
        <w:pStyle w:val="tv213"/>
        <w:spacing w:before="0" w:beforeAutospacing="0" w:after="0" w:afterAutospacing="0"/>
        <w:rPr>
          <w:sz w:val="20"/>
          <w:szCs w:val="20"/>
        </w:rPr>
      </w:pPr>
      <w:r w:rsidRPr="00F31194">
        <w:rPr>
          <w:rStyle w:val="FootnoteReference"/>
          <w:sz w:val="20"/>
          <w:szCs w:val="20"/>
        </w:rPr>
        <w:footnoteRef/>
      </w:r>
      <w:r w:rsidRPr="00F31194">
        <w:rPr>
          <w:sz w:val="20"/>
          <w:szCs w:val="20"/>
        </w:rPr>
        <w:t xml:space="preserve"> </w:t>
      </w:r>
      <w:r w:rsidRPr="00F31194">
        <w:rPr>
          <w:rFonts w:eastAsiaTheme="minorHAnsi"/>
          <w:sz w:val="20"/>
          <w:szCs w:val="20"/>
          <w:lang w:eastAsia="en-US"/>
        </w:rPr>
        <w:t>(1) Lai Valsts policija veiktu ceļu satiksmes uzraudzību, Ceļu satiksmes drošības direkcija, pamatojoties uz deleģēšanas līgumu, kas noslēgts ar Valsts policiju, var nodrošināt tehnisko līdzekļu (</w:t>
      </w:r>
      <w:proofErr w:type="spellStart"/>
      <w:r w:rsidRPr="00F31194">
        <w:rPr>
          <w:rFonts w:eastAsiaTheme="minorHAnsi"/>
          <w:sz w:val="20"/>
          <w:szCs w:val="20"/>
          <w:lang w:eastAsia="en-US"/>
        </w:rPr>
        <w:t>fotoiekārtas</w:t>
      </w:r>
      <w:proofErr w:type="spellEnd"/>
      <w:r w:rsidRPr="00F31194">
        <w:rPr>
          <w:rFonts w:eastAsiaTheme="minorHAnsi"/>
          <w:sz w:val="20"/>
          <w:szCs w:val="20"/>
          <w:lang w:eastAsia="en-US"/>
        </w:rPr>
        <w:t xml:space="preserve"> vai videoiekārtas) uzstādīšanu un to darbību pārkāpumu fiksēšanai, neapturot transportlīdzekli.</w:t>
      </w:r>
    </w:p>
  </w:footnote>
  <w:footnote w:id="32">
    <w:p w14:paraId="348A4D0D" w14:textId="77777777" w:rsidR="00F31194" w:rsidRPr="00F31194" w:rsidRDefault="00F31194" w:rsidP="007577EF">
      <w:pPr>
        <w:pStyle w:val="FootnoteText"/>
        <w:jc w:val="both"/>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(1) Visi maksājumi, kas saskaņā ar likumu vai citu normatīvo aktu vai līgumu ieskaitāmi valsts budžeta ieņēmumos, ir valsts budžeta līdzekļi, kurus saskaņā ar gadskārtējā valsts budžeta likumā noteiktu apropriāciju var </w:t>
      </w:r>
      <w:proofErr w:type="spellStart"/>
      <w:r w:rsidRPr="00F31194">
        <w:rPr>
          <w:rFonts w:ascii="Times New Roman" w:hAnsi="Times New Roman" w:cs="Times New Roman"/>
          <w:sz w:val="20"/>
          <w:szCs w:val="20"/>
        </w:rPr>
        <w:t>apropriēt</w:t>
      </w:r>
      <w:proofErr w:type="spellEnd"/>
      <w:r w:rsidRPr="00F31194">
        <w:rPr>
          <w:rFonts w:ascii="Times New Roman" w:hAnsi="Times New Roman" w:cs="Times New Roman"/>
          <w:sz w:val="20"/>
          <w:szCs w:val="20"/>
        </w:rPr>
        <w:t xml:space="preserve"> valsts mērķim.</w:t>
      </w:r>
    </w:p>
    <w:p w14:paraId="38BAB381" w14:textId="77777777" w:rsidR="00F31194" w:rsidRPr="00F31194" w:rsidRDefault="00F31194" w:rsidP="007577EF">
      <w:pPr>
        <w:pStyle w:val="FootnoteText"/>
        <w:jc w:val="both"/>
        <w:rPr>
          <w:rFonts w:ascii="Times New Roman" w:hAnsi="Times New Roman" w:cs="Times New Roman"/>
          <w:sz w:val="20"/>
          <w:szCs w:val="20"/>
        </w:rPr>
      </w:pPr>
      <w:r w:rsidRPr="00F31194">
        <w:rPr>
          <w:rFonts w:ascii="Times New Roman" w:hAnsi="Times New Roman" w:cs="Times New Roman"/>
          <w:sz w:val="20"/>
          <w:szCs w:val="20"/>
        </w:rPr>
        <w:t>(2) Valsts budžeta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p>
    <w:p w14:paraId="6D853626" w14:textId="77777777" w:rsidR="00F31194" w:rsidRPr="00F31194" w:rsidRDefault="00F31194" w:rsidP="007577EF">
      <w:pPr>
        <w:pStyle w:val="FootnoteText"/>
        <w:jc w:val="both"/>
        <w:rPr>
          <w:rFonts w:ascii="Times New Roman" w:hAnsi="Times New Roman" w:cs="Times New Roman"/>
          <w:sz w:val="20"/>
          <w:szCs w:val="20"/>
        </w:rPr>
      </w:pPr>
      <w:r w:rsidRPr="00F31194">
        <w:rPr>
          <w:rFonts w:ascii="Times New Roman" w:hAnsi="Times New Roman" w:cs="Times New Roman"/>
          <w:sz w:val="20"/>
          <w:szCs w:val="20"/>
        </w:rPr>
        <w:t>(3) Valsts budžeta līdzekļus var piešķirt vai saņemt vienīgi ar gadskārtējā valsts budžeta likumā paredzētu apropriāciju.</w:t>
      </w:r>
    </w:p>
    <w:p w14:paraId="2A7B4B4A" w14:textId="77777777" w:rsidR="00F31194" w:rsidRPr="00F31194" w:rsidRDefault="00F31194" w:rsidP="007577EF">
      <w:pPr>
        <w:pStyle w:val="FootnoteText"/>
        <w:jc w:val="both"/>
        <w:rPr>
          <w:rFonts w:ascii="Times New Roman" w:hAnsi="Times New Roman" w:cs="Times New Roman"/>
          <w:sz w:val="20"/>
          <w:szCs w:val="20"/>
        </w:rPr>
      </w:pPr>
      <w:r w:rsidRPr="00F31194">
        <w:rPr>
          <w:rFonts w:ascii="Times New Roman" w:hAnsi="Times New Roman" w:cs="Times New Roman"/>
          <w:sz w:val="20"/>
          <w:szCs w:val="20"/>
        </w:rPr>
        <w:t>(4) Valsts budžeta izdevumi sastāv no apropriācijām, kas noteiktas konkrētām valsts vajadzībām saskaņā ar gadskārtējo valsts budžeta likumu.</w:t>
      </w:r>
    </w:p>
  </w:footnote>
  <w:footnote w:id="33">
    <w:p w14:paraId="5704168B" w14:textId="77777777" w:rsidR="00F31194" w:rsidRPr="00F31194" w:rsidRDefault="00F31194" w:rsidP="007577EF">
      <w:pPr>
        <w:pStyle w:val="FootnoteText"/>
        <w:jc w:val="both"/>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(1) Prognozējamo peļņas daļu, kas izmaksājama dividendēs, un dividendēs izmaksājamo peļņas daļu nosaka, pamatojoties uz kapitālsabiedrības vidēja termiņa darbības stratēģiju, tajā noteiktajiem kapitālsabiedrības mērķiem un to īstenošanu.</w:t>
      </w:r>
    </w:p>
    <w:p w14:paraId="52E1C955" w14:textId="77777777" w:rsidR="00F31194" w:rsidRPr="00F31194" w:rsidRDefault="00F31194" w:rsidP="007577EF">
      <w:pPr>
        <w:pStyle w:val="FootnoteText"/>
        <w:jc w:val="both"/>
        <w:rPr>
          <w:rFonts w:ascii="Times New Roman" w:hAnsi="Times New Roman" w:cs="Times New Roman"/>
          <w:sz w:val="20"/>
          <w:szCs w:val="20"/>
        </w:rPr>
      </w:pPr>
      <w:r w:rsidRPr="00F31194">
        <w:rPr>
          <w:rFonts w:ascii="Times New Roman" w:hAnsi="Times New Roman" w:cs="Times New Roman"/>
          <w:sz w:val="20"/>
          <w:szCs w:val="20"/>
        </w:rPr>
        <w:t>(2) Kapitālsabiedrības valde, pamatojoties uz vidēja termiņa darbības stratēģiju, sagatavo priekšlikumu par prognozējamo peļņas daļu, kas izmaksājama dividendēs, un dividendēs izmaksājamo peļņas daļu un iesniedz priekšlikumu kapitāla daļu turētājam.</w:t>
      </w:r>
    </w:p>
    <w:p w14:paraId="3AF59EDE" w14:textId="77777777" w:rsidR="00F31194" w:rsidRPr="00F31194" w:rsidRDefault="00F31194" w:rsidP="007577EF">
      <w:pPr>
        <w:pStyle w:val="FootnoteText"/>
        <w:jc w:val="both"/>
        <w:rPr>
          <w:rFonts w:ascii="Times New Roman" w:hAnsi="Times New Roman" w:cs="Times New Roman"/>
          <w:sz w:val="20"/>
          <w:szCs w:val="20"/>
        </w:rPr>
      </w:pPr>
      <w:r w:rsidRPr="00F31194">
        <w:rPr>
          <w:rFonts w:ascii="Times New Roman" w:hAnsi="Times New Roman" w:cs="Times New Roman"/>
          <w:sz w:val="20"/>
          <w:szCs w:val="20"/>
        </w:rPr>
        <w:t>(3) Ja kapitālsabiedrības valdes priekšlikums par prognozējamo peļņas daļu, kas izmaksājama dividendēs, un dividendēs izmaksājamo peļņas daļu atšķiras no vidēja termiņa darbības</w:t>
      </w:r>
      <w:r w:rsidRPr="00DD3585">
        <w:rPr>
          <w:rFonts w:ascii="Times New Roman" w:hAnsi="Times New Roman" w:cs="Times New Roman"/>
        </w:rPr>
        <w:t xml:space="preserve"> </w:t>
      </w:r>
      <w:r w:rsidRPr="00F31194">
        <w:rPr>
          <w:rFonts w:ascii="Times New Roman" w:hAnsi="Times New Roman" w:cs="Times New Roman"/>
          <w:sz w:val="20"/>
          <w:szCs w:val="20"/>
        </w:rPr>
        <w:t>stratēģijā noteiktā, valsts kapitāla daļu turētājs iesniedz Finanšu ministrijai un koordinācijas institūcijai priekšlikumu ar dividendēs izmaksājamās peļņas daļas pamatojumu.</w:t>
      </w:r>
    </w:p>
    <w:p w14:paraId="7BDC6E15" w14:textId="77777777" w:rsidR="00F31194" w:rsidRPr="00DD3585" w:rsidRDefault="00F31194" w:rsidP="007577EF">
      <w:pPr>
        <w:pStyle w:val="FootnoteText"/>
        <w:jc w:val="both"/>
        <w:rPr>
          <w:rFonts w:ascii="Times New Roman" w:hAnsi="Times New Roman" w:cs="Times New Roman"/>
        </w:rPr>
      </w:pPr>
      <w:r w:rsidRPr="00F31194">
        <w:rPr>
          <w:rFonts w:ascii="Times New Roman" w:hAnsi="Times New Roman" w:cs="Times New Roman"/>
          <w:sz w:val="20"/>
          <w:szCs w:val="20"/>
        </w:rPr>
        <w:t>(4) Ja koordinācijas institūcija ar Finanšu ministriju un valsts kapitāla daļu turētāju nevienojas par prognozējamo peļņas daļu, kas izmaksājama dividendēs, un dividendēs izmaksājamo peļņas</w:t>
      </w:r>
      <w:r w:rsidRPr="00DD3585">
        <w:rPr>
          <w:rFonts w:ascii="Times New Roman" w:hAnsi="Times New Roman" w:cs="Times New Roman"/>
        </w:rPr>
        <w:t xml:space="preserve"> </w:t>
      </w:r>
      <w:r w:rsidRPr="00F31194">
        <w:rPr>
          <w:rFonts w:ascii="Times New Roman" w:hAnsi="Times New Roman" w:cs="Times New Roman"/>
          <w:sz w:val="20"/>
          <w:szCs w:val="20"/>
        </w:rPr>
        <w:t>daļu, valsts</w:t>
      </w:r>
      <w:r w:rsidRPr="00DD3585">
        <w:rPr>
          <w:rFonts w:ascii="Times New Roman" w:hAnsi="Times New Roman" w:cs="Times New Roman"/>
        </w:rPr>
        <w:t xml:space="preserve"> kapitāla daļu turētājs sagatavo un iesniedz rīkojuma projektu Ministru kabinetam, kas pieņem valsts kapitāla daļu turētājam saistošu lēmumu.</w:t>
      </w:r>
    </w:p>
    <w:p w14:paraId="527807C0"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(5) Lēmumu par dividendēs izmaksājamo peļņas daļu dalībnieku (akcionāru) sapulce pieņem pēc sabiedrības gada pārskata apstiprināšanas.</w:t>
      </w:r>
    </w:p>
  </w:footnote>
  <w:footnote w:id="34">
    <w:p w14:paraId="61CE2EC9" w14:textId="77777777" w:rsidR="00F31194" w:rsidRPr="00DD3585" w:rsidRDefault="00F31194"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 xml:space="preserve">Ja tajā paredzēti īpaši nosacījumi. Piemēram, likuma “Par valsts budžetu </w:t>
      </w:r>
      <w:proofErr w:type="gramStart"/>
      <w:r w:rsidRPr="00DD3585">
        <w:rPr>
          <w:rFonts w:ascii="Times New Roman" w:hAnsi="Times New Roman" w:cs="Times New Roman"/>
        </w:rPr>
        <w:t>2018.gadam</w:t>
      </w:r>
      <w:proofErr w:type="gramEnd"/>
      <w:r w:rsidRPr="00DD3585">
        <w:rPr>
          <w:rFonts w:ascii="Times New Roman" w:hAnsi="Times New Roman" w:cs="Times New Roman"/>
        </w:rPr>
        <w:t>” 44. pants paredz: (1) Noteikt, ka minimālo dividendēs izmaksājamo peļņas daļu par 2017. pārskata gadu [...] kapitālsabiedrībām, kurās visas kapitāla daļas tieši vai pastarpināti pieder valstij, 2018. gadā (par 2017. pārskata gadu) nosaka un aprēķina 80 procentu apmērā no attiecīgās kapitālsabiedrības tīrās peļņas, ja šajā likumā nav noteikts citādi.</w:t>
      </w:r>
    </w:p>
    <w:p w14:paraId="3DE5AD49"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(2) Ministru kabineta noteiktajā kārtībā var tikt pieņemts lēmums par atšķirīgu dividendēs izmaksājamo minimālo peļņas daļu.</w:t>
      </w:r>
    </w:p>
    <w:p w14:paraId="2F35A250" w14:textId="77777777" w:rsidR="00F31194" w:rsidRPr="00DD3585" w:rsidRDefault="00F31194" w:rsidP="007577EF">
      <w:pPr>
        <w:pStyle w:val="FootnoteText"/>
        <w:rPr>
          <w:rFonts w:ascii="Times New Roman" w:hAnsi="Times New Roman" w:cs="Times New Roman"/>
        </w:rPr>
      </w:pPr>
    </w:p>
  </w:footnote>
  <w:footnote w:id="35">
    <w:p w14:paraId="37A093E8" w14:textId="77777777" w:rsidR="00F31194" w:rsidRDefault="00F31194" w:rsidP="007577EF">
      <w:pPr>
        <w:pStyle w:val="FootnoteText"/>
        <w:jc w:val="both"/>
        <w:rPr>
          <w:rFonts w:ascii="Times New Roman" w:hAnsi="Times New Roman" w:cs="Times New Roman"/>
        </w:rPr>
      </w:pPr>
      <w:r>
        <w:rPr>
          <w:rStyle w:val="FootnoteReference"/>
        </w:rPr>
        <w:footnoteRef/>
      </w:r>
      <w:r>
        <w:t xml:space="preserve"> </w:t>
      </w:r>
      <w:r w:rsidRPr="00DD3585">
        <w:rPr>
          <w:rFonts w:ascii="Times New Roman" w:hAnsi="Times New Roman" w:cs="Times New Roman"/>
        </w:rPr>
        <w:t xml:space="preserve">Piemēram, likumā “Par valsts budžetu </w:t>
      </w:r>
      <w:proofErr w:type="gramStart"/>
      <w:r w:rsidRPr="00DD3585">
        <w:rPr>
          <w:rFonts w:ascii="Times New Roman" w:hAnsi="Times New Roman" w:cs="Times New Roman"/>
        </w:rPr>
        <w:t>2018.gadam</w:t>
      </w:r>
      <w:proofErr w:type="gramEnd"/>
      <w:r w:rsidRPr="00DD3585">
        <w:rPr>
          <w:rFonts w:ascii="Times New Roman" w:hAnsi="Times New Roman" w:cs="Times New Roman"/>
        </w:rPr>
        <w:t>”</w:t>
      </w:r>
      <w:r>
        <w:rPr>
          <w:rFonts w:ascii="Times New Roman" w:hAnsi="Times New Roman" w:cs="Times New Roman"/>
        </w:rPr>
        <w:t xml:space="preserve"> </w:t>
      </w:r>
      <w:r w:rsidRPr="00DD3585">
        <w:rPr>
          <w:rFonts w:ascii="Times New Roman" w:hAnsi="Times New Roman" w:cs="Times New Roman"/>
        </w:rPr>
        <w:t>noteikts:</w:t>
      </w:r>
    </w:p>
    <w:p w14:paraId="2656F1A4" w14:textId="77777777" w:rsidR="00F31194" w:rsidRDefault="00F31194" w:rsidP="007577EF">
      <w:pPr>
        <w:pStyle w:val="FootnoteText"/>
        <w:jc w:val="both"/>
        <w:rPr>
          <w:rFonts w:ascii="Times New Roman" w:hAnsi="Times New Roman" w:cs="Times New Roman"/>
        </w:rPr>
      </w:pPr>
      <w:r w:rsidRPr="00DD3585">
        <w:rPr>
          <w:rFonts w:ascii="Times New Roman" w:hAnsi="Times New Roman" w:cs="Times New Roman"/>
        </w:rPr>
        <w:t xml:space="preserve">41. pants. Noteikt, ka akciju sabiedrība "Latvenergo" ieskaita valsts pamatbudžeta ieņēmumos maksājumu par valsts kapitāla izmantošanu (ieņēmumus no dividendēm) 2018. gadā (par 2017. pārskata gadu) 94 217 866 </w:t>
      </w:r>
      <w:r w:rsidRPr="00DD3585">
        <w:rPr>
          <w:rFonts w:ascii="Times New Roman" w:hAnsi="Times New Roman" w:cs="Times New Roman"/>
          <w:i/>
        </w:rPr>
        <w:t>euro</w:t>
      </w:r>
      <w:r w:rsidRPr="00DD3585">
        <w:rPr>
          <w:rFonts w:ascii="Times New Roman" w:hAnsi="Times New Roman" w:cs="Times New Roman"/>
        </w:rPr>
        <w:t>.</w:t>
      </w:r>
    </w:p>
    <w:p w14:paraId="7080E98E" w14:textId="77777777" w:rsidR="00F31194" w:rsidRPr="00DD3585" w:rsidRDefault="00F31194" w:rsidP="007577EF">
      <w:pPr>
        <w:pStyle w:val="FootnoteText"/>
        <w:jc w:val="both"/>
        <w:rPr>
          <w:rFonts w:ascii="Times New Roman" w:hAnsi="Times New Roman" w:cs="Times New Roman"/>
        </w:rPr>
      </w:pPr>
      <w:r w:rsidRPr="00DD3585">
        <w:rPr>
          <w:rFonts w:ascii="Times New Roman" w:hAnsi="Times New Roman" w:cs="Times New Roman"/>
        </w:rPr>
        <w:t xml:space="preserve">52. pants. Noteikt, ka no akciju sabiedrības "Latvenergo" ikgadējām dividendēm 2018. gadā tiek novirzīti resursi izdevumu segšanai Ekonomikas ministrijas budžeta apakšprogrammā 29.02.00 "Elektroenerģijas lietotāju atbalsts" 35 987 866 </w:t>
      </w:r>
      <w:r w:rsidRPr="00DD3585">
        <w:rPr>
          <w:rFonts w:ascii="Times New Roman" w:hAnsi="Times New Roman" w:cs="Times New Roman"/>
          <w:i/>
        </w:rPr>
        <w:t>euro</w:t>
      </w:r>
      <w:r w:rsidRPr="00DD3585">
        <w:rPr>
          <w:rFonts w:ascii="Times New Roman" w:hAnsi="Times New Roman" w:cs="Times New Roman"/>
        </w:rPr>
        <w:t xml:space="preserve"> apmērā un apakšprogrammā </w:t>
      </w:r>
      <w:proofErr w:type="gramStart"/>
      <w:r w:rsidRPr="00DD3585">
        <w:rPr>
          <w:rFonts w:ascii="Times New Roman" w:hAnsi="Times New Roman" w:cs="Times New Roman"/>
        </w:rPr>
        <w:t>29.05.00 "Valsts pētījumu programma enerģētikā"</w:t>
      </w:r>
      <w:proofErr w:type="gramEnd"/>
      <w:r w:rsidRPr="00DD3585">
        <w:rPr>
          <w:rFonts w:ascii="Times New Roman" w:hAnsi="Times New Roman" w:cs="Times New Roman"/>
        </w:rPr>
        <w:t xml:space="preserve"> 2 000 000 </w:t>
      </w:r>
      <w:r w:rsidRPr="00DD3585">
        <w:rPr>
          <w:rFonts w:ascii="Times New Roman" w:hAnsi="Times New Roman" w:cs="Times New Roman"/>
          <w:i/>
        </w:rPr>
        <w:t>euro</w:t>
      </w:r>
      <w:r w:rsidRPr="00DD3585">
        <w:rPr>
          <w:rFonts w:ascii="Times New Roman" w:hAnsi="Times New Roman" w:cs="Times New Roman"/>
        </w:rPr>
        <w:t xml:space="preserve"> apmērā.</w:t>
      </w:r>
    </w:p>
  </w:footnote>
  <w:footnote w:id="36">
    <w:p w14:paraId="51B9FB32" w14:textId="77777777" w:rsidR="00F31194" w:rsidRDefault="00F31194" w:rsidP="00624524">
      <w:pPr>
        <w:pStyle w:val="FootnoteText"/>
      </w:pPr>
      <w:r>
        <w:rPr>
          <w:rStyle w:val="FootnoteReference"/>
        </w:rPr>
        <w:footnoteRef/>
      </w:r>
      <w:r>
        <w:t xml:space="preserve"> </w:t>
      </w:r>
      <w:r w:rsidRPr="00E85467">
        <w:rPr>
          <w:rFonts w:ascii="Times New Roman" w:hAnsi="Times New Roman" w:cs="Times New Roman"/>
        </w:rPr>
        <w:t>CSDD stratēģija apstiprināta 2018.-</w:t>
      </w:r>
      <w:proofErr w:type="gramStart"/>
      <w:r w:rsidRPr="00E85467">
        <w:rPr>
          <w:rFonts w:ascii="Times New Roman" w:hAnsi="Times New Roman" w:cs="Times New Roman"/>
        </w:rPr>
        <w:t>2020.gadam</w:t>
      </w:r>
      <w:proofErr w:type="gramEnd"/>
    </w:p>
  </w:footnote>
  <w:footnote w:id="37">
    <w:p w14:paraId="1C8CE9A5" w14:textId="77777777" w:rsidR="00F31194" w:rsidRPr="00417CF9" w:rsidRDefault="00F31194" w:rsidP="00F865AA">
      <w:pPr>
        <w:pStyle w:val="FootnoteText"/>
        <w:rPr>
          <w:rFonts w:ascii="Times New Roman" w:hAnsi="Times New Roman" w:cs="Times New Roman"/>
          <w:sz w:val="20"/>
          <w:szCs w:val="20"/>
        </w:rPr>
      </w:pPr>
      <w:r w:rsidRPr="00F31194">
        <w:rPr>
          <w:rStyle w:val="FootnoteReference"/>
          <w:rFonts w:ascii="Times New Roman" w:hAnsi="Times New Roman" w:cs="Times New Roman"/>
          <w:sz w:val="20"/>
          <w:szCs w:val="20"/>
        </w:rPr>
        <w:footnoteRef/>
      </w:r>
      <w:r w:rsidRPr="00F31194">
        <w:rPr>
          <w:rFonts w:ascii="Times New Roman" w:hAnsi="Times New Roman" w:cs="Times New Roman"/>
          <w:sz w:val="20"/>
          <w:szCs w:val="20"/>
        </w:rPr>
        <w:t xml:space="preserve"> Saskaņā ar rīkojumu Nr.382</w:t>
      </w:r>
    </w:p>
  </w:footnote>
  <w:footnote w:id="38">
    <w:p w14:paraId="64EC188F" w14:textId="77777777" w:rsidR="00F31194" w:rsidRPr="00F31194" w:rsidRDefault="00F31194" w:rsidP="00F865AA">
      <w:pPr>
        <w:pStyle w:val="FootnoteText"/>
        <w:rPr>
          <w:rFonts w:ascii="Times New Roman" w:hAnsi="Times New Roman" w:cs="Times New Roman"/>
          <w:sz w:val="20"/>
          <w:szCs w:val="20"/>
        </w:rPr>
      </w:pPr>
      <w:r w:rsidRPr="00F31194">
        <w:rPr>
          <w:rFonts w:ascii="Times New Roman" w:hAnsi="Times New Roman" w:cs="Times New Roman"/>
          <w:sz w:val="20"/>
          <w:szCs w:val="20"/>
          <w:vertAlign w:val="superscript"/>
        </w:rPr>
        <w:footnoteRef/>
      </w:r>
      <w:r w:rsidRPr="00F31194">
        <w:rPr>
          <w:rFonts w:ascii="Times New Roman" w:hAnsi="Times New Roman" w:cs="Times New Roman"/>
          <w:sz w:val="20"/>
          <w:szCs w:val="20"/>
        </w:rPr>
        <w:t xml:space="preserve"> Atbilstoši 5.pielikumam, bez jaunu tehnisku risinājumu ieviešanas ietekmes</w:t>
      </w:r>
    </w:p>
  </w:footnote>
  <w:footnote w:id="39">
    <w:p w14:paraId="507719F0" w14:textId="77777777" w:rsidR="00F31194" w:rsidRPr="00F31194" w:rsidRDefault="00F31194" w:rsidP="00F865AA">
      <w:pPr>
        <w:pStyle w:val="FootnoteText"/>
        <w:rPr>
          <w:rFonts w:ascii="Times New Roman" w:hAnsi="Times New Roman" w:cs="Times New Roman"/>
          <w:sz w:val="20"/>
          <w:szCs w:val="20"/>
        </w:rPr>
      </w:pPr>
      <w:r w:rsidRPr="00F31194">
        <w:rPr>
          <w:rFonts w:ascii="Times New Roman" w:hAnsi="Times New Roman" w:cs="Times New Roman"/>
          <w:sz w:val="20"/>
          <w:szCs w:val="20"/>
          <w:vertAlign w:val="superscript"/>
        </w:rPr>
        <w:footnoteRef/>
      </w:r>
      <w:r w:rsidRPr="00F31194">
        <w:rPr>
          <w:rFonts w:ascii="Times New Roman" w:hAnsi="Times New Roman" w:cs="Times New Roman"/>
          <w:sz w:val="20"/>
          <w:szCs w:val="20"/>
        </w:rPr>
        <w:t xml:space="preserve"> Apjoms </w:t>
      </w:r>
      <w:proofErr w:type="gramStart"/>
      <w:r w:rsidRPr="00F31194">
        <w:rPr>
          <w:rFonts w:ascii="Times New Roman" w:hAnsi="Times New Roman" w:cs="Times New Roman"/>
          <w:sz w:val="20"/>
          <w:szCs w:val="20"/>
        </w:rPr>
        <w:t>2019.gadam</w:t>
      </w:r>
      <w:proofErr w:type="gramEnd"/>
      <w:r w:rsidRPr="00F31194">
        <w:rPr>
          <w:rFonts w:ascii="Times New Roman" w:hAnsi="Times New Roman" w:cs="Times New Roman"/>
          <w:sz w:val="20"/>
          <w:szCs w:val="20"/>
        </w:rPr>
        <w:t xml:space="preserve"> netiek grozīts. Ievērojot, ka nesamaksāto naudas sodu apmērs uz 01.01.2019. ir 6 229 197 </w:t>
      </w:r>
      <w:r w:rsidRPr="00F31194">
        <w:rPr>
          <w:rFonts w:ascii="Times New Roman" w:hAnsi="Times New Roman" w:cs="Times New Roman"/>
          <w:i/>
          <w:sz w:val="20"/>
          <w:szCs w:val="20"/>
        </w:rPr>
        <w:t>euro</w:t>
      </w:r>
      <w:r w:rsidRPr="00F31194">
        <w:rPr>
          <w:rFonts w:ascii="Times New Roman" w:hAnsi="Times New Roman" w:cs="Times New Roman"/>
          <w:sz w:val="20"/>
          <w:szCs w:val="20"/>
        </w:rPr>
        <w:t xml:space="preserve"> un 40 fotoradari darbību uzsāka pakāpeniski no </w:t>
      </w:r>
      <w:proofErr w:type="gramStart"/>
      <w:r w:rsidRPr="00F31194">
        <w:rPr>
          <w:rFonts w:ascii="Times New Roman" w:hAnsi="Times New Roman" w:cs="Times New Roman"/>
          <w:sz w:val="20"/>
          <w:szCs w:val="20"/>
        </w:rPr>
        <w:t>2018.gada</w:t>
      </w:r>
      <w:proofErr w:type="gramEnd"/>
      <w:r w:rsidRPr="00F31194">
        <w:rPr>
          <w:rFonts w:ascii="Times New Roman" w:hAnsi="Times New Roman" w:cs="Times New Roman"/>
          <w:sz w:val="20"/>
          <w:szCs w:val="20"/>
        </w:rPr>
        <w:t xml:space="preserve"> augusta līdz septembrim, naudas sodi apmaksājami viena gada laikā, prognoze netiek precizēta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129235"/>
      <w:docPartObj>
        <w:docPartGallery w:val="Page Numbers (Top of Page)"/>
        <w:docPartUnique/>
      </w:docPartObj>
    </w:sdtPr>
    <w:sdtEndPr>
      <w:rPr>
        <w:noProof/>
        <w:sz w:val="20"/>
        <w:szCs w:val="20"/>
      </w:rPr>
    </w:sdtEndPr>
    <w:sdtContent>
      <w:p w14:paraId="0EA47DC7" w14:textId="7DE0752E" w:rsidR="00DA78D3" w:rsidRPr="00DA78D3" w:rsidRDefault="00DA78D3">
        <w:pPr>
          <w:pStyle w:val="Header"/>
          <w:jc w:val="center"/>
          <w:rPr>
            <w:sz w:val="20"/>
            <w:szCs w:val="20"/>
          </w:rPr>
        </w:pPr>
        <w:r w:rsidRPr="00DA78D3">
          <w:rPr>
            <w:sz w:val="20"/>
            <w:szCs w:val="20"/>
          </w:rPr>
          <w:fldChar w:fldCharType="begin"/>
        </w:r>
        <w:r w:rsidRPr="00DA78D3">
          <w:rPr>
            <w:sz w:val="20"/>
            <w:szCs w:val="20"/>
          </w:rPr>
          <w:instrText xml:space="preserve"> PAGE   \* MERGEFORMAT </w:instrText>
        </w:r>
        <w:r w:rsidRPr="00DA78D3">
          <w:rPr>
            <w:sz w:val="20"/>
            <w:szCs w:val="20"/>
          </w:rPr>
          <w:fldChar w:fldCharType="separate"/>
        </w:r>
        <w:r w:rsidR="00877211">
          <w:rPr>
            <w:noProof/>
            <w:sz w:val="20"/>
            <w:szCs w:val="20"/>
          </w:rPr>
          <w:t>43</w:t>
        </w:r>
        <w:r w:rsidRPr="00DA78D3">
          <w:rPr>
            <w:noProof/>
            <w:sz w:val="20"/>
            <w:szCs w:val="20"/>
          </w:rPr>
          <w:fldChar w:fldCharType="end"/>
        </w:r>
      </w:p>
    </w:sdtContent>
  </w:sdt>
  <w:p w14:paraId="34F29E62" w14:textId="77777777" w:rsidR="00DA78D3" w:rsidRDefault="00DA7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4458"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15:restartNumberingAfterBreak="0">
    <w:nsid w:val="04997F87"/>
    <w:multiLevelType w:val="hybridMultilevel"/>
    <w:tmpl w:val="34EEDFC6"/>
    <w:lvl w:ilvl="0" w:tplc="9B7C48EE">
      <w:start w:val="86"/>
      <w:numFmt w:val="bullet"/>
      <w:lvlText w:val="-"/>
      <w:lvlJc w:val="left"/>
      <w:pPr>
        <w:ind w:left="-491" w:hanging="360"/>
      </w:pPr>
      <w:rPr>
        <w:rFonts w:ascii="Times New Roman" w:eastAsia="Times New Roman" w:hAnsi="Times New Roman" w:cs="Times New Roman" w:hint="default"/>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2" w15:restartNumberingAfterBreak="0">
    <w:nsid w:val="06191342"/>
    <w:multiLevelType w:val="hybridMultilevel"/>
    <w:tmpl w:val="BC1CED42"/>
    <w:lvl w:ilvl="0" w:tplc="7E502E4E">
      <w:start w:val="3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543E3"/>
    <w:multiLevelType w:val="hybridMultilevel"/>
    <w:tmpl w:val="EDDCC05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5807"/>
    <w:multiLevelType w:val="hybridMultilevel"/>
    <w:tmpl w:val="20325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A630D"/>
    <w:multiLevelType w:val="hybridMultilevel"/>
    <w:tmpl w:val="DF6012CA"/>
    <w:lvl w:ilvl="0" w:tplc="3174B0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7415DF6"/>
    <w:multiLevelType w:val="multilevel"/>
    <w:tmpl w:val="BCF813F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C37169D"/>
    <w:multiLevelType w:val="hybridMultilevel"/>
    <w:tmpl w:val="B79A4342"/>
    <w:lvl w:ilvl="0" w:tplc="18C6B2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F423CEB"/>
    <w:multiLevelType w:val="hybridMultilevel"/>
    <w:tmpl w:val="5AB401C8"/>
    <w:lvl w:ilvl="0" w:tplc="499C75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10" w15:restartNumberingAfterBreak="0">
    <w:nsid w:val="306710C7"/>
    <w:multiLevelType w:val="hybridMultilevel"/>
    <w:tmpl w:val="05D07F9E"/>
    <w:lvl w:ilvl="0" w:tplc="2E980DC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78300F"/>
    <w:multiLevelType w:val="hybridMultilevel"/>
    <w:tmpl w:val="071E554C"/>
    <w:lvl w:ilvl="0" w:tplc="FFE49678">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5D0735"/>
    <w:multiLevelType w:val="hybridMultilevel"/>
    <w:tmpl w:val="39D86A9E"/>
    <w:lvl w:ilvl="0" w:tplc="BD5886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2A21A4"/>
    <w:multiLevelType w:val="hybridMultilevel"/>
    <w:tmpl w:val="DCCE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551E7"/>
    <w:multiLevelType w:val="hybridMultilevel"/>
    <w:tmpl w:val="B2B68386"/>
    <w:lvl w:ilvl="0" w:tplc="F81E3E2C">
      <w:start w:val="915"/>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44813B4B"/>
    <w:multiLevelType w:val="hybridMultilevel"/>
    <w:tmpl w:val="9E7CA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160C64"/>
    <w:multiLevelType w:val="hybridMultilevel"/>
    <w:tmpl w:val="4A0C251E"/>
    <w:lvl w:ilvl="0" w:tplc="C1648F7E">
      <w:start w:val="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F75746F"/>
    <w:multiLevelType w:val="hybridMultilevel"/>
    <w:tmpl w:val="0826E744"/>
    <w:lvl w:ilvl="0" w:tplc="D44E59C2">
      <w:start w:val="1"/>
      <w:numFmt w:val="decimal"/>
      <w:pStyle w:val="1LIST"/>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672F01"/>
    <w:multiLevelType w:val="hybridMultilevel"/>
    <w:tmpl w:val="457E5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AE1394"/>
    <w:multiLevelType w:val="hybridMultilevel"/>
    <w:tmpl w:val="6C429140"/>
    <w:lvl w:ilvl="0" w:tplc="D820C050">
      <w:start w:val="86"/>
      <w:numFmt w:val="bullet"/>
      <w:lvlText w:val="-"/>
      <w:lvlJc w:val="left"/>
      <w:pPr>
        <w:ind w:left="-491" w:hanging="360"/>
      </w:pPr>
      <w:rPr>
        <w:rFonts w:ascii="Times New Roman" w:eastAsia="Times New Roman" w:hAnsi="Times New Roman" w:cs="Times New Roman" w:hint="default"/>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21" w15:restartNumberingAfterBreak="0">
    <w:nsid w:val="5A0409C6"/>
    <w:multiLevelType w:val="hybridMultilevel"/>
    <w:tmpl w:val="7200F1AC"/>
    <w:lvl w:ilvl="0" w:tplc="B72CAD36">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733948"/>
    <w:multiLevelType w:val="hybridMultilevel"/>
    <w:tmpl w:val="F2CC36F4"/>
    <w:lvl w:ilvl="0" w:tplc="DA58DA4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B44A79"/>
    <w:multiLevelType w:val="multilevel"/>
    <w:tmpl w:val="89A27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DA7AEE"/>
    <w:multiLevelType w:val="multilevel"/>
    <w:tmpl w:val="DFBCB7A2"/>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15:restartNumberingAfterBreak="0">
    <w:nsid w:val="6B091432"/>
    <w:multiLevelType w:val="hybridMultilevel"/>
    <w:tmpl w:val="346EF0C6"/>
    <w:lvl w:ilvl="0" w:tplc="177C58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C363C3"/>
    <w:multiLevelType w:val="multilevel"/>
    <w:tmpl w:val="DFBCB7A2"/>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7" w15:restartNumberingAfterBreak="0">
    <w:nsid w:val="744B2EC4"/>
    <w:multiLevelType w:val="hybridMultilevel"/>
    <w:tmpl w:val="ED5A2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663AD7"/>
    <w:multiLevelType w:val="hybridMultilevel"/>
    <w:tmpl w:val="DB3891B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70D6CDE"/>
    <w:multiLevelType w:val="hybridMultilevel"/>
    <w:tmpl w:val="B5842E9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78076884"/>
    <w:multiLevelType w:val="hybridMultilevel"/>
    <w:tmpl w:val="FD16C94C"/>
    <w:lvl w:ilvl="0" w:tplc="DF904E3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4"/>
  </w:num>
  <w:num w:numId="5">
    <w:abstractNumId w:val="18"/>
  </w:num>
  <w:num w:numId="6">
    <w:abstractNumId w:val="24"/>
  </w:num>
  <w:num w:numId="7">
    <w:abstractNumId w:val="5"/>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
  </w:num>
  <w:num w:numId="13">
    <w:abstractNumId w:val="26"/>
  </w:num>
  <w:num w:numId="14">
    <w:abstractNumId w:val="6"/>
  </w:num>
  <w:num w:numId="15">
    <w:abstractNumId w:val="29"/>
  </w:num>
  <w:num w:numId="16">
    <w:abstractNumId w:val="28"/>
  </w:num>
  <w:num w:numId="17">
    <w:abstractNumId w:val="12"/>
  </w:num>
  <w:num w:numId="18">
    <w:abstractNumId w:val="7"/>
  </w:num>
  <w:num w:numId="19">
    <w:abstractNumId w:val="11"/>
  </w:num>
  <w:num w:numId="20">
    <w:abstractNumId w:val="22"/>
  </w:num>
  <w:num w:numId="21">
    <w:abstractNumId w:val="25"/>
  </w:num>
  <w:num w:numId="22">
    <w:abstractNumId w:val="10"/>
  </w:num>
  <w:num w:numId="23">
    <w:abstractNumId w:val="21"/>
  </w:num>
  <w:num w:numId="24">
    <w:abstractNumId w:val="3"/>
  </w:num>
  <w:num w:numId="25">
    <w:abstractNumId w:val="27"/>
  </w:num>
  <w:num w:numId="26">
    <w:abstractNumId w:val="4"/>
  </w:num>
  <w:num w:numId="27">
    <w:abstractNumId w:val="19"/>
  </w:num>
  <w:num w:numId="28">
    <w:abstractNumId w:val="16"/>
  </w:num>
  <w:num w:numId="29">
    <w:abstractNumId w:val="2"/>
  </w:num>
  <w:num w:numId="30">
    <w:abstractNumId w:val="17"/>
  </w:num>
  <w:num w:numId="31">
    <w:abstractNumId w:val="30"/>
  </w:num>
  <w:num w:numId="32">
    <w:abstractNumId w:val="8"/>
  </w:num>
  <w:num w:numId="3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7"/>
    <w:rsid w:val="0000067D"/>
    <w:rsid w:val="00004DEB"/>
    <w:rsid w:val="00004EEF"/>
    <w:rsid w:val="00010246"/>
    <w:rsid w:val="00014BFD"/>
    <w:rsid w:val="0001643F"/>
    <w:rsid w:val="000172B2"/>
    <w:rsid w:val="000172F6"/>
    <w:rsid w:val="000201ED"/>
    <w:rsid w:val="00021582"/>
    <w:rsid w:val="000249EC"/>
    <w:rsid w:val="000255BA"/>
    <w:rsid w:val="00026018"/>
    <w:rsid w:val="000278B4"/>
    <w:rsid w:val="00030046"/>
    <w:rsid w:val="00030DD0"/>
    <w:rsid w:val="00031DE5"/>
    <w:rsid w:val="0003222F"/>
    <w:rsid w:val="00035DE3"/>
    <w:rsid w:val="00035E46"/>
    <w:rsid w:val="00037314"/>
    <w:rsid w:val="00040137"/>
    <w:rsid w:val="000404B8"/>
    <w:rsid w:val="00043A75"/>
    <w:rsid w:val="00043F19"/>
    <w:rsid w:val="0004428A"/>
    <w:rsid w:val="0004508E"/>
    <w:rsid w:val="00047234"/>
    <w:rsid w:val="00050628"/>
    <w:rsid w:val="00051AD9"/>
    <w:rsid w:val="00051CAD"/>
    <w:rsid w:val="0005403B"/>
    <w:rsid w:val="000545E1"/>
    <w:rsid w:val="00057B74"/>
    <w:rsid w:val="00060189"/>
    <w:rsid w:val="00060FF4"/>
    <w:rsid w:val="00062B43"/>
    <w:rsid w:val="00070377"/>
    <w:rsid w:val="00071822"/>
    <w:rsid w:val="00073643"/>
    <w:rsid w:val="00075741"/>
    <w:rsid w:val="000759A6"/>
    <w:rsid w:val="00077B1C"/>
    <w:rsid w:val="00080CD9"/>
    <w:rsid w:val="00082421"/>
    <w:rsid w:val="000830A8"/>
    <w:rsid w:val="000856E3"/>
    <w:rsid w:val="00086181"/>
    <w:rsid w:val="000920C6"/>
    <w:rsid w:val="00093476"/>
    <w:rsid w:val="00096DA4"/>
    <w:rsid w:val="000A4C4B"/>
    <w:rsid w:val="000A5CCA"/>
    <w:rsid w:val="000A63FE"/>
    <w:rsid w:val="000B1048"/>
    <w:rsid w:val="000B2757"/>
    <w:rsid w:val="000B2B97"/>
    <w:rsid w:val="000B45B5"/>
    <w:rsid w:val="000B47EA"/>
    <w:rsid w:val="000B6472"/>
    <w:rsid w:val="000B6C98"/>
    <w:rsid w:val="000B7341"/>
    <w:rsid w:val="000B7D95"/>
    <w:rsid w:val="000C017A"/>
    <w:rsid w:val="000C0228"/>
    <w:rsid w:val="000C06EC"/>
    <w:rsid w:val="000C21DC"/>
    <w:rsid w:val="000C4778"/>
    <w:rsid w:val="000C4EAF"/>
    <w:rsid w:val="000C65C8"/>
    <w:rsid w:val="000C6BE9"/>
    <w:rsid w:val="000C7447"/>
    <w:rsid w:val="000D15B6"/>
    <w:rsid w:val="000D32FF"/>
    <w:rsid w:val="000D6183"/>
    <w:rsid w:val="000E0613"/>
    <w:rsid w:val="000F0D9B"/>
    <w:rsid w:val="000F13F9"/>
    <w:rsid w:val="000F1666"/>
    <w:rsid w:val="000F1ABB"/>
    <w:rsid w:val="000F1B58"/>
    <w:rsid w:val="000F2C2C"/>
    <w:rsid w:val="000F30EC"/>
    <w:rsid w:val="000F64D4"/>
    <w:rsid w:val="000F7DEC"/>
    <w:rsid w:val="001010C1"/>
    <w:rsid w:val="00103D0E"/>
    <w:rsid w:val="001053EC"/>
    <w:rsid w:val="00110259"/>
    <w:rsid w:val="0011076C"/>
    <w:rsid w:val="0011136C"/>
    <w:rsid w:val="00111A5F"/>
    <w:rsid w:val="0011245C"/>
    <w:rsid w:val="001169EB"/>
    <w:rsid w:val="00120639"/>
    <w:rsid w:val="0012199D"/>
    <w:rsid w:val="001236D1"/>
    <w:rsid w:val="00126DB4"/>
    <w:rsid w:val="00127FBC"/>
    <w:rsid w:val="00134820"/>
    <w:rsid w:val="00134FC7"/>
    <w:rsid w:val="0013574D"/>
    <w:rsid w:val="00136929"/>
    <w:rsid w:val="0014279E"/>
    <w:rsid w:val="001429CC"/>
    <w:rsid w:val="001469ED"/>
    <w:rsid w:val="00146DC7"/>
    <w:rsid w:val="00147157"/>
    <w:rsid w:val="001522A5"/>
    <w:rsid w:val="00152D00"/>
    <w:rsid w:val="00152F66"/>
    <w:rsid w:val="00153DE8"/>
    <w:rsid w:val="00156337"/>
    <w:rsid w:val="00156F42"/>
    <w:rsid w:val="00161188"/>
    <w:rsid w:val="00161678"/>
    <w:rsid w:val="001621B6"/>
    <w:rsid w:val="001701DD"/>
    <w:rsid w:val="001721F4"/>
    <w:rsid w:val="001724D8"/>
    <w:rsid w:val="001747D4"/>
    <w:rsid w:val="00175FAD"/>
    <w:rsid w:val="00176D9D"/>
    <w:rsid w:val="0018081E"/>
    <w:rsid w:val="0018330C"/>
    <w:rsid w:val="00185D44"/>
    <w:rsid w:val="001872A3"/>
    <w:rsid w:val="0018750B"/>
    <w:rsid w:val="00190234"/>
    <w:rsid w:val="001926B4"/>
    <w:rsid w:val="00192C4D"/>
    <w:rsid w:val="00192E29"/>
    <w:rsid w:val="001A5B15"/>
    <w:rsid w:val="001A6A60"/>
    <w:rsid w:val="001B4597"/>
    <w:rsid w:val="001B6FCC"/>
    <w:rsid w:val="001C28D4"/>
    <w:rsid w:val="001C2D97"/>
    <w:rsid w:val="001C560F"/>
    <w:rsid w:val="001C5ED0"/>
    <w:rsid w:val="001C7784"/>
    <w:rsid w:val="001D1DD7"/>
    <w:rsid w:val="001D27F7"/>
    <w:rsid w:val="001D36C7"/>
    <w:rsid w:val="001D4786"/>
    <w:rsid w:val="001D4DF9"/>
    <w:rsid w:val="001D51A2"/>
    <w:rsid w:val="001D582E"/>
    <w:rsid w:val="001D5ABF"/>
    <w:rsid w:val="001D6288"/>
    <w:rsid w:val="001E31B4"/>
    <w:rsid w:val="001E339D"/>
    <w:rsid w:val="001E3690"/>
    <w:rsid w:val="001E4EC1"/>
    <w:rsid w:val="001F6607"/>
    <w:rsid w:val="00201CE0"/>
    <w:rsid w:val="0020607C"/>
    <w:rsid w:val="00207F2E"/>
    <w:rsid w:val="00210213"/>
    <w:rsid w:val="00215DF1"/>
    <w:rsid w:val="002164F6"/>
    <w:rsid w:val="00216C83"/>
    <w:rsid w:val="00217EE6"/>
    <w:rsid w:val="00220CF8"/>
    <w:rsid w:val="0022102D"/>
    <w:rsid w:val="0022389E"/>
    <w:rsid w:val="00223E5A"/>
    <w:rsid w:val="00227144"/>
    <w:rsid w:val="002279DB"/>
    <w:rsid w:val="00227C56"/>
    <w:rsid w:val="0023047F"/>
    <w:rsid w:val="00230A3C"/>
    <w:rsid w:val="002310F7"/>
    <w:rsid w:val="002311FE"/>
    <w:rsid w:val="00231882"/>
    <w:rsid w:val="002332C8"/>
    <w:rsid w:val="00237273"/>
    <w:rsid w:val="0024305F"/>
    <w:rsid w:val="002437F9"/>
    <w:rsid w:val="00246204"/>
    <w:rsid w:val="00246333"/>
    <w:rsid w:val="00246BDC"/>
    <w:rsid w:val="0024725C"/>
    <w:rsid w:val="00252060"/>
    <w:rsid w:val="00252CD8"/>
    <w:rsid w:val="00253819"/>
    <w:rsid w:val="00254456"/>
    <w:rsid w:val="00255376"/>
    <w:rsid w:val="00255A35"/>
    <w:rsid w:val="00256524"/>
    <w:rsid w:val="00256AAF"/>
    <w:rsid w:val="00263DCB"/>
    <w:rsid w:val="00264FAF"/>
    <w:rsid w:val="00265815"/>
    <w:rsid w:val="00267633"/>
    <w:rsid w:val="002750AC"/>
    <w:rsid w:val="002754E1"/>
    <w:rsid w:val="00275A69"/>
    <w:rsid w:val="00276DD3"/>
    <w:rsid w:val="00277801"/>
    <w:rsid w:val="0028174D"/>
    <w:rsid w:val="00283ACB"/>
    <w:rsid w:val="00283D0D"/>
    <w:rsid w:val="00284EEE"/>
    <w:rsid w:val="00286B0F"/>
    <w:rsid w:val="00286DC0"/>
    <w:rsid w:val="00287E52"/>
    <w:rsid w:val="002912AA"/>
    <w:rsid w:val="002949A6"/>
    <w:rsid w:val="002A1220"/>
    <w:rsid w:val="002A16E9"/>
    <w:rsid w:val="002A19E2"/>
    <w:rsid w:val="002A3218"/>
    <w:rsid w:val="002A396B"/>
    <w:rsid w:val="002A44A3"/>
    <w:rsid w:val="002A48B4"/>
    <w:rsid w:val="002A5107"/>
    <w:rsid w:val="002B1AB4"/>
    <w:rsid w:val="002B344B"/>
    <w:rsid w:val="002B46CB"/>
    <w:rsid w:val="002B4F85"/>
    <w:rsid w:val="002B6039"/>
    <w:rsid w:val="002B7E3A"/>
    <w:rsid w:val="002C1BE8"/>
    <w:rsid w:val="002C1D39"/>
    <w:rsid w:val="002C30A3"/>
    <w:rsid w:val="002C3A54"/>
    <w:rsid w:val="002C5884"/>
    <w:rsid w:val="002D4F87"/>
    <w:rsid w:val="002D5A75"/>
    <w:rsid w:val="002D679D"/>
    <w:rsid w:val="002D79D3"/>
    <w:rsid w:val="002E0075"/>
    <w:rsid w:val="002E0E65"/>
    <w:rsid w:val="002F2B95"/>
    <w:rsid w:val="002F3D44"/>
    <w:rsid w:val="002F53F2"/>
    <w:rsid w:val="002F65AB"/>
    <w:rsid w:val="002F72DA"/>
    <w:rsid w:val="003018D5"/>
    <w:rsid w:val="003128B7"/>
    <w:rsid w:val="003131DB"/>
    <w:rsid w:val="0031341D"/>
    <w:rsid w:val="003155C3"/>
    <w:rsid w:val="00315812"/>
    <w:rsid w:val="00317690"/>
    <w:rsid w:val="00317B4E"/>
    <w:rsid w:val="0032107E"/>
    <w:rsid w:val="00323F7A"/>
    <w:rsid w:val="00330E68"/>
    <w:rsid w:val="00333AA8"/>
    <w:rsid w:val="0033434D"/>
    <w:rsid w:val="00334A94"/>
    <w:rsid w:val="003405E3"/>
    <w:rsid w:val="00341BEF"/>
    <w:rsid w:val="00350520"/>
    <w:rsid w:val="00352C35"/>
    <w:rsid w:val="003573C9"/>
    <w:rsid w:val="00357836"/>
    <w:rsid w:val="00360F7E"/>
    <w:rsid w:val="00364CE2"/>
    <w:rsid w:val="00365027"/>
    <w:rsid w:val="003705AF"/>
    <w:rsid w:val="00370F8A"/>
    <w:rsid w:val="00376406"/>
    <w:rsid w:val="003815E6"/>
    <w:rsid w:val="003818AF"/>
    <w:rsid w:val="00383F85"/>
    <w:rsid w:val="00384569"/>
    <w:rsid w:val="00386296"/>
    <w:rsid w:val="00386719"/>
    <w:rsid w:val="0039404D"/>
    <w:rsid w:val="003A1531"/>
    <w:rsid w:val="003A15C1"/>
    <w:rsid w:val="003A5EB7"/>
    <w:rsid w:val="003B025B"/>
    <w:rsid w:val="003B04CF"/>
    <w:rsid w:val="003B072D"/>
    <w:rsid w:val="003B11D5"/>
    <w:rsid w:val="003B43AE"/>
    <w:rsid w:val="003B652F"/>
    <w:rsid w:val="003B74C3"/>
    <w:rsid w:val="003C2847"/>
    <w:rsid w:val="003C37F2"/>
    <w:rsid w:val="003D0137"/>
    <w:rsid w:val="003D17CC"/>
    <w:rsid w:val="003D1A1D"/>
    <w:rsid w:val="003D6508"/>
    <w:rsid w:val="003D7DEC"/>
    <w:rsid w:val="003E0FFB"/>
    <w:rsid w:val="003E124E"/>
    <w:rsid w:val="003E1A1D"/>
    <w:rsid w:val="003E30DD"/>
    <w:rsid w:val="003E687A"/>
    <w:rsid w:val="003F4B4C"/>
    <w:rsid w:val="003F4C90"/>
    <w:rsid w:val="003F5D7D"/>
    <w:rsid w:val="003F6F5B"/>
    <w:rsid w:val="003F7238"/>
    <w:rsid w:val="004002FE"/>
    <w:rsid w:val="0040087C"/>
    <w:rsid w:val="00402010"/>
    <w:rsid w:val="0040362D"/>
    <w:rsid w:val="00404A21"/>
    <w:rsid w:val="00404A52"/>
    <w:rsid w:val="00406A3D"/>
    <w:rsid w:val="00407CEA"/>
    <w:rsid w:val="00410AE2"/>
    <w:rsid w:val="004127D9"/>
    <w:rsid w:val="00412936"/>
    <w:rsid w:val="00413B34"/>
    <w:rsid w:val="00416CD9"/>
    <w:rsid w:val="004171C0"/>
    <w:rsid w:val="00417CF9"/>
    <w:rsid w:val="00424430"/>
    <w:rsid w:val="00424E8E"/>
    <w:rsid w:val="00432A25"/>
    <w:rsid w:val="0043502A"/>
    <w:rsid w:val="0043521B"/>
    <w:rsid w:val="00436941"/>
    <w:rsid w:val="00437642"/>
    <w:rsid w:val="00442057"/>
    <w:rsid w:val="0044264F"/>
    <w:rsid w:val="00445077"/>
    <w:rsid w:val="00445B47"/>
    <w:rsid w:val="004514C3"/>
    <w:rsid w:val="0045232B"/>
    <w:rsid w:val="004528C8"/>
    <w:rsid w:val="00452F38"/>
    <w:rsid w:val="004534F6"/>
    <w:rsid w:val="00453C8E"/>
    <w:rsid w:val="004548C9"/>
    <w:rsid w:val="00456A93"/>
    <w:rsid w:val="004649F1"/>
    <w:rsid w:val="00466E9E"/>
    <w:rsid w:val="00470025"/>
    <w:rsid w:val="00473ADB"/>
    <w:rsid w:val="004754DD"/>
    <w:rsid w:val="004759CF"/>
    <w:rsid w:val="00477AF5"/>
    <w:rsid w:val="0048299F"/>
    <w:rsid w:val="00482B58"/>
    <w:rsid w:val="004832DD"/>
    <w:rsid w:val="004845A3"/>
    <w:rsid w:val="0048483C"/>
    <w:rsid w:val="0048638A"/>
    <w:rsid w:val="00487D00"/>
    <w:rsid w:val="0049300E"/>
    <w:rsid w:val="00496ABB"/>
    <w:rsid w:val="004A3116"/>
    <w:rsid w:val="004A49BC"/>
    <w:rsid w:val="004A4C4C"/>
    <w:rsid w:val="004B0193"/>
    <w:rsid w:val="004B0680"/>
    <w:rsid w:val="004B0AEA"/>
    <w:rsid w:val="004B1524"/>
    <w:rsid w:val="004B42F4"/>
    <w:rsid w:val="004B462C"/>
    <w:rsid w:val="004B4BAA"/>
    <w:rsid w:val="004C1EFD"/>
    <w:rsid w:val="004C243F"/>
    <w:rsid w:val="004C2DA7"/>
    <w:rsid w:val="004C3A2F"/>
    <w:rsid w:val="004C4CA0"/>
    <w:rsid w:val="004D4710"/>
    <w:rsid w:val="004D51C7"/>
    <w:rsid w:val="004D692D"/>
    <w:rsid w:val="004E0457"/>
    <w:rsid w:val="004E1A35"/>
    <w:rsid w:val="004E3325"/>
    <w:rsid w:val="004E4B14"/>
    <w:rsid w:val="004E6360"/>
    <w:rsid w:val="004E669B"/>
    <w:rsid w:val="004E799D"/>
    <w:rsid w:val="004F1CDF"/>
    <w:rsid w:val="004F2334"/>
    <w:rsid w:val="004F3C1F"/>
    <w:rsid w:val="004F753A"/>
    <w:rsid w:val="00500533"/>
    <w:rsid w:val="00501F31"/>
    <w:rsid w:val="0051449C"/>
    <w:rsid w:val="0052073D"/>
    <w:rsid w:val="005217F1"/>
    <w:rsid w:val="0052424E"/>
    <w:rsid w:val="00524F11"/>
    <w:rsid w:val="005252D4"/>
    <w:rsid w:val="00525806"/>
    <w:rsid w:val="00525D13"/>
    <w:rsid w:val="005279F9"/>
    <w:rsid w:val="0053273B"/>
    <w:rsid w:val="00533C26"/>
    <w:rsid w:val="00540318"/>
    <w:rsid w:val="005435EF"/>
    <w:rsid w:val="00543AC5"/>
    <w:rsid w:val="0054498F"/>
    <w:rsid w:val="00547717"/>
    <w:rsid w:val="00550B22"/>
    <w:rsid w:val="0055421B"/>
    <w:rsid w:val="005542D2"/>
    <w:rsid w:val="00555C36"/>
    <w:rsid w:val="0055680F"/>
    <w:rsid w:val="00556D9A"/>
    <w:rsid w:val="0055711D"/>
    <w:rsid w:val="005638E6"/>
    <w:rsid w:val="00566ADF"/>
    <w:rsid w:val="00566EF1"/>
    <w:rsid w:val="00567DFE"/>
    <w:rsid w:val="00570DF1"/>
    <w:rsid w:val="0057464F"/>
    <w:rsid w:val="00577A99"/>
    <w:rsid w:val="005812DE"/>
    <w:rsid w:val="005816B6"/>
    <w:rsid w:val="005841C0"/>
    <w:rsid w:val="005877BF"/>
    <w:rsid w:val="00587841"/>
    <w:rsid w:val="00587A87"/>
    <w:rsid w:val="00591A31"/>
    <w:rsid w:val="005929F7"/>
    <w:rsid w:val="00593C2E"/>
    <w:rsid w:val="005A30A3"/>
    <w:rsid w:val="005A370D"/>
    <w:rsid w:val="005A41B9"/>
    <w:rsid w:val="005A480D"/>
    <w:rsid w:val="005A761D"/>
    <w:rsid w:val="005A7657"/>
    <w:rsid w:val="005A7BCD"/>
    <w:rsid w:val="005B083E"/>
    <w:rsid w:val="005B1FDE"/>
    <w:rsid w:val="005B7587"/>
    <w:rsid w:val="005C05DF"/>
    <w:rsid w:val="005C36CF"/>
    <w:rsid w:val="005C41FA"/>
    <w:rsid w:val="005C439C"/>
    <w:rsid w:val="005C47D1"/>
    <w:rsid w:val="005D2BD1"/>
    <w:rsid w:val="005D631D"/>
    <w:rsid w:val="005E09FC"/>
    <w:rsid w:val="005E22D8"/>
    <w:rsid w:val="005E4359"/>
    <w:rsid w:val="005E4B60"/>
    <w:rsid w:val="005E4CE3"/>
    <w:rsid w:val="005E4D17"/>
    <w:rsid w:val="005E502B"/>
    <w:rsid w:val="005E57B7"/>
    <w:rsid w:val="005E698C"/>
    <w:rsid w:val="005F0347"/>
    <w:rsid w:val="005F1E2A"/>
    <w:rsid w:val="005F2464"/>
    <w:rsid w:val="005F26E5"/>
    <w:rsid w:val="005F2B01"/>
    <w:rsid w:val="005F57C0"/>
    <w:rsid w:val="005F6B57"/>
    <w:rsid w:val="005F7E97"/>
    <w:rsid w:val="00600D37"/>
    <w:rsid w:val="00605E2E"/>
    <w:rsid w:val="006064D4"/>
    <w:rsid w:val="006104BE"/>
    <w:rsid w:val="00612F7D"/>
    <w:rsid w:val="006142E9"/>
    <w:rsid w:val="00616146"/>
    <w:rsid w:val="00616F42"/>
    <w:rsid w:val="00617348"/>
    <w:rsid w:val="006225FC"/>
    <w:rsid w:val="006238A4"/>
    <w:rsid w:val="00624524"/>
    <w:rsid w:val="00625DF5"/>
    <w:rsid w:val="00626490"/>
    <w:rsid w:val="00627189"/>
    <w:rsid w:val="006276F2"/>
    <w:rsid w:val="00630032"/>
    <w:rsid w:val="0063129A"/>
    <w:rsid w:val="006319EE"/>
    <w:rsid w:val="00632BC0"/>
    <w:rsid w:val="006409E3"/>
    <w:rsid w:val="0064132F"/>
    <w:rsid w:val="00641E85"/>
    <w:rsid w:val="0064415A"/>
    <w:rsid w:val="00644AA4"/>
    <w:rsid w:val="0064518D"/>
    <w:rsid w:val="006505ED"/>
    <w:rsid w:val="00652358"/>
    <w:rsid w:val="00653E69"/>
    <w:rsid w:val="00654585"/>
    <w:rsid w:val="00655845"/>
    <w:rsid w:val="0065660E"/>
    <w:rsid w:val="006570B5"/>
    <w:rsid w:val="00660B19"/>
    <w:rsid w:val="00661F59"/>
    <w:rsid w:val="00662AE3"/>
    <w:rsid w:val="006661F3"/>
    <w:rsid w:val="00666F56"/>
    <w:rsid w:val="00672906"/>
    <w:rsid w:val="00674E6E"/>
    <w:rsid w:val="00675102"/>
    <w:rsid w:val="00680474"/>
    <w:rsid w:val="00685E07"/>
    <w:rsid w:val="00686DAB"/>
    <w:rsid w:val="00687389"/>
    <w:rsid w:val="00690AC6"/>
    <w:rsid w:val="00690CFA"/>
    <w:rsid w:val="00692294"/>
    <w:rsid w:val="006951B1"/>
    <w:rsid w:val="00695310"/>
    <w:rsid w:val="00695544"/>
    <w:rsid w:val="006959CE"/>
    <w:rsid w:val="00697B6D"/>
    <w:rsid w:val="006A3D1C"/>
    <w:rsid w:val="006A3DA5"/>
    <w:rsid w:val="006A40DC"/>
    <w:rsid w:val="006A5BC0"/>
    <w:rsid w:val="006A78F8"/>
    <w:rsid w:val="006B2416"/>
    <w:rsid w:val="006B3444"/>
    <w:rsid w:val="006B3F98"/>
    <w:rsid w:val="006B53AF"/>
    <w:rsid w:val="006B67B6"/>
    <w:rsid w:val="006B7D35"/>
    <w:rsid w:val="006C0427"/>
    <w:rsid w:val="006C05A4"/>
    <w:rsid w:val="006C1332"/>
    <w:rsid w:val="006C2BC4"/>
    <w:rsid w:val="006C3893"/>
    <w:rsid w:val="006C514D"/>
    <w:rsid w:val="006C66C6"/>
    <w:rsid w:val="006C68EC"/>
    <w:rsid w:val="006D113F"/>
    <w:rsid w:val="006D141E"/>
    <w:rsid w:val="006D172A"/>
    <w:rsid w:val="006D259C"/>
    <w:rsid w:val="006D4DAA"/>
    <w:rsid w:val="006D4E85"/>
    <w:rsid w:val="006D52A0"/>
    <w:rsid w:val="006E15A8"/>
    <w:rsid w:val="006E24F8"/>
    <w:rsid w:val="006E4783"/>
    <w:rsid w:val="006E4B28"/>
    <w:rsid w:val="006E6600"/>
    <w:rsid w:val="006F3236"/>
    <w:rsid w:val="006F4F43"/>
    <w:rsid w:val="006F7A1D"/>
    <w:rsid w:val="007015AC"/>
    <w:rsid w:val="007026A0"/>
    <w:rsid w:val="00702A5A"/>
    <w:rsid w:val="0071059B"/>
    <w:rsid w:val="00710857"/>
    <w:rsid w:val="0071396A"/>
    <w:rsid w:val="007165CE"/>
    <w:rsid w:val="0071681B"/>
    <w:rsid w:val="00720835"/>
    <w:rsid w:val="00721A18"/>
    <w:rsid w:val="00725163"/>
    <w:rsid w:val="00725A1D"/>
    <w:rsid w:val="00726DA1"/>
    <w:rsid w:val="0072725A"/>
    <w:rsid w:val="00727281"/>
    <w:rsid w:val="0073190F"/>
    <w:rsid w:val="00733AB2"/>
    <w:rsid w:val="00733D62"/>
    <w:rsid w:val="00734B2E"/>
    <w:rsid w:val="00734B43"/>
    <w:rsid w:val="00744055"/>
    <w:rsid w:val="00744E62"/>
    <w:rsid w:val="00745161"/>
    <w:rsid w:val="007453AF"/>
    <w:rsid w:val="00746142"/>
    <w:rsid w:val="007468BF"/>
    <w:rsid w:val="0075100F"/>
    <w:rsid w:val="00752F4B"/>
    <w:rsid w:val="007553E3"/>
    <w:rsid w:val="0075559F"/>
    <w:rsid w:val="00755807"/>
    <w:rsid w:val="007577EF"/>
    <w:rsid w:val="00760DA4"/>
    <w:rsid w:val="00764C4D"/>
    <w:rsid w:val="007665A6"/>
    <w:rsid w:val="00772497"/>
    <w:rsid w:val="00773DF3"/>
    <w:rsid w:val="0077409B"/>
    <w:rsid w:val="00776C20"/>
    <w:rsid w:val="00777FEE"/>
    <w:rsid w:val="00780C38"/>
    <w:rsid w:val="00783BE6"/>
    <w:rsid w:val="0078553E"/>
    <w:rsid w:val="00785C7F"/>
    <w:rsid w:val="00785D9C"/>
    <w:rsid w:val="00786A65"/>
    <w:rsid w:val="0079106E"/>
    <w:rsid w:val="00792E04"/>
    <w:rsid w:val="0079778A"/>
    <w:rsid w:val="00797A8F"/>
    <w:rsid w:val="00797B09"/>
    <w:rsid w:val="007A2325"/>
    <w:rsid w:val="007A62BD"/>
    <w:rsid w:val="007A67AB"/>
    <w:rsid w:val="007A6E5E"/>
    <w:rsid w:val="007B118C"/>
    <w:rsid w:val="007B1FEB"/>
    <w:rsid w:val="007B29DB"/>
    <w:rsid w:val="007B5CE4"/>
    <w:rsid w:val="007B7B05"/>
    <w:rsid w:val="007D1A96"/>
    <w:rsid w:val="007D3B1E"/>
    <w:rsid w:val="007D439D"/>
    <w:rsid w:val="007D44AC"/>
    <w:rsid w:val="007E0780"/>
    <w:rsid w:val="007E18EB"/>
    <w:rsid w:val="007E1A7A"/>
    <w:rsid w:val="007E6093"/>
    <w:rsid w:val="007E71F9"/>
    <w:rsid w:val="007F59DD"/>
    <w:rsid w:val="007F5C38"/>
    <w:rsid w:val="007F72A7"/>
    <w:rsid w:val="008007BE"/>
    <w:rsid w:val="0080104C"/>
    <w:rsid w:val="0080140F"/>
    <w:rsid w:val="0080318E"/>
    <w:rsid w:val="00803E1B"/>
    <w:rsid w:val="0080791B"/>
    <w:rsid w:val="008101BC"/>
    <w:rsid w:val="008103CA"/>
    <w:rsid w:val="00811504"/>
    <w:rsid w:val="008117C2"/>
    <w:rsid w:val="008126A7"/>
    <w:rsid w:val="008144C9"/>
    <w:rsid w:val="00816D75"/>
    <w:rsid w:val="00817B05"/>
    <w:rsid w:val="008200BC"/>
    <w:rsid w:val="008223AA"/>
    <w:rsid w:val="0082318F"/>
    <w:rsid w:val="008304A4"/>
    <w:rsid w:val="00831FAF"/>
    <w:rsid w:val="00841272"/>
    <w:rsid w:val="00844588"/>
    <w:rsid w:val="00847377"/>
    <w:rsid w:val="00850DF8"/>
    <w:rsid w:val="0086152F"/>
    <w:rsid w:val="00861699"/>
    <w:rsid w:val="008626B4"/>
    <w:rsid w:val="008667BD"/>
    <w:rsid w:val="008669A1"/>
    <w:rsid w:val="00873515"/>
    <w:rsid w:val="00873E2F"/>
    <w:rsid w:val="00874248"/>
    <w:rsid w:val="0087438B"/>
    <w:rsid w:val="00874C9F"/>
    <w:rsid w:val="00877211"/>
    <w:rsid w:val="00882034"/>
    <w:rsid w:val="0088257B"/>
    <w:rsid w:val="0088260F"/>
    <w:rsid w:val="008827F8"/>
    <w:rsid w:val="00882808"/>
    <w:rsid w:val="00882D88"/>
    <w:rsid w:val="00884034"/>
    <w:rsid w:val="00885EEB"/>
    <w:rsid w:val="00890AE0"/>
    <w:rsid w:val="00894364"/>
    <w:rsid w:val="008A297A"/>
    <w:rsid w:val="008A5CEA"/>
    <w:rsid w:val="008A6A9B"/>
    <w:rsid w:val="008B06E9"/>
    <w:rsid w:val="008B0B90"/>
    <w:rsid w:val="008B15B2"/>
    <w:rsid w:val="008B2A27"/>
    <w:rsid w:val="008B33E7"/>
    <w:rsid w:val="008B36E9"/>
    <w:rsid w:val="008B4491"/>
    <w:rsid w:val="008B59A8"/>
    <w:rsid w:val="008B6E6C"/>
    <w:rsid w:val="008B7DD9"/>
    <w:rsid w:val="008C3C3A"/>
    <w:rsid w:val="008C3EBB"/>
    <w:rsid w:val="008C494A"/>
    <w:rsid w:val="008C4D8E"/>
    <w:rsid w:val="008C6261"/>
    <w:rsid w:val="008D032A"/>
    <w:rsid w:val="008D101B"/>
    <w:rsid w:val="008D2774"/>
    <w:rsid w:val="008D32B1"/>
    <w:rsid w:val="008D4A69"/>
    <w:rsid w:val="008E051D"/>
    <w:rsid w:val="008E3791"/>
    <w:rsid w:val="008E4F9A"/>
    <w:rsid w:val="008E6B9F"/>
    <w:rsid w:val="008F18EA"/>
    <w:rsid w:val="008F1B25"/>
    <w:rsid w:val="008F3177"/>
    <w:rsid w:val="008F55A2"/>
    <w:rsid w:val="008F6DA3"/>
    <w:rsid w:val="009004DD"/>
    <w:rsid w:val="00901B6E"/>
    <w:rsid w:val="00902316"/>
    <w:rsid w:val="009037D9"/>
    <w:rsid w:val="0090383C"/>
    <w:rsid w:val="00903DD5"/>
    <w:rsid w:val="00904434"/>
    <w:rsid w:val="009052E0"/>
    <w:rsid w:val="00907E0E"/>
    <w:rsid w:val="00912FE5"/>
    <w:rsid w:val="00913C7D"/>
    <w:rsid w:val="00913EFE"/>
    <w:rsid w:val="00915D7D"/>
    <w:rsid w:val="00916937"/>
    <w:rsid w:val="009215A9"/>
    <w:rsid w:val="0092163F"/>
    <w:rsid w:val="0092183C"/>
    <w:rsid w:val="00923C59"/>
    <w:rsid w:val="00924586"/>
    <w:rsid w:val="009250A4"/>
    <w:rsid w:val="0092564F"/>
    <w:rsid w:val="009256A0"/>
    <w:rsid w:val="00926692"/>
    <w:rsid w:val="00926F6C"/>
    <w:rsid w:val="00927CE1"/>
    <w:rsid w:val="00931927"/>
    <w:rsid w:val="00932E7D"/>
    <w:rsid w:val="009356CE"/>
    <w:rsid w:val="00936386"/>
    <w:rsid w:val="009416DB"/>
    <w:rsid w:val="0094337C"/>
    <w:rsid w:val="009443C1"/>
    <w:rsid w:val="00952032"/>
    <w:rsid w:val="00953079"/>
    <w:rsid w:val="0095348B"/>
    <w:rsid w:val="00964E1D"/>
    <w:rsid w:val="00973313"/>
    <w:rsid w:val="00973D92"/>
    <w:rsid w:val="009768B7"/>
    <w:rsid w:val="00976CE4"/>
    <w:rsid w:val="009779D9"/>
    <w:rsid w:val="00980105"/>
    <w:rsid w:val="00984DF9"/>
    <w:rsid w:val="00985CA2"/>
    <w:rsid w:val="009907E6"/>
    <w:rsid w:val="00990D76"/>
    <w:rsid w:val="00997C6F"/>
    <w:rsid w:val="009A45A8"/>
    <w:rsid w:val="009A47D3"/>
    <w:rsid w:val="009A48CD"/>
    <w:rsid w:val="009A6FBC"/>
    <w:rsid w:val="009A7BAB"/>
    <w:rsid w:val="009B0013"/>
    <w:rsid w:val="009B4567"/>
    <w:rsid w:val="009B59CA"/>
    <w:rsid w:val="009B5DEF"/>
    <w:rsid w:val="009C30E5"/>
    <w:rsid w:val="009D0EAA"/>
    <w:rsid w:val="009D20CE"/>
    <w:rsid w:val="009D26AE"/>
    <w:rsid w:val="009D310B"/>
    <w:rsid w:val="009D57D3"/>
    <w:rsid w:val="009D6ADB"/>
    <w:rsid w:val="009E24C1"/>
    <w:rsid w:val="009E4EB8"/>
    <w:rsid w:val="009E573E"/>
    <w:rsid w:val="009E5A17"/>
    <w:rsid w:val="009E5C62"/>
    <w:rsid w:val="009E5DF0"/>
    <w:rsid w:val="009E7166"/>
    <w:rsid w:val="009F0F97"/>
    <w:rsid w:val="009F16C4"/>
    <w:rsid w:val="009F1796"/>
    <w:rsid w:val="009F17A3"/>
    <w:rsid w:val="009F3285"/>
    <w:rsid w:val="009F516A"/>
    <w:rsid w:val="009F7C3C"/>
    <w:rsid w:val="00A005B2"/>
    <w:rsid w:val="00A00915"/>
    <w:rsid w:val="00A00FE1"/>
    <w:rsid w:val="00A02CB9"/>
    <w:rsid w:val="00A052B4"/>
    <w:rsid w:val="00A06BFA"/>
    <w:rsid w:val="00A06E66"/>
    <w:rsid w:val="00A07911"/>
    <w:rsid w:val="00A120A6"/>
    <w:rsid w:val="00A12DA5"/>
    <w:rsid w:val="00A144B8"/>
    <w:rsid w:val="00A1555A"/>
    <w:rsid w:val="00A24CBE"/>
    <w:rsid w:val="00A259BE"/>
    <w:rsid w:val="00A2630E"/>
    <w:rsid w:val="00A269B1"/>
    <w:rsid w:val="00A277D0"/>
    <w:rsid w:val="00A27CBC"/>
    <w:rsid w:val="00A347D7"/>
    <w:rsid w:val="00A34AD2"/>
    <w:rsid w:val="00A359D8"/>
    <w:rsid w:val="00A364F1"/>
    <w:rsid w:val="00A36A8F"/>
    <w:rsid w:val="00A370C1"/>
    <w:rsid w:val="00A373F9"/>
    <w:rsid w:val="00A401BA"/>
    <w:rsid w:val="00A4031F"/>
    <w:rsid w:val="00A412C7"/>
    <w:rsid w:val="00A45F8B"/>
    <w:rsid w:val="00A52AA7"/>
    <w:rsid w:val="00A53562"/>
    <w:rsid w:val="00A53F0C"/>
    <w:rsid w:val="00A5543E"/>
    <w:rsid w:val="00A55788"/>
    <w:rsid w:val="00A55FB2"/>
    <w:rsid w:val="00A5642F"/>
    <w:rsid w:val="00A61AFB"/>
    <w:rsid w:val="00A678A6"/>
    <w:rsid w:val="00A7150B"/>
    <w:rsid w:val="00A7479E"/>
    <w:rsid w:val="00A7489D"/>
    <w:rsid w:val="00A80376"/>
    <w:rsid w:val="00A82CA1"/>
    <w:rsid w:val="00A8353D"/>
    <w:rsid w:val="00A838E2"/>
    <w:rsid w:val="00A83E6A"/>
    <w:rsid w:val="00A913D9"/>
    <w:rsid w:val="00A96AD3"/>
    <w:rsid w:val="00A97A50"/>
    <w:rsid w:val="00AA191D"/>
    <w:rsid w:val="00AA27F4"/>
    <w:rsid w:val="00AA5015"/>
    <w:rsid w:val="00AA56AC"/>
    <w:rsid w:val="00AA60B2"/>
    <w:rsid w:val="00AB033D"/>
    <w:rsid w:val="00AB56DB"/>
    <w:rsid w:val="00AC110C"/>
    <w:rsid w:val="00AC1402"/>
    <w:rsid w:val="00AC1C1A"/>
    <w:rsid w:val="00AC4172"/>
    <w:rsid w:val="00AC58F3"/>
    <w:rsid w:val="00AC6697"/>
    <w:rsid w:val="00AC7374"/>
    <w:rsid w:val="00AD3430"/>
    <w:rsid w:val="00AD391B"/>
    <w:rsid w:val="00AE08E7"/>
    <w:rsid w:val="00AE2E7E"/>
    <w:rsid w:val="00AE3BEB"/>
    <w:rsid w:val="00AE704E"/>
    <w:rsid w:val="00AE715F"/>
    <w:rsid w:val="00AE725F"/>
    <w:rsid w:val="00AE79BE"/>
    <w:rsid w:val="00AF16A1"/>
    <w:rsid w:val="00AF1A0D"/>
    <w:rsid w:val="00AF4AE2"/>
    <w:rsid w:val="00AF6359"/>
    <w:rsid w:val="00AF6B87"/>
    <w:rsid w:val="00AF6D83"/>
    <w:rsid w:val="00AF6FFC"/>
    <w:rsid w:val="00AF72CE"/>
    <w:rsid w:val="00B009BA"/>
    <w:rsid w:val="00B0411E"/>
    <w:rsid w:val="00B05CC7"/>
    <w:rsid w:val="00B07325"/>
    <w:rsid w:val="00B077DA"/>
    <w:rsid w:val="00B105D4"/>
    <w:rsid w:val="00B12A76"/>
    <w:rsid w:val="00B13241"/>
    <w:rsid w:val="00B139AA"/>
    <w:rsid w:val="00B1579A"/>
    <w:rsid w:val="00B15A91"/>
    <w:rsid w:val="00B165D3"/>
    <w:rsid w:val="00B16FD7"/>
    <w:rsid w:val="00B2192F"/>
    <w:rsid w:val="00B22795"/>
    <w:rsid w:val="00B25340"/>
    <w:rsid w:val="00B26411"/>
    <w:rsid w:val="00B3082C"/>
    <w:rsid w:val="00B32FC5"/>
    <w:rsid w:val="00B414BF"/>
    <w:rsid w:val="00B419D7"/>
    <w:rsid w:val="00B41EC9"/>
    <w:rsid w:val="00B474C5"/>
    <w:rsid w:val="00B50AE5"/>
    <w:rsid w:val="00B5297D"/>
    <w:rsid w:val="00B52E9A"/>
    <w:rsid w:val="00B538CA"/>
    <w:rsid w:val="00B56343"/>
    <w:rsid w:val="00B57186"/>
    <w:rsid w:val="00B578FF"/>
    <w:rsid w:val="00B62D84"/>
    <w:rsid w:val="00B66556"/>
    <w:rsid w:val="00B706C9"/>
    <w:rsid w:val="00B709FC"/>
    <w:rsid w:val="00B71992"/>
    <w:rsid w:val="00B720A1"/>
    <w:rsid w:val="00B73A0F"/>
    <w:rsid w:val="00B75AF1"/>
    <w:rsid w:val="00B76289"/>
    <w:rsid w:val="00B77D4D"/>
    <w:rsid w:val="00B817BF"/>
    <w:rsid w:val="00B84B12"/>
    <w:rsid w:val="00B85C7A"/>
    <w:rsid w:val="00B8675C"/>
    <w:rsid w:val="00B91B14"/>
    <w:rsid w:val="00B91F23"/>
    <w:rsid w:val="00B9386F"/>
    <w:rsid w:val="00B973AE"/>
    <w:rsid w:val="00B97C67"/>
    <w:rsid w:val="00BA1DA0"/>
    <w:rsid w:val="00BA2617"/>
    <w:rsid w:val="00BA60F4"/>
    <w:rsid w:val="00BB0B19"/>
    <w:rsid w:val="00BB2C9F"/>
    <w:rsid w:val="00BB4026"/>
    <w:rsid w:val="00BB4D3A"/>
    <w:rsid w:val="00BB6602"/>
    <w:rsid w:val="00BC026A"/>
    <w:rsid w:val="00BC0D70"/>
    <w:rsid w:val="00BC1005"/>
    <w:rsid w:val="00BC13A0"/>
    <w:rsid w:val="00BC2C2A"/>
    <w:rsid w:val="00BC5840"/>
    <w:rsid w:val="00BC5A2A"/>
    <w:rsid w:val="00BD12CA"/>
    <w:rsid w:val="00BD1587"/>
    <w:rsid w:val="00BD1AED"/>
    <w:rsid w:val="00BD75F9"/>
    <w:rsid w:val="00BE0218"/>
    <w:rsid w:val="00BE04E5"/>
    <w:rsid w:val="00BE243F"/>
    <w:rsid w:val="00BE3A59"/>
    <w:rsid w:val="00BE460E"/>
    <w:rsid w:val="00BE4E1C"/>
    <w:rsid w:val="00BF0980"/>
    <w:rsid w:val="00BF260B"/>
    <w:rsid w:val="00BF2716"/>
    <w:rsid w:val="00BF2BA0"/>
    <w:rsid w:val="00BF3074"/>
    <w:rsid w:val="00BF34FE"/>
    <w:rsid w:val="00BF3E3A"/>
    <w:rsid w:val="00BF4B88"/>
    <w:rsid w:val="00BF60AF"/>
    <w:rsid w:val="00BF60D5"/>
    <w:rsid w:val="00BF667F"/>
    <w:rsid w:val="00BF73D8"/>
    <w:rsid w:val="00C036D5"/>
    <w:rsid w:val="00C04C67"/>
    <w:rsid w:val="00C058DC"/>
    <w:rsid w:val="00C142F7"/>
    <w:rsid w:val="00C15ECB"/>
    <w:rsid w:val="00C21A02"/>
    <w:rsid w:val="00C21E7E"/>
    <w:rsid w:val="00C23F0B"/>
    <w:rsid w:val="00C2601F"/>
    <w:rsid w:val="00C27E90"/>
    <w:rsid w:val="00C3386D"/>
    <w:rsid w:val="00C33A1D"/>
    <w:rsid w:val="00C33DF9"/>
    <w:rsid w:val="00C3577A"/>
    <w:rsid w:val="00C40095"/>
    <w:rsid w:val="00C45C76"/>
    <w:rsid w:val="00C47DC7"/>
    <w:rsid w:val="00C50D32"/>
    <w:rsid w:val="00C522DB"/>
    <w:rsid w:val="00C52B96"/>
    <w:rsid w:val="00C52FFB"/>
    <w:rsid w:val="00C5592F"/>
    <w:rsid w:val="00C57A20"/>
    <w:rsid w:val="00C63789"/>
    <w:rsid w:val="00C65509"/>
    <w:rsid w:val="00C664F6"/>
    <w:rsid w:val="00C70068"/>
    <w:rsid w:val="00C7103C"/>
    <w:rsid w:val="00C756A8"/>
    <w:rsid w:val="00C77293"/>
    <w:rsid w:val="00C81C95"/>
    <w:rsid w:val="00C8292A"/>
    <w:rsid w:val="00C850EA"/>
    <w:rsid w:val="00C90D0E"/>
    <w:rsid w:val="00C922B0"/>
    <w:rsid w:val="00C94DC0"/>
    <w:rsid w:val="00C96458"/>
    <w:rsid w:val="00CA0795"/>
    <w:rsid w:val="00CA0EA3"/>
    <w:rsid w:val="00CA1D94"/>
    <w:rsid w:val="00CA20C7"/>
    <w:rsid w:val="00CA26CA"/>
    <w:rsid w:val="00CA659B"/>
    <w:rsid w:val="00CB1A1D"/>
    <w:rsid w:val="00CB41BC"/>
    <w:rsid w:val="00CB51FF"/>
    <w:rsid w:val="00CB57F7"/>
    <w:rsid w:val="00CB6533"/>
    <w:rsid w:val="00CB7DB6"/>
    <w:rsid w:val="00CB7F58"/>
    <w:rsid w:val="00CC096E"/>
    <w:rsid w:val="00CC185C"/>
    <w:rsid w:val="00CC1E9D"/>
    <w:rsid w:val="00CC4657"/>
    <w:rsid w:val="00CC530C"/>
    <w:rsid w:val="00CD1B0C"/>
    <w:rsid w:val="00CE3FFD"/>
    <w:rsid w:val="00CE50EC"/>
    <w:rsid w:val="00CE6284"/>
    <w:rsid w:val="00CF3832"/>
    <w:rsid w:val="00CF44FC"/>
    <w:rsid w:val="00CF56A1"/>
    <w:rsid w:val="00CF594B"/>
    <w:rsid w:val="00D01346"/>
    <w:rsid w:val="00D03BBA"/>
    <w:rsid w:val="00D06D7E"/>
    <w:rsid w:val="00D074B6"/>
    <w:rsid w:val="00D07D0A"/>
    <w:rsid w:val="00D10783"/>
    <w:rsid w:val="00D11655"/>
    <w:rsid w:val="00D11869"/>
    <w:rsid w:val="00D14D73"/>
    <w:rsid w:val="00D15FBD"/>
    <w:rsid w:val="00D17EE9"/>
    <w:rsid w:val="00D20036"/>
    <w:rsid w:val="00D21E59"/>
    <w:rsid w:val="00D228E2"/>
    <w:rsid w:val="00D24754"/>
    <w:rsid w:val="00D25704"/>
    <w:rsid w:val="00D26B30"/>
    <w:rsid w:val="00D317DE"/>
    <w:rsid w:val="00D3190F"/>
    <w:rsid w:val="00D320A3"/>
    <w:rsid w:val="00D33935"/>
    <w:rsid w:val="00D37F54"/>
    <w:rsid w:val="00D45126"/>
    <w:rsid w:val="00D465BE"/>
    <w:rsid w:val="00D50046"/>
    <w:rsid w:val="00D51E95"/>
    <w:rsid w:val="00D52870"/>
    <w:rsid w:val="00D55207"/>
    <w:rsid w:val="00D628DB"/>
    <w:rsid w:val="00D65830"/>
    <w:rsid w:val="00D72599"/>
    <w:rsid w:val="00D74F7F"/>
    <w:rsid w:val="00D7662C"/>
    <w:rsid w:val="00D76FD0"/>
    <w:rsid w:val="00D77203"/>
    <w:rsid w:val="00D77F3A"/>
    <w:rsid w:val="00D8006B"/>
    <w:rsid w:val="00D806DB"/>
    <w:rsid w:val="00D82299"/>
    <w:rsid w:val="00D8605F"/>
    <w:rsid w:val="00D86D2D"/>
    <w:rsid w:val="00D87F70"/>
    <w:rsid w:val="00D9602A"/>
    <w:rsid w:val="00D97CD5"/>
    <w:rsid w:val="00DA2C07"/>
    <w:rsid w:val="00DA309B"/>
    <w:rsid w:val="00DA78D3"/>
    <w:rsid w:val="00DB017E"/>
    <w:rsid w:val="00DB0266"/>
    <w:rsid w:val="00DB1E0C"/>
    <w:rsid w:val="00DB23F7"/>
    <w:rsid w:val="00DB385E"/>
    <w:rsid w:val="00DB3AFE"/>
    <w:rsid w:val="00DB3B63"/>
    <w:rsid w:val="00DB42F9"/>
    <w:rsid w:val="00DB5892"/>
    <w:rsid w:val="00DB7E42"/>
    <w:rsid w:val="00DC48CA"/>
    <w:rsid w:val="00DC5C0A"/>
    <w:rsid w:val="00DC6B4E"/>
    <w:rsid w:val="00DD1605"/>
    <w:rsid w:val="00DD5D75"/>
    <w:rsid w:val="00DD5ECF"/>
    <w:rsid w:val="00DD756A"/>
    <w:rsid w:val="00DE3C90"/>
    <w:rsid w:val="00DE537D"/>
    <w:rsid w:val="00DF056A"/>
    <w:rsid w:val="00DF1D62"/>
    <w:rsid w:val="00DF33A4"/>
    <w:rsid w:val="00DF38A4"/>
    <w:rsid w:val="00DF5379"/>
    <w:rsid w:val="00DF58E2"/>
    <w:rsid w:val="00DF6803"/>
    <w:rsid w:val="00DF6A8C"/>
    <w:rsid w:val="00DF7183"/>
    <w:rsid w:val="00DF7A52"/>
    <w:rsid w:val="00E00A12"/>
    <w:rsid w:val="00E031DA"/>
    <w:rsid w:val="00E05EA9"/>
    <w:rsid w:val="00E0634C"/>
    <w:rsid w:val="00E06699"/>
    <w:rsid w:val="00E071D2"/>
    <w:rsid w:val="00E11D62"/>
    <w:rsid w:val="00E13052"/>
    <w:rsid w:val="00E1382D"/>
    <w:rsid w:val="00E146EB"/>
    <w:rsid w:val="00E15FDD"/>
    <w:rsid w:val="00E16335"/>
    <w:rsid w:val="00E1792D"/>
    <w:rsid w:val="00E20499"/>
    <w:rsid w:val="00E20CB7"/>
    <w:rsid w:val="00E20CE5"/>
    <w:rsid w:val="00E210CD"/>
    <w:rsid w:val="00E2412D"/>
    <w:rsid w:val="00E25EB2"/>
    <w:rsid w:val="00E3013F"/>
    <w:rsid w:val="00E3101C"/>
    <w:rsid w:val="00E316D5"/>
    <w:rsid w:val="00E33484"/>
    <w:rsid w:val="00E33A2A"/>
    <w:rsid w:val="00E34099"/>
    <w:rsid w:val="00E34F10"/>
    <w:rsid w:val="00E37FEE"/>
    <w:rsid w:val="00E41227"/>
    <w:rsid w:val="00E44603"/>
    <w:rsid w:val="00E53C74"/>
    <w:rsid w:val="00E553F9"/>
    <w:rsid w:val="00E56099"/>
    <w:rsid w:val="00E57B0C"/>
    <w:rsid w:val="00E61EA1"/>
    <w:rsid w:val="00E651F3"/>
    <w:rsid w:val="00E709B0"/>
    <w:rsid w:val="00E74204"/>
    <w:rsid w:val="00E74232"/>
    <w:rsid w:val="00E742F9"/>
    <w:rsid w:val="00E74A42"/>
    <w:rsid w:val="00E751CE"/>
    <w:rsid w:val="00E75234"/>
    <w:rsid w:val="00E752D1"/>
    <w:rsid w:val="00E762EA"/>
    <w:rsid w:val="00E77C4E"/>
    <w:rsid w:val="00E823D9"/>
    <w:rsid w:val="00E8363F"/>
    <w:rsid w:val="00E84B93"/>
    <w:rsid w:val="00E87863"/>
    <w:rsid w:val="00E93A43"/>
    <w:rsid w:val="00E94976"/>
    <w:rsid w:val="00E95CFB"/>
    <w:rsid w:val="00EA0144"/>
    <w:rsid w:val="00EA0D0E"/>
    <w:rsid w:val="00EA103C"/>
    <w:rsid w:val="00EA1906"/>
    <w:rsid w:val="00EA3F92"/>
    <w:rsid w:val="00EB11D4"/>
    <w:rsid w:val="00EB179A"/>
    <w:rsid w:val="00EB5593"/>
    <w:rsid w:val="00EC53DA"/>
    <w:rsid w:val="00EC5EFB"/>
    <w:rsid w:val="00EC63DE"/>
    <w:rsid w:val="00EC6681"/>
    <w:rsid w:val="00ED0B38"/>
    <w:rsid w:val="00ED1192"/>
    <w:rsid w:val="00EE0537"/>
    <w:rsid w:val="00EE05AD"/>
    <w:rsid w:val="00EE1FC3"/>
    <w:rsid w:val="00EE269C"/>
    <w:rsid w:val="00EE511D"/>
    <w:rsid w:val="00EF0D72"/>
    <w:rsid w:val="00EF12E1"/>
    <w:rsid w:val="00EF228C"/>
    <w:rsid w:val="00EF2A33"/>
    <w:rsid w:val="00EF65A0"/>
    <w:rsid w:val="00EF6EEE"/>
    <w:rsid w:val="00F011C5"/>
    <w:rsid w:val="00F04C46"/>
    <w:rsid w:val="00F069EC"/>
    <w:rsid w:val="00F10202"/>
    <w:rsid w:val="00F1131E"/>
    <w:rsid w:val="00F163BC"/>
    <w:rsid w:val="00F16F4B"/>
    <w:rsid w:val="00F178CF"/>
    <w:rsid w:val="00F20D27"/>
    <w:rsid w:val="00F20E47"/>
    <w:rsid w:val="00F22802"/>
    <w:rsid w:val="00F22947"/>
    <w:rsid w:val="00F238AA"/>
    <w:rsid w:val="00F25B19"/>
    <w:rsid w:val="00F27D6C"/>
    <w:rsid w:val="00F31194"/>
    <w:rsid w:val="00F321F7"/>
    <w:rsid w:val="00F32A6C"/>
    <w:rsid w:val="00F35055"/>
    <w:rsid w:val="00F40AD9"/>
    <w:rsid w:val="00F471E3"/>
    <w:rsid w:val="00F50187"/>
    <w:rsid w:val="00F50793"/>
    <w:rsid w:val="00F50A2F"/>
    <w:rsid w:val="00F50FA6"/>
    <w:rsid w:val="00F52356"/>
    <w:rsid w:val="00F53269"/>
    <w:rsid w:val="00F552EA"/>
    <w:rsid w:val="00F56623"/>
    <w:rsid w:val="00F577B4"/>
    <w:rsid w:val="00F66B3F"/>
    <w:rsid w:val="00F6745F"/>
    <w:rsid w:val="00F7017F"/>
    <w:rsid w:val="00F7065C"/>
    <w:rsid w:val="00F70C16"/>
    <w:rsid w:val="00F71523"/>
    <w:rsid w:val="00F73F63"/>
    <w:rsid w:val="00F75C2C"/>
    <w:rsid w:val="00F76264"/>
    <w:rsid w:val="00F778DC"/>
    <w:rsid w:val="00F802B7"/>
    <w:rsid w:val="00F804A8"/>
    <w:rsid w:val="00F808EA"/>
    <w:rsid w:val="00F84292"/>
    <w:rsid w:val="00F85623"/>
    <w:rsid w:val="00F8586B"/>
    <w:rsid w:val="00F865AA"/>
    <w:rsid w:val="00F95AA1"/>
    <w:rsid w:val="00F96FCD"/>
    <w:rsid w:val="00F97BA1"/>
    <w:rsid w:val="00FA0DE5"/>
    <w:rsid w:val="00FA1820"/>
    <w:rsid w:val="00FA2F58"/>
    <w:rsid w:val="00FA41F3"/>
    <w:rsid w:val="00FA6478"/>
    <w:rsid w:val="00FA7082"/>
    <w:rsid w:val="00FB01E2"/>
    <w:rsid w:val="00FB1FC0"/>
    <w:rsid w:val="00FB3F50"/>
    <w:rsid w:val="00FB49DA"/>
    <w:rsid w:val="00FB4C83"/>
    <w:rsid w:val="00FB587D"/>
    <w:rsid w:val="00FC35BC"/>
    <w:rsid w:val="00FC35F2"/>
    <w:rsid w:val="00FC4B9D"/>
    <w:rsid w:val="00FC53B8"/>
    <w:rsid w:val="00FC5CE3"/>
    <w:rsid w:val="00FC6351"/>
    <w:rsid w:val="00FC70F1"/>
    <w:rsid w:val="00FC77CC"/>
    <w:rsid w:val="00FD0090"/>
    <w:rsid w:val="00FD200B"/>
    <w:rsid w:val="00FD2C11"/>
    <w:rsid w:val="00FD3212"/>
    <w:rsid w:val="00FD382B"/>
    <w:rsid w:val="00FD42DD"/>
    <w:rsid w:val="00FD576C"/>
    <w:rsid w:val="00FD670F"/>
    <w:rsid w:val="00FE1123"/>
    <w:rsid w:val="00FE1FB4"/>
    <w:rsid w:val="00FE4473"/>
    <w:rsid w:val="00FF1CFE"/>
    <w:rsid w:val="00FF24A3"/>
    <w:rsid w:val="00FF294C"/>
    <w:rsid w:val="00FF71B8"/>
    <w:rsid w:val="00FF7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5FDA"/>
  <w15:docId w15:val="{DE3D5481-8737-452A-8523-EF7553E7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qFormat/>
    <w:rsid w:val="00D6583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6583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D65830"/>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597"/>
    <w:pPr>
      <w:spacing w:before="100" w:beforeAutospacing="1" w:after="100" w:afterAutospacing="1"/>
    </w:pPr>
    <w:rPr>
      <w:lang w:val="en-U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17B05"/>
    <w:pPr>
      <w:widowControl w:val="0"/>
      <w:spacing w:after="200" w:line="276" w:lineRule="auto"/>
      <w:ind w:left="720"/>
      <w:contextualSpacing/>
    </w:pPr>
    <w:rPr>
      <w:rFonts w:ascii="Calibri" w:eastAsia="Calibri" w:hAnsi="Calibri"/>
    </w:rPr>
  </w:style>
  <w:style w:type="paragraph" w:styleId="EndnoteText">
    <w:name w:val="endnote text"/>
    <w:basedOn w:val="Normal"/>
    <w:link w:val="EndnoteTextChar"/>
    <w:uiPriority w:val="99"/>
    <w:unhideWhenUsed/>
    <w:rsid w:val="00817B05"/>
    <w:pPr>
      <w:jc w:val="both"/>
    </w:pPr>
    <w:rPr>
      <w:color w:val="000000" w:themeColor="text1"/>
      <w:sz w:val="20"/>
      <w:szCs w:val="20"/>
    </w:rPr>
  </w:style>
  <w:style w:type="character" w:customStyle="1" w:styleId="EndnoteTextChar">
    <w:name w:val="Endnote Text Char"/>
    <w:basedOn w:val="DefaultParagraphFont"/>
    <w:link w:val="EndnoteText"/>
    <w:uiPriority w:val="99"/>
    <w:rsid w:val="00817B05"/>
    <w:rPr>
      <w:color w:val="000000" w:themeColor="text1"/>
      <w:sz w:val="20"/>
      <w:szCs w:val="20"/>
    </w:rPr>
  </w:style>
  <w:style w:type="character" w:styleId="EndnoteReference">
    <w:name w:val="endnote reference"/>
    <w:basedOn w:val="DefaultParagraphFont"/>
    <w:uiPriority w:val="99"/>
    <w:unhideWhenUsed/>
    <w:rsid w:val="00817B05"/>
    <w:rPr>
      <w:vertAlign w:val="superscript"/>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817B05"/>
    <w:rPr>
      <w:rFonts w:ascii="Calibri" w:eastAsia="Calibri" w:hAnsi="Calibri" w:cs="Times New Roman"/>
    </w:rPr>
  </w:style>
  <w:style w:type="character" w:styleId="Hyperlink">
    <w:name w:val="Hyperlink"/>
    <w:unhideWhenUsed/>
    <w:rsid w:val="00BD1AED"/>
    <w:rPr>
      <w:color w:val="0000FF"/>
      <w:u w:val="single"/>
    </w:rPr>
  </w:style>
  <w:style w:type="character" w:customStyle="1" w:styleId="FootnoteTextChar">
    <w:name w:val="Footnote Text Char"/>
    <w:aliases w:val="Footnote Text Char Char1 Char,Footnote Text Char Char Char Char,Footnote Text Char2 Char Char Char Char,Footnote Text Char1 Char Char Char Char Char,Footnote Text Char Char Char Char Char Char Char,Char Char Char, Char Char Char"/>
    <w:basedOn w:val="DefaultParagraphFont"/>
    <w:link w:val="FootnoteText"/>
    <w:locked/>
    <w:rsid w:val="00BD1AED"/>
  </w:style>
  <w:style w:type="paragraph" w:styleId="FootnoteText">
    <w:name w:val="footnote text"/>
    <w:aliases w:val="Footnote Text Char Char1,Footnote Text Char Char Char,Footnote Text Char2 Char Char Char,Footnote Text Char1 Char Char Char Char,Footnote Text Char Char Char Char Char Char,Char Char Char Char Char Char Char,Char Char, Char Char"/>
    <w:basedOn w:val="Normal"/>
    <w:link w:val="FootnoteTextChar"/>
    <w:unhideWhenUsed/>
    <w:rsid w:val="00BD1AED"/>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BD1AED"/>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unhideWhenUsed/>
    <w:rsid w:val="00BD1AED"/>
    <w:rPr>
      <w:sz w:val="20"/>
      <w:szCs w:val="20"/>
    </w:rPr>
  </w:style>
  <w:style w:type="character" w:customStyle="1" w:styleId="CommentTextChar">
    <w:name w:val="Comment Text Char"/>
    <w:basedOn w:val="DefaultParagraphFont"/>
    <w:link w:val="CommentText"/>
    <w:uiPriority w:val="99"/>
    <w:rsid w:val="00BD1AED"/>
    <w:rPr>
      <w:rFonts w:ascii="Times New Roman" w:eastAsia="Times New Roman" w:hAnsi="Times New Roman" w:cs="Times New Roman"/>
      <w:sz w:val="20"/>
      <w:szCs w:val="20"/>
      <w:lang w:eastAsia="lv-LV"/>
    </w:rPr>
  </w:style>
  <w:style w:type="paragraph" w:customStyle="1" w:styleId="tv213">
    <w:name w:val="tv213"/>
    <w:basedOn w:val="Normal"/>
    <w:rsid w:val="00BD1AED"/>
    <w:pPr>
      <w:spacing w:before="100" w:beforeAutospacing="1" w:after="100" w:afterAutospacing="1"/>
    </w:pPr>
  </w:style>
  <w:style w:type="character" w:styleId="FootnoteReference">
    <w:name w:val="footnote reference"/>
    <w:aliases w:val="Footnote Reference Number,Footnote symbol,Footnote Reference Superscript,BVI fnr,Footnote reference number,number,note TESI,SUPERS,EN Footnote Reference,Times 10 Point,Exposant 3 Point, BVI fnr, Exposant 3 Point"/>
    <w:uiPriority w:val="99"/>
    <w:unhideWhenUsed/>
    <w:qFormat/>
    <w:rsid w:val="00BD1AED"/>
    <w:rPr>
      <w:vertAlign w:val="superscript"/>
    </w:rPr>
  </w:style>
  <w:style w:type="character" w:styleId="CommentReference">
    <w:name w:val="annotation reference"/>
    <w:uiPriority w:val="99"/>
    <w:unhideWhenUsed/>
    <w:rsid w:val="00BD1AED"/>
    <w:rPr>
      <w:sz w:val="16"/>
      <w:szCs w:val="16"/>
    </w:rPr>
  </w:style>
  <w:style w:type="paragraph" w:styleId="BalloonText">
    <w:name w:val="Balloon Text"/>
    <w:basedOn w:val="Normal"/>
    <w:link w:val="BalloonTextChar"/>
    <w:uiPriority w:val="99"/>
    <w:semiHidden/>
    <w:unhideWhenUsed/>
    <w:rsid w:val="00BD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ED"/>
    <w:rPr>
      <w:rFonts w:ascii="Segoe UI" w:eastAsia="Times New Roman" w:hAnsi="Segoe UI" w:cs="Segoe UI"/>
      <w:sz w:val="18"/>
      <w:szCs w:val="18"/>
      <w:lang w:eastAsia="lv-LV"/>
    </w:rPr>
  </w:style>
  <w:style w:type="paragraph" w:customStyle="1" w:styleId="naisc">
    <w:name w:val="naisc"/>
    <w:basedOn w:val="Normal"/>
    <w:rsid w:val="00DF5379"/>
    <w:pPr>
      <w:spacing w:before="75" w:after="75"/>
      <w:jc w:val="center"/>
    </w:pPr>
  </w:style>
  <w:style w:type="paragraph" w:styleId="Revision">
    <w:name w:val="Revision"/>
    <w:hidden/>
    <w:uiPriority w:val="99"/>
    <w:semiHidden/>
    <w:rsid w:val="00A52AA7"/>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316D5"/>
    <w:pPr>
      <w:spacing w:before="100" w:beforeAutospacing="1" w:after="100" w:afterAutospacing="1"/>
    </w:pPr>
  </w:style>
  <w:style w:type="paragraph" w:styleId="CommentSubject">
    <w:name w:val="annotation subject"/>
    <w:basedOn w:val="CommentText"/>
    <w:next w:val="CommentText"/>
    <w:link w:val="CommentSubjectChar"/>
    <w:uiPriority w:val="99"/>
    <w:unhideWhenUsed/>
    <w:rsid w:val="00BC2C2A"/>
    <w:rPr>
      <w:b/>
      <w:bCs/>
    </w:rPr>
  </w:style>
  <w:style w:type="character" w:customStyle="1" w:styleId="CommentSubjectChar">
    <w:name w:val="Comment Subject Char"/>
    <w:basedOn w:val="CommentTextChar"/>
    <w:link w:val="CommentSubject"/>
    <w:uiPriority w:val="99"/>
    <w:rsid w:val="00BC2C2A"/>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E6284"/>
    <w:pPr>
      <w:tabs>
        <w:tab w:val="center" w:pos="4153"/>
        <w:tab w:val="right" w:pos="8306"/>
      </w:tabs>
    </w:pPr>
  </w:style>
  <w:style w:type="character" w:customStyle="1" w:styleId="HeaderChar">
    <w:name w:val="Header Char"/>
    <w:basedOn w:val="DefaultParagraphFont"/>
    <w:link w:val="Header"/>
    <w:uiPriority w:val="99"/>
    <w:rsid w:val="00CE628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E6284"/>
    <w:pPr>
      <w:tabs>
        <w:tab w:val="center" w:pos="4153"/>
        <w:tab w:val="right" w:pos="8306"/>
      </w:tabs>
    </w:pPr>
  </w:style>
  <w:style w:type="character" w:customStyle="1" w:styleId="FooterChar">
    <w:name w:val="Footer Char"/>
    <w:basedOn w:val="DefaultParagraphFont"/>
    <w:link w:val="Footer"/>
    <w:uiPriority w:val="99"/>
    <w:rsid w:val="00CE6284"/>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D65830"/>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D65830"/>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D65830"/>
    <w:rPr>
      <w:rFonts w:ascii="Times New Roman" w:eastAsia="Times New Roman" w:hAnsi="Times New Roman" w:cs="Times New Roman"/>
      <w:sz w:val="28"/>
      <w:szCs w:val="24"/>
    </w:rPr>
  </w:style>
  <w:style w:type="character" w:styleId="Strong">
    <w:name w:val="Strong"/>
    <w:basedOn w:val="DefaultParagraphFont"/>
    <w:uiPriority w:val="22"/>
    <w:qFormat/>
    <w:rsid w:val="00D65830"/>
    <w:rPr>
      <w:b/>
      <w:bCs/>
    </w:rPr>
  </w:style>
  <w:style w:type="character" w:styleId="PageNumber">
    <w:name w:val="page number"/>
    <w:basedOn w:val="DefaultParagraphFont"/>
    <w:rsid w:val="00D65830"/>
  </w:style>
  <w:style w:type="paragraph" w:customStyle="1" w:styleId="Considrant">
    <w:name w:val="Considérant"/>
    <w:basedOn w:val="Normal"/>
    <w:rsid w:val="00D65830"/>
    <w:pPr>
      <w:numPr>
        <w:numId w:val="2"/>
      </w:numPr>
      <w:spacing w:before="120" w:after="120"/>
      <w:jc w:val="both"/>
    </w:pPr>
    <w:rPr>
      <w:szCs w:val="20"/>
      <w:lang w:eastAsia="zh-CN"/>
    </w:rPr>
  </w:style>
  <w:style w:type="paragraph" w:customStyle="1" w:styleId="naisf">
    <w:name w:val="naisf"/>
    <w:basedOn w:val="Normal"/>
    <w:rsid w:val="00D65830"/>
    <w:pPr>
      <w:spacing w:before="100" w:after="100"/>
      <w:jc w:val="both"/>
    </w:pPr>
    <w:rPr>
      <w:szCs w:val="20"/>
      <w:lang w:eastAsia="en-US"/>
    </w:rPr>
  </w:style>
  <w:style w:type="paragraph" w:customStyle="1" w:styleId="Bezatstarpm">
    <w:name w:val="Bez atstarpēm"/>
    <w:qFormat/>
    <w:rsid w:val="00D65830"/>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D65830"/>
    <w:pPr>
      <w:spacing w:before="75" w:after="75"/>
    </w:pPr>
  </w:style>
  <w:style w:type="paragraph" w:customStyle="1" w:styleId="RakstzCharCharRakstzCharCharRakstz">
    <w:name w:val="Rakstz. Char Char Rakstz. Char Char Rakstz."/>
    <w:basedOn w:val="Normal"/>
    <w:rsid w:val="00D65830"/>
    <w:pPr>
      <w:spacing w:after="160" w:line="240" w:lineRule="exact"/>
    </w:pPr>
    <w:rPr>
      <w:rFonts w:ascii="Tahoma" w:hAnsi="Tahoma"/>
      <w:sz w:val="20"/>
      <w:szCs w:val="20"/>
      <w:lang w:val="en-US" w:eastAsia="en-US"/>
    </w:rPr>
  </w:style>
  <w:style w:type="paragraph" w:customStyle="1" w:styleId="naisvisr">
    <w:name w:val="naisvisr"/>
    <w:basedOn w:val="Normal"/>
    <w:rsid w:val="00D65830"/>
    <w:pPr>
      <w:spacing w:before="100" w:beforeAutospacing="1" w:after="100" w:afterAutospacing="1"/>
    </w:pPr>
  </w:style>
  <w:style w:type="paragraph" w:customStyle="1" w:styleId="naislab">
    <w:name w:val="naislab"/>
    <w:basedOn w:val="Normal"/>
    <w:uiPriority w:val="99"/>
    <w:rsid w:val="00D65830"/>
    <w:pPr>
      <w:spacing w:before="100" w:beforeAutospacing="1" w:after="100" w:afterAutospacing="1"/>
    </w:pPr>
  </w:style>
  <w:style w:type="character" w:customStyle="1" w:styleId="article-author-name">
    <w:name w:val="article-author-name"/>
    <w:rsid w:val="00D65830"/>
  </w:style>
  <w:style w:type="character" w:customStyle="1" w:styleId="article-title-value">
    <w:name w:val="article-title-value"/>
    <w:rsid w:val="00D65830"/>
  </w:style>
  <w:style w:type="character" w:styleId="Emphasis">
    <w:name w:val="Emphasis"/>
    <w:qFormat/>
    <w:rsid w:val="00D65830"/>
    <w:rPr>
      <w:i/>
      <w:iCs/>
    </w:rPr>
  </w:style>
  <w:style w:type="paragraph" w:styleId="Caption">
    <w:name w:val="caption"/>
    <w:basedOn w:val="Normal"/>
    <w:next w:val="Normal"/>
    <w:link w:val="CaptionChar"/>
    <w:uiPriority w:val="35"/>
    <w:qFormat/>
    <w:rsid w:val="00D65830"/>
    <w:pPr>
      <w:keepNext/>
      <w:spacing w:before="120" w:after="60"/>
      <w:ind w:firstLine="709"/>
      <w:jc w:val="both"/>
    </w:pPr>
    <w:rPr>
      <w:b/>
      <w:bCs/>
      <w:i/>
      <w:szCs w:val="20"/>
      <w:lang w:eastAsia="en-US"/>
    </w:rPr>
  </w:style>
  <w:style w:type="character" w:customStyle="1" w:styleId="CaptionChar">
    <w:name w:val="Caption Char"/>
    <w:link w:val="Caption"/>
    <w:uiPriority w:val="35"/>
    <w:locked/>
    <w:rsid w:val="00D65830"/>
    <w:rPr>
      <w:rFonts w:ascii="Times New Roman" w:eastAsia="Times New Roman" w:hAnsi="Times New Roman" w:cs="Times New Roman"/>
      <w:b/>
      <w:bCs/>
      <w:i/>
      <w:sz w:val="24"/>
      <w:szCs w:val="20"/>
    </w:rPr>
  </w:style>
  <w:style w:type="paragraph" w:customStyle="1" w:styleId="HE1F">
    <w:name w:val="HE1 F"/>
    <w:basedOn w:val="Normal"/>
    <w:qFormat/>
    <w:rsid w:val="00D65830"/>
    <w:pPr>
      <w:keepNext/>
      <w:keepLines/>
      <w:numPr>
        <w:numId w:val="3"/>
      </w:numPr>
      <w:spacing w:before="120" w:after="240"/>
      <w:ind w:left="1077" w:hanging="357"/>
      <w:jc w:val="center"/>
      <w:outlineLvl w:val="1"/>
    </w:pPr>
    <w:rPr>
      <w:b/>
      <w:bCs/>
      <w:sz w:val="28"/>
      <w:szCs w:val="28"/>
      <w:lang w:eastAsia="en-US"/>
    </w:rPr>
  </w:style>
  <w:style w:type="paragraph" w:customStyle="1" w:styleId="HE2F">
    <w:name w:val="HE2 F"/>
    <w:basedOn w:val="HE1F"/>
    <w:qFormat/>
    <w:rsid w:val="00D65830"/>
    <w:pPr>
      <w:numPr>
        <w:ilvl w:val="1"/>
      </w:numPr>
      <w:ind w:left="425" w:hanging="425"/>
      <w:jc w:val="left"/>
    </w:pPr>
  </w:style>
  <w:style w:type="paragraph" w:customStyle="1" w:styleId="HE3F">
    <w:name w:val="HE3 F"/>
    <w:basedOn w:val="HE2F"/>
    <w:qFormat/>
    <w:rsid w:val="00D65830"/>
    <w:pPr>
      <w:numPr>
        <w:ilvl w:val="2"/>
      </w:numPr>
      <w:spacing w:before="240"/>
      <w:ind w:left="992" w:hanging="992"/>
    </w:pPr>
  </w:style>
  <w:style w:type="paragraph" w:customStyle="1" w:styleId="HE4F">
    <w:name w:val="HE4 F"/>
    <w:basedOn w:val="HE3F"/>
    <w:qFormat/>
    <w:rsid w:val="00D65830"/>
    <w:pPr>
      <w:numPr>
        <w:ilvl w:val="3"/>
      </w:numPr>
    </w:pPr>
    <w:rPr>
      <w:sz w:val="24"/>
      <w:szCs w:val="24"/>
    </w:rPr>
  </w:style>
  <w:style w:type="paragraph" w:customStyle="1" w:styleId="HE5F">
    <w:name w:val="HE5 F"/>
    <w:basedOn w:val="HE4F"/>
    <w:qFormat/>
    <w:rsid w:val="00D65830"/>
    <w:pPr>
      <w:numPr>
        <w:ilvl w:val="0"/>
        <w:numId w:val="0"/>
      </w:numPr>
      <w:spacing w:after="120"/>
    </w:pPr>
  </w:style>
  <w:style w:type="paragraph" w:customStyle="1" w:styleId="TableText">
    <w:name w:val="Table Text"/>
    <w:basedOn w:val="Normal"/>
    <w:link w:val="TableTextChar"/>
    <w:qFormat/>
    <w:rsid w:val="00D65830"/>
    <w:pPr>
      <w:jc w:val="both"/>
    </w:pPr>
    <w:rPr>
      <w:bCs/>
      <w:iCs/>
      <w:noProof/>
    </w:rPr>
  </w:style>
  <w:style w:type="character" w:customStyle="1" w:styleId="TableTextChar">
    <w:name w:val="Table Text Char"/>
    <w:link w:val="TableText"/>
    <w:rsid w:val="00D65830"/>
    <w:rPr>
      <w:rFonts w:ascii="Times New Roman" w:eastAsia="Times New Roman" w:hAnsi="Times New Roman" w:cs="Times New Roman"/>
      <w:bCs/>
      <w:iCs/>
      <w:noProof/>
      <w:sz w:val="24"/>
      <w:szCs w:val="24"/>
      <w:lang w:eastAsia="lv-LV"/>
    </w:rPr>
  </w:style>
  <w:style w:type="table" w:styleId="TableGrid">
    <w:name w:val="Table Grid"/>
    <w:basedOn w:val="TableNormal"/>
    <w:uiPriority w:val="59"/>
    <w:rsid w:val="00D6583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Normal"/>
    <w:link w:val="BulletsFChar"/>
    <w:qFormat/>
    <w:rsid w:val="00D65830"/>
    <w:pPr>
      <w:numPr>
        <w:numId w:val="4"/>
      </w:numPr>
      <w:contextualSpacing/>
    </w:pPr>
    <w:rPr>
      <w:lang w:eastAsia="en-US"/>
    </w:rPr>
  </w:style>
  <w:style w:type="character" w:customStyle="1" w:styleId="BulletsFChar">
    <w:name w:val="Bullets F Char"/>
    <w:link w:val="BulletsF"/>
    <w:locked/>
    <w:rsid w:val="00D65830"/>
    <w:rPr>
      <w:rFonts w:ascii="Times New Roman" w:eastAsia="Times New Roman" w:hAnsi="Times New Roman" w:cs="Times New Roman"/>
      <w:sz w:val="24"/>
      <w:szCs w:val="24"/>
    </w:rPr>
  </w:style>
  <w:style w:type="paragraph" w:customStyle="1" w:styleId="1LIST">
    <w:name w:val="1) LIST"/>
    <w:basedOn w:val="Normal"/>
    <w:qFormat/>
    <w:rsid w:val="00D65830"/>
    <w:pPr>
      <w:numPr>
        <w:numId w:val="5"/>
      </w:numPr>
      <w:spacing w:before="60"/>
      <w:jc w:val="both"/>
    </w:pPr>
    <w:rPr>
      <w:lang w:eastAsia="en-US"/>
    </w:rPr>
  </w:style>
  <w:style w:type="paragraph" w:customStyle="1" w:styleId="TableHeadding">
    <w:name w:val="Table Headding"/>
    <w:basedOn w:val="Normal"/>
    <w:qFormat/>
    <w:rsid w:val="00D65830"/>
    <w:pPr>
      <w:framePr w:hSpace="180" w:wrap="around" w:vAnchor="text" w:hAnchor="margin" w:y="-37"/>
      <w:spacing w:before="60"/>
      <w:ind w:firstLine="6"/>
      <w:jc w:val="center"/>
    </w:pPr>
    <w:rPr>
      <w:rFonts w:ascii="Cambria" w:hAnsi="Cambria"/>
      <w:b/>
      <w:iCs/>
      <w:lang w:eastAsia="en-US"/>
    </w:rPr>
  </w:style>
  <w:style w:type="character" w:customStyle="1" w:styleId="articleinfobar-source">
    <w:name w:val="article__infobar-source"/>
    <w:rsid w:val="00D65830"/>
  </w:style>
  <w:style w:type="character" w:customStyle="1" w:styleId="recipe-difficulty">
    <w:name w:val="recipe-difficulty"/>
    <w:rsid w:val="00D65830"/>
  </w:style>
  <w:style w:type="character" w:customStyle="1" w:styleId="serving-method">
    <w:name w:val="serving-method"/>
    <w:rsid w:val="00D65830"/>
  </w:style>
  <w:style w:type="paragraph" w:customStyle="1" w:styleId="article-content-lead">
    <w:name w:val="article-content-lead"/>
    <w:basedOn w:val="Normal"/>
    <w:rsid w:val="00D65830"/>
    <w:pPr>
      <w:spacing w:before="100" w:beforeAutospacing="1" w:after="100" w:afterAutospacing="1"/>
    </w:pPr>
  </w:style>
  <w:style w:type="character" w:customStyle="1" w:styleId="fp-recipe-list-par-num">
    <w:name w:val="fp-recipe-list-par-num"/>
    <w:rsid w:val="00D65830"/>
  </w:style>
  <w:style w:type="paragraph" w:customStyle="1" w:styleId="Title1">
    <w:name w:val="Title1"/>
    <w:basedOn w:val="Normal"/>
    <w:rsid w:val="00D65830"/>
    <w:pPr>
      <w:spacing w:before="100" w:beforeAutospacing="1" w:after="100" w:afterAutospacing="1"/>
    </w:pPr>
  </w:style>
  <w:style w:type="paragraph" w:customStyle="1" w:styleId="liknoteik">
    <w:name w:val="lik_noteik"/>
    <w:basedOn w:val="Normal"/>
    <w:rsid w:val="00D65830"/>
    <w:pPr>
      <w:spacing w:before="100" w:beforeAutospacing="1" w:after="100" w:afterAutospacing="1"/>
    </w:pPr>
  </w:style>
  <w:style w:type="paragraph" w:customStyle="1" w:styleId="likdat">
    <w:name w:val="lik_dat"/>
    <w:basedOn w:val="Normal"/>
    <w:rsid w:val="00D65830"/>
    <w:pPr>
      <w:spacing w:before="100" w:beforeAutospacing="1" w:after="100" w:afterAutospacing="1"/>
    </w:pPr>
  </w:style>
  <w:style w:type="paragraph" w:customStyle="1" w:styleId="likparaksts">
    <w:name w:val="lik_paraksts"/>
    <w:basedOn w:val="Normal"/>
    <w:rsid w:val="00D65830"/>
    <w:pPr>
      <w:spacing w:before="100" w:beforeAutospacing="1" w:after="100" w:afterAutospacing="1"/>
    </w:pPr>
  </w:style>
  <w:style w:type="character" w:customStyle="1" w:styleId="name">
    <w:name w:val="name"/>
    <w:rsid w:val="00D65830"/>
  </w:style>
  <w:style w:type="paragraph" w:styleId="NoSpacing">
    <w:name w:val="No Spacing"/>
    <w:uiPriority w:val="1"/>
    <w:qFormat/>
    <w:rsid w:val="00D65830"/>
    <w:pPr>
      <w:spacing w:after="0" w:line="240" w:lineRule="auto"/>
    </w:pPr>
    <w:rPr>
      <w:rFonts w:ascii="Calibri" w:eastAsia="Calibri" w:hAnsi="Calibri" w:cs="Times New Roman"/>
      <w:lang w:val="en-US"/>
    </w:rPr>
  </w:style>
  <w:style w:type="character" w:customStyle="1" w:styleId="st1">
    <w:name w:val="st1"/>
    <w:rsid w:val="00D65830"/>
  </w:style>
  <w:style w:type="character" w:styleId="FollowedHyperlink">
    <w:name w:val="FollowedHyperlink"/>
    <w:basedOn w:val="DefaultParagraphFont"/>
    <w:uiPriority w:val="99"/>
    <w:semiHidden/>
    <w:unhideWhenUsed/>
    <w:rsid w:val="000249EC"/>
    <w:rPr>
      <w:color w:val="954F72" w:themeColor="followedHyperlink"/>
      <w:u w:val="single"/>
    </w:rPr>
  </w:style>
  <w:style w:type="paragraph" w:customStyle="1" w:styleId="Default">
    <w:name w:val="Default"/>
    <w:rsid w:val="00CE50EC"/>
    <w:pPr>
      <w:autoSpaceDE w:val="0"/>
      <w:autoSpaceDN w:val="0"/>
      <w:adjustRightInd w:val="0"/>
      <w:spacing w:after="0" w:line="240" w:lineRule="auto"/>
    </w:pPr>
    <w:rPr>
      <w:rFonts w:ascii="Arial" w:hAnsi="Arial" w:cs="Arial"/>
      <w:color w:val="000000"/>
      <w:sz w:val="24"/>
      <w:szCs w:val="24"/>
    </w:rPr>
  </w:style>
  <w:style w:type="table" w:styleId="GridTable1Light-Accent3">
    <w:name w:val="Grid Table 1 Light Accent 3"/>
    <w:basedOn w:val="TableNormal"/>
    <w:uiPriority w:val="46"/>
    <w:rsid w:val="00047234"/>
    <w:pPr>
      <w:spacing w:after="0" w:line="240" w:lineRule="auto"/>
    </w:pPr>
    <w:rPr>
      <w:rFonts w:ascii="Calibri" w:eastAsia="Calibri" w:hAnsi="Calibri" w:cs="Times New Roman"/>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6D141E"/>
    <w:pPr>
      <w:spacing w:before="100" w:beforeAutospacing="1" w:after="100" w:afterAutospacing="1"/>
    </w:pPr>
  </w:style>
  <w:style w:type="character" w:customStyle="1" w:styleId="PlainTextChar">
    <w:name w:val="Plain Text Char"/>
    <w:basedOn w:val="DefaultParagraphFont"/>
    <w:link w:val="PlainText"/>
    <w:uiPriority w:val="99"/>
    <w:semiHidden/>
    <w:rsid w:val="006D141E"/>
    <w:rPr>
      <w:rFonts w:ascii="Times New Roman" w:eastAsia="Times New Roman" w:hAnsi="Times New Roman" w:cs="Times New Roman"/>
      <w:sz w:val="24"/>
      <w:szCs w:val="24"/>
      <w:lang w:eastAsia="lv-LV"/>
    </w:rPr>
  </w:style>
  <w:style w:type="character" w:customStyle="1" w:styleId="spelle">
    <w:name w:val="spelle"/>
    <w:basedOn w:val="DefaultParagraphFont"/>
    <w:rsid w:val="004754DD"/>
  </w:style>
  <w:style w:type="character" w:customStyle="1" w:styleId="arhhighlight">
    <w:name w:val="arh_highlight"/>
    <w:basedOn w:val="DefaultParagraphFont"/>
    <w:rsid w:val="00402010"/>
  </w:style>
  <w:style w:type="paragraph" w:customStyle="1" w:styleId="MediumGrid21">
    <w:name w:val="Medium Grid 21"/>
    <w:uiPriority w:val="1"/>
    <w:qFormat/>
    <w:rsid w:val="00B12A7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254">
      <w:bodyDiv w:val="1"/>
      <w:marLeft w:val="0"/>
      <w:marRight w:val="0"/>
      <w:marTop w:val="0"/>
      <w:marBottom w:val="0"/>
      <w:divBdr>
        <w:top w:val="none" w:sz="0" w:space="0" w:color="auto"/>
        <w:left w:val="none" w:sz="0" w:space="0" w:color="auto"/>
        <w:bottom w:val="none" w:sz="0" w:space="0" w:color="auto"/>
        <w:right w:val="none" w:sz="0" w:space="0" w:color="auto"/>
      </w:divBdr>
    </w:div>
    <w:div w:id="55398723">
      <w:bodyDiv w:val="1"/>
      <w:marLeft w:val="0"/>
      <w:marRight w:val="0"/>
      <w:marTop w:val="0"/>
      <w:marBottom w:val="0"/>
      <w:divBdr>
        <w:top w:val="none" w:sz="0" w:space="0" w:color="auto"/>
        <w:left w:val="none" w:sz="0" w:space="0" w:color="auto"/>
        <w:bottom w:val="none" w:sz="0" w:space="0" w:color="auto"/>
        <w:right w:val="none" w:sz="0" w:space="0" w:color="auto"/>
      </w:divBdr>
    </w:div>
    <w:div w:id="142937671">
      <w:bodyDiv w:val="1"/>
      <w:marLeft w:val="0"/>
      <w:marRight w:val="0"/>
      <w:marTop w:val="0"/>
      <w:marBottom w:val="0"/>
      <w:divBdr>
        <w:top w:val="none" w:sz="0" w:space="0" w:color="auto"/>
        <w:left w:val="none" w:sz="0" w:space="0" w:color="auto"/>
        <w:bottom w:val="none" w:sz="0" w:space="0" w:color="auto"/>
        <w:right w:val="none" w:sz="0" w:space="0" w:color="auto"/>
      </w:divBdr>
    </w:div>
    <w:div w:id="283342233">
      <w:bodyDiv w:val="1"/>
      <w:marLeft w:val="0"/>
      <w:marRight w:val="0"/>
      <w:marTop w:val="0"/>
      <w:marBottom w:val="0"/>
      <w:divBdr>
        <w:top w:val="none" w:sz="0" w:space="0" w:color="auto"/>
        <w:left w:val="none" w:sz="0" w:space="0" w:color="auto"/>
        <w:bottom w:val="none" w:sz="0" w:space="0" w:color="auto"/>
        <w:right w:val="none" w:sz="0" w:space="0" w:color="auto"/>
      </w:divBdr>
    </w:div>
    <w:div w:id="332493041">
      <w:bodyDiv w:val="1"/>
      <w:marLeft w:val="0"/>
      <w:marRight w:val="0"/>
      <w:marTop w:val="0"/>
      <w:marBottom w:val="0"/>
      <w:divBdr>
        <w:top w:val="none" w:sz="0" w:space="0" w:color="auto"/>
        <w:left w:val="none" w:sz="0" w:space="0" w:color="auto"/>
        <w:bottom w:val="none" w:sz="0" w:space="0" w:color="auto"/>
        <w:right w:val="none" w:sz="0" w:space="0" w:color="auto"/>
      </w:divBdr>
    </w:div>
    <w:div w:id="335425022">
      <w:bodyDiv w:val="1"/>
      <w:marLeft w:val="0"/>
      <w:marRight w:val="0"/>
      <w:marTop w:val="0"/>
      <w:marBottom w:val="0"/>
      <w:divBdr>
        <w:top w:val="none" w:sz="0" w:space="0" w:color="auto"/>
        <w:left w:val="none" w:sz="0" w:space="0" w:color="auto"/>
        <w:bottom w:val="none" w:sz="0" w:space="0" w:color="auto"/>
        <w:right w:val="none" w:sz="0" w:space="0" w:color="auto"/>
      </w:divBdr>
    </w:div>
    <w:div w:id="339478087">
      <w:bodyDiv w:val="1"/>
      <w:marLeft w:val="0"/>
      <w:marRight w:val="0"/>
      <w:marTop w:val="0"/>
      <w:marBottom w:val="0"/>
      <w:divBdr>
        <w:top w:val="none" w:sz="0" w:space="0" w:color="auto"/>
        <w:left w:val="none" w:sz="0" w:space="0" w:color="auto"/>
        <w:bottom w:val="none" w:sz="0" w:space="0" w:color="auto"/>
        <w:right w:val="none" w:sz="0" w:space="0" w:color="auto"/>
      </w:divBdr>
    </w:div>
    <w:div w:id="364716951">
      <w:bodyDiv w:val="1"/>
      <w:marLeft w:val="0"/>
      <w:marRight w:val="0"/>
      <w:marTop w:val="0"/>
      <w:marBottom w:val="0"/>
      <w:divBdr>
        <w:top w:val="none" w:sz="0" w:space="0" w:color="auto"/>
        <w:left w:val="none" w:sz="0" w:space="0" w:color="auto"/>
        <w:bottom w:val="none" w:sz="0" w:space="0" w:color="auto"/>
        <w:right w:val="none" w:sz="0" w:space="0" w:color="auto"/>
      </w:divBdr>
    </w:div>
    <w:div w:id="447286214">
      <w:bodyDiv w:val="1"/>
      <w:marLeft w:val="0"/>
      <w:marRight w:val="0"/>
      <w:marTop w:val="0"/>
      <w:marBottom w:val="0"/>
      <w:divBdr>
        <w:top w:val="none" w:sz="0" w:space="0" w:color="auto"/>
        <w:left w:val="none" w:sz="0" w:space="0" w:color="auto"/>
        <w:bottom w:val="none" w:sz="0" w:space="0" w:color="auto"/>
        <w:right w:val="none" w:sz="0" w:space="0" w:color="auto"/>
      </w:divBdr>
    </w:div>
    <w:div w:id="487356737">
      <w:bodyDiv w:val="1"/>
      <w:marLeft w:val="0"/>
      <w:marRight w:val="0"/>
      <w:marTop w:val="0"/>
      <w:marBottom w:val="0"/>
      <w:divBdr>
        <w:top w:val="none" w:sz="0" w:space="0" w:color="auto"/>
        <w:left w:val="none" w:sz="0" w:space="0" w:color="auto"/>
        <w:bottom w:val="none" w:sz="0" w:space="0" w:color="auto"/>
        <w:right w:val="none" w:sz="0" w:space="0" w:color="auto"/>
      </w:divBdr>
    </w:div>
    <w:div w:id="571890320">
      <w:bodyDiv w:val="1"/>
      <w:marLeft w:val="0"/>
      <w:marRight w:val="0"/>
      <w:marTop w:val="0"/>
      <w:marBottom w:val="0"/>
      <w:divBdr>
        <w:top w:val="none" w:sz="0" w:space="0" w:color="auto"/>
        <w:left w:val="none" w:sz="0" w:space="0" w:color="auto"/>
        <w:bottom w:val="none" w:sz="0" w:space="0" w:color="auto"/>
        <w:right w:val="none" w:sz="0" w:space="0" w:color="auto"/>
      </w:divBdr>
    </w:div>
    <w:div w:id="664166830">
      <w:bodyDiv w:val="1"/>
      <w:marLeft w:val="0"/>
      <w:marRight w:val="0"/>
      <w:marTop w:val="0"/>
      <w:marBottom w:val="0"/>
      <w:divBdr>
        <w:top w:val="none" w:sz="0" w:space="0" w:color="auto"/>
        <w:left w:val="none" w:sz="0" w:space="0" w:color="auto"/>
        <w:bottom w:val="none" w:sz="0" w:space="0" w:color="auto"/>
        <w:right w:val="none" w:sz="0" w:space="0" w:color="auto"/>
      </w:divBdr>
    </w:div>
    <w:div w:id="847408196">
      <w:bodyDiv w:val="1"/>
      <w:marLeft w:val="0"/>
      <w:marRight w:val="0"/>
      <w:marTop w:val="0"/>
      <w:marBottom w:val="0"/>
      <w:divBdr>
        <w:top w:val="none" w:sz="0" w:space="0" w:color="auto"/>
        <w:left w:val="none" w:sz="0" w:space="0" w:color="auto"/>
        <w:bottom w:val="none" w:sz="0" w:space="0" w:color="auto"/>
        <w:right w:val="none" w:sz="0" w:space="0" w:color="auto"/>
      </w:divBdr>
    </w:div>
    <w:div w:id="858855055">
      <w:bodyDiv w:val="1"/>
      <w:marLeft w:val="0"/>
      <w:marRight w:val="0"/>
      <w:marTop w:val="0"/>
      <w:marBottom w:val="0"/>
      <w:divBdr>
        <w:top w:val="none" w:sz="0" w:space="0" w:color="auto"/>
        <w:left w:val="none" w:sz="0" w:space="0" w:color="auto"/>
        <w:bottom w:val="none" w:sz="0" w:space="0" w:color="auto"/>
        <w:right w:val="none" w:sz="0" w:space="0" w:color="auto"/>
      </w:divBdr>
    </w:div>
    <w:div w:id="947395366">
      <w:bodyDiv w:val="1"/>
      <w:marLeft w:val="0"/>
      <w:marRight w:val="0"/>
      <w:marTop w:val="0"/>
      <w:marBottom w:val="0"/>
      <w:divBdr>
        <w:top w:val="none" w:sz="0" w:space="0" w:color="auto"/>
        <w:left w:val="none" w:sz="0" w:space="0" w:color="auto"/>
        <w:bottom w:val="none" w:sz="0" w:space="0" w:color="auto"/>
        <w:right w:val="none" w:sz="0" w:space="0" w:color="auto"/>
      </w:divBdr>
    </w:div>
    <w:div w:id="952129616">
      <w:bodyDiv w:val="1"/>
      <w:marLeft w:val="0"/>
      <w:marRight w:val="0"/>
      <w:marTop w:val="0"/>
      <w:marBottom w:val="0"/>
      <w:divBdr>
        <w:top w:val="none" w:sz="0" w:space="0" w:color="auto"/>
        <w:left w:val="none" w:sz="0" w:space="0" w:color="auto"/>
        <w:bottom w:val="none" w:sz="0" w:space="0" w:color="auto"/>
        <w:right w:val="none" w:sz="0" w:space="0" w:color="auto"/>
      </w:divBdr>
    </w:div>
    <w:div w:id="961500167">
      <w:bodyDiv w:val="1"/>
      <w:marLeft w:val="0"/>
      <w:marRight w:val="0"/>
      <w:marTop w:val="0"/>
      <w:marBottom w:val="0"/>
      <w:divBdr>
        <w:top w:val="none" w:sz="0" w:space="0" w:color="auto"/>
        <w:left w:val="none" w:sz="0" w:space="0" w:color="auto"/>
        <w:bottom w:val="none" w:sz="0" w:space="0" w:color="auto"/>
        <w:right w:val="none" w:sz="0" w:space="0" w:color="auto"/>
      </w:divBdr>
    </w:div>
    <w:div w:id="1004748962">
      <w:bodyDiv w:val="1"/>
      <w:marLeft w:val="0"/>
      <w:marRight w:val="0"/>
      <w:marTop w:val="0"/>
      <w:marBottom w:val="0"/>
      <w:divBdr>
        <w:top w:val="none" w:sz="0" w:space="0" w:color="auto"/>
        <w:left w:val="none" w:sz="0" w:space="0" w:color="auto"/>
        <w:bottom w:val="none" w:sz="0" w:space="0" w:color="auto"/>
        <w:right w:val="none" w:sz="0" w:space="0" w:color="auto"/>
      </w:divBdr>
    </w:div>
    <w:div w:id="1111585876">
      <w:bodyDiv w:val="1"/>
      <w:marLeft w:val="0"/>
      <w:marRight w:val="0"/>
      <w:marTop w:val="0"/>
      <w:marBottom w:val="0"/>
      <w:divBdr>
        <w:top w:val="none" w:sz="0" w:space="0" w:color="auto"/>
        <w:left w:val="none" w:sz="0" w:space="0" w:color="auto"/>
        <w:bottom w:val="none" w:sz="0" w:space="0" w:color="auto"/>
        <w:right w:val="none" w:sz="0" w:space="0" w:color="auto"/>
      </w:divBdr>
    </w:div>
    <w:div w:id="1138642357">
      <w:bodyDiv w:val="1"/>
      <w:marLeft w:val="0"/>
      <w:marRight w:val="0"/>
      <w:marTop w:val="0"/>
      <w:marBottom w:val="0"/>
      <w:divBdr>
        <w:top w:val="none" w:sz="0" w:space="0" w:color="auto"/>
        <w:left w:val="none" w:sz="0" w:space="0" w:color="auto"/>
        <w:bottom w:val="none" w:sz="0" w:space="0" w:color="auto"/>
        <w:right w:val="none" w:sz="0" w:space="0" w:color="auto"/>
      </w:divBdr>
      <w:divsChild>
        <w:div w:id="878708701">
          <w:marLeft w:val="0"/>
          <w:marRight w:val="0"/>
          <w:marTop w:val="0"/>
          <w:marBottom w:val="0"/>
          <w:divBdr>
            <w:top w:val="none" w:sz="0" w:space="0" w:color="auto"/>
            <w:left w:val="none" w:sz="0" w:space="0" w:color="auto"/>
            <w:bottom w:val="none" w:sz="0" w:space="0" w:color="auto"/>
            <w:right w:val="none" w:sz="0" w:space="0" w:color="auto"/>
          </w:divBdr>
        </w:div>
        <w:div w:id="571893972">
          <w:marLeft w:val="0"/>
          <w:marRight w:val="0"/>
          <w:marTop w:val="0"/>
          <w:marBottom w:val="0"/>
          <w:divBdr>
            <w:top w:val="none" w:sz="0" w:space="0" w:color="auto"/>
            <w:left w:val="none" w:sz="0" w:space="0" w:color="auto"/>
            <w:bottom w:val="none" w:sz="0" w:space="0" w:color="auto"/>
            <w:right w:val="none" w:sz="0" w:space="0" w:color="auto"/>
          </w:divBdr>
        </w:div>
      </w:divsChild>
    </w:div>
    <w:div w:id="1237589793">
      <w:bodyDiv w:val="1"/>
      <w:marLeft w:val="0"/>
      <w:marRight w:val="0"/>
      <w:marTop w:val="0"/>
      <w:marBottom w:val="0"/>
      <w:divBdr>
        <w:top w:val="none" w:sz="0" w:space="0" w:color="auto"/>
        <w:left w:val="none" w:sz="0" w:space="0" w:color="auto"/>
        <w:bottom w:val="none" w:sz="0" w:space="0" w:color="auto"/>
        <w:right w:val="none" w:sz="0" w:space="0" w:color="auto"/>
      </w:divBdr>
      <w:divsChild>
        <w:div w:id="1028219734">
          <w:marLeft w:val="0"/>
          <w:marRight w:val="0"/>
          <w:marTop w:val="0"/>
          <w:marBottom w:val="0"/>
          <w:divBdr>
            <w:top w:val="none" w:sz="0" w:space="0" w:color="auto"/>
            <w:left w:val="none" w:sz="0" w:space="0" w:color="auto"/>
            <w:bottom w:val="none" w:sz="0" w:space="0" w:color="auto"/>
            <w:right w:val="none" w:sz="0" w:space="0" w:color="auto"/>
          </w:divBdr>
        </w:div>
        <w:div w:id="132914447">
          <w:marLeft w:val="0"/>
          <w:marRight w:val="0"/>
          <w:marTop w:val="0"/>
          <w:marBottom w:val="0"/>
          <w:divBdr>
            <w:top w:val="none" w:sz="0" w:space="0" w:color="auto"/>
            <w:left w:val="none" w:sz="0" w:space="0" w:color="auto"/>
            <w:bottom w:val="none" w:sz="0" w:space="0" w:color="auto"/>
            <w:right w:val="none" w:sz="0" w:space="0" w:color="auto"/>
          </w:divBdr>
        </w:div>
      </w:divsChild>
    </w:div>
    <w:div w:id="1244534261">
      <w:bodyDiv w:val="1"/>
      <w:marLeft w:val="0"/>
      <w:marRight w:val="0"/>
      <w:marTop w:val="0"/>
      <w:marBottom w:val="0"/>
      <w:divBdr>
        <w:top w:val="none" w:sz="0" w:space="0" w:color="auto"/>
        <w:left w:val="none" w:sz="0" w:space="0" w:color="auto"/>
        <w:bottom w:val="none" w:sz="0" w:space="0" w:color="auto"/>
        <w:right w:val="none" w:sz="0" w:space="0" w:color="auto"/>
      </w:divBdr>
    </w:div>
    <w:div w:id="1315647164">
      <w:bodyDiv w:val="1"/>
      <w:marLeft w:val="0"/>
      <w:marRight w:val="0"/>
      <w:marTop w:val="0"/>
      <w:marBottom w:val="0"/>
      <w:divBdr>
        <w:top w:val="none" w:sz="0" w:space="0" w:color="auto"/>
        <w:left w:val="none" w:sz="0" w:space="0" w:color="auto"/>
        <w:bottom w:val="none" w:sz="0" w:space="0" w:color="auto"/>
        <w:right w:val="none" w:sz="0" w:space="0" w:color="auto"/>
      </w:divBdr>
    </w:div>
    <w:div w:id="1328510117">
      <w:bodyDiv w:val="1"/>
      <w:marLeft w:val="0"/>
      <w:marRight w:val="0"/>
      <w:marTop w:val="0"/>
      <w:marBottom w:val="0"/>
      <w:divBdr>
        <w:top w:val="none" w:sz="0" w:space="0" w:color="auto"/>
        <w:left w:val="none" w:sz="0" w:space="0" w:color="auto"/>
        <w:bottom w:val="none" w:sz="0" w:space="0" w:color="auto"/>
        <w:right w:val="none" w:sz="0" w:space="0" w:color="auto"/>
      </w:divBdr>
    </w:div>
    <w:div w:id="1347638918">
      <w:bodyDiv w:val="1"/>
      <w:marLeft w:val="0"/>
      <w:marRight w:val="0"/>
      <w:marTop w:val="0"/>
      <w:marBottom w:val="0"/>
      <w:divBdr>
        <w:top w:val="none" w:sz="0" w:space="0" w:color="auto"/>
        <w:left w:val="none" w:sz="0" w:space="0" w:color="auto"/>
        <w:bottom w:val="none" w:sz="0" w:space="0" w:color="auto"/>
        <w:right w:val="none" w:sz="0" w:space="0" w:color="auto"/>
      </w:divBdr>
    </w:div>
    <w:div w:id="1374891407">
      <w:bodyDiv w:val="1"/>
      <w:marLeft w:val="0"/>
      <w:marRight w:val="0"/>
      <w:marTop w:val="0"/>
      <w:marBottom w:val="0"/>
      <w:divBdr>
        <w:top w:val="none" w:sz="0" w:space="0" w:color="auto"/>
        <w:left w:val="none" w:sz="0" w:space="0" w:color="auto"/>
        <w:bottom w:val="none" w:sz="0" w:space="0" w:color="auto"/>
        <w:right w:val="none" w:sz="0" w:space="0" w:color="auto"/>
      </w:divBdr>
    </w:div>
    <w:div w:id="1417557105">
      <w:bodyDiv w:val="1"/>
      <w:marLeft w:val="0"/>
      <w:marRight w:val="0"/>
      <w:marTop w:val="0"/>
      <w:marBottom w:val="0"/>
      <w:divBdr>
        <w:top w:val="none" w:sz="0" w:space="0" w:color="auto"/>
        <w:left w:val="none" w:sz="0" w:space="0" w:color="auto"/>
        <w:bottom w:val="none" w:sz="0" w:space="0" w:color="auto"/>
        <w:right w:val="none" w:sz="0" w:space="0" w:color="auto"/>
      </w:divBdr>
    </w:div>
    <w:div w:id="1486707368">
      <w:bodyDiv w:val="1"/>
      <w:marLeft w:val="0"/>
      <w:marRight w:val="0"/>
      <w:marTop w:val="0"/>
      <w:marBottom w:val="0"/>
      <w:divBdr>
        <w:top w:val="none" w:sz="0" w:space="0" w:color="auto"/>
        <w:left w:val="none" w:sz="0" w:space="0" w:color="auto"/>
        <w:bottom w:val="none" w:sz="0" w:space="0" w:color="auto"/>
        <w:right w:val="none" w:sz="0" w:space="0" w:color="auto"/>
      </w:divBdr>
    </w:div>
    <w:div w:id="1519853595">
      <w:bodyDiv w:val="1"/>
      <w:marLeft w:val="0"/>
      <w:marRight w:val="0"/>
      <w:marTop w:val="0"/>
      <w:marBottom w:val="0"/>
      <w:divBdr>
        <w:top w:val="none" w:sz="0" w:space="0" w:color="auto"/>
        <w:left w:val="none" w:sz="0" w:space="0" w:color="auto"/>
        <w:bottom w:val="none" w:sz="0" w:space="0" w:color="auto"/>
        <w:right w:val="none" w:sz="0" w:space="0" w:color="auto"/>
      </w:divBdr>
      <w:divsChild>
        <w:div w:id="1464225953">
          <w:marLeft w:val="0"/>
          <w:marRight w:val="0"/>
          <w:marTop w:val="0"/>
          <w:marBottom w:val="0"/>
          <w:divBdr>
            <w:top w:val="none" w:sz="0" w:space="0" w:color="auto"/>
            <w:left w:val="none" w:sz="0" w:space="0" w:color="auto"/>
            <w:bottom w:val="none" w:sz="0" w:space="0" w:color="auto"/>
            <w:right w:val="none" w:sz="0" w:space="0" w:color="auto"/>
          </w:divBdr>
          <w:divsChild>
            <w:div w:id="18049547">
              <w:marLeft w:val="0"/>
              <w:marRight w:val="0"/>
              <w:marTop w:val="0"/>
              <w:marBottom w:val="0"/>
              <w:divBdr>
                <w:top w:val="none" w:sz="0" w:space="0" w:color="auto"/>
                <w:left w:val="none" w:sz="0" w:space="0" w:color="auto"/>
                <w:bottom w:val="none" w:sz="0" w:space="0" w:color="auto"/>
                <w:right w:val="none" w:sz="0" w:space="0" w:color="auto"/>
              </w:divBdr>
              <w:divsChild>
                <w:div w:id="377169405">
                  <w:marLeft w:val="0"/>
                  <w:marRight w:val="0"/>
                  <w:marTop w:val="0"/>
                  <w:marBottom w:val="0"/>
                  <w:divBdr>
                    <w:top w:val="single" w:sz="2" w:space="0" w:color="CED4D7"/>
                    <w:left w:val="single" w:sz="6" w:space="0" w:color="CED4D7"/>
                    <w:bottom w:val="single" w:sz="6" w:space="0" w:color="CED4D7"/>
                    <w:right w:val="single" w:sz="6" w:space="0" w:color="CED4D7"/>
                  </w:divBdr>
                  <w:divsChild>
                    <w:div w:id="1422677439">
                      <w:marLeft w:val="0"/>
                      <w:marRight w:val="0"/>
                      <w:marTop w:val="0"/>
                      <w:marBottom w:val="0"/>
                      <w:divBdr>
                        <w:top w:val="none" w:sz="0" w:space="0" w:color="auto"/>
                        <w:left w:val="none" w:sz="0" w:space="0" w:color="auto"/>
                        <w:bottom w:val="none" w:sz="0" w:space="0" w:color="auto"/>
                        <w:right w:val="none" w:sz="0" w:space="0" w:color="auto"/>
                      </w:divBdr>
                      <w:divsChild>
                        <w:div w:id="321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61159">
      <w:bodyDiv w:val="1"/>
      <w:marLeft w:val="0"/>
      <w:marRight w:val="0"/>
      <w:marTop w:val="0"/>
      <w:marBottom w:val="0"/>
      <w:divBdr>
        <w:top w:val="none" w:sz="0" w:space="0" w:color="auto"/>
        <w:left w:val="none" w:sz="0" w:space="0" w:color="auto"/>
        <w:bottom w:val="none" w:sz="0" w:space="0" w:color="auto"/>
        <w:right w:val="none" w:sz="0" w:space="0" w:color="auto"/>
      </w:divBdr>
    </w:div>
    <w:div w:id="1713455617">
      <w:bodyDiv w:val="1"/>
      <w:marLeft w:val="0"/>
      <w:marRight w:val="0"/>
      <w:marTop w:val="0"/>
      <w:marBottom w:val="0"/>
      <w:divBdr>
        <w:top w:val="none" w:sz="0" w:space="0" w:color="auto"/>
        <w:left w:val="none" w:sz="0" w:space="0" w:color="auto"/>
        <w:bottom w:val="none" w:sz="0" w:space="0" w:color="auto"/>
        <w:right w:val="none" w:sz="0" w:space="0" w:color="auto"/>
      </w:divBdr>
    </w:div>
    <w:div w:id="1745178167">
      <w:bodyDiv w:val="1"/>
      <w:marLeft w:val="0"/>
      <w:marRight w:val="0"/>
      <w:marTop w:val="0"/>
      <w:marBottom w:val="0"/>
      <w:divBdr>
        <w:top w:val="none" w:sz="0" w:space="0" w:color="auto"/>
        <w:left w:val="none" w:sz="0" w:space="0" w:color="auto"/>
        <w:bottom w:val="none" w:sz="0" w:space="0" w:color="auto"/>
        <w:right w:val="none" w:sz="0" w:space="0" w:color="auto"/>
      </w:divBdr>
      <w:divsChild>
        <w:div w:id="317730862">
          <w:marLeft w:val="0"/>
          <w:marRight w:val="0"/>
          <w:marTop w:val="0"/>
          <w:marBottom w:val="0"/>
          <w:divBdr>
            <w:top w:val="none" w:sz="0" w:space="0" w:color="auto"/>
            <w:left w:val="none" w:sz="0" w:space="0" w:color="auto"/>
            <w:bottom w:val="none" w:sz="0" w:space="0" w:color="auto"/>
            <w:right w:val="none" w:sz="0" w:space="0" w:color="auto"/>
          </w:divBdr>
          <w:divsChild>
            <w:div w:id="1645818427">
              <w:marLeft w:val="0"/>
              <w:marRight w:val="0"/>
              <w:marTop w:val="0"/>
              <w:marBottom w:val="0"/>
              <w:divBdr>
                <w:top w:val="none" w:sz="0" w:space="0" w:color="auto"/>
                <w:left w:val="none" w:sz="0" w:space="0" w:color="auto"/>
                <w:bottom w:val="none" w:sz="0" w:space="0" w:color="auto"/>
                <w:right w:val="none" w:sz="0" w:space="0" w:color="auto"/>
              </w:divBdr>
              <w:divsChild>
                <w:div w:id="304235731">
                  <w:marLeft w:val="0"/>
                  <w:marRight w:val="0"/>
                  <w:marTop w:val="0"/>
                  <w:marBottom w:val="0"/>
                  <w:divBdr>
                    <w:top w:val="none" w:sz="0" w:space="0" w:color="auto"/>
                    <w:left w:val="none" w:sz="0" w:space="0" w:color="auto"/>
                    <w:bottom w:val="none" w:sz="0" w:space="0" w:color="auto"/>
                    <w:right w:val="none" w:sz="0" w:space="0" w:color="auto"/>
                  </w:divBdr>
                  <w:divsChild>
                    <w:div w:id="436949578">
                      <w:marLeft w:val="0"/>
                      <w:marRight w:val="0"/>
                      <w:marTop w:val="0"/>
                      <w:marBottom w:val="0"/>
                      <w:divBdr>
                        <w:top w:val="none" w:sz="0" w:space="0" w:color="auto"/>
                        <w:left w:val="none" w:sz="0" w:space="0" w:color="auto"/>
                        <w:bottom w:val="none" w:sz="0" w:space="0" w:color="auto"/>
                        <w:right w:val="none" w:sz="0" w:space="0" w:color="auto"/>
                      </w:divBdr>
                      <w:divsChild>
                        <w:div w:id="1563755050">
                          <w:marLeft w:val="0"/>
                          <w:marRight w:val="0"/>
                          <w:marTop w:val="0"/>
                          <w:marBottom w:val="0"/>
                          <w:divBdr>
                            <w:top w:val="none" w:sz="0" w:space="0" w:color="auto"/>
                            <w:left w:val="none" w:sz="0" w:space="0" w:color="auto"/>
                            <w:bottom w:val="none" w:sz="0" w:space="0" w:color="auto"/>
                            <w:right w:val="none" w:sz="0" w:space="0" w:color="auto"/>
                          </w:divBdr>
                          <w:divsChild>
                            <w:div w:id="1532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4698">
      <w:bodyDiv w:val="1"/>
      <w:marLeft w:val="0"/>
      <w:marRight w:val="0"/>
      <w:marTop w:val="0"/>
      <w:marBottom w:val="0"/>
      <w:divBdr>
        <w:top w:val="none" w:sz="0" w:space="0" w:color="auto"/>
        <w:left w:val="none" w:sz="0" w:space="0" w:color="auto"/>
        <w:bottom w:val="none" w:sz="0" w:space="0" w:color="auto"/>
        <w:right w:val="none" w:sz="0" w:space="0" w:color="auto"/>
      </w:divBdr>
    </w:div>
    <w:div w:id="1770660167">
      <w:bodyDiv w:val="1"/>
      <w:marLeft w:val="0"/>
      <w:marRight w:val="0"/>
      <w:marTop w:val="0"/>
      <w:marBottom w:val="0"/>
      <w:divBdr>
        <w:top w:val="none" w:sz="0" w:space="0" w:color="auto"/>
        <w:left w:val="none" w:sz="0" w:space="0" w:color="auto"/>
        <w:bottom w:val="none" w:sz="0" w:space="0" w:color="auto"/>
        <w:right w:val="none" w:sz="0" w:space="0" w:color="auto"/>
      </w:divBdr>
    </w:div>
    <w:div w:id="1772510005">
      <w:bodyDiv w:val="1"/>
      <w:marLeft w:val="0"/>
      <w:marRight w:val="0"/>
      <w:marTop w:val="0"/>
      <w:marBottom w:val="0"/>
      <w:divBdr>
        <w:top w:val="none" w:sz="0" w:space="0" w:color="auto"/>
        <w:left w:val="none" w:sz="0" w:space="0" w:color="auto"/>
        <w:bottom w:val="none" w:sz="0" w:space="0" w:color="auto"/>
        <w:right w:val="none" w:sz="0" w:space="0" w:color="auto"/>
      </w:divBdr>
    </w:div>
    <w:div w:id="1865703190">
      <w:bodyDiv w:val="1"/>
      <w:marLeft w:val="0"/>
      <w:marRight w:val="0"/>
      <w:marTop w:val="0"/>
      <w:marBottom w:val="0"/>
      <w:divBdr>
        <w:top w:val="none" w:sz="0" w:space="0" w:color="auto"/>
        <w:left w:val="none" w:sz="0" w:space="0" w:color="auto"/>
        <w:bottom w:val="none" w:sz="0" w:space="0" w:color="auto"/>
        <w:right w:val="none" w:sz="0" w:space="0" w:color="auto"/>
      </w:divBdr>
      <w:divsChild>
        <w:div w:id="968514923">
          <w:marLeft w:val="0"/>
          <w:marRight w:val="0"/>
          <w:marTop w:val="0"/>
          <w:marBottom w:val="0"/>
          <w:divBdr>
            <w:top w:val="none" w:sz="0" w:space="0" w:color="auto"/>
            <w:left w:val="none" w:sz="0" w:space="0" w:color="auto"/>
            <w:bottom w:val="none" w:sz="0" w:space="0" w:color="auto"/>
            <w:right w:val="none" w:sz="0" w:space="0" w:color="auto"/>
          </w:divBdr>
        </w:div>
        <w:div w:id="134878182">
          <w:marLeft w:val="0"/>
          <w:marRight w:val="0"/>
          <w:marTop w:val="0"/>
          <w:marBottom w:val="0"/>
          <w:divBdr>
            <w:top w:val="none" w:sz="0" w:space="0" w:color="auto"/>
            <w:left w:val="none" w:sz="0" w:space="0" w:color="auto"/>
            <w:bottom w:val="none" w:sz="0" w:space="0" w:color="auto"/>
            <w:right w:val="none" w:sz="0" w:space="0" w:color="auto"/>
          </w:divBdr>
        </w:div>
      </w:divsChild>
    </w:div>
    <w:div w:id="1967999553">
      <w:bodyDiv w:val="1"/>
      <w:marLeft w:val="0"/>
      <w:marRight w:val="0"/>
      <w:marTop w:val="0"/>
      <w:marBottom w:val="0"/>
      <w:divBdr>
        <w:top w:val="none" w:sz="0" w:space="0" w:color="auto"/>
        <w:left w:val="none" w:sz="0" w:space="0" w:color="auto"/>
        <w:bottom w:val="none" w:sz="0" w:space="0" w:color="auto"/>
        <w:right w:val="none" w:sz="0" w:space="0" w:color="auto"/>
      </w:divBdr>
      <w:divsChild>
        <w:div w:id="122383517">
          <w:marLeft w:val="0"/>
          <w:marRight w:val="0"/>
          <w:marTop w:val="0"/>
          <w:marBottom w:val="0"/>
          <w:divBdr>
            <w:top w:val="none" w:sz="0" w:space="0" w:color="auto"/>
            <w:left w:val="none" w:sz="0" w:space="0" w:color="auto"/>
            <w:bottom w:val="none" w:sz="0" w:space="0" w:color="auto"/>
            <w:right w:val="none" w:sz="0" w:space="0" w:color="auto"/>
          </w:divBdr>
          <w:divsChild>
            <w:div w:id="220213902">
              <w:marLeft w:val="0"/>
              <w:marRight w:val="0"/>
              <w:marTop w:val="0"/>
              <w:marBottom w:val="0"/>
              <w:divBdr>
                <w:top w:val="none" w:sz="0" w:space="0" w:color="auto"/>
                <w:left w:val="none" w:sz="0" w:space="0" w:color="auto"/>
                <w:bottom w:val="none" w:sz="0" w:space="0" w:color="auto"/>
                <w:right w:val="none" w:sz="0" w:space="0" w:color="auto"/>
              </w:divBdr>
              <w:divsChild>
                <w:div w:id="1909149432">
                  <w:marLeft w:val="0"/>
                  <w:marRight w:val="0"/>
                  <w:marTop w:val="0"/>
                  <w:marBottom w:val="0"/>
                  <w:divBdr>
                    <w:top w:val="single" w:sz="2" w:space="0" w:color="CED4D7"/>
                    <w:left w:val="single" w:sz="6" w:space="0" w:color="CED4D7"/>
                    <w:bottom w:val="single" w:sz="6" w:space="0" w:color="CED4D7"/>
                    <w:right w:val="single" w:sz="6" w:space="0" w:color="CED4D7"/>
                  </w:divBdr>
                  <w:divsChild>
                    <w:div w:id="1816798660">
                      <w:marLeft w:val="0"/>
                      <w:marRight w:val="0"/>
                      <w:marTop w:val="0"/>
                      <w:marBottom w:val="0"/>
                      <w:divBdr>
                        <w:top w:val="none" w:sz="0" w:space="0" w:color="auto"/>
                        <w:left w:val="none" w:sz="0" w:space="0" w:color="auto"/>
                        <w:bottom w:val="none" w:sz="0" w:space="0" w:color="auto"/>
                        <w:right w:val="none" w:sz="0" w:space="0" w:color="auto"/>
                      </w:divBdr>
                      <w:divsChild>
                        <w:div w:id="2138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96184">
      <w:bodyDiv w:val="1"/>
      <w:marLeft w:val="0"/>
      <w:marRight w:val="0"/>
      <w:marTop w:val="0"/>
      <w:marBottom w:val="0"/>
      <w:divBdr>
        <w:top w:val="none" w:sz="0" w:space="0" w:color="auto"/>
        <w:left w:val="none" w:sz="0" w:space="0" w:color="auto"/>
        <w:bottom w:val="none" w:sz="0" w:space="0" w:color="auto"/>
        <w:right w:val="none" w:sz="0" w:space="0" w:color="auto"/>
      </w:divBdr>
    </w:div>
    <w:div w:id="21122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likumi.lv/doc.php?id=286714"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png"/><Relationship Id="rId28" Type="http://schemas.openxmlformats.org/officeDocument/2006/relationships/hyperlink" Target="https://likumi.lv/ta/id/297990-samaksas-noteikumi-valsts-akciju-sabiedribai-celu-satiksmes-drosibas-direkcija-par-delegeto-valsts-parvaldes-uzdevumu-izpildi" TargetMode="External"/><Relationship Id="rId10" Type="http://schemas.openxmlformats.org/officeDocument/2006/relationships/hyperlink" Target="https://likumi.lv/ta/id/89648-latvijas-administrativo-parkapumu-kodekss" TargetMode="External"/><Relationship Id="rId19" Type="http://schemas.openxmlformats.org/officeDocument/2006/relationships/hyperlink" Target="https://www.google.lv/url?sa=i&amp;rct=j&amp;q=&amp;esrc=s&amp;source=images&amp;cd=&amp;cad=rja&amp;uact=8&amp;ved=2ahUKEwjFl6K9gbXdAhVBFiwKHScRAxMQjRx6BAgBEAU&amp;url=https://play.google.com/store/apps/details?id%3Dcom.wildroid.volume.control.buttons%26hl%3Dlv&amp;psig=AOvVaw3bETZoAzbhHOlXtGl6ji31&amp;ust=153682605045623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45467" TargetMode="External"/><Relationship Id="rId14" Type="http://schemas.openxmlformats.org/officeDocument/2006/relationships/chart" Target="charts/chart4.xml"/><Relationship Id="rId22" Type="http://schemas.openxmlformats.org/officeDocument/2006/relationships/image" Target="media/image3.jpeg"/><Relationship Id="rId27" Type="http://schemas.openxmlformats.org/officeDocument/2006/relationships/hyperlink" Target="https://likumi.lv/doc.php?id=286714"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02431-kartiba-kada-tiek-noteikta-un-ieskaitita-valsts-budzeta-izmaksajama-pelnas-dala-par-valsts-kapitala-izmantosanu" TargetMode="External"/><Relationship Id="rId2" Type="http://schemas.openxmlformats.org/officeDocument/2006/relationships/hyperlink" Target="http://europa.eu/rapid/press-release_MEMO-18-2762_en.htm" TargetMode="External"/><Relationship Id="rId1" Type="http://schemas.openxmlformats.org/officeDocument/2006/relationships/hyperlink" Target="https://intranet.vp.gov.lv/page/personals" TargetMode="External"/><Relationship Id="rId4" Type="http://schemas.openxmlformats.org/officeDocument/2006/relationships/hyperlink" Target="https://likumi.lv/ta/id/277779-gada-parskatu-un-konsolideto-gada-parskatu-likum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2015.gadā</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615781021593348E-2"/>
          <c:y val="0.25974700360730768"/>
          <c:w val="0.89973569737349268"/>
          <c:h val="0.30512053450215276"/>
        </c:manualLayout>
      </c:layout>
      <c:bar3DChart>
        <c:barDir val="col"/>
        <c:grouping val="clustered"/>
        <c:varyColors val="0"/>
        <c:ser>
          <c:idx val="2"/>
          <c:order val="0"/>
          <c:tx>
            <c:strRef>
              <c:f>Sheet1!$B$1</c:f>
              <c:strCache>
                <c:ptCount val="1"/>
                <c:pt idx="0">
                  <c:v>Rīgas reģionā </c:v>
                </c:pt>
              </c:strCache>
            </c:strRef>
          </c:tx>
          <c:spPr>
            <a:solidFill>
              <a:schemeClr val="accent3"/>
            </a:solidFill>
            <a:ln>
              <a:noFill/>
            </a:ln>
            <a:effectLst/>
            <a:sp3d/>
          </c:spPr>
          <c:invertIfNegative val="0"/>
          <c:dLbls>
            <c:dLbl>
              <c:idx val="0"/>
              <c:layout>
                <c:manualLayout>
                  <c:x val="1.6939189830186888E-2"/>
                  <c:y val="-0.1000099713871890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52960406828905E-2"/>
                  <c:y val="-4.43458980044346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648020341446583E-3"/>
                  <c:y val="-3.10421286031042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General</c:formatCode>
                <c:ptCount val="3"/>
                <c:pt idx="0">
                  <c:v>14</c:v>
                </c:pt>
                <c:pt idx="1">
                  <c:v>37936</c:v>
                </c:pt>
                <c:pt idx="2">
                  <c:v>2710</c:v>
                </c:pt>
              </c:numCache>
            </c:numRef>
          </c:val>
          <c:shape val="cylinder"/>
        </c:ser>
        <c:ser>
          <c:idx val="4"/>
          <c:order val="1"/>
          <c:tx>
            <c:strRef>
              <c:f>Sheet1!$C$1</c:f>
              <c:strCache>
                <c:ptCount val="1"/>
                <c:pt idx="0">
                  <c:v>Zemgales reģionā </c:v>
                </c:pt>
              </c:strCache>
            </c:strRef>
          </c:tx>
          <c:spPr>
            <a:solidFill>
              <a:schemeClr val="accent5"/>
            </a:solidFill>
            <a:ln>
              <a:noFill/>
            </a:ln>
            <a:effectLst/>
            <a:sp3d/>
          </c:spPr>
          <c:invertIfNegative val="0"/>
          <c:dLbls>
            <c:dLbl>
              <c:idx val="0"/>
              <c:layout>
                <c:manualLayout>
                  <c:x val="2.179440610243371E-2"/>
                  <c:y val="-4.43458980044345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80808814626469E-2"/>
                  <c:y val="-4.4345898004434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059208136578189E-2"/>
                  <c:y val="-4.4345898004434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General</c:formatCode>
                <c:ptCount val="3"/>
                <c:pt idx="0">
                  <c:v>2</c:v>
                </c:pt>
                <c:pt idx="1">
                  <c:v>11730</c:v>
                </c:pt>
                <c:pt idx="2">
                  <c:v>5865</c:v>
                </c:pt>
              </c:numCache>
            </c:numRef>
          </c:val>
          <c:shape val="cylinder"/>
        </c:ser>
        <c:dLbls>
          <c:showLegendKey val="0"/>
          <c:showVal val="1"/>
          <c:showCatName val="0"/>
          <c:showSerName val="0"/>
          <c:showPercent val="0"/>
          <c:showBubbleSize val="0"/>
        </c:dLbls>
        <c:gapWidth val="150"/>
        <c:shape val="box"/>
        <c:axId val="490257728"/>
        <c:axId val="490250672"/>
        <c:axId val="0"/>
      </c:bar3DChart>
      <c:catAx>
        <c:axId val="490257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0672"/>
        <c:crosses val="autoZero"/>
        <c:auto val="1"/>
        <c:lblAlgn val="ctr"/>
        <c:lblOffset val="100"/>
        <c:noMultiLvlLbl val="0"/>
      </c:catAx>
      <c:valAx>
        <c:axId val="49025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2016.gadā</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718192469383846E-2"/>
          <c:y val="0.13846153846153847"/>
          <c:w val="0.87189259452463841"/>
          <c:h val="0.48440393041873958"/>
        </c:manualLayout>
      </c:layout>
      <c:bar3DChart>
        <c:barDir val="col"/>
        <c:grouping val="clustered"/>
        <c:varyColors val="0"/>
        <c:ser>
          <c:idx val="4"/>
          <c:order val="0"/>
          <c:tx>
            <c:strRef>
              <c:f>Sheet1!$F$1</c:f>
              <c:strCache>
                <c:ptCount val="1"/>
                <c:pt idx="0">
                  <c:v>Rīgas reģionā</c:v>
                </c:pt>
              </c:strCache>
            </c:strRef>
          </c:tx>
          <c:spPr>
            <a:solidFill>
              <a:schemeClr val="accent5"/>
            </a:solidFill>
            <a:ln>
              <a:noFill/>
            </a:ln>
            <a:effectLst/>
            <a:sp3d/>
          </c:spPr>
          <c:invertIfNegative val="0"/>
          <c:dLbls>
            <c:dLbl>
              <c:idx val="0"/>
              <c:layout>
                <c:manualLayout>
                  <c:x val="0"/>
                  <c:y val="-0.124634858812074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27535355977275E-2"/>
                  <c:y val="-1.55793573515092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505016318143358E-2"/>
                  <c:y val="-4.67380720545278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Sheet1!$F$2:$F$4</c:f>
              <c:numCache>
                <c:formatCode>General</c:formatCode>
                <c:ptCount val="3"/>
                <c:pt idx="0">
                  <c:v>24</c:v>
                </c:pt>
                <c:pt idx="1">
                  <c:v>77577</c:v>
                </c:pt>
                <c:pt idx="2">
                  <c:v>3232</c:v>
                </c:pt>
              </c:numCache>
            </c:numRef>
          </c:val>
          <c:shape val="cylinder"/>
        </c:ser>
        <c:ser>
          <c:idx val="2"/>
          <c:order val="1"/>
          <c:tx>
            <c:strRef>
              <c:f>Sheet1!$E$1</c:f>
              <c:strCache>
                <c:ptCount val="1"/>
                <c:pt idx="0">
                  <c:v>Zemgales reģionā </c:v>
                </c:pt>
              </c:strCache>
            </c:strRef>
          </c:tx>
          <c:spPr>
            <a:solidFill>
              <a:schemeClr val="accent3"/>
            </a:solidFill>
            <a:ln>
              <a:noFill/>
            </a:ln>
            <a:effectLst/>
            <a:sp3d/>
          </c:spPr>
          <c:invertIfNegative val="0"/>
          <c:dLbls>
            <c:dLbl>
              <c:idx val="0"/>
              <c:layout>
                <c:manualLayout>
                  <c:x val="0"/>
                  <c:y val="-3.11587147030185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84809691562391E-2"/>
                  <c:y val="-0.2031977893453695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075943849216355E-3"/>
                  <c:y val="-9.62727614257565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Sheet1!$E$2:$E$4</c:f>
              <c:numCache>
                <c:formatCode>0</c:formatCode>
                <c:ptCount val="3"/>
                <c:pt idx="0" formatCode="General">
                  <c:v>4</c:v>
                </c:pt>
                <c:pt idx="1">
                  <c:v>15443</c:v>
                </c:pt>
                <c:pt idx="2" formatCode="General">
                  <c:v>3860</c:v>
                </c:pt>
              </c:numCache>
            </c:numRef>
          </c:val>
          <c:shape val="cylinder"/>
        </c:ser>
        <c:ser>
          <c:idx val="3"/>
          <c:order val="2"/>
          <c:tx>
            <c:strRef>
              <c:f>Sheet1!$D$1</c:f>
              <c:strCache>
                <c:ptCount val="1"/>
                <c:pt idx="0">
                  <c:v>Vidzemes reģionā </c:v>
                </c:pt>
              </c:strCache>
            </c:strRef>
          </c:tx>
          <c:spPr>
            <a:solidFill>
              <a:schemeClr val="accent4"/>
            </a:solidFill>
            <a:ln>
              <a:noFill/>
            </a:ln>
            <a:effectLst/>
            <a:sp3d/>
          </c:spPr>
          <c:invertIfNegative val="0"/>
          <c:dLbls>
            <c:dLbl>
              <c:idx val="0"/>
              <c:layout>
                <c:manualLayout>
                  <c:x val="-2.4175027196905595E-3"/>
                  <c:y val="-8.56864654333009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197937248345338E-2"/>
                  <c:y val="-0.1391011596876750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525081590715905E-3"/>
                  <c:y val="-5.84225900681597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Sheet1!$D$2:$D$4</c:f>
              <c:numCache>
                <c:formatCode>0</c:formatCode>
                <c:ptCount val="3"/>
                <c:pt idx="0" formatCode="General">
                  <c:v>6</c:v>
                </c:pt>
                <c:pt idx="1">
                  <c:v>5929</c:v>
                </c:pt>
                <c:pt idx="2" formatCode="General">
                  <c:v>988</c:v>
                </c:pt>
              </c:numCache>
            </c:numRef>
          </c:val>
          <c:shape val="cylinder"/>
        </c:ser>
        <c:ser>
          <c:idx val="0"/>
          <c:order val="3"/>
          <c:tx>
            <c:strRef>
              <c:f>Sheet1!$B$1</c:f>
              <c:strCache>
                <c:ptCount val="1"/>
                <c:pt idx="0">
                  <c:v>Kurzemes reģionā </c:v>
                </c:pt>
              </c:strCache>
            </c:strRef>
          </c:tx>
          <c:spPr>
            <a:solidFill>
              <a:schemeClr val="accent1"/>
            </a:solidFill>
            <a:ln>
              <a:noFill/>
            </a:ln>
            <a:effectLst/>
            <a:sp3d/>
          </c:spPr>
          <c:invertIfNegative val="0"/>
          <c:dLbls>
            <c:dLbl>
              <c:idx val="0"/>
              <c:layout>
                <c:manualLayout>
                  <c:x val="0"/>
                  <c:y val="-1.94741966893865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27535355977275E-2"/>
                  <c:y val="-6.23174294060370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175027196905598E-2"/>
                  <c:y val="-3.11587147030185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0</c:formatCode>
                <c:ptCount val="3"/>
                <c:pt idx="0" formatCode="General">
                  <c:v>4</c:v>
                </c:pt>
                <c:pt idx="1">
                  <c:v>2968</c:v>
                </c:pt>
                <c:pt idx="2" formatCode="General">
                  <c:v>742</c:v>
                </c:pt>
              </c:numCache>
            </c:numRef>
          </c:val>
          <c:shape val="cylinder"/>
        </c:ser>
        <c:ser>
          <c:idx val="1"/>
          <c:order val="4"/>
          <c:tx>
            <c:strRef>
              <c:f>Sheet1!$C$1</c:f>
              <c:strCache>
                <c:ptCount val="1"/>
                <c:pt idx="0">
                  <c:v>Latgales reģionā 2</c:v>
                </c:pt>
              </c:strCache>
            </c:strRef>
          </c:tx>
          <c:spPr>
            <a:solidFill>
              <a:schemeClr val="accent2"/>
            </a:solidFill>
            <a:ln>
              <a:noFill/>
            </a:ln>
            <a:effectLst/>
            <a:sp3d/>
          </c:spPr>
          <c:invertIfNegative val="0"/>
          <c:dLbls>
            <c:dLbl>
              <c:idx val="0"/>
              <c:layout>
                <c:manualLayout>
                  <c:x val="7.2525081590716347E-3"/>
                  <c:y val="-1.55793573515092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92529916596157E-2"/>
                  <c:y val="-1.94741966893866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097546234739511E-2"/>
                  <c:y val="-1.16845180136320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0</c:formatCode>
                <c:ptCount val="3"/>
                <c:pt idx="0" formatCode="General">
                  <c:v>2</c:v>
                </c:pt>
                <c:pt idx="1">
                  <c:v>144</c:v>
                </c:pt>
                <c:pt idx="2" formatCode="General">
                  <c:v>72</c:v>
                </c:pt>
              </c:numCache>
            </c:numRef>
          </c:val>
          <c:shape val="cylinder"/>
        </c:ser>
        <c:dLbls>
          <c:showLegendKey val="0"/>
          <c:showVal val="1"/>
          <c:showCatName val="0"/>
          <c:showSerName val="0"/>
          <c:showPercent val="0"/>
          <c:showBubbleSize val="0"/>
        </c:dLbls>
        <c:gapWidth val="150"/>
        <c:shape val="box"/>
        <c:axId val="490247536"/>
        <c:axId val="490248712"/>
        <c:axId val="0"/>
      </c:bar3DChart>
      <c:catAx>
        <c:axId val="49024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48712"/>
        <c:crosses val="autoZero"/>
        <c:auto val="1"/>
        <c:lblAlgn val="ctr"/>
        <c:lblOffset val="100"/>
        <c:noMultiLvlLbl val="0"/>
      </c:catAx>
      <c:valAx>
        <c:axId val="49024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4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2017.gadā</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63225027398775"/>
          <c:y val="0.14723934617343137"/>
          <c:w val="0.85743582686590802"/>
          <c:h val="0.41449513134002353"/>
        </c:manualLayout>
      </c:layout>
      <c:bar3DChart>
        <c:barDir val="col"/>
        <c:grouping val="clustered"/>
        <c:varyColors val="0"/>
        <c:ser>
          <c:idx val="0"/>
          <c:order val="0"/>
          <c:tx>
            <c:strRef>
              <c:f>Sheet1!$B$1</c:f>
              <c:strCache>
                <c:ptCount val="1"/>
                <c:pt idx="0">
                  <c:v>Rīgas reģionā </c:v>
                </c:pt>
              </c:strCache>
            </c:strRef>
          </c:tx>
          <c:spPr>
            <a:solidFill>
              <a:schemeClr val="accent1"/>
            </a:solidFill>
            <a:ln>
              <a:noFill/>
            </a:ln>
            <a:effectLst/>
            <a:sp3d/>
          </c:spPr>
          <c:invertIfNegative val="0"/>
          <c:dLbls>
            <c:dLbl>
              <c:idx val="0"/>
              <c:layout>
                <c:manualLayout>
                  <c:x val="-2.3940627244434022E-3"/>
                  <c:y val="-7.07007693907257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093129039980894E-2"/>
                  <c:y val="-4.41791896737841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881254488867609E-3"/>
                  <c:y val="-2.07943439384487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#,##0</c:formatCode>
                <c:ptCount val="3"/>
                <c:pt idx="0" formatCode="General">
                  <c:v>33</c:v>
                </c:pt>
                <c:pt idx="1">
                  <c:v>149613</c:v>
                </c:pt>
                <c:pt idx="2" formatCode="General">
                  <c:v>4534</c:v>
                </c:pt>
              </c:numCache>
            </c:numRef>
          </c:val>
          <c:shape val="cylinder"/>
        </c:ser>
        <c:ser>
          <c:idx val="3"/>
          <c:order val="1"/>
          <c:tx>
            <c:strRef>
              <c:f>Sheet1!$E$1</c:f>
              <c:strCache>
                <c:ptCount val="1"/>
                <c:pt idx="0">
                  <c:v>Vidzemes reģionā </c:v>
                </c:pt>
              </c:strCache>
            </c:strRef>
          </c:tx>
          <c:spPr>
            <a:solidFill>
              <a:schemeClr val="accent4"/>
            </a:solidFill>
            <a:ln>
              <a:noFill/>
            </a:ln>
            <a:effectLst/>
            <a:sp3d/>
          </c:spPr>
          <c:invertIfNegative val="0"/>
          <c:dLbls>
            <c:dLbl>
              <c:idx val="0"/>
              <c:layout>
                <c:manualLayout>
                  <c:x val="0"/>
                  <c:y val="-4.57475566645872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756821664948006E-2"/>
                  <c:y val="-0.1981540600321773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82188173330141E-3"/>
                  <c:y val="-0.1173258268176870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Sheet1!$E$2:$E$4</c:f>
              <c:numCache>
                <c:formatCode>General</c:formatCode>
                <c:ptCount val="3"/>
                <c:pt idx="0">
                  <c:v>10</c:v>
                </c:pt>
                <c:pt idx="1">
                  <c:v>38507</c:v>
                </c:pt>
                <c:pt idx="2">
                  <c:v>3851</c:v>
                </c:pt>
              </c:numCache>
            </c:numRef>
          </c:val>
          <c:shape val="cylinder"/>
        </c:ser>
        <c:ser>
          <c:idx val="4"/>
          <c:order val="2"/>
          <c:tx>
            <c:strRef>
              <c:f>Sheet1!$F$1</c:f>
              <c:strCache>
                <c:ptCount val="1"/>
                <c:pt idx="0">
                  <c:v>Zemgales reģionā </c:v>
                </c:pt>
              </c:strCache>
            </c:strRef>
          </c:tx>
          <c:spPr>
            <a:solidFill>
              <a:schemeClr val="accent5"/>
            </a:solidFill>
            <a:ln>
              <a:noFill/>
            </a:ln>
            <a:effectLst/>
            <a:sp3d/>
          </c:spPr>
          <c:invertIfNegative val="0"/>
          <c:dLbls>
            <c:dLbl>
              <c:idx val="0"/>
              <c:layout>
                <c:manualLayout>
                  <c:x val="4.7881254488867609E-3"/>
                  <c:y val="-3.7429819089207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313950222346219E-2"/>
                  <c:y val="-0.1590680074666200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364376346660282E-2"/>
                  <c:y val="-0.222464767174491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Sheet1!$F$2:$F$4</c:f>
              <c:numCache>
                <c:formatCode>General</c:formatCode>
                <c:ptCount val="3"/>
                <c:pt idx="0">
                  <c:v>7</c:v>
                </c:pt>
                <c:pt idx="1">
                  <c:v>35667</c:v>
                </c:pt>
                <c:pt idx="2">
                  <c:v>5095</c:v>
                </c:pt>
              </c:numCache>
            </c:numRef>
          </c:val>
          <c:shape val="cylinder"/>
        </c:ser>
        <c:ser>
          <c:idx val="1"/>
          <c:order val="3"/>
          <c:tx>
            <c:strRef>
              <c:f>Sheet1!$C$1</c:f>
              <c:strCache>
                <c:ptCount val="1"/>
                <c:pt idx="0">
                  <c:v>Kurzemes reģionā </c:v>
                </c:pt>
              </c:strCache>
            </c:strRef>
          </c:tx>
          <c:spPr>
            <a:solidFill>
              <a:schemeClr val="accent2"/>
            </a:solidFill>
            <a:ln>
              <a:noFill/>
            </a:ln>
            <a:effectLst/>
            <a:sp3d/>
          </c:spPr>
          <c:invertIfNegative val="0"/>
          <c:dLbls>
            <c:dLbl>
              <c:idx val="0"/>
              <c:layout>
                <c:manualLayout>
                  <c:x val="9.5762508977735653E-3"/>
                  <c:y val="-3.32709503015179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14886734441889E-2"/>
                  <c:y val="-0.104297909852762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4691269588254E-2"/>
                  <c:y val="-7.1457225052108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General</c:formatCode>
                <c:ptCount val="3"/>
                <c:pt idx="0">
                  <c:v>7</c:v>
                </c:pt>
                <c:pt idx="1">
                  <c:v>11852</c:v>
                </c:pt>
                <c:pt idx="2">
                  <c:v>1693</c:v>
                </c:pt>
              </c:numCache>
            </c:numRef>
          </c:val>
          <c:shape val="cylinder"/>
        </c:ser>
        <c:ser>
          <c:idx val="2"/>
          <c:order val="4"/>
          <c:tx>
            <c:strRef>
              <c:f>Sheet1!$D$1</c:f>
              <c:strCache>
                <c:ptCount val="1"/>
                <c:pt idx="0">
                  <c:v>Latgales reģionā </c:v>
                </c:pt>
              </c:strCache>
            </c:strRef>
          </c:tx>
          <c:spPr>
            <a:solidFill>
              <a:schemeClr val="accent3"/>
            </a:solidFill>
            <a:ln>
              <a:noFill/>
            </a:ln>
            <a:effectLst/>
            <a:sp3d/>
          </c:spPr>
          <c:invertIfNegative val="0"/>
          <c:dLbls>
            <c:dLbl>
              <c:idx val="0"/>
              <c:layout>
                <c:manualLayout>
                  <c:x val="1.9152501795546999E-2"/>
                  <c:y val="-2.49532127261384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74259490008087E-2"/>
                  <c:y val="-3.12364345278237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940627244433806E-2"/>
                  <c:y val="-2.07943439384487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Sheet1!$D$2:$D$4</c:f>
              <c:numCache>
                <c:formatCode>#,##0</c:formatCode>
                <c:ptCount val="3"/>
                <c:pt idx="0" formatCode="General">
                  <c:v>3</c:v>
                </c:pt>
                <c:pt idx="1">
                  <c:v>2126</c:v>
                </c:pt>
                <c:pt idx="2" formatCode="General">
                  <c:v>709</c:v>
                </c:pt>
              </c:numCache>
            </c:numRef>
          </c:val>
          <c:shape val="cylinder"/>
        </c:ser>
        <c:dLbls>
          <c:showLegendKey val="0"/>
          <c:showVal val="0"/>
          <c:showCatName val="0"/>
          <c:showSerName val="0"/>
          <c:showPercent val="0"/>
          <c:showBubbleSize val="0"/>
        </c:dLbls>
        <c:gapWidth val="150"/>
        <c:shape val="box"/>
        <c:axId val="490253808"/>
        <c:axId val="490258904"/>
        <c:axId val="0"/>
      </c:bar3DChart>
      <c:catAx>
        <c:axId val="490253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8904"/>
        <c:crosses val="autoZero"/>
        <c:auto val="1"/>
        <c:lblAlgn val="ctr"/>
        <c:lblOffset val="100"/>
        <c:noMultiLvlLbl val="0"/>
      </c:catAx>
      <c:valAx>
        <c:axId val="490258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Fotoradaru skaits un fiksēto pārkāpumu skaits 2018.gadā</a:t>
            </a:r>
          </a:p>
        </c:rich>
      </c:tx>
      <c:layout>
        <c:manualLayout>
          <c:xMode val="edge"/>
          <c:yMode val="edge"/>
          <c:x val="0.17592041119220009"/>
          <c:y val="2.730996813837050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403567024001519E-2"/>
          <c:y val="0.15005445123555361"/>
          <c:w val="0.86745185466274544"/>
          <c:h val="0.39265734265734259"/>
        </c:manualLayout>
      </c:layout>
      <c:bar3DChart>
        <c:barDir val="col"/>
        <c:grouping val="clustered"/>
        <c:varyColors val="0"/>
        <c:ser>
          <c:idx val="0"/>
          <c:order val="0"/>
          <c:tx>
            <c:strRef>
              <c:f>Sheet1!$B$1</c:f>
              <c:strCache>
                <c:ptCount val="1"/>
                <c:pt idx="0">
                  <c:v>Rīgas reģionā </c:v>
                </c:pt>
              </c:strCache>
            </c:strRef>
          </c:tx>
          <c:spPr>
            <a:solidFill>
              <a:schemeClr val="accent1"/>
            </a:solidFill>
            <a:ln>
              <a:noFill/>
            </a:ln>
            <a:effectLst/>
            <a:sp3d/>
          </c:spPr>
          <c:invertIfNegative val="0"/>
          <c:dLbls>
            <c:dLbl>
              <c:idx val="0"/>
              <c:layout>
                <c:manualLayout>
                  <c:x val="-4.819277108433757E-3"/>
                  <c:y val="-0.1126651126651126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289156626506026E-3"/>
                  <c:y val="-1.5540015540015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89156626506026E-3"/>
                  <c:y val="-0.1476301476301476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Sheet1!$B$2:$B$4</c:f>
              <c:numCache>
                <c:formatCode>#,##0</c:formatCode>
                <c:ptCount val="3"/>
                <c:pt idx="0" formatCode="General">
                  <c:v>46</c:v>
                </c:pt>
                <c:pt idx="1">
                  <c:v>147962</c:v>
                </c:pt>
                <c:pt idx="2">
                  <c:v>3217</c:v>
                </c:pt>
              </c:numCache>
            </c:numRef>
          </c:val>
          <c:shape val="cylinder"/>
        </c:ser>
        <c:ser>
          <c:idx val="3"/>
          <c:order val="1"/>
          <c:tx>
            <c:strRef>
              <c:f>Sheet1!$E$1</c:f>
              <c:strCache>
                <c:ptCount val="1"/>
                <c:pt idx="0">
                  <c:v>Vidzemes reģionā </c:v>
                </c:pt>
              </c:strCache>
            </c:strRef>
          </c:tx>
          <c:spPr>
            <a:solidFill>
              <a:schemeClr val="accent4"/>
            </a:solidFill>
            <a:ln>
              <a:noFill/>
            </a:ln>
            <a:effectLst/>
            <a:sp3d/>
          </c:spPr>
          <c:invertIfNegative val="0"/>
          <c:dLbls>
            <c:dLbl>
              <c:idx val="0"/>
              <c:layout>
                <c:manualLayout>
                  <c:x val="-2.4096385542168677E-3"/>
                  <c:y val="-7.77000777000777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296572566322407E-2"/>
                  <c:y val="-0.1018602737259911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89156626506026E-3"/>
                  <c:y val="-6.59967329258667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Sheet1!$E$2:$E$4</c:f>
              <c:numCache>
                <c:formatCode>#,##0</c:formatCode>
                <c:ptCount val="3"/>
                <c:pt idx="0" formatCode="General">
                  <c:v>21</c:v>
                </c:pt>
                <c:pt idx="1">
                  <c:v>51684</c:v>
                </c:pt>
                <c:pt idx="2">
                  <c:v>2461</c:v>
                </c:pt>
              </c:numCache>
            </c:numRef>
          </c:val>
          <c:shape val="cylinder"/>
        </c:ser>
        <c:ser>
          <c:idx val="4"/>
          <c:order val="2"/>
          <c:tx>
            <c:strRef>
              <c:f>Sheet1!$F$1</c:f>
              <c:strCache>
                <c:ptCount val="1"/>
                <c:pt idx="0">
                  <c:v>Zemgales reģionā </c:v>
                </c:pt>
              </c:strCache>
            </c:strRef>
          </c:tx>
          <c:spPr>
            <a:solidFill>
              <a:schemeClr val="accent5"/>
            </a:solidFill>
            <a:ln>
              <a:noFill/>
            </a:ln>
            <a:effectLst/>
            <a:sp3d/>
          </c:spPr>
          <c:invertIfNegative val="0"/>
          <c:dLbls>
            <c:dLbl>
              <c:idx val="0"/>
              <c:layout>
                <c:manualLayout>
                  <c:x val="2.4096385542168677E-3"/>
                  <c:y val="-5.05050505050505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498612783131351E-2"/>
                  <c:y val="-6.73346220943938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15662650602234E-2"/>
                  <c:y val="-0.1169646189331229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Sheet1!$F$2:$F$4</c:f>
              <c:numCache>
                <c:formatCode>#,##0</c:formatCode>
                <c:ptCount val="3"/>
                <c:pt idx="0" formatCode="General">
                  <c:v>13</c:v>
                </c:pt>
                <c:pt idx="1">
                  <c:v>36771</c:v>
                </c:pt>
                <c:pt idx="2">
                  <c:v>2829</c:v>
                </c:pt>
              </c:numCache>
            </c:numRef>
          </c:val>
          <c:shape val="cylinder"/>
        </c:ser>
        <c:ser>
          <c:idx val="1"/>
          <c:order val="3"/>
          <c:tx>
            <c:strRef>
              <c:f>Sheet1!$C$1</c:f>
              <c:strCache>
                <c:ptCount val="1"/>
                <c:pt idx="0">
                  <c:v>Kurzemes reģionā </c:v>
                </c:pt>
              </c:strCache>
            </c:strRef>
          </c:tx>
          <c:spPr>
            <a:solidFill>
              <a:schemeClr val="accent2"/>
            </a:solidFill>
            <a:ln>
              <a:noFill/>
            </a:ln>
            <a:effectLst/>
            <a:sp3d/>
          </c:spPr>
          <c:invertIfNegative val="0"/>
          <c:dLbls>
            <c:dLbl>
              <c:idx val="0"/>
              <c:layout>
                <c:manualLayout>
                  <c:x val="1.2048192771084338E-2"/>
                  <c:y val="-3.10800310800310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652068729155749E-2"/>
                  <c:y val="-6.0174711421823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457831325301205E-2"/>
                  <c:y val="-4.5694681521453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Sheet1!$C$2:$C$4</c:f>
              <c:numCache>
                <c:formatCode>#,##0</c:formatCode>
                <c:ptCount val="3"/>
                <c:pt idx="0" formatCode="General">
                  <c:v>11</c:v>
                </c:pt>
                <c:pt idx="1">
                  <c:v>11934</c:v>
                </c:pt>
                <c:pt idx="2">
                  <c:v>1085</c:v>
                </c:pt>
              </c:numCache>
            </c:numRef>
          </c:val>
          <c:shape val="cylinder"/>
        </c:ser>
        <c:ser>
          <c:idx val="2"/>
          <c:order val="4"/>
          <c:tx>
            <c:strRef>
              <c:f>Sheet1!$D$1</c:f>
              <c:strCache>
                <c:ptCount val="1"/>
                <c:pt idx="0">
                  <c:v>Latgales reģionā </c:v>
                </c:pt>
              </c:strCache>
            </c:strRef>
          </c:tx>
          <c:spPr>
            <a:solidFill>
              <a:schemeClr val="accent3"/>
            </a:solidFill>
            <a:ln>
              <a:noFill/>
            </a:ln>
            <a:effectLst/>
            <a:sp3d/>
          </c:spPr>
          <c:invertIfNegative val="0"/>
          <c:dLbls>
            <c:dLbl>
              <c:idx val="0"/>
              <c:layout>
                <c:manualLayout>
                  <c:x val="1.4457831325301205E-2"/>
                  <c:y val="-3.10800310800311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373519421996083E-2"/>
                  <c:y val="-5.590679771452084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192771084337352E-2"/>
                  <c:y val="-2.55755617960342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Fotoradaru skaits</c:v>
                </c:pt>
                <c:pt idx="1">
                  <c:v>Fiksēto pārkāpumu skaits</c:v>
                </c:pt>
                <c:pt idx="2">
                  <c:v>Vidēji ar 1 fotoradaru</c:v>
                </c:pt>
              </c:strCache>
            </c:strRef>
          </c:cat>
          <c:val>
            <c:numRef>
              <c:f>Sheet1!$D$2:$D$4</c:f>
              <c:numCache>
                <c:formatCode>#,##0</c:formatCode>
                <c:ptCount val="3"/>
                <c:pt idx="0" formatCode="General">
                  <c:v>9</c:v>
                </c:pt>
                <c:pt idx="1">
                  <c:v>8023</c:v>
                </c:pt>
                <c:pt idx="2" formatCode="General">
                  <c:v>891</c:v>
                </c:pt>
              </c:numCache>
            </c:numRef>
          </c:val>
          <c:shape val="cylinder"/>
        </c:ser>
        <c:dLbls>
          <c:showLegendKey val="0"/>
          <c:showVal val="0"/>
          <c:showCatName val="0"/>
          <c:showSerName val="0"/>
          <c:showPercent val="0"/>
          <c:showBubbleSize val="0"/>
        </c:dLbls>
        <c:gapWidth val="150"/>
        <c:shape val="box"/>
        <c:axId val="490254984"/>
        <c:axId val="490259296"/>
        <c:axId val="0"/>
      </c:bar3DChart>
      <c:catAx>
        <c:axId val="490254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9296"/>
        <c:crosses val="autoZero"/>
        <c:auto val="1"/>
        <c:lblAlgn val="ctr"/>
        <c:lblOffset val="100"/>
        <c:noMultiLvlLbl val="0"/>
      </c:catAx>
      <c:valAx>
        <c:axId val="49025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t> </a:t>
            </a:r>
            <a:r>
              <a:rPr lang="lv-LV" sz="1000" b="1" i="0" u="none" strike="noStrike" baseline="0">
                <a:effectLst/>
                <a:latin typeface="Times New Roman" panose="02020603050405020304" pitchFamily="18" charset="0"/>
                <a:cs typeface="Times New Roman" panose="02020603050405020304" pitchFamily="18" charset="0"/>
              </a:rPr>
              <a:t>Pārkāpumu skaits, par kuriem pieņemts lēmums par administratīvā soda piemērošanu, 2015. – 2018.gadā</a:t>
            </a:r>
            <a:endParaRPr lang="lv-LV" sz="10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08512223444916E-2"/>
          <c:y val="0.20515158422612265"/>
          <c:w val="0.88376202339037446"/>
          <c:h val="0.4315749311823826"/>
        </c:manualLayout>
      </c:layout>
      <c:bar3DChart>
        <c:barDir val="col"/>
        <c:grouping val="percentStacked"/>
        <c:varyColors val="0"/>
        <c:ser>
          <c:idx val="0"/>
          <c:order val="0"/>
          <c:tx>
            <c:strRef>
              <c:f>Sheet1!$A$2</c:f>
              <c:strCache>
                <c:ptCount val="1"/>
                <c:pt idx="0">
                  <c:v>Nav ievērots braukšanas ātrums </c:v>
                </c:pt>
              </c:strCache>
            </c:strRef>
          </c:tx>
          <c:spPr>
            <a:solidFill>
              <a:schemeClr val="accent1"/>
            </a:solidFill>
            <a:ln>
              <a:noFill/>
            </a:ln>
            <a:effectLst/>
            <a:sp3d/>
          </c:spPr>
          <c:invertIfNegative val="0"/>
          <c:dLbls>
            <c:dLbl>
              <c:idx val="0"/>
              <c:layout>
                <c:manualLayout>
                  <c:x val="9.4134685010861696E-2"/>
                  <c:y val="8.3579309539771098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1720975138788227E-2"/>
                  <c:y val="1.82356963756552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720975138788227E-2"/>
                  <c:y val="4.558924093913836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893555394641386E-2"/>
                  <c:y val="-9.11784818782767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Sheet1!$B$2:$E$2</c:f>
              <c:numCache>
                <c:formatCode>General</c:formatCode>
                <c:ptCount val="4"/>
                <c:pt idx="0">
                  <c:v>42369</c:v>
                </c:pt>
                <c:pt idx="1">
                  <c:v>97029</c:v>
                </c:pt>
                <c:pt idx="2">
                  <c:v>234267</c:v>
                </c:pt>
                <c:pt idx="3" formatCode="#,##0">
                  <c:v>252896</c:v>
                </c:pt>
              </c:numCache>
            </c:numRef>
          </c:val>
        </c:ser>
        <c:ser>
          <c:idx val="2"/>
          <c:order val="1"/>
          <c:tx>
            <c:strRef>
              <c:f>Sheet1!$A$4</c:f>
              <c:strCache>
                <c:ptCount val="1"/>
                <c:pt idx="0">
                  <c:v>Nav OCTA polise</c:v>
                </c:pt>
              </c:strCache>
            </c:strRef>
          </c:tx>
          <c:spPr>
            <a:solidFill>
              <a:schemeClr val="accent3"/>
            </a:solidFill>
            <a:ln>
              <a:noFill/>
            </a:ln>
            <a:effectLst/>
            <a:sp3d/>
          </c:spPr>
          <c:invertIfNegative val="0"/>
          <c:dLbls>
            <c:dLbl>
              <c:idx val="0"/>
              <c:layout>
                <c:manualLayout>
                  <c:x val="7.723871590634801E-2"/>
                  <c:y val="9.117848187827673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893555394641567E-2"/>
                  <c:y val="5.47070891269660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479845522568098E-2"/>
                  <c:y val="4.103031684522452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9652425778421257E-2"/>
                  <c:y val="1.36767722817415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Sheet1!$B$4:$E$4</c:f>
              <c:numCache>
                <c:formatCode>General</c:formatCode>
                <c:ptCount val="4"/>
                <c:pt idx="0">
                  <c:v>426</c:v>
                </c:pt>
                <c:pt idx="1">
                  <c:v>611</c:v>
                </c:pt>
                <c:pt idx="2">
                  <c:v>1657</c:v>
                </c:pt>
                <c:pt idx="3" formatCode="#,##0">
                  <c:v>1949</c:v>
                </c:pt>
              </c:numCache>
            </c:numRef>
          </c:val>
        </c:ser>
        <c:ser>
          <c:idx val="1"/>
          <c:order val="2"/>
          <c:tx>
            <c:strRef>
              <c:f>Sheet1!$A$3</c:f>
              <c:strCache>
                <c:ptCount val="1"/>
                <c:pt idx="0">
                  <c:v>Nav veikta valsts tehniskā apskate</c:v>
                </c:pt>
              </c:strCache>
            </c:strRef>
          </c:tx>
          <c:spPr>
            <a:solidFill>
              <a:schemeClr val="accent2"/>
            </a:solidFill>
            <a:ln>
              <a:noFill/>
            </a:ln>
            <a:effectLst/>
            <a:sp3d/>
          </c:spPr>
          <c:invertIfNegative val="0"/>
          <c:dLbls>
            <c:dLbl>
              <c:idx val="0"/>
              <c:layout>
                <c:manualLayout>
                  <c:x val="7.9652425778421479E-2"/>
                  <c:y val="2.2794620469569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479845522568098E-2"/>
                  <c:y val="3.1912468657396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82500603427468E-2"/>
                  <c:y val="1.823569637565530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2411296162201308E-2"/>
                  <c:y val="4.558924093913878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Sheet1!$B$3:$E$3</c:f>
              <c:numCache>
                <c:formatCode>General</c:formatCode>
                <c:ptCount val="4"/>
                <c:pt idx="0">
                  <c:v>228</c:v>
                </c:pt>
                <c:pt idx="1">
                  <c:v>422</c:v>
                </c:pt>
                <c:pt idx="2">
                  <c:v>1082</c:v>
                </c:pt>
                <c:pt idx="3" formatCode="#,##0">
                  <c:v>1039</c:v>
                </c:pt>
              </c:numCache>
            </c:numRef>
          </c:val>
        </c:ser>
        <c:ser>
          <c:idx val="3"/>
          <c:order val="3"/>
          <c:tx>
            <c:strRef>
              <c:f>Sheet1!$A$5</c:f>
              <c:strCache>
                <c:ptCount val="1"/>
                <c:pt idx="0">
                  <c:v>Nav nomaksāta autoceļu lietošanas nodeva</c:v>
                </c:pt>
              </c:strCache>
            </c:strRef>
          </c:tx>
          <c:spPr>
            <a:solidFill>
              <a:schemeClr val="accent4"/>
            </a:solidFill>
            <a:ln>
              <a:noFill/>
            </a:ln>
            <a:effectLst/>
            <a:sp3d/>
          </c:spPr>
          <c:invertIfNegative val="0"/>
          <c:dLbls>
            <c:dLbl>
              <c:idx val="0"/>
              <c:layout>
                <c:manualLayout>
                  <c:x val="4.1033067825247405E-2"/>
                  <c:y val="-2.2794620469569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33067825247314E-2"/>
                  <c:y val="-1.82356963756553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342746801834331E-2"/>
                  <c:y val="-2.2794620469569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515327057687663E-2"/>
                  <c:y val="-2.73535445634830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Sheet1!$B$5:$E$5</c:f>
              <c:numCache>
                <c:formatCode>General</c:formatCode>
                <c:ptCount val="4"/>
                <c:pt idx="0">
                  <c:v>0</c:v>
                </c:pt>
                <c:pt idx="1">
                  <c:v>0</c:v>
                </c:pt>
                <c:pt idx="2">
                  <c:v>133</c:v>
                </c:pt>
                <c:pt idx="3">
                  <c:v>490</c:v>
                </c:pt>
              </c:numCache>
            </c:numRef>
          </c:val>
        </c:ser>
        <c:dLbls>
          <c:showLegendKey val="0"/>
          <c:showVal val="1"/>
          <c:showCatName val="0"/>
          <c:showSerName val="0"/>
          <c:showPercent val="0"/>
          <c:showBubbleSize val="0"/>
        </c:dLbls>
        <c:gapWidth val="150"/>
        <c:shape val="cone"/>
        <c:axId val="490255376"/>
        <c:axId val="490257336"/>
        <c:axId val="0"/>
      </c:bar3DChart>
      <c:catAx>
        <c:axId val="490255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7336"/>
        <c:crosses val="autoZero"/>
        <c:auto val="1"/>
        <c:lblAlgn val="ctr"/>
        <c:lblOffset val="100"/>
        <c:noMultiLvlLbl val="0"/>
      </c:catAx>
      <c:valAx>
        <c:axId val="490257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Fotoradaru fiksētais braukšanas ātrums 2015.- 2018.gadā</a:t>
            </a:r>
          </a:p>
        </c:rich>
      </c:tx>
      <c:layout>
        <c:manualLayout>
          <c:xMode val="edge"/>
          <c:yMode val="edge"/>
          <c:x val="0.21565629358364949"/>
          <c:y val="3.296099615455044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600213434859106E-2"/>
          <c:y val="0.12378685222486724"/>
          <c:w val="0.86688288194198349"/>
          <c:h val="0.58741181870654957"/>
        </c:manualLayout>
      </c:layout>
      <c:bar3DChart>
        <c:barDir val="col"/>
        <c:grouping val="percentStacked"/>
        <c:varyColors val="0"/>
        <c:ser>
          <c:idx val="0"/>
          <c:order val="0"/>
          <c:tx>
            <c:strRef>
              <c:f>Sheet1!$A$2</c:f>
              <c:strCache>
                <c:ptCount val="1"/>
                <c:pt idx="0">
                  <c:v>1-20 km/h</c:v>
                </c:pt>
              </c:strCache>
            </c:strRef>
          </c:tx>
          <c:spPr>
            <a:solidFill>
              <a:schemeClr val="accent1"/>
            </a:solidFill>
            <a:ln>
              <a:noFill/>
            </a:ln>
            <a:effectLst/>
            <a:sp3d/>
          </c:spPr>
          <c:invertIfNegative val="0"/>
          <c:dLbls>
            <c:dLbl>
              <c:idx val="0"/>
              <c:layout>
                <c:manualLayout>
                  <c:x val="0.10870849580526995"/>
                  <c:y val="5.49349935909174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634526763559021"/>
                  <c:y val="3.662332906061160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009256359928827E-2"/>
                  <c:y val="-3.21895542873655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816140586694364"/>
                  <c:y val="2.44734316467321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Sheet1!$B$2:$E$2</c:f>
              <c:numCache>
                <c:formatCode>#,##0</c:formatCode>
                <c:ptCount val="4"/>
                <c:pt idx="0">
                  <c:v>39186</c:v>
                </c:pt>
                <c:pt idx="1">
                  <c:v>73937</c:v>
                </c:pt>
                <c:pt idx="2">
                  <c:v>244151</c:v>
                </c:pt>
                <c:pt idx="3">
                  <c:v>197369</c:v>
                </c:pt>
              </c:numCache>
            </c:numRef>
          </c:val>
        </c:ser>
        <c:ser>
          <c:idx val="1"/>
          <c:order val="1"/>
          <c:tx>
            <c:strRef>
              <c:f>Sheet1!$A$3</c:f>
              <c:strCache>
                <c:ptCount val="1"/>
                <c:pt idx="0">
                  <c:v>21-30 km/h</c:v>
                </c:pt>
              </c:strCache>
            </c:strRef>
          </c:tx>
          <c:spPr>
            <a:solidFill>
              <a:schemeClr val="accent2"/>
            </a:solidFill>
            <a:ln>
              <a:noFill/>
            </a:ln>
            <a:effectLst/>
            <a:sp3d/>
          </c:spPr>
          <c:invertIfNegative val="0"/>
          <c:dLbls>
            <c:dLbl>
              <c:idx val="0"/>
              <c:layout>
                <c:manualLayout>
                  <c:x val="0.10398203946591043"/>
                  <c:y val="0.1574803149606298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107172397494978"/>
                  <c:y val="0.102545321369712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0849580526991"/>
                  <c:y val="2.92986632484892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858523564767772"/>
                  <c:y val="0.1397338520758299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Sheet1!$B$3:$E$3</c:f>
              <c:numCache>
                <c:formatCode>#,##0</c:formatCode>
                <c:ptCount val="4"/>
                <c:pt idx="0">
                  <c:v>8446</c:v>
                </c:pt>
                <c:pt idx="1">
                  <c:v>22757</c:v>
                </c:pt>
                <c:pt idx="2">
                  <c:v>72547</c:v>
                </c:pt>
                <c:pt idx="3">
                  <c:v>46625</c:v>
                </c:pt>
              </c:numCache>
            </c:numRef>
          </c:val>
        </c:ser>
        <c:ser>
          <c:idx val="2"/>
          <c:order val="2"/>
          <c:tx>
            <c:strRef>
              <c:f>Sheet1!$A$4</c:f>
              <c:strCache>
                <c:ptCount val="1"/>
                <c:pt idx="0">
                  <c:v>31-40 km/h</c:v>
                </c:pt>
              </c:strCache>
            </c:strRef>
          </c:tx>
          <c:spPr>
            <a:solidFill>
              <a:schemeClr val="accent3"/>
            </a:solidFill>
            <a:ln>
              <a:noFill/>
            </a:ln>
            <a:effectLst/>
            <a:sp3d/>
          </c:spPr>
          <c:invertIfNegative val="0"/>
          <c:dLbls>
            <c:dLbl>
              <c:idx val="0"/>
              <c:layout>
                <c:manualLayout>
                  <c:x val="0.10634526763559017"/>
                  <c:y val="0.1867789782091192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634526763559021"/>
                  <c:y val="0.168467313678813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634526763559021"/>
                  <c:y val="9.88829884636512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367409517554244"/>
                  <c:y val="0.1605556186210668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Sheet1!$B$4:$E$4</c:f>
              <c:numCache>
                <c:formatCode>#,##0</c:formatCode>
                <c:ptCount val="4"/>
                <c:pt idx="0">
                  <c:v>1107</c:v>
                </c:pt>
                <c:pt idx="1">
                  <c:v>3365</c:v>
                </c:pt>
                <c:pt idx="2">
                  <c:v>23143</c:v>
                </c:pt>
                <c:pt idx="3">
                  <c:v>9299</c:v>
                </c:pt>
              </c:numCache>
            </c:numRef>
          </c:val>
        </c:ser>
        <c:ser>
          <c:idx val="3"/>
          <c:order val="3"/>
          <c:tx>
            <c:strRef>
              <c:f>Sheet1!$A$5</c:f>
              <c:strCache>
                <c:ptCount val="1"/>
                <c:pt idx="0">
                  <c:v>41-50 km/h</c:v>
                </c:pt>
              </c:strCache>
            </c:strRef>
          </c:tx>
          <c:spPr>
            <a:solidFill>
              <a:schemeClr val="accent4"/>
            </a:solidFill>
            <a:ln>
              <a:noFill/>
            </a:ln>
            <a:effectLst/>
            <a:sp3d/>
          </c:spPr>
          <c:invertIfNegative val="0"/>
          <c:dLbls>
            <c:dLbl>
              <c:idx val="0"/>
              <c:layout>
                <c:manualLayout>
                  <c:x val="0.10398203946591039"/>
                  <c:y val="0.1245193188060794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634526763559021"/>
                  <c:y val="0.1318439846182017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0849580527001"/>
                  <c:y val="9.52206555575901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616040538579623"/>
                  <c:y val="9.50248191453132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Sheet1!$B$5:$E$5</c:f>
              <c:numCache>
                <c:formatCode>General</c:formatCode>
                <c:ptCount val="4"/>
                <c:pt idx="0">
                  <c:v>181</c:v>
                </c:pt>
                <c:pt idx="1">
                  <c:v>711</c:v>
                </c:pt>
                <c:pt idx="2" formatCode="#,##0">
                  <c:v>9375</c:v>
                </c:pt>
                <c:pt idx="3" formatCode="#,##0">
                  <c:v>2295</c:v>
                </c:pt>
              </c:numCache>
            </c:numRef>
          </c:val>
        </c:ser>
        <c:ser>
          <c:idx val="4"/>
          <c:order val="4"/>
          <c:tx>
            <c:strRef>
              <c:f>Sheet1!$A$6</c:f>
              <c:strCache>
                <c:ptCount val="1"/>
                <c:pt idx="0">
                  <c:v>51-60 km/h</c:v>
                </c:pt>
              </c:strCache>
            </c:strRef>
          </c:tx>
          <c:spPr>
            <a:solidFill>
              <a:schemeClr val="accent5"/>
            </a:solidFill>
            <a:ln>
              <a:noFill/>
            </a:ln>
            <a:effectLst/>
            <a:sp3d/>
          </c:spPr>
          <c:invertIfNegative val="0"/>
          <c:dLbls>
            <c:dLbl>
              <c:idx val="0"/>
              <c:layout>
                <c:manualLayout>
                  <c:x val="0.10398203946591039"/>
                  <c:y val="5.85973264969785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161881129623065"/>
                  <c:y val="5.49349935909174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870849580527001"/>
                  <c:y val="4.76103277787950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0864690652756669"/>
                  <c:y val="2.8527053384381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Sheet1!$B$6:$E$6</c:f>
              <c:numCache>
                <c:formatCode>General</c:formatCode>
                <c:ptCount val="4"/>
                <c:pt idx="0">
                  <c:v>31</c:v>
                </c:pt>
                <c:pt idx="1">
                  <c:v>116</c:v>
                </c:pt>
                <c:pt idx="2" formatCode="#,##0">
                  <c:v>3219</c:v>
                </c:pt>
                <c:pt idx="3" formatCode="#,##0">
                  <c:v>556</c:v>
                </c:pt>
              </c:numCache>
            </c:numRef>
          </c:val>
        </c:ser>
        <c:ser>
          <c:idx val="5"/>
          <c:order val="5"/>
          <c:tx>
            <c:strRef>
              <c:f>Sheet1!$A$7</c:f>
              <c:strCache>
                <c:ptCount val="1"/>
                <c:pt idx="0">
                  <c:v>61 un vairāk km/h</c:v>
                </c:pt>
              </c:strCache>
            </c:strRef>
          </c:tx>
          <c:spPr>
            <a:solidFill>
              <a:schemeClr val="accent6"/>
            </a:solidFill>
            <a:ln>
              <a:noFill/>
            </a:ln>
            <a:effectLst/>
            <a:sp3d/>
          </c:spPr>
          <c:invertIfNegative val="0"/>
          <c:dLbls>
            <c:dLbl>
              <c:idx val="0"/>
              <c:layout>
                <c:manualLayout>
                  <c:x val="0.10161881129623061"/>
                  <c:y val="-1.09869987181834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398203946591043"/>
                  <c:y val="-1.46493316242446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398203946591043"/>
                  <c:y val="-1.83116645303058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11107172397494978"/>
                  <c:y val="-2.19739974363669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c:v>
                </c:pt>
              </c:strCache>
            </c:strRef>
          </c:cat>
          <c:val>
            <c:numRef>
              <c:f>Sheet1!$B$7:$E$7</c:f>
              <c:numCache>
                <c:formatCode>General</c:formatCode>
                <c:ptCount val="4"/>
                <c:pt idx="0">
                  <c:v>7</c:v>
                </c:pt>
                <c:pt idx="1">
                  <c:v>40</c:v>
                </c:pt>
                <c:pt idx="2" formatCode="#,##0">
                  <c:v>1241</c:v>
                </c:pt>
                <c:pt idx="3" formatCode="#,##0">
                  <c:v>230</c:v>
                </c:pt>
              </c:numCache>
            </c:numRef>
          </c:val>
        </c:ser>
        <c:dLbls>
          <c:showLegendKey val="0"/>
          <c:showVal val="1"/>
          <c:showCatName val="0"/>
          <c:showSerName val="0"/>
          <c:showPercent val="0"/>
          <c:showBubbleSize val="0"/>
        </c:dLbls>
        <c:gapWidth val="150"/>
        <c:shape val="cone"/>
        <c:axId val="490255768"/>
        <c:axId val="490247928"/>
        <c:axId val="0"/>
      </c:bar3DChart>
      <c:catAx>
        <c:axId val="490255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47928"/>
        <c:crosses val="autoZero"/>
        <c:auto val="1"/>
        <c:lblAlgn val="ctr"/>
        <c:lblOffset val="100"/>
        <c:noMultiLvlLbl val="0"/>
      </c:catAx>
      <c:valAx>
        <c:axId val="490247928"/>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5768"/>
        <c:crosses val="autoZero"/>
        <c:crossBetween val="between"/>
      </c:valAx>
      <c:spPr>
        <a:noFill/>
        <a:ln>
          <a:noFill/>
        </a:ln>
        <a:effectLst/>
      </c:spPr>
    </c:plotArea>
    <c:legend>
      <c:legendPos val="b"/>
      <c:layout>
        <c:manualLayout>
          <c:xMode val="edge"/>
          <c:yMode val="edge"/>
          <c:x val="4.7575169738118338E-2"/>
          <c:y val="0.86262009679982665"/>
          <c:w val="0.9"/>
          <c:h val="0.11116758340987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CSNg skaita dinamika valstī 2010.-2018.gadā</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CSNg ar cietušajiem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3214</c:v>
                </c:pt>
                <c:pt idx="1">
                  <c:v>3401</c:v>
                </c:pt>
                <c:pt idx="2">
                  <c:v>3365</c:v>
                </c:pt>
                <c:pt idx="3">
                  <c:v>3501</c:v>
                </c:pt>
                <c:pt idx="4">
                  <c:v>3716</c:v>
                </c:pt>
                <c:pt idx="5">
                  <c:v>3697</c:v>
                </c:pt>
                <c:pt idx="6">
                  <c:v>3794</c:v>
                </c:pt>
                <c:pt idx="7">
                  <c:v>3886</c:v>
                </c:pt>
                <c:pt idx="8">
                  <c:v>3873</c:v>
                </c:pt>
              </c:numCache>
            </c:numRef>
          </c:val>
          <c:smooth val="0"/>
        </c:ser>
        <c:ser>
          <c:idx val="2"/>
          <c:order val="1"/>
          <c:tx>
            <c:strRef>
              <c:f>Sheet1!$D$1</c:f>
              <c:strCache>
                <c:ptCount val="1"/>
                <c:pt idx="0">
                  <c:v>Ievainoto skaits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Sheet1!$D$2:$D$10</c:f>
              <c:numCache>
                <c:formatCode>General</c:formatCode>
                <c:ptCount val="9"/>
                <c:pt idx="0">
                  <c:v>4038</c:v>
                </c:pt>
                <c:pt idx="1">
                  <c:v>4243</c:v>
                </c:pt>
                <c:pt idx="2">
                  <c:v>4196</c:v>
                </c:pt>
                <c:pt idx="3">
                  <c:v>4358</c:v>
                </c:pt>
                <c:pt idx="4">
                  <c:v>4586</c:v>
                </c:pt>
                <c:pt idx="5">
                  <c:v>4573</c:v>
                </c:pt>
                <c:pt idx="6">
                  <c:v>4667</c:v>
                </c:pt>
                <c:pt idx="7">
                  <c:v>4841</c:v>
                </c:pt>
                <c:pt idx="8">
                  <c:v>4240</c:v>
                </c:pt>
              </c:numCache>
            </c:numRef>
          </c:val>
          <c:smooth val="0"/>
        </c:ser>
        <c:ser>
          <c:idx val="1"/>
          <c:order val="2"/>
          <c:tx>
            <c:strRef>
              <c:f>Sheet1!$C$1</c:f>
              <c:strCache>
                <c:ptCount val="1"/>
                <c:pt idx="0">
                  <c:v>Bojā gājušo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217</c:v>
                </c:pt>
                <c:pt idx="1">
                  <c:v>181</c:v>
                </c:pt>
                <c:pt idx="2">
                  <c:v>179</c:v>
                </c:pt>
                <c:pt idx="3">
                  <c:v>179</c:v>
                </c:pt>
                <c:pt idx="4">
                  <c:v>184</c:v>
                </c:pt>
                <c:pt idx="5">
                  <c:v>171</c:v>
                </c:pt>
                <c:pt idx="6">
                  <c:v>157</c:v>
                </c:pt>
                <c:pt idx="7">
                  <c:v>136</c:v>
                </c:pt>
                <c:pt idx="8">
                  <c:v>148</c:v>
                </c:pt>
              </c:numCache>
            </c:numRef>
          </c:val>
          <c:smooth val="0"/>
        </c:ser>
        <c:ser>
          <c:idx val="3"/>
          <c:order val="3"/>
          <c:tx>
            <c:strRef>
              <c:f>Sheet1!$E$1</c:f>
              <c:strCache>
                <c:ptCount val="1"/>
                <c:pt idx="0">
                  <c:v>Smagi ievainoto skaits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Sheet1!$E$2:$E$10</c:f>
              <c:numCache>
                <c:formatCode>General</c:formatCode>
                <c:ptCount val="9"/>
                <c:pt idx="0">
                  <c:v>569</c:v>
                </c:pt>
                <c:pt idx="1">
                  <c:v>533</c:v>
                </c:pt>
                <c:pt idx="2">
                  <c:v>492</c:v>
                </c:pt>
                <c:pt idx="3">
                  <c:v>458</c:v>
                </c:pt>
                <c:pt idx="4">
                  <c:v>434</c:v>
                </c:pt>
                <c:pt idx="5">
                  <c:v>479</c:v>
                </c:pt>
                <c:pt idx="6">
                  <c:v>530</c:v>
                </c:pt>
                <c:pt idx="7">
                  <c:v>499</c:v>
                </c:pt>
                <c:pt idx="8">
                  <c:v>544</c:v>
                </c:pt>
              </c:numCache>
            </c:numRef>
          </c:val>
          <c:smooth val="0"/>
        </c:ser>
        <c:dLbls>
          <c:showLegendKey val="0"/>
          <c:showVal val="0"/>
          <c:showCatName val="0"/>
          <c:showSerName val="0"/>
          <c:showPercent val="0"/>
          <c:showBubbleSize val="0"/>
        </c:dLbls>
        <c:marker val="1"/>
        <c:smooth val="0"/>
        <c:axId val="490253416"/>
        <c:axId val="490250280"/>
      </c:lineChart>
      <c:catAx>
        <c:axId val="49025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0280"/>
        <c:crosses val="autoZero"/>
        <c:auto val="1"/>
        <c:lblAlgn val="ctr"/>
        <c:lblOffset val="100"/>
        <c:noMultiLvlLbl val="0"/>
      </c:catAx>
      <c:valAx>
        <c:axId val="49025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3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CSNg bojā gājušo skaits reģionos 2010.-2018.gadā</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Rīgas reģions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Sheet1!$B$2:$B$10</c:f>
              <c:numCache>
                <c:formatCode>General</c:formatCode>
                <c:ptCount val="9"/>
                <c:pt idx="0">
                  <c:v>78</c:v>
                </c:pt>
                <c:pt idx="1">
                  <c:v>69</c:v>
                </c:pt>
                <c:pt idx="2">
                  <c:v>60</c:v>
                </c:pt>
                <c:pt idx="3">
                  <c:v>67</c:v>
                </c:pt>
                <c:pt idx="4">
                  <c:v>78</c:v>
                </c:pt>
                <c:pt idx="5">
                  <c:v>69</c:v>
                </c:pt>
                <c:pt idx="6">
                  <c:v>45</c:v>
                </c:pt>
                <c:pt idx="7">
                  <c:v>44</c:v>
                </c:pt>
                <c:pt idx="8">
                  <c:v>55</c:v>
                </c:pt>
              </c:numCache>
            </c:numRef>
          </c:val>
          <c:smooth val="0"/>
        </c:ser>
        <c:ser>
          <c:idx val="2"/>
          <c:order val="1"/>
          <c:tx>
            <c:strRef>
              <c:f>Sheet1!$D$1</c:f>
              <c:strCache>
                <c:ptCount val="1"/>
                <c:pt idx="0">
                  <c:v>Latgales reģions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Sheet1!$D$2:$D$10</c:f>
              <c:numCache>
                <c:formatCode>General</c:formatCode>
                <c:ptCount val="9"/>
                <c:pt idx="0">
                  <c:v>49</c:v>
                </c:pt>
                <c:pt idx="1">
                  <c:v>34</c:v>
                </c:pt>
                <c:pt idx="2">
                  <c:v>37</c:v>
                </c:pt>
                <c:pt idx="3">
                  <c:v>30</c:v>
                </c:pt>
                <c:pt idx="4">
                  <c:v>39</c:v>
                </c:pt>
                <c:pt idx="5">
                  <c:v>26</c:v>
                </c:pt>
                <c:pt idx="6">
                  <c:v>30</c:v>
                </c:pt>
                <c:pt idx="7">
                  <c:v>23</c:v>
                </c:pt>
                <c:pt idx="8">
                  <c:v>22</c:v>
                </c:pt>
              </c:numCache>
            </c:numRef>
          </c:val>
          <c:smooth val="0"/>
        </c:ser>
        <c:ser>
          <c:idx val="4"/>
          <c:order val="2"/>
          <c:tx>
            <c:strRef>
              <c:f>Sheet1!$F$1</c:f>
              <c:strCache>
                <c:ptCount val="1"/>
                <c:pt idx="0">
                  <c:v>Zemgales reģions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Sheet1!$F$2:$F$10</c:f>
              <c:numCache>
                <c:formatCode>General</c:formatCode>
                <c:ptCount val="9"/>
                <c:pt idx="0">
                  <c:v>45</c:v>
                </c:pt>
                <c:pt idx="1">
                  <c:v>40</c:v>
                </c:pt>
                <c:pt idx="2">
                  <c:v>37</c:v>
                </c:pt>
                <c:pt idx="3">
                  <c:v>43</c:v>
                </c:pt>
                <c:pt idx="4">
                  <c:v>33</c:v>
                </c:pt>
                <c:pt idx="5">
                  <c:v>35</c:v>
                </c:pt>
                <c:pt idx="6">
                  <c:v>33</c:v>
                </c:pt>
                <c:pt idx="7">
                  <c:v>30</c:v>
                </c:pt>
                <c:pt idx="8">
                  <c:v>36</c:v>
                </c:pt>
              </c:numCache>
            </c:numRef>
          </c:val>
          <c:smooth val="0"/>
        </c:ser>
        <c:ser>
          <c:idx val="1"/>
          <c:order val="3"/>
          <c:tx>
            <c:strRef>
              <c:f>Sheet1!$C$1</c:f>
              <c:strCache>
                <c:ptCount val="1"/>
                <c:pt idx="0">
                  <c:v>Kurzemes reģions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Sheet1!$C$2:$C$10</c:f>
              <c:numCache>
                <c:formatCode>General</c:formatCode>
                <c:ptCount val="9"/>
                <c:pt idx="0">
                  <c:v>23</c:v>
                </c:pt>
                <c:pt idx="1">
                  <c:v>20</c:v>
                </c:pt>
                <c:pt idx="2">
                  <c:v>13</c:v>
                </c:pt>
                <c:pt idx="3">
                  <c:v>18</c:v>
                </c:pt>
                <c:pt idx="4">
                  <c:v>28</c:v>
                </c:pt>
                <c:pt idx="5">
                  <c:v>21</c:v>
                </c:pt>
                <c:pt idx="6">
                  <c:v>23</c:v>
                </c:pt>
                <c:pt idx="7">
                  <c:v>21</c:v>
                </c:pt>
                <c:pt idx="8">
                  <c:v>17</c:v>
                </c:pt>
              </c:numCache>
            </c:numRef>
          </c:val>
          <c:smooth val="0"/>
        </c:ser>
        <c:ser>
          <c:idx val="3"/>
          <c:order val="4"/>
          <c:tx>
            <c:strRef>
              <c:f>Sheet1!$E$1</c:f>
              <c:strCache>
                <c:ptCount val="1"/>
                <c:pt idx="0">
                  <c:v>Vidzemes reģions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Sheet1!$A$2:$A$10</c:f>
              <c:strCache>
                <c:ptCount val="9"/>
                <c:pt idx="0">
                  <c:v>2010.</c:v>
                </c:pt>
                <c:pt idx="1">
                  <c:v>2011.</c:v>
                </c:pt>
                <c:pt idx="2">
                  <c:v>2012.</c:v>
                </c:pt>
                <c:pt idx="3">
                  <c:v>2013.</c:v>
                </c:pt>
                <c:pt idx="4">
                  <c:v>2014.</c:v>
                </c:pt>
                <c:pt idx="5">
                  <c:v>2015.</c:v>
                </c:pt>
                <c:pt idx="6">
                  <c:v>2016. </c:v>
                </c:pt>
                <c:pt idx="7">
                  <c:v>2017.</c:v>
                </c:pt>
                <c:pt idx="8">
                  <c:v>2018.</c:v>
                </c:pt>
              </c:strCache>
            </c:strRef>
          </c:cat>
          <c:val>
            <c:numRef>
              <c:f>Sheet1!$E$2:$E$10</c:f>
              <c:numCache>
                <c:formatCode>General</c:formatCode>
                <c:ptCount val="9"/>
                <c:pt idx="0">
                  <c:v>22</c:v>
                </c:pt>
                <c:pt idx="1">
                  <c:v>18</c:v>
                </c:pt>
                <c:pt idx="2">
                  <c:v>32</c:v>
                </c:pt>
                <c:pt idx="3">
                  <c:v>21</c:v>
                </c:pt>
                <c:pt idx="4">
                  <c:v>35</c:v>
                </c:pt>
                <c:pt idx="5">
                  <c:v>36</c:v>
                </c:pt>
                <c:pt idx="6">
                  <c:v>26</c:v>
                </c:pt>
                <c:pt idx="7">
                  <c:v>18</c:v>
                </c:pt>
                <c:pt idx="8">
                  <c:v>18</c:v>
                </c:pt>
              </c:numCache>
            </c:numRef>
          </c:val>
          <c:smooth val="0"/>
        </c:ser>
        <c:dLbls>
          <c:showLegendKey val="0"/>
          <c:showVal val="0"/>
          <c:showCatName val="0"/>
          <c:showSerName val="0"/>
          <c:showPercent val="0"/>
          <c:showBubbleSize val="0"/>
        </c:dLbls>
        <c:marker val="1"/>
        <c:smooth val="0"/>
        <c:axId val="490251456"/>
        <c:axId val="490256160"/>
      </c:lineChart>
      <c:catAx>
        <c:axId val="49025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6160"/>
        <c:crosses val="autoZero"/>
        <c:auto val="1"/>
        <c:lblAlgn val="ctr"/>
        <c:lblOffset val="100"/>
        <c:noMultiLvlLbl val="0"/>
      </c:catAx>
      <c:valAx>
        <c:axId val="49025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51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Eiropas Savienībā reģistrēto transportlīdzekļu īpašniekiem</a:t>
            </a:r>
            <a:r>
              <a:rPr lang="lv-LV" b="1" baseline="0"/>
              <a:t> (turētājiem) </a:t>
            </a:r>
            <a:r>
              <a:rPr lang="lv-LV" b="1"/>
              <a:t>nosūtītie protokoli-lēmumi</a:t>
            </a:r>
          </a:p>
        </c:rich>
      </c:tx>
      <c:layout>
        <c:manualLayout>
          <c:xMode val="edge"/>
          <c:yMode val="edge"/>
          <c:x val="0.13774370486376417"/>
          <c:y val="3.30237358101135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41290709116453"/>
          <c:y val="0.28700633102200784"/>
          <c:w val="0.85069231804728962"/>
          <c:h val="0.33648800381712912"/>
        </c:manualLayout>
      </c:layout>
      <c:bar3DChart>
        <c:barDir val="col"/>
        <c:grouping val="clustered"/>
        <c:varyColors val="0"/>
        <c:ser>
          <c:idx val="0"/>
          <c:order val="0"/>
          <c:tx>
            <c:strRef>
              <c:f>Sheet1!$A$2</c:f>
              <c:strCache>
                <c:ptCount val="1"/>
                <c:pt idx="0">
                  <c:v>Nosūtīto protokolu-lēmumu skaits</c:v>
                </c:pt>
              </c:strCache>
            </c:strRef>
          </c:tx>
          <c:spPr>
            <a:solidFill>
              <a:schemeClr val="accent1"/>
            </a:solidFill>
            <a:ln>
              <a:noFill/>
            </a:ln>
            <a:effectLst/>
            <a:sp3d/>
          </c:spPr>
          <c:invertIfNegative val="0"/>
          <c:dLbls>
            <c:dLbl>
              <c:idx val="0"/>
              <c:layout>
                <c:manualLayout>
                  <c:x val="-1.9263183241030601E-2"/>
                  <c:y val="-1.65118679050567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86876956417049E-2"/>
                  <c:y val="-1.238390092879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486876956417049E-2"/>
                  <c:y val="-1.23839009287927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71081146159493E-2"/>
                  <c:y val="-4.12796697626418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Sheet1!$B$2:$E$2</c:f>
              <c:numCache>
                <c:formatCode>#,##0</c:formatCode>
                <c:ptCount val="4"/>
                <c:pt idx="0">
                  <c:v>1557</c:v>
                </c:pt>
                <c:pt idx="1">
                  <c:v>26244</c:v>
                </c:pt>
                <c:pt idx="2">
                  <c:v>70692</c:v>
                </c:pt>
                <c:pt idx="3">
                  <c:v>94820</c:v>
                </c:pt>
              </c:numCache>
            </c:numRef>
          </c:val>
          <c:shape val="cylinder"/>
        </c:ser>
        <c:ser>
          <c:idx val="2"/>
          <c:order val="1"/>
          <c:tx>
            <c:strRef>
              <c:f>Sheet1!$A$4</c:f>
              <c:strCache>
                <c:ptCount val="1"/>
                <c:pt idx="0">
                  <c:v>Uzliktā naudas sodu summa (eur)</c:v>
                </c:pt>
              </c:strCache>
            </c:strRef>
          </c:tx>
          <c:spPr>
            <a:solidFill>
              <a:schemeClr val="accent5"/>
            </a:solidFill>
            <a:ln>
              <a:noFill/>
            </a:ln>
            <a:effectLst/>
            <a:sp3d/>
          </c:spPr>
          <c:invertIfNegative val="0"/>
          <c:dLbls>
            <c:dLbl>
              <c:idx val="0"/>
              <c:layout>
                <c:manualLayout>
                  <c:x val="-2.4197748975768745E-2"/>
                  <c:y val="-0.1088279412340161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28573386740584E-2"/>
                  <c:y val="-0.102073070518311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302672766674693E-2"/>
                  <c:y val="-3.49253072337920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973753912834098E-2"/>
                  <c:y val="-6.50730310806415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Sheet1!$B$4:$E$4</c:f>
              <c:numCache>
                <c:formatCode>#,##0</c:formatCode>
                <c:ptCount val="4"/>
                <c:pt idx="0">
                  <c:v>57692</c:v>
                </c:pt>
                <c:pt idx="1">
                  <c:v>1014710</c:v>
                </c:pt>
                <c:pt idx="2">
                  <c:v>3520135</c:v>
                </c:pt>
                <c:pt idx="3">
                  <c:v>4629760</c:v>
                </c:pt>
              </c:numCache>
            </c:numRef>
          </c:val>
          <c:shape val="cylinder"/>
        </c:ser>
        <c:ser>
          <c:idx val="3"/>
          <c:order val="2"/>
          <c:tx>
            <c:strRef>
              <c:f>Sheet1!$A$5</c:f>
              <c:strCache>
                <c:ptCount val="1"/>
                <c:pt idx="0">
                  <c:v>Samaksātā naudas sodu summma (eur)</c:v>
                </c:pt>
              </c:strCache>
            </c:strRef>
          </c:tx>
          <c:spPr>
            <a:solidFill>
              <a:schemeClr val="accent1">
                <a:lumMod val="60000"/>
              </a:schemeClr>
            </a:solidFill>
            <a:ln>
              <a:noFill/>
            </a:ln>
            <a:effectLst/>
            <a:sp3d/>
          </c:spPr>
          <c:invertIfNegative val="0"/>
          <c:dLbls>
            <c:dLbl>
              <c:idx val="0"/>
              <c:layout>
                <c:manualLayout>
                  <c:x val="1.4407773496398057E-2"/>
                  <c:y val="-9.92856428562111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39489525644112E-2"/>
                  <c:y val="-3.71517027863777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605345533349302E-2"/>
                  <c:y val="-3.71517027863777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157958102576275E-2"/>
                  <c:y val="-3.30237358101135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2015.</c:v>
                </c:pt>
                <c:pt idx="1">
                  <c:v>2016.</c:v>
                </c:pt>
                <c:pt idx="2">
                  <c:v>2017.</c:v>
                </c:pt>
                <c:pt idx="3">
                  <c:v>2018. </c:v>
                </c:pt>
              </c:strCache>
            </c:strRef>
          </c:cat>
          <c:val>
            <c:numRef>
              <c:f>Sheet1!$B$5:$E$5</c:f>
              <c:numCache>
                <c:formatCode>#,##0</c:formatCode>
                <c:ptCount val="4"/>
                <c:pt idx="0">
                  <c:v>32850</c:v>
                </c:pt>
                <c:pt idx="1">
                  <c:v>579330</c:v>
                </c:pt>
                <c:pt idx="2">
                  <c:v>1799260</c:v>
                </c:pt>
                <c:pt idx="3">
                  <c:v>2098940</c:v>
                </c:pt>
              </c:numCache>
            </c:numRef>
          </c:val>
          <c:shape val="cylinder"/>
        </c:ser>
        <c:dLbls>
          <c:showLegendKey val="0"/>
          <c:showVal val="0"/>
          <c:showCatName val="0"/>
          <c:showSerName val="0"/>
          <c:showPercent val="0"/>
          <c:showBubbleSize val="0"/>
        </c:dLbls>
        <c:gapWidth val="150"/>
        <c:shape val="box"/>
        <c:axId val="490260080"/>
        <c:axId val="490261648"/>
        <c:axId val="0"/>
        <c:extLst>
          <c:ext xmlns:c15="http://schemas.microsoft.com/office/drawing/2012/chart" uri="{02D57815-91ED-43cb-92C2-25804820EDAC}">
            <c15:filteredBarSeries>
              <c15:ser>
                <c:idx val="1"/>
                <c:order val="3"/>
                <c:tx>
                  <c:strRef>
                    <c:extLst>
                      <c:ext uri="{02D57815-91ED-43cb-92C2-25804820EDAC}">
                        <c15:formulaRef>
                          <c15:sqref>Sheet1!$A$3</c15:sqref>
                        </c15:formulaRef>
                      </c:ext>
                    </c:extLst>
                    <c:strCache>
                      <c:ptCount val="1"/>
                    </c:strCache>
                  </c:strRef>
                </c:tx>
                <c:spPr>
                  <a:solidFill>
                    <a:schemeClr val="accent3"/>
                  </a:solidFill>
                  <a:ln>
                    <a:noFill/>
                  </a:ln>
                  <a:effectLst/>
                  <a:sp3d/>
                </c:spPr>
                <c:invertIfNegative val="0"/>
                <c:dLbls>
                  <c:dLbl>
                    <c:idx val="0"/>
                    <c:layout>
                      <c:manualLayout>
                        <c:x val="4.8157958102576452E-3"/>
                        <c:y val="-5.3663570691434466E-2"/>
                      </c:manualLayout>
                    </c:layout>
                    <c:showLegendKey val="0"/>
                    <c:showVal val="1"/>
                    <c:showCatName val="0"/>
                    <c:showSerName val="0"/>
                    <c:showPercent val="0"/>
                    <c:showBubbleSize val="0"/>
                    <c:extLst>
                      <c:ext uri="{CE6537A1-D6FC-4f65-9D91-7224C49458BB}"/>
                    </c:extLst>
                  </c:dLbl>
                  <c:dLbl>
                    <c:idx val="1"/>
                    <c:layout>
                      <c:manualLayout>
                        <c:x val="7.2236937153864677E-3"/>
                        <c:y val="-2.8895768833849329E-2"/>
                      </c:manualLayout>
                    </c:layout>
                    <c:showLegendKey val="0"/>
                    <c:showVal val="1"/>
                    <c:showCatName val="0"/>
                    <c:showSerName val="0"/>
                    <c:showPercent val="0"/>
                    <c:showBubbleSize val="0"/>
                    <c:extLst>
                      <c:ext uri="{CE6537A1-D6FC-4f65-9D91-7224C49458BB}"/>
                    </c:extLst>
                  </c:dLbl>
                  <c:dLbl>
                    <c:idx val="2"/>
                    <c:layout>
                      <c:manualLayout>
                        <c:x val="2.4078979051287341E-3"/>
                        <c:y val="-2.4767801857585141E-2"/>
                      </c:manualLayout>
                    </c:layout>
                    <c:showLegendKey val="0"/>
                    <c:showVal val="1"/>
                    <c:showCatName val="0"/>
                    <c:showSerName val="0"/>
                    <c:showPercent val="0"/>
                    <c:showBubbleSize val="0"/>
                    <c:extLst>
                      <c:ext uri="{CE6537A1-D6FC-4f65-9D91-7224C49458BB}"/>
                    </c:extLst>
                  </c:dLbl>
                  <c:dLbl>
                    <c:idx val="3"/>
                    <c:layout>
                      <c:manualLayout>
                        <c:x val="4.8157958102575567E-3"/>
                        <c:y val="-2.0639834881321026E-2"/>
                      </c:manualLayout>
                    </c:layout>
                    <c:showLegendKey val="0"/>
                    <c:showVal val="1"/>
                    <c:showCatName val="0"/>
                    <c:showSerName val="0"/>
                    <c:showPercent val="0"/>
                    <c:showBubbleSize val="0"/>
                    <c:extLst>
                      <c:ex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Sheet1!$B$1:$E$1</c15:sqref>
                        </c15:formulaRef>
                      </c:ext>
                    </c:extLst>
                    <c:strCache>
                      <c:ptCount val="4"/>
                      <c:pt idx="0">
                        <c:v>2015.</c:v>
                      </c:pt>
                      <c:pt idx="1">
                        <c:v>2016.</c:v>
                      </c:pt>
                      <c:pt idx="2">
                        <c:v>2017.</c:v>
                      </c:pt>
                      <c:pt idx="3">
                        <c:v>2018. </c:v>
                      </c:pt>
                    </c:strCache>
                  </c:strRef>
                </c:cat>
                <c:val>
                  <c:numRef>
                    <c:extLst>
                      <c:ext uri="{02D57815-91ED-43cb-92C2-25804820EDAC}">
                        <c15:formulaRef>
                          <c15:sqref>Sheet1!$B$3:$E$3</c15:sqref>
                        </c15:formulaRef>
                      </c:ext>
                    </c:extLst>
                    <c:numCache>
                      <c:formatCode>General</c:formatCode>
                      <c:ptCount val="4"/>
                    </c:numCache>
                  </c:numRef>
                </c:val>
                <c:shape val="cylinder"/>
              </c15:ser>
            </c15:filteredBarSeries>
          </c:ext>
        </c:extLst>
      </c:bar3DChart>
      <c:catAx>
        <c:axId val="49026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61648"/>
        <c:crosses val="autoZero"/>
        <c:auto val="1"/>
        <c:lblAlgn val="ctr"/>
        <c:lblOffset val="100"/>
        <c:noMultiLvlLbl val="0"/>
      </c:catAx>
      <c:valAx>
        <c:axId val="490261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26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C86F-D59B-472F-AE19-F821DCF7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67061</Words>
  <Characters>38226</Characters>
  <Application>Microsoft Office Word</Application>
  <DocSecurity>0</DocSecurity>
  <Lines>318</Lines>
  <Paragraphs>210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tehniski līdzekļu (fotoradaru) turpmākās darbības  nodrošināšanu (atjaunošanu) un tās finansēšanas avotiem"</vt:lpstr>
      <vt:lpstr/>
    </vt:vector>
  </TitlesOfParts>
  <Company>Iekšlietu ministrija</Company>
  <LinksUpToDate>false</LinksUpToDate>
  <CharactersWithSpaces>105077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tehniski līdzekļu (fotoradaru) turpmākās darbības  nodrošināšanu (atjaunošanu) un tās finansēšanas avotiem"</dc:title>
  <dc:subject/>
  <dc:creator>Alda Strode</dc:creator>
  <cp:keywords/>
  <dc:description>alda.strode@iem.gov.lv; 67219602</dc:description>
  <cp:lastModifiedBy>Ieva Potjomkina</cp:lastModifiedBy>
  <cp:revision>67</cp:revision>
  <cp:lastPrinted>2019-05-13T08:16:00Z</cp:lastPrinted>
  <dcterms:created xsi:type="dcterms:W3CDTF">2019-05-10T11:15:00Z</dcterms:created>
  <dcterms:modified xsi:type="dcterms:W3CDTF">2019-05-14T05:29:00Z</dcterms:modified>
</cp:coreProperties>
</file>