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DD95B" w14:textId="77777777" w:rsidR="000952B3" w:rsidRPr="00600B68" w:rsidRDefault="00B650B7" w:rsidP="001351FC">
      <w:pPr>
        <w:jc w:val="center"/>
        <w:rPr>
          <w:b/>
        </w:rPr>
      </w:pPr>
      <w:r w:rsidRPr="00600B68">
        <w:rPr>
          <w:b/>
        </w:rPr>
        <w:t>Ministru kabineta noteikumu projekta</w:t>
      </w:r>
    </w:p>
    <w:p w14:paraId="27383188" w14:textId="3643CC99" w:rsidR="001351FC" w:rsidRPr="00600B68" w:rsidRDefault="00EC4ECA" w:rsidP="0015241F">
      <w:pPr>
        <w:jc w:val="center"/>
        <w:rPr>
          <w:b/>
        </w:rPr>
      </w:pPr>
      <w:r w:rsidRPr="00600B68">
        <w:rPr>
          <w:rFonts w:eastAsiaTheme="minorEastAsia"/>
          <w:b/>
        </w:rPr>
        <w:t>"</w:t>
      </w:r>
      <w:r w:rsidR="009F2AFD" w:rsidRPr="00600B68">
        <w:rPr>
          <w:b/>
        </w:rPr>
        <w:t xml:space="preserve">Grozījumi </w:t>
      </w:r>
      <w:r w:rsidR="00BB393B" w:rsidRPr="00600B68">
        <w:rPr>
          <w:b/>
        </w:rPr>
        <w:t>Ministru kabineta 201</w:t>
      </w:r>
      <w:r w:rsidR="00176E94" w:rsidRPr="00600B68">
        <w:rPr>
          <w:b/>
        </w:rPr>
        <w:t>6</w:t>
      </w:r>
      <w:r w:rsidR="00BB393B" w:rsidRPr="00600B68">
        <w:rPr>
          <w:b/>
        </w:rPr>
        <w:t xml:space="preserve">. gada </w:t>
      </w:r>
      <w:r w:rsidR="00176E94" w:rsidRPr="00600B68">
        <w:rPr>
          <w:b/>
        </w:rPr>
        <w:t>12. janvāra</w:t>
      </w:r>
      <w:r w:rsidR="00BB393B" w:rsidRPr="00600B68">
        <w:rPr>
          <w:b/>
        </w:rPr>
        <w:t xml:space="preserve"> noteikumos Nr. </w:t>
      </w:r>
      <w:r w:rsidR="00176E94" w:rsidRPr="00600B68">
        <w:rPr>
          <w:b/>
        </w:rPr>
        <w:t>34</w:t>
      </w:r>
      <w:r w:rsidR="00BB393B" w:rsidRPr="00600B68">
        <w:rPr>
          <w:b/>
        </w:rPr>
        <w:t xml:space="preserve"> </w:t>
      </w:r>
      <w:r w:rsidRPr="00600B68">
        <w:rPr>
          <w:rFonts w:eastAsiaTheme="minorEastAsia"/>
          <w:b/>
        </w:rPr>
        <w:t>"</w:t>
      </w:r>
      <w:r w:rsidR="00BB393B" w:rsidRPr="00600B68">
        <w:rPr>
          <w:b/>
        </w:rPr>
        <w:t xml:space="preserve">Darbības programmas </w:t>
      </w:r>
      <w:r w:rsidRPr="00600B68">
        <w:rPr>
          <w:rFonts w:eastAsiaTheme="minorEastAsia"/>
          <w:b/>
        </w:rPr>
        <w:t>"</w:t>
      </w:r>
      <w:r w:rsidR="00BB393B" w:rsidRPr="00600B68">
        <w:rPr>
          <w:b/>
        </w:rPr>
        <w:t>Izaugsme un nodarbinātība</w:t>
      </w:r>
      <w:r w:rsidRPr="00600B68">
        <w:rPr>
          <w:rFonts w:eastAsiaTheme="minorEastAsia"/>
          <w:b/>
        </w:rPr>
        <w:t>"</w:t>
      </w:r>
      <w:r w:rsidR="00BB393B" w:rsidRPr="00600B68">
        <w:rPr>
          <w:b/>
        </w:rPr>
        <w:t xml:space="preserve"> 1.1.1. specifiskā atbalsta mērķa </w:t>
      </w:r>
      <w:r w:rsidRPr="00600B68">
        <w:rPr>
          <w:rFonts w:eastAsiaTheme="minorEastAsia"/>
          <w:b/>
        </w:rPr>
        <w:t>"</w:t>
      </w:r>
      <w:r w:rsidR="00BB393B" w:rsidRPr="00600B68">
        <w:rPr>
          <w:b/>
        </w:rPr>
        <w:t>Palielināt Latvijas zinātnisko institūciju pētniecisko un inovatīvo kapacitāti un spēju piesaistīt ārējo finansējumu, ieguldot cilvēkresursos un infrastruktūrā</w:t>
      </w:r>
      <w:r w:rsidRPr="00600B68">
        <w:rPr>
          <w:rFonts w:eastAsiaTheme="minorEastAsia"/>
          <w:b/>
        </w:rPr>
        <w:t>"</w:t>
      </w:r>
      <w:r w:rsidR="00BB393B" w:rsidRPr="00600B68">
        <w:rPr>
          <w:b/>
        </w:rPr>
        <w:t xml:space="preserve"> 1.1.1.</w:t>
      </w:r>
      <w:r w:rsidR="00176E94" w:rsidRPr="00600B68">
        <w:rPr>
          <w:b/>
        </w:rPr>
        <w:t>1</w:t>
      </w:r>
      <w:r w:rsidR="00BB393B" w:rsidRPr="00600B68">
        <w:rPr>
          <w:b/>
        </w:rPr>
        <w:t xml:space="preserve">. pasākuma </w:t>
      </w:r>
      <w:r w:rsidRPr="00600B68">
        <w:rPr>
          <w:rFonts w:eastAsiaTheme="minorEastAsia"/>
          <w:b/>
        </w:rPr>
        <w:t>"</w:t>
      </w:r>
      <w:r w:rsidR="00176E94" w:rsidRPr="00600B68">
        <w:rPr>
          <w:b/>
        </w:rPr>
        <w:t>Praktiskas ievirzes pētījumi</w:t>
      </w:r>
      <w:r w:rsidRPr="00600B68">
        <w:rPr>
          <w:rFonts w:eastAsiaTheme="minorEastAsia"/>
          <w:b/>
        </w:rPr>
        <w:t>"</w:t>
      </w:r>
      <w:r w:rsidR="00BB393B" w:rsidRPr="00600B68">
        <w:rPr>
          <w:b/>
        </w:rPr>
        <w:t xml:space="preserve"> īstenošanas noteikumi</w:t>
      </w:r>
      <w:r w:rsidRPr="00600B68">
        <w:rPr>
          <w:rFonts w:eastAsiaTheme="minorEastAsia"/>
          <w:b/>
        </w:rPr>
        <w:t>"</w:t>
      </w:r>
      <w:r w:rsidR="00BB393B" w:rsidRPr="00600B68">
        <w:rPr>
          <w:b/>
        </w:rPr>
        <w:t xml:space="preserve"> </w:t>
      </w:r>
      <w:r w:rsidR="000952B3" w:rsidRPr="00600B68">
        <w:rPr>
          <w:b/>
        </w:rPr>
        <w:t>sākotnējās ietekmes novērtējuma ziņojums (anotācija)</w:t>
      </w:r>
    </w:p>
    <w:p w14:paraId="4A0644E9" w14:textId="77777777" w:rsidR="00AE1DA4" w:rsidRPr="00600B68" w:rsidRDefault="00AE1DA4" w:rsidP="0015241F">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6406"/>
      </w:tblGrid>
      <w:tr w:rsidR="00600B68" w:rsidRPr="00600B68" w14:paraId="374AF7B2" w14:textId="77777777" w:rsidTr="00530226">
        <w:tc>
          <w:tcPr>
            <w:tcW w:w="5000" w:type="pct"/>
            <w:gridSpan w:val="2"/>
            <w:tcBorders>
              <w:top w:val="single" w:sz="4" w:space="0" w:color="auto"/>
              <w:left w:val="single" w:sz="4" w:space="0" w:color="auto"/>
              <w:bottom w:val="single" w:sz="4" w:space="0" w:color="auto"/>
              <w:right w:val="single" w:sz="4" w:space="0" w:color="auto"/>
            </w:tcBorders>
            <w:shd w:val="clear" w:color="auto" w:fill="auto"/>
            <w:hideMark/>
          </w:tcPr>
          <w:p w14:paraId="31D0EE19" w14:textId="77777777" w:rsidR="000952B3" w:rsidRPr="00600B68" w:rsidRDefault="00B650B7" w:rsidP="001351FC">
            <w:pPr>
              <w:pStyle w:val="ListParagraph"/>
              <w:tabs>
                <w:tab w:val="left" w:pos="2268"/>
                <w:tab w:val="left" w:pos="2410"/>
              </w:tabs>
              <w:ind w:left="1080"/>
              <w:jc w:val="center"/>
              <w:rPr>
                <w:b/>
                <w:sz w:val="24"/>
                <w:szCs w:val="24"/>
                <w:lang w:eastAsia="en-US"/>
              </w:rPr>
            </w:pPr>
            <w:r w:rsidRPr="00600B68">
              <w:rPr>
                <w:b/>
                <w:bCs/>
                <w:sz w:val="24"/>
                <w:szCs w:val="24"/>
              </w:rPr>
              <w:t>Tiesību akta projekta anotācijas kopsavilkums</w:t>
            </w:r>
          </w:p>
        </w:tc>
      </w:tr>
      <w:tr w:rsidR="00600B68" w:rsidRPr="00600B68" w14:paraId="6457A4FB" w14:textId="77777777" w:rsidTr="00530226">
        <w:tc>
          <w:tcPr>
            <w:tcW w:w="1465" w:type="pct"/>
            <w:tcBorders>
              <w:top w:val="single" w:sz="4" w:space="0" w:color="auto"/>
              <w:left w:val="single" w:sz="4" w:space="0" w:color="auto"/>
              <w:bottom w:val="single" w:sz="4" w:space="0" w:color="auto"/>
              <w:right w:val="single" w:sz="4" w:space="0" w:color="auto"/>
            </w:tcBorders>
            <w:shd w:val="clear" w:color="auto" w:fill="auto"/>
          </w:tcPr>
          <w:p w14:paraId="520D2D7F" w14:textId="446A0AB5" w:rsidR="000952B3" w:rsidRPr="00600B68" w:rsidRDefault="00B650B7" w:rsidP="001351FC">
            <w:pPr>
              <w:tabs>
                <w:tab w:val="left" w:pos="1904"/>
              </w:tabs>
              <w:rPr>
                <w:lang w:eastAsia="en-US"/>
              </w:rPr>
            </w:pPr>
            <w:r w:rsidRPr="00600B68">
              <w:t>Mērķis, risinājums u</w:t>
            </w:r>
            <w:r w:rsidR="004210D4" w:rsidRPr="00600B68">
              <w:t>n projekta spēkā stāšanās laiks</w:t>
            </w:r>
            <w:r w:rsidR="00B023C3" w:rsidRPr="00600B68">
              <w:t xml:space="preserve"> (500 zīmes bez atstarpēm) </w:t>
            </w:r>
          </w:p>
        </w:tc>
        <w:tc>
          <w:tcPr>
            <w:tcW w:w="3535" w:type="pct"/>
            <w:tcBorders>
              <w:top w:val="single" w:sz="4" w:space="0" w:color="auto"/>
              <w:left w:val="single" w:sz="4" w:space="0" w:color="auto"/>
              <w:bottom w:val="single" w:sz="4" w:space="0" w:color="auto"/>
              <w:right w:val="single" w:sz="4" w:space="0" w:color="auto"/>
            </w:tcBorders>
            <w:shd w:val="clear" w:color="auto" w:fill="auto"/>
            <w:vAlign w:val="center"/>
          </w:tcPr>
          <w:p w14:paraId="1FF4F35A" w14:textId="77777777" w:rsidR="000D074F" w:rsidRPr="00600B68" w:rsidRDefault="000D074F" w:rsidP="003C1D2D">
            <w:pPr>
              <w:pStyle w:val="ListParagraph"/>
              <w:spacing w:before="60" w:after="60"/>
              <w:ind w:left="101" w:right="102"/>
              <w:jc w:val="both"/>
              <w:rPr>
                <w:rFonts w:eastAsiaTheme="minorEastAsia"/>
                <w:sz w:val="24"/>
                <w:szCs w:val="24"/>
              </w:rPr>
            </w:pPr>
            <w:r w:rsidRPr="00600B68">
              <w:rPr>
                <w:rFonts w:eastAsiaTheme="minorEastAsia"/>
                <w:sz w:val="24"/>
                <w:szCs w:val="24"/>
              </w:rPr>
              <w:t>Ministru kabineta noteikumu projekta mērķis ir pilnveidot un aktualizēt 1.1.1.1. pasākuma "Praktiskas ievirzes pētījumi" (turpmāk – 1.1.1.1. pasākums) īstenošanas noteikumus, lai:</w:t>
            </w:r>
          </w:p>
          <w:p w14:paraId="13288FAD" w14:textId="34F2FF24" w:rsidR="000D074F" w:rsidRPr="00600B68" w:rsidRDefault="000D074F" w:rsidP="003C1D2D">
            <w:pPr>
              <w:pStyle w:val="ListParagraph"/>
              <w:spacing w:before="60" w:after="60"/>
              <w:ind w:left="101" w:right="102"/>
              <w:jc w:val="both"/>
              <w:rPr>
                <w:rFonts w:eastAsiaTheme="minorEastAsia"/>
                <w:sz w:val="24"/>
                <w:szCs w:val="24"/>
              </w:rPr>
            </w:pPr>
            <w:r w:rsidRPr="00600B68">
              <w:rPr>
                <w:rFonts w:eastAsiaTheme="minorEastAsia"/>
                <w:sz w:val="24"/>
                <w:szCs w:val="24"/>
              </w:rPr>
              <w:t xml:space="preserve">– noteiktu trešās projektu iesniegumu atlases kārtas īstenošanas </w:t>
            </w:r>
            <w:r w:rsidR="00F8238E">
              <w:rPr>
                <w:rFonts w:eastAsiaTheme="minorEastAsia"/>
                <w:sz w:val="24"/>
                <w:szCs w:val="24"/>
              </w:rPr>
              <w:t>noteikumus</w:t>
            </w:r>
            <w:r w:rsidRPr="00600B68">
              <w:rPr>
                <w:rFonts w:eastAsiaTheme="minorEastAsia"/>
                <w:sz w:val="24"/>
                <w:szCs w:val="24"/>
              </w:rPr>
              <w:t>;</w:t>
            </w:r>
          </w:p>
          <w:p w14:paraId="161C9A5F" w14:textId="77777777" w:rsidR="000D074F" w:rsidRPr="00600B68" w:rsidRDefault="000D074F" w:rsidP="003C1D2D">
            <w:pPr>
              <w:pStyle w:val="ListParagraph"/>
              <w:spacing w:before="60" w:after="60"/>
              <w:ind w:left="101" w:right="102"/>
              <w:jc w:val="both"/>
              <w:rPr>
                <w:rFonts w:eastAsiaTheme="minorEastAsia"/>
                <w:sz w:val="24"/>
                <w:szCs w:val="24"/>
              </w:rPr>
            </w:pPr>
            <w:r w:rsidRPr="00600B68">
              <w:rPr>
                <w:rFonts w:eastAsiaTheme="minorEastAsia"/>
                <w:sz w:val="24"/>
                <w:szCs w:val="24"/>
              </w:rPr>
              <w:t>– sekmētu iznākuma rādītāju izpildi;</w:t>
            </w:r>
          </w:p>
          <w:p w14:paraId="625ADCAA" w14:textId="77777777" w:rsidR="000D074F" w:rsidRPr="00600B68" w:rsidRDefault="000D074F" w:rsidP="003C1D2D">
            <w:pPr>
              <w:pStyle w:val="ListParagraph"/>
              <w:spacing w:before="60" w:after="60"/>
              <w:ind w:left="101" w:right="102"/>
              <w:jc w:val="both"/>
              <w:rPr>
                <w:rFonts w:eastAsiaTheme="minorEastAsia"/>
                <w:sz w:val="24"/>
                <w:szCs w:val="24"/>
              </w:rPr>
            </w:pPr>
            <w:r w:rsidRPr="00600B68">
              <w:rPr>
                <w:rFonts w:eastAsiaTheme="minorEastAsia"/>
                <w:sz w:val="24"/>
                <w:szCs w:val="24"/>
              </w:rPr>
              <w:t>– radītu finansējuma saņēmējiem labvēlīgākus nosacījumus;</w:t>
            </w:r>
          </w:p>
          <w:p w14:paraId="52D061C3" w14:textId="77777777" w:rsidR="000D074F" w:rsidRPr="00600B68" w:rsidRDefault="000D074F" w:rsidP="003C1D2D">
            <w:pPr>
              <w:pStyle w:val="ListParagraph"/>
              <w:spacing w:before="60" w:after="60"/>
              <w:ind w:left="101" w:right="102"/>
              <w:jc w:val="both"/>
              <w:rPr>
                <w:rFonts w:eastAsiaTheme="minorEastAsia"/>
                <w:sz w:val="24"/>
                <w:szCs w:val="24"/>
              </w:rPr>
            </w:pPr>
            <w:r w:rsidRPr="00600B68">
              <w:rPr>
                <w:rFonts w:eastAsiaTheme="minorEastAsia"/>
                <w:sz w:val="24"/>
                <w:szCs w:val="24"/>
              </w:rPr>
              <w:t>– samazinātu administratīvo slogu;</w:t>
            </w:r>
          </w:p>
          <w:p w14:paraId="1F436749" w14:textId="77777777" w:rsidR="000D074F" w:rsidRPr="00600B68" w:rsidRDefault="000D074F" w:rsidP="003C1D2D">
            <w:pPr>
              <w:pStyle w:val="ListParagraph"/>
              <w:spacing w:before="60" w:after="60"/>
              <w:ind w:left="101" w:right="102"/>
              <w:jc w:val="both"/>
              <w:rPr>
                <w:rFonts w:eastAsiaTheme="minorEastAsia"/>
                <w:sz w:val="24"/>
                <w:szCs w:val="24"/>
              </w:rPr>
            </w:pPr>
            <w:r w:rsidRPr="00600B68">
              <w:rPr>
                <w:rFonts w:eastAsiaTheme="minorEastAsia"/>
                <w:sz w:val="24"/>
                <w:szCs w:val="24"/>
              </w:rPr>
              <w:t xml:space="preserve">– nodrošinātu normu </w:t>
            </w:r>
            <w:r>
              <w:rPr>
                <w:rFonts w:eastAsiaTheme="minorEastAsia"/>
                <w:sz w:val="24"/>
                <w:szCs w:val="24"/>
              </w:rPr>
              <w:t xml:space="preserve">savstarpēju </w:t>
            </w:r>
            <w:r w:rsidRPr="00600B68">
              <w:rPr>
                <w:rFonts w:eastAsiaTheme="minorEastAsia"/>
                <w:sz w:val="24"/>
                <w:szCs w:val="24"/>
              </w:rPr>
              <w:t>sistematizāciju.</w:t>
            </w:r>
          </w:p>
          <w:p w14:paraId="6C67C759" w14:textId="405BB52D" w:rsidR="000952B3" w:rsidRPr="00600B68" w:rsidRDefault="00B000A1" w:rsidP="003C1D2D">
            <w:pPr>
              <w:jc w:val="both"/>
              <w:rPr>
                <w:rFonts w:eastAsiaTheme="minorEastAsia"/>
              </w:rPr>
            </w:pPr>
            <w:r w:rsidRPr="00600B68">
              <w:rPr>
                <w:rFonts w:eastAsiaTheme="minorEastAsia"/>
              </w:rPr>
              <w:t>Noteikumu projekts stāsies spēkā Oficiālo publikāciju un tiesiskās informācijas likumā noteiktajā kārtībā.</w:t>
            </w:r>
          </w:p>
        </w:tc>
      </w:tr>
    </w:tbl>
    <w:p w14:paraId="11611092" w14:textId="62CCBDEA" w:rsidR="000952B3" w:rsidRPr="00600B68" w:rsidRDefault="00046435" w:rsidP="00785EFA">
      <w:pPr>
        <w:tabs>
          <w:tab w:val="left" w:pos="5388"/>
        </w:tabs>
      </w:pPr>
      <w:r w:rsidRPr="00600B6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
        <w:gridCol w:w="1949"/>
        <w:gridCol w:w="6323"/>
      </w:tblGrid>
      <w:tr w:rsidR="00600B68" w:rsidRPr="00600B68" w14:paraId="57FE3E7E" w14:textId="77777777" w:rsidTr="00530226">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3C56D48" w14:textId="77777777" w:rsidR="000952B3" w:rsidRPr="00600B68" w:rsidRDefault="00B650B7" w:rsidP="001351FC">
            <w:pPr>
              <w:pStyle w:val="ListParagraph"/>
              <w:tabs>
                <w:tab w:val="left" w:pos="2268"/>
                <w:tab w:val="left" w:pos="2410"/>
              </w:tabs>
              <w:ind w:left="1080"/>
              <w:jc w:val="center"/>
              <w:rPr>
                <w:b/>
                <w:sz w:val="24"/>
                <w:szCs w:val="24"/>
                <w:lang w:eastAsia="en-US"/>
              </w:rPr>
            </w:pPr>
            <w:r w:rsidRPr="00600B68">
              <w:rPr>
                <w:b/>
                <w:bCs/>
                <w:sz w:val="24"/>
                <w:szCs w:val="24"/>
              </w:rPr>
              <w:t>I. Tiesību akta projekta izstrādes nepieciešamība</w:t>
            </w:r>
          </w:p>
        </w:tc>
      </w:tr>
      <w:tr w:rsidR="00600B68" w:rsidRPr="00600B68" w14:paraId="64D4EB35" w14:textId="77777777" w:rsidTr="00310798">
        <w:tc>
          <w:tcPr>
            <w:tcW w:w="436" w:type="pct"/>
            <w:tcBorders>
              <w:top w:val="single" w:sz="4" w:space="0" w:color="auto"/>
              <w:left w:val="single" w:sz="4" w:space="0" w:color="auto"/>
              <w:bottom w:val="single" w:sz="4" w:space="0" w:color="auto"/>
              <w:right w:val="single" w:sz="4" w:space="0" w:color="auto"/>
            </w:tcBorders>
            <w:shd w:val="clear" w:color="auto" w:fill="auto"/>
          </w:tcPr>
          <w:p w14:paraId="4FB051B9" w14:textId="77777777" w:rsidR="000952B3" w:rsidRPr="00600B68" w:rsidRDefault="00B650B7" w:rsidP="001351FC">
            <w:pPr>
              <w:jc w:val="center"/>
              <w:rPr>
                <w:lang w:eastAsia="en-US"/>
              </w:rPr>
            </w:pPr>
            <w:r w:rsidRPr="00600B68">
              <w:t>1.</w:t>
            </w:r>
          </w:p>
        </w:tc>
        <w:tc>
          <w:tcPr>
            <w:tcW w:w="1075" w:type="pct"/>
            <w:tcBorders>
              <w:top w:val="single" w:sz="4" w:space="0" w:color="auto"/>
              <w:left w:val="single" w:sz="4" w:space="0" w:color="auto"/>
              <w:bottom w:val="single" w:sz="4" w:space="0" w:color="auto"/>
              <w:right w:val="single" w:sz="4" w:space="0" w:color="auto"/>
            </w:tcBorders>
            <w:shd w:val="clear" w:color="auto" w:fill="auto"/>
          </w:tcPr>
          <w:p w14:paraId="3A3BF9E7" w14:textId="77777777" w:rsidR="000952B3" w:rsidRPr="00600B68" w:rsidRDefault="00B650B7" w:rsidP="001351FC">
            <w:pPr>
              <w:tabs>
                <w:tab w:val="left" w:pos="1904"/>
              </w:tabs>
              <w:rPr>
                <w:lang w:eastAsia="en-US"/>
              </w:rPr>
            </w:pPr>
            <w:r w:rsidRPr="00600B68">
              <w:t>Pamatojums</w:t>
            </w:r>
          </w:p>
        </w:tc>
        <w:tc>
          <w:tcPr>
            <w:tcW w:w="3489" w:type="pct"/>
            <w:tcBorders>
              <w:top w:val="single" w:sz="4" w:space="0" w:color="auto"/>
              <w:left w:val="single" w:sz="4" w:space="0" w:color="auto"/>
              <w:bottom w:val="single" w:sz="4" w:space="0" w:color="auto"/>
              <w:right w:val="single" w:sz="4" w:space="0" w:color="auto"/>
            </w:tcBorders>
            <w:shd w:val="clear" w:color="auto" w:fill="auto"/>
            <w:vAlign w:val="center"/>
          </w:tcPr>
          <w:p w14:paraId="19A88AD7" w14:textId="315C8E55" w:rsidR="005533BE" w:rsidRPr="00600B68" w:rsidRDefault="000570D3" w:rsidP="000570D3">
            <w:pPr>
              <w:pStyle w:val="ListParagraph"/>
              <w:spacing w:before="60" w:after="60"/>
              <w:ind w:left="101" w:right="102"/>
              <w:jc w:val="both"/>
              <w:rPr>
                <w:rFonts w:eastAsiaTheme="minorEastAsia"/>
                <w:sz w:val="24"/>
                <w:szCs w:val="24"/>
              </w:rPr>
            </w:pPr>
            <w:r w:rsidRPr="00600B68">
              <w:rPr>
                <w:rFonts w:eastAsiaTheme="minorEastAsia"/>
                <w:sz w:val="24"/>
                <w:szCs w:val="24"/>
              </w:rPr>
              <w:t>N</w:t>
            </w:r>
            <w:r w:rsidR="00C84E4C" w:rsidRPr="00600B68">
              <w:rPr>
                <w:rFonts w:eastAsiaTheme="minorEastAsia"/>
                <w:sz w:val="24"/>
                <w:szCs w:val="24"/>
              </w:rPr>
              <w:t xml:space="preserve">oteikumu </w:t>
            </w:r>
            <w:r w:rsidR="00EC4ECA" w:rsidRPr="00600B68">
              <w:rPr>
                <w:rFonts w:eastAsiaTheme="minorEastAsia"/>
                <w:sz w:val="24"/>
                <w:szCs w:val="24"/>
              </w:rPr>
              <w:t>"Grozījumi Ministru kabineta 2016. gada 12.</w:t>
            </w:r>
            <w:r w:rsidR="000D074F">
              <w:rPr>
                <w:rFonts w:eastAsiaTheme="minorEastAsia"/>
                <w:sz w:val="24"/>
                <w:szCs w:val="24"/>
              </w:rPr>
              <w:t> </w:t>
            </w:r>
            <w:r w:rsidR="00EC4ECA" w:rsidRPr="00600B68">
              <w:rPr>
                <w:rFonts w:eastAsiaTheme="minorEastAsia"/>
                <w:sz w:val="24"/>
                <w:szCs w:val="24"/>
              </w:rPr>
              <w:t xml:space="preserve">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w:t>
            </w:r>
            <w:r w:rsidR="00C84E4C" w:rsidRPr="00600B68">
              <w:rPr>
                <w:rFonts w:eastAsiaTheme="minorEastAsia"/>
                <w:sz w:val="24"/>
                <w:szCs w:val="24"/>
              </w:rPr>
              <w:t xml:space="preserve">projekts </w:t>
            </w:r>
            <w:r w:rsidR="00EC4ECA" w:rsidRPr="00600B68">
              <w:rPr>
                <w:rFonts w:eastAsiaTheme="minorEastAsia"/>
                <w:sz w:val="24"/>
                <w:szCs w:val="24"/>
              </w:rPr>
              <w:t xml:space="preserve">(turpmāk – noteikumu projekts) </w:t>
            </w:r>
            <w:r w:rsidR="00154ADC" w:rsidRPr="00600B68">
              <w:rPr>
                <w:rFonts w:eastAsiaTheme="minorEastAsia"/>
                <w:sz w:val="24"/>
                <w:szCs w:val="24"/>
              </w:rPr>
              <w:t>sagatavots saskaņā ar Eiropas Savienības struktūrfondu un Kohēzijas fonda 2014. – 2020. gada plānošanas perioda vadības likuma 20. panta 6.</w:t>
            </w:r>
            <w:r w:rsidR="005533BE" w:rsidRPr="00600B68">
              <w:rPr>
                <w:rFonts w:eastAsiaTheme="minorEastAsia"/>
                <w:sz w:val="24"/>
                <w:szCs w:val="24"/>
              </w:rPr>
              <w:t xml:space="preserve"> un 13. punktu.</w:t>
            </w:r>
          </w:p>
          <w:p w14:paraId="4D5F8743" w14:textId="46CD2573" w:rsidR="005C1803" w:rsidRPr="00600B68" w:rsidRDefault="00FE7980" w:rsidP="000570D3">
            <w:pPr>
              <w:pStyle w:val="ListParagraph"/>
              <w:spacing w:before="60" w:after="60"/>
              <w:ind w:left="101" w:right="102"/>
              <w:jc w:val="both"/>
              <w:rPr>
                <w:rFonts w:eastAsiaTheme="minorEastAsia"/>
                <w:sz w:val="24"/>
                <w:szCs w:val="24"/>
              </w:rPr>
            </w:pPr>
            <w:r w:rsidRPr="00600B68">
              <w:rPr>
                <w:rFonts w:eastAsiaTheme="minorEastAsia"/>
                <w:sz w:val="24"/>
                <w:szCs w:val="24"/>
              </w:rPr>
              <w:t>Noteikumu projekta sagatavošanā ņemta vērā Centrālās finanšu un līgumu aģentūras</w:t>
            </w:r>
            <w:r w:rsidR="006C27E2" w:rsidRPr="00600B68">
              <w:rPr>
                <w:rFonts w:eastAsiaTheme="minorEastAsia"/>
                <w:sz w:val="24"/>
                <w:szCs w:val="24"/>
              </w:rPr>
              <w:t xml:space="preserve"> (turpmāk – CFLA)</w:t>
            </w:r>
            <w:r w:rsidRPr="00600B68">
              <w:rPr>
                <w:rFonts w:eastAsiaTheme="minorEastAsia"/>
                <w:sz w:val="24"/>
                <w:szCs w:val="24"/>
              </w:rPr>
              <w:t xml:space="preserve"> </w:t>
            </w:r>
            <w:r w:rsidR="00C84E4C" w:rsidRPr="00600B68">
              <w:rPr>
                <w:rFonts w:eastAsiaTheme="minorEastAsia"/>
                <w:sz w:val="24"/>
                <w:szCs w:val="24"/>
              </w:rPr>
              <w:t>2019. gada 22. janvāra vēstulē Nr. 39-2-28/758 “Par 1.1.1.1.</w:t>
            </w:r>
            <w:r w:rsidR="003F3A05" w:rsidRPr="00600B68">
              <w:rPr>
                <w:rFonts w:eastAsiaTheme="minorEastAsia"/>
                <w:sz w:val="24"/>
                <w:szCs w:val="24"/>
              </w:rPr>
              <w:t xml:space="preserve"> </w:t>
            </w:r>
            <w:r w:rsidR="00C84E4C" w:rsidRPr="00600B68">
              <w:rPr>
                <w:rFonts w:eastAsiaTheme="minorEastAsia"/>
                <w:sz w:val="24"/>
                <w:szCs w:val="24"/>
              </w:rPr>
              <w:t>pasākuma 2.</w:t>
            </w:r>
            <w:r w:rsidR="00B7546B">
              <w:rPr>
                <w:rFonts w:eastAsiaTheme="minorEastAsia"/>
                <w:sz w:val="24"/>
                <w:szCs w:val="24"/>
              </w:rPr>
              <w:t> </w:t>
            </w:r>
            <w:r w:rsidR="00C84E4C" w:rsidRPr="00600B68">
              <w:rPr>
                <w:rFonts w:eastAsiaTheme="minorEastAsia"/>
                <w:sz w:val="24"/>
                <w:szCs w:val="24"/>
              </w:rPr>
              <w:t xml:space="preserve">kārtas projektu </w:t>
            </w:r>
            <w:proofErr w:type="spellStart"/>
            <w:r w:rsidR="00C84E4C" w:rsidRPr="00600B68">
              <w:rPr>
                <w:rFonts w:eastAsiaTheme="minorEastAsia"/>
                <w:sz w:val="24"/>
                <w:szCs w:val="24"/>
              </w:rPr>
              <w:t>vidusposma</w:t>
            </w:r>
            <w:proofErr w:type="spellEnd"/>
            <w:r w:rsidR="00C84E4C" w:rsidRPr="00600B68">
              <w:rPr>
                <w:rFonts w:eastAsiaTheme="minorEastAsia"/>
                <w:sz w:val="24"/>
                <w:szCs w:val="24"/>
              </w:rPr>
              <w:t xml:space="preserve"> zinātniskās kvalitātes </w:t>
            </w:r>
            <w:proofErr w:type="spellStart"/>
            <w:r w:rsidR="00C84E4C" w:rsidRPr="00600B68">
              <w:rPr>
                <w:rFonts w:eastAsiaTheme="minorEastAsia"/>
                <w:sz w:val="24"/>
                <w:szCs w:val="24"/>
              </w:rPr>
              <w:t>izvērtējumu</w:t>
            </w:r>
            <w:proofErr w:type="spellEnd"/>
            <w:r w:rsidR="00C84E4C" w:rsidRPr="00600B68">
              <w:rPr>
                <w:rFonts w:eastAsiaTheme="minorEastAsia"/>
                <w:sz w:val="24"/>
                <w:szCs w:val="24"/>
              </w:rPr>
              <w:t xml:space="preserve">” </w:t>
            </w:r>
            <w:r w:rsidRPr="00600B68">
              <w:rPr>
                <w:rFonts w:eastAsiaTheme="minorEastAsia"/>
                <w:sz w:val="24"/>
                <w:szCs w:val="24"/>
              </w:rPr>
              <w:t xml:space="preserve">sniegtā informācija. </w:t>
            </w:r>
          </w:p>
        </w:tc>
      </w:tr>
      <w:tr w:rsidR="00600B68" w:rsidRPr="00600B68" w14:paraId="0CFF28F5" w14:textId="77777777" w:rsidTr="008B1C36">
        <w:tc>
          <w:tcPr>
            <w:tcW w:w="435" w:type="pct"/>
            <w:tcBorders>
              <w:top w:val="single" w:sz="4" w:space="0" w:color="auto"/>
              <w:left w:val="single" w:sz="4" w:space="0" w:color="auto"/>
              <w:bottom w:val="single" w:sz="4" w:space="0" w:color="auto"/>
              <w:right w:val="single" w:sz="4" w:space="0" w:color="auto"/>
            </w:tcBorders>
            <w:shd w:val="clear" w:color="auto" w:fill="auto"/>
          </w:tcPr>
          <w:p w14:paraId="5750303C" w14:textId="24C15461" w:rsidR="00055596" w:rsidRPr="00600B68" w:rsidRDefault="00B650B7" w:rsidP="001351FC">
            <w:pPr>
              <w:jc w:val="center"/>
              <w:rPr>
                <w:lang w:eastAsia="en-US"/>
              </w:rPr>
            </w:pPr>
            <w:r w:rsidRPr="00600B68">
              <w:t>2.</w:t>
            </w:r>
          </w:p>
        </w:tc>
        <w:tc>
          <w:tcPr>
            <w:tcW w:w="1075" w:type="pct"/>
            <w:tcBorders>
              <w:top w:val="single" w:sz="4" w:space="0" w:color="auto"/>
              <w:left w:val="single" w:sz="4" w:space="0" w:color="auto"/>
              <w:bottom w:val="single" w:sz="4" w:space="0" w:color="auto"/>
              <w:right w:val="single" w:sz="4" w:space="0" w:color="auto"/>
            </w:tcBorders>
            <w:shd w:val="clear" w:color="auto" w:fill="auto"/>
          </w:tcPr>
          <w:p w14:paraId="3A5761C9" w14:textId="77777777" w:rsidR="00055596" w:rsidRPr="00600B68" w:rsidRDefault="00B650B7" w:rsidP="001351FC">
            <w:pPr>
              <w:jc w:val="both"/>
              <w:rPr>
                <w:lang w:eastAsia="en-US"/>
              </w:rPr>
            </w:pPr>
            <w:r w:rsidRPr="00600B68">
              <w:t xml:space="preserve">Pašreizējā situācija un problēmas, kuru risināšanai tiesību akta projekts izstrādāts, tiesiskā regulējuma mērķis un būtība </w:t>
            </w:r>
          </w:p>
        </w:tc>
        <w:tc>
          <w:tcPr>
            <w:tcW w:w="3489" w:type="pct"/>
            <w:tcBorders>
              <w:top w:val="single" w:sz="4" w:space="0" w:color="auto"/>
              <w:left w:val="single" w:sz="4" w:space="0" w:color="auto"/>
              <w:bottom w:val="single" w:sz="4" w:space="0" w:color="auto"/>
              <w:right w:val="single" w:sz="4" w:space="0" w:color="auto"/>
            </w:tcBorders>
            <w:shd w:val="clear" w:color="auto" w:fill="auto"/>
          </w:tcPr>
          <w:p w14:paraId="13796ED7" w14:textId="2AE23E20" w:rsidR="000570D3" w:rsidRDefault="000570D3" w:rsidP="000570D3">
            <w:pPr>
              <w:pStyle w:val="ListParagraph"/>
              <w:spacing w:before="60" w:after="60"/>
              <w:ind w:left="101" w:right="102"/>
              <w:jc w:val="both"/>
              <w:rPr>
                <w:rFonts w:eastAsiaTheme="minorEastAsia"/>
                <w:sz w:val="24"/>
                <w:szCs w:val="24"/>
              </w:rPr>
            </w:pPr>
            <w:r w:rsidRPr="00600B68">
              <w:rPr>
                <w:rFonts w:eastAsiaTheme="minorEastAsia"/>
                <w:sz w:val="24"/>
                <w:szCs w:val="24"/>
              </w:rPr>
              <w:t>Ministru kabineta 2016. gada 12. janvāra noteikumi Nr. 34 "Darbības programmas "Izaugsme un nodarbinātība" 1.1.1.</w:t>
            </w:r>
            <w:r w:rsidR="000D074F">
              <w:rPr>
                <w:rFonts w:eastAsiaTheme="minorEastAsia"/>
                <w:sz w:val="24"/>
                <w:szCs w:val="24"/>
              </w:rPr>
              <w:t> </w:t>
            </w:r>
            <w:r w:rsidRPr="00600B68">
              <w:rPr>
                <w:rFonts w:eastAsiaTheme="minorEastAsia"/>
                <w:sz w:val="24"/>
                <w:szCs w:val="24"/>
              </w:rPr>
              <w:t>specifiskā atbalsta mērķa "Palielināt Latvijas zinātnisko institūciju pētniecisko un inovatīvo kapacitāti un spēju piesaistīt ārējo finansējumu, ieguldot cilvēkresursos un infrastruktūrā" 1.1.1.1</w:t>
            </w:r>
            <w:r w:rsidR="009D5CC8" w:rsidRPr="00600B68">
              <w:rPr>
                <w:rFonts w:eastAsiaTheme="minorEastAsia"/>
                <w:sz w:val="24"/>
                <w:szCs w:val="24"/>
              </w:rPr>
              <w:t>.</w:t>
            </w:r>
            <w:r w:rsidR="009D5CC8">
              <w:rPr>
                <w:rFonts w:eastAsiaTheme="minorEastAsia"/>
                <w:sz w:val="24"/>
                <w:szCs w:val="24"/>
              </w:rPr>
              <w:t> </w:t>
            </w:r>
            <w:r w:rsidRPr="00600B68">
              <w:rPr>
                <w:rFonts w:eastAsiaTheme="minorEastAsia"/>
                <w:sz w:val="24"/>
                <w:szCs w:val="24"/>
              </w:rPr>
              <w:t>pasākuma "Praktiskas ievirzes pētījumi" īstenošanas noteikumi" (turpmāk – MK noteikumi) nosaka kārtīb</w:t>
            </w:r>
            <w:r w:rsidR="00B7771D">
              <w:rPr>
                <w:rFonts w:eastAsiaTheme="minorEastAsia"/>
                <w:sz w:val="24"/>
                <w:szCs w:val="24"/>
              </w:rPr>
              <w:t>u, kādā īsteno 1.1.1.1</w:t>
            </w:r>
            <w:r w:rsidR="009D5CC8">
              <w:rPr>
                <w:rFonts w:eastAsiaTheme="minorEastAsia"/>
                <w:sz w:val="24"/>
                <w:szCs w:val="24"/>
              </w:rPr>
              <w:t>. </w:t>
            </w:r>
            <w:r w:rsidR="00B7771D">
              <w:rPr>
                <w:rFonts w:eastAsiaTheme="minorEastAsia"/>
                <w:sz w:val="24"/>
                <w:szCs w:val="24"/>
              </w:rPr>
              <w:t>pasākuma pirmo un otro projektu iesniegumu atlases kārtu</w:t>
            </w:r>
            <w:r w:rsidRPr="00600B68">
              <w:rPr>
                <w:rFonts w:eastAsiaTheme="minorEastAsia"/>
                <w:sz w:val="24"/>
                <w:szCs w:val="24"/>
              </w:rPr>
              <w:t xml:space="preserve">. </w:t>
            </w:r>
            <w:r w:rsidR="00B7771D" w:rsidRPr="00600B68">
              <w:rPr>
                <w:rFonts w:eastAsiaTheme="minorEastAsia"/>
                <w:sz w:val="24"/>
                <w:szCs w:val="24"/>
              </w:rPr>
              <w:t>2019. gada 3. ceturksnī plānots izsludināt 1.1.1.1</w:t>
            </w:r>
            <w:r w:rsidR="009D5CC8" w:rsidRPr="00600B68">
              <w:rPr>
                <w:rFonts w:eastAsiaTheme="minorEastAsia"/>
                <w:sz w:val="24"/>
                <w:szCs w:val="24"/>
              </w:rPr>
              <w:t>.</w:t>
            </w:r>
            <w:r w:rsidR="009D5CC8">
              <w:rPr>
                <w:rFonts w:eastAsiaTheme="minorEastAsia"/>
                <w:sz w:val="24"/>
                <w:szCs w:val="24"/>
              </w:rPr>
              <w:t> </w:t>
            </w:r>
            <w:r w:rsidR="00B7771D" w:rsidRPr="00600B68">
              <w:rPr>
                <w:rFonts w:eastAsiaTheme="minorEastAsia"/>
                <w:sz w:val="24"/>
                <w:szCs w:val="24"/>
              </w:rPr>
              <w:t>pasākuma trešo projektu iesniegumu atlases kārtu. MK noteikumos nav noteikt</w:t>
            </w:r>
            <w:r w:rsidR="00B7771D">
              <w:rPr>
                <w:rFonts w:eastAsiaTheme="minorEastAsia"/>
                <w:sz w:val="24"/>
                <w:szCs w:val="24"/>
              </w:rPr>
              <w:t>i specifiski</w:t>
            </w:r>
            <w:r w:rsidR="00B7771D" w:rsidRPr="00600B68">
              <w:rPr>
                <w:rFonts w:eastAsiaTheme="minorEastAsia"/>
                <w:sz w:val="24"/>
                <w:szCs w:val="24"/>
              </w:rPr>
              <w:t xml:space="preserve"> trešās projektu iesniegumu atlases kārtas īstenošanas noteikumi.</w:t>
            </w:r>
          </w:p>
          <w:p w14:paraId="2DE8A9FE" w14:textId="77777777" w:rsidR="00B7771D" w:rsidRDefault="00B7771D" w:rsidP="000570D3">
            <w:pPr>
              <w:pStyle w:val="ListParagraph"/>
              <w:spacing w:before="60" w:after="60"/>
              <w:ind w:left="101" w:right="102"/>
              <w:jc w:val="both"/>
              <w:rPr>
                <w:rFonts w:eastAsiaTheme="minorEastAsia"/>
                <w:sz w:val="24"/>
                <w:szCs w:val="24"/>
              </w:rPr>
            </w:pPr>
          </w:p>
          <w:p w14:paraId="4F8AF801" w14:textId="5B504251" w:rsidR="000570D3" w:rsidRPr="002B5815" w:rsidRDefault="00C73FF6" w:rsidP="000570D3">
            <w:pPr>
              <w:pStyle w:val="ListParagraph"/>
              <w:spacing w:before="60" w:after="60"/>
              <w:ind w:left="101" w:right="102"/>
              <w:jc w:val="both"/>
              <w:rPr>
                <w:rFonts w:eastAsiaTheme="minorEastAsia"/>
                <w:b/>
                <w:sz w:val="24"/>
                <w:szCs w:val="24"/>
              </w:rPr>
            </w:pPr>
            <w:r w:rsidRPr="002B5815">
              <w:rPr>
                <w:rFonts w:eastAsiaTheme="minorEastAsia"/>
                <w:b/>
                <w:sz w:val="24"/>
                <w:szCs w:val="24"/>
              </w:rPr>
              <w:t>I. Trešā projektu iesniegumu atlases kārta</w:t>
            </w:r>
          </w:p>
          <w:p w14:paraId="51F979B5" w14:textId="26DC0AAC" w:rsidR="00C635A7" w:rsidRPr="00600B68" w:rsidRDefault="00A434F6" w:rsidP="00A434F6">
            <w:pPr>
              <w:pStyle w:val="ListParagraph"/>
              <w:spacing w:before="60" w:after="60"/>
              <w:ind w:left="101" w:right="102"/>
              <w:jc w:val="both"/>
              <w:rPr>
                <w:rFonts w:eastAsiaTheme="minorEastAsia"/>
                <w:sz w:val="24"/>
                <w:szCs w:val="24"/>
              </w:rPr>
            </w:pPr>
            <w:r w:rsidRPr="00600B68">
              <w:rPr>
                <w:rFonts w:eastAsiaTheme="minorEastAsia"/>
                <w:sz w:val="24"/>
                <w:szCs w:val="24"/>
              </w:rPr>
              <w:t>Noteikumu projekts paredz</w:t>
            </w:r>
            <w:r w:rsidR="00C635A7" w:rsidRPr="00600B68">
              <w:rPr>
                <w:rFonts w:eastAsiaTheme="minorEastAsia"/>
                <w:sz w:val="24"/>
                <w:szCs w:val="24"/>
              </w:rPr>
              <w:t>:</w:t>
            </w:r>
          </w:p>
          <w:p w14:paraId="53AB789A" w14:textId="07184973" w:rsidR="00B7771D" w:rsidRDefault="004D4B94" w:rsidP="00A434F6">
            <w:pPr>
              <w:pStyle w:val="ListParagraph"/>
              <w:spacing w:before="60" w:after="60"/>
              <w:ind w:left="101" w:right="102"/>
              <w:jc w:val="both"/>
              <w:rPr>
                <w:rFonts w:eastAsiaTheme="minorEastAsia"/>
                <w:sz w:val="24"/>
                <w:szCs w:val="24"/>
              </w:rPr>
            </w:pPr>
            <w:r w:rsidRPr="00600B68">
              <w:rPr>
                <w:rFonts w:eastAsiaTheme="minorEastAsia"/>
                <w:sz w:val="24"/>
                <w:szCs w:val="24"/>
              </w:rPr>
              <w:t>1. aktualizēt projekta ietvaros atbalstāmās darbības (MK noteikumu 8.2.3. apakšpunkts), paredzot, ka publiskais finansējums fundamentālajiem pētījumiem nepārsniedz 20</w:t>
            </w:r>
            <w:r w:rsidR="003C1D2D">
              <w:rPr>
                <w:rFonts w:eastAsiaTheme="minorEastAsia"/>
                <w:sz w:val="24"/>
                <w:szCs w:val="24"/>
              </w:rPr>
              <w:t> </w:t>
            </w:r>
            <w:r w:rsidRPr="00600B68">
              <w:rPr>
                <w:rFonts w:eastAsiaTheme="minorEastAsia"/>
                <w:sz w:val="24"/>
                <w:szCs w:val="24"/>
              </w:rPr>
              <w:t>procentus no projekta kopējām attiecināmajām izmaksām</w:t>
            </w:r>
            <w:r w:rsidR="00B7771D">
              <w:rPr>
                <w:rFonts w:eastAsiaTheme="minorEastAsia"/>
                <w:sz w:val="24"/>
                <w:szCs w:val="24"/>
              </w:rPr>
              <w:t>;</w:t>
            </w:r>
          </w:p>
          <w:p w14:paraId="00E07B59" w14:textId="7BD545A0" w:rsidR="00D2055E" w:rsidRDefault="00D2055E" w:rsidP="00D2055E">
            <w:pPr>
              <w:pStyle w:val="ListParagraph"/>
              <w:spacing w:before="60" w:after="60"/>
              <w:ind w:left="101" w:right="102"/>
              <w:jc w:val="both"/>
              <w:rPr>
                <w:rFonts w:eastAsiaTheme="minorEastAsia"/>
                <w:sz w:val="24"/>
                <w:szCs w:val="24"/>
              </w:rPr>
            </w:pPr>
            <w:r>
              <w:rPr>
                <w:rFonts w:eastAsiaTheme="minorEastAsia"/>
                <w:sz w:val="24"/>
                <w:szCs w:val="24"/>
              </w:rPr>
              <w:t>2</w:t>
            </w:r>
            <w:r w:rsidRPr="0080267A">
              <w:rPr>
                <w:rFonts w:eastAsiaTheme="minorEastAsia"/>
                <w:sz w:val="24"/>
                <w:szCs w:val="24"/>
              </w:rPr>
              <w:t xml:space="preserve">. precizēt pirmajai un otrajai kārtai </w:t>
            </w:r>
            <w:r>
              <w:rPr>
                <w:rFonts w:eastAsiaTheme="minorEastAsia"/>
                <w:sz w:val="24"/>
                <w:szCs w:val="24"/>
              </w:rPr>
              <w:t xml:space="preserve">projektu iesniegumu atlases kārtai </w:t>
            </w:r>
            <w:r w:rsidRPr="0080267A">
              <w:rPr>
                <w:rFonts w:eastAsiaTheme="minorEastAsia"/>
                <w:sz w:val="24"/>
                <w:szCs w:val="24"/>
              </w:rPr>
              <w:t>pieejamo kopējo publisko finansējumu sadalījumā pa finanšu avotiem un projektu veidiem, lai nodrošinātu trešajai projektu iesniegumu atlases kārtai pieejamā finansējuma aprēķinu izsekojamību (MK noteikumu 11.</w:t>
            </w:r>
            <w:r w:rsidRPr="0080267A">
              <w:rPr>
                <w:rFonts w:eastAsiaTheme="minorEastAsia"/>
                <w:sz w:val="24"/>
                <w:szCs w:val="24"/>
                <w:vertAlign w:val="superscript"/>
              </w:rPr>
              <w:t>1</w:t>
            </w:r>
            <w:r w:rsidRPr="0080267A">
              <w:rPr>
                <w:rFonts w:eastAsiaTheme="minorEastAsia"/>
                <w:sz w:val="24"/>
                <w:szCs w:val="24"/>
              </w:rPr>
              <w:t>, 12.</w:t>
            </w:r>
            <w:r w:rsidRPr="0080267A">
              <w:rPr>
                <w:rFonts w:eastAsiaTheme="minorEastAsia"/>
                <w:sz w:val="24"/>
                <w:szCs w:val="24"/>
                <w:vertAlign w:val="superscript"/>
              </w:rPr>
              <w:t>1</w:t>
            </w:r>
            <w:r w:rsidRPr="0080267A">
              <w:rPr>
                <w:rFonts w:eastAsiaTheme="minorEastAsia"/>
                <w:sz w:val="24"/>
                <w:szCs w:val="24"/>
              </w:rPr>
              <w:t xml:space="preserve"> punkts). Otrajai </w:t>
            </w:r>
            <w:r>
              <w:rPr>
                <w:rFonts w:eastAsiaTheme="minorEastAsia"/>
                <w:sz w:val="24"/>
                <w:szCs w:val="24"/>
              </w:rPr>
              <w:t xml:space="preserve">projektu iesniegumu atlases </w:t>
            </w:r>
            <w:r w:rsidRPr="0080267A">
              <w:rPr>
                <w:rFonts w:eastAsiaTheme="minorEastAsia"/>
                <w:sz w:val="24"/>
                <w:szCs w:val="24"/>
              </w:rPr>
              <w:t xml:space="preserve">kārtai pieejamais kopējais publiskais finansējums sadalījumā pa finanšu avotiem un projektu veidiem noteikts, ņemot vērā informāciju par a) otrās </w:t>
            </w:r>
            <w:r>
              <w:rPr>
                <w:rFonts w:eastAsiaTheme="minorEastAsia"/>
                <w:sz w:val="24"/>
                <w:szCs w:val="24"/>
              </w:rPr>
              <w:t xml:space="preserve">projektu iesniegumu atlases </w:t>
            </w:r>
            <w:r w:rsidRPr="0080267A">
              <w:rPr>
                <w:rFonts w:eastAsiaTheme="minorEastAsia"/>
                <w:sz w:val="24"/>
                <w:szCs w:val="24"/>
              </w:rPr>
              <w:t xml:space="preserve">kārtas ietvaros noslēgtajiem līgumiem </w:t>
            </w:r>
            <w:r w:rsidR="003C1D2D">
              <w:rPr>
                <w:rFonts w:eastAsiaTheme="minorEastAsia"/>
                <w:sz w:val="24"/>
                <w:szCs w:val="24"/>
              </w:rPr>
              <w:t xml:space="preserve">vai </w:t>
            </w:r>
            <w:r w:rsidRPr="0080267A">
              <w:rPr>
                <w:rFonts w:eastAsiaTheme="minorEastAsia"/>
                <w:sz w:val="24"/>
                <w:szCs w:val="24"/>
              </w:rPr>
              <w:t>vienošan</w:t>
            </w:r>
            <w:r>
              <w:rPr>
                <w:rFonts w:eastAsiaTheme="minorEastAsia"/>
                <w:sz w:val="24"/>
                <w:szCs w:val="24"/>
              </w:rPr>
              <w:t>ā</w:t>
            </w:r>
            <w:r w:rsidRPr="0080267A">
              <w:rPr>
                <w:rFonts w:eastAsiaTheme="minorEastAsia"/>
                <w:sz w:val="24"/>
                <w:szCs w:val="24"/>
              </w:rPr>
              <w:t>s par projektu īstenošanu un apstiprināt</w:t>
            </w:r>
            <w:r w:rsidR="001A2BC6">
              <w:rPr>
                <w:rFonts w:eastAsiaTheme="minorEastAsia"/>
                <w:sz w:val="24"/>
                <w:szCs w:val="24"/>
              </w:rPr>
              <w:t>aj</w:t>
            </w:r>
            <w:r w:rsidRPr="0080267A">
              <w:rPr>
                <w:rFonts w:eastAsiaTheme="minorEastAsia"/>
                <w:sz w:val="24"/>
                <w:szCs w:val="24"/>
              </w:rPr>
              <w:t>iem projektu iesniegumiem; b) projektiem, kas apstiprināti ar nosacījumu un iesnieguši precizējumus.</w:t>
            </w:r>
          </w:p>
          <w:p w14:paraId="29949D3A" w14:textId="365BCD3D" w:rsidR="00C60D5D" w:rsidRPr="00535364" w:rsidRDefault="00D2055E" w:rsidP="00A434F6">
            <w:pPr>
              <w:pStyle w:val="ListParagraph"/>
              <w:spacing w:before="60" w:after="60"/>
              <w:ind w:left="101" w:right="102"/>
              <w:jc w:val="both"/>
              <w:rPr>
                <w:rFonts w:eastAsiaTheme="minorEastAsia"/>
                <w:sz w:val="24"/>
                <w:szCs w:val="24"/>
              </w:rPr>
            </w:pPr>
            <w:r>
              <w:rPr>
                <w:rFonts w:eastAsiaTheme="minorEastAsia"/>
                <w:sz w:val="24"/>
                <w:szCs w:val="24"/>
              </w:rPr>
              <w:t>3</w:t>
            </w:r>
            <w:r w:rsidR="00C635A7" w:rsidRPr="00600B68">
              <w:rPr>
                <w:rFonts w:eastAsiaTheme="minorEastAsia"/>
                <w:sz w:val="24"/>
                <w:szCs w:val="24"/>
              </w:rPr>
              <w:t>. </w:t>
            </w:r>
            <w:r w:rsidR="004D4B94" w:rsidRPr="00600B68">
              <w:rPr>
                <w:rFonts w:eastAsiaTheme="minorEastAsia"/>
                <w:sz w:val="24"/>
                <w:szCs w:val="24"/>
              </w:rPr>
              <w:t>noteikt</w:t>
            </w:r>
            <w:r w:rsidR="00A434F6" w:rsidRPr="00600B68">
              <w:rPr>
                <w:rFonts w:eastAsiaTheme="minorEastAsia"/>
                <w:sz w:val="24"/>
                <w:szCs w:val="24"/>
              </w:rPr>
              <w:t xml:space="preserve"> trešajai projektu iesniegumu atlases kārtai pieejamo publisko finansējumu</w:t>
            </w:r>
            <w:r w:rsidR="004D4B94" w:rsidRPr="00600B68">
              <w:rPr>
                <w:rFonts w:eastAsiaTheme="minorEastAsia"/>
                <w:sz w:val="24"/>
                <w:szCs w:val="24"/>
              </w:rPr>
              <w:t xml:space="preserve"> (MK noteikumu 12.</w:t>
            </w:r>
            <w:r w:rsidR="004D4B94" w:rsidRPr="00867B97">
              <w:rPr>
                <w:rFonts w:eastAsiaTheme="minorEastAsia"/>
                <w:sz w:val="24"/>
                <w:szCs w:val="24"/>
                <w:vertAlign w:val="superscript"/>
              </w:rPr>
              <w:t>2</w:t>
            </w:r>
            <w:r w:rsidR="004D4B94" w:rsidRPr="00600B68">
              <w:rPr>
                <w:rFonts w:eastAsiaTheme="minorEastAsia"/>
                <w:sz w:val="24"/>
                <w:szCs w:val="24"/>
              </w:rPr>
              <w:t> punkts)</w:t>
            </w:r>
            <w:r w:rsidR="00C73FF6" w:rsidRPr="00600B68">
              <w:rPr>
                <w:rFonts w:eastAsiaTheme="minorEastAsia"/>
                <w:sz w:val="24"/>
                <w:szCs w:val="24"/>
              </w:rPr>
              <w:t xml:space="preserve">, </w:t>
            </w:r>
            <w:r w:rsidR="00A434F6" w:rsidRPr="00600B68">
              <w:rPr>
                <w:rFonts w:eastAsiaTheme="minorEastAsia"/>
                <w:sz w:val="24"/>
                <w:szCs w:val="24"/>
              </w:rPr>
              <w:t xml:space="preserve">kas aprēķināts, </w:t>
            </w:r>
            <w:r w:rsidR="00C73FF6" w:rsidRPr="00600B68">
              <w:rPr>
                <w:rFonts w:eastAsiaTheme="minorEastAsia"/>
                <w:sz w:val="24"/>
                <w:szCs w:val="24"/>
              </w:rPr>
              <w:t>ņemot vērā</w:t>
            </w:r>
            <w:r w:rsidR="00604986" w:rsidRPr="00600B68">
              <w:rPr>
                <w:rFonts w:eastAsiaTheme="minorEastAsia"/>
                <w:sz w:val="24"/>
                <w:szCs w:val="24"/>
              </w:rPr>
              <w:t xml:space="preserve"> 1.1.1.1. pasākuma</w:t>
            </w:r>
            <w:r w:rsidR="00C60D5D">
              <w:rPr>
                <w:rFonts w:eastAsiaTheme="minorEastAsia"/>
                <w:sz w:val="24"/>
                <w:szCs w:val="24"/>
              </w:rPr>
              <w:t>m pieejamo</w:t>
            </w:r>
            <w:r w:rsidR="00604986" w:rsidRPr="00600B68">
              <w:rPr>
                <w:rFonts w:eastAsiaTheme="minorEastAsia"/>
                <w:sz w:val="24"/>
                <w:szCs w:val="24"/>
              </w:rPr>
              <w:t xml:space="preserve"> </w:t>
            </w:r>
            <w:r w:rsidR="00C60D5D">
              <w:rPr>
                <w:rFonts w:eastAsiaTheme="minorEastAsia"/>
                <w:sz w:val="24"/>
                <w:szCs w:val="24"/>
              </w:rPr>
              <w:t xml:space="preserve">kopējo publisko finansējumu, </w:t>
            </w:r>
            <w:r w:rsidR="00B31A4E">
              <w:rPr>
                <w:rFonts w:eastAsiaTheme="minorEastAsia"/>
                <w:sz w:val="24"/>
                <w:szCs w:val="24"/>
              </w:rPr>
              <w:t>pirmās</w:t>
            </w:r>
            <w:r w:rsidR="00604986" w:rsidRPr="00600B68">
              <w:rPr>
                <w:rFonts w:eastAsiaTheme="minorEastAsia"/>
                <w:sz w:val="24"/>
                <w:szCs w:val="24"/>
              </w:rPr>
              <w:t xml:space="preserve"> un </w:t>
            </w:r>
            <w:r w:rsidR="00B31A4E">
              <w:rPr>
                <w:rFonts w:eastAsiaTheme="minorEastAsia"/>
                <w:sz w:val="24"/>
                <w:szCs w:val="24"/>
              </w:rPr>
              <w:t>otrās</w:t>
            </w:r>
            <w:r w:rsidR="000D074F">
              <w:rPr>
                <w:rFonts w:eastAsiaTheme="minorEastAsia"/>
                <w:sz w:val="24"/>
                <w:szCs w:val="24"/>
              </w:rPr>
              <w:t> </w:t>
            </w:r>
            <w:r w:rsidR="006909B9" w:rsidRPr="00600B68">
              <w:rPr>
                <w:rFonts w:eastAsiaTheme="minorEastAsia"/>
                <w:sz w:val="24"/>
                <w:szCs w:val="24"/>
              </w:rPr>
              <w:t xml:space="preserve">projektu iesniegumu atlases </w:t>
            </w:r>
            <w:r w:rsidR="00604986" w:rsidRPr="00600B68">
              <w:rPr>
                <w:rFonts w:eastAsiaTheme="minorEastAsia"/>
                <w:sz w:val="24"/>
                <w:szCs w:val="24"/>
              </w:rPr>
              <w:t>kārta</w:t>
            </w:r>
            <w:r w:rsidR="006909B9" w:rsidRPr="00600B68">
              <w:rPr>
                <w:rFonts w:eastAsiaTheme="minorEastAsia"/>
                <w:sz w:val="24"/>
                <w:szCs w:val="24"/>
              </w:rPr>
              <w:t>s ietvaros</w:t>
            </w:r>
            <w:r>
              <w:rPr>
                <w:rFonts w:eastAsiaTheme="minorEastAsia"/>
                <w:sz w:val="24"/>
                <w:szCs w:val="24"/>
              </w:rPr>
              <w:t xml:space="preserve"> pieejamo </w:t>
            </w:r>
            <w:r w:rsidRPr="00733F00">
              <w:rPr>
                <w:rFonts w:eastAsiaTheme="minorEastAsia"/>
                <w:sz w:val="24"/>
                <w:szCs w:val="24"/>
              </w:rPr>
              <w:t>publiskā finansējuma apmēru</w:t>
            </w:r>
            <w:r w:rsidR="00C60D5D" w:rsidRPr="00733F00">
              <w:rPr>
                <w:rFonts w:eastAsiaTheme="minorEastAsia"/>
                <w:sz w:val="24"/>
                <w:szCs w:val="24"/>
              </w:rPr>
              <w:t xml:space="preserve"> </w:t>
            </w:r>
            <w:r w:rsidR="00C60D5D" w:rsidRPr="00535364">
              <w:rPr>
                <w:rFonts w:eastAsiaTheme="minorEastAsia"/>
                <w:sz w:val="24"/>
                <w:szCs w:val="24"/>
              </w:rPr>
              <w:t xml:space="preserve">un </w:t>
            </w:r>
            <w:r w:rsidR="002D1626" w:rsidRPr="00535364">
              <w:rPr>
                <w:rFonts w:eastAsiaTheme="minorEastAsia"/>
                <w:sz w:val="24"/>
                <w:szCs w:val="24"/>
              </w:rPr>
              <w:t>trešajai projektu iesniegumu atlases kārtai noteikto</w:t>
            </w:r>
            <w:r w:rsidR="00C60D5D" w:rsidRPr="00535364">
              <w:rPr>
                <w:rFonts w:eastAsiaTheme="minorEastAsia"/>
                <w:sz w:val="24"/>
                <w:szCs w:val="24"/>
              </w:rPr>
              <w:t xml:space="preserve"> publiskā finansējuma atbalsta intensitāti, kas </w:t>
            </w:r>
            <w:r w:rsidR="002D1626" w:rsidRPr="00535364">
              <w:rPr>
                <w:rFonts w:eastAsiaTheme="minorEastAsia"/>
                <w:sz w:val="24"/>
                <w:szCs w:val="24"/>
              </w:rPr>
              <w:t>ir vienāda ar otrajā projektu iesniegumu atlases kārtā piemēroto publiskā finansējuma atbalsta intensitāti</w:t>
            </w:r>
            <w:r w:rsidR="00C60D5D" w:rsidRPr="00535364">
              <w:rPr>
                <w:rFonts w:eastAsiaTheme="minorEastAsia"/>
                <w:sz w:val="24"/>
                <w:szCs w:val="24"/>
              </w:rPr>
              <w:t xml:space="preserve"> (MK noteikumu </w:t>
            </w:r>
            <w:r w:rsidR="002D1626" w:rsidRPr="00535364">
              <w:rPr>
                <w:rFonts w:eastAsiaTheme="minorEastAsia"/>
                <w:sz w:val="24"/>
                <w:szCs w:val="24"/>
              </w:rPr>
              <w:t>12.</w:t>
            </w:r>
            <w:r w:rsidR="002D1626" w:rsidRPr="00535364">
              <w:rPr>
                <w:rFonts w:eastAsiaTheme="minorEastAsia"/>
                <w:sz w:val="24"/>
                <w:szCs w:val="24"/>
                <w:vertAlign w:val="superscript"/>
              </w:rPr>
              <w:t>1</w:t>
            </w:r>
            <w:r w:rsidR="002D1626" w:rsidRPr="00535364">
              <w:rPr>
                <w:rFonts w:eastAsiaTheme="minorEastAsia"/>
                <w:sz w:val="24"/>
                <w:szCs w:val="24"/>
              </w:rPr>
              <w:t xml:space="preserve"> 1.2. un </w:t>
            </w:r>
            <w:r w:rsidR="00C60D5D" w:rsidRPr="00535364">
              <w:rPr>
                <w:rFonts w:eastAsiaTheme="minorEastAsia"/>
                <w:sz w:val="24"/>
                <w:szCs w:val="24"/>
              </w:rPr>
              <w:t>12.</w:t>
            </w:r>
            <w:r w:rsidR="00C60D5D" w:rsidRPr="00535364">
              <w:rPr>
                <w:rFonts w:eastAsiaTheme="minorEastAsia"/>
                <w:sz w:val="24"/>
                <w:szCs w:val="24"/>
                <w:vertAlign w:val="superscript"/>
              </w:rPr>
              <w:t>2</w:t>
            </w:r>
            <w:r w:rsidR="00C60D5D" w:rsidRPr="00535364">
              <w:rPr>
                <w:rFonts w:eastAsiaTheme="minorEastAsia"/>
                <w:sz w:val="24"/>
                <w:szCs w:val="24"/>
              </w:rPr>
              <w:t> 1.2. apakšpunkts)</w:t>
            </w:r>
            <w:r w:rsidRPr="00535364">
              <w:rPr>
                <w:rFonts w:eastAsiaTheme="minorEastAsia"/>
                <w:sz w:val="24"/>
                <w:szCs w:val="24"/>
              </w:rPr>
              <w:t xml:space="preserve">. </w:t>
            </w:r>
          </w:p>
          <w:p w14:paraId="78951551" w14:textId="54E64784" w:rsidR="0080267A" w:rsidRPr="00535364" w:rsidRDefault="002D1626" w:rsidP="00AB0AB1">
            <w:pPr>
              <w:pStyle w:val="ListParagraph"/>
              <w:spacing w:before="60" w:after="60"/>
              <w:ind w:left="101" w:right="102"/>
              <w:jc w:val="both"/>
              <w:rPr>
                <w:rFonts w:eastAsiaTheme="minorEastAsia"/>
                <w:sz w:val="24"/>
                <w:szCs w:val="24"/>
              </w:rPr>
            </w:pPr>
            <w:r w:rsidRPr="00535364">
              <w:rPr>
                <w:rFonts w:eastAsiaTheme="minorEastAsia"/>
                <w:sz w:val="24"/>
                <w:szCs w:val="24"/>
              </w:rPr>
              <w:t>Šīs anotācijas pielikumā sniegta d</w:t>
            </w:r>
            <w:r w:rsidR="00D2055E" w:rsidRPr="00535364">
              <w:rPr>
                <w:rFonts w:eastAsiaTheme="minorEastAsia"/>
                <w:sz w:val="24"/>
                <w:szCs w:val="24"/>
              </w:rPr>
              <w:t xml:space="preserve">etalizēta </w:t>
            </w:r>
            <w:r w:rsidRPr="00535364">
              <w:rPr>
                <w:rFonts w:eastAsiaTheme="minorEastAsia"/>
                <w:sz w:val="24"/>
                <w:szCs w:val="24"/>
              </w:rPr>
              <w:t xml:space="preserve">un izsekojama </w:t>
            </w:r>
            <w:r w:rsidR="00D2055E" w:rsidRPr="00535364">
              <w:rPr>
                <w:rFonts w:eastAsiaTheme="minorEastAsia"/>
                <w:sz w:val="24"/>
                <w:szCs w:val="24"/>
              </w:rPr>
              <w:t xml:space="preserve">informācija par 1.1.1.1. pasākuma </w:t>
            </w:r>
            <w:r w:rsidRPr="00535364">
              <w:rPr>
                <w:rFonts w:eastAsiaTheme="minorEastAsia"/>
                <w:sz w:val="24"/>
                <w:szCs w:val="24"/>
              </w:rPr>
              <w:t>trešajai projektu iesniegumu atlases kārtai pieejamā publiskā finansējuma aprēķiniem</w:t>
            </w:r>
            <w:r w:rsidR="00AB0AB1" w:rsidRPr="00535364">
              <w:rPr>
                <w:rFonts w:eastAsiaTheme="minorEastAsia"/>
                <w:sz w:val="24"/>
                <w:szCs w:val="24"/>
              </w:rPr>
              <w:t>, kas</w:t>
            </w:r>
            <w:r w:rsidR="0080267A" w:rsidRPr="00535364">
              <w:rPr>
                <w:rFonts w:eastAsiaTheme="minorEastAsia"/>
                <w:sz w:val="24"/>
                <w:szCs w:val="24"/>
              </w:rPr>
              <w:t xml:space="preserve"> veikti, izslēdzot </w:t>
            </w:r>
            <w:r w:rsidR="0080267A" w:rsidRPr="00535364">
              <w:rPr>
                <w:sz w:val="24"/>
              </w:rPr>
              <w:t>risku, ka kāds no otrās projektu</w:t>
            </w:r>
            <w:r w:rsidR="00B31A4E" w:rsidRPr="00535364">
              <w:rPr>
                <w:sz w:val="24"/>
              </w:rPr>
              <w:t xml:space="preserve"> iesniegumu </w:t>
            </w:r>
            <w:r w:rsidR="0080267A" w:rsidRPr="00535364">
              <w:rPr>
                <w:sz w:val="24"/>
              </w:rPr>
              <w:t>atlases kārtas projektu pieteikumu iesniedzējiem pārsūdz projektu iesniegumu vērtēšanas komisijas lēmumu</w:t>
            </w:r>
            <w:r w:rsidR="00B31A4E" w:rsidRPr="00535364">
              <w:rPr>
                <w:sz w:val="24"/>
              </w:rPr>
              <w:t xml:space="preserve">, </w:t>
            </w:r>
            <w:r w:rsidR="0080267A" w:rsidRPr="00535364">
              <w:rPr>
                <w:sz w:val="24"/>
              </w:rPr>
              <w:t>jo otrajā projektu iesniegumu</w:t>
            </w:r>
            <w:r w:rsidR="00B31A4E" w:rsidRPr="00535364">
              <w:rPr>
                <w:sz w:val="24"/>
              </w:rPr>
              <w:t xml:space="preserve"> atlases</w:t>
            </w:r>
            <w:r w:rsidR="0080267A" w:rsidRPr="00535364">
              <w:rPr>
                <w:sz w:val="24"/>
              </w:rPr>
              <w:t xml:space="preserve"> </w:t>
            </w:r>
            <w:r w:rsidR="00071F0E" w:rsidRPr="00535364">
              <w:rPr>
                <w:sz w:val="24"/>
              </w:rPr>
              <w:t xml:space="preserve">kārtā </w:t>
            </w:r>
            <w:r w:rsidR="0080267A" w:rsidRPr="00535364">
              <w:rPr>
                <w:sz w:val="24"/>
              </w:rPr>
              <w:t xml:space="preserve">pieejamā publiskā finansējuma aprēķinos ņemti vērā </w:t>
            </w:r>
            <w:r w:rsidR="00071F0E" w:rsidRPr="00535364">
              <w:rPr>
                <w:sz w:val="24"/>
              </w:rPr>
              <w:t xml:space="preserve">dati par </w:t>
            </w:r>
            <w:r w:rsidR="0080267A" w:rsidRPr="00535364">
              <w:rPr>
                <w:sz w:val="24"/>
              </w:rPr>
              <w:t xml:space="preserve">tādu projektu īstenošanai nepieciešamo publisko finansējumu, kuriem </w:t>
            </w:r>
            <w:r w:rsidR="00C60D5D" w:rsidRPr="00535364">
              <w:rPr>
                <w:sz w:val="24"/>
              </w:rPr>
              <w:t>ir</w:t>
            </w:r>
            <w:r w:rsidR="0080267A" w:rsidRPr="00535364">
              <w:rPr>
                <w:sz w:val="24"/>
              </w:rPr>
              <w:t xml:space="preserve"> šāds projekta statuss: </w:t>
            </w:r>
            <w:r w:rsidR="0080267A" w:rsidRPr="00535364">
              <w:rPr>
                <w:i/>
                <w:sz w:val="24"/>
              </w:rPr>
              <w:t xml:space="preserve">līgums; apstiprināts </w:t>
            </w:r>
            <w:r w:rsidR="0080267A" w:rsidRPr="00535364">
              <w:rPr>
                <w:sz w:val="24"/>
              </w:rPr>
              <w:t>vai</w:t>
            </w:r>
            <w:r w:rsidR="0080267A" w:rsidRPr="00535364">
              <w:rPr>
                <w:i/>
                <w:sz w:val="24"/>
              </w:rPr>
              <w:t xml:space="preserve"> iesniegti precizējumi</w:t>
            </w:r>
            <w:r w:rsidR="0080267A" w:rsidRPr="00535364">
              <w:rPr>
                <w:sz w:val="24"/>
              </w:rPr>
              <w:t>.</w:t>
            </w:r>
          </w:p>
          <w:p w14:paraId="7FB53F7F" w14:textId="7023B832" w:rsidR="00310798" w:rsidRPr="00600B68" w:rsidRDefault="000D074F" w:rsidP="00B7546B">
            <w:pPr>
              <w:pStyle w:val="ListParagraph"/>
              <w:tabs>
                <w:tab w:val="left" w:pos="1065"/>
              </w:tabs>
              <w:spacing w:before="60" w:after="60"/>
              <w:ind w:left="101" w:right="102"/>
              <w:jc w:val="both"/>
              <w:rPr>
                <w:rFonts w:eastAsiaTheme="minorEastAsia"/>
                <w:sz w:val="24"/>
                <w:szCs w:val="24"/>
              </w:rPr>
            </w:pPr>
            <w:r>
              <w:rPr>
                <w:rFonts w:eastAsiaTheme="minorEastAsia"/>
                <w:sz w:val="24"/>
                <w:szCs w:val="24"/>
              </w:rPr>
              <w:tab/>
            </w:r>
          </w:p>
          <w:p w14:paraId="77E4CB31" w14:textId="6A7A0768" w:rsidR="007D2897" w:rsidRPr="002B5815" w:rsidRDefault="007D2897" w:rsidP="007D2897">
            <w:pPr>
              <w:pStyle w:val="ListParagraph"/>
              <w:spacing w:before="60" w:after="60"/>
              <w:ind w:left="101" w:right="102"/>
              <w:jc w:val="both"/>
              <w:rPr>
                <w:rFonts w:eastAsiaTheme="minorEastAsia"/>
                <w:b/>
                <w:sz w:val="24"/>
                <w:szCs w:val="24"/>
              </w:rPr>
            </w:pPr>
            <w:r w:rsidRPr="002B5815">
              <w:rPr>
                <w:rFonts w:eastAsiaTheme="minorEastAsia"/>
                <w:b/>
                <w:sz w:val="24"/>
                <w:szCs w:val="24"/>
              </w:rPr>
              <w:t>II. SAM 1.1.1</w:t>
            </w:r>
            <w:r w:rsidR="009D5CC8" w:rsidRPr="002B5815">
              <w:rPr>
                <w:rFonts w:eastAsiaTheme="minorEastAsia"/>
                <w:b/>
                <w:sz w:val="24"/>
                <w:szCs w:val="24"/>
              </w:rPr>
              <w:t>.</w:t>
            </w:r>
            <w:r w:rsidR="009D5CC8">
              <w:rPr>
                <w:rFonts w:eastAsiaTheme="minorEastAsia"/>
                <w:b/>
                <w:sz w:val="24"/>
                <w:szCs w:val="24"/>
              </w:rPr>
              <w:t> </w:t>
            </w:r>
            <w:r w:rsidRPr="002B5815">
              <w:rPr>
                <w:rFonts w:eastAsiaTheme="minorEastAsia"/>
                <w:b/>
                <w:sz w:val="24"/>
                <w:szCs w:val="24"/>
              </w:rPr>
              <w:t>iznākuma rādītāju izpilde</w:t>
            </w:r>
          </w:p>
          <w:p w14:paraId="5B031A32" w14:textId="29C68CEB" w:rsidR="005D422C" w:rsidRDefault="00CC1C10" w:rsidP="00CC1C10">
            <w:pPr>
              <w:pStyle w:val="ListParagraph"/>
              <w:spacing w:before="60" w:after="60"/>
              <w:ind w:left="101" w:right="102"/>
              <w:jc w:val="both"/>
              <w:rPr>
                <w:rFonts w:eastAsiaTheme="minorEastAsia"/>
                <w:sz w:val="24"/>
                <w:szCs w:val="24"/>
              </w:rPr>
            </w:pPr>
            <w:r w:rsidRPr="00600B68">
              <w:rPr>
                <w:rFonts w:eastAsiaTheme="minorEastAsia"/>
                <w:sz w:val="24"/>
                <w:szCs w:val="24"/>
              </w:rPr>
              <w:t xml:space="preserve">Analizējot </w:t>
            </w:r>
            <w:r w:rsidR="00B7771D" w:rsidRPr="00600B68">
              <w:rPr>
                <w:rFonts w:eastAsiaTheme="minorEastAsia"/>
                <w:sz w:val="24"/>
                <w:szCs w:val="24"/>
              </w:rPr>
              <w:t xml:space="preserve">specifiskā atbalsta mērķa "Palielināt Latvijas zinātnisko institūciju pētniecisko un inovatīvo kapacitāti un spēju piesaistīt ārējo finansējumu, ieguldot cilvēkresursos un infrastruktūrā" </w:t>
            </w:r>
            <w:r w:rsidR="00B7771D">
              <w:rPr>
                <w:rFonts w:eastAsiaTheme="minorEastAsia"/>
                <w:sz w:val="24"/>
                <w:szCs w:val="24"/>
              </w:rPr>
              <w:t>(</w:t>
            </w:r>
            <w:r w:rsidR="00B31A4E">
              <w:rPr>
                <w:rFonts w:eastAsiaTheme="minorEastAsia"/>
                <w:sz w:val="24"/>
                <w:szCs w:val="24"/>
              </w:rPr>
              <w:t xml:space="preserve">turpmāk – </w:t>
            </w:r>
            <w:r w:rsidR="00B7771D">
              <w:rPr>
                <w:rFonts w:eastAsiaTheme="minorEastAsia"/>
                <w:sz w:val="24"/>
                <w:szCs w:val="24"/>
              </w:rPr>
              <w:t xml:space="preserve">SAM 1.1.1.) </w:t>
            </w:r>
            <w:r w:rsidRPr="00600B68">
              <w:rPr>
                <w:rFonts w:eastAsiaTheme="minorEastAsia"/>
                <w:sz w:val="24"/>
                <w:szCs w:val="24"/>
              </w:rPr>
              <w:t>pasākum</w:t>
            </w:r>
            <w:r w:rsidR="00B7771D">
              <w:rPr>
                <w:rFonts w:eastAsiaTheme="minorEastAsia"/>
                <w:sz w:val="24"/>
                <w:szCs w:val="24"/>
              </w:rPr>
              <w:t>u</w:t>
            </w:r>
            <w:r w:rsidRPr="00600B68">
              <w:rPr>
                <w:rFonts w:eastAsiaTheme="minorEastAsia"/>
                <w:sz w:val="24"/>
                <w:szCs w:val="24"/>
              </w:rPr>
              <w:t xml:space="preserve"> iznākuma rādītāju izpildes tendences, identificēti iznākuma rādītāju izpildes riski, </w:t>
            </w:r>
            <w:r w:rsidR="00353C15" w:rsidRPr="00600B68">
              <w:rPr>
                <w:rFonts w:eastAsiaTheme="minorEastAsia"/>
                <w:sz w:val="24"/>
                <w:szCs w:val="24"/>
              </w:rPr>
              <w:t xml:space="preserve">kas saistīti ar komersantu iesaisti pētniecības īstenošanā, </w:t>
            </w:r>
            <w:r w:rsidRPr="00600B68">
              <w:rPr>
                <w:rFonts w:eastAsiaTheme="minorEastAsia"/>
                <w:sz w:val="24"/>
                <w:szCs w:val="24"/>
              </w:rPr>
              <w:t>tai skaitā</w:t>
            </w:r>
            <w:r w:rsidR="005D422C">
              <w:rPr>
                <w:rFonts w:eastAsiaTheme="minorEastAsia"/>
                <w:sz w:val="24"/>
                <w:szCs w:val="24"/>
              </w:rPr>
              <w:t>:</w:t>
            </w:r>
          </w:p>
          <w:p w14:paraId="60BC859E" w14:textId="667B0901" w:rsidR="005D422C" w:rsidRDefault="005D422C" w:rsidP="00CC1C10">
            <w:pPr>
              <w:pStyle w:val="ListParagraph"/>
              <w:spacing w:before="60" w:after="60"/>
              <w:ind w:left="101" w:right="102"/>
              <w:jc w:val="both"/>
              <w:rPr>
                <w:rFonts w:eastAsiaTheme="minorEastAsia"/>
                <w:sz w:val="24"/>
                <w:szCs w:val="24"/>
              </w:rPr>
            </w:pPr>
            <w:r>
              <w:rPr>
                <w:rFonts w:eastAsiaTheme="minorEastAsia"/>
                <w:sz w:val="24"/>
                <w:szCs w:val="24"/>
              </w:rPr>
              <w:t>– </w:t>
            </w:r>
            <w:r w:rsidR="00CC1C10" w:rsidRPr="008C5E4E">
              <w:rPr>
                <w:rFonts w:eastAsiaTheme="minorEastAsia"/>
                <w:sz w:val="24"/>
                <w:szCs w:val="24"/>
              </w:rPr>
              <w:t>jauno produktu un tehnoloģiju skaits, kas ir komercializējami un kuru izstrādei sniegts atbalsts</w:t>
            </w:r>
            <w:r w:rsidR="00EA3E36" w:rsidRPr="008C5E4E">
              <w:rPr>
                <w:rFonts w:eastAsiaTheme="minorEastAsia"/>
                <w:sz w:val="24"/>
                <w:szCs w:val="24"/>
              </w:rPr>
              <w:t xml:space="preserve"> </w:t>
            </w:r>
            <w:r w:rsidRPr="00EA3E36">
              <w:rPr>
                <w:rFonts w:eastAsiaTheme="minorEastAsia"/>
                <w:sz w:val="24"/>
                <w:szCs w:val="24"/>
              </w:rPr>
              <w:t>(</w:t>
            </w:r>
            <w:r w:rsidR="00EA3E36" w:rsidRPr="00EA3E36">
              <w:rPr>
                <w:rFonts w:eastAsiaTheme="minorEastAsia"/>
                <w:sz w:val="24"/>
                <w:szCs w:val="24"/>
              </w:rPr>
              <w:t>i.1.1.1.g</w:t>
            </w:r>
            <w:r w:rsidRPr="00EA3E36">
              <w:rPr>
                <w:rFonts w:eastAsiaTheme="minorEastAsia"/>
                <w:sz w:val="24"/>
                <w:szCs w:val="24"/>
              </w:rPr>
              <w:t>);</w:t>
            </w:r>
            <w:r w:rsidRPr="008C5E4E">
              <w:rPr>
                <w:rFonts w:eastAsiaTheme="minorEastAsia"/>
                <w:sz w:val="24"/>
                <w:szCs w:val="24"/>
              </w:rPr>
              <w:t xml:space="preserve"> </w:t>
            </w:r>
          </w:p>
          <w:p w14:paraId="47642F10" w14:textId="19155E9B" w:rsidR="005D422C" w:rsidRPr="008C5E4E" w:rsidRDefault="005D422C" w:rsidP="00CC1C10">
            <w:pPr>
              <w:pStyle w:val="ListParagraph"/>
              <w:spacing w:before="60" w:after="60"/>
              <w:ind w:left="101" w:right="102"/>
              <w:jc w:val="both"/>
              <w:rPr>
                <w:rFonts w:eastAsiaTheme="minorEastAsia"/>
                <w:sz w:val="24"/>
                <w:szCs w:val="24"/>
              </w:rPr>
            </w:pPr>
            <w:r>
              <w:rPr>
                <w:rFonts w:eastAsiaTheme="minorEastAsia"/>
                <w:sz w:val="24"/>
                <w:szCs w:val="24"/>
              </w:rPr>
              <w:lastRenderedPageBreak/>
              <w:t>– </w:t>
            </w:r>
            <w:r w:rsidR="00353C15" w:rsidRPr="008C5E4E">
              <w:rPr>
                <w:rFonts w:eastAsiaTheme="minorEastAsia"/>
                <w:sz w:val="24"/>
                <w:szCs w:val="24"/>
              </w:rPr>
              <w:t>komersantu skaits, kuri sadarbojas ar pētniecības institūcijām</w:t>
            </w:r>
            <w:r w:rsidRPr="008C5E4E">
              <w:rPr>
                <w:rFonts w:eastAsiaTheme="minorEastAsia"/>
                <w:sz w:val="24"/>
                <w:szCs w:val="24"/>
              </w:rPr>
              <w:t xml:space="preserve"> </w:t>
            </w:r>
            <w:r w:rsidRPr="005D422C">
              <w:rPr>
                <w:rFonts w:eastAsiaTheme="minorEastAsia"/>
                <w:sz w:val="24"/>
                <w:szCs w:val="24"/>
              </w:rPr>
              <w:t xml:space="preserve">(i.1.1.1.ck (CO26)). </w:t>
            </w:r>
          </w:p>
          <w:p w14:paraId="69156444" w14:textId="479F7EAF" w:rsidR="00353C15" w:rsidRPr="0080267A" w:rsidRDefault="006D5CEF" w:rsidP="00CC1C10">
            <w:pPr>
              <w:pStyle w:val="ListParagraph"/>
              <w:spacing w:before="60" w:after="60"/>
              <w:ind w:left="101" w:right="102"/>
              <w:jc w:val="both"/>
              <w:rPr>
                <w:rFonts w:eastAsiaTheme="minorEastAsia"/>
                <w:sz w:val="24"/>
                <w:szCs w:val="24"/>
              </w:rPr>
            </w:pPr>
            <w:r w:rsidRPr="0080267A">
              <w:rPr>
                <w:rFonts w:eastAsiaTheme="minorEastAsia"/>
                <w:sz w:val="24"/>
                <w:szCs w:val="24"/>
              </w:rPr>
              <w:t xml:space="preserve">Saskaņā ar KPVIS uz 25.04.2019. pieejamo informāciju </w:t>
            </w:r>
            <w:r w:rsidR="000D074F" w:rsidRPr="0080267A">
              <w:rPr>
                <w:rFonts w:eastAsiaTheme="minorEastAsia"/>
                <w:sz w:val="24"/>
                <w:szCs w:val="24"/>
              </w:rPr>
              <w:t>un 02.04.2019. Ministru kabinetā izskatītajā informatīvajā ziņojumā „</w:t>
            </w:r>
            <w:proofErr w:type="spellStart"/>
            <w:r w:rsidR="000D074F" w:rsidRPr="0080267A">
              <w:rPr>
                <w:rFonts w:eastAsiaTheme="minorEastAsia"/>
                <w:sz w:val="24"/>
                <w:szCs w:val="24"/>
              </w:rPr>
              <w:t>Pēcdoktorantūras</w:t>
            </w:r>
            <w:proofErr w:type="spellEnd"/>
            <w:r w:rsidR="000D074F" w:rsidRPr="0080267A">
              <w:rPr>
                <w:rFonts w:eastAsiaTheme="minorEastAsia"/>
                <w:sz w:val="24"/>
                <w:szCs w:val="24"/>
              </w:rPr>
              <w:t xml:space="preserve"> pētniecības programmas </w:t>
            </w:r>
            <w:proofErr w:type="spellStart"/>
            <w:r w:rsidR="000D074F" w:rsidRPr="0080267A">
              <w:rPr>
                <w:rFonts w:eastAsiaTheme="minorEastAsia"/>
                <w:sz w:val="24"/>
                <w:szCs w:val="24"/>
              </w:rPr>
              <w:t>vidusposma</w:t>
            </w:r>
            <w:proofErr w:type="spellEnd"/>
            <w:r w:rsidR="000D074F" w:rsidRPr="0080267A">
              <w:rPr>
                <w:rFonts w:eastAsiaTheme="minorEastAsia"/>
                <w:sz w:val="24"/>
                <w:szCs w:val="24"/>
              </w:rPr>
              <w:t xml:space="preserve"> </w:t>
            </w:r>
            <w:proofErr w:type="spellStart"/>
            <w:r w:rsidR="000D074F" w:rsidRPr="0080267A">
              <w:rPr>
                <w:rFonts w:eastAsiaTheme="minorEastAsia"/>
                <w:sz w:val="24"/>
                <w:szCs w:val="24"/>
              </w:rPr>
              <w:t>izvērtējums</w:t>
            </w:r>
            <w:proofErr w:type="spellEnd"/>
            <w:r w:rsidR="000D074F" w:rsidRPr="0080267A">
              <w:rPr>
                <w:rFonts w:eastAsiaTheme="minorEastAsia"/>
                <w:sz w:val="24"/>
                <w:szCs w:val="24"/>
              </w:rPr>
              <w:t xml:space="preserve"> un priekšlikumi turpmākajiem saturiskiem un </w:t>
            </w:r>
            <w:proofErr w:type="spellStart"/>
            <w:r w:rsidR="000D074F" w:rsidRPr="0080267A">
              <w:rPr>
                <w:rFonts w:eastAsiaTheme="minorEastAsia"/>
                <w:sz w:val="24"/>
                <w:szCs w:val="24"/>
              </w:rPr>
              <w:t>procedurāliem</w:t>
            </w:r>
            <w:proofErr w:type="spellEnd"/>
            <w:r w:rsidR="000D074F" w:rsidRPr="0080267A">
              <w:rPr>
                <w:rFonts w:eastAsiaTheme="minorEastAsia"/>
                <w:sz w:val="24"/>
                <w:szCs w:val="24"/>
              </w:rPr>
              <w:t xml:space="preserve"> uzlabo</w:t>
            </w:r>
            <w:r w:rsidR="00C30902" w:rsidRPr="0080267A">
              <w:rPr>
                <w:rFonts w:eastAsiaTheme="minorEastAsia"/>
                <w:sz w:val="24"/>
                <w:szCs w:val="24"/>
              </w:rPr>
              <w:t>j</w:t>
            </w:r>
            <w:r w:rsidR="000D074F" w:rsidRPr="0080267A">
              <w:rPr>
                <w:rFonts w:eastAsiaTheme="minorEastAsia"/>
                <w:sz w:val="24"/>
                <w:szCs w:val="24"/>
              </w:rPr>
              <w:t>umiem”</w:t>
            </w:r>
            <w:r w:rsidR="00C30902" w:rsidRPr="0080267A">
              <w:rPr>
                <w:rFonts w:eastAsiaTheme="minorEastAsia"/>
                <w:sz w:val="24"/>
                <w:szCs w:val="24"/>
              </w:rPr>
              <w:t xml:space="preserve"> (protokols Nr. 17; </w:t>
            </w:r>
            <w:bookmarkStart w:id="0" w:name="29"/>
            <w:r w:rsidR="00C30902" w:rsidRPr="0080267A">
              <w:rPr>
                <w:rFonts w:eastAsiaTheme="minorEastAsia"/>
                <w:sz w:val="24"/>
                <w:szCs w:val="24"/>
              </w:rPr>
              <w:t>29.§</w:t>
            </w:r>
            <w:bookmarkEnd w:id="0"/>
            <w:r w:rsidR="00C30902" w:rsidRPr="0080267A">
              <w:rPr>
                <w:rFonts w:eastAsiaTheme="minorEastAsia"/>
                <w:sz w:val="24"/>
                <w:szCs w:val="24"/>
              </w:rPr>
              <w:t>)</w:t>
            </w:r>
            <w:r w:rsidR="00B7546B" w:rsidRPr="0080267A">
              <w:rPr>
                <w:rFonts w:eastAsiaTheme="minorEastAsia"/>
                <w:sz w:val="24"/>
                <w:szCs w:val="24"/>
              </w:rPr>
              <w:t xml:space="preserve"> ietverto informāciju</w:t>
            </w:r>
            <w:r w:rsidR="000D074F" w:rsidRPr="0080267A">
              <w:rPr>
                <w:rFonts w:eastAsiaTheme="minorEastAsia"/>
                <w:sz w:val="24"/>
                <w:szCs w:val="24"/>
              </w:rPr>
              <w:t xml:space="preserve"> </w:t>
            </w:r>
            <w:r w:rsidR="005D422C" w:rsidRPr="0080267A">
              <w:rPr>
                <w:rFonts w:eastAsiaTheme="minorEastAsia"/>
                <w:sz w:val="24"/>
                <w:szCs w:val="24"/>
              </w:rPr>
              <w:t xml:space="preserve">SAM 1.1.1. </w:t>
            </w:r>
            <w:r w:rsidR="000D074F" w:rsidRPr="0080267A">
              <w:rPr>
                <w:rFonts w:eastAsiaTheme="minorEastAsia"/>
                <w:sz w:val="24"/>
                <w:szCs w:val="24"/>
              </w:rPr>
              <w:t>1.1.1.1. pasākuma un 1.1.1.2. pasākuma „</w:t>
            </w:r>
            <w:proofErr w:type="spellStart"/>
            <w:r w:rsidR="000D074F" w:rsidRPr="0080267A">
              <w:rPr>
                <w:rFonts w:eastAsiaTheme="minorEastAsia"/>
                <w:sz w:val="24"/>
                <w:szCs w:val="24"/>
              </w:rPr>
              <w:t>Pēcdoktorantūras</w:t>
            </w:r>
            <w:proofErr w:type="spellEnd"/>
            <w:r w:rsidR="000D074F" w:rsidRPr="0080267A">
              <w:rPr>
                <w:rFonts w:eastAsiaTheme="minorEastAsia"/>
                <w:sz w:val="24"/>
                <w:szCs w:val="24"/>
              </w:rPr>
              <w:t xml:space="preserve"> pētniecības atbalsts” </w:t>
            </w:r>
            <w:r w:rsidR="00B7546B" w:rsidRPr="0080267A">
              <w:rPr>
                <w:rFonts w:eastAsiaTheme="minorEastAsia"/>
                <w:sz w:val="24"/>
                <w:szCs w:val="24"/>
              </w:rPr>
              <w:t xml:space="preserve">1. un 2. atlašu kārtu </w:t>
            </w:r>
            <w:r w:rsidR="005D422C" w:rsidRPr="0080267A">
              <w:rPr>
                <w:rFonts w:eastAsiaTheme="minorEastAsia"/>
                <w:sz w:val="24"/>
                <w:szCs w:val="24"/>
              </w:rPr>
              <w:t xml:space="preserve">ietvaros </w:t>
            </w:r>
            <w:r w:rsidR="00B7546B" w:rsidRPr="0080267A">
              <w:rPr>
                <w:rFonts w:eastAsiaTheme="minorEastAsia"/>
                <w:sz w:val="24"/>
                <w:szCs w:val="24"/>
              </w:rPr>
              <w:t xml:space="preserve">projektos </w:t>
            </w:r>
            <w:r w:rsidR="005D422C" w:rsidRPr="0080267A">
              <w:rPr>
                <w:rFonts w:eastAsiaTheme="minorEastAsia"/>
                <w:sz w:val="24"/>
                <w:szCs w:val="24"/>
              </w:rPr>
              <w:t>uzņemt</w:t>
            </w:r>
            <w:r w:rsidR="00EA3E36" w:rsidRPr="0080267A">
              <w:rPr>
                <w:rFonts w:eastAsiaTheme="minorEastAsia"/>
                <w:sz w:val="24"/>
                <w:szCs w:val="24"/>
              </w:rPr>
              <w:t>ā</w:t>
            </w:r>
            <w:r w:rsidR="005D422C" w:rsidRPr="0080267A">
              <w:rPr>
                <w:rFonts w:eastAsiaTheme="minorEastAsia"/>
                <w:sz w:val="24"/>
                <w:szCs w:val="24"/>
              </w:rPr>
              <w:t xml:space="preserve">s saistības veido </w:t>
            </w:r>
            <w:r w:rsidR="00EA3E36" w:rsidRPr="0080267A">
              <w:rPr>
                <w:rFonts w:eastAsiaTheme="minorEastAsia"/>
                <w:sz w:val="24"/>
                <w:szCs w:val="24"/>
              </w:rPr>
              <w:t xml:space="preserve">51% no plānotās i.1.1.1.g rādītāja vērtības un </w:t>
            </w:r>
            <w:r w:rsidR="005D422C" w:rsidRPr="0080267A">
              <w:rPr>
                <w:rFonts w:eastAsiaTheme="minorEastAsia"/>
                <w:sz w:val="24"/>
                <w:szCs w:val="24"/>
              </w:rPr>
              <w:t xml:space="preserve">59% no plānotās </w:t>
            </w:r>
            <w:r w:rsidR="00EA3E36" w:rsidRPr="0080267A">
              <w:rPr>
                <w:rFonts w:eastAsiaTheme="minorEastAsia"/>
                <w:sz w:val="24"/>
                <w:szCs w:val="24"/>
              </w:rPr>
              <w:t xml:space="preserve">i.1.1.1.ck (CO26) </w:t>
            </w:r>
            <w:r w:rsidR="005D422C" w:rsidRPr="0080267A">
              <w:rPr>
                <w:rFonts w:eastAsiaTheme="minorEastAsia"/>
                <w:sz w:val="24"/>
                <w:szCs w:val="24"/>
              </w:rPr>
              <w:t>rādītāja vērtības</w:t>
            </w:r>
            <w:r w:rsidR="00353C15" w:rsidRPr="0080267A">
              <w:rPr>
                <w:rFonts w:eastAsiaTheme="minorEastAsia"/>
                <w:sz w:val="24"/>
                <w:szCs w:val="24"/>
              </w:rPr>
              <w:t>.</w:t>
            </w:r>
          </w:p>
          <w:p w14:paraId="4B7B5D11" w14:textId="45786BA7" w:rsidR="00FB4F5C" w:rsidRPr="00600B68" w:rsidRDefault="00FB4F5C" w:rsidP="00CC1C10">
            <w:pPr>
              <w:pStyle w:val="ListParagraph"/>
              <w:spacing w:before="60" w:after="60"/>
              <w:ind w:left="101" w:right="102"/>
              <w:jc w:val="both"/>
              <w:rPr>
                <w:rFonts w:eastAsiaTheme="minorEastAsia"/>
                <w:sz w:val="24"/>
                <w:szCs w:val="24"/>
              </w:rPr>
            </w:pPr>
            <w:r w:rsidRPr="00600B68">
              <w:rPr>
                <w:rFonts w:eastAsiaTheme="minorEastAsia"/>
                <w:sz w:val="24"/>
                <w:szCs w:val="24"/>
              </w:rPr>
              <w:t xml:space="preserve">Lai sekmētu virzību uz </w:t>
            </w:r>
            <w:r w:rsidR="00336E9F" w:rsidRPr="00336E9F">
              <w:rPr>
                <w:rFonts w:eastAsiaTheme="minorEastAsia"/>
                <w:sz w:val="24"/>
                <w:szCs w:val="24"/>
              </w:rPr>
              <w:t>Latvijas V</w:t>
            </w:r>
            <w:r w:rsidR="00336E9F">
              <w:rPr>
                <w:rFonts w:eastAsiaTheme="minorEastAsia"/>
                <w:sz w:val="24"/>
                <w:szCs w:val="24"/>
              </w:rPr>
              <w:t>iedās Specializācijas stratēģijā (</w:t>
            </w:r>
            <w:r w:rsidRPr="00600B68">
              <w:rPr>
                <w:rFonts w:eastAsiaTheme="minorEastAsia"/>
                <w:sz w:val="24"/>
                <w:szCs w:val="24"/>
              </w:rPr>
              <w:t>RIS3</w:t>
            </w:r>
            <w:r w:rsidR="00336E9F">
              <w:rPr>
                <w:rFonts w:eastAsiaTheme="minorEastAsia"/>
                <w:sz w:val="24"/>
                <w:szCs w:val="24"/>
              </w:rPr>
              <w:t xml:space="preserve">) noteikto </w:t>
            </w:r>
            <w:r w:rsidRPr="00600B68">
              <w:rPr>
                <w:rFonts w:eastAsiaTheme="minorEastAsia"/>
                <w:sz w:val="24"/>
                <w:szCs w:val="24"/>
              </w:rPr>
              <w:t>mērķu sasniegšanu</w:t>
            </w:r>
            <w:r w:rsidR="00353C15" w:rsidRPr="00600B68">
              <w:rPr>
                <w:rFonts w:eastAsiaTheme="minorEastAsia"/>
                <w:sz w:val="24"/>
                <w:szCs w:val="24"/>
              </w:rPr>
              <w:t xml:space="preserve"> un </w:t>
            </w:r>
            <w:r w:rsidR="00B7771D">
              <w:rPr>
                <w:rFonts w:eastAsiaTheme="minorEastAsia"/>
                <w:sz w:val="24"/>
                <w:szCs w:val="24"/>
              </w:rPr>
              <w:t xml:space="preserve">SAM 1.1.1. </w:t>
            </w:r>
            <w:r w:rsidR="00353C15" w:rsidRPr="00600B68">
              <w:rPr>
                <w:rFonts w:eastAsiaTheme="minorEastAsia"/>
                <w:sz w:val="24"/>
                <w:szCs w:val="24"/>
              </w:rPr>
              <w:t>iznākuma rādītāju izpildi</w:t>
            </w:r>
            <w:r w:rsidRPr="00600B68">
              <w:rPr>
                <w:rFonts w:eastAsiaTheme="minorEastAsia"/>
                <w:sz w:val="24"/>
                <w:szCs w:val="24"/>
              </w:rPr>
              <w:t>, noteikumu projekts paredz</w:t>
            </w:r>
            <w:r w:rsidR="00F71640" w:rsidRPr="00600B68">
              <w:rPr>
                <w:rFonts w:eastAsiaTheme="minorEastAsia"/>
                <w:sz w:val="24"/>
                <w:szCs w:val="24"/>
              </w:rPr>
              <w:t xml:space="preserve"> stimulus komersantu iesaistei pētniecības īstenošanā, tajā skaitā: </w:t>
            </w:r>
          </w:p>
          <w:p w14:paraId="38BC92B6" w14:textId="4118EB69" w:rsidR="00150FB3" w:rsidRPr="00600B68" w:rsidRDefault="00FB4F5C" w:rsidP="00150FB3">
            <w:pPr>
              <w:pStyle w:val="ListParagraph"/>
              <w:spacing w:before="60" w:after="60"/>
              <w:ind w:left="101" w:right="102"/>
              <w:jc w:val="both"/>
              <w:rPr>
                <w:rFonts w:eastAsiaTheme="minorEastAsia"/>
                <w:sz w:val="24"/>
                <w:szCs w:val="24"/>
              </w:rPr>
            </w:pPr>
            <w:r w:rsidRPr="00600B68">
              <w:rPr>
                <w:rFonts w:eastAsiaTheme="minorEastAsia"/>
                <w:sz w:val="24"/>
                <w:szCs w:val="24"/>
              </w:rPr>
              <w:t>1. fundamentāl</w:t>
            </w:r>
            <w:r w:rsidR="003C775D" w:rsidRPr="00600B68">
              <w:rPr>
                <w:rFonts w:eastAsiaTheme="minorEastAsia"/>
                <w:sz w:val="24"/>
                <w:szCs w:val="24"/>
              </w:rPr>
              <w:t>o</w:t>
            </w:r>
            <w:r w:rsidRPr="00600B68">
              <w:rPr>
                <w:rFonts w:eastAsiaTheme="minorEastAsia"/>
                <w:sz w:val="24"/>
                <w:szCs w:val="24"/>
              </w:rPr>
              <w:t xml:space="preserve"> pētījum</w:t>
            </w:r>
            <w:r w:rsidR="003C775D" w:rsidRPr="00600B68">
              <w:rPr>
                <w:rFonts w:eastAsiaTheme="minorEastAsia"/>
                <w:sz w:val="24"/>
                <w:szCs w:val="24"/>
              </w:rPr>
              <w:t>u īstenošanas nosacījumu aktualizācija (MK noteikumu 8.2.3.1. apakšpunkts)</w:t>
            </w:r>
            <w:r w:rsidR="00353C15" w:rsidRPr="00600B68">
              <w:rPr>
                <w:rFonts w:eastAsiaTheme="minorEastAsia"/>
                <w:sz w:val="24"/>
                <w:szCs w:val="24"/>
              </w:rPr>
              <w:t xml:space="preserve">, nosakot, ka </w:t>
            </w:r>
            <w:r w:rsidR="00B7771D" w:rsidRPr="00600B68">
              <w:rPr>
                <w:rFonts w:eastAsiaTheme="minorEastAsia"/>
                <w:sz w:val="24"/>
                <w:szCs w:val="24"/>
              </w:rPr>
              <w:t xml:space="preserve">1.1.1.1. pasākuma trešās </w:t>
            </w:r>
            <w:r w:rsidR="00B31A4E">
              <w:rPr>
                <w:rFonts w:eastAsiaTheme="minorEastAsia"/>
                <w:sz w:val="24"/>
                <w:szCs w:val="24"/>
              </w:rPr>
              <w:t xml:space="preserve">projektu iesniegumu atlases </w:t>
            </w:r>
            <w:r w:rsidR="00B7771D" w:rsidRPr="00600B68">
              <w:rPr>
                <w:rFonts w:eastAsiaTheme="minorEastAsia"/>
                <w:sz w:val="24"/>
                <w:szCs w:val="24"/>
              </w:rPr>
              <w:t>kārtas ietvaros atbalstāmi tādi projekti, kuru ievaros īstenotā pētniecība vērsta ne tikai uz jaunu zināšanu par lietām un parādībām ieguvi, neparedzot nekādu saimniecisku izmantojumu (fundamentālie pētījumi), bet arī uz jaunu zināšanu ieguvi jaunu produktu vai tehnoloģiju izstrādei (rūpnieciskie pētījumi, eksperimentālā izstrāde)</w:t>
            </w:r>
            <w:r w:rsidR="00B7771D">
              <w:rPr>
                <w:rFonts w:eastAsiaTheme="minorEastAsia"/>
                <w:sz w:val="24"/>
                <w:szCs w:val="24"/>
              </w:rPr>
              <w:t>. Tādējādi komersantiem tiek radīti labvēlīgāki nosacījumi</w:t>
            </w:r>
            <w:r w:rsidR="00336E9F">
              <w:rPr>
                <w:rFonts w:eastAsiaTheme="minorEastAsia"/>
                <w:sz w:val="24"/>
                <w:szCs w:val="24"/>
              </w:rPr>
              <w:t xml:space="preserve"> sadarbībai ar pētniecības organizācijām ar saimniecisku darbību nesaistītu projektu ietvaros.</w:t>
            </w:r>
          </w:p>
          <w:p w14:paraId="55E7A59A" w14:textId="27175975" w:rsidR="00B71EA1" w:rsidRPr="00600B68" w:rsidRDefault="00F71640" w:rsidP="00B71EA1">
            <w:pPr>
              <w:spacing w:before="60" w:after="60"/>
              <w:ind w:left="101" w:right="102"/>
              <w:jc w:val="both"/>
              <w:rPr>
                <w:rFonts w:eastAsiaTheme="minorEastAsia"/>
              </w:rPr>
            </w:pPr>
            <w:r w:rsidRPr="00600B68">
              <w:rPr>
                <w:rFonts w:eastAsiaTheme="minorEastAsia"/>
              </w:rPr>
              <w:t>2</w:t>
            </w:r>
            <w:r w:rsidR="000717F0" w:rsidRPr="00600B68">
              <w:rPr>
                <w:rFonts w:eastAsiaTheme="minorEastAsia"/>
              </w:rPr>
              <w:t>. </w:t>
            </w:r>
            <w:r w:rsidR="00336E9F">
              <w:rPr>
                <w:rFonts w:eastAsiaTheme="minorEastAsia"/>
              </w:rPr>
              <w:t xml:space="preserve"> komersantu – </w:t>
            </w:r>
            <w:proofErr w:type="spellStart"/>
            <w:r w:rsidR="00336E9F">
              <w:rPr>
                <w:rFonts w:eastAsiaTheme="minorEastAsia"/>
              </w:rPr>
              <w:t>līgumpētījumu</w:t>
            </w:r>
            <w:proofErr w:type="spellEnd"/>
            <w:r w:rsidR="00336E9F">
              <w:rPr>
                <w:rFonts w:eastAsiaTheme="minorEastAsia"/>
              </w:rPr>
              <w:t xml:space="preserve"> pasūtītāju – interesēs īstenotu projektu īstenošanas nosacījumu</w:t>
            </w:r>
            <w:r w:rsidR="00B71EA1">
              <w:rPr>
                <w:rFonts w:eastAsiaTheme="minorEastAsia"/>
              </w:rPr>
              <w:t xml:space="preserve"> (</w:t>
            </w:r>
            <w:r w:rsidR="00336E9F" w:rsidRPr="00600B68">
              <w:rPr>
                <w:rFonts w:eastAsiaTheme="minorEastAsia"/>
              </w:rPr>
              <w:t>MK noteikumu 22.2. apakšpunkt</w:t>
            </w:r>
            <w:r w:rsidR="00B71EA1">
              <w:rPr>
                <w:rFonts w:eastAsiaTheme="minorEastAsia"/>
              </w:rPr>
              <w:t>s)</w:t>
            </w:r>
            <w:r w:rsidR="00336E9F" w:rsidRPr="00600B68">
              <w:rPr>
                <w:rFonts w:eastAsiaTheme="minorEastAsia"/>
              </w:rPr>
              <w:t xml:space="preserve"> </w:t>
            </w:r>
            <w:r w:rsidR="00336E9F">
              <w:rPr>
                <w:rFonts w:eastAsiaTheme="minorEastAsia"/>
              </w:rPr>
              <w:t xml:space="preserve">aktualizācija </w:t>
            </w:r>
            <w:r w:rsidR="00B71EA1">
              <w:rPr>
                <w:rFonts w:eastAsiaTheme="minorEastAsia"/>
              </w:rPr>
              <w:t>ar mērķi</w:t>
            </w:r>
            <w:r w:rsidR="00850B98" w:rsidRPr="00600B68">
              <w:rPr>
                <w:rFonts w:eastAsiaTheme="minorEastAsia"/>
              </w:rPr>
              <w:t xml:space="preserve"> </w:t>
            </w:r>
            <w:r w:rsidR="00B71EA1">
              <w:rPr>
                <w:rFonts w:eastAsiaTheme="minorEastAsia"/>
              </w:rPr>
              <w:t xml:space="preserve">a) sekmēt tādu komersantu iesaisti pētniecības īstenošanā, </w:t>
            </w:r>
            <w:r w:rsidR="00B71EA1" w:rsidRPr="004F4DF8">
              <w:rPr>
                <w:rFonts w:eastAsiaTheme="minorEastAsia"/>
              </w:rPr>
              <w:t xml:space="preserve">kuri vērsti uz inovatīvu produktu/tehnoloģiju ieviešanu, bet kuriem nav pietiekamas zinātniskās kapacitātes (cilvēkresursi, pētniecības infrastruktūra), lai izstrādātu jaunus produktus vai tehnoloģijas. Konkrētajā gadījumā komersanta iesniegtā projekta iesnieguma atbilstību 3.3. kritērijam </w:t>
            </w:r>
            <w:r w:rsidR="004F4DF8" w:rsidRPr="004F4DF8">
              <w:rPr>
                <w:rFonts w:eastAsiaTheme="minorEastAsia"/>
              </w:rPr>
              <w:t xml:space="preserve">„Projekta īstenošanas kvalitāte un efektivitāte” </w:t>
            </w:r>
            <w:r w:rsidR="00B71EA1" w:rsidRPr="004F4DF8">
              <w:rPr>
                <w:rFonts w:eastAsiaTheme="minorEastAsia"/>
              </w:rPr>
              <w:t xml:space="preserve">vērtē, ņemot vērā </w:t>
            </w:r>
            <w:proofErr w:type="spellStart"/>
            <w:r w:rsidR="00B71EA1" w:rsidRPr="004F4DF8">
              <w:rPr>
                <w:rFonts w:eastAsiaTheme="minorEastAsia"/>
              </w:rPr>
              <w:t>līgumpētījuma</w:t>
            </w:r>
            <w:proofErr w:type="spellEnd"/>
            <w:r w:rsidR="00B71EA1" w:rsidRPr="004F4DF8">
              <w:rPr>
                <w:rFonts w:eastAsiaTheme="minorEastAsia"/>
              </w:rPr>
              <w:t xml:space="preserve"> izpildītāja – zinātniskās institūcijas zinātnisko kapacitāti;</w:t>
            </w:r>
          </w:p>
          <w:p w14:paraId="7E931206" w14:textId="6636CE7D" w:rsidR="00850B98" w:rsidRPr="00600B68" w:rsidRDefault="00B71EA1" w:rsidP="00850B98">
            <w:pPr>
              <w:spacing w:before="60" w:after="60"/>
              <w:ind w:left="101" w:right="102"/>
              <w:jc w:val="both"/>
              <w:rPr>
                <w:rFonts w:eastAsiaTheme="minorEastAsia"/>
              </w:rPr>
            </w:pPr>
            <w:r>
              <w:rPr>
                <w:rFonts w:eastAsiaTheme="minorEastAsia"/>
              </w:rPr>
              <w:t>b</w:t>
            </w:r>
            <w:r w:rsidR="00353C15" w:rsidRPr="00600B68">
              <w:rPr>
                <w:rFonts w:eastAsiaTheme="minorEastAsia"/>
              </w:rPr>
              <w:t>) </w:t>
            </w:r>
            <w:r w:rsidR="009C2904" w:rsidRPr="00600B68">
              <w:rPr>
                <w:rFonts w:eastAsiaTheme="minorEastAsia"/>
              </w:rPr>
              <w:t>veicin</w:t>
            </w:r>
            <w:r w:rsidR="00336E9F">
              <w:rPr>
                <w:rFonts w:eastAsiaTheme="minorEastAsia"/>
              </w:rPr>
              <w:t>a</w:t>
            </w:r>
            <w:r w:rsidR="00850B98" w:rsidRPr="00600B68">
              <w:rPr>
                <w:rFonts w:eastAsiaTheme="minorEastAsia"/>
              </w:rPr>
              <w:t xml:space="preserve"> komersantu un zinātnisko institūciju sadarbību</w:t>
            </w:r>
            <w:r w:rsidR="004F4DF8">
              <w:rPr>
                <w:rFonts w:eastAsiaTheme="minorEastAsia"/>
              </w:rPr>
              <w:t>.</w:t>
            </w:r>
            <w:r w:rsidR="00353C15" w:rsidRPr="00600B68">
              <w:rPr>
                <w:rFonts w:eastAsiaTheme="minorEastAsia"/>
              </w:rPr>
              <w:t xml:space="preserve"> </w:t>
            </w:r>
          </w:p>
          <w:p w14:paraId="7E102D61" w14:textId="7EE3C43A" w:rsidR="00491E9B" w:rsidRPr="00600B68" w:rsidRDefault="00F71640" w:rsidP="00850B98">
            <w:pPr>
              <w:pStyle w:val="ListParagraph"/>
              <w:spacing w:before="60" w:after="60"/>
              <w:ind w:left="101" w:right="102"/>
              <w:jc w:val="both"/>
              <w:rPr>
                <w:rFonts w:eastAsiaTheme="minorEastAsia"/>
                <w:sz w:val="24"/>
                <w:szCs w:val="24"/>
              </w:rPr>
            </w:pPr>
            <w:r w:rsidRPr="00600B68">
              <w:rPr>
                <w:rFonts w:eastAsiaTheme="minorEastAsia"/>
                <w:sz w:val="24"/>
                <w:szCs w:val="24"/>
              </w:rPr>
              <w:t>3</w:t>
            </w:r>
            <w:r w:rsidR="00850B98" w:rsidRPr="00600B68">
              <w:rPr>
                <w:rFonts w:eastAsiaTheme="minorEastAsia"/>
                <w:sz w:val="24"/>
                <w:szCs w:val="24"/>
              </w:rPr>
              <w:t>. MK noteikumu 22.3. apakšpunkt</w:t>
            </w:r>
            <w:r w:rsidRPr="00600B68">
              <w:rPr>
                <w:rFonts w:eastAsiaTheme="minorEastAsia"/>
                <w:sz w:val="24"/>
                <w:szCs w:val="24"/>
              </w:rPr>
              <w:t xml:space="preserve">a </w:t>
            </w:r>
            <w:r w:rsidR="000F3637" w:rsidRPr="00600B68">
              <w:rPr>
                <w:rFonts w:eastAsiaTheme="minorEastAsia"/>
                <w:sz w:val="24"/>
                <w:szCs w:val="24"/>
              </w:rPr>
              <w:t>aktualizācija</w:t>
            </w:r>
            <w:r w:rsidR="00850B98" w:rsidRPr="00600B68">
              <w:rPr>
                <w:rFonts w:eastAsiaTheme="minorEastAsia"/>
                <w:sz w:val="24"/>
                <w:szCs w:val="24"/>
              </w:rPr>
              <w:t xml:space="preserve">, </w:t>
            </w:r>
            <w:r w:rsidR="00C30902">
              <w:rPr>
                <w:rFonts w:eastAsiaTheme="minorEastAsia"/>
                <w:sz w:val="24"/>
                <w:szCs w:val="24"/>
              </w:rPr>
              <w:t>viennozīmīgi definējot</w:t>
            </w:r>
            <w:r w:rsidR="00C30902" w:rsidRPr="00600B68">
              <w:rPr>
                <w:rFonts w:eastAsiaTheme="minorEastAsia"/>
                <w:sz w:val="24"/>
                <w:szCs w:val="24"/>
              </w:rPr>
              <w:t xml:space="preserve"> </w:t>
            </w:r>
            <w:r w:rsidR="00850B98" w:rsidRPr="00600B68">
              <w:rPr>
                <w:rFonts w:eastAsiaTheme="minorEastAsia"/>
                <w:sz w:val="24"/>
                <w:szCs w:val="24"/>
              </w:rPr>
              <w:t xml:space="preserve">saistīto komersantu </w:t>
            </w:r>
            <w:r w:rsidR="00C30902" w:rsidRPr="00600B68">
              <w:rPr>
                <w:rFonts w:eastAsiaTheme="minorEastAsia"/>
                <w:sz w:val="24"/>
                <w:szCs w:val="24"/>
              </w:rPr>
              <w:t>iesaist</w:t>
            </w:r>
            <w:r w:rsidR="00C30902">
              <w:rPr>
                <w:rFonts w:eastAsiaTheme="minorEastAsia"/>
                <w:sz w:val="24"/>
                <w:szCs w:val="24"/>
              </w:rPr>
              <w:t>es iespējas</w:t>
            </w:r>
            <w:r w:rsidR="00C30902" w:rsidRPr="00600B68">
              <w:rPr>
                <w:rFonts w:eastAsiaTheme="minorEastAsia"/>
                <w:sz w:val="24"/>
                <w:szCs w:val="24"/>
              </w:rPr>
              <w:t xml:space="preserve"> </w:t>
            </w:r>
            <w:r w:rsidR="009C2904" w:rsidRPr="00600B68">
              <w:rPr>
                <w:rFonts w:eastAsiaTheme="minorEastAsia"/>
                <w:sz w:val="24"/>
                <w:szCs w:val="24"/>
              </w:rPr>
              <w:t>sadarbības projektu īstenošanā</w:t>
            </w:r>
            <w:r w:rsidR="000F3637" w:rsidRPr="00600B68">
              <w:rPr>
                <w:rFonts w:eastAsiaTheme="minorEastAsia"/>
                <w:sz w:val="24"/>
                <w:szCs w:val="24"/>
              </w:rPr>
              <w:t>, lai sasniegtu kopīgu mērķi</w:t>
            </w:r>
            <w:r w:rsidR="004F4DF8">
              <w:rPr>
                <w:rFonts w:eastAsiaTheme="minorEastAsia"/>
                <w:sz w:val="24"/>
                <w:szCs w:val="24"/>
              </w:rPr>
              <w:t>.</w:t>
            </w:r>
          </w:p>
          <w:p w14:paraId="40C1AE00" w14:textId="236209FB" w:rsidR="002E2B0D" w:rsidRDefault="00491E9B" w:rsidP="00850B98">
            <w:pPr>
              <w:pStyle w:val="ListParagraph"/>
              <w:spacing w:before="60" w:after="60"/>
              <w:ind w:left="101" w:right="102"/>
              <w:jc w:val="both"/>
              <w:rPr>
                <w:rFonts w:eastAsiaTheme="minorEastAsia"/>
                <w:sz w:val="24"/>
                <w:szCs w:val="24"/>
              </w:rPr>
            </w:pPr>
            <w:r w:rsidRPr="00600B68">
              <w:rPr>
                <w:rFonts w:eastAsiaTheme="minorEastAsia"/>
                <w:sz w:val="24"/>
                <w:szCs w:val="24"/>
              </w:rPr>
              <w:t>4. </w:t>
            </w:r>
            <w:r w:rsidR="004F4DF8">
              <w:rPr>
                <w:rFonts w:eastAsiaTheme="minorEastAsia"/>
                <w:sz w:val="24"/>
                <w:szCs w:val="24"/>
              </w:rPr>
              <w:t>P</w:t>
            </w:r>
            <w:r w:rsidRPr="00600B68">
              <w:rPr>
                <w:rFonts w:eastAsiaTheme="minorEastAsia"/>
                <w:sz w:val="24"/>
                <w:szCs w:val="24"/>
              </w:rPr>
              <w:t>rojekta rezultātu ilgtspējas nosacījumu aktualizācija</w:t>
            </w:r>
            <w:r w:rsidR="00535364">
              <w:rPr>
                <w:rFonts w:eastAsiaTheme="minorEastAsia"/>
                <w:sz w:val="24"/>
                <w:szCs w:val="24"/>
              </w:rPr>
              <w:t xml:space="preserve"> </w:t>
            </w:r>
            <w:r w:rsidR="00535364" w:rsidRPr="00600B68">
              <w:rPr>
                <w:rFonts w:eastAsiaTheme="minorEastAsia"/>
                <w:sz w:val="24"/>
                <w:szCs w:val="24"/>
              </w:rPr>
              <w:t xml:space="preserve">(noteikumu </w:t>
            </w:r>
            <w:r w:rsidR="00535364" w:rsidRPr="00C30902">
              <w:rPr>
                <w:rFonts w:eastAsiaTheme="minorEastAsia"/>
                <w:sz w:val="24"/>
                <w:szCs w:val="24"/>
              </w:rPr>
              <w:t xml:space="preserve">projekta </w:t>
            </w:r>
            <w:r w:rsidR="00535364">
              <w:rPr>
                <w:rFonts w:eastAsiaTheme="minorEastAsia"/>
                <w:sz w:val="24"/>
                <w:szCs w:val="24"/>
              </w:rPr>
              <w:t>10. punkts, svītrots MK noteikumu 24.</w:t>
            </w:r>
            <w:r w:rsidR="00535364" w:rsidRPr="003C1D2D">
              <w:rPr>
                <w:rFonts w:eastAsiaTheme="minorEastAsia"/>
                <w:sz w:val="24"/>
                <w:szCs w:val="24"/>
                <w:vertAlign w:val="superscript"/>
              </w:rPr>
              <w:t>1</w:t>
            </w:r>
            <w:r w:rsidR="00535364">
              <w:rPr>
                <w:rFonts w:eastAsiaTheme="minorEastAsia"/>
                <w:sz w:val="24"/>
                <w:szCs w:val="24"/>
              </w:rPr>
              <w:t> 4. apakšpunkts</w:t>
            </w:r>
            <w:r w:rsidR="00535364" w:rsidRPr="00600B68">
              <w:rPr>
                <w:rFonts w:eastAsiaTheme="minorEastAsia"/>
                <w:sz w:val="24"/>
                <w:szCs w:val="24"/>
              </w:rPr>
              <w:t>)</w:t>
            </w:r>
            <w:r w:rsidRPr="00600B68">
              <w:rPr>
                <w:rFonts w:eastAsiaTheme="minorEastAsia"/>
                <w:sz w:val="24"/>
                <w:szCs w:val="24"/>
              </w:rPr>
              <w:t xml:space="preserve">, </w:t>
            </w:r>
            <w:r w:rsidR="004F4DF8">
              <w:rPr>
                <w:rFonts w:eastAsiaTheme="minorEastAsia"/>
                <w:sz w:val="24"/>
                <w:szCs w:val="24"/>
              </w:rPr>
              <w:t xml:space="preserve">no ilgtspējas kritērijiem </w:t>
            </w:r>
            <w:r w:rsidRPr="00600B68">
              <w:rPr>
                <w:rFonts w:eastAsiaTheme="minorEastAsia"/>
                <w:sz w:val="24"/>
                <w:szCs w:val="24"/>
              </w:rPr>
              <w:t>izslēdzot tādu rezultātu uzturēšanu, pilnveidi vai aktualizāciju, kas</w:t>
            </w:r>
            <w:r w:rsidR="00535364">
              <w:rPr>
                <w:rFonts w:eastAsiaTheme="minorEastAsia"/>
                <w:sz w:val="24"/>
                <w:szCs w:val="24"/>
              </w:rPr>
              <w:t xml:space="preserve"> </w:t>
            </w:r>
            <w:r w:rsidRPr="00600B68">
              <w:rPr>
                <w:rFonts w:eastAsiaTheme="minorEastAsia"/>
                <w:sz w:val="24"/>
                <w:szCs w:val="24"/>
              </w:rPr>
              <w:t>nesniedz ieguldījumu</w:t>
            </w:r>
            <w:r w:rsidR="008F479B">
              <w:rPr>
                <w:rFonts w:eastAsiaTheme="minorEastAsia"/>
                <w:sz w:val="24"/>
                <w:szCs w:val="24"/>
              </w:rPr>
              <w:t xml:space="preserve"> </w:t>
            </w:r>
            <w:r w:rsidR="008F479B" w:rsidRPr="00C3544E">
              <w:rPr>
                <w:rFonts w:eastAsiaTheme="minorEastAsia"/>
                <w:sz w:val="24"/>
              </w:rPr>
              <w:t>RIS3 noteikto mērķu sasniegšanā un</w:t>
            </w:r>
            <w:r w:rsidRPr="00B31A4E">
              <w:rPr>
                <w:rFonts w:eastAsiaTheme="minorEastAsia"/>
                <w:sz w:val="28"/>
                <w:szCs w:val="24"/>
              </w:rPr>
              <w:t xml:space="preserve"> </w:t>
            </w:r>
            <w:r w:rsidR="009D5CC8" w:rsidRPr="00600B68">
              <w:rPr>
                <w:rFonts w:eastAsiaTheme="minorEastAsia"/>
                <w:sz w:val="24"/>
                <w:szCs w:val="24"/>
              </w:rPr>
              <w:t>SAM</w:t>
            </w:r>
            <w:r w:rsidR="009D5CC8">
              <w:rPr>
                <w:rFonts w:eastAsiaTheme="minorEastAsia"/>
                <w:sz w:val="24"/>
                <w:szCs w:val="24"/>
              </w:rPr>
              <w:t> </w:t>
            </w:r>
            <w:r w:rsidRPr="00600B68">
              <w:rPr>
                <w:rFonts w:eastAsiaTheme="minorEastAsia"/>
                <w:sz w:val="24"/>
                <w:szCs w:val="24"/>
              </w:rPr>
              <w:t>1.1.1. iznākuma rādītāju izpildē</w:t>
            </w:r>
            <w:r w:rsidR="002E2B0D">
              <w:rPr>
                <w:rFonts w:eastAsiaTheme="minorEastAsia"/>
                <w:sz w:val="24"/>
                <w:szCs w:val="24"/>
              </w:rPr>
              <w:t xml:space="preserve">. </w:t>
            </w:r>
          </w:p>
          <w:p w14:paraId="04445F03" w14:textId="77777777" w:rsidR="00A654B3" w:rsidRPr="001A2BC6" w:rsidRDefault="00A654B3" w:rsidP="00850B98">
            <w:pPr>
              <w:pStyle w:val="ListParagraph"/>
              <w:spacing w:before="60" w:after="60"/>
              <w:ind w:left="101" w:right="102"/>
              <w:jc w:val="both"/>
              <w:rPr>
                <w:rFonts w:eastAsiaTheme="minorEastAsia"/>
                <w:sz w:val="24"/>
                <w:szCs w:val="24"/>
              </w:rPr>
            </w:pPr>
            <w:r w:rsidRPr="001A2BC6">
              <w:rPr>
                <w:rFonts w:eastAsiaTheme="minorEastAsia"/>
                <w:sz w:val="24"/>
                <w:szCs w:val="24"/>
              </w:rPr>
              <w:t>Ilgtspējas nosacījumu aktualizāciju pamato šādi apsvērumi:</w:t>
            </w:r>
          </w:p>
          <w:p w14:paraId="6B106056" w14:textId="1AF479F3" w:rsidR="000717F0" w:rsidRPr="001A2BC6" w:rsidRDefault="00A654B3" w:rsidP="00850B98">
            <w:pPr>
              <w:pStyle w:val="ListParagraph"/>
              <w:spacing w:before="60" w:after="60"/>
              <w:ind w:left="101" w:right="102"/>
              <w:jc w:val="both"/>
              <w:rPr>
                <w:rFonts w:eastAsiaTheme="minorEastAsia"/>
                <w:sz w:val="24"/>
                <w:szCs w:val="24"/>
              </w:rPr>
            </w:pPr>
            <w:r w:rsidRPr="001A2BC6">
              <w:rPr>
                <w:rFonts w:eastAsiaTheme="minorEastAsia"/>
                <w:sz w:val="24"/>
                <w:szCs w:val="24"/>
              </w:rPr>
              <w:lastRenderedPageBreak/>
              <w:t>4.1.  </w:t>
            </w:r>
            <w:r w:rsidR="002E2B0D" w:rsidRPr="001A2BC6">
              <w:rPr>
                <w:rFonts w:eastAsiaTheme="minorEastAsia"/>
                <w:sz w:val="24"/>
                <w:szCs w:val="24"/>
              </w:rPr>
              <w:t>1.1.1.1. pasākums ir viens no instrumentiem Latvijas inovācijas sistēmas stiprināšanai un pārejai uz inovatīvu ekonomiku atbilstoši RIS3 mērķiem, kas izvirzīti, lai atraisītu Latvijas ekonomikas attīstības potenciālu un sekmētu tautsaimniecības izaugsmi</w:t>
            </w:r>
            <w:r w:rsidR="00250099" w:rsidRPr="001A2BC6">
              <w:rPr>
                <w:rFonts w:eastAsiaTheme="minorEastAsia"/>
                <w:sz w:val="24"/>
                <w:szCs w:val="24"/>
              </w:rPr>
              <w:t>, ko raksturo produktivitātes pieaugums tautsaimniecībā un</w:t>
            </w:r>
            <w:r w:rsidR="002E2B0D" w:rsidRPr="001A2BC6">
              <w:rPr>
                <w:rFonts w:eastAsiaTheme="minorEastAsia"/>
                <w:sz w:val="24"/>
                <w:szCs w:val="24"/>
              </w:rPr>
              <w:t xml:space="preserve"> Latvijas pozīcija Eiropas inovāciju rādītāju grupā</w:t>
            </w:r>
            <w:r w:rsidR="00250099" w:rsidRPr="001A2BC6">
              <w:rPr>
                <w:rFonts w:eastAsiaTheme="minorEastAsia"/>
                <w:sz w:val="24"/>
                <w:szCs w:val="24"/>
              </w:rPr>
              <w:t>.</w:t>
            </w:r>
            <w:r w:rsidR="002E2B0D" w:rsidRPr="001A2BC6">
              <w:rPr>
                <w:rFonts w:eastAsiaTheme="minorEastAsia"/>
                <w:sz w:val="24"/>
                <w:szCs w:val="24"/>
              </w:rPr>
              <w:t xml:space="preserve"> </w:t>
            </w:r>
            <w:r w:rsidR="00250099" w:rsidRPr="001A2BC6">
              <w:rPr>
                <w:rFonts w:eastAsiaTheme="minorEastAsia"/>
                <w:sz w:val="24"/>
                <w:szCs w:val="24"/>
              </w:rPr>
              <w:t>RIS3 rādītāju izpilde ir tieši atkarīga no 1.1.1.1. pasākuma iznākuma rādītāju izpildes, tai skaitā a) zinātnisko rakstu skaits, kuru izstrādei un publicēšanai ir sniegts atbalsts, b) jaunu produktu un tehnoloģiju skaits, kas ir komercializējamas un kuru izstrādei sniegts atbalsts.</w:t>
            </w:r>
            <w:r w:rsidRPr="001A2BC6">
              <w:rPr>
                <w:rFonts w:eastAsiaTheme="minorEastAsia"/>
                <w:sz w:val="24"/>
                <w:szCs w:val="24"/>
              </w:rPr>
              <w:t> Uz 27.05.2019. sasniegtas 369 minēto iznākuma rādītāju vienības</w:t>
            </w:r>
            <w:r w:rsidR="00F12456" w:rsidRPr="001A2BC6">
              <w:rPr>
                <w:rFonts w:eastAsiaTheme="minorEastAsia"/>
                <w:sz w:val="24"/>
                <w:szCs w:val="24"/>
              </w:rPr>
              <w:t>;</w:t>
            </w:r>
          </w:p>
          <w:p w14:paraId="2EE6598F" w14:textId="6FDE00B4" w:rsidR="00250099" w:rsidRPr="001A2BC6" w:rsidRDefault="00F12456" w:rsidP="00250099">
            <w:pPr>
              <w:pStyle w:val="ListParagraph"/>
              <w:spacing w:before="60" w:after="60"/>
              <w:ind w:left="101" w:right="102"/>
              <w:jc w:val="both"/>
              <w:rPr>
                <w:rFonts w:eastAsiaTheme="minorEastAsia"/>
                <w:sz w:val="24"/>
                <w:szCs w:val="24"/>
              </w:rPr>
            </w:pPr>
            <w:r w:rsidRPr="001A2BC6">
              <w:rPr>
                <w:rFonts w:eastAsiaTheme="minorEastAsia"/>
                <w:sz w:val="24"/>
                <w:szCs w:val="24"/>
              </w:rPr>
              <w:t>4.2.  pētījuma specifikai atbilstoši projekta rezultāti</w:t>
            </w:r>
            <w:r w:rsidR="00250099" w:rsidRPr="001A2BC6">
              <w:rPr>
                <w:rFonts w:eastAsiaTheme="minorEastAsia"/>
                <w:sz w:val="24"/>
                <w:szCs w:val="24"/>
              </w:rPr>
              <w:t>, kas minēti MK noteikumu 24.</w:t>
            </w:r>
            <w:r w:rsidR="00250099" w:rsidRPr="001A2BC6">
              <w:rPr>
                <w:rFonts w:eastAsiaTheme="minorEastAsia"/>
                <w:sz w:val="24"/>
                <w:szCs w:val="24"/>
                <w:vertAlign w:val="superscript"/>
              </w:rPr>
              <w:t>1</w:t>
            </w:r>
            <w:r w:rsidR="00250099" w:rsidRPr="001A2BC6">
              <w:rPr>
                <w:rFonts w:eastAsiaTheme="minorEastAsia"/>
                <w:sz w:val="24"/>
                <w:szCs w:val="24"/>
              </w:rPr>
              <w:t> 4. apakšpunktā nesniedz</w:t>
            </w:r>
            <w:r w:rsidRPr="001A2BC6">
              <w:rPr>
                <w:rFonts w:eastAsiaTheme="minorEastAsia"/>
                <w:sz w:val="24"/>
                <w:szCs w:val="24"/>
              </w:rPr>
              <w:t xml:space="preserve"> tiešu</w:t>
            </w:r>
            <w:r w:rsidR="00250099" w:rsidRPr="001A2BC6">
              <w:rPr>
                <w:rFonts w:eastAsiaTheme="minorEastAsia"/>
                <w:sz w:val="24"/>
                <w:szCs w:val="24"/>
              </w:rPr>
              <w:t xml:space="preserve"> </w:t>
            </w:r>
            <w:r w:rsidR="00A654B3" w:rsidRPr="001A2BC6">
              <w:rPr>
                <w:rFonts w:eastAsiaTheme="minorEastAsia"/>
                <w:sz w:val="24"/>
                <w:szCs w:val="24"/>
              </w:rPr>
              <w:t>ieguldījumu tautsaimniecības attīstībā</w:t>
            </w:r>
            <w:r w:rsidRPr="001A2BC6">
              <w:rPr>
                <w:rFonts w:eastAsiaTheme="minorEastAsia"/>
                <w:sz w:val="24"/>
                <w:szCs w:val="24"/>
              </w:rPr>
              <w:t xml:space="preserve"> un inovācijas sistēmas </w:t>
            </w:r>
            <w:r w:rsidR="001E2DF9" w:rsidRPr="001A2BC6">
              <w:rPr>
                <w:rFonts w:eastAsiaTheme="minorEastAsia"/>
                <w:sz w:val="24"/>
                <w:szCs w:val="24"/>
              </w:rPr>
              <w:t>kapacitātes palielināšanā</w:t>
            </w:r>
            <w:r w:rsidRPr="001A2BC6">
              <w:rPr>
                <w:rFonts w:eastAsiaTheme="minorEastAsia"/>
                <w:sz w:val="24"/>
                <w:szCs w:val="24"/>
              </w:rPr>
              <w:t>. Uz 27.05.2019. sasniegtas 3940 minēto rezultātu vienības (91%</w:t>
            </w:r>
            <w:r w:rsidR="001E2DF9" w:rsidRPr="001A2BC6">
              <w:rPr>
                <w:rFonts w:eastAsiaTheme="minorEastAsia"/>
                <w:sz w:val="24"/>
                <w:szCs w:val="24"/>
              </w:rPr>
              <w:t xml:space="preserve"> no salīdzināmo rezultātu </w:t>
            </w:r>
            <w:r w:rsidR="004F3C6B" w:rsidRPr="001A2BC6">
              <w:rPr>
                <w:rFonts w:eastAsiaTheme="minorEastAsia"/>
                <w:sz w:val="24"/>
                <w:szCs w:val="24"/>
              </w:rPr>
              <w:t>kopskaita</w:t>
            </w:r>
            <w:r w:rsidRPr="001A2BC6">
              <w:rPr>
                <w:rFonts w:eastAsiaTheme="minorEastAsia"/>
                <w:sz w:val="24"/>
                <w:szCs w:val="24"/>
              </w:rPr>
              <w:t>). Šādu rezultātu uzturēšanas, pilnveides un aktualizācijas monitori</w:t>
            </w:r>
            <w:r w:rsidR="001E2DF9" w:rsidRPr="001A2BC6">
              <w:rPr>
                <w:rFonts w:eastAsiaTheme="minorEastAsia"/>
                <w:sz w:val="24"/>
                <w:szCs w:val="24"/>
              </w:rPr>
              <w:t>n</w:t>
            </w:r>
            <w:r w:rsidRPr="001A2BC6">
              <w:rPr>
                <w:rFonts w:eastAsiaTheme="minorEastAsia"/>
                <w:sz w:val="24"/>
                <w:szCs w:val="24"/>
              </w:rPr>
              <w:t xml:space="preserve">gs </w:t>
            </w:r>
            <w:r w:rsidR="001E2DF9" w:rsidRPr="001A2BC6">
              <w:rPr>
                <w:rFonts w:eastAsiaTheme="minorEastAsia"/>
                <w:sz w:val="24"/>
                <w:szCs w:val="24"/>
              </w:rPr>
              <w:t>pētniecības projektu pārskata perioda (dzīves cikla) laikā rada nepamatotu administratīvo slogu.</w:t>
            </w:r>
            <w:r w:rsidRPr="001A2BC6">
              <w:rPr>
                <w:rFonts w:eastAsiaTheme="minorEastAsia"/>
                <w:sz w:val="24"/>
                <w:szCs w:val="24"/>
              </w:rPr>
              <w:t xml:space="preserve"> </w:t>
            </w:r>
          </w:p>
          <w:p w14:paraId="39658E83" w14:textId="77777777" w:rsidR="009C2904" w:rsidRPr="00600B68" w:rsidRDefault="009C2904" w:rsidP="00850B98">
            <w:pPr>
              <w:pStyle w:val="ListParagraph"/>
              <w:spacing w:before="60" w:after="60"/>
              <w:ind w:left="101" w:right="102"/>
              <w:jc w:val="both"/>
              <w:rPr>
                <w:rFonts w:eastAsiaTheme="minorEastAsia"/>
                <w:sz w:val="24"/>
                <w:szCs w:val="24"/>
              </w:rPr>
            </w:pPr>
          </w:p>
          <w:p w14:paraId="668F9686" w14:textId="2FC20D17" w:rsidR="00A434F6" w:rsidRPr="002B5815" w:rsidRDefault="00A434F6" w:rsidP="00A434F6">
            <w:pPr>
              <w:pStyle w:val="ListParagraph"/>
              <w:spacing w:before="60" w:after="60"/>
              <w:ind w:left="101" w:right="102"/>
              <w:jc w:val="both"/>
              <w:rPr>
                <w:rFonts w:eastAsiaTheme="minorEastAsia"/>
                <w:b/>
                <w:sz w:val="24"/>
                <w:szCs w:val="24"/>
              </w:rPr>
            </w:pPr>
            <w:r w:rsidRPr="002B5815">
              <w:rPr>
                <w:rFonts w:eastAsiaTheme="minorEastAsia"/>
                <w:b/>
                <w:sz w:val="24"/>
                <w:szCs w:val="24"/>
              </w:rPr>
              <w:t>II</w:t>
            </w:r>
            <w:r w:rsidR="00850B98" w:rsidRPr="002B5815">
              <w:rPr>
                <w:rFonts w:eastAsiaTheme="minorEastAsia"/>
                <w:b/>
                <w:sz w:val="24"/>
                <w:szCs w:val="24"/>
              </w:rPr>
              <w:t>I</w:t>
            </w:r>
            <w:r w:rsidRPr="002B5815">
              <w:rPr>
                <w:rFonts w:eastAsiaTheme="minorEastAsia"/>
                <w:b/>
                <w:sz w:val="24"/>
                <w:szCs w:val="24"/>
              </w:rPr>
              <w:t xml:space="preserve">. MK noteikumu normu </w:t>
            </w:r>
            <w:r w:rsidR="009C2904" w:rsidRPr="002B5815">
              <w:rPr>
                <w:rFonts w:eastAsiaTheme="minorEastAsia"/>
                <w:b/>
                <w:sz w:val="24"/>
                <w:szCs w:val="24"/>
              </w:rPr>
              <w:t>sistematizācija</w:t>
            </w:r>
          </w:p>
          <w:p w14:paraId="2D8E8459" w14:textId="67DAA3B9" w:rsidR="00A434F6" w:rsidRPr="00600B68" w:rsidRDefault="00A434F6" w:rsidP="00A434F6">
            <w:pPr>
              <w:pStyle w:val="ListParagraph"/>
              <w:spacing w:before="60" w:after="60"/>
              <w:ind w:left="101" w:right="102"/>
              <w:jc w:val="both"/>
              <w:rPr>
                <w:rFonts w:eastAsiaTheme="minorEastAsia"/>
                <w:sz w:val="24"/>
                <w:szCs w:val="24"/>
              </w:rPr>
            </w:pPr>
            <w:r w:rsidRPr="00600B68">
              <w:rPr>
                <w:rFonts w:eastAsiaTheme="minorEastAsia"/>
                <w:sz w:val="24"/>
                <w:szCs w:val="24"/>
              </w:rPr>
              <w:t xml:space="preserve">Lai </w:t>
            </w:r>
            <w:r w:rsidR="00A5457D" w:rsidRPr="00600B68">
              <w:rPr>
                <w:rFonts w:eastAsiaTheme="minorEastAsia"/>
                <w:sz w:val="24"/>
                <w:szCs w:val="24"/>
              </w:rPr>
              <w:t>nodrošinātu nacionālās un Eiropas Savienības tiesību sistēmas harmonizāciju</w:t>
            </w:r>
            <w:r w:rsidR="007D2897" w:rsidRPr="00600B68">
              <w:rPr>
                <w:rFonts w:eastAsiaTheme="minorEastAsia"/>
                <w:sz w:val="24"/>
                <w:szCs w:val="24"/>
              </w:rPr>
              <w:t>,</w:t>
            </w:r>
            <w:r w:rsidR="00A5457D" w:rsidRPr="00600B68">
              <w:rPr>
                <w:rFonts w:eastAsiaTheme="minorEastAsia"/>
                <w:sz w:val="24"/>
                <w:szCs w:val="24"/>
              </w:rPr>
              <w:t xml:space="preserve"> </w:t>
            </w:r>
            <w:r w:rsidRPr="00600B68">
              <w:rPr>
                <w:rFonts w:eastAsiaTheme="minorEastAsia"/>
                <w:sz w:val="24"/>
                <w:szCs w:val="24"/>
              </w:rPr>
              <w:t>atvieglotu MK noteikumu normu uztveramību, veicinātu projektu iesniegumu kvalitāti</w:t>
            </w:r>
            <w:r w:rsidR="00027BAD" w:rsidRPr="00600B68">
              <w:rPr>
                <w:rFonts w:eastAsiaTheme="minorEastAsia"/>
                <w:sz w:val="24"/>
                <w:szCs w:val="24"/>
              </w:rPr>
              <w:t>, kā</w:t>
            </w:r>
            <w:r w:rsidR="00D4587A" w:rsidRPr="00600B68">
              <w:rPr>
                <w:rFonts w:eastAsiaTheme="minorEastAsia"/>
                <w:sz w:val="24"/>
                <w:szCs w:val="24"/>
              </w:rPr>
              <w:t xml:space="preserve"> </w:t>
            </w:r>
            <w:r w:rsidR="00027BAD" w:rsidRPr="00600B68">
              <w:rPr>
                <w:rFonts w:eastAsiaTheme="minorEastAsia"/>
                <w:sz w:val="24"/>
                <w:szCs w:val="24"/>
              </w:rPr>
              <w:t>arī</w:t>
            </w:r>
            <w:r w:rsidR="007D2897" w:rsidRPr="00600B68">
              <w:rPr>
                <w:rFonts w:eastAsiaTheme="minorEastAsia"/>
                <w:sz w:val="24"/>
                <w:szCs w:val="24"/>
              </w:rPr>
              <w:t xml:space="preserve"> </w:t>
            </w:r>
            <w:r w:rsidRPr="00600B68">
              <w:rPr>
                <w:rFonts w:eastAsiaTheme="minorEastAsia"/>
                <w:sz w:val="24"/>
                <w:szCs w:val="24"/>
              </w:rPr>
              <w:t xml:space="preserve">sekmētu vērtēšanas procesa </w:t>
            </w:r>
            <w:r w:rsidR="00027BAD" w:rsidRPr="00600B68">
              <w:rPr>
                <w:rFonts w:eastAsiaTheme="minorEastAsia"/>
                <w:sz w:val="24"/>
                <w:szCs w:val="24"/>
              </w:rPr>
              <w:t xml:space="preserve">un projektu zinātniskās kvalitātes uzraudzības procedūras </w:t>
            </w:r>
            <w:r w:rsidRPr="00600B68">
              <w:rPr>
                <w:rFonts w:eastAsiaTheme="minorEastAsia"/>
                <w:sz w:val="24"/>
                <w:szCs w:val="24"/>
              </w:rPr>
              <w:t>efektivitāti, noteikumu projekts paredz:</w:t>
            </w:r>
          </w:p>
          <w:p w14:paraId="37DB0B6D" w14:textId="11040260" w:rsidR="007D2897" w:rsidRPr="002B5815" w:rsidRDefault="003C1D2D" w:rsidP="002B5815">
            <w:pPr>
              <w:spacing w:before="60" w:after="60"/>
              <w:ind w:left="101" w:right="102"/>
              <w:jc w:val="both"/>
              <w:rPr>
                <w:rFonts w:eastAsiaTheme="minorEastAsia"/>
              </w:rPr>
            </w:pPr>
            <w:r>
              <w:rPr>
                <w:rFonts w:eastAsiaTheme="minorEastAsia"/>
              </w:rPr>
              <w:t>1</w:t>
            </w:r>
            <w:r w:rsidR="002B5815">
              <w:rPr>
                <w:rFonts w:eastAsiaTheme="minorEastAsia"/>
              </w:rPr>
              <w:t>. </w:t>
            </w:r>
            <w:r w:rsidR="007D2897" w:rsidRPr="002B5815">
              <w:rPr>
                <w:rFonts w:eastAsiaTheme="minorEastAsia"/>
              </w:rPr>
              <w:t xml:space="preserve">viennozīmīgi </w:t>
            </w:r>
            <w:r w:rsidR="00FB3D8B" w:rsidRPr="002B5815">
              <w:rPr>
                <w:rFonts w:eastAsiaTheme="minorEastAsia"/>
              </w:rPr>
              <w:t>noteikt</w:t>
            </w:r>
            <w:r w:rsidR="007D2897" w:rsidRPr="002B5815">
              <w:rPr>
                <w:rFonts w:eastAsiaTheme="minorEastAsia"/>
              </w:rPr>
              <w:t xml:space="preserve"> iznākuma rādītāja</w:t>
            </w:r>
            <w:r w:rsidR="00FB3D8B" w:rsidRPr="002B5815">
              <w:rPr>
                <w:rFonts w:eastAsiaTheme="minorEastAsia"/>
              </w:rPr>
              <w:t> </w:t>
            </w:r>
            <w:r w:rsidR="007D2897" w:rsidRPr="002B5815">
              <w:rPr>
                <w:rFonts w:eastAsiaTheme="minorEastAsia"/>
              </w:rPr>
              <w:t>"</w:t>
            </w:r>
            <w:r w:rsidR="00B31A4E" w:rsidRPr="002B5815">
              <w:rPr>
                <w:rFonts w:eastAsiaTheme="minorEastAsia"/>
              </w:rPr>
              <w:t>jaun</w:t>
            </w:r>
            <w:r w:rsidR="00B31A4E">
              <w:rPr>
                <w:rFonts w:eastAsiaTheme="minorEastAsia"/>
              </w:rPr>
              <w:t>u</w:t>
            </w:r>
            <w:r w:rsidR="00B31A4E" w:rsidRPr="002B5815">
              <w:rPr>
                <w:rFonts w:eastAsiaTheme="minorEastAsia"/>
              </w:rPr>
              <w:t xml:space="preserve"> </w:t>
            </w:r>
            <w:r w:rsidR="007D2897" w:rsidRPr="002B5815">
              <w:rPr>
                <w:rFonts w:eastAsiaTheme="minorEastAsia"/>
              </w:rPr>
              <w:t>pētnieku skaits atbalstītajās vienībās" sasniegšanas periodu (MK noteikumu 2.10.</w:t>
            </w:r>
            <w:r w:rsidR="007D2897" w:rsidRPr="006D5CEF">
              <w:rPr>
                <w:rFonts w:eastAsiaTheme="minorEastAsia"/>
                <w:vertAlign w:val="superscript"/>
              </w:rPr>
              <w:t>1</w:t>
            </w:r>
            <w:r w:rsidR="007D2897" w:rsidRPr="002B5815">
              <w:rPr>
                <w:rFonts w:eastAsiaTheme="minorEastAsia"/>
              </w:rPr>
              <w:t> apakšpunkts);</w:t>
            </w:r>
          </w:p>
          <w:p w14:paraId="7086494D" w14:textId="493699F8" w:rsidR="00C635A7" w:rsidRPr="002B5815" w:rsidRDefault="003C1D2D" w:rsidP="002B5815">
            <w:pPr>
              <w:spacing w:before="60" w:after="60"/>
              <w:ind w:left="101" w:right="102"/>
              <w:jc w:val="both"/>
              <w:rPr>
                <w:rFonts w:eastAsiaTheme="minorEastAsia"/>
              </w:rPr>
            </w:pPr>
            <w:r>
              <w:rPr>
                <w:rFonts w:eastAsiaTheme="minorEastAsia"/>
              </w:rPr>
              <w:t>2</w:t>
            </w:r>
            <w:r w:rsidR="002B5815">
              <w:rPr>
                <w:rFonts w:eastAsiaTheme="minorEastAsia"/>
              </w:rPr>
              <w:t>. </w:t>
            </w:r>
            <w:r w:rsidR="00C635A7" w:rsidRPr="002B5815">
              <w:rPr>
                <w:rFonts w:eastAsiaTheme="minorEastAsia"/>
              </w:rPr>
              <w:t>precizēt terminu "zinātniskā institūcija", ievērojot Zinātniskās darbības likuma 1.</w:t>
            </w:r>
            <w:r w:rsidR="00071F0E">
              <w:rPr>
                <w:rFonts w:eastAsiaTheme="minorEastAsia"/>
              </w:rPr>
              <w:t xml:space="preserve"> </w:t>
            </w:r>
            <w:r w:rsidR="00C635A7" w:rsidRPr="002B5815">
              <w:rPr>
                <w:rFonts w:eastAsiaTheme="minorEastAsia"/>
              </w:rPr>
              <w:t xml:space="preserve">panta pirmās daļas 7. </w:t>
            </w:r>
            <w:r w:rsidR="000F3637" w:rsidRPr="002B5815">
              <w:rPr>
                <w:rFonts w:eastAsiaTheme="minorEastAsia"/>
              </w:rPr>
              <w:t xml:space="preserve">punkta, </w:t>
            </w:r>
            <w:r w:rsidR="00C635A7" w:rsidRPr="002B5815">
              <w:rPr>
                <w:rFonts w:eastAsiaTheme="minorEastAsia"/>
              </w:rPr>
              <w:t>21. panta otrās daļas un Eiropas Savienības struktūrfondu un Kohēzijas fonda 2014.—2020.</w:t>
            </w:r>
            <w:r w:rsidR="00071F0E">
              <w:rPr>
                <w:rFonts w:eastAsiaTheme="minorEastAsia"/>
              </w:rPr>
              <w:t xml:space="preserve"> </w:t>
            </w:r>
            <w:r w:rsidR="00C635A7" w:rsidRPr="002B5815">
              <w:rPr>
                <w:rFonts w:eastAsiaTheme="minorEastAsia"/>
              </w:rPr>
              <w:t>gada plānošanas perioda vadības likuma 1. panta 4. punkta nosacījumus (MK noteikumu 2.29. apakšpunkts)</w:t>
            </w:r>
            <w:r w:rsidR="007213EE" w:rsidRPr="002B5815">
              <w:rPr>
                <w:rFonts w:eastAsiaTheme="minorEastAsia"/>
              </w:rPr>
              <w:t>. Tādējādi MK noteikumu 2.29. apakšpunktā sniegta viennozīmīga norāde, ka MK noteikumu kontekstā zinātniskā institūcija (t.sk. projekta iesniedzējs) ir juridiska persona, nevis juridiskas personas struktūrvienība, piem., zinātniskais institūt</w:t>
            </w:r>
            <w:r w:rsidR="004F4DF8" w:rsidRPr="002B5815">
              <w:rPr>
                <w:rFonts w:eastAsiaTheme="minorEastAsia"/>
              </w:rPr>
              <w:t>s – augstskolas struktūrvienība</w:t>
            </w:r>
            <w:r w:rsidR="00C635A7" w:rsidRPr="002B5815">
              <w:rPr>
                <w:rFonts w:eastAsiaTheme="minorEastAsia"/>
              </w:rPr>
              <w:t>;</w:t>
            </w:r>
          </w:p>
          <w:p w14:paraId="4EE38613" w14:textId="5C8F4440" w:rsidR="00275A46" w:rsidRPr="002B5815" w:rsidRDefault="003C1D2D" w:rsidP="002B5815">
            <w:pPr>
              <w:spacing w:before="60" w:after="60"/>
              <w:ind w:left="101" w:right="102"/>
              <w:jc w:val="both"/>
              <w:rPr>
                <w:rFonts w:eastAsiaTheme="minorEastAsia"/>
              </w:rPr>
            </w:pPr>
            <w:r>
              <w:rPr>
                <w:rFonts w:eastAsiaTheme="minorEastAsia"/>
              </w:rPr>
              <w:t>3</w:t>
            </w:r>
            <w:r w:rsidR="002B5815">
              <w:rPr>
                <w:rFonts w:eastAsiaTheme="minorEastAsia"/>
              </w:rPr>
              <w:t>. </w:t>
            </w:r>
            <w:r w:rsidR="00850B98" w:rsidRPr="002B5815">
              <w:rPr>
                <w:rFonts w:eastAsiaTheme="minorEastAsia"/>
              </w:rPr>
              <w:t xml:space="preserve">savstarpēji </w:t>
            </w:r>
            <w:r w:rsidR="000F3637" w:rsidRPr="002B5815">
              <w:rPr>
                <w:rFonts w:eastAsiaTheme="minorEastAsia"/>
              </w:rPr>
              <w:t xml:space="preserve">salāgot </w:t>
            </w:r>
            <w:r w:rsidR="00850B98" w:rsidRPr="002B5815">
              <w:rPr>
                <w:rFonts w:eastAsiaTheme="minorEastAsia"/>
              </w:rPr>
              <w:t>MK noteikumos iekļautās normas</w:t>
            </w:r>
            <w:r w:rsidR="00275A46" w:rsidRPr="002B5815">
              <w:rPr>
                <w:rFonts w:eastAsiaTheme="minorEastAsia"/>
              </w:rPr>
              <w:t>, tai skaitā:</w:t>
            </w:r>
          </w:p>
          <w:p w14:paraId="2FBEEDE2" w14:textId="195728B0" w:rsidR="009A5D40" w:rsidRPr="003C1D2D" w:rsidRDefault="009A5D40" w:rsidP="002B5815">
            <w:pPr>
              <w:pStyle w:val="ListParagraph"/>
              <w:numPr>
                <w:ilvl w:val="0"/>
                <w:numId w:val="23"/>
              </w:numPr>
              <w:spacing w:before="60" w:after="60"/>
              <w:ind w:right="102"/>
              <w:jc w:val="both"/>
              <w:rPr>
                <w:rFonts w:eastAsiaTheme="minorEastAsia"/>
                <w:sz w:val="24"/>
                <w:szCs w:val="24"/>
              </w:rPr>
            </w:pPr>
            <w:r w:rsidRPr="003C1D2D">
              <w:rPr>
                <w:rFonts w:eastAsiaTheme="minorEastAsia"/>
                <w:sz w:val="24"/>
                <w:szCs w:val="24"/>
              </w:rPr>
              <w:t>MK noteikumi papildināti ar 2.19.</w:t>
            </w:r>
            <w:r w:rsidRPr="003C1D2D">
              <w:rPr>
                <w:rFonts w:eastAsiaTheme="minorEastAsia"/>
                <w:sz w:val="24"/>
                <w:szCs w:val="24"/>
                <w:vertAlign w:val="superscript"/>
              </w:rPr>
              <w:t>1</w:t>
            </w:r>
            <w:r w:rsidRPr="003C1D2D">
              <w:rPr>
                <w:rFonts w:eastAsiaTheme="minorEastAsia"/>
                <w:sz w:val="24"/>
                <w:szCs w:val="24"/>
              </w:rPr>
              <w:t xml:space="preserve"> apakšpunktu, skaidrojot MK noteikumu </w:t>
            </w:r>
            <w:r w:rsidR="006D5CEF" w:rsidRPr="003C1D2D">
              <w:rPr>
                <w:rFonts w:eastAsiaTheme="minorEastAsia"/>
                <w:sz w:val="24"/>
                <w:szCs w:val="24"/>
              </w:rPr>
              <w:t>tekstā lietoto terminu „projekta daļa”;</w:t>
            </w:r>
            <w:r w:rsidRPr="003C1D2D">
              <w:rPr>
                <w:rFonts w:eastAsiaTheme="minorEastAsia"/>
                <w:sz w:val="24"/>
                <w:szCs w:val="24"/>
              </w:rPr>
              <w:t xml:space="preserve"> </w:t>
            </w:r>
          </w:p>
          <w:p w14:paraId="2ADE6AB6" w14:textId="0FEB3EE9" w:rsidR="00275A46" w:rsidRPr="003C1D2D" w:rsidRDefault="001C56C5" w:rsidP="002B5815">
            <w:pPr>
              <w:pStyle w:val="ListParagraph"/>
              <w:numPr>
                <w:ilvl w:val="0"/>
                <w:numId w:val="23"/>
              </w:numPr>
              <w:spacing w:before="60" w:after="60"/>
              <w:ind w:right="102"/>
              <w:jc w:val="both"/>
              <w:rPr>
                <w:rFonts w:eastAsiaTheme="minorEastAsia"/>
                <w:sz w:val="24"/>
                <w:szCs w:val="24"/>
              </w:rPr>
            </w:pPr>
            <w:r w:rsidRPr="003C1D2D">
              <w:rPr>
                <w:rFonts w:eastAsiaTheme="minorEastAsia"/>
                <w:sz w:val="24"/>
                <w:szCs w:val="24"/>
              </w:rPr>
              <w:t xml:space="preserve">MK noteikumu </w:t>
            </w:r>
            <w:r w:rsidR="00275A46" w:rsidRPr="003C1D2D">
              <w:rPr>
                <w:rFonts w:eastAsiaTheme="minorEastAsia"/>
                <w:sz w:val="24"/>
                <w:szCs w:val="24"/>
              </w:rPr>
              <w:t>28.4. apakšpunk</w:t>
            </w:r>
            <w:r w:rsidR="00A179BA" w:rsidRPr="003C1D2D">
              <w:rPr>
                <w:rFonts w:eastAsiaTheme="minorEastAsia"/>
                <w:sz w:val="24"/>
                <w:szCs w:val="24"/>
              </w:rPr>
              <w:t>t</w:t>
            </w:r>
            <w:r w:rsidR="00275A46" w:rsidRPr="003C1D2D">
              <w:rPr>
                <w:rFonts w:eastAsiaTheme="minorEastAsia"/>
                <w:sz w:val="24"/>
                <w:szCs w:val="24"/>
              </w:rPr>
              <w:t>s papildināts ar atsauci uz saistīto 20.</w:t>
            </w:r>
            <w:r w:rsidR="00275A46" w:rsidRPr="003C1D2D">
              <w:rPr>
                <w:rFonts w:eastAsiaTheme="minorEastAsia"/>
                <w:sz w:val="24"/>
                <w:szCs w:val="24"/>
                <w:vertAlign w:val="superscript"/>
              </w:rPr>
              <w:t>1</w:t>
            </w:r>
            <w:r w:rsidR="00275A46" w:rsidRPr="003C1D2D">
              <w:rPr>
                <w:rFonts w:eastAsiaTheme="minorEastAsia"/>
                <w:sz w:val="24"/>
                <w:szCs w:val="24"/>
              </w:rPr>
              <w:t> punktu;</w:t>
            </w:r>
          </w:p>
          <w:p w14:paraId="613D0978" w14:textId="62166345" w:rsidR="00275A46" w:rsidRPr="003C1D2D" w:rsidRDefault="001C56C5" w:rsidP="002B5815">
            <w:pPr>
              <w:pStyle w:val="ListParagraph"/>
              <w:numPr>
                <w:ilvl w:val="0"/>
                <w:numId w:val="23"/>
              </w:numPr>
              <w:spacing w:before="60" w:after="60"/>
              <w:ind w:right="102"/>
              <w:jc w:val="both"/>
              <w:rPr>
                <w:rFonts w:eastAsiaTheme="minorEastAsia"/>
                <w:sz w:val="24"/>
                <w:szCs w:val="24"/>
              </w:rPr>
            </w:pPr>
            <w:r w:rsidRPr="003C1D2D">
              <w:rPr>
                <w:rFonts w:eastAsiaTheme="minorEastAsia"/>
                <w:sz w:val="24"/>
                <w:szCs w:val="24"/>
              </w:rPr>
              <w:lastRenderedPageBreak/>
              <w:t xml:space="preserve">MK noteikumu </w:t>
            </w:r>
            <w:r w:rsidR="00850B98" w:rsidRPr="003C1D2D">
              <w:rPr>
                <w:rFonts w:eastAsiaTheme="minorEastAsia"/>
                <w:sz w:val="24"/>
                <w:szCs w:val="24"/>
              </w:rPr>
              <w:t>34.2.2. apakšpunkt</w:t>
            </w:r>
            <w:r w:rsidR="00275A46" w:rsidRPr="003C1D2D">
              <w:rPr>
                <w:rFonts w:eastAsiaTheme="minorEastAsia"/>
                <w:sz w:val="24"/>
                <w:szCs w:val="24"/>
              </w:rPr>
              <w:t>a norma salāgota ar 35. punkt</w:t>
            </w:r>
            <w:r w:rsidR="004F4DF8" w:rsidRPr="003C1D2D">
              <w:rPr>
                <w:rFonts w:eastAsiaTheme="minorEastAsia"/>
                <w:sz w:val="24"/>
                <w:szCs w:val="24"/>
              </w:rPr>
              <w:t>a nosacījumiem</w:t>
            </w:r>
            <w:r w:rsidR="00275A46" w:rsidRPr="003C1D2D">
              <w:rPr>
                <w:rFonts w:eastAsiaTheme="minorEastAsia"/>
                <w:sz w:val="24"/>
                <w:szCs w:val="24"/>
              </w:rPr>
              <w:t>;</w:t>
            </w:r>
          </w:p>
          <w:p w14:paraId="761DD47E" w14:textId="4F9A009D" w:rsidR="00A179BA" w:rsidRPr="003C1D2D" w:rsidRDefault="001C56C5" w:rsidP="002B5815">
            <w:pPr>
              <w:pStyle w:val="ListParagraph"/>
              <w:numPr>
                <w:ilvl w:val="0"/>
                <w:numId w:val="23"/>
              </w:numPr>
              <w:spacing w:before="60" w:after="60"/>
              <w:ind w:right="102"/>
              <w:jc w:val="both"/>
              <w:rPr>
                <w:rFonts w:eastAsiaTheme="minorEastAsia"/>
                <w:sz w:val="24"/>
                <w:szCs w:val="24"/>
              </w:rPr>
            </w:pPr>
            <w:r w:rsidRPr="003C1D2D">
              <w:rPr>
                <w:rFonts w:eastAsiaTheme="minorEastAsia"/>
                <w:sz w:val="24"/>
                <w:szCs w:val="24"/>
              </w:rPr>
              <w:t xml:space="preserve">MK noteikumu </w:t>
            </w:r>
            <w:r w:rsidR="00B000A1" w:rsidRPr="003C1D2D">
              <w:rPr>
                <w:rFonts w:eastAsiaTheme="minorEastAsia"/>
                <w:sz w:val="24"/>
                <w:szCs w:val="24"/>
              </w:rPr>
              <w:t xml:space="preserve">3. pielikuma tabula papildināta ar 3. piezīmi, ievērojot </w:t>
            </w:r>
            <w:r w:rsidR="00A179BA" w:rsidRPr="003C1D2D">
              <w:rPr>
                <w:rFonts w:eastAsiaTheme="minorEastAsia"/>
                <w:sz w:val="24"/>
                <w:szCs w:val="24"/>
              </w:rPr>
              <w:t>8.2. apak</w:t>
            </w:r>
            <w:r w:rsidR="00B000A1" w:rsidRPr="003C1D2D">
              <w:rPr>
                <w:rFonts w:eastAsiaTheme="minorEastAsia"/>
                <w:sz w:val="24"/>
                <w:szCs w:val="24"/>
              </w:rPr>
              <w:t>špunkta nosacījumus</w:t>
            </w:r>
            <w:r w:rsidR="00A179BA" w:rsidRPr="003C1D2D">
              <w:rPr>
                <w:rFonts w:eastAsiaTheme="minorEastAsia"/>
                <w:sz w:val="24"/>
                <w:szCs w:val="24"/>
              </w:rPr>
              <w:t>;</w:t>
            </w:r>
          </w:p>
          <w:p w14:paraId="0CEE065F" w14:textId="17C958CB" w:rsidR="00A179BA" w:rsidRPr="003C1D2D" w:rsidRDefault="00830676" w:rsidP="002B5815">
            <w:pPr>
              <w:pStyle w:val="ListParagraph"/>
              <w:numPr>
                <w:ilvl w:val="0"/>
                <w:numId w:val="23"/>
              </w:numPr>
              <w:spacing w:before="60" w:after="60"/>
              <w:ind w:right="102"/>
              <w:jc w:val="both"/>
              <w:rPr>
                <w:rFonts w:eastAsiaTheme="minorEastAsia"/>
                <w:sz w:val="24"/>
                <w:szCs w:val="24"/>
              </w:rPr>
            </w:pPr>
            <w:r w:rsidRPr="003C1D2D">
              <w:rPr>
                <w:rFonts w:eastAsiaTheme="minorEastAsia"/>
                <w:sz w:val="24"/>
                <w:szCs w:val="24"/>
              </w:rPr>
              <w:t xml:space="preserve">MK noteikumi papildināti ar 34.3. apakšpunktu, nodrošinot atbilstību ar 36.11. apakšpunktu. </w:t>
            </w:r>
          </w:p>
          <w:p w14:paraId="59DDC2DF" w14:textId="45590240" w:rsidR="00D4587A" w:rsidRDefault="003C1D2D" w:rsidP="002B5815">
            <w:pPr>
              <w:spacing w:before="60" w:after="60"/>
              <w:ind w:left="101" w:right="102"/>
              <w:jc w:val="both"/>
              <w:rPr>
                <w:rFonts w:eastAsiaTheme="minorEastAsia"/>
              </w:rPr>
            </w:pPr>
            <w:r>
              <w:rPr>
                <w:rFonts w:eastAsiaTheme="minorEastAsia"/>
              </w:rPr>
              <w:t>4</w:t>
            </w:r>
            <w:r w:rsidR="002B5815">
              <w:rPr>
                <w:rFonts w:eastAsiaTheme="minorEastAsia"/>
              </w:rPr>
              <w:t>. </w:t>
            </w:r>
            <w:r w:rsidR="0041580B" w:rsidRPr="002B5815">
              <w:rPr>
                <w:rFonts w:eastAsiaTheme="minorEastAsia"/>
              </w:rPr>
              <w:t xml:space="preserve">noteikt, ka ieguldījuma natūrā procentuālā ierobežojuma atbilstību pārbauda un absolūtu skaitļu pozīcijā fiksē sadarbības iestāde, apstiprinot projekta iesniegumu. Normu nepieciešams piemērot, ja </w:t>
            </w:r>
            <w:r w:rsidR="00384728" w:rsidRPr="002B5815">
              <w:rPr>
                <w:rFonts w:eastAsiaTheme="minorEastAsia"/>
              </w:rPr>
              <w:t xml:space="preserve">projekta īstenošanas laikā samazinās projekta kopējais attiecināmais finansējums izmaksu pozīcijās, kas nav saistītas ar ieguldījumiem natūrā, kā rezultātā palielinās ieguldījumu natūrā kopējais procentuālais apmērs, lai arī ieguldījumi natūrā absolūtos skaitļos nav mainījušies </w:t>
            </w:r>
            <w:r w:rsidR="00D4587A" w:rsidRPr="002B5815">
              <w:rPr>
                <w:rFonts w:eastAsiaTheme="minorEastAsia"/>
              </w:rPr>
              <w:t>(MK noteikumu 30.1.2. apakšpunkts);</w:t>
            </w:r>
          </w:p>
          <w:p w14:paraId="7F3C7BBA" w14:textId="6CFE12AC" w:rsidR="004405C5" w:rsidRPr="003D25D7" w:rsidRDefault="003C1D2D" w:rsidP="004405C5">
            <w:pPr>
              <w:spacing w:before="60" w:after="60"/>
              <w:ind w:left="101" w:right="102"/>
              <w:jc w:val="both"/>
              <w:rPr>
                <w:rFonts w:eastAsiaTheme="minorEastAsia"/>
              </w:rPr>
            </w:pPr>
            <w:r>
              <w:rPr>
                <w:rFonts w:eastAsiaTheme="minorEastAsia"/>
              </w:rPr>
              <w:t>5</w:t>
            </w:r>
            <w:r w:rsidR="004405C5" w:rsidRPr="003D25D7">
              <w:rPr>
                <w:rFonts w:eastAsiaTheme="minorEastAsia"/>
              </w:rPr>
              <w:t>. noteikt dokumentu, ar kuru atbalsta pretendentam tiek piešķirtas likumīgas tiesības saņemt komercdarbības atbalstu (MK noteikumu 32.3. apakšpunkts);</w:t>
            </w:r>
          </w:p>
          <w:p w14:paraId="459CC103" w14:textId="4E533998" w:rsidR="00F71640" w:rsidRPr="002B5815" w:rsidRDefault="003C1D2D" w:rsidP="002B5815">
            <w:pPr>
              <w:spacing w:before="60" w:after="60"/>
              <w:ind w:left="101" w:right="102"/>
              <w:jc w:val="both"/>
              <w:rPr>
                <w:rFonts w:eastAsiaTheme="minorEastAsia"/>
              </w:rPr>
            </w:pPr>
            <w:r>
              <w:rPr>
                <w:rFonts w:eastAsiaTheme="minorEastAsia"/>
              </w:rPr>
              <w:t>6</w:t>
            </w:r>
            <w:r w:rsidR="002B5815">
              <w:rPr>
                <w:rFonts w:eastAsiaTheme="minorEastAsia"/>
              </w:rPr>
              <w:t>. </w:t>
            </w:r>
            <w:r w:rsidR="00830676" w:rsidRPr="002B5815">
              <w:rPr>
                <w:rFonts w:eastAsiaTheme="minorEastAsia"/>
              </w:rPr>
              <w:t xml:space="preserve">precizēt </w:t>
            </w:r>
            <w:r w:rsidR="00850B98" w:rsidRPr="002B5815">
              <w:rPr>
                <w:rFonts w:eastAsiaTheme="minorEastAsia"/>
              </w:rPr>
              <w:t>MK noteikumu 36.11. apakšpunkt</w:t>
            </w:r>
            <w:r w:rsidR="004405C5">
              <w:rPr>
                <w:rFonts w:eastAsiaTheme="minorEastAsia"/>
              </w:rPr>
              <w:t>u</w:t>
            </w:r>
            <w:r w:rsidR="00850B98" w:rsidRPr="002B5815">
              <w:rPr>
                <w:rFonts w:eastAsiaTheme="minorEastAsia"/>
              </w:rPr>
              <w:t>, nodrošin</w:t>
            </w:r>
            <w:r w:rsidR="00830676" w:rsidRPr="002B5815">
              <w:rPr>
                <w:rFonts w:eastAsiaTheme="minorEastAsia"/>
              </w:rPr>
              <w:t>ot</w:t>
            </w:r>
            <w:r w:rsidR="00850B98" w:rsidRPr="002B5815">
              <w:rPr>
                <w:rFonts w:eastAsiaTheme="minorEastAsia"/>
              </w:rPr>
              <w:t xml:space="preserve"> atbilstību </w:t>
            </w:r>
            <w:r w:rsidR="00830676" w:rsidRPr="002B5815">
              <w:rPr>
                <w:rFonts w:eastAsiaTheme="minorEastAsia"/>
              </w:rPr>
              <w:t xml:space="preserve">ar </w:t>
            </w:r>
            <w:r w:rsidR="00850B98" w:rsidRPr="002B5815">
              <w:rPr>
                <w:rFonts w:eastAsiaTheme="minorEastAsia"/>
              </w:rPr>
              <w:t>Vadlīnijām attiecināmo un neattiecināmo izmaksu noteikšanai 2014.-2020. gada plānošanas periodā</w:t>
            </w:r>
            <w:r w:rsidR="00F71640" w:rsidRPr="002B5815">
              <w:rPr>
                <w:rFonts w:eastAsiaTheme="minorEastAsia"/>
              </w:rPr>
              <w:t>;</w:t>
            </w:r>
          </w:p>
          <w:p w14:paraId="7A82DC07" w14:textId="368483F2" w:rsidR="007A5090" w:rsidRPr="002B5815" w:rsidRDefault="003C1D2D" w:rsidP="002B5815">
            <w:pPr>
              <w:spacing w:before="60" w:after="60"/>
              <w:ind w:left="101" w:right="102"/>
              <w:jc w:val="both"/>
              <w:rPr>
                <w:rFonts w:eastAsiaTheme="minorEastAsia"/>
              </w:rPr>
            </w:pPr>
            <w:r>
              <w:rPr>
                <w:rFonts w:eastAsiaTheme="minorEastAsia"/>
              </w:rPr>
              <w:t>7</w:t>
            </w:r>
            <w:r w:rsidR="002B5815">
              <w:rPr>
                <w:rFonts w:eastAsiaTheme="minorEastAsia"/>
              </w:rPr>
              <w:t>. </w:t>
            </w:r>
            <w:r w:rsidR="00671043" w:rsidRPr="002B5815">
              <w:rPr>
                <w:rFonts w:eastAsiaTheme="minorEastAsia"/>
              </w:rPr>
              <w:t xml:space="preserve">precizēt projekta </w:t>
            </w:r>
            <w:proofErr w:type="spellStart"/>
            <w:r w:rsidR="00671043" w:rsidRPr="002B5815">
              <w:rPr>
                <w:rFonts w:eastAsiaTheme="minorEastAsia"/>
              </w:rPr>
              <w:t>vidusposma</w:t>
            </w:r>
            <w:proofErr w:type="spellEnd"/>
            <w:r w:rsidR="00671043" w:rsidRPr="002B5815">
              <w:rPr>
                <w:rFonts w:eastAsiaTheme="minorEastAsia"/>
              </w:rPr>
              <w:t xml:space="preserve"> rezultātu </w:t>
            </w:r>
            <w:proofErr w:type="spellStart"/>
            <w:r w:rsidR="00671043" w:rsidRPr="002B5815">
              <w:rPr>
                <w:rFonts w:eastAsiaTheme="minorEastAsia"/>
              </w:rPr>
              <w:t>izvērtējuma</w:t>
            </w:r>
            <w:proofErr w:type="spellEnd"/>
            <w:r w:rsidR="00671043" w:rsidRPr="002B5815">
              <w:rPr>
                <w:rFonts w:eastAsiaTheme="minorEastAsia"/>
              </w:rPr>
              <w:t xml:space="preserve"> kārtību, </w:t>
            </w:r>
            <w:r w:rsidR="00384728" w:rsidRPr="002B5815">
              <w:rPr>
                <w:rFonts w:eastAsiaTheme="minorEastAsia"/>
              </w:rPr>
              <w:t>ņemot vērā pirmajā projektu iesniegumu atlases kārtā gūto pieredzi, tai skaitā paredzot</w:t>
            </w:r>
            <w:r w:rsidR="00671043" w:rsidRPr="002B5815">
              <w:rPr>
                <w:rFonts w:eastAsiaTheme="minorEastAsia"/>
              </w:rPr>
              <w:t xml:space="preserve">, ka </w:t>
            </w:r>
            <w:r w:rsidR="007A5090" w:rsidRPr="002B5815">
              <w:rPr>
                <w:rFonts w:eastAsiaTheme="minorEastAsia"/>
              </w:rPr>
              <w:t xml:space="preserve">projektiem, kuru īstenošanas termiņš nepārsniedz 12 mēnešus (tostarp ieskaitot darbības, kas īstenotas pirms vienošanās vai līguma noslēgšanas), netiek veikts </w:t>
            </w:r>
            <w:proofErr w:type="spellStart"/>
            <w:r w:rsidR="007A5090" w:rsidRPr="002B5815">
              <w:rPr>
                <w:rFonts w:eastAsiaTheme="minorEastAsia"/>
              </w:rPr>
              <w:t>vidusposma</w:t>
            </w:r>
            <w:proofErr w:type="spellEnd"/>
            <w:r w:rsidR="007A5090" w:rsidRPr="002B5815">
              <w:rPr>
                <w:rFonts w:eastAsiaTheme="minorEastAsia"/>
              </w:rPr>
              <w:t xml:space="preserve"> rezultātu zinātniskās kvalitātes </w:t>
            </w:r>
            <w:proofErr w:type="spellStart"/>
            <w:r w:rsidR="007A5090" w:rsidRPr="002B5815">
              <w:rPr>
                <w:rFonts w:eastAsiaTheme="minorEastAsia"/>
              </w:rPr>
              <w:t>izvērtējums</w:t>
            </w:r>
            <w:proofErr w:type="spellEnd"/>
            <w:r w:rsidR="00671043" w:rsidRPr="002B5815">
              <w:rPr>
                <w:rFonts w:eastAsiaTheme="minorEastAsia"/>
              </w:rPr>
              <w:t xml:space="preserve"> (MK noteikumu 64. punkt</w:t>
            </w:r>
            <w:r w:rsidR="00830676" w:rsidRPr="002B5815">
              <w:rPr>
                <w:rFonts w:eastAsiaTheme="minorEastAsia"/>
              </w:rPr>
              <w:t>a ievaddaļa un 64.3. apakšpunkts</w:t>
            </w:r>
            <w:r w:rsidR="00671043" w:rsidRPr="002B5815">
              <w:rPr>
                <w:rFonts w:eastAsiaTheme="minorEastAsia"/>
              </w:rPr>
              <w:t>);</w:t>
            </w:r>
          </w:p>
          <w:p w14:paraId="5BD2A94A" w14:textId="21F23140" w:rsidR="006D146B" w:rsidRDefault="003C1D2D" w:rsidP="002B5815">
            <w:pPr>
              <w:spacing w:before="60" w:after="60"/>
              <w:ind w:left="101" w:right="102"/>
              <w:jc w:val="both"/>
              <w:rPr>
                <w:rFonts w:eastAsiaTheme="minorEastAsia"/>
              </w:rPr>
            </w:pPr>
            <w:r>
              <w:rPr>
                <w:rFonts w:eastAsiaTheme="minorEastAsia"/>
              </w:rPr>
              <w:t>8</w:t>
            </w:r>
            <w:r w:rsidR="002B5815">
              <w:rPr>
                <w:rFonts w:eastAsiaTheme="minorEastAsia"/>
              </w:rPr>
              <w:t>. </w:t>
            </w:r>
            <w:r w:rsidR="006D146B" w:rsidRPr="002B5815">
              <w:rPr>
                <w:rFonts w:eastAsiaTheme="minorEastAsia"/>
              </w:rPr>
              <w:t>skaidrot terminu "jauno zinātnieku skaits (pilnas slodzes ekvivalents), kuri projekta ietvaros pilnveidojuši kompetenci, ieskaitot karjeras izaugsmes un personāla atjaunotnes procesus" (</w:t>
            </w:r>
            <w:r w:rsidR="00C30902">
              <w:rPr>
                <w:rFonts w:eastAsiaTheme="minorEastAsia"/>
              </w:rPr>
              <w:t xml:space="preserve">MK noteikumu </w:t>
            </w:r>
            <w:r w:rsidR="006D146B" w:rsidRPr="002B5815">
              <w:rPr>
                <w:rFonts w:eastAsiaTheme="minorEastAsia"/>
              </w:rPr>
              <w:t>1.</w:t>
            </w:r>
            <w:r w:rsidR="006D146B" w:rsidRPr="002B5815">
              <w:rPr>
                <w:rFonts w:eastAsiaTheme="minorEastAsia"/>
                <w:vertAlign w:val="superscript"/>
              </w:rPr>
              <w:t>1</w:t>
            </w:r>
            <w:r w:rsidR="006D146B" w:rsidRPr="002B5815">
              <w:rPr>
                <w:rFonts w:eastAsiaTheme="minorEastAsia"/>
              </w:rPr>
              <w:t xml:space="preserve"> pielikuma </w:t>
            </w:r>
            <w:r w:rsidR="006D146B" w:rsidRPr="002B5815">
              <w:rPr>
                <w:rFonts w:eastAsiaTheme="minorEastAsia"/>
                <w:vertAlign w:val="superscript"/>
              </w:rPr>
              <w:t>4</w:t>
            </w:r>
            <w:r w:rsidR="006D146B" w:rsidRPr="002B5815">
              <w:rPr>
                <w:rFonts w:eastAsiaTheme="minorEastAsia"/>
              </w:rPr>
              <w:t xml:space="preserve"> piezīme);</w:t>
            </w:r>
          </w:p>
          <w:p w14:paraId="25768037" w14:textId="17A31D05" w:rsidR="006D5CEF" w:rsidRPr="003D25D7" w:rsidRDefault="003C1D2D" w:rsidP="002B5815">
            <w:pPr>
              <w:spacing w:before="60" w:after="60"/>
              <w:ind w:left="101" w:right="102"/>
              <w:jc w:val="both"/>
              <w:rPr>
                <w:rFonts w:eastAsiaTheme="minorEastAsia"/>
              </w:rPr>
            </w:pPr>
            <w:r>
              <w:rPr>
                <w:rFonts w:eastAsiaTheme="minorEastAsia"/>
              </w:rPr>
              <w:t>9</w:t>
            </w:r>
            <w:r w:rsidR="006D5CEF" w:rsidRPr="003D25D7">
              <w:rPr>
                <w:rFonts w:eastAsiaTheme="minorEastAsia"/>
              </w:rPr>
              <w:t>. papildināt un precizēt 1.</w:t>
            </w:r>
            <w:r w:rsidR="006D5CEF" w:rsidRPr="003D25D7">
              <w:rPr>
                <w:rFonts w:eastAsiaTheme="minorEastAsia"/>
                <w:vertAlign w:val="superscript"/>
              </w:rPr>
              <w:t>1</w:t>
            </w:r>
            <w:r w:rsidR="006D5CEF" w:rsidRPr="003D25D7">
              <w:rPr>
                <w:rFonts w:eastAsiaTheme="minorEastAsia"/>
              </w:rPr>
              <w:t xml:space="preserve"> pielikuma tabulu</w:t>
            </w:r>
            <w:r w:rsidR="006474BF" w:rsidRPr="003D25D7">
              <w:rPr>
                <w:rFonts w:eastAsiaTheme="minorEastAsia"/>
              </w:rPr>
              <w:t>, sniedzot papildu informāciju par datu sniegšanas kārtību, lai efektīvāk veiktu iznākuma rādītāju (</w:t>
            </w:r>
            <w:r w:rsidR="006474BF" w:rsidRPr="003D25D7">
              <w:rPr>
                <w:rFonts w:eastAsiaTheme="minorEastAsia"/>
                <w:i/>
              </w:rPr>
              <w:t>jaunu pētnieku skaits atbalstītajās vienībās (pilnas slodzes ekvivalents)</w:t>
            </w:r>
            <w:r w:rsidR="00867B97" w:rsidRPr="003D25D7">
              <w:rPr>
                <w:rFonts w:eastAsiaTheme="minorEastAsia"/>
                <w:i/>
              </w:rPr>
              <w:t>;</w:t>
            </w:r>
            <w:r w:rsidR="006474BF" w:rsidRPr="003D25D7">
              <w:rPr>
                <w:rFonts w:eastAsiaTheme="minorEastAsia"/>
                <w:i/>
              </w:rPr>
              <w:t xml:space="preserve"> jauno zinātnieku skaits (pilnas slodzes ekvivalents), kuri projekta ietvaros pilnveidojuši kompetenci, ieskaitot karjeras izaugsmes un personāla atjaunotnes procesus</w:t>
            </w:r>
            <w:r w:rsidR="006474BF" w:rsidRPr="003D25D7">
              <w:rPr>
                <w:rFonts w:eastAsiaTheme="minorEastAsia"/>
              </w:rPr>
              <w:t xml:space="preserve">) atbilstības novērtējumu un izpildes monitoringu (noteikumu projekta </w:t>
            </w:r>
            <w:r>
              <w:rPr>
                <w:rFonts w:eastAsiaTheme="minorEastAsia"/>
              </w:rPr>
              <w:t>19</w:t>
            </w:r>
            <w:r w:rsidR="006474BF" w:rsidRPr="003D25D7">
              <w:rPr>
                <w:rFonts w:eastAsiaTheme="minorEastAsia"/>
              </w:rPr>
              <w:t>. punkts);</w:t>
            </w:r>
            <w:r w:rsidR="006D5CEF" w:rsidRPr="003D25D7">
              <w:rPr>
                <w:rFonts w:eastAsiaTheme="minorEastAsia"/>
              </w:rPr>
              <w:t xml:space="preserve"> </w:t>
            </w:r>
          </w:p>
          <w:p w14:paraId="5B428C57" w14:textId="3755BDAB" w:rsidR="00710DE1" w:rsidRPr="002B5815" w:rsidRDefault="00C30902" w:rsidP="002B5815">
            <w:pPr>
              <w:spacing w:before="60" w:after="60"/>
              <w:ind w:left="101" w:right="102"/>
              <w:jc w:val="both"/>
              <w:rPr>
                <w:rFonts w:eastAsiaTheme="minorEastAsia"/>
              </w:rPr>
            </w:pPr>
            <w:r>
              <w:rPr>
                <w:rFonts w:eastAsiaTheme="minorEastAsia"/>
              </w:rPr>
              <w:t>1</w:t>
            </w:r>
            <w:r w:rsidR="003C1D2D">
              <w:rPr>
                <w:rFonts w:eastAsiaTheme="minorEastAsia"/>
              </w:rPr>
              <w:t>0</w:t>
            </w:r>
            <w:r w:rsidR="002B5815">
              <w:rPr>
                <w:rFonts w:eastAsiaTheme="minorEastAsia"/>
              </w:rPr>
              <w:t>. </w:t>
            </w:r>
            <w:r w:rsidR="00027BAD" w:rsidRPr="002B5815">
              <w:rPr>
                <w:rFonts w:eastAsiaTheme="minorEastAsia"/>
              </w:rPr>
              <w:t>papildināt 3. pielikuma tabulu ar 14. </w:t>
            </w:r>
            <w:r w:rsidR="003C1D2D">
              <w:rPr>
                <w:rFonts w:eastAsiaTheme="minorEastAsia"/>
              </w:rPr>
              <w:t>punktu</w:t>
            </w:r>
            <w:r w:rsidR="00027BAD" w:rsidRPr="002B5815">
              <w:rPr>
                <w:rFonts w:eastAsiaTheme="minorEastAsia"/>
              </w:rPr>
              <w:t xml:space="preserve">, kurā sniedz pamatojumu publiskā finansējuma intensitātes palielinājumam atbilstoši Komisijas regulas Nr. 651/2014 25. panta 6. punkta </w:t>
            </w:r>
            <w:r w:rsidR="00710DE1" w:rsidRPr="002B5815">
              <w:rPr>
                <w:rFonts w:eastAsiaTheme="minorEastAsia"/>
              </w:rPr>
              <w:t>"</w:t>
            </w:r>
            <w:r w:rsidR="00027BAD" w:rsidRPr="002B5815">
              <w:rPr>
                <w:rFonts w:eastAsiaTheme="minorEastAsia"/>
              </w:rPr>
              <w:t>b</w:t>
            </w:r>
            <w:r w:rsidR="00710DE1" w:rsidRPr="002B5815">
              <w:rPr>
                <w:rFonts w:eastAsiaTheme="minorEastAsia"/>
              </w:rPr>
              <w:t>"</w:t>
            </w:r>
            <w:r w:rsidR="00027BAD" w:rsidRPr="002B5815">
              <w:rPr>
                <w:rFonts w:eastAsiaTheme="minorEastAsia"/>
              </w:rPr>
              <w:t xml:space="preserve"> apakšpunktam</w:t>
            </w:r>
            <w:r w:rsidR="003C1D2D">
              <w:rPr>
                <w:rFonts w:eastAsiaTheme="minorEastAsia"/>
              </w:rPr>
              <w:t xml:space="preserve"> </w:t>
            </w:r>
            <w:r w:rsidR="003C1D2D" w:rsidRPr="003D25D7">
              <w:rPr>
                <w:rFonts w:eastAsiaTheme="minorEastAsia"/>
              </w:rPr>
              <w:t xml:space="preserve">(noteikumu projekta </w:t>
            </w:r>
            <w:r w:rsidR="003C1D2D">
              <w:rPr>
                <w:rFonts w:eastAsiaTheme="minorEastAsia"/>
              </w:rPr>
              <w:t>21</w:t>
            </w:r>
            <w:r w:rsidR="003C1D2D" w:rsidRPr="003D25D7">
              <w:rPr>
                <w:rFonts w:eastAsiaTheme="minorEastAsia"/>
              </w:rPr>
              <w:t>. punkts)</w:t>
            </w:r>
            <w:r w:rsidR="00710DE1" w:rsidRPr="002B5815">
              <w:rPr>
                <w:rFonts w:eastAsiaTheme="minorEastAsia"/>
              </w:rPr>
              <w:t>;</w:t>
            </w:r>
          </w:p>
          <w:p w14:paraId="3CE36412" w14:textId="622D7A05" w:rsidR="007A5090" w:rsidRPr="002B5815" w:rsidRDefault="00C30902" w:rsidP="002B5815">
            <w:pPr>
              <w:spacing w:before="60" w:after="60"/>
              <w:ind w:left="101" w:right="102"/>
              <w:jc w:val="both"/>
              <w:rPr>
                <w:rFonts w:eastAsiaTheme="minorEastAsia"/>
              </w:rPr>
            </w:pPr>
            <w:r>
              <w:rPr>
                <w:rFonts w:eastAsiaTheme="minorEastAsia"/>
              </w:rPr>
              <w:t>1</w:t>
            </w:r>
            <w:r w:rsidR="003C1D2D">
              <w:rPr>
                <w:rFonts w:eastAsiaTheme="minorEastAsia"/>
              </w:rPr>
              <w:t>1</w:t>
            </w:r>
            <w:r w:rsidR="002B5815">
              <w:rPr>
                <w:rFonts w:eastAsiaTheme="minorEastAsia"/>
              </w:rPr>
              <w:t>. </w:t>
            </w:r>
            <w:r w:rsidR="00710DE1" w:rsidRPr="002B5815">
              <w:rPr>
                <w:rFonts w:eastAsiaTheme="minorEastAsia"/>
              </w:rPr>
              <w:t>veikt tehnisk</w:t>
            </w:r>
            <w:r w:rsidR="00830676" w:rsidRPr="002B5815">
              <w:rPr>
                <w:rFonts w:eastAsiaTheme="minorEastAsia"/>
              </w:rPr>
              <w:t>us</w:t>
            </w:r>
            <w:r w:rsidR="00710DE1" w:rsidRPr="002B5815">
              <w:rPr>
                <w:rFonts w:eastAsiaTheme="minorEastAsia"/>
              </w:rPr>
              <w:t xml:space="preserve"> precizējum</w:t>
            </w:r>
            <w:r w:rsidR="00830676" w:rsidRPr="002B5815">
              <w:rPr>
                <w:rFonts w:eastAsiaTheme="minorEastAsia"/>
              </w:rPr>
              <w:t>us</w:t>
            </w:r>
            <w:r w:rsidR="00710DE1" w:rsidRPr="002B5815">
              <w:rPr>
                <w:rFonts w:eastAsiaTheme="minorEastAsia"/>
              </w:rPr>
              <w:t xml:space="preserve"> (MK noteikumu 8.2.2. apakšpunkt</w:t>
            </w:r>
            <w:r w:rsidR="00830676" w:rsidRPr="002B5815">
              <w:rPr>
                <w:rFonts w:eastAsiaTheme="minorEastAsia"/>
              </w:rPr>
              <w:t>a ievaddaļa</w:t>
            </w:r>
            <w:r w:rsidR="00710DE1" w:rsidRPr="002B5815">
              <w:rPr>
                <w:rFonts w:eastAsiaTheme="minorEastAsia"/>
              </w:rPr>
              <w:t>)</w:t>
            </w:r>
            <w:r w:rsidR="008C5E4E" w:rsidRPr="002B5815">
              <w:rPr>
                <w:rFonts w:eastAsiaTheme="minorEastAsia"/>
              </w:rPr>
              <w:t>.</w:t>
            </w:r>
          </w:p>
          <w:p w14:paraId="6CFF584C" w14:textId="4C1E738E" w:rsidR="002532F9" w:rsidRDefault="003930D5" w:rsidP="003930D5">
            <w:pPr>
              <w:pStyle w:val="ListParagraph"/>
              <w:spacing w:before="60" w:after="60"/>
              <w:ind w:left="101" w:right="102"/>
              <w:jc w:val="both"/>
              <w:rPr>
                <w:rFonts w:eastAsiaTheme="minorEastAsia"/>
                <w:sz w:val="24"/>
                <w:szCs w:val="24"/>
              </w:rPr>
            </w:pPr>
            <w:r w:rsidRPr="00600B68">
              <w:rPr>
                <w:rFonts w:eastAsiaTheme="minorEastAsia"/>
                <w:sz w:val="24"/>
                <w:szCs w:val="24"/>
              </w:rPr>
              <w:lastRenderedPageBreak/>
              <w:t>MK noteikum</w:t>
            </w:r>
            <w:r w:rsidR="00A760CA">
              <w:rPr>
                <w:rFonts w:eastAsiaTheme="minorEastAsia"/>
                <w:sz w:val="24"/>
                <w:szCs w:val="24"/>
              </w:rPr>
              <w:t>os</w:t>
            </w:r>
            <w:r w:rsidRPr="00600B68">
              <w:rPr>
                <w:rFonts w:eastAsiaTheme="minorEastAsia"/>
                <w:sz w:val="24"/>
                <w:szCs w:val="24"/>
              </w:rPr>
              <w:t xml:space="preserve"> iekļauto normu aktualizācija veikta, ņemot vērā </w:t>
            </w:r>
            <w:r w:rsidR="00B31617" w:rsidRPr="00600B68">
              <w:rPr>
                <w:rFonts w:eastAsiaTheme="minorEastAsia"/>
                <w:sz w:val="24"/>
                <w:szCs w:val="24"/>
              </w:rPr>
              <w:t xml:space="preserve">pirmajā </w:t>
            </w:r>
            <w:r w:rsidR="006474BF">
              <w:rPr>
                <w:rFonts w:eastAsiaTheme="minorEastAsia"/>
                <w:sz w:val="24"/>
                <w:szCs w:val="24"/>
              </w:rPr>
              <w:t xml:space="preserve">un otrajā </w:t>
            </w:r>
            <w:r w:rsidR="00B31A4E" w:rsidRPr="00600B68">
              <w:rPr>
                <w:rFonts w:eastAsiaTheme="minorEastAsia"/>
                <w:sz w:val="24"/>
                <w:szCs w:val="24"/>
              </w:rPr>
              <w:t xml:space="preserve">projektu iesniegumu </w:t>
            </w:r>
            <w:r w:rsidR="00B31617" w:rsidRPr="00600B68">
              <w:rPr>
                <w:rFonts w:eastAsiaTheme="minorEastAsia"/>
                <w:sz w:val="24"/>
                <w:szCs w:val="24"/>
              </w:rPr>
              <w:t xml:space="preserve">atlases kārtā gūto pieredzi, </w:t>
            </w:r>
            <w:r w:rsidRPr="00600B68">
              <w:rPr>
                <w:rFonts w:eastAsiaTheme="minorEastAsia"/>
                <w:sz w:val="24"/>
                <w:szCs w:val="24"/>
              </w:rPr>
              <w:t>kas saistīta ar</w:t>
            </w:r>
            <w:r w:rsidR="008E626F" w:rsidRPr="00600B68">
              <w:rPr>
                <w:rFonts w:eastAsiaTheme="minorEastAsia"/>
                <w:sz w:val="24"/>
                <w:szCs w:val="24"/>
              </w:rPr>
              <w:t xml:space="preserve"> </w:t>
            </w:r>
            <w:r w:rsidR="00903B19" w:rsidRPr="00600B68">
              <w:rPr>
                <w:rFonts w:eastAsiaTheme="minorEastAsia"/>
                <w:sz w:val="24"/>
                <w:szCs w:val="24"/>
              </w:rPr>
              <w:t xml:space="preserve">projektu </w:t>
            </w:r>
            <w:r w:rsidR="00C473AC">
              <w:rPr>
                <w:rFonts w:eastAsiaTheme="minorEastAsia"/>
                <w:sz w:val="24"/>
                <w:szCs w:val="24"/>
              </w:rPr>
              <w:t>rezultātu zinātniskās kvalitātes iz</w:t>
            </w:r>
            <w:r w:rsidRPr="00600B68">
              <w:rPr>
                <w:rFonts w:eastAsiaTheme="minorEastAsia"/>
                <w:sz w:val="24"/>
                <w:szCs w:val="24"/>
              </w:rPr>
              <w:t>vērtēšan</w:t>
            </w:r>
            <w:r w:rsidR="00C473AC">
              <w:rPr>
                <w:rFonts w:eastAsiaTheme="minorEastAsia"/>
                <w:sz w:val="24"/>
                <w:szCs w:val="24"/>
              </w:rPr>
              <w:t>u</w:t>
            </w:r>
            <w:r w:rsidRPr="00600B68">
              <w:rPr>
                <w:rFonts w:eastAsiaTheme="minorEastAsia"/>
                <w:sz w:val="24"/>
                <w:szCs w:val="24"/>
              </w:rPr>
              <w:t xml:space="preserve"> un </w:t>
            </w:r>
            <w:r w:rsidR="00903B19" w:rsidRPr="00600B68">
              <w:rPr>
                <w:rFonts w:eastAsiaTheme="minorEastAsia"/>
                <w:sz w:val="24"/>
                <w:szCs w:val="24"/>
              </w:rPr>
              <w:t xml:space="preserve">īstenošanas </w:t>
            </w:r>
            <w:r w:rsidR="008E626F" w:rsidRPr="00600B68">
              <w:rPr>
                <w:rFonts w:eastAsiaTheme="minorEastAsia"/>
                <w:sz w:val="24"/>
                <w:szCs w:val="24"/>
              </w:rPr>
              <w:t xml:space="preserve">uzraudzības procesa lietderību un </w:t>
            </w:r>
            <w:r w:rsidRPr="00600B68">
              <w:rPr>
                <w:rFonts w:eastAsiaTheme="minorEastAsia"/>
                <w:sz w:val="24"/>
                <w:szCs w:val="24"/>
              </w:rPr>
              <w:t xml:space="preserve">efektivitāti. </w:t>
            </w:r>
          </w:p>
          <w:p w14:paraId="1471DFBA" w14:textId="29F7563F" w:rsidR="00D120EE" w:rsidRDefault="006679D1" w:rsidP="003930D5">
            <w:pPr>
              <w:pStyle w:val="ListParagraph"/>
              <w:spacing w:before="60" w:after="60"/>
              <w:ind w:left="101" w:right="102"/>
              <w:jc w:val="both"/>
              <w:rPr>
                <w:rFonts w:eastAsiaTheme="minorEastAsia"/>
                <w:sz w:val="24"/>
                <w:szCs w:val="24"/>
              </w:rPr>
            </w:pPr>
            <w:r w:rsidRPr="00600B68">
              <w:rPr>
                <w:rFonts w:eastAsiaTheme="minorEastAsia"/>
                <w:sz w:val="24"/>
                <w:szCs w:val="24"/>
              </w:rPr>
              <w:t xml:space="preserve">Noteikumu </w:t>
            </w:r>
            <w:r w:rsidR="00BE5F13" w:rsidRPr="00600B68">
              <w:rPr>
                <w:rFonts w:eastAsiaTheme="minorEastAsia"/>
                <w:sz w:val="24"/>
                <w:szCs w:val="24"/>
              </w:rPr>
              <w:t>projekt</w:t>
            </w:r>
            <w:r w:rsidR="008A3DD6">
              <w:rPr>
                <w:rFonts w:eastAsiaTheme="minorEastAsia"/>
                <w:sz w:val="24"/>
                <w:szCs w:val="24"/>
              </w:rPr>
              <w:t xml:space="preserve">a 1., </w:t>
            </w:r>
            <w:r w:rsidR="003C1D2D">
              <w:rPr>
                <w:rFonts w:eastAsiaTheme="minorEastAsia"/>
                <w:sz w:val="24"/>
                <w:szCs w:val="24"/>
              </w:rPr>
              <w:t xml:space="preserve">2., </w:t>
            </w:r>
            <w:r w:rsidR="008A3DD6">
              <w:rPr>
                <w:rFonts w:eastAsiaTheme="minorEastAsia"/>
                <w:sz w:val="24"/>
                <w:szCs w:val="24"/>
              </w:rPr>
              <w:t xml:space="preserve">3., 4., </w:t>
            </w:r>
            <w:r w:rsidR="003C1D2D">
              <w:rPr>
                <w:rFonts w:eastAsiaTheme="minorEastAsia"/>
                <w:sz w:val="24"/>
                <w:szCs w:val="24"/>
              </w:rPr>
              <w:t xml:space="preserve">8., 9., 10., </w:t>
            </w:r>
            <w:r w:rsidR="008A3DD6">
              <w:rPr>
                <w:rFonts w:eastAsiaTheme="minorEastAsia"/>
                <w:sz w:val="24"/>
                <w:szCs w:val="24"/>
              </w:rPr>
              <w:t xml:space="preserve">11., 12., 13., 14., 15., 16., </w:t>
            </w:r>
            <w:r w:rsidR="00920C54">
              <w:rPr>
                <w:rFonts w:eastAsiaTheme="minorEastAsia"/>
                <w:sz w:val="24"/>
                <w:szCs w:val="24"/>
              </w:rPr>
              <w:t xml:space="preserve">17., 18., </w:t>
            </w:r>
            <w:r w:rsidR="008A3DD6">
              <w:rPr>
                <w:rFonts w:eastAsiaTheme="minorEastAsia"/>
                <w:sz w:val="24"/>
                <w:szCs w:val="24"/>
              </w:rPr>
              <w:t>20., 21.</w:t>
            </w:r>
            <w:r w:rsidR="00920C54">
              <w:rPr>
                <w:rFonts w:eastAsiaTheme="minorEastAsia"/>
                <w:sz w:val="24"/>
                <w:szCs w:val="24"/>
              </w:rPr>
              <w:t>,</w:t>
            </w:r>
            <w:r w:rsidR="008A3DD6">
              <w:rPr>
                <w:rFonts w:eastAsiaTheme="minorEastAsia"/>
                <w:sz w:val="24"/>
                <w:szCs w:val="24"/>
              </w:rPr>
              <w:t> </w:t>
            </w:r>
            <w:r w:rsidR="00920C54">
              <w:rPr>
                <w:rFonts w:eastAsiaTheme="minorEastAsia"/>
                <w:sz w:val="24"/>
                <w:szCs w:val="24"/>
              </w:rPr>
              <w:t xml:space="preserve">22. </w:t>
            </w:r>
            <w:r w:rsidR="008A3DD6">
              <w:rPr>
                <w:rFonts w:eastAsiaTheme="minorEastAsia"/>
                <w:sz w:val="24"/>
                <w:szCs w:val="24"/>
              </w:rPr>
              <w:t>punktā</w:t>
            </w:r>
            <w:r w:rsidR="00BE5F13" w:rsidRPr="00600B68">
              <w:rPr>
                <w:rFonts w:eastAsiaTheme="minorEastAsia"/>
                <w:sz w:val="24"/>
                <w:szCs w:val="24"/>
              </w:rPr>
              <w:t xml:space="preserve"> ietvertie </w:t>
            </w:r>
            <w:r w:rsidR="003930D5" w:rsidRPr="00600B68">
              <w:rPr>
                <w:rFonts w:eastAsiaTheme="minorEastAsia"/>
                <w:sz w:val="24"/>
                <w:szCs w:val="24"/>
              </w:rPr>
              <w:t>nosacījumi</w:t>
            </w:r>
            <w:r w:rsidR="00A360A5" w:rsidRPr="00600B68">
              <w:rPr>
                <w:rFonts w:eastAsiaTheme="minorEastAsia"/>
                <w:sz w:val="24"/>
                <w:szCs w:val="24"/>
              </w:rPr>
              <w:t xml:space="preserve"> </w:t>
            </w:r>
            <w:r w:rsidR="004A2355" w:rsidRPr="00600B68">
              <w:rPr>
                <w:rFonts w:eastAsiaTheme="minorEastAsia"/>
                <w:sz w:val="24"/>
                <w:szCs w:val="24"/>
              </w:rPr>
              <w:t xml:space="preserve">no to spēkā stāšanās </w:t>
            </w:r>
            <w:r w:rsidR="003930D5" w:rsidRPr="00600B68">
              <w:rPr>
                <w:rFonts w:eastAsiaTheme="minorEastAsia"/>
                <w:sz w:val="24"/>
                <w:szCs w:val="24"/>
              </w:rPr>
              <w:t>dienas</w:t>
            </w:r>
            <w:r w:rsidR="004A2355" w:rsidRPr="00600B68">
              <w:rPr>
                <w:rFonts w:eastAsiaTheme="minorEastAsia"/>
                <w:sz w:val="24"/>
                <w:szCs w:val="24"/>
              </w:rPr>
              <w:t xml:space="preserve"> </w:t>
            </w:r>
            <w:r w:rsidR="00A360A5" w:rsidRPr="00600B68">
              <w:rPr>
                <w:rFonts w:eastAsiaTheme="minorEastAsia"/>
                <w:sz w:val="24"/>
                <w:szCs w:val="24"/>
              </w:rPr>
              <w:t>piemērojami</w:t>
            </w:r>
            <w:r w:rsidR="00BE5F13" w:rsidRPr="00600B68">
              <w:rPr>
                <w:rFonts w:eastAsiaTheme="minorEastAsia"/>
                <w:sz w:val="24"/>
                <w:szCs w:val="24"/>
              </w:rPr>
              <w:t xml:space="preserve"> visiem 1.1.1.1. pasākuma ietvaros īstenotajiem projektiem, </w:t>
            </w:r>
            <w:r w:rsidR="003930D5" w:rsidRPr="00600B68">
              <w:rPr>
                <w:rFonts w:eastAsiaTheme="minorEastAsia"/>
                <w:sz w:val="24"/>
                <w:szCs w:val="24"/>
              </w:rPr>
              <w:t>tai skaitā</w:t>
            </w:r>
            <w:r w:rsidR="00A360A5" w:rsidRPr="00600B68">
              <w:rPr>
                <w:rFonts w:eastAsiaTheme="minorEastAsia"/>
                <w:sz w:val="24"/>
                <w:szCs w:val="24"/>
              </w:rPr>
              <w:t xml:space="preserve"> </w:t>
            </w:r>
            <w:r w:rsidRPr="00600B68">
              <w:rPr>
                <w:rFonts w:eastAsiaTheme="minorEastAsia"/>
                <w:sz w:val="24"/>
                <w:szCs w:val="24"/>
              </w:rPr>
              <w:t xml:space="preserve">1.1.1.1. pasākuma </w:t>
            </w:r>
            <w:r w:rsidR="00A360A5" w:rsidRPr="00600B68">
              <w:rPr>
                <w:rFonts w:eastAsiaTheme="minorEastAsia"/>
                <w:sz w:val="24"/>
                <w:szCs w:val="24"/>
              </w:rPr>
              <w:t xml:space="preserve">pirmās </w:t>
            </w:r>
            <w:r w:rsidR="003930D5" w:rsidRPr="00600B68">
              <w:rPr>
                <w:rFonts w:eastAsiaTheme="minorEastAsia"/>
                <w:sz w:val="24"/>
                <w:szCs w:val="24"/>
              </w:rPr>
              <w:t xml:space="preserve">un otrās </w:t>
            </w:r>
            <w:r w:rsidR="00A360A5" w:rsidRPr="00600B68">
              <w:rPr>
                <w:rFonts w:eastAsiaTheme="minorEastAsia"/>
                <w:sz w:val="24"/>
                <w:szCs w:val="24"/>
              </w:rPr>
              <w:t>projektu iesniegumu atlases kārtas ietvaros</w:t>
            </w:r>
            <w:r w:rsidRPr="00600B68">
              <w:rPr>
                <w:rFonts w:eastAsiaTheme="minorEastAsia"/>
                <w:sz w:val="24"/>
                <w:szCs w:val="24"/>
              </w:rPr>
              <w:t xml:space="preserve"> </w:t>
            </w:r>
            <w:r w:rsidR="00A360A5" w:rsidRPr="00600B68">
              <w:rPr>
                <w:rFonts w:eastAsiaTheme="minorEastAsia"/>
                <w:sz w:val="24"/>
                <w:szCs w:val="24"/>
              </w:rPr>
              <w:t>īstenotajiem projektiem</w:t>
            </w:r>
            <w:r w:rsidR="003930D5" w:rsidRPr="00600B68">
              <w:rPr>
                <w:rFonts w:eastAsiaTheme="minorEastAsia"/>
                <w:sz w:val="24"/>
                <w:szCs w:val="24"/>
              </w:rPr>
              <w:t>.</w:t>
            </w:r>
          </w:p>
          <w:p w14:paraId="7B21D354" w14:textId="77777777" w:rsidR="00A760CA" w:rsidRDefault="00A760CA" w:rsidP="003930D5">
            <w:pPr>
              <w:pStyle w:val="ListParagraph"/>
              <w:spacing w:before="60" w:after="60"/>
              <w:ind w:left="101" w:right="102"/>
              <w:jc w:val="both"/>
              <w:rPr>
                <w:rFonts w:eastAsiaTheme="minorEastAsia"/>
                <w:sz w:val="24"/>
                <w:szCs w:val="24"/>
              </w:rPr>
            </w:pPr>
          </w:p>
          <w:p w14:paraId="0A1A6336" w14:textId="717C01A5" w:rsidR="00A760CA" w:rsidRDefault="00906145" w:rsidP="003930D5">
            <w:pPr>
              <w:pStyle w:val="ListParagraph"/>
              <w:spacing w:before="60" w:after="60"/>
              <w:ind w:left="101" w:right="102"/>
              <w:jc w:val="both"/>
              <w:rPr>
                <w:rFonts w:eastAsiaTheme="minorEastAsia"/>
                <w:sz w:val="24"/>
                <w:szCs w:val="24"/>
              </w:rPr>
            </w:pPr>
            <w:r w:rsidRPr="00600B68">
              <w:rPr>
                <w:rFonts w:eastAsiaTheme="minorEastAsia"/>
                <w:sz w:val="24"/>
                <w:szCs w:val="24"/>
              </w:rPr>
              <w:t>Noteikumu projektā ietvertais regulējums</w:t>
            </w:r>
            <w:r w:rsidR="008C5E4E" w:rsidRPr="00600B68">
              <w:rPr>
                <w:rFonts w:eastAsiaTheme="minorEastAsia"/>
                <w:sz w:val="24"/>
                <w:szCs w:val="24"/>
              </w:rPr>
              <w:t xml:space="preserve"> finansējuma </w:t>
            </w:r>
            <w:r w:rsidR="008C5E4E" w:rsidRPr="003D25D7">
              <w:rPr>
                <w:rFonts w:eastAsiaTheme="minorEastAsia"/>
                <w:sz w:val="24"/>
                <w:szCs w:val="24"/>
              </w:rPr>
              <w:t>saņēmējiem un projektu iesniedzējiem rada</w:t>
            </w:r>
            <w:r w:rsidR="008C5E4E" w:rsidRPr="00600B68">
              <w:rPr>
                <w:rFonts w:eastAsiaTheme="minorEastAsia"/>
                <w:sz w:val="24"/>
                <w:szCs w:val="24"/>
              </w:rPr>
              <w:t xml:space="preserve"> labvēlīgākus </w:t>
            </w:r>
            <w:r w:rsidR="008C5E4E">
              <w:rPr>
                <w:rFonts w:eastAsiaTheme="minorEastAsia"/>
                <w:sz w:val="24"/>
                <w:szCs w:val="24"/>
              </w:rPr>
              <w:t xml:space="preserve">projektu </w:t>
            </w:r>
            <w:r w:rsidR="002B5815">
              <w:rPr>
                <w:rFonts w:eastAsiaTheme="minorEastAsia"/>
                <w:sz w:val="24"/>
                <w:szCs w:val="24"/>
              </w:rPr>
              <w:t xml:space="preserve">izstrādes un </w:t>
            </w:r>
            <w:r w:rsidR="008C5E4E" w:rsidRPr="00600B68">
              <w:rPr>
                <w:rFonts w:eastAsiaTheme="minorEastAsia"/>
                <w:sz w:val="24"/>
                <w:szCs w:val="24"/>
              </w:rPr>
              <w:t xml:space="preserve">īstenošanas nosacījumus, </w:t>
            </w:r>
            <w:r w:rsidR="008C5E4E">
              <w:rPr>
                <w:rFonts w:eastAsiaTheme="minorEastAsia"/>
                <w:sz w:val="24"/>
                <w:szCs w:val="24"/>
              </w:rPr>
              <w:t>jo</w:t>
            </w:r>
            <w:r w:rsidR="006A2282">
              <w:rPr>
                <w:rFonts w:eastAsiaTheme="minorEastAsia"/>
                <w:sz w:val="24"/>
                <w:szCs w:val="24"/>
              </w:rPr>
              <w:t xml:space="preserve"> noteikumu projekts paredz</w:t>
            </w:r>
            <w:r w:rsidR="00A760CA">
              <w:rPr>
                <w:rFonts w:eastAsiaTheme="minorEastAsia"/>
                <w:sz w:val="24"/>
                <w:szCs w:val="24"/>
              </w:rPr>
              <w:t>:</w:t>
            </w:r>
          </w:p>
          <w:p w14:paraId="5D09B803" w14:textId="6122D9C1" w:rsidR="00D120EE" w:rsidRPr="00600B68" w:rsidRDefault="00A760CA" w:rsidP="003930D5">
            <w:pPr>
              <w:pStyle w:val="ListParagraph"/>
              <w:spacing w:before="60" w:after="60"/>
              <w:ind w:left="101" w:right="102"/>
              <w:jc w:val="both"/>
              <w:rPr>
                <w:rFonts w:eastAsiaTheme="minorEastAsia"/>
                <w:sz w:val="24"/>
                <w:szCs w:val="24"/>
              </w:rPr>
            </w:pPr>
            <w:r>
              <w:rPr>
                <w:rFonts w:eastAsiaTheme="minorEastAsia"/>
                <w:sz w:val="24"/>
                <w:szCs w:val="24"/>
              </w:rPr>
              <w:t>1. </w:t>
            </w:r>
            <w:r w:rsidR="0082251E" w:rsidRPr="00600B68">
              <w:rPr>
                <w:rFonts w:eastAsiaTheme="minorEastAsia"/>
                <w:sz w:val="24"/>
                <w:szCs w:val="24"/>
              </w:rPr>
              <w:t xml:space="preserve">viennozīmīgi skaidri </w:t>
            </w:r>
            <w:r w:rsidR="008A3DD6">
              <w:rPr>
                <w:rFonts w:eastAsiaTheme="minorEastAsia"/>
                <w:sz w:val="24"/>
                <w:szCs w:val="24"/>
              </w:rPr>
              <w:t xml:space="preserve">definēt </w:t>
            </w:r>
            <w:r w:rsidR="0082251E" w:rsidRPr="00600B68">
              <w:rPr>
                <w:rFonts w:eastAsiaTheme="minorEastAsia"/>
                <w:sz w:val="24"/>
                <w:szCs w:val="24"/>
              </w:rPr>
              <w:t xml:space="preserve">projekta īstenošanas un uzraudzības </w:t>
            </w:r>
            <w:r w:rsidR="00F8238E">
              <w:rPr>
                <w:rFonts w:eastAsiaTheme="minorEastAsia"/>
                <w:sz w:val="24"/>
                <w:szCs w:val="24"/>
              </w:rPr>
              <w:t>noteikumus</w:t>
            </w:r>
            <w:r w:rsidR="0082251E" w:rsidRPr="00600B68">
              <w:rPr>
                <w:rFonts w:eastAsiaTheme="minorEastAsia"/>
                <w:sz w:val="24"/>
                <w:szCs w:val="24"/>
              </w:rPr>
              <w:t>, tai skaitā</w:t>
            </w:r>
            <w:r w:rsidR="00DF01B7" w:rsidRPr="00600B68">
              <w:rPr>
                <w:rFonts w:eastAsiaTheme="minorEastAsia"/>
                <w:sz w:val="24"/>
                <w:szCs w:val="24"/>
              </w:rPr>
              <w:t>:</w:t>
            </w:r>
            <w:r w:rsidR="00D120EE" w:rsidRPr="00600B68">
              <w:rPr>
                <w:rFonts w:eastAsiaTheme="minorEastAsia"/>
                <w:sz w:val="24"/>
                <w:szCs w:val="24"/>
              </w:rPr>
              <w:t xml:space="preserve"> </w:t>
            </w:r>
          </w:p>
          <w:p w14:paraId="1F417A00" w14:textId="1D05233F" w:rsidR="00D120EE" w:rsidRPr="00600B68" w:rsidRDefault="00DF01B7" w:rsidP="008C5E4E">
            <w:pPr>
              <w:pStyle w:val="Default"/>
              <w:numPr>
                <w:ilvl w:val="0"/>
                <w:numId w:val="21"/>
              </w:numPr>
              <w:jc w:val="both"/>
              <w:rPr>
                <w:rFonts w:eastAsiaTheme="minorEastAsia"/>
                <w:color w:val="auto"/>
              </w:rPr>
            </w:pPr>
            <w:r w:rsidRPr="00600B68">
              <w:rPr>
                <w:rFonts w:eastAsiaTheme="minorEastAsia"/>
                <w:color w:val="auto"/>
              </w:rPr>
              <w:t>gadījumos, ja projektā, kura īstenošanā kā līdzfinansējuma veids paredzēti ieguldījumi natūrā, izmaksu pozīcijā, kas nav saistīta ar ieguldījumiem natūrā, radušies izmaksu ietaupījumi vai konstat</w:t>
            </w:r>
            <w:r w:rsidR="00791266" w:rsidRPr="00600B68">
              <w:rPr>
                <w:rFonts w:eastAsiaTheme="minorEastAsia"/>
                <w:color w:val="auto"/>
              </w:rPr>
              <w:t>ētas</w:t>
            </w:r>
            <w:r w:rsidRPr="00600B68">
              <w:rPr>
                <w:rFonts w:eastAsiaTheme="minorEastAsia"/>
                <w:color w:val="auto"/>
              </w:rPr>
              <w:t xml:space="preserve"> neatbilstoši veiktas izmaksas, finansējuma saņēmējam tiek nodrošināts tiesiskās paļāvības princips attiecībā uz projekta īstenošanai nepieciešamo nacionālā līdzfinansējuma apmēru;</w:t>
            </w:r>
          </w:p>
          <w:p w14:paraId="54B026C7" w14:textId="77777777" w:rsidR="008C5E4E" w:rsidRDefault="00791266" w:rsidP="008C5E4E">
            <w:pPr>
              <w:pStyle w:val="Default"/>
              <w:numPr>
                <w:ilvl w:val="0"/>
                <w:numId w:val="21"/>
              </w:numPr>
              <w:jc w:val="both"/>
              <w:rPr>
                <w:rFonts w:eastAsiaTheme="minorEastAsia"/>
                <w:color w:val="auto"/>
              </w:rPr>
            </w:pPr>
            <w:r w:rsidRPr="00600B68">
              <w:rPr>
                <w:rFonts w:eastAsiaTheme="minorEastAsia"/>
                <w:color w:val="auto"/>
              </w:rPr>
              <w:t>finansējuma saņēmējiem</w:t>
            </w:r>
            <w:r w:rsidR="00DF01B7" w:rsidRPr="00600B68">
              <w:rPr>
                <w:rFonts w:eastAsiaTheme="minorEastAsia"/>
                <w:color w:val="auto"/>
              </w:rPr>
              <w:t>, kuru</w:t>
            </w:r>
            <w:r w:rsidRPr="00600B68">
              <w:rPr>
                <w:rFonts w:eastAsiaTheme="minorEastAsia"/>
                <w:color w:val="auto"/>
              </w:rPr>
              <w:t xml:space="preserve"> īstenoto projektu</w:t>
            </w:r>
            <w:r w:rsidR="00DF01B7" w:rsidRPr="00600B68">
              <w:rPr>
                <w:rFonts w:eastAsiaTheme="minorEastAsia"/>
                <w:color w:val="auto"/>
              </w:rPr>
              <w:t xml:space="preserve"> darbību īstenošanas termiņš nepārsniedz 12 mēnešus</w:t>
            </w:r>
            <w:r w:rsidRPr="00600B68">
              <w:rPr>
                <w:rFonts w:eastAsiaTheme="minorEastAsia"/>
                <w:color w:val="auto"/>
              </w:rPr>
              <w:t>,</w:t>
            </w:r>
            <w:r w:rsidR="00DF01B7" w:rsidRPr="00600B68">
              <w:rPr>
                <w:rFonts w:eastAsiaTheme="minorEastAsia"/>
                <w:color w:val="auto"/>
              </w:rPr>
              <w:t xml:space="preserve"> tiek samazināts administratīvais slogs projekta īstenošanas laikā, vienlaikus saglabājot zinātniskās kvalitātes uzraudzības procesa būtību un lietderību</w:t>
            </w:r>
            <w:r w:rsidR="008C5E4E">
              <w:rPr>
                <w:rFonts w:eastAsiaTheme="minorEastAsia"/>
                <w:color w:val="auto"/>
              </w:rPr>
              <w:t>;</w:t>
            </w:r>
          </w:p>
          <w:p w14:paraId="04F5F7E5" w14:textId="246BEDE2" w:rsidR="006A2282" w:rsidRPr="003D25D7" w:rsidRDefault="008C5E4E" w:rsidP="008C5E4E">
            <w:pPr>
              <w:pStyle w:val="ListParagraph"/>
              <w:spacing w:before="60" w:after="60"/>
              <w:ind w:left="101" w:right="102"/>
              <w:jc w:val="both"/>
              <w:rPr>
                <w:rFonts w:eastAsiaTheme="minorEastAsia"/>
                <w:sz w:val="24"/>
                <w:szCs w:val="24"/>
              </w:rPr>
            </w:pPr>
            <w:r w:rsidRPr="003D25D7">
              <w:rPr>
                <w:rFonts w:eastAsiaTheme="minorEastAsia"/>
                <w:sz w:val="24"/>
                <w:szCs w:val="24"/>
              </w:rPr>
              <w:t>2. </w:t>
            </w:r>
            <w:r w:rsidR="006A2282" w:rsidRPr="003D25D7">
              <w:rPr>
                <w:rFonts w:eastAsiaTheme="minorEastAsia"/>
                <w:sz w:val="24"/>
                <w:szCs w:val="24"/>
              </w:rPr>
              <w:t>svītrot normas, kas limitē:</w:t>
            </w:r>
          </w:p>
          <w:p w14:paraId="63692959" w14:textId="5B91C4A7" w:rsidR="0037076B" w:rsidRPr="003D25D7" w:rsidRDefault="006A2282" w:rsidP="006A2282">
            <w:pPr>
              <w:pStyle w:val="Default"/>
              <w:numPr>
                <w:ilvl w:val="0"/>
                <w:numId w:val="22"/>
              </w:numPr>
              <w:jc w:val="both"/>
              <w:rPr>
                <w:rFonts w:eastAsiaTheme="minorEastAsia"/>
                <w:color w:val="auto"/>
              </w:rPr>
            </w:pPr>
            <w:r w:rsidRPr="003D25D7">
              <w:rPr>
                <w:rFonts w:eastAsiaTheme="minorEastAsia"/>
                <w:color w:val="auto"/>
              </w:rPr>
              <w:t>komersanta interesēs īstenota projekta izmaksas sadalījumā pa darbību veidiem (MK noteikumu 22.2. apakšpunkts);</w:t>
            </w:r>
          </w:p>
          <w:p w14:paraId="782507F2" w14:textId="309F87E7" w:rsidR="006A2282" w:rsidRPr="003D25D7" w:rsidRDefault="009A4BFD" w:rsidP="006A2282">
            <w:pPr>
              <w:pStyle w:val="Default"/>
              <w:numPr>
                <w:ilvl w:val="0"/>
                <w:numId w:val="22"/>
              </w:numPr>
              <w:jc w:val="both"/>
              <w:rPr>
                <w:rFonts w:eastAsiaTheme="minorEastAsia"/>
                <w:color w:val="auto"/>
              </w:rPr>
            </w:pPr>
            <w:r w:rsidRPr="003D25D7">
              <w:rPr>
                <w:rFonts w:eastAsiaTheme="minorEastAsia"/>
                <w:color w:val="auto"/>
              </w:rPr>
              <w:t>izmaksas, kas saistītas ar sabiedrības iesaisti un finanšu analīzes izstrādi ar saimniecisku darbību nesaistītu projektu ietvaros (MK noteikumu 34.2.2. apakšpunkts)</w:t>
            </w:r>
            <w:r w:rsidR="00920C54" w:rsidRPr="003D25D7">
              <w:rPr>
                <w:rFonts w:eastAsiaTheme="minorEastAsia"/>
                <w:color w:val="auto"/>
              </w:rPr>
              <w:t>;</w:t>
            </w:r>
          </w:p>
          <w:p w14:paraId="16BEC48D" w14:textId="7DB0D1E2" w:rsidR="00920C54" w:rsidRPr="003D25D7" w:rsidRDefault="00920C54" w:rsidP="00920C54">
            <w:pPr>
              <w:pStyle w:val="Default"/>
              <w:jc w:val="both"/>
              <w:rPr>
                <w:rFonts w:eastAsiaTheme="minorEastAsia"/>
                <w:color w:val="auto"/>
              </w:rPr>
            </w:pPr>
            <w:r w:rsidRPr="003D25D7">
              <w:rPr>
                <w:rFonts w:eastAsiaTheme="minorEastAsia"/>
                <w:color w:val="auto"/>
              </w:rPr>
              <w:t xml:space="preserve">3. sniegt papildu skaidrojumus par noteikumu tekstā lietotiem terminiem, sadarbības iestādē iesniedzamajiem dokumentiem projekta īstenošanas un </w:t>
            </w:r>
            <w:proofErr w:type="spellStart"/>
            <w:r w:rsidRPr="003D25D7">
              <w:rPr>
                <w:rFonts w:eastAsiaTheme="minorEastAsia"/>
                <w:color w:val="auto"/>
              </w:rPr>
              <w:t>pēcuzraudzības</w:t>
            </w:r>
            <w:proofErr w:type="spellEnd"/>
            <w:r w:rsidRPr="003D25D7">
              <w:rPr>
                <w:rFonts w:eastAsiaTheme="minorEastAsia"/>
                <w:color w:val="auto"/>
              </w:rPr>
              <w:t xml:space="preserve"> periodā.</w:t>
            </w:r>
          </w:p>
          <w:p w14:paraId="558640C8" w14:textId="77777777" w:rsidR="00A760CA" w:rsidRDefault="00A760CA" w:rsidP="00C30902">
            <w:pPr>
              <w:pStyle w:val="Default"/>
              <w:jc w:val="both"/>
              <w:rPr>
                <w:rFonts w:eastAsiaTheme="minorEastAsia"/>
                <w:color w:val="auto"/>
              </w:rPr>
            </w:pPr>
            <w:r w:rsidRPr="003D25D7">
              <w:rPr>
                <w:rFonts w:eastAsiaTheme="minorEastAsia"/>
                <w:color w:val="auto"/>
              </w:rPr>
              <w:t>Noteikumu projektā ietvertie grozījumi nav uzskatāmi par būtiskām izmaiņām.</w:t>
            </w:r>
          </w:p>
          <w:p w14:paraId="208E4524" w14:textId="0168BF73" w:rsidR="003D25D7" w:rsidRPr="004F3C6B" w:rsidRDefault="003D25D7" w:rsidP="00F149BF">
            <w:pPr>
              <w:pStyle w:val="Default"/>
              <w:jc w:val="both"/>
              <w:rPr>
                <w:rFonts w:eastAsiaTheme="minorEastAsia"/>
                <w:color w:val="auto"/>
              </w:rPr>
            </w:pPr>
            <w:r w:rsidRPr="004F3C6B">
              <w:rPr>
                <w:rFonts w:eastAsiaTheme="minorEastAsia"/>
                <w:color w:val="auto"/>
              </w:rPr>
              <w:t xml:space="preserve">Divos līgumos par otrās projektu iesniegumu atlases kārtas projekta īstenošanu nepieciešams veikt grozījumus, kas saistīti ar </w:t>
            </w:r>
            <w:proofErr w:type="spellStart"/>
            <w:r w:rsidRPr="004F3C6B">
              <w:rPr>
                <w:rFonts w:eastAsiaTheme="minorEastAsia"/>
                <w:color w:val="auto"/>
              </w:rPr>
              <w:t>vidusposma</w:t>
            </w:r>
            <w:proofErr w:type="spellEnd"/>
            <w:r w:rsidRPr="004F3C6B">
              <w:rPr>
                <w:rFonts w:eastAsiaTheme="minorEastAsia"/>
                <w:color w:val="auto"/>
              </w:rPr>
              <w:t xml:space="preserve"> un gala rezultātu zinātniskās kvalitātes </w:t>
            </w:r>
            <w:proofErr w:type="spellStart"/>
            <w:r w:rsidRPr="004F3C6B">
              <w:rPr>
                <w:rFonts w:eastAsiaTheme="minorEastAsia"/>
                <w:color w:val="auto"/>
              </w:rPr>
              <w:t>izvērtējumam</w:t>
            </w:r>
            <w:proofErr w:type="spellEnd"/>
            <w:r w:rsidRPr="004F3C6B">
              <w:rPr>
                <w:rFonts w:eastAsiaTheme="minorEastAsia"/>
                <w:color w:val="auto"/>
              </w:rPr>
              <w:t xml:space="preserve"> nepieciešamās dokumentācijas iesniegšanu Sadarbības iestādē. Līguma grozījumu rezultātā finansējuma saņēmējam tiek radīti labvēlīgāki nosacījumi, salīdzinot ar esošo situāciju.</w:t>
            </w:r>
          </w:p>
        </w:tc>
      </w:tr>
      <w:tr w:rsidR="00600B68" w:rsidRPr="00600B68" w14:paraId="516B9E37" w14:textId="77777777" w:rsidTr="008B1C36">
        <w:tc>
          <w:tcPr>
            <w:tcW w:w="435" w:type="pct"/>
            <w:tcBorders>
              <w:top w:val="single" w:sz="4" w:space="0" w:color="auto"/>
              <w:left w:val="single" w:sz="4" w:space="0" w:color="auto"/>
              <w:bottom w:val="single" w:sz="4" w:space="0" w:color="auto"/>
              <w:right w:val="single" w:sz="4" w:space="0" w:color="auto"/>
            </w:tcBorders>
            <w:shd w:val="clear" w:color="auto" w:fill="auto"/>
          </w:tcPr>
          <w:p w14:paraId="33D2FF4B" w14:textId="4DFDAC6A" w:rsidR="00055596" w:rsidRPr="00600B68" w:rsidRDefault="00B650B7" w:rsidP="001351FC">
            <w:pPr>
              <w:jc w:val="center"/>
              <w:rPr>
                <w:lang w:eastAsia="en-US"/>
              </w:rPr>
            </w:pPr>
            <w:r w:rsidRPr="00600B68">
              <w:lastRenderedPageBreak/>
              <w:t>3.</w:t>
            </w:r>
          </w:p>
        </w:tc>
        <w:tc>
          <w:tcPr>
            <w:tcW w:w="1075" w:type="pct"/>
            <w:tcBorders>
              <w:top w:val="single" w:sz="4" w:space="0" w:color="auto"/>
              <w:left w:val="single" w:sz="4" w:space="0" w:color="auto"/>
              <w:bottom w:val="single" w:sz="4" w:space="0" w:color="auto"/>
              <w:right w:val="single" w:sz="4" w:space="0" w:color="auto"/>
            </w:tcBorders>
            <w:shd w:val="clear" w:color="auto" w:fill="auto"/>
          </w:tcPr>
          <w:p w14:paraId="4098B43E" w14:textId="27C085DD" w:rsidR="00055596" w:rsidRPr="00600B68" w:rsidRDefault="00B650B7" w:rsidP="001351FC">
            <w:pPr>
              <w:rPr>
                <w:lang w:eastAsia="en-US"/>
              </w:rPr>
            </w:pPr>
            <w:r w:rsidRPr="00600B68">
              <w:t>Projekta izstrādē iesaistītās institūcijas</w:t>
            </w:r>
            <w:r w:rsidR="00742CA8" w:rsidRPr="00600B68">
              <w:t xml:space="preserve"> un publiskas personas kapitālsabiedrības</w:t>
            </w:r>
          </w:p>
        </w:tc>
        <w:tc>
          <w:tcPr>
            <w:tcW w:w="3489" w:type="pct"/>
            <w:tcBorders>
              <w:top w:val="single" w:sz="4" w:space="0" w:color="auto"/>
              <w:left w:val="single" w:sz="4" w:space="0" w:color="auto"/>
              <w:bottom w:val="single" w:sz="4" w:space="0" w:color="auto"/>
              <w:right w:val="single" w:sz="4" w:space="0" w:color="auto"/>
            </w:tcBorders>
            <w:shd w:val="clear" w:color="auto" w:fill="auto"/>
          </w:tcPr>
          <w:p w14:paraId="7A16A2AC" w14:textId="14DF902C" w:rsidR="00055596" w:rsidRPr="00600B68" w:rsidRDefault="00154ADC" w:rsidP="00E15EC6">
            <w:pPr>
              <w:ind w:left="66"/>
              <w:jc w:val="both"/>
              <w:rPr>
                <w:bCs/>
                <w:strike/>
              </w:rPr>
            </w:pPr>
            <w:r w:rsidRPr="00600B68">
              <w:rPr>
                <w:bCs/>
                <w:iCs/>
              </w:rPr>
              <w:t>Izglītības un zinātnes ministrija</w:t>
            </w:r>
          </w:p>
        </w:tc>
      </w:tr>
      <w:tr w:rsidR="00600B68" w:rsidRPr="00600B68" w14:paraId="67B406C4" w14:textId="77777777" w:rsidTr="008B1C36">
        <w:tc>
          <w:tcPr>
            <w:tcW w:w="435" w:type="pct"/>
            <w:tcBorders>
              <w:top w:val="single" w:sz="4" w:space="0" w:color="auto"/>
              <w:left w:val="single" w:sz="4" w:space="0" w:color="auto"/>
              <w:bottom w:val="single" w:sz="4" w:space="0" w:color="auto"/>
              <w:right w:val="single" w:sz="4" w:space="0" w:color="auto"/>
            </w:tcBorders>
            <w:shd w:val="clear" w:color="auto" w:fill="auto"/>
          </w:tcPr>
          <w:p w14:paraId="28A17607" w14:textId="77777777" w:rsidR="00055596" w:rsidRPr="00600B68" w:rsidRDefault="00B650B7" w:rsidP="001351FC">
            <w:pPr>
              <w:jc w:val="center"/>
              <w:rPr>
                <w:lang w:eastAsia="en-US"/>
              </w:rPr>
            </w:pPr>
            <w:r w:rsidRPr="00600B68">
              <w:t>4.</w:t>
            </w:r>
          </w:p>
        </w:tc>
        <w:tc>
          <w:tcPr>
            <w:tcW w:w="1075" w:type="pct"/>
            <w:tcBorders>
              <w:top w:val="single" w:sz="4" w:space="0" w:color="auto"/>
              <w:left w:val="single" w:sz="4" w:space="0" w:color="auto"/>
              <w:bottom w:val="single" w:sz="4" w:space="0" w:color="auto"/>
              <w:right w:val="single" w:sz="4" w:space="0" w:color="auto"/>
            </w:tcBorders>
            <w:shd w:val="clear" w:color="auto" w:fill="auto"/>
          </w:tcPr>
          <w:p w14:paraId="5539C069" w14:textId="77777777" w:rsidR="00055596" w:rsidRPr="00600B68" w:rsidRDefault="00B650B7" w:rsidP="001351FC">
            <w:pPr>
              <w:rPr>
                <w:lang w:eastAsia="en-US"/>
              </w:rPr>
            </w:pPr>
            <w:r w:rsidRPr="00600B68">
              <w:t>Cita informācija</w:t>
            </w:r>
          </w:p>
        </w:tc>
        <w:tc>
          <w:tcPr>
            <w:tcW w:w="3489" w:type="pct"/>
            <w:tcBorders>
              <w:top w:val="single" w:sz="4" w:space="0" w:color="auto"/>
              <w:left w:val="single" w:sz="4" w:space="0" w:color="auto"/>
              <w:bottom w:val="single" w:sz="4" w:space="0" w:color="auto"/>
              <w:right w:val="single" w:sz="4" w:space="0" w:color="auto"/>
            </w:tcBorders>
            <w:shd w:val="clear" w:color="auto" w:fill="FFFFFF"/>
          </w:tcPr>
          <w:p w14:paraId="00B62B9E" w14:textId="1314BA4D" w:rsidR="00055596" w:rsidRPr="00600B68" w:rsidRDefault="00616CE1" w:rsidP="002B0E96">
            <w:pPr>
              <w:pStyle w:val="Default"/>
              <w:jc w:val="both"/>
              <w:rPr>
                <w:rFonts w:eastAsia="Times New Roman"/>
                <w:color w:val="auto"/>
                <w:lang w:bidi="lo-LA"/>
              </w:rPr>
            </w:pPr>
            <w:r w:rsidRPr="00600B68">
              <w:rPr>
                <w:bCs/>
                <w:color w:val="auto"/>
              </w:rPr>
              <w:t>Nav.</w:t>
            </w:r>
            <w:r w:rsidR="00B650B7" w:rsidRPr="00600B68">
              <w:rPr>
                <w:bCs/>
                <w:color w:val="auto"/>
              </w:rPr>
              <w:t xml:space="preserve"> </w:t>
            </w:r>
          </w:p>
        </w:tc>
      </w:tr>
    </w:tbl>
    <w:p w14:paraId="00747A27" w14:textId="28D70488" w:rsidR="000952B3" w:rsidRPr="00600B68" w:rsidRDefault="00176E94" w:rsidP="00176E94">
      <w:pPr>
        <w:tabs>
          <w:tab w:val="left" w:pos="7395"/>
        </w:tabs>
        <w:jc w:val="both"/>
      </w:pPr>
      <w:r w:rsidRPr="00600B68">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400"/>
        <w:gridCol w:w="6265"/>
      </w:tblGrid>
      <w:tr w:rsidR="00600B68" w:rsidRPr="00600B68" w14:paraId="135CD9D9" w14:textId="77777777" w:rsidTr="009B606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F7EED28" w14:textId="77777777" w:rsidR="000952B3" w:rsidRPr="00600B68" w:rsidRDefault="00B650B7" w:rsidP="001351FC">
            <w:pPr>
              <w:pStyle w:val="ListParagraph"/>
              <w:tabs>
                <w:tab w:val="left" w:pos="2268"/>
                <w:tab w:val="left" w:pos="2410"/>
              </w:tabs>
              <w:ind w:left="1080"/>
              <w:jc w:val="center"/>
              <w:rPr>
                <w:b/>
                <w:sz w:val="24"/>
                <w:szCs w:val="24"/>
                <w:lang w:eastAsia="en-US"/>
              </w:rPr>
            </w:pPr>
            <w:r w:rsidRPr="00600B68">
              <w:rPr>
                <w:b/>
                <w:bCs/>
                <w:sz w:val="24"/>
                <w:szCs w:val="24"/>
              </w:rPr>
              <w:t>II. Tiesību akta projekta ietekme uz sabiedrību, tautsaimniecības attīstību un administratīvo slogu</w:t>
            </w:r>
          </w:p>
        </w:tc>
      </w:tr>
      <w:tr w:rsidR="00600B68" w:rsidRPr="00600B68" w14:paraId="30B0D353"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hideMark/>
          </w:tcPr>
          <w:p w14:paraId="6C1E0F4A" w14:textId="77777777" w:rsidR="000952B3" w:rsidRPr="00600B68" w:rsidRDefault="00B650B7" w:rsidP="001351FC">
            <w:pPr>
              <w:jc w:val="center"/>
              <w:rPr>
                <w:lang w:eastAsia="en-US"/>
              </w:rPr>
            </w:pPr>
            <w:r w:rsidRPr="00600B68">
              <w:t>1.</w:t>
            </w:r>
          </w:p>
        </w:tc>
        <w:tc>
          <w:tcPr>
            <w:tcW w:w="1326" w:type="pct"/>
            <w:tcBorders>
              <w:top w:val="single" w:sz="4" w:space="0" w:color="auto"/>
              <w:left w:val="single" w:sz="4" w:space="0" w:color="auto"/>
              <w:bottom w:val="single" w:sz="4" w:space="0" w:color="auto"/>
              <w:right w:val="single" w:sz="4" w:space="0" w:color="auto"/>
            </w:tcBorders>
            <w:shd w:val="clear" w:color="auto" w:fill="auto"/>
            <w:hideMark/>
          </w:tcPr>
          <w:p w14:paraId="583D8DF1" w14:textId="77777777" w:rsidR="000952B3" w:rsidRPr="00600B68" w:rsidRDefault="00B650B7" w:rsidP="001351FC">
            <w:pPr>
              <w:rPr>
                <w:lang w:eastAsia="en-US"/>
              </w:rPr>
            </w:pPr>
            <w:r w:rsidRPr="00600B68">
              <w:t xml:space="preserve">Sabiedrības </w:t>
            </w:r>
            <w:proofErr w:type="spellStart"/>
            <w:r w:rsidRPr="00600B68">
              <w:t>mērķgrupas</w:t>
            </w:r>
            <w:proofErr w:type="spellEnd"/>
            <w:r w:rsidRPr="00600B68">
              <w:t>, kuras tiesiskais regulējums ietekmē vai varētu ietekmēt</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4C7B491E" w14:textId="54F1955F" w:rsidR="000952B3" w:rsidRPr="00600B68" w:rsidRDefault="00154ADC" w:rsidP="00DB15E9">
            <w:pPr>
              <w:shd w:val="clear" w:color="auto" w:fill="FFFFFF"/>
              <w:ind w:left="94" w:right="57"/>
              <w:jc w:val="both"/>
            </w:pPr>
            <w:r w:rsidRPr="00600B68">
              <w:t>Noteikumu projekta mērķa grup</w:t>
            </w:r>
            <w:r w:rsidR="00DB15E9">
              <w:t>a</w:t>
            </w:r>
            <w:r w:rsidRPr="00600B68">
              <w:t xml:space="preserve"> ir </w:t>
            </w:r>
            <w:r w:rsidR="00796FD3" w:rsidRPr="00600B68">
              <w:t>zinātniskās institūcijas un Latvijas Republikas Komercreģistrā reģistrēti sīkie (mikro), mazie, vidējie vai lielie komersanti</w:t>
            </w:r>
            <w:r w:rsidR="000644ED" w:rsidRPr="00600B68">
              <w:t xml:space="preserve">, </w:t>
            </w:r>
            <w:r w:rsidR="006C27E2" w:rsidRPr="00600B68">
              <w:t>CFLA</w:t>
            </w:r>
            <w:r w:rsidR="000644ED" w:rsidRPr="00600B68">
              <w:t xml:space="preserve"> kā sadarbības iest</w:t>
            </w:r>
            <w:r w:rsidR="008E2B4B" w:rsidRPr="00600B68">
              <w:t>āde.</w:t>
            </w:r>
            <w:r w:rsidR="00796FD3" w:rsidRPr="00600B68">
              <w:t xml:space="preserve"> </w:t>
            </w:r>
          </w:p>
        </w:tc>
      </w:tr>
      <w:tr w:rsidR="00600B68" w:rsidRPr="00600B68" w14:paraId="3EBB70B5"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tcPr>
          <w:p w14:paraId="0AA7DF50" w14:textId="77777777" w:rsidR="000952B3" w:rsidRPr="00600B68" w:rsidRDefault="00B650B7" w:rsidP="001351FC">
            <w:pPr>
              <w:jc w:val="center"/>
            </w:pPr>
            <w:r w:rsidRPr="00600B68">
              <w:t>2.</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652EB077" w14:textId="77777777" w:rsidR="000952B3" w:rsidRPr="00600B68" w:rsidRDefault="00B650B7" w:rsidP="001351FC">
            <w:r w:rsidRPr="00600B68">
              <w:t>Tiesiskā regulējuma ietekme uz tautsaimniecību un administratīvo slogu</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34523083" w14:textId="1C95C566" w:rsidR="006B07D7" w:rsidRPr="00600B68" w:rsidRDefault="00717BF9" w:rsidP="00DF01B7">
            <w:pPr>
              <w:shd w:val="clear" w:color="auto" w:fill="FFFFFF"/>
              <w:ind w:left="94" w:right="57"/>
              <w:jc w:val="both"/>
            </w:pPr>
            <w:r w:rsidRPr="00600B68">
              <w:t>Ar noteikumu projektu</w:t>
            </w:r>
            <w:r w:rsidR="002F1D81" w:rsidRPr="00600B68">
              <w:t xml:space="preserve"> </w:t>
            </w:r>
            <w:r w:rsidRPr="00600B68">
              <w:t>tiek mazināts administratīvais slogs</w:t>
            </w:r>
            <w:r w:rsidR="006B07D7" w:rsidRPr="00600B68">
              <w:t>:</w:t>
            </w:r>
          </w:p>
          <w:p w14:paraId="684223FE" w14:textId="11523EA0" w:rsidR="006B07D7" w:rsidRPr="00600B68" w:rsidRDefault="006B07D7" w:rsidP="00DF01B7">
            <w:pPr>
              <w:shd w:val="clear" w:color="auto" w:fill="FFFFFF"/>
              <w:ind w:left="94" w:right="57"/>
              <w:jc w:val="both"/>
            </w:pPr>
            <w:r w:rsidRPr="00600B68">
              <w:t xml:space="preserve">- </w:t>
            </w:r>
            <w:r w:rsidR="000644ED" w:rsidRPr="00600B68">
              <w:t xml:space="preserve"> </w:t>
            </w:r>
            <w:r w:rsidRPr="00600B68">
              <w:t xml:space="preserve">finansējuma saņēmējiem, kuru projekta darbību īstenošanas termiņš nepārsniedz 12 mēnešus; </w:t>
            </w:r>
          </w:p>
          <w:p w14:paraId="4B34AC1B" w14:textId="78B1ED92" w:rsidR="000952B3" w:rsidRPr="00600B68" w:rsidRDefault="006B07D7" w:rsidP="00DF01B7">
            <w:pPr>
              <w:shd w:val="clear" w:color="auto" w:fill="FFFFFF"/>
              <w:ind w:left="94" w:right="57"/>
              <w:jc w:val="both"/>
              <w:rPr>
                <w:bCs/>
                <w:lang w:eastAsia="en-US"/>
              </w:rPr>
            </w:pPr>
            <w:r w:rsidRPr="00600B68">
              <w:t xml:space="preserve">- </w:t>
            </w:r>
            <w:r w:rsidR="006C27E2" w:rsidRPr="00600B68">
              <w:t>CFLA</w:t>
            </w:r>
            <w:r w:rsidR="000644ED" w:rsidRPr="00600B68">
              <w:t xml:space="preserve"> kā sadarbības iestādei, kas </w:t>
            </w:r>
            <w:r w:rsidR="00AB4574" w:rsidRPr="00600B68">
              <w:t xml:space="preserve">pārbauda un fiksē ieguldījumu natūrā vērtību absolūtu skaitļu izteiksmē un </w:t>
            </w:r>
            <w:r w:rsidR="000644ED" w:rsidRPr="00600B68">
              <w:t xml:space="preserve">veic projektu </w:t>
            </w:r>
            <w:proofErr w:type="spellStart"/>
            <w:r w:rsidR="000644ED" w:rsidRPr="00600B68">
              <w:t>vidusposma</w:t>
            </w:r>
            <w:proofErr w:type="spellEnd"/>
            <w:r w:rsidR="000644ED" w:rsidRPr="00600B68">
              <w:t xml:space="preserve"> rezultātu zinātniskās kvalitātes </w:t>
            </w:r>
            <w:proofErr w:type="spellStart"/>
            <w:r w:rsidR="000644ED" w:rsidRPr="00600B68">
              <w:t>izvērtējumu</w:t>
            </w:r>
            <w:proofErr w:type="spellEnd"/>
            <w:r w:rsidR="000644ED" w:rsidRPr="00600B68">
              <w:t>.</w:t>
            </w:r>
          </w:p>
        </w:tc>
      </w:tr>
      <w:tr w:rsidR="00600B68" w:rsidRPr="00600B68" w14:paraId="07A1EA65"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tcPr>
          <w:p w14:paraId="37DFB4FC" w14:textId="1CD03428" w:rsidR="000952B3" w:rsidRPr="00600B68" w:rsidRDefault="00B650B7" w:rsidP="001351FC">
            <w:pPr>
              <w:jc w:val="center"/>
            </w:pPr>
            <w:r w:rsidRPr="00600B68">
              <w:t>3.</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C2EEA3C" w14:textId="77777777" w:rsidR="000952B3" w:rsidRPr="00600B68" w:rsidRDefault="00B650B7" w:rsidP="001351FC">
            <w:r w:rsidRPr="00600B68">
              <w:t>Administratīvo izmaksu monetārs novērtējums</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4EDCCC99" w14:textId="479A6C95" w:rsidR="000952B3" w:rsidRPr="00600B68" w:rsidRDefault="00154ADC" w:rsidP="00DF01B7">
            <w:pPr>
              <w:shd w:val="clear" w:color="auto" w:fill="FFFFFF"/>
              <w:ind w:left="94" w:right="57"/>
              <w:jc w:val="both"/>
              <w:rPr>
                <w:bCs/>
                <w:lang w:eastAsia="en-US"/>
              </w:rPr>
            </w:pPr>
            <w:r w:rsidRPr="00600B68">
              <w:t>Noteikumu projekta ietekme uz administratīvajām  izmaksām</w:t>
            </w:r>
            <w:r w:rsidR="000203E5" w:rsidRPr="00600B68">
              <w:t xml:space="preserve"> nepārsniedz </w:t>
            </w:r>
            <w:r w:rsidR="006B07D7" w:rsidRPr="00600B68">
              <w:t xml:space="preserve">Ministru kabineta 2009. gada 15. decembra instrukcijas Nr. 19 </w:t>
            </w:r>
            <w:r w:rsidR="006B07D7" w:rsidRPr="00600B68">
              <w:rPr>
                <w:bCs/>
              </w:rPr>
              <w:t>“</w:t>
            </w:r>
            <w:r w:rsidR="006B07D7" w:rsidRPr="00600B68">
              <w:t>Tiesību akta projekta sākotnējās ietekmes izvērtēšanas kārtība” 25. punktā noteikto administratīvo izmaksu monetārā novērtējuma slieksni</w:t>
            </w:r>
            <w:r w:rsidRPr="00600B68">
              <w:t>.</w:t>
            </w:r>
          </w:p>
        </w:tc>
      </w:tr>
      <w:tr w:rsidR="00600B68" w:rsidRPr="00600B68" w14:paraId="29EDAB30"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tcPr>
          <w:p w14:paraId="69A9CBE0" w14:textId="77777777" w:rsidR="000952B3" w:rsidRPr="00600B68" w:rsidRDefault="00B650B7" w:rsidP="001351FC">
            <w:pPr>
              <w:jc w:val="center"/>
            </w:pPr>
            <w:r w:rsidRPr="00600B68">
              <w:t>4.</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31FF5081" w14:textId="77777777" w:rsidR="000952B3" w:rsidRPr="00600B68" w:rsidRDefault="00B650B7" w:rsidP="001351FC">
            <w:r w:rsidRPr="00600B68">
              <w:t>Atbilstības izmaksu monetārs novērtējums</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2AC02F92" w14:textId="36DFDC30" w:rsidR="000952B3" w:rsidRPr="00600B68" w:rsidRDefault="00154ADC" w:rsidP="00791266">
            <w:pPr>
              <w:shd w:val="clear" w:color="auto" w:fill="FFFFFF"/>
              <w:ind w:left="94" w:right="57"/>
              <w:jc w:val="both"/>
              <w:rPr>
                <w:bCs/>
                <w:lang w:eastAsia="en-US"/>
              </w:rPr>
            </w:pPr>
            <w:r w:rsidRPr="00600B68">
              <w:t>Noteikumu projektam nav ietekmes uz atbilstības izmaksām.</w:t>
            </w:r>
          </w:p>
        </w:tc>
      </w:tr>
      <w:tr w:rsidR="00600B68" w:rsidRPr="00600B68" w14:paraId="5109668B" w14:textId="77777777" w:rsidTr="009B6065">
        <w:tc>
          <w:tcPr>
            <w:tcW w:w="216" w:type="pct"/>
            <w:tcBorders>
              <w:top w:val="single" w:sz="4" w:space="0" w:color="auto"/>
              <w:left w:val="single" w:sz="4" w:space="0" w:color="auto"/>
              <w:bottom w:val="single" w:sz="4" w:space="0" w:color="auto"/>
              <w:right w:val="single" w:sz="4" w:space="0" w:color="auto"/>
            </w:tcBorders>
            <w:shd w:val="clear" w:color="auto" w:fill="auto"/>
          </w:tcPr>
          <w:p w14:paraId="1DCD1E4A" w14:textId="77777777" w:rsidR="000952B3" w:rsidRPr="00600B68" w:rsidRDefault="00B650B7" w:rsidP="001351FC">
            <w:pPr>
              <w:jc w:val="center"/>
            </w:pPr>
            <w:r w:rsidRPr="00600B68">
              <w:t>5.</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610FCC28" w14:textId="77777777" w:rsidR="000952B3" w:rsidRPr="00600B68" w:rsidRDefault="00B650B7" w:rsidP="001351FC">
            <w:r w:rsidRPr="00600B68">
              <w:t>Cita informācija</w:t>
            </w:r>
          </w:p>
        </w:tc>
        <w:tc>
          <w:tcPr>
            <w:tcW w:w="3459" w:type="pct"/>
            <w:tcBorders>
              <w:top w:val="single" w:sz="4" w:space="0" w:color="auto"/>
              <w:left w:val="single" w:sz="4" w:space="0" w:color="auto"/>
              <w:bottom w:val="single" w:sz="4" w:space="0" w:color="auto"/>
              <w:right w:val="single" w:sz="4" w:space="0" w:color="auto"/>
            </w:tcBorders>
            <w:shd w:val="clear" w:color="auto" w:fill="auto"/>
            <w:vAlign w:val="center"/>
          </w:tcPr>
          <w:p w14:paraId="3617FB1D" w14:textId="77777777" w:rsidR="000952B3" w:rsidRPr="00600B68" w:rsidRDefault="00B650B7" w:rsidP="00791266">
            <w:pPr>
              <w:shd w:val="clear" w:color="auto" w:fill="FFFFFF"/>
              <w:ind w:left="94" w:right="57"/>
              <w:jc w:val="both"/>
              <w:rPr>
                <w:bCs/>
                <w:lang w:eastAsia="en-US"/>
              </w:rPr>
            </w:pPr>
            <w:r w:rsidRPr="00600B68">
              <w:t>Nav</w:t>
            </w:r>
            <w:r w:rsidR="00352BE9" w:rsidRPr="00600B68">
              <w:rPr>
                <w:bCs/>
                <w:lang w:eastAsia="en-US"/>
              </w:rPr>
              <w:t>.</w:t>
            </w:r>
          </w:p>
        </w:tc>
      </w:tr>
    </w:tbl>
    <w:p w14:paraId="70AFC89F" w14:textId="77777777" w:rsidR="004D2E35" w:rsidRPr="00600B68" w:rsidRDefault="004D2E35" w:rsidP="001351FC"/>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600B68" w:rsidRPr="00600B68" w14:paraId="6D88513B" w14:textId="77777777" w:rsidTr="009B6065">
        <w:trPr>
          <w:trHeight w:val="32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CAF5622" w14:textId="77777777" w:rsidR="006109C0" w:rsidRPr="00600B68" w:rsidRDefault="006109C0" w:rsidP="006B07D7">
            <w:pPr>
              <w:pStyle w:val="ListParagraph"/>
              <w:tabs>
                <w:tab w:val="left" w:pos="317"/>
              </w:tabs>
              <w:ind w:left="0"/>
              <w:jc w:val="center"/>
              <w:rPr>
                <w:bCs/>
                <w:sz w:val="24"/>
                <w:szCs w:val="24"/>
                <w:lang w:eastAsia="en-US"/>
              </w:rPr>
            </w:pPr>
            <w:r w:rsidRPr="00600B68">
              <w:rPr>
                <w:b/>
                <w:bCs/>
                <w:sz w:val="24"/>
                <w:szCs w:val="24"/>
                <w:lang w:eastAsia="ja-JP"/>
              </w:rPr>
              <w:t>III. Tiesību akta projekta ietekme uz valsts budžetu un pašvaldību budžetiem</w:t>
            </w:r>
          </w:p>
        </w:tc>
      </w:tr>
      <w:tr w:rsidR="00600B68" w:rsidRPr="00600B68" w14:paraId="3F4D29F3" w14:textId="77777777" w:rsidTr="009B6065">
        <w:trPr>
          <w:trHeight w:val="327"/>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BD040A7" w14:textId="56C9E7B0" w:rsidR="00742CA8" w:rsidRPr="00600B68" w:rsidRDefault="00742CA8" w:rsidP="006B07D7">
            <w:pPr>
              <w:pStyle w:val="ListParagraph"/>
              <w:tabs>
                <w:tab w:val="left" w:pos="317"/>
              </w:tabs>
              <w:ind w:left="0"/>
              <w:jc w:val="center"/>
              <w:rPr>
                <w:b/>
                <w:bCs/>
                <w:sz w:val="24"/>
                <w:szCs w:val="24"/>
                <w:lang w:eastAsia="ja-JP"/>
              </w:rPr>
            </w:pPr>
            <w:r w:rsidRPr="00600B68">
              <w:rPr>
                <w:iCs/>
                <w:sz w:val="24"/>
                <w:szCs w:val="24"/>
              </w:rPr>
              <w:t>Noteikumu projekts šo jomu neskar.</w:t>
            </w:r>
          </w:p>
        </w:tc>
      </w:tr>
    </w:tbl>
    <w:p w14:paraId="11BB16CE" w14:textId="77777777" w:rsidR="000952B3" w:rsidRPr="00600B68" w:rsidRDefault="000952B3" w:rsidP="001351F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9061"/>
      </w:tblGrid>
      <w:tr w:rsidR="008A3DD6" w:rsidRPr="00600B68" w14:paraId="37DA99DA" w14:textId="77777777" w:rsidTr="008A3DD6">
        <w:trPr>
          <w:trHeight w:val="375"/>
        </w:trPr>
        <w:tc>
          <w:tcPr>
            <w:tcW w:w="5000" w:type="pct"/>
          </w:tcPr>
          <w:p w14:paraId="73E51EC6" w14:textId="3EE78C78" w:rsidR="008A3DD6" w:rsidRPr="00600B68" w:rsidRDefault="008A3DD6" w:rsidP="00782421">
            <w:pPr>
              <w:ind w:firstLine="300"/>
              <w:jc w:val="center"/>
              <w:rPr>
                <w:rFonts w:eastAsia="Times New Roman"/>
                <w:b/>
                <w:bCs/>
              </w:rPr>
            </w:pPr>
            <w:r w:rsidRPr="00600B68">
              <w:rPr>
                <w:b/>
              </w:rPr>
              <w:t>IV.</w:t>
            </w:r>
            <w:r w:rsidRPr="00600B68">
              <w:t xml:space="preserve"> </w:t>
            </w:r>
            <w:r w:rsidRPr="00600B68">
              <w:rPr>
                <w:b/>
              </w:rPr>
              <w:t>Tiesību akta projekta ietekme uz spēkā esošo tiesību normu sistēmu</w:t>
            </w:r>
          </w:p>
        </w:tc>
      </w:tr>
      <w:tr w:rsidR="008A3DD6" w:rsidRPr="00600B68" w14:paraId="4BBAEFD7" w14:textId="77777777" w:rsidTr="008A3DD6">
        <w:tc>
          <w:tcPr>
            <w:tcW w:w="5000" w:type="pct"/>
          </w:tcPr>
          <w:p w14:paraId="491F2AD4" w14:textId="4FD2D8C6" w:rsidR="008A3DD6" w:rsidRPr="00600B68" w:rsidRDefault="008A3DD6" w:rsidP="008A3DD6">
            <w:pPr>
              <w:jc w:val="center"/>
            </w:pPr>
            <w:r w:rsidRPr="00600B68">
              <w:rPr>
                <w:iCs/>
              </w:rPr>
              <w:t>Noteikumu projekts šo jomu neskar.</w:t>
            </w:r>
          </w:p>
        </w:tc>
      </w:tr>
    </w:tbl>
    <w:p w14:paraId="6DE1DA1E" w14:textId="77777777" w:rsidR="00B000A1" w:rsidRPr="00600B68" w:rsidRDefault="00B000A1" w:rsidP="00AB4574">
      <w:pPr>
        <w:rPr>
          <w:rFonts w:eastAsia="Times New Roman"/>
          <w:sz w:val="26"/>
          <w:szCs w:val="26"/>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32"/>
        <w:gridCol w:w="1971"/>
        <w:gridCol w:w="6403"/>
      </w:tblGrid>
      <w:tr w:rsidR="00600B68" w:rsidRPr="00600B68" w14:paraId="08EBC5E3" w14:textId="77777777" w:rsidTr="00B30CB5">
        <w:trPr>
          <w:trHeight w:val="375"/>
        </w:trPr>
        <w:tc>
          <w:tcPr>
            <w:tcW w:w="0" w:type="auto"/>
            <w:gridSpan w:val="3"/>
            <w:vAlign w:val="center"/>
            <w:hideMark/>
          </w:tcPr>
          <w:p w14:paraId="1392FC75" w14:textId="77777777" w:rsidR="00AB4574" w:rsidRPr="00600B68" w:rsidRDefault="00AB4574" w:rsidP="00B30CB5">
            <w:pPr>
              <w:ind w:firstLine="300"/>
              <w:jc w:val="center"/>
              <w:rPr>
                <w:rFonts w:eastAsia="Times New Roman"/>
                <w:b/>
                <w:bCs/>
              </w:rPr>
            </w:pPr>
            <w:r w:rsidRPr="00600B68">
              <w:rPr>
                <w:rFonts w:eastAsia="Times New Roman"/>
                <w:b/>
                <w:bCs/>
              </w:rPr>
              <w:t>V. Tiesību akta projekta atbilstība Latvijas Republikas starptautiskajām saistībām</w:t>
            </w:r>
          </w:p>
        </w:tc>
      </w:tr>
      <w:tr w:rsidR="00600B68" w:rsidRPr="00600B68" w14:paraId="11910149" w14:textId="77777777" w:rsidTr="00B30CB5">
        <w:tc>
          <w:tcPr>
            <w:tcW w:w="402" w:type="pct"/>
            <w:hideMark/>
          </w:tcPr>
          <w:p w14:paraId="58133D7A" w14:textId="77777777" w:rsidR="00AB4574" w:rsidRPr="00600B68" w:rsidRDefault="00AB4574" w:rsidP="00B30CB5">
            <w:pPr>
              <w:rPr>
                <w:rFonts w:eastAsia="Times New Roman"/>
              </w:rPr>
            </w:pPr>
            <w:r w:rsidRPr="00600B68">
              <w:rPr>
                <w:rFonts w:eastAsia="Times New Roman"/>
              </w:rPr>
              <w:t>1.</w:t>
            </w:r>
          </w:p>
        </w:tc>
        <w:tc>
          <w:tcPr>
            <w:tcW w:w="1082" w:type="pct"/>
            <w:hideMark/>
          </w:tcPr>
          <w:p w14:paraId="752A4B02" w14:textId="77777777" w:rsidR="00AB4574" w:rsidRPr="00600B68" w:rsidRDefault="00AB4574" w:rsidP="00B30CB5">
            <w:pPr>
              <w:jc w:val="both"/>
              <w:rPr>
                <w:rFonts w:eastAsia="Times New Roman"/>
              </w:rPr>
            </w:pPr>
            <w:r w:rsidRPr="00600B68">
              <w:rPr>
                <w:rFonts w:eastAsia="Times New Roman"/>
              </w:rPr>
              <w:t>Saistības pret Eiropas Savienību</w:t>
            </w:r>
          </w:p>
        </w:tc>
        <w:tc>
          <w:tcPr>
            <w:tcW w:w="3515" w:type="pct"/>
            <w:hideMark/>
          </w:tcPr>
          <w:p w14:paraId="728C75D2" w14:textId="77777777" w:rsidR="00AB4574" w:rsidRPr="00600B68" w:rsidRDefault="00AB4574" w:rsidP="00B30CB5">
            <w:pPr>
              <w:spacing w:before="10"/>
              <w:ind w:right="113"/>
              <w:jc w:val="both"/>
              <w:rPr>
                <w:rFonts w:eastAsia="Times New Roman"/>
              </w:rPr>
            </w:pPr>
            <w:r w:rsidRPr="00600B68">
              <w:rPr>
                <w:rFonts w:eastAsia="Times New Roman"/>
              </w:rPr>
              <w:t>Eiropas Komisijas 2014. gada 17. jūnija Regulas Nr. 651/2014, ar ko noteiktas atbalsta kategorijas atzīst par saderīgām ar iekšējo tirgu, piemērojot Līguma 107. un 108. pantu (turpmāk – Komisijas regula Nr. 651/2014).</w:t>
            </w:r>
          </w:p>
        </w:tc>
      </w:tr>
      <w:tr w:rsidR="00600B68" w:rsidRPr="00600B68" w14:paraId="3F759626" w14:textId="77777777" w:rsidTr="00B30CB5">
        <w:tc>
          <w:tcPr>
            <w:tcW w:w="402" w:type="pct"/>
            <w:hideMark/>
          </w:tcPr>
          <w:p w14:paraId="02EB1B13" w14:textId="77777777" w:rsidR="00AB4574" w:rsidRPr="00600B68" w:rsidRDefault="00AB4574" w:rsidP="00B30CB5">
            <w:pPr>
              <w:rPr>
                <w:rFonts w:eastAsia="Times New Roman"/>
              </w:rPr>
            </w:pPr>
            <w:r w:rsidRPr="00600B68">
              <w:rPr>
                <w:rFonts w:eastAsia="Times New Roman"/>
              </w:rPr>
              <w:t>2.</w:t>
            </w:r>
          </w:p>
        </w:tc>
        <w:tc>
          <w:tcPr>
            <w:tcW w:w="1082" w:type="pct"/>
            <w:hideMark/>
          </w:tcPr>
          <w:p w14:paraId="107A5B4E" w14:textId="77777777" w:rsidR="00AB4574" w:rsidRPr="00600B68" w:rsidRDefault="00AB4574" w:rsidP="00B30CB5">
            <w:pPr>
              <w:jc w:val="both"/>
              <w:rPr>
                <w:rFonts w:eastAsia="Times New Roman"/>
              </w:rPr>
            </w:pPr>
            <w:r w:rsidRPr="00600B68">
              <w:rPr>
                <w:rFonts w:eastAsia="Times New Roman"/>
              </w:rPr>
              <w:t>Citas starptautiskās saistības</w:t>
            </w:r>
          </w:p>
        </w:tc>
        <w:tc>
          <w:tcPr>
            <w:tcW w:w="3515" w:type="pct"/>
            <w:hideMark/>
          </w:tcPr>
          <w:p w14:paraId="410D8A0B" w14:textId="77777777" w:rsidR="00AB4574" w:rsidRPr="00600B68" w:rsidRDefault="00AB4574" w:rsidP="00B30CB5">
            <w:pPr>
              <w:jc w:val="both"/>
              <w:rPr>
                <w:rFonts w:eastAsia="Times New Roman"/>
              </w:rPr>
            </w:pPr>
            <w:r w:rsidRPr="00600B68">
              <w:rPr>
                <w:rFonts w:eastAsia="Times New Roman"/>
              </w:rPr>
              <w:t>Noteikumu projekts šo jomu neskar.</w:t>
            </w:r>
          </w:p>
        </w:tc>
      </w:tr>
      <w:tr w:rsidR="00600B68" w:rsidRPr="00600B68" w14:paraId="6F374AD8" w14:textId="77777777" w:rsidTr="00B30CB5">
        <w:tc>
          <w:tcPr>
            <w:tcW w:w="402" w:type="pct"/>
            <w:hideMark/>
          </w:tcPr>
          <w:p w14:paraId="1D0DF497" w14:textId="77777777" w:rsidR="00AB4574" w:rsidRPr="00600B68" w:rsidRDefault="00AB4574" w:rsidP="00B30CB5">
            <w:pPr>
              <w:rPr>
                <w:rFonts w:eastAsia="Times New Roman"/>
              </w:rPr>
            </w:pPr>
            <w:r w:rsidRPr="00600B68">
              <w:rPr>
                <w:rFonts w:eastAsia="Times New Roman"/>
              </w:rPr>
              <w:t>3.</w:t>
            </w:r>
          </w:p>
        </w:tc>
        <w:tc>
          <w:tcPr>
            <w:tcW w:w="1082" w:type="pct"/>
            <w:hideMark/>
          </w:tcPr>
          <w:p w14:paraId="3B6D14F4" w14:textId="77777777" w:rsidR="00AB4574" w:rsidRPr="00600B68" w:rsidRDefault="00AB4574" w:rsidP="00B30CB5">
            <w:pPr>
              <w:jc w:val="both"/>
              <w:rPr>
                <w:rFonts w:eastAsia="Times New Roman"/>
              </w:rPr>
            </w:pPr>
            <w:r w:rsidRPr="00600B68">
              <w:rPr>
                <w:rFonts w:eastAsia="Times New Roman"/>
              </w:rPr>
              <w:t>Cita informācija</w:t>
            </w:r>
          </w:p>
        </w:tc>
        <w:tc>
          <w:tcPr>
            <w:tcW w:w="3515" w:type="pct"/>
            <w:hideMark/>
          </w:tcPr>
          <w:p w14:paraId="62C9B525" w14:textId="77777777" w:rsidR="00AB4574" w:rsidRPr="00600B68" w:rsidRDefault="00AB4574" w:rsidP="00B30CB5">
            <w:r w:rsidRPr="00600B68">
              <w:t>Nav</w:t>
            </w:r>
          </w:p>
        </w:tc>
      </w:tr>
    </w:tbl>
    <w:p w14:paraId="373F2AB8" w14:textId="77777777" w:rsidR="00AB4574" w:rsidRPr="00600B68" w:rsidRDefault="00AB4574" w:rsidP="00AB4574">
      <w:pPr>
        <w:rPr>
          <w:sz w:val="26"/>
          <w:szCs w:val="26"/>
        </w:rPr>
      </w:pPr>
    </w:p>
    <w:tbl>
      <w:tblPr>
        <w:tblW w:w="921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55"/>
        <w:gridCol w:w="2126"/>
        <w:gridCol w:w="2020"/>
        <w:gridCol w:w="2316"/>
      </w:tblGrid>
      <w:tr w:rsidR="00600B68" w:rsidRPr="00600B68" w14:paraId="4EFFDDB2" w14:textId="77777777" w:rsidTr="00B30CB5">
        <w:tc>
          <w:tcPr>
            <w:tcW w:w="9217" w:type="dxa"/>
            <w:gridSpan w:val="4"/>
            <w:vAlign w:val="center"/>
            <w:hideMark/>
          </w:tcPr>
          <w:p w14:paraId="0D569E34" w14:textId="77777777" w:rsidR="00AB4574" w:rsidRPr="00600B68" w:rsidRDefault="00AB4574" w:rsidP="00B30CB5">
            <w:pPr>
              <w:jc w:val="center"/>
              <w:rPr>
                <w:rFonts w:eastAsia="Times New Roman"/>
                <w:b/>
                <w:bCs/>
              </w:rPr>
            </w:pPr>
            <w:r w:rsidRPr="00600B68">
              <w:rPr>
                <w:rFonts w:eastAsia="Times New Roman"/>
                <w:b/>
                <w:bCs/>
              </w:rPr>
              <w:t>1.tabula</w:t>
            </w:r>
            <w:r w:rsidRPr="00600B68">
              <w:rPr>
                <w:rFonts w:eastAsia="Times New Roman"/>
                <w:b/>
                <w:bCs/>
              </w:rPr>
              <w:br/>
              <w:t>Tiesību akta projekta atbilstība ES tiesību aktiem</w:t>
            </w:r>
          </w:p>
        </w:tc>
      </w:tr>
      <w:tr w:rsidR="00600B68" w:rsidRPr="00600B68" w14:paraId="47883F64" w14:textId="77777777" w:rsidTr="00B30CB5">
        <w:tc>
          <w:tcPr>
            <w:tcW w:w="2755" w:type="dxa"/>
            <w:vAlign w:val="center"/>
            <w:hideMark/>
          </w:tcPr>
          <w:p w14:paraId="48E8E754" w14:textId="77777777" w:rsidR="00AB4574" w:rsidRPr="00600B68" w:rsidRDefault="00AB4574" w:rsidP="00B30CB5">
            <w:pPr>
              <w:jc w:val="both"/>
              <w:rPr>
                <w:rFonts w:eastAsia="Times New Roman"/>
              </w:rPr>
            </w:pPr>
            <w:r w:rsidRPr="00600B68">
              <w:rPr>
                <w:rFonts w:eastAsia="Times New Roman"/>
              </w:rPr>
              <w:lastRenderedPageBreak/>
              <w:t>Attiecīgā ES tiesību akta datums, numurs un nosaukums</w:t>
            </w:r>
          </w:p>
        </w:tc>
        <w:tc>
          <w:tcPr>
            <w:tcW w:w="6462" w:type="dxa"/>
            <w:gridSpan w:val="3"/>
            <w:vAlign w:val="center"/>
            <w:hideMark/>
          </w:tcPr>
          <w:p w14:paraId="29FF7069" w14:textId="77777777" w:rsidR="00AB4574" w:rsidRPr="00600B68" w:rsidRDefault="00AB4574" w:rsidP="00B30CB5">
            <w:pPr>
              <w:spacing w:before="10"/>
              <w:ind w:right="113"/>
              <w:jc w:val="both"/>
            </w:pPr>
            <w:r w:rsidRPr="00600B68">
              <w:rPr>
                <w:rFonts w:eastAsia="Times New Roman"/>
              </w:rPr>
              <w:t>Komisijas regula Nr. 651/2014</w:t>
            </w:r>
          </w:p>
        </w:tc>
      </w:tr>
      <w:tr w:rsidR="00600B68" w:rsidRPr="00600B68" w14:paraId="540ACF89" w14:textId="77777777" w:rsidTr="00B30CB5">
        <w:tc>
          <w:tcPr>
            <w:tcW w:w="2755" w:type="dxa"/>
            <w:vAlign w:val="center"/>
            <w:hideMark/>
          </w:tcPr>
          <w:p w14:paraId="50F4B199" w14:textId="77777777" w:rsidR="00AB4574" w:rsidRPr="00600B68" w:rsidRDefault="00AB4574" w:rsidP="00B30CB5">
            <w:pPr>
              <w:jc w:val="center"/>
              <w:rPr>
                <w:rFonts w:eastAsia="Times New Roman"/>
              </w:rPr>
            </w:pPr>
            <w:r w:rsidRPr="00600B68">
              <w:rPr>
                <w:rFonts w:eastAsia="Times New Roman"/>
              </w:rPr>
              <w:t>A</w:t>
            </w:r>
          </w:p>
        </w:tc>
        <w:tc>
          <w:tcPr>
            <w:tcW w:w="2126" w:type="dxa"/>
            <w:vAlign w:val="center"/>
            <w:hideMark/>
          </w:tcPr>
          <w:p w14:paraId="564E255B" w14:textId="77777777" w:rsidR="00AB4574" w:rsidRPr="00600B68" w:rsidRDefault="00AB4574" w:rsidP="00B30CB5">
            <w:pPr>
              <w:jc w:val="center"/>
              <w:rPr>
                <w:rFonts w:eastAsia="Times New Roman"/>
              </w:rPr>
            </w:pPr>
            <w:r w:rsidRPr="00600B68">
              <w:rPr>
                <w:rFonts w:eastAsia="Times New Roman"/>
              </w:rPr>
              <w:t>B</w:t>
            </w:r>
          </w:p>
        </w:tc>
        <w:tc>
          <w:tcPr>
            <w:tcW w:w="2020" w:type="dxa"/>
            <w:vAlign w:val="center"/>
            <w:hideMark/>
          </w:tcPr>
          <w:p w14:paraId="0EFBE7AF" w14:textId="77777777" w:rsidR="00AB4574" w:rsidRPr="00600B68" w:rsidRDefault="00AB4574" w:rsidP="00B30CB5">
            <w:pPr>
              <w:jc w:val="center"/>
              <w:rPr>
                <w:rFonts w:eastAsia="Times New Roman"/>
              </w:rPr>
            </w:pPr>
            <w:r w:rsidRPr="00600B68">
              <w:rPr>
                <w:rFonts w:eastAsia="Times New Roman"/>
              </w:rPr>
              <w:t>C</w:t>
            </w:r>
          </w:p>
        </w:tc>
        <w:tc>
          <w:tcPr>
            <w:tcW w:w="2316" w:type="dxa"/>
            <w:vAlign w:val="center"/>
            <w:hideMark/>
          </w:tcPr>
          <w:p w14:paraId="70F3CCF5" w14:textId="77777777" w:rsidR="00AB4574" w:rsidRPr="00600B68" w:rsidRDefault="00AB4574" w:rsidP="00B30CB5">
            <w:pPr>
              <w:jc w:val="center"/>
              <w:rPr>
                <w:rFonts w:eastAsia="Times New Roman"/>
              </w:rPr>
            </w:pPr>
            <w:r w:rsidRPr="00600B68">
              <w:rPr>
                <w:rFonts w:eastAsia="Times New Roman"/>
              </w:rPr>
              <w:t>D</w:t>
            </w:r>
          </w:p>
        </w:tc>
      </w:tr>
      <w:tr w:rsidR="00600B68" w:rsidRPr="00600B68" w14:paraId="407D95DB" w14:textId="77777777" w:rsidTr="00B30CB5">
        <w:tc>
          <w:tcPr>
            <w:tcW w:w="2755" w:type="dxa"/>
            <w:hideMark/>
          </w:tcPr>
          <w:p w14:paraId="3DC8906A" w14:textId="77777777" w:rsidR="00AB4574" w:rsidRPr="00600B68" w:rsidRDefault="00AB4574" w:rsidP="00B30CB5">
            <w:pPr>
              <w:pStyle w:val="naiskr"/>
              <w:spacing w:before="0" w:after="0"/>
              <w:jc w:val="both"/>
              <w:rPr>
                <w:lang w:eastAsia="en-US"/>
              </w:rPr>
            </w:pPr>
            <w:r w:rsidRPr="00600B68">
              <w:rPr>
                <w:lang w:eastAsia="en-US"/>
              </w:rPr>
              <w:t xml:space="preserve">Attiecīgā ES tiesību akta panta numurs (uzskaitot katru tiesību akta </w:t>
            </w:r>
            <w:r w:rsidRPr="00600B68">
              <w:rPr>
                <w:lang w:eastAsia="en-US"/>
              </w:rPr>
              <w:br/>
              <w:t>vienību – pantu, daļu, punktu, apakšpunktu)</w:t>
            </w:r>
          </w:p>
        </w:tc>
        <w:tc>
          <w:tcPr>
            <w:tcW w:w="2126" w:type="dxa"/>
            <w:hideMark/>
          </w:tcPr>
          <w:p w14:paraId="5258FD96" w14:textId="77777777" w:rsidR="00AB4574" w:rsidRPr="00600B68" w:rsidRDefault="00AB4574" w:rsidP="00B30CB5">
            <w:pPr>
              <w:pStyle w:val="naiskr"/>
              <w:spacing w:before="0" w:after="0"/>
              <w:jc w:val="both"/>
              <w:rPr>
                <w:lang w:eastAsia="en-US"/>
              </w:rPr>
            </w:pPr>
            <w:r w:rsidRPr="00600B68">
              <w:rPr>
                <w:lang w:eastAsia="en-US"/>
              </w:rPr>
              <w:t>Projekta vienība, kas pārņem vai ievieš katru šīs tabulas A ailē minēto ES tiesību akta vienību</w:t>
            </w:r>
          </w:p>
        </w:tc>
        <w:tc>
          <w:tcPr>
            <w:tcW w:w="2020" w:type="dxa"/>
            <w:hideMark/>
          </w:tcPr>
          <w:p w14:paraId="3B053D7B" w14:textId="77777777" w:rsidR="00AB4574" w:rsidRPr="00600B68" w:rsidRDefault="00AB4574" w:rsidP="00B30CB5">
            <w:pPr>
              <w:pStyle w:val="naiskr"/>
              <w:spacing w:before="0" w:after="0"/>
              <w:jc w:val="both"/>
              <w:rPr>
                <w:lang w:eastAsia="en-US"/>
              </w:rPr>
            </w:pPr>
            <w:r w:rsidRPr="00600B68">
              <w:rPr>
                <w:lang w:eastAsia="en-US"/>
              </w:rPr>
              <w:t>Informācija par to, vai šīs tabulas A ailē minētās ES tiesību akta vienības tiek pārņemtas vai ieviestas pilnībā vai daļēji.</w:t>
            </w:r>
          </w:p>
          <w:p w14:paraId="5314774B" w14:textId="77777777" w:rsidR="00AB4574" w:rsidRPr="00600B68" w:rsidRDefault="00AB4574" w:rsidP="00B30CB5">
            <w:pPr>
              <w:pStyle w:val="naiskr"/>
              <w:spacing w:before="0" w:after="0"/>
              <w:jc w:val="both"/>
              <w:rPr>
                <w:lang w:eastAsia="en-US"/>
              </w:rPr>
            </w:pPr>
            <w:r w:rsidRPr="00600B68">
              <w:rPr>
                <w:lang w:eastAsia="en-US"/>
              </w:rPr>
              <w:t>Ja attiecīgā ES tiesību akta vienība tiek pārņemta vai ieviesta daļēji, – sniedz attiecīgu skaidrojumu, kā arī precīzi norāda, kad un kādā veidā ES tiesību akta vienība tiks pārņemta vai ieviesta pilnībā.</w:t>
            </w:r>
          </w:p>
          <w:p w14:paraId="53314965" w14:textId="77777777" w:rsidR="00AB4574" w:rsidRPr="00600B68" w:rsidRDefault="00AB4574" w:rsidP="00B30CB5">
            <w:pPr>
              <w:pStyle w:val="naiskr"/>
              <w:spacing w:before="0" w:after="0"/>
              <w:jc w:val="both"/>
              <w:rPr>
                <w:lang w:eastAsia="en-US"/>
              </w:rPr>
            </w:pPr>
            <w:r w:rsidRPr="00600B68">
              <w:rPr>
                <w:lang w:eastAsia="en-US"/>
              </w:rPr>
              <w:t>Norāda institūciju, kas ir atbildīga par šo saistību izpildi pilnībā</w:t>
            </w:r>
          </w:p>
        </w:tc>
        <w:tc>
          <w:tcPr>
            <w:tcW w:w="2316" w:type="dxa"/>
            <w:hideMark/>
          </w:tcPr>
          <w:p w14:paraId="24D976AB" w14:textId="77777777" w:rsidR="00AB4574" w:rsidRPr="00600B68" w:rsidRDefault="00AB4574" w:rsidP="00B30CB5">
            <w:pPr>
              <w:pStyle w:val="naiskr"/>
              <w:spacing w:before="0" w:after="0"/>
              <w:jc w:val="both"/>
              <w:rPr>
                <w:lang w:eastAsia="en-US"/>
              </w:rPr>
            </w:pPr>
            <w:r w:rsidRPr="00600B68">
              <w:rPr>
                <w:lang w:eastAsia="en-US"/>
              </w:rPr>
              <w:t>Informācija par to, vai šīs tabulas B ailē minētās projekta vienības paredz stingrākas prasības nekā šīs tabulas A ailē minētās ES tiesību akta vienības.</w:t>
            </w:r>
          </w:p>
          <w:p w14:paraId="45AA42D5" w14:textId="77777777" w:rsidR="00AB4574" w:rsidRPr="00600B68" w:rsidRDefault="00AB4574" w:rsidP="00B30CB5">
            <w:pPr>
              <w:pStyle w:val="naiskr"/>
              <w:spacing w:before="0" w:after="0"/>
              <w:jc w:val="both"/>
              <w:rPr>
                <w:lang w:eastAsia="en-US"/>
              </w:rPr>
            </w:pPr>
            <w:r w:rsidRPr="00600B68">
              <w:rPr>
                <w:lang w:eastAsia="en-US"/>
              </w:rPr>
              <w:t>Ja projekts satur stingrākas prasības nekā attiecīgais ES tiesību akts, – norāda pamatojumu un samērīgumu.</w:t>
            </w:r>
          </w:p>
          <w:p w14:paraId="2FD2AE83" w14:textId="77777777" w:rsidR="00AB4574" w:rsidRPr="00600B68" w:rsidRDefault="00AB4574" w:rsidP="00B30CB5">
            <w:pPr>
              <w:pStyle w:val="naiskr"/>
              <w:spacing w:before="0" w:after="0"/>
              <w:jc w:val="both"/>
              <w:rPr>
                <w:lang w:eastAsia="en-US"/>
              </w:rPr>
            </w:pPr>
            <w:r w:rsidRPr="00600B68">
              <w:rPr>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600B68" w:rsidRPr="00600B68" w14:paraId="53C9D258" w14:textId="77777777" w:rsidTr="00B30CB5">
        <w:tc>
          <w:tcPr>
            <w:tcW w:w="2755" w:type="dxa"/>
            <w:vAlign w:val="center"/>
          </w:tcPr>
          <w:p w14:paraId="2CEACA3A" w14:textId="200203ED" w:rsidR="00AB4574" w:rsidRPr="00600B68" w:rsidRDefault="00424791" w:rsidP="00424791">
            <w:pPr>
              <w:spacing w:before="10"/>
              <w:ind w:left="113" w:right="113"/>
              <w:jc w:val="both"/>
              <w:rPr>
                <w:rFonts w:eastAsia="Times New Roman"/>
              </w:rPr>
            </w:pPr>
            <w:r>
              <w:rPr>
                <w:rFonts w:eastAsia="Times New Roman"/>
              </w:rPr>
              <w:t>Komisijas r</w:t>
            </w:r>
            <w:r w:rsidR="00AB4574" w:rsidRPr="00600B68">
              <w:rPr>
                <w:rFonts w:eastAsia="Times New Roman"/>
              </w:rPr>
              <w:t>egulas Nr. 651/2014 2</w:t>
            </w:r>
            <w:r w:rsidR="004F3C6B">
              <w:rPr>
                <w:rFonts w:eastAsia="Times New Roman"/>
              </w:rPr>
              <w:t>5</w:t>
            </w:r>
            <w:r w:rsidR="00AB4574" w:rsidRPr="00600B68">
              <w:rPr>
                <w:rFonts w:eastAsia="Times New Roman"/>
              </w:rPr>
              <w:t xml:space="preserve">. panta </w:t>
            </w:r>
            <w:r w:rsidR="004F3C6B">
              <w:rPr>
                <w:rFonts w:eastAsia="Times New Roman"/>
              </w:rPr>
              <w:t>6</w:t>
            </w:r>
            <w:r w:rsidR="00AB4574" w:rsidRPr="00600B68">
              <w:rPr>
                <w:rFonts w:eastAsia="Times New Roman"/>
              </w:rPr>
              <w:t>. punkts</w:t>
            </w:r>
          </w:p>
        </w:tc>
        <w:tc>
          <w:tcPr>
            <w:tcW w:w="2126" w:type="dxa"/>
            <w:vAlign w:val="center"/>
          </w:tcPr>
          <w:p w14:paraId="465CDA7A" w14:textId="6F652EB2" w:rsidR="00AB4574" w:rsidRPr="00600B68" w:rsidRDefault="00AB4574" w:rsidP="004F3C6B">
            <w:pPr>
              <w:spacing w:before="10"/>
              <w:ind w:left="113" w:right="113"/>
              <w:jc w:val="both"/>
              <w:rPr>
                <w:rFonts w:eastAsia="Times New Roman"/>
              </w:rPr>
            </w:pPr>
            <w:r w:rsidRPr="00600B68">
              <w:rPr>
                <w:rFonts w:eastAsia="Times New Roman"/>
              </w:rPr>
              <w:t xml:space="preserve">Noteikumu projekta </w:t>
            </w:r>
            <w:r w:rsidR="004F3C6B">
              <w:rPr>
                <w:rFonts w:eastAsia="Times New Roman"/>
              </w:rPr>
              <w:t>2</w:t>
            </w:r>
            <w:r w:rsidRPr="00600B68">
              <w:rPr>
                <w:rFonts w:eastAsia="Times New Roman"/>
              </w:rPr>
              <w:t>1. punkts (MK noteikumu</w:t>
            </w:r>
            <w:r w:rsidR="004F3C6B">
              <w:rPr>
                <w:rFonts w:eastAsia="Times New Roman"/>
              </w:rPr>
              <w:t xml:space="preserve"> 3. pielikuma tabulas</w:t>
            </w:r>
            <w:r w:rsidRPr="00600B68">
              <w:rPr>
                <w:rFonts w:eastAsia="Times New Roman"/>
              </w:rPr>
              <w:t xml:space="preserve"> </w:t>
            </w:r>
            <w:r w:rsidR="004F3C6B">
              <w:rPr>
                <w:rFonts w:eastAsia="Times New Roman"/>
              </w:rPr>
              <w:t>14. </w:t>
            </w:r>
            <w:r w:rsidRPr="00600B68">
              <w:rPr>
                <w:rFonts w:eastAsia="Times New Roman"/>
              </w:rPr>
              <w:t>punkts)</w:t>
            </w:r>
          </w:p>
        </w:tc>
        <w:tc>
          <w:tcPr>
            <w:tcW w:w="2020" w:type="dxa"/>
            <w:vAlign w:val="center"/>
          </w:tcPr>
          <w:p w14:paraId="73365821" w14:textId="77777777" w:rsidR="00AB4574" w:rsidRPr="00600B68" w:rsidRDefault="00AB4574" w:rsidP="00B30CB5">
            <w:pPr>
              <w:spacing w:before="10"/>
              <w:ind w:left="113" w:right="113"/>
              <w:jc w:val="both"/>
              <w:rPr>
                <w:rFonts w:eastAsia="Times New Roman"/>
              </w:rPr>
            </w:pPr>
            <w:r w:rsidRPr="00600B68">
              <w:rPr>
                <w:rFonts w:eastAsia="Times New Roman"/>
              </w:rPr>
              <w:t>ieviesta pilnībā</w:t>
            </w:r>
          </w:p>
        </w:tc>
        <w:tc>
          <w:tcPr>
            <w:tcW w:w="2316" w:type="dxa"/>
            <w:vAlign w:val="center"/>
          </w:tcPr>
          <w:p w14:paraId="06DFD3B7" w14:textId="77777777" w:rsidR="00AB4574" w:rsidRPr="00600B68" w:rsidRDefault="00AB4574" w:rsidP="00B30CB5">
            <w:pPr>
              <w:spacing w:before="10"/>
              <w:ind w:left="113" w:right="113"/>
              <w:jc w:val="both"/>
              <w:rPr>
                <w:rFonts w:eastAsia="Times New Roman"/>
              </w:rPr>
            </w:pPr>
            <w:r w:rsidRPr="00600B68">
              <w:rPr>
                <w:rFonts w:eastAsia="Times New Roman"/>
              </w:rPr>
              <w:t>neparedz stingrākas prasības</w:t>
            </w:r>
          </w:p>
        </w:tc>
      </w:tr>
      <w:tr w:rsidR="00600B68" w:rsidRPr="00600B68" w14:paraId="118C2F20" w14:textId="77777777" w:rsidTr="00B30CB5">
        <w:trPr>
          <w:trHeight w:val="805"/>
        </w:trPr>
        <w:tc>
          <w:tcPr>
            <w:tcW w:w="2755" w:type="dxa"/>
            <w:vAlign w:val="center"/>
            <w:hideMark/>
          </w:tcPr>
          <w:p w14:paraId="61DEE6FE" w14:textId="77777777" w:rsidR="00AB4574" w:rsidRPr="00600B68" w:rsidRDefault="00AB4574" w:rsidP="00B30CB5">
            <w:pPr>
              <w:ind w:left="174" w:right="149"/>
              <w:jc w:val="both"/>
              <w:rPr>
                <w:rFonts w:eastAsia="Times New Roman"/>
              </w:rPr>
            </w:pPr>
            <w:r w:rsidRPr="00600B68">
              <w:rPr>
                <w:rFonts w:eastAsia="Times New Roman"/>
              </w:rPr>
              <w:t>Kā ir izmantota ES tiesību aktā paredzētā rīcības brīvība dalībvalstij pārņemt vai ieviest noteiktas ES tiesību akta normas.</w:t>
            </w:r>
          </w:p>
        </w:tc>
        <w:tc>
          <w:tcPr>
            <w:tcW w:w="6462" w:type="dxa"/>
            <w:gridSpan w:val="3"/>
            <w:hideMark/>
          </w:tcPr>
          <w:p w14:paraId="3F5095B6" w14:textId="77777777" w:rsidR="00AB4574" w:rsidRPr="00600B68" w:rsidRDefault="00AB4574" w:rsidP="00B30CB5">
            <w:pPr>
              <w:jc w:val="both"/>
              <w:rPr>
                <w:rFonts w:eastAsia="Times New Roman"/>
              </w:rPr>
            </w:pPr>
            <w:r w:rsidRPr="00600B68">
              <w:rPr>
                <w:rFonts w:eastAsia="Times New Roman"/>
              </w:rPr>
              <w:t>Noteikumu projekts šo jomu neskar.</w:t>
            </w:r>
          </w:p>
        </w:tc>
      </w:tr>
      <w:tr w:rsidR="00600B68" w:rsidRPr="00600B68" w14:paraId="35A65821" w14:textId="77777777" w:rsidTr="00B30CB5">
        <w:trPr>
          <w:trHeight w:val="2934"/>
        </w:trPr>
        <w:tc>
          <w:tcPr>
            <w:tcW w:w="2755" w:type="dxa"/>
            <w:vAlign w:val="center"/>
            <w:hideMark/>
          </w:tcPr>
          <w:p w14:paraId="49F8A774" w14:textId="77777777" w:rsidR="00AB4574" w:rsidRPr="00600B68" w:rsidRDefault="00AB4574" w:rsidP="00B30CB5">
            <w:pPr>
              <w:ind w:left="174" w:right="149"/>
              <w:jc w:val="both"/>
              <w:rPr>
                <w:rFonts w:eastAsia="Times New Roman"/>
              </w:rPr>
            </w:pPr>
            <w:r w:rsidRPr="00600B68">
              <w:rPr>
                <w:rFonts w:eastAsia="Times New Roman"/>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62" w:type="dxa"/>
            <w:gridSpan w:val="3"/>
            <w:hideMark/>
          </w:tcPr>
          <w:p w14:paraId="633CFC42" w14:textId="77777777" w:rsidR="00AB4574" w:rsidRPr="00600B68" w:rsidRDefault="00AB4574" w:rsidP="00B30CB5">
            <w:pPr>
              <w:jc w:val="both"/>
              <w:rPr>
                <w:rFonts w:eastAsia="Times New Roman"/>
              </w:rPr>
            </w:pPr>
            <w:r w:rsidRPr="00600B68">
              <w:rPr>
                <w:rFonts w:eastAsia="Times New Roman"/>
              </w:rPr>
              <w:t>Noteikumu projekts šo jomu neskar.</w:t>
            </w:r>
          </w:p>
        </w:tc>
      </w:tr>
      <w:tr w:rsidR="00600B68" w:rsidRPr="00600B68" w14:paraId="654ACB69" w14:textId="77777777" w:rsidTr="00B30CB5">
        <w:tc>
          <w:tcPr>
            <w:tcW w:w="2755" w:type="dxa"/>
            <w:hideMark/>
          </w:tcPr>
          <w:p w14:paraId="498FAFE5" w14:textId="77777777" w:rsidR="00AB4574" w:rsidRPr="00600B68" w:rsidRDefault="00AB4574" w:rsidP="007A4F23">
            <w:pPr>
              <w:ind w:left="174" w:right="149"/>
              <w:jc w:val="both"/>
              <w:rPr>
                <w:rFonts w:eastAsia="Times New Roman"/>
              </w:rPr>
            </w:pPr>
            <w:r w:rsidRPr="00600B68">
              <w:rPr>
                <w:rFonts w:eastAsia="Times New Roman"/>
              </w:rPr>
              <w:t>Cita informācija</w:t>
            </w:r>
          </w:p>
        </w:tc>
        <w:tc>
          <w:tcPr>
            <w:tcW w:w="6462" w:type="dxa"/>
            <w:gridSpan w:val="3"/>
            <w:hideMark/>
          </w:tcPr>
          <w:p w14:paraId="285BD017" w14:textId="77777777" w:rsidR="00AB4574" w:rsidRPr="00600B68" w:rsidRDefault="00AB4574" w:rsidP="00B30CB5">
            <w:pPr>
              <w:jc w:val="both"/>
            </w:pPr>
            <w:r w:rsidRPr="00600B68">
              <w:rPr>
                <w:rFonts w:eastAsia="Times New Roman"/>
              </w:rPr>
              <w:t>Nav</w:t>
            </w:r>
            <w:r w:rsidRPr="00600B68">
              <w:t xml:space="preserve">. </w:t>
            </w:r>
          </w:p>
        </w:tc>
      </w:tr>
    </w:tbl>
    <w:p w14:paraId="1FE6CD26" w14:textId="77777777" w:rsidR="00AB4574" w:rsidRPr="00600B68" w:rsidRDefault="00AB4574" w:rsidP="004A7F1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6"/>
        <w:gridCol w:w="2572"/>
        <w:gridCol w:w="6183"/>
      </w:tblGrid>
      <w:tr w:rsidR="00600B68" w:rsidRPr="00600B68" w14:paraId="1D1294BA" w14:textId="77777777" w:rsidTr="00AB4574">
        <w:trPr>
          <w:trHeight w:val="421"/>
        </w:trPr>
        <w:tc>
          <w:tcPr>
            <w:tcW w:w="5000" w:type="pct"/>
            <w:gridSpan w:val="3"/>
            <w:vAlign w:val="center"/>
          </w:tcPr>
          <w:p w14:paraId="1C6D02D6" w14:textId="77777777" w:rsidR="004A7F10" w:rsidRPr="00600B68" w:rsidRDefault="004A7F10" w:rsidP="006B07D7">
            <w:pPr>
              <w:pStyle w:val="naisnod"/>
              <w:spacing w:before="0" w:beforeAutospacing="0" w:after="0" w:afterAutospacing="0"/>
              <w:ind w:left="57" w:right="57"/>
              <w:jc w:val="center"/>
            </w:pPr>
            <w:r w:rsidRPr="00600B68">
              <w:rPr>
                <w:b/>
              </w:rPr>
              <w:t>VI. Sabiedrības līdzdalība un komunikācijas aktivitātes</w:t>
            </w:r>
          </w:p>
        </w:tc>
      </w:tr>
      <w:tr w:rsidR="00600B68" w:rsidRPr="00600B68" w14:paraId="7EEF2664" w14:textId="77777777" w:rsidTr="009B6065">
        <w:trPr>
          <w:trHeight w:val="553"/>
        </w:trPr>
        <w:tc>
          <w:tcPr>
            <w:tcW w:w="169" w:type="pct"/>
          </w:tcPr>
          <w:p w14:paraId="6CE053E6" w14:textId="77777777" w:rsidR="004A7F10" w:rsidRPr="00600B68" w:rsidRDefault="004A7F10" w:rsidP="006B07D7">
            <w:pPr>
              <w:ind w:left="57" w:right="57"/>
              <w:jc w:val="both"/>
              <w:rPr>
                <w:bCs/>
              </w:rPr>
            </w:pPr>
            <w:r w:rsidRPr="00600B68">
              <w:rPr>
                <w:bCs/>
              </w:rPr>
              <w:t>1.</w:t>
            </w:r>
          </w:p>
        </w:tc>
        <w:tc>
          <w:tcPr>
            <w:tcW w:w="1419" w:type="pct"/>
          </w:tcPr>
          <w:p w14:paraId="74FF7E76" w14:textId="77777777" w:rsidR="004A7F10" w:rsidRPr="00600B68" w:rsidRDefault="004A7F10" w:rsidP="006B07D7">
            <w:pPr>
              <w:tabs>
                <w:tab w:val="left" w:pos="170"/>
              </w:tabs>
              <w:ind w:left="57" w:right="57"/>
            </w:pPr>
            <w:r w:rsidRPr="00600B68">
              <w:t>Plānotās sabiedrības līdzdalības un komunikācijas aktivitātes saistībā ar projektu</w:t>
            </w:r>
          </w:p>
        </w:tc>
        <w:tc>
          <w:tcPr>
            <w:tcW w:w="3412" w:type="pct"/>
          </w:tcPr>
          <w:p w14:paraId="769F9939" w14:textId="29D45708" w:rsidR="004A7F10" w:rsidRPr="00C23FB0" w:rsidRDefault="002871D2" w:rsidP="00906145">
            <w:pPr>
              <w:shd w:val="clear" w:color="auto" w:fill="FFFFFF"/>
              <w:ind w:left="94" w:right="57"/>
              <w:jc w:val="both"/>
              <w:rPr>
                <w:rFonts w:eastAsiaTheme="minorHAnsi"/>
                <w:bCs/>
                <w:iCs/>
                <w:lang w:eastAsia="en-US"/>
              </w:rPr>
            </w:pPr>
            <w:bookmarkStart w:id="1" w:name="p61"/>
            <w:bookmarkEnd w:id="1"/>
            <w:r w:rsidRPr="00C23FB0">
              <w:rPr>
                <w:rFonts w:eastAsiaTheme="minorHAnsi"/>
                <w:bCs/>
                <w:iCs/>
                <w:lang w:eastAsia="en-US"/>
              </w:rPr>
              <w:t>Sabiedrības pārstāvji</w:t>
            </w:r>
            <w:r w:rsidR="00C3544E">
              <w:rPr>
                <w:rFonts w:eastAsiaTheme="minorHAnsi"/>
                <w:bCs/>
                <w:iCs/>
                <w:lang w:eastAsia="en-US"/>
              </w:rPr>
              <w:t>em</w:t>
            </w:r>
            <w:r w:rsidRPr="00C23FB0">
              <w:rPr>
                <w:rFonts w:eastAsiaTheme="minorHAnsi"/>
                <w:bCs/>
                <w:iCs/>
                <w:lang w:eastAsia="en-US"/>
              </w:rPr>
              <w:t xml:space="preserve"> </w:t>
            </w:r>
            <w:r w:rsidR="00C3544E">
              <w:rPr>
                <w:rFonts w:eastAsiaTheme="minorHAnsi"/>
                <w:bCs/>
                <w:iCs/>
                <w:lang w:eastAsia="en-US"/>
              </w:rPr>
              <w:t xml:space="preserve">bija iespēja </w:t>
            </w:r>
            <w:r w:rsidRPr="00C3544E">
              <w:rPr>
                <w:rFonts w:eastAsiaTheme="minorHAnsi"/>
                <w:bCs/>
                <w:iCs/>
                <w:lang w:eastAsia="en-US"/>
              </w:rPr>
              <w:t xml:space="preserve">līdzdarboties noteikumu projekta izstrādē, sniedzot atzinumu un viedokli par noteikumu projektu, kas ievietots Izglītības un zinātnes ministrijas tīmekļa vietnē </w:t>
            </w:r>
            <w:hyperlink r:id="rId8" w:history="1">
              <w:r w:rsidR="009E5F2B" w:rsidRPr="00C23FB0">
                <w:rPr>
                  <w:rStyle w:val="Hyperlink"/>
                </w:rPr>
                <w:t>https://www.izm.gov.lv/lv/sabiedribas-lidzdaliba/sabiedriskajai-apspriesanai-nodotie-normativo-aktu-projekti</w:t>
              </w:r>
            </w:hyperlink>
            <w:r w:rsidRPr="00C23FB0">
              <w:rPr>
                <w:rFonts w:eastAsiaTheme="minorHAnsi"/>
                <w:bCs/>
                <w:iCs/>
                <w:lang w:eastAsia="en-US"/>
              </w:rPr>
              <w:t>.</w:t>
            </w:r>
          </w:p>
          <w:p w14:paraId="08A361E4" w14:textId="58D2EC81" w:rsidR="002F1D81" w:rsidRPr="00C3544E" w:rsidRDefault="006C27E2" w:rsidP="00C3544E">
            <w:pPr>
              <w:shd w:val="clear" w:color="auto" w:fill="FFFFFF"/>
              <w:ind w:left="94" w:right="57"/>
              <w:jc w:val="both"/>
            </w:pPr>
            <w:r w:rsidRPr="00C3544E">
              <w:rPr>
                <w:rFonts w:eastAsiaTheme="minorHAnsi"/>
                <w:bCs/>
                <w:iCs/>
                <w:lang w:eastAsia="en-US"/>
              </w:rPr>
              <w:t xml:space="preserve">Pēc noteikumu projekta spēkā stāšanās </w:t>
            </w:r>
            <w:r w:rsidR="009B6065" w:rsidRPr="00C3544E">
              <w:t>Izglītības un zinātnes ministrija kā atbildīgā iestāde</w:t>
            </w:r>
            <w:r w:rsidR="009B6065" w:rsidRPr="00C3544E">
              <w:rPr>
                <w:rFonts w:eastAsiaTheme="minorHAnsi"/>
                <w:bCs/>
                <w:iCs/>
                <w:lang w:eastAsia="en-US"/>
              </w:rPr>
              <w:t xml:space="preserve"> un </w:t>
            </w:r>
            <w:r w:rsidRPr="00C3544E">
              <w:rPr>
                <w:rFonts w:eastAsiaTheme="minorHAnsi"/>
                <w:bCs/>
                <w:iCs/>
                <w:lang w:eastAsia="en-US"/>
              </w:rPr>
              <w:t>CFLA informēs tos finansējuma saņēmējus, kurus skar veiktās izmaiņas MK noteikumos Nr.34, tostarp veicot atbilstošus grozījumus līgumā vai vienošanās par projekta īstenošanu (ja attiecināms).</w:t>
            </w:r>
            <w:r w:rsidRPr="00C3544E">
              <w:rPr>
                <w:bCs/>
              </w:rPr>
              <w:t xml:space="preserve">  </w:t>
            </w:r>
          </w:p>
        </w:tc>
      </w:tr>
      <w:tr w:rsidR="00600B68" w:rsidRPr="00600B68" w14:paraId="07CF51C6" w14:textId="77777777" w:rsidTr="009B6065">
        <w:trPr>
          <w:trHeight w:val="339"/>
        </w:trPr>
        <w:tc>
          <w:tcPr>
            <w:tcW w:w="169" w:type="pct"/>
          </w:tcPr>
          <w:p w14:paraId="37A0BDDE" w14:textId="77777777" w:rsidR="004A7F10" w:rsidRPr="00600B68" w:rsidRDefault="004A7F10" w:rsidP="006B07D7">
            <w:pPr>
              <w:ind w:left="57" w:right="57"/>
              <w:jc w:val="both"/>
              <w:rPr>
                <w:bCs/>
              </w:rPr>
            </w:pPr>
            <w:r w:rsidRPr="00600B68">
              <w:rPr>
                <w:bCs/>
              </w:rPr>
              <w:t>2.</w:t>
            </w:r>
          </w:p>
        </w:tc>
        <w:tc>
          <w:tcPr>
            <w:tcW w:w="1419" w:type="pct"/>
          </w:tcPr>
          <w:p w14:paraId="2CA0CB16" w14:textId="77777777" w:rsidR="004A7F10" w:rsidRPr="00600B68" w:rsidRDefault="004A7F10" w:rsidP="006B07D7">
            <w:pPr>
              <w:ind w:left="57" w:right="57"/>
            </w:pPr>
            <w:r w:rsidRPr="00600B68">
              <w:t>Sabiedrības līdzdalība projekta izstrādē</w:t>
            </w:r>
          </w:p>
        </w:tc>
        <w:tc>
          <w:tcPr>
            <w:tcW w:w="3412" w:type="pct"/>
          </w:tcPr>
          <w:p w14:paraId="2F9BD1E0" w14:textId="2B30DEA6" w:rsidR="004A7F10" w:rsidRPr="00C3544E" w:rsidRDefault="002871D2" w:rsidP="00416F23">
            <w:pPr>
              <w:shd w:val="clear" w:color="auto" w:fill="FFFFFF"/>
              <w:ind w:left="94" w:right="57"/>
              <w:jc w:val="both"/>
              <w:rPr>
                <w:rFonts w:eastAsiaTheme="minorHAnsi"/>
                <w:bCs/>
                <w:lang w:eastAsia="en-US"/>
              </w:rPr>
            </w:pPr>
            <w:bookmarkStart w:id="2" w:name="p62"/>
            <w:bookmarkEnd w:id="2"/>
            <w:r w:rsidRPr="00C23FB0">
              <w:rPr>
                <w:rFonts w:eastAsiaTheme="minorHAnsi"/>
                <w:bCs/>
                <w:iCs/>
                <w:lang w:eastAsia="en-US"/>
              </w:rPr>
              <w:t xml:space="preserve">Sabiedrības līdzdalība noteikumu projekta izstrādē </w:t>
            </w:r>
            <w:r w:rsidR="00C23FB0" w:rsidRPr="00C3544E">
              <w:rPr>
                <w:rFonts w:eastAsiaTheme="minorHAnsi"/>
                <w:bCs/>
                <w:iCs/>
                <w:lang w:eastAsia="en-US"/>
              </w:rPr>
              <w:t xml:space="preserve">tika </w:t>
            </w:r>
            <w:r w:rsidRPr="00C3544E">
              <w:rPr>
                <w:rFonts w:eastAsiaTheme="minorHAnsi"/>
                <w:bCs/>
                <w:iCs/>
                <w:lang w:eastAsia="en-US"/>
              </w:rPr>
              <w:t xml:space="preserve">nodrošināta, ievietojot noteikumu projektu tīmekļa vietnē </w:t>
            </w:r>
            <w:hyperlink r:id="rId9" w:history="1">
              <w:r w:rsidRPr="00C23FB0">
                <w:rPr>
                  <w:rStyle w:val="Hyperlink"/>
                  <w:rFonts w:eastAsiaTheme="minorHAnsi"/>
                  <w:bCs/>
                  <w:iCs/>
                  <w:color w:val="auto"/>
                  <w:lang w:eastAsia="en-US"/>
                </w:rPr>
                <w:t>www.izm.gov.lv</w:t>
              </w:r>
            </w:hyperlink>
            <w:r w:rsidRPr="00C23FB0">
              <w:rPr>
                <w:rFonts w:eastAsiaTheme="minorHAnsi"/>
                <w:bCs/>
                <w:iCs/>
                <w:lang w:eastAsia="en-US"/>
              </w:rPr>
              <w:t xml:space="preserve"> un aicinot sabiedrības pārstāvjus rakstiski sniegt viedokli par noteikumu projektu tā izs</w:t>
            </w:r>
            <w:r w:rsidRPr="00C3544E">
              <w:rPr>
                <w:rFonts w:eastAsiaTheme="minorHAnsi"/>
                <w:bCs/>
                <w:iCs/>
                <w:lang w:eastAsia="en-US"/>
              </w:rPr>
              <w:t>trādes stadijā – nosūtot elektroniski uz e-past</w:t>
            </w:r>
            <w:r w:rsidR="00A25D9C" w:rsidRPr="00C3544E">
              <w:rPr>
                <w:rFonts w:eastAsiaTheme="minorHAnsi"/>
                <w:bCs/>
                <w:iCs/>
                <w:lang w:eastAsia="en-US"/>
              </w:rPr>
              <w:t>a adresi</w:t>
            </w:r>
            <w:r w:rsidRPr="00C3544E">
              <w:rPr>
                <w:rFonts w:eastAsiaTheme="minorHAnsi"/>
                <w:bCs/>
                <w:iCs/>
                <w:lang w:eastAsia="en-US"/>
              </w:rPr>
              <w:t xml:space="preserve"> </w:t>
            </w:r>
            <w:r w:rsidR="004A2355" w:rsidRPr="00C3544E">
              <w:rPr>
                <w:rFonts w:eastAsiaTheme="minorHAnsi"/>
                <w:bCs/>
                <w:iCs/>
                <w:lang w:eastAsia="en-US"/>
              </w:rPr>
              <w:t>esf@izm.gov.lv</w:t>
            </w:r>
            <w:r w:rsidRPr="00C3544E">
              <w:rPr>
                <w:rFonts w:eastAsiaTheme="minorHAnsi"/>
                <w:bCs/>
                <w:iCs/>
                <w:lang w:eastAsia="en-US"/>
              </w:rPr>
              <w:t>.</w:t>
            </w:r>
          </w:p>
        </w:tc>
      </w:tr>
      <w:tr w:rsidR="00600B68" w:rsidRPr="00600B68" w14:paraId="7D711ADD" w14:textId="77777777" w:rsidTr="009B6065">
        <w:trPr>
          <w:trHeight w:val="476"/>
        </w:trPr>
        <w:tc>
          <w:tcPr>
            <w:tcW w:w="169" w:type="pct"/>
          </w:tcPr>
          <w:p w14:paraId="3780D2C6" w14:textId="77777777" w:rsidR="004A7F10" w:rsidRPr="00600B68" w:rsidRDefault="004A7F10" w:rsidP="006B07D7">
            <w:pPr>
              <w:ind w:left="57" w:right="57"/>
              <w:jc w:val="both"/>
              <w:rPr>
                <w:bCs/>
              </w:rPr>
            </w:pPr>
            <w:r w:rsidRPr="00600B68">
              <w:rPr>
                <w:bCs/>
              </w:rPr>
              <w:t>3.</w:t>
            </w:r>
          </w:p>
        </w:tc>
        <w:tc>
          <w:tcPr>
            <w:tcW w:w="1419" w:type="pct"/>
          </w:tcPr>
          <w:p w14:paraId="6422D875" w14:textId="77777777" w:rsidR="004A7F10" w:rsidRPr="00600B68" w:rsidRDefault="004A7F10" w:rsidP="006B07D7">
            <w:pPr>
              <w:ind w:left="57" w:right="57"/>
            </w:pPr>
            <w:r w:rsidRPr="00600B68">
              <w:t>Sabiedrības līdzdalības rezultāti</w:t>
            </w:r>
          </w:p>
        </w:tc>
        <w:tc>
          <w:tcPr>
            <w:tcW w:w="3412" w:type="pct"/>
          </w:tcPr>
          <w:p w14:paraId="27D6FB3D" w14:textId="2C1DDCA9" w:rsidR="002871D2" w:rsidRPr="00600B68" w:rsidRDefault="00416F23" w:rsidP="00416F23">
            <w:pPr>
              <w:shd w:val="clear" w:color="auto" w:fill="FFFFFF"/>
              <w:tabs>
                <w:tab w:val="left" w:pos="878"/>
              </w:tabs>
              <w:ind w:left="94" w:right="57"/>
              <w:jc w:val="both"/>
            </w:pPr>
            <w:r>
              <w:rPr>
                <w:iCs/>
              </w:rPr>
              <w:t>I</w:t>
            </w:r>
            <w:r w:rsidR="006B3106" w:rsidRPr="00600B68">
              <w:rPr>
                <w:iCs/>
              </w:rPr>
              <w:t xml:space="preserve">ebildumi un priekšlikumi </w:t>
            </w:r>
            <w:r>
              <w:rPr>
                <w:iCs/>
              </w:rPr>
              <w:t>ne</w:t>
            </w:r>
            <w:r w:rsidR="00C23FB0" w:rsidRPr="00600B68">
              <w:rPr>
                <w:iCs/>
              </w:rPr>
              <w:t>tik</w:t>
            </w:r>
            <w:r w:rsidR="00C23FB0">
              <w:rPr>
                <w:iCs/>
              </w:rPr>
              <w:t>a</w:t>
            </w:r>
            <w:r w:rsidR="00C23FB0" w:rsidRPr="00600B68">
              <w:rPr>
                <w:iCs/>
              </w:rPr>
              <w:t xml:space="preserve"> </w:t>
            </w:r>
            <w:r>
              <w:rPr>
                <w:iCs/>
              </w:rPr>
              <w:t>saņemti.</w:t>
            </w:r>
          </w:p>
        </w:tc>
      </w:tr>
      <w:tr w:rsidR="00600B68" w:rsidRPr="00600B68" w14:paraId="6ECC5445" w14:textId="77777777" w:rsidTr="009B6065">
        <w:trPr>
          <w:trHeight w:val="205"/>
        </w:trPr>
        <w:tc>
          <w:tcPr>
            <w:tcW w:w="169" w:type="pct"/>
          </w:tcPr>
          <w:p w14:paraId="772089F7" w14:textId="77777777" w:rsidR="004A7F10" w:rsidRPr="00600B68" w:rsidRDefault="004A7F10" w:rsidP="006B07D7">
            <w:pPr>
              <w:ind w:left="57" w:right="57"/>
              <w:jc w:val="both"/>
              <w:rPr>
                <w:bCs/>
              </w:rPr>
            </w:pPr>
            <w:r w:rsidRPr="00600B68">
              <w:rPr>
                <w:bCs/>
              </w:rPr>
              <w:t>4.</w:t>
            </w:r>
          </w:p>
        </w:tc>
        <w:tc>
          <w:tcPr>
            <w:tcW w:w="1419" w:type="pct"/>
          </w:tcPr>
          <w:p w14:paraId="3659C856" w14:textId="77777777" w:rsidR="004A7F10" w:rsidRPr="00600B68" w:rsidRDefault="004A7F10" w:rsidP="006B07D7">
            <w:pPr>
              <w:ind w:left="57" w:right="57"/>
            </w:pPr>
            <w:r w:rsidRPr="00600B68">
              <w:t>Cita informācija</w:t>
            </w:r>
          </w:p>
        </w:tc>
        <w:tc>
          <w:tcPr>
            <w:tcW w:w="3412" w:type="pct"/>
          </w:tcPr>
          <w:p w14:paraId="2D674B9B" w14:textId="77777777" w:rsidR="004A7F10" w:rsidRPr="00600B68" w:rsidRDefault="004A7F10" w:rsidP="006B07D7">
            <w:pPr>
              <w:ind w:left="57" w:right="113" w:firstLine="37"/>
              <w:jc w:val="both"/>
            </w:pPr>
            <w:r w:rsidRPr="00600B68">
              <w:t>Nav.</w:t>
            </w:r>
          </w:p>
        </w:tc>
      </w:tr>
    </w:tbl>
    <w:p w14:paraId="2FC9C88A" w14:textId="77777777" w:rsidR="004A7F10" w:rsidRPr="00600B68" w:rsidRDefault="004A7F10" w:rsidP="004A7F10">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
        <w:gridCol w:w="2553"/>
        <w:gridCol w:w="6185"/>
      </w:tblGrid>
      <w:tr w:rsidR="00600B68" w:rsidRPr="00600B68" w14:paraId="01A2BDF2" w14:textId="77777777" w:rsidTr="00867B97">
        <w:trPr>
          <w:trHeight w:val="421"/>
        </w:trPr>
        <w:tc>
          <w:tcPr>
            <w:tcW w:w="5000" w:type="pct"/>
            <w:gridSpan w:val="3"/>
            <w:vAlign w:val="center"/>
          </w:tcPr>
          <w:p w14:paraId="43B7EA42" w14:textId="77777777" w:rsidR="000952B3" w:rsidRPr="00600B68" w:rsidRDefault="00B650B7" w:rsidP="001351FC">
            <w:pPr>
              <w:pStyle w:val="naisnod"/>
              <w:spacing w:before="0" w:beforeAutospacing="0" w:after="0" w:afterAutospacing="0"/>
              <w:ind w:left="57" w:right="57"/>
              <w:jc w:val="center"/>
            </w:pPr>
            <w:r w:rsidRPr="00600B68">
              <w:rPr>
                <w:b/>
              </w:rPr>
              <w:t>VII. Tiesību akta projekta izpildes nodrošināšana un tās ietekme uz institūcijām</w:t>
            </w:r>
          </w:p>
        </w:tc>
      </w:tr>
      <w:tr w:rsidR="00600B68" w:rsidRPr="00600B68" w14:paraId="4802C351" w14:textId="77777777" w:rsidTr="00867B97">
        <w:trPr>
          <w:trHeight w:val="553"/>
        </w:trPr>
        <w:tc>
          <w:tcPr>
            <w:tcW w:w="178" w:type="pct"/>
          </w:tcPr>
          <w:p w14:paraId="5B5DA9D4" w14:textId="77777777" w:rsidR="000952B3" w:rsidRPr="00600B68" w:rsidRDefault="00B650B7" w:rsidP="001351FC">
            <w:pPr>
              <w:ind w:left="57" w:right="57"/>
              <w:jc w:val="both"/>
              <w:rPr>
                <w:bCs/>
              </w:rPr>
            </w:pPr>
            <w:r w:rsidRPr="00600B68">
              <w:rPr>
                <w:bCs/>
              </w:rPr>
              <w:t>1.</w:t>
            </w:r>
          </w:p>
        </w:tc>
        <w:tc>
          <w:tcPr>
            <w:tcW w:w="1409" w:type="pct"/>
          </w:tcPr>
          <w:p w14:paraId="33491DB5" w14:textId="77777777" w:rsidR="000952B3" w:rsidRPr="00600B68" w:rsidRDefault="00B650B7" w:rsidP="001351FC">
            <w:pPr>
              <w:ind w:left="57" w:right="57"/>
            </w:pPr>
            <w:r w:rsidRPr="00600B68">
              <w:t>Projekta izpildē iesaistītās institūcijas</w:t>
            </w:r>
          </w:p>
        </w:tc>
        <w:tc>
          <w:tcPr>
            <w:tcW w:w="3413" w:type="pct"/>
          </w:tcPr>
          <w:p w14:paraId="57DD293D" w14:textId="489E5825" w:rsidR="000952B3" w:rsidRPr="00600B68" w:rsidRDefault="002F1D81" w:rsidP="008026E6">
            <w:pPr>
              <w:shd w:val="clear" w:color="auto" w:fill="FFFFFF"/>
              <w:ind w:left="57" w:right="113"/>
              <w:jc w:val="both"/>
            </w:pPr>
            <w:r w:rsidRPr="00600B68">
              <w:t xml:space="preserve">Noteikumu projekta izpildi nodrošinās </w:t>
            </w:r>
            <w:r w:rsidR="00154ADC" w:rsidRPr="00600B68">
              <w:t>Izglītības un zinātnes ministrija kā atbildīgā iestāde</w:t>
            </w:r>
            <w:r w:rsidRPr="00600B68">
              <w:t xml:space="preserve"> un</w:t>
            </w:r>
            <w:r w:rsidR="004A2355" w:rsidRPr="00600B68">
              <w:t xml:space="preserve"> </w:t>
            </w:r>
            <w:r w:rsidR="006C27E2" w:rsidRPr="00600B68">
              <w:t>CFLA</w:t>
            </w:r>
            <w:r w:rsidR="008026E6" w:rsidRPr="00600B68">
              <w:t xml:space="preserve"> kā sadarbības iestāde</w:t>
            </w:r>
            <w:r w:rsidR="008E2B4B" w:rsidRPr="00600B68">
              <w:t>.</w:t>
            </w:r>
          </w:p>
          <w:p w14:paraId="17057914" w14:textId="30CB51CB" w:rsidR="002871D2" w:rsidRPr="00600B68" w:rsidRDefault="006C27E2" w:rsidP="006C27E2">
            <w:pPr>
              <w:shd w:val="clear" w:color="auto" w:fill="FFFFFF"/>
              <w:tabs>
                <w:tab w:val="left" w:pos="1770"/>
              </w:tabs>
              <w:ind w:left="57" w:right="113"/>
              <w:jc w:val="both"/>
            </w:pPr>
            <w:r w:rsidRPr="00600B68">
              <w:tab/>
            </w:r>
          </w:p>
        </w:tc>
      </w:tr>
      <w:tr w:rsidR="00600B68" w:rsidRPr="00600B68" w14:paraId="4F24F579" w14:textId="77777777" w:rsidTr="00867B97">
        <w:trPr>
          <w:trHeight w:val="339"/>
        </w:trPr>
        <w:tc>
          <w:tcPr>
            <w:tcW w:w="178" w:type="pct"/>
          </w:tcPr>
          <w:p w14:paraId="2D0BC61B" w14:textId="77777777" w:rsidR="000952B3" w:rsidRPr="00600B68" w:rsidRDefault="00B650B7" w:rsidP="001351FC">
            <w:pPr>
              <w:ind w:left="57" w:right="57"/>
              <w:jc w:val="both"/>
              <w:rPr>
                <w:bCs/>
              </w:rPr>
            </w:pPr>
            <w:r w:rsidRPr="00600B68">
              <w:rPr>
                <w:bCs/>
              </w:rPr>
              <w:t>2.</w:t>
            </w:r>
          </w:p>
        </w:tc>
        <w:tc>
          <w:tcPr>
            <w:tcW w:w="1409" w:type="pct"/>
          </w:tcPr>
          <w:p w14:paraId="37BBBED2" w14:textId="77777777" w:rsidR="000952B3" w:rsidRPr="00600B68" w:rsidRDefault="00B650B7" w:rsidP="001351FC">
            <w:pPr>
              <w:ind w:left="57" w:right="57"/>
            </w:pPr>
            <w:r w:rsidRPr="00600B68">
              <w:t xml:space="preserve">Projekta izpildes ietekme uz pārvaldes funkcijām un institucionālo struktūru. </w:t>
            </w:r>
          </w:p>
          <w:p w14:paraId="38943CEE" w14:textId="77777777" w:rsidR="000952B3" w:rsidRPr="00600B68" w:rsidRDefault="00B650B7" w:rsidP="001351FC">
            <w:pPr>
              <w:ind w:left="57" w:right="57"/>
            </w:pPr>
            <w:r w:rsidRPr="00600B68">
              <w:t>Jaunu institūciju izveide, esošu institūciju likvidācija vai reorganizācija, to ietekme uz institūcijas cilvēkresursiem</w:t>
            </w:r>
          </w:p>
        </w:tc>
        <w:tc>
          <w:tcPr>
            <w:tcW w:w="3413" w:type="pct"/>
          </w:tcPr>
          <w:p w14:paraId="0748703C" w14:textId="77777777" w:rsidR="00FE7980" w:rsidRPr="00600B68" w:rsidRDefault="008026E6" w:rsidP="00A57587">
            <w:pPr>
              <w:spacing w:before="100" w:beforeAutospacing="1" w:after="100" w:afterAutospacing="1"/>
              <w:ind w:left="57" w:right="135"/>
              <w:jc w:val="both"/>
              <w:rPr>
                <w:iCs/>
              </w:rPr>
            </w:pPr>
            <w:r w:rsidRPr="00600B68">
              <w:rPr>
                <w:iCs/>
              </w:rPr>
              <w:t xml:space="preserve">Noteikumu projekta izpildes rezultātā netiek paplašinātas vai sašaurinātas esošo institūciju funkcijas, kā arī nav nepieciešams veidot jaunas institūcijas, likvidēt vai reorganizēt esošās institūcijas. </w:t>
            </w:r>
          </w:p>
          <w:p w14:paraId="29F24A9B" w14:textId="01066CAA" w:rsidR="000952B3" w:rsidRPr="00600B68" w:rsidRDefault="008026E6" w:rsidP="008026E6">
            <w:pPr>
              <w:spacing w:before="100" w:beforeAutospacing="1" w:after="100" w:afterAutospacing="1"/>
              <w:ind w:left="57"/>
              <w:jc w:val="both"/>
              <w:rPr>
                <w:iCs/>
              </w:rPr>
            </w:pPr>
            <w:r w:rsidRPr="00600B68">
              <w:rPr>
                <w:iCs/>
              </w:rPr>
              <w:t>Projekta izpilde nodrošināma pieejamo cilvēkresursu ietvaros.</w:t>
            </w:r>
          </w:p>
        </w:tc>
      </w:tr>
      <w:tr w:rsidR="00600B68" w:rsidRPr="00600B68" w14:paraId="48A2FB66" w14:textId="77777777" w:rsidTr="00867B97">
        <w:trPr>
          <w:trHeight w:val="476"/>
        </w:trPr>
        <w:tc>
          <w:tcPr>
            <w:tcW w:w="178" w:type="pct"/>
          </w:tcPr>
          <w:p w14:paraId="57EA02A4" w14:textId="77777777" w:rsidR="000952B3" w:rsidRPr="00600B68" w:rsidRDefault="00B650B7" w:rsidP="001351FC">
            <w:pPr>
              <w:ind w:left="57" w:right="57"/>
              <w:jc w:val="both"/>
              <w:rPr>
                <w:bCs/>
              </w:rPr>
            </w:pPr>
            <w:r w:rsidRPr="00600B68">
              <w:rPr>
                <w:bCs/>
              </w:rPr>
              <w:lastRenderedPageBreak/>
              <w:t>3.</w:t>
            </w:r>
          </w:p>
        </w:tc>
        <w:tc>
          <w:tcPr>
            <w:tcW w:w="1409" w:type="pct"/>
          </w:tcPr>
          <w:p w14:paraId="477425B2" w14:textId="77777777" w:rsidR="000952B3" w:rsidRPr="00600B68" w:rsidRDefault="00B650B7" w:rsidP="001351FC">
            <w:pPr>
              <w:ind w:left="57" w:right="57"/>
            </w:pPr>
            <w:r w:rsidRPr="00600B68">
              <w:t>Cita informācija</w:t>
            </w:r>
          </w:p>
        </w:tc>
        <w:tc>
          <w:tcPr>
            <w:tcW w:w="3413" w:type="pct"/>
          </w:tcPr>
          <w:p w14:paraId="4DD6E884" w14:textId="363012EB" w:rsidR="000952B3" w:rsidRPr="00600B68" w:rsidRDefault="000A5450" w:rsidP="00FE5FE2">
            <w:pPr>
              <w:shd w:val="clear" w:color="auto" w:fill="FFFFFF"/>
              <w:ind w:left="57" w:right="113"/>
              <w:jc w:val="both"/>
            </w:pPr>
            <w:r w:rsidRPr="00600B68">
              <w:t>Nav.</w:t>
            </w:r>
          </w:p>
        </w:tc>
      </w:tr>
    </w:tbl>
    <w:p w14:paraId="2F936407" w14:textId="77777777" w:rsidR="007A045B" w:rsidRPr="00600B68" w:rsidRDefault="007A045B" w:rsidP="001351FC">
      <w:pPr>
        <w:rPr>
          <w:b/>
        </w:rPr>
      </w:pPr>
    </w:p>
    <w:p w14:paraId="75E622AF" w14:textId="77777777" w:rsidR="007D4CE3" w:rsidRDefault="007D4CE3" w:rsidP="001351FC"/>
    <w:p w14:paraId="282DE2CB" w14:textId="77777777" w:rsidR="008B1C36" w:rsidRPr="00600B68" w:rsidRDefault="008B1C36" w:rsidP="001351FC"/>
    <w:tbl>
      <w:tblPr>
        <w:tblW w:w="0" w:type="auto"/>
        <w:tblLook w:val="04A0" w:firstRow="1" w:lastRow="0" w:firstColumn="1" w:lastColumn="0" w:noHBand="0" w:noVBand="1"/>
      </w:tblPr>
      <w:tblGrid>
        <w:gridCol w:w="3313"/>
        <w:gridCol w:w="1679"/>
        <w:gridCol w:w="1903"/>
        <w:gridCol w:w="476"/>
        <w:gridCol w:w="1700"/>
      </w:tblGrid>
      <w:tr w:rsidR="00600B68" w:rsidRPr="00600B68" w14:paraId="5834315E" w14:textId="77777777" w:rsidTr="00600B68">
        <w:tc>
          <w:tcPr>
            <w:tcW w:w="3313" w:type="dxa"/>
          </w:tcPr>
          <w:p w14:paraId="45610437" w14:textId="6ABA0989" w:rsidR="002D2BD0" w:rsidRPr="00600B68" w:rsidRDefault="002D2BD0" w:rsidP="002D2BD0">
            <w:pPr>
              <w:tabs>
                <w:tab w:val="left" w:pos="4320"/>
              </w:tabs>
            </w:pPr>
            <w:r w:rsidRPr="00600B68">
              <w:t>Izglītības un zinātnes ministre</w:t>
            </w:r>
          </w:p>
        </w:tc>
        <w:tc>
          <w:tcPr>
            <w:tcW w:w="1679" w:type="dxa"/>
          </w:tcPr>
          <w:p w14:paraId="31702815" w14:textId="77777777" w:rsidR="002D2BD0" w:rsidRPr="00600B68" w:rsidRDefault="002D2BD0" w:rsidP="002D2BD0">
            <w:pPr>
              <w:tabs>
                <w:tab w:val="left" w:pos="4320"/>
              </w:tabs>
            </w:pPr>
          </w:p>
        </w:tc>
        <w:tc>
          <w:tcPr>
            <w:tcW w:w="2379" w:type="dxa"/>
            <w:gridSpan w:val="2"/>
          </w:tcPr>
          <w:p w14:paraId="336E0D9E" w14:textId="77777777" w:rsidR="002D2BD0" w:rsidRPr="00600B68" w:rsidRDefault="002D2BD0" w:rsidP="002D2BD0">
            <w:pPr>
              <w:tabs>
                <w:tab w:val="left" w:pos="4320"/>
              </w:tabs>
            </w:pPr>
          </w:p>
        </w:tc>
        <w:tc>
          <w:tcPr>
            <w:tcW w:w="1700" w:type="dxa"/>
          </w:tcPr>
          <w:p w14:paraId="28B8E4F4" w14:textId="003D9208" w:rsidR="002D2BD0" w:rsidRPr="00600B68" w:rsidRDefault="003C1D2D" w:rsidP="002D2BD0">
            <w:pPr>
              <w:tabs>
                <w:tab w:val="left" w:pos="4320"/>
              </w:tabs>
            </w:pPr>
            <w:r>
              <w:t>I.</w:t>
            </w:r>
            <w:r w:rsidR="002D2BD0" w:rsidRPr="00600B68">
              <w:t xml:space="preserve"> </w:t>
            </w:r>
            <w:proofErr w:type="spellStart"/>
            <w:r w:rsidR="002D2BD0" w:rsidRPr="00600B68">
              <w:t>Šuplinska</w:t>
            </w:r>
            <w:proofErr w:type="spellEnd"/>
          </w:p>
        </w:tc>
      </w:tr>
      <w:tr w:rsidR="00600B68" w:rsidRPr="00600B68" w14:paraId="184E6440" w14:textId="77777777" w:rsidTr="002D2BD0">
        <w:tc>
          <w:tcPr>
            <w:tcW w:w="3313" w:type="dxa"/>
          </w:tcPr>
          <w:p w14:paraId="6556BCFC" w14:textId="77777777" w:rsidR="002D2BD0" w:rsidRPr="00600B68" w:rsidRDefault="002D2BD0" w:rsidP="001351FC">
            <w:pPr>
              <w:pStyle w:val="NormalWeb"/>
              <w:spacing w:before="0" w:beforeAutospacing="0" w:after="0" w:afterAutospacing="0"/>
            </w:pPr>
          </w:p>
          <w:p w14:paraId="18CD8731" w14:textId="77777777" w:rsidR="007D4CE3" w:rsidRDefault="007D4CE3" w:rsidP="001351FC">
            <w:pPr>
              <w:pStyle w:val="NormalWeb"/>
              <w:spacing w:before="0" w:beforeAutospacing="0" w:after="0" w:afterAutospacing="0"/>
            </w:pPr>
          </w:p>
          <w:p w14:paraId="03623C26" w14:textId="77777777" w:rsidR="008B1C36" w:rsidRPr="00600B68" w:rsidRDefault="008B1C36" w:rsidP="001351FC">
            <w:pPr>
              <w:pStyle w:val="NormalWeb"/>
              <w:spacing w:before="0" w:beforeAutospacing="0" w:after="0" w:afterAutospacing="0"/>
            </w:pPr>
          </w:p>
          <w:p w14:paraId="4B9D0795" w14:textId="2B799526" w:rsidR="002D2BD0" w:rsidRPr="00600B68" w:rsidRDefault="002D2BD0" w:rsidP="00EA151B">
            <w:pPr>
              <w:pStyle w:val="NormalWeb"/>
              <w:spacing w:before="0" w:beforeAutospacing="0" w:after="0" w:afterAutospacing="0"/>
            </w:pPr>
            <w:r w:rsidRPr="00600B68">
              <w:t>Vizē:</w:t>
            </w:r>
            <w:r w:rsidRPr="00600B68">
              <w:tab/>
            </w:r>
          </w:p>
        </w:tc>
        <w:tc>
          <w:tcPr>
            <w:tcW w:w="1679" w:type="dxa"/>
          </w:tcPr>
          <w:p w14:paraId="43BC56A8" w14:textId="77777777" w:rsidR="002D2BD0" w:rsidRPr="00600B68" w:rsidRDefault="002D2BD0" w:rsidP="001351FC">
            <w:pPr>
              <w:tabs>
                <w:tab w:val="left" w:pos="4320"/>
              </w:tabs>
              <w:jc w:val="right"/>
            </w:pPr>
          </w:p>
        </w:tc>
        <w:tc>
          <w:tcPr>
            <w:tcW w:w="1903" w:type="dxa"/>
          </w:tcPr>
          <w:p w14:paraId="377D34CC" w14:textId="77777777" w:rsidR="002D2BD0" w:rsidRPr="00600B68" w:rsidRDefault="002D2BD0" w:rsidP="001351FC">
            <w:pPr>
              <w:tabs>
                <w:tab w:val="left" w:pos="4320"/>
              </w:tabs>
              <w:jc w:val="right"/>
            </w:pPr>
          </w:p>
        </w:tc>
        <w:tc>
          <w:tcPr>
            <w:tcW w:w="2176" w:type="dxa"/>
            <w:gridSpan w:val="2"/>
          </w:tcPr>
          <w:p w14:paraId="6238B884" w14:textId="200D40D7" w:rsidR="002D2BD0" w:rsidRPr="00600B68" w:rsidRDefault="002D2BD0" w:rsidP="001351FC">
            <w:pPr>
              <w:tabs>
                <w:tab w:val="left" w:pos="4320"/>
              </w:tabs>
              <w:jc w:val="right"/>
            </w:pPr>
          </w:p>
          <w:p w14:paraId="350B948B" w14:textId="0FC3E964" w:rsidR="002D2BD0" w:rsidRPr="00600B68" w:rsidRDefault="002D2BD0" w:rsidP="001351FC">
            <w:pPr>
              <w:tabs>
                <w:tab w:val="left" w:pos="4320"/>
              </w:tabs>
              <w:jc w:val="center"/>
            </w:pPr>
          </w:p>
        </w:tc>
      </w:tr>
    </w:tbl>
    <w:p w14:paraId="452EB243" w14:textId="111D6069" w:rsidR="00EA151B" w:rsidRPr="00600B68" w:rsidRDefault="008B2BBF" w:rsidP="00EA151B">
      <w:pPr>
        <w:tabs>
          <w:tab w:val="left" w:pos="4020"/>
        </w:tabs>
        <w:ind w:left="709" w:hanging="567"/>
      </w:pPr>
      <w:r w:rsidRPr="00600B68">
        <w:t>Valsts sekretār</w:t>
      </w:r>
      <w:r w:rsidR="00600B68" w:rsidRPr="00600B68">
        <w:t xml:space="preserve">e </w:t>
      </w:r>
      <w:r w:rsidRPr="00600B68">
        <w:t xml:space="preserve"> </w:t>
      </w:r>
      <w:r w:rsidR="00F3153D" w:rsidRPr="00600B68">
        <w:tab/>
      </w:r>
      <w:r w:rsidR="00F3153D" w:rsidRPr="00600B68">
        <w:tab/>
      </w:r>
      <w:r w:rsidR="00F3153D" w:rsidRPr="00600B68">
        <w:tab/>
      </w:r>
      <w:r w:rsidR="00F3153D" w:rsidRPr="00600B68">
        <w:tab/>
      </w:r>
      <w:r w:rsidR="00F3153D" w:rsidRPr="00600B68">
        <w:tab/>
      </w:r>
      <w:r w:rsidR="00F3153D" w:rsidRPr="00600B68">
        <w:tab/>
      </w:r>
      <w:r w:rsidR="00600B68" w:rsidRPr="00600B68">
        <w:tab/>
      </w:r>
      <w:r w:rsidR="003C1D2D">
        <w:t>L.</w:t>
      </w:r>
      <w:r w:rsidR="00600B68" w:rsidRPr="00600B68">
        <w:t xml:space="preserve"> Lejiņa</w:t>
      </w:r>
    </w:p>
    <w:p w14:paraId="68D36323" w14:textId="77777777" w:rsidR="001151C4" w:rsidRPr="00600B68" w:rsidRDefault="001151C4" w:rsidP="00F3153D">
      <w:pPr>
        <w:tabs>
          <w:tab w:val="left" w:pos="2340"/>
          <w:tab w:val="center" w:pos="4153"/>
          <w:tab w:val="right" w:pos="8306"/>
        </w:tabs>
        <w:rPr>
          <w:rFonts w:eastAsia="Times New Roman"/>
          <w:sz w:val="20"/>
          <w:szCs w:val="20"/>
        </w:rPr>
      </w:pPr>
    </w:p>
    <w:p w14:paraId="108F2416" w14:textId="77777777" w:rsidR="001151C4" w:rsidRDefault="001151C4" w:rsidP="00F3153D">
      <w:pPr>
        <w:tabs>
          <w:tab w:val="left" w:pos="2340"/>
          <w:tab w:val="center" w:pos="4153"/>
          <w:tab w:val="right" w:pos="8306"/>
        </w:tabs>
        <w:rPr>
          <w:rFonts w:eastAsia="Times New Roman"/>
          <w:sz w:val="20"/>
          <w:szCs w:val="20"/>
        </w:rPr>
      </w:pPr>
    </w:p>
    <w:p w14:paraId="62A28733" w14:textId="77777777" w:rsidR="008B1C36" w:rsidRDefault="008B1C36" w:rsidP="00F3153D">
      <w:pPr>
        <w:tabs>
          <w:tab w:val="left" w:pos="2340"/>
          <w:tab w:val="center" w:pos="4153"/>
          <w:tab w:val="right" w:pos="8306"/>
        </w:tabs>
        <w:rPr>
          <w:rFonts w:eastAsia="Times New Roman"/>
          <w:sz w:val="20"/>
          <w:szCs w:val="20"/>
        </w:rPr>
      </w:pPr>
    </w:p>
    <w:p w14:paraId="1029A1B9" w14:textId="77777777" w:rsidR="008B1C36" w:rsidRDefault="008B1C36" w:rsidP="00F3153D">
      <w:pPr>
        <w:tabs>
          <w:tab w:val="left" w:pos="2340"/>
          <w:tab w:val="center" w:pos="4153"/>
          <w:tab w:val="right" w:pos="8306"/>
        </w:tabs>
        <w:rPr>
          <w:rFonts w:eastAsia="Times New Roman"/>
          <w:sz w:val="20"/>
          <w:szCs w:val="20"/>
        </w:rPr>
      </w:pPr>
    </w:p>
    <w:p w14:paraId="1C2D6C2F" w14:textId="77777777" w:rsidR="0080249C" w:rsidRDefault="0080249C" w:rsidP="00F3153D">
      <w:pPr>
        <w:tabs>
          <w:tab w:val="left" w:pos="2340"/>
          <w:tab w:val="center" w:pos="4153"/>
          <w:tab w:val="right" w:pos="8306"/>
        </w:tabs>
        <w:rPr>
          <w:rFonts w:eastAsia="Times New Roman"/>
          <w:sz w:val="20"/>
          <w:szCs w:val="20"/>
        </w:rPr>
      </w:pPr>
    </w:p>
    <w:p w14:paraId="159C0917" w14:textId="77777777" w:rsidR="0080249C" w:rsidRPr="00600B68" w:rsidRDefault="0080249C" w:rsidP="00F3153D">
      <w:pPr>
        <w:tabs>
          <w:tab w:val="left" w:pos="2340"/>
          <w:tab w:val="center" w:pos="4153"/>
          <w:tab w:val="right" w:pos="8306"/>
        </w:tabs>
        <w:rPr>
          <w:rFonts w:eastAsia="Times New Roman"/>
          <w:sz w:val="20"/>
          <w:szCs w:val="20"/>
        </w:rPr>
      </w:pPr>
    </w:p>
    <w:bookmarkStart w:id="3" w:name="_GoBack"/>
    <w:p w14:paraId="77704C28" w14:textId="15822B89" w:rsidR="009B6065" w:rsidRPr="00600B68" w:rsidRDefault="009B6065" w:rsidP="009B6065">
      <w:pPr>
        <w:rPr>
          <w:sz w:val="20"/>
          <w:szCs w:val="20"/>
        </w:rPr>
      </w:pPr>
      <w:r w:rsidRPr="00600B68">
        <w:rPr>
          <w:sz w:val="20"/>
          <w:szCs w:val="20"/>
        </w:rPr>
        <w:fldChar w:fldCharType="begin"/>
      </w:r>
      <w:r w:rsidRPr="00600B68">
        <w:rPr>
          <w:sz w:val="20"/>
          <w:szCs w:val="20"/>
        </w:rPr>
        <w:instrText xml:space="preserve"> DATE  \@ "dd.MM.yyyy H:mm"  \* MERGEFORMAT </w:instrText>
      </w:r>
      <w:r w:rsidRPr="00600B68">
        <w:rPr>
          <w:sz w:val="20"/>
          <w:szCs w:val="20"/>
        </w:rPr>
        <w:fldChar w:fldCharType="separate"/>
      </w:r>
      <w:r w:rsidR="001A2BC6">
        <w:rPr>
          <w:noProof/>
          <w:sz w:val="20"/>
          <w:szCs w:val="20"/>
        </w:rPr>
        <w:t>05.06.2019 16:05</w:t>
      </w:r>
      <w:r w:rsidRPr="00600B68">
        <w:rPr>
          <w:sz w:val="20"/>
          <w:szCs w:val="20"/>
        </w:rPr>
        <w:fldChar w:fldCharType="end"/>
      </w:r>
    </w:p>
    <w:p w14:paraId="2A269C9C" w14:textId="33A8FA84" w:rsidR="009B6065" w:rsidRDefault="009B6065" w:rsidP="009B6065">
      <w:pPr>
        <w:rPr>
          <w:sz w:val="20"/>
          <w:szCs w:val="20"/>
        </w:rPr>
      </w:pPr>
      <w:r w:rsidRPr="00600B68">
        <w:rPr>
          <w:sz w:val="20"/>
          <w:szCs w:val="20"/>
        </w:rPr>
        <w:fldChar w:fldCharType="begin"/>
      </w:r>
      <w:r w:rsidRPr="00600B68">
        <w:rPr>
          <w:sz w:val="20"/>
          <w:szCs w:val="20"/>
        </w:rPr>
        <w:instrText xml:space="preserve"> NUMWORDS   \* MERGEFORMAT </w:instrText>
      </w:r>
      <w:r w:rsidRPr="00600B68">
        <w:rPr>
          <w:sz w:val="20"/>
          <w:szCs w:val="20"/>
        </w:rPr>
        <w:fldChar w:fldCharType="separate"/>
      </w:r>
      <w:r w:rsidR="001A2BC6">
        <w:rPr>
          <w:noProof/>
          <w:sz w:val="20"/>
          <w:szCs w:val="20"/>
        </w:rPr>
        <w:t>2621</w:t>
      </w:r>
      <w:r w:rsidRPr="00600B68">
        <w:rPr>
          <w:sz w:val="20"/>
          <w:szCs w:val="20"/>
        </w:rPr>
        <w:fldChar w:fldCharType="end"/>
      </w:r>
    </w:p>
    <w:bookmarkEnd w:id="3"/>
    <w:p w14:paraId="15FC3952" w14:textId="77777777" w:rsidR="00C473AC" w:rsidRPr="00600B68" w:rsidRDefault="00C473AC" w:rsidP="009B6065">
      <w:pPr>
        <w:rPr>
          <w:sz w:val="20"/>
          <w:szCs w:val="20"/>
        </w:rPr>
      </w:pPr>
    </w:p>
    <w:p w14:paraId="2652CCBD" w14:textId="3DCCEC3B" w:rsidR="009B6065" w:rsidRPr="00600B68" w:rsidRDefault="009B6065" w:rsidP="009B6065">
      <w:pPr>
        <w:rPr>
          <w:sz w:val="20"/>
          <w:szCs w:val="20"/>
        </w:rPr>
      </w:pPr>
      <w:proofErr w:type="spellStart"/>
      <w:r w:rsidRPr="00600B68">
        <w:rPr>
          <w:sz w:val="20"/>
          <w:szCs w:val="20"/>
        </w:rPr>
        <w:t>I.Švirksta</w:t>
      </w:r>
      <w:proofErr w:type="spellEnd"/>
      <w:r w:rsidRPr="00600B68">
        <w:rPr>
          <w:sz w:val="20"/>
          <w:szCs w:val="20"/>
        </w:rPr>
        <w:t xml:space="preserve"> 67047878</w:t>
      </w:r>
    </w:p>
    <w:p w14:paraId="495E2CA3" w14:textId="51852DC0" w:rsidR="009B6065" w:rsidRDefault="00690CB7" w:rsidP="009B6065">
      <w:pPr>
        <w:tabs>
          <w:tab w:val="left" w:pos="2340"/>
          <w:tab w:val="center" w:pos="4153"/>
          <w:tab w:val="right" w:pos="8306"/>
        </w:tabs>
        <w:rPr>
          <w:rStyle w:val="Hyperlink"/>
          <w:color w:val="auto"/>
          <w:sz w:val="20"/>
          <w:szCs w:val="20"/>
        </w:rPr>
      </w:pPr>
      <w:hyperlink r:id="rId10" w:history="1">
        <w:r w:rsidR="009B6065" w:rsidRPr="00600B68">
          <w:rPr>
            <w:rStyle w:val="Hyperlink"/>
            <w:color w:val="auto"/>
            <w:sz w:val="20"/>
            <w:szCs w:val="20"/>
          </w:rPr>
          <w:t>inta.svirksta@izm.gov.lv</w:t>
        </w:r>
      </w:hyperlink>
    </w:p>
    <w:p w14:paraId="789F6540" w14:textId="77777777" w:rsidR="00C473AC" w:rsidRPr="00600B68" w:rsidRDefault="00C473AC" w:rsidP="009B6065">
      <w:pPr>
        <w:tabs>
          <w:tab w:val="left" w:pos="2340"/>
          <w:tab w:val="center" w:pos="4153"/>
          <w:tab w:val="right" w:pos="8306"/>
        </w:tabs>
        <w:rPr>
          <w:rFonts w:eastAsia="Times New Roman"/>
          <w:sz w:val="20"/>
          <w:szCs w:val="20"/>
        </w:rPr>
      </w:pPr>
    </w:p>
    <w:p w14:paraId="236CE510" w14:textId="77777777" w:rsidR="00CC2B2A" w:rsidRPr="00600B68" w:rsidRDefault="00CC2B2A" w:rsidP="00CC2B2A">
      <w:pPr>
        <w:rPr>
          <w:rFonts w:eastAsiaTheme="minorHAnsi"/>
          <w:sz w:val="20"/>
          <w:szCs w:val="22"/>
          <w:lang w:eastAsia="en-US"/>
        </w:rPr>
      </w:pPr>
      <w:r w:rsidRPr="00600B68">
        <w:rPr>
          <w:sz w:val="20"/>
        </w:rPr>
        <w:t>Griķe 67047861</w:t>
      </w:r>
    </w:p>
    <w:p w14:paraId="6E837871" w14:textId="3564EAD3" w:rsidR="00FE7980" w:rsidRPr="00600B68" w:rsidRDefault="00690CB7" w:rsidP="003676E2">
      <w:pPr>
        <w:rPr>
          <w:sz w:val="20"/>
        </w:rPr>
      </w:pPr>
      <w:hyperlink r:id="rId11" w:history="1">
        <w:r w:rsidR="00CC2B2A" w:rsidRPr="00600B68">
          <w:rPr>
            <w:rStyle w:val="Hyperlink"/>
            <w:color w:val="auto"/>
            <w:sz w:val="20"/>
          </w:rPr>
          <w:t>Ieva.Grike@izm.gov.lv</w:t>
        </w:r>
      </w:hyperlink>
    </w:p>
    <w:sectPr w:rsidR="00FE7980" w:rsidRPr="00600B68" w:rsidSect="003B01C6">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97C97" w14:textId="77777777" w:rsidR="00690CB7" w:rsidRDefault="00690CB7">
      <w:r>
        <w:separator/>
      </w:r>
    </w:p>
  </w:endnote>
  <w:endnote w:type="continuationSeparator" w:id="0">
    <w:p w14:paraId="6CF91584" w14:textId="77777777" w:rsidR="00690CB7" w:rsidRDefault="0069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FBBC8" w14:textId="479A9898" w:rsidR="00782421" w:rsidRPr="00521075" w:rsidRDefault="00782421" w:rsidP="00176E94">
    <w:pPr>
      <w:pStyle w:val="Footer"/>
      <w:tabs>
        <w:tab w:val="clear" w:pos="8306"/>
      </w:tabs>
      <w:jc w:val="both"/>
      <w:rPr>
        <w:noProof/>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1A2BC6">
      <w:rPr>
        <w:noProof/>
        <w:sz w:val="20"/>
        <w:szCs w:val="20"/>
      </w:rPr>
      <w:t>IZMAnot_050619_1111</w:t>
    </w:r>
    <w:r>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418D3" w14:textId="01B11AF2" w:rsidR="00782421" w:rsidRPr="00AB4574" w:rsidRDefault="00782421" w:rsidP="00192C5F">
    <w:pPr>
      <w:pStyle w:val="Footer"/>
      <w:jc w:val="both"/>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1A2BC6">
      <w:rPr>
        <w:noProof/>
        <w:sz w:val="20"/>
        <w:szCs w:val="20"/>
      </w:rPr>
      <w:t>IZMAnot_050619_1111</w:t>
    </w:r>
    <w:r>
      <w:rPr>
        <w:noProof/>
        <w:sz w:val="20"/>
        <w:szCs w:val="20"/>
      </w:rPr>
      <w:fldChar w:fldCharType="end"/>
    </w:r>
    <w:r>
      <w:rPr>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EB8C8" w14:textId="77777777" w:rsidR="00690CB7" w:rsidRDefault="00690CB7">
      <w:r>
        <w:separator/>
      </w:r>
    </w:p>
  </w:footnote>
  <w:footnote w:type="continuationSeparator" w:id="0">
    <w:p w14:paraId="5EE26C4A" w14:textId="77777777" w:rsidR="00690CB7" w:rsidRDefault="00690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740153"/>
      <w:docPartObj>
        <w:docPartGallery w:val="Page Numbers (Top of Page)"/>
        <w:docPartUnique/>
      </w:docPartObj>
    </w:sdtPr>
    <w:sdtEndPr>
      <w:rPr>
        <w:noProof/>
      </w:rPr>
    </w:sdtEndPr>
    <w:sdtContent>
      <w:p w14:paraId="7D8F98E8" w14:textId="77777777" w:rsidR="00782421" w:rsidRDefault="00782421">
        <w:pPr>
          <w:pStyle w:val="Header"/>
          <w:jc w:val="center"/>
        </w:pPr>
        <w:r>
          <w:fldChar w:fldCharType="begin"/>
        </w:r>
        <w:r>
          <w:instrText xml:space="preserve"> PAGE   \* MERGEFORMAT </w:instrText>
        </w:r>
        <w:r>
          <w:fldChar w:fldCharType="separate"/>
        </w:r>
        <w:r w:rsidR="001A2BC6">
          <w:rPr>
            <w:noProof/>
          </w:rPr>
          <w:t>10</w:t>
        </w:r>
        <w:r>
          <w:rPr>
            <w:noProof/>
          </w:rPr>
          <w:fldChar w:fldCharType="end"/>
        </w:r>
      </w:p>
    </w:sdtContent>
  </w:sdt>
  <w:p w14:paraId="08EA09F9" w14:textId="77777777" w:rsidR="00782421" w:rsidRDefault="00782421" w:rsidP="00521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0A7"/>
    <w:multiLevelType w:val="hybridMultilevel"/>
    <w:tmpl w:val="B7FCBE90"/>
    <w:lvl w:ilvl="0" w:tplc="947E2E7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15AC9"/>
    <w:multiLevelType w:val="hybridMultilevel"/>
    <w:tmpl w:val="49080976"/>
    <w:lvl w:ilvl="0" w:tplc="04090017">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0F621C"/>
    <w:multiLevelType w:val="hybridMultilevel"/>
    <w:tmpl w:val="98D49D5C"/>
    <w:lvl w:ilvl="0" w:tplc="539AB96E">
      <w:start w:val="1"/>
      <w:numFmt w:val="bullet"/>
      <w:lvlText w:val=""/>
      <w:lvlJc w:val="left"/>
      <w:pPr>
        <w:ind w:left="754" w:hanging="360"/>
      </w:pPr>
      <w:rPr>
        <w:rFonts w:ascii="Symbol" w:hAnsi="Symbol" w:hint="default"/>
      </w:rPr>
    </w:lvl>
    <w:lvl w:ilvl="1" w:tplc="6198616E" w:tentative="1">
      <w:start w:val="1"/>
      <w:numFmt w:val="bullet"/>
      <w:lvlText w:val="o"/>
      <w:lvlJc w:val="left"/>
      <w:pPr>
        <w:ind w:left="1474" w:hanging="360"/>
      </w:pPr>
      <w:rPr>
        <w:rFonts w:ascii="Courier New" w:hAnsi="Courier New" w:cs="Courier New" w:hint="default"/>
      </w:rPr>
    </w:lvl>
    <w:lvl w:ilvl="2" w:tplc="3014D0EA" w:tentative="1">
      <w:start w:val="1"/>
      <w:numFmt w:val="bullet"/>
      <w:lvlText w:val=""/>
      <w:lvlJc w:val="left"/>
      <w:pPr>
        <w:ind w:left="2194" w:hanging="360"/>
      </w:pPr>
      <w:rPr>
        <w:rFonts w:ascii="Wingdings" w:hAnsi="Wingdings" w:hint="default"/>
      </w:rPr>
    </w:lvl>
    <w:lvl w:ilvl="3" w:tplc="38EE95B8" w:tentative="1">
      <w:start w:val="1"/>
      <w:numFmt w:val="bullet"/>
      <w:lvlText w:val=""/>
      <w:lvlJc w:val="left"/>
      <w:pPr>
        <w:ind w:left="2914" w:hanging="360"/>
      </w:pPr>
      <w:rPr>
        <w:rFonts w:ascii="Symbol" w:hAnsi="Symbol" w:hint="default"/>
      </w:rPr>
    </w:lvl>
    <w:lvl w:ilvl="4" w:tplc="598EFF7A" w:tentative="1">
      <w:start w:val="1"/>
      <w:numFmt w:val="bullet"/>
      <w:lvlText w:val="o"/>
      <w:lvlJc w:val="left"/>
      <w:pPr>
        <w:ind w:left="3634" w:hanging="360"/>
      </w:pPr>
      <w:rPr>
        <w:rFonts w:ascii="Courier New" w:hAnsi="Courier New" w:cs="Courier New" w:hint="default"/>
      </w:rPr>
    </w:lvl>
    <w:lvl w:ilvl="5" w:tplc="B40827D0" w:tentative="1">
      <w:start w:val="1"/>
      <w:numFmt w:val="bullet"/>
      <w:lvlText w:val=""/>
      <w:lvlJc w:val="left"/>
      <w:pPr>
        <w:ind w:left="4354" w:hanging="360"/>
      </w:pPr>
      <w:rPr>
        <w:rFonts w:ascii="Wingdings" w:hAnsi="Wingdings" w:hint="default"/>
      </w:rPr>
    </w:lvl>
    <w:lvl w:ilvl="6" w:tplc="99840C46" w:tentative="1">
      <w:start w:val="1"/>
      <w:numFmt w:val="bullet"/>
      <w:lvlText w:val=""/>
      <w:lvlJc w:val="left"/>
      <w:pPr>
        <w:ind w:left="5074" w:hanging="360"/>
      </w:pPr>
      <w:rPr>
        <w:rFonts w:ascii="Symbol" w:hAnsi="Symbol" w:hint="default"/>
      </w:rPr>
    </w:lvl>
    <w:lvl w:ilvl="7" w:tplc="48F68A4C" w:tentative="1">
      <w:start w:val="1"/>
      <w:numFmt w:val="bullet"/>
      <w:lvlText w:val="o"/>
      <w:lvlJc w:val="left"/>
      <w:pPr>
        <w:ind w:left="5794" w:hanging="360"/>
      </w:pPr>
      <w:rPr>
        <w:rFonts w:ascii="Courier New" w:hAnsi="Courier New" w:cs="Courier New" w:hint="default"/>
      </w:rPr>
    </w:lvl>
    <w:lvl w:ilvl="8" w:tplc="0284EFD8" w:tentative="1">
      <w:start w:val="1"/>
      <w:numFmt w:val="bullet"/>
      <w:lvlText w:val=""/>
      <w:lvlJc w:val="left"/>
      <w:pPr>
        <w:ind w:left="6514" w:hanging="360"/>
      </w:pPr>
      <w:rPr>
        <w:rFonts w:ascii="Wingdings" w:hAnsi="Wingdings" w:hint="default"/>
      </w:rPr>
    </w:lvl>
  </w:abstractNum>
  <w:abstractNum w:abstractNumId="3">
    <w:nsid w:val="0D133711"/>
    <w:multiLevelType w:val="hybridMultilevel"/>
    <w:tmpl w:val="6EE004F2"/>
    <w:lvl w:ilvl="0" w:tplc="C152F7CE">
      <w:start w:val="1"/>
      <w:numFmt w:val="decimal"/>
      <w:lvlText w:val="%1."/>
      <w:lvlJc w:val="left"/>
      <w:pPr>
        <w:ind w:left="720" w:hanging="360"/>
      </w:pPr>
    </w:lvl>
    <w:lvl w:ilvl="1" w:tplc="3CD067AC" w:tentative="1">
      <w:start w:val="1"/>
      <w:numFmt w:val="lowerLetter"/>
      <w:lvlText w:val="%2."/>
      <w:lvlJc w:val="left"/>
      <w:pPr>
        <w:ind w:left="1440" w:hanging="360"/>
      </w:pPr>
    </w:lvl>
    <w:lvl w:ilvl="2" w:tplc="8B163E64" w:tentative="1">
      <w:start w:val="1"/>
      <w:numFmt w:val="lowerRoman"/>
      <w:lvlText w:val="%3."/>
      <w:lvlJc w:val="right"/>
      <w:pPr>
        <w:ind w:left="2160" w:hanging="180"/>
      </w:pPr>
    </w:lvl>
    <w:lvl w:ilvl="3" w:tplc="D9E47EDE" w:tentative="1">
      <w:start w:val="1"/>
      <w:numFmt w:val="decimal"/>
      <w:lvlText w:val="%4."/>
      <w:lvlJc w:val="left"/>
      <w:pPr>
        <w:ind w:left="2880" w:hanging="360"/>
      </w:pPr>
    </w:lvl>
    <w:lvl w:ilvl="4" w:tplc="ACD87378" w:tentative="1">
      <w:start w:val="1"/>
      <w:numFmt w:val="lowerLetter"/>
      <w:lvlText w:val="%5."/>
      <w:lvlJc w:val="left"/>
      <w:pPr>
        <w:ind w:left="3600" w:hanging="360"/>
      </w:pPr>
    </w:lvl>
    <w:lvl w:ilvl="5" w:tplc="46B4CC26" w:tentative="1">
      <w:start w:val="1"/>
      <w:numFmt w:val="lowerRoman"/>
      <w:lvlText w:val="%6."/>
      <w:lvlJc w:val="right"/>
      <w:pPr>
        <w:ind w:left="4320" w:hanging="180"/>
      </w:pPr>
    </w:lvl>
    <w:lvl w:ilvl="6" w:tplc="8A2895D4" w:tentative="1">
      <w:start w:val="1"/>
      <w:numFmt w:val="decimal"/>
      <w:lvlText w:val="%7."/>
      <w:lvlJc w:val="left"/>
      <w:pPr>
        <w:ind w:left="5040" w:hanging="360"/>
      </w:pPr>
    </w:lvl>
    <w:lvl w:ilvl="7" w:tplc="50E0FBE6" w:tentative="1">
      <w:start w:val="1"/>
      <w:numFmt w:val="lowerLetter"/>
      <w:lvlText w:val="%8."/>
      <w:lvlJc w:val="left"/>
      <w:pPr>
        <w:ind w:left="5760" w:hanging="360"/>
      </w:pPr>
    </w:lvl>
    <w:lvl w:ilvl="8" w:tplc="6E30B3C0" w:tentative="1">
      <w:start w:val="1"/>
      <w:numFmt w:val="lowerRoman"/>
      <w:lvlText w:val="%9."/>
      <w:lvlJc w:val="right"/>
      <w:pPr>
        <w:ind w:left="6480" w:hanging="180"/>
      </w:pPr>
    </w:lvl>
  </w:abstractNum>
  <w:abstractNum w:abstractNumId="4">
    <w:nsid w:val="0D191B38"/>
    <w:multiLevelType w:val="hybridMultilevel"/>
    <w:tmpl w:val="84C6481C"/>
    <w:lvl w:ilvl="0" w:tplc="F2FA04E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D4C5E04"/>
    <w:multiLevelType w:val="hybridMultilevel"/>
    <w:tmpl w:val="2BA6FEEC"/>
    <w:lvl w:ilvl="0" w:tplc="3F5E6684">
      <w:start w:val="1"/>
      <w:numFmt w:val="decimal"/>
      <w:lvlText w:val="%1."/>
      <w:lvlJc w:val="left"/>
      <w:pPr>
        <w:ind w:left="720" w:hanging="360"/>
      </w:pPr>
    </w:lvl>
    <w:lvl w:ilvl="1" w:tplc="5C2C69A0" w:tentative="1">
      <w:start w:val="1"/>
      <w:numFmt w:val="lowerLetter"/>
      <w:lvlText w:val="%2."/>
      <w:lvlJc w:val="left"/>
      <w:pPr>
        <w:ind w:left="1440" w:hanging="360"/>
      </w:pPr>
    </w:lvl>
    <w:lvl w:ilvl="2" w:tplc="8236E16C" w:tentative="1">
      <w:start w:val="1"/>
      <w:numFmt w:val="lowerRoman"/>
      <w:lvlText w:val="%3."/>
      <w:lvlJc w:val="right"/>
      <w:pPr>
        <w:ind w:left="2160" w:hanging="180"/>
      </w:pPr>
    </w:lvl>
    <w:lvl w:ilvl="3" w:tplc="7D8A81A0" w:tentative="1">
      <w:start w:val="1"/>
      <w:numFmt w:val="decimal"/>
      <w:lvlText w:val="%4."/>
      <w:lvlJc w:val="left"/>
      <w:pPr>
        <w:ind w:left="2880" w:hanging="360"/>
      </w:pPr>
    </w:lvl>
    <w:lvl w:ilvl="4" w:tplc="49DE5DA8" w:tentative="1">
      <w:start w:val="1"/>
      <w:numFmt w:val="lowerLetter"/>
      <w:lvlText w:val="%5."/>
      <w:lvlJc w:val="left"/>
      <w:pPr>
        <w:ind w:left="3600" w:hanging="360"/>
      </w:pPr>
    </w:lvl>
    <w:lvl w:ilvl="5" w:tplc="4EA202C0" w:tentative="1">
      <w:start w:val="1"/>
      <w:numFmt w:val="lowerRoman"/>
      <w:lvlText w:val="%6."/>
      <w:lvlJc w:val="right"/>
      <w:pPr>
        <w:ind w:left="4320" w:hanging="180"/>
      </w:pPr>
    </w:lvl>
    <w:lvl w:ilvl="6" w:tplc="D5DCEF2C" w:tentative="1">
      <w:start w:val="1"/>
      <w:numFmt w:val="decimal"/>
      <w:lvlText w:val="%7."/>
      <w:lvlJc w:val="left"/>
      <w:pPr>
        <w:ind w:left="5040" w:hanging="360"/>
      </w:pPr>
    </w:lvl>
    <w:lvl w:ilvl="7" w:tplc="215C3218" w:tentative="1">
      <w:start w:val="1"/>
      <w:numFmt w:val="lowerLetter"/>
      <w:lvlText w:val="%8."/>
      <w:lvlJc w:val="left"/>
      <w:pPr>
        <w:ind w:left="5760" w:hanging="360"/>
      </w:pPr>
    </w:lvl>
    <w:lvl w:ilvl="8" w:tplc="0F243188" w:tentative="1">
      <w:start w:val="1"/>
      <w:numFmt w:val="lowerRoman"/>
      <w:lvlText w:val="%9."/>
      <w:lvlJc w:val="right"/>
      <w:pPr>
        <w:ind w:left="6480" w:hanging="180"/>
      </w:pPr>
    </w:lvl>
  </w:abstractNum>
  <w:abstractNum w:abstractNumId="6">
    <w:nsid w:val="1A5903C8"/>
    <w:multiLevelType w:val="hybridMultilevel"/>
    <w:tmpl w:val="95543244"/>
    <w:lvl w:ilvl="0" w:tplc="A866DC78">
      <w:start w:val="1"/>
      <w:numFmt w:val="bullet"/>
      <w:lvlText w:val=""/>
      <w:lvlJc w:val="left"/>
      <w:pPr>
        <w:ind w:left="777" w:hanging="360"/>
      </w:pPr>
      <w:rPr>
        <w:rFonts w:ascii="Symbol" w:hAnsi="Symbol" w:hint="default"/>
      </w:rPr>
    </w:lvl>
    <w:lvl w:ilvl="1" w:tplc="63D2D884" w:tentative="1">
      <w:start w:val="1"/>
      <w:numFmt w:val="bullet"/>
      <w:lvlText w:val="o"/>
      <w:lvlJc w:val="left"/>
      <w:pPr>
        <w:ind w:left="1497" w:hanging="360"/>
      </w:pPr>
      <w:rPr>
        <w:rFonts w:ascii="Courier New" w:hAnsi="Courier New" w:cs="Courier New" w:hint="default"/>
      </w:rPr>
    </w:lvl>
    <w:lvl w:ilvl="2" w:tplc="C6F05ECC" w:tentative="1">
      <w:start w:val="1"/>
      <w:numFmt w:val="bullet"/>
      <w:lvlText w:val=""/>
      <w:lvlJc w:val="left"/>
      <w:pPr>
        <w:ind w:left="2217" w:hanging="360"/>
      </w:pPr>
      <w:rPr>
        <w:rFonts w:ascii="Wingdings" w:hAnsi="Wingdings" w:hint="default"/>
      </w:rPr>
    </w:lvl>
    <w:lvl w:ilvl="3" w:tplc="13D2DD98" w:tentative="1">
      <w:start w:val="1"/>
      <w:numFmt w:val="bullet"/>
      <w:lvlText w:val=""/>
      <w:lvlJc w:val="left"/>
      <w:pPr>
        <w:ind w:left="2937" w:hanging="360"/>
      </w:pPr>
      <w:rPr>
        <w:rFonts w:ascii="Symbol" w:hAnsi="Symbol" w:hint="default"/>
      </w:rPr>
    </w:lvl>
    <w:lvl w:ilvl="4" w:tplc="A03CAF4C" w:tentative="1">
      <w:start w:val="1"/>
      <w:numFmt w:val="bullet"/>
      <w:lvlText w:val="o"/>
      <w:lvlJc w:val="left"/>
      <w:pPr>
        <w:ind w:left="3657" w:hanging="360"/>
      </w:pPr>
      <w:rPr>
        <w:rFonts w:ascii="Courier New" w:hAnsi="Courier New" w:cs="Courier New" w:hint="default"/>
      </w:rPr>
    </w:lvl>
    <w:lvl w:ilvl="5" w:tplc="75B8743C" w:tentative="1">
      <w:start w:val="1"/>
      <w:numFmt w:val="bullet"/>
      <w:lvlText w:val=""/>
      <w:lvlJc w:val="left"/>
      <w:pPr>
        <w:ind w:left="4377" w:hanging="360"/>
      </w:pPr>
      <w:rPr>
        <w:rFonts w:ascii="Wingdings" w:hAnsi="Wingdings" w:hint="default"/>
      </w:rPr>
    </w:lvl>
    <w:lvl w:ilvl="6" w:tplc="99E447AE" w:tentative="1">
      <w:start w:val="1"/>
      <w:numFmt w:val="bullet"/>
      <w:lvlText w:val=""/>
      <w:lvlJc w:val="left"/>
      <w:pPr>
        <w:ind w:left="5097" w:hanging="360"/>
      </w:pPr>
      <w:rPr>
        <w:rFonts w:ascii="Symbol" w:hAnsi="Symbol" w:hint="default"/>
      </w:rPr>
    </w:lvl>
    <w:lvl w:ilvl="7" w:tplc="476ED51E" w:tentative="1">
      <w:start w:val="1"/>
      <w:numFmt w:val="bullet"/>
      <w:lvlText w:val="o"/>
      <w:lvlJc w:val="left"/>
      <w:pPr>
        <w:ind w:left="5817" w:hanging="360"/>
      </w:pPr>
      <w:rPr>
        <w:rFonts w:ascii="Courier New" w:hAnsi="Courier New" w:cs="Courier New" w:hint="default"/>
      </w:rPr>
    </w:lvl>
    <w:lvl w:ilvl="8" w:tplc="8E68D1F6" w:tentative="1">
      <w:start w:val="1"/>
      <w:numFmt w:val="bullet"/>
      <w:lvlText w:val=""/>
      <w:lvlJc w:val="left"/>
      <w:pPr>
        <w:ind w:left="6537" w:hanging="360"/>
      </w:pPr>
      <w:rPr>
        <w:rFonts w:ascii="Wingdings" w:hAnsi="Wingdings" w:hint="default"/>
      </w:rPr>
    </w:lvl>
  </w:abstractNum>
  <w:abstractNum w:abstractNumId="7">
    <w:nsid w:val="1D0D3033"/>
    <w:multiLevelType w:val="hybridMultilevel"/>
    <w:tmpl w:val="94F4EC7A"/>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4EB7C61"/>
    <w:multiLevelType w:val="hybridMultilevel"/>
    <w:tmpl w:val="D1FAE87A"/>
    <w:lvl w:ilvl="0" w:tplc="0409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4874DD1"/>
    <w:multiLevelType w:val="hybridMultilevel"/>
    <w:tmpl w:val="42588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1">
    <w:nsid w:val="47821293"/>
    <w:multiLevelType w:val="hybridMultilevel"/>
    <w:tmpl w:val="91F851B8"/>
    <w:lvl w:ilvl="0" w:tplc="2DC42034">
      <w:start w:val="1"/>
      <w:numFmt w:val="decimal"/>
      <w:lvlText w:val="%1."/>
      <w:lvlJc w:val="left"/>
      <w:pPr>
        <w:ind w:left="720" w:hanging="360"/>
      </w:pPr>
    </w:lvl>
    <w:lvl w:ilvl="1" w:tplc="F2A41AC8" w:tentative="1">
      <w:start w:val="1"/>
      <w:numFmt w:val="lowerLetter"/>
      <w:lvlText w:val="%2."/>
      <w:lvlJc w:val="left"/>
      <w:pPr>
        <w:ind w:left="1440" w:hanging="360"/>
      </w:pPr>
    </w:lvl>
    <w:lvl w:ilvl="2" w:tplc="F0A69B3A" w:tentative="1">
      <w:start w:val="1"/>
      <w:numFmt w:val="lowerRoman"/>
      <w:lvlText w:val="%3."/>
      <w:lvlJc w:val="right"/>
      <w:pPr>
        <w:ind w:left="2160" w:hanging="180"/>
      </w:pPr>
    </w:lvl>
    <w:lvl w:ilvl="3" w:tplc="A39C38C6" w:tentative="1">
      <w:start w:val="1"/>
      <w:numFmt w:val="decimal"/>
      <w:lvlText w:val="%4."/>
      <w:lvlJc w:val="left"/>
      <w:pPr>
        <w:ind w:left="2880" w:hanging="360"/>
      </w:pPr>
    </w:lvl>
    <w:lvl w:ilvl="4" w:tplc="83F004FE" w:tentative="1">
      <w:start w:val="1"/>
      <w:numFmt w:val="lowerLetter"/>
      <w:lvlText w:val="%5."/>
      <w:lvlJc w:val="left"/>
      <w:pPr>
        <w:ind w:left="3600" w:hanging="360"/>
      </w:pPr>
    </w:lvl>
    <w:lvl w:ilvl="5" w:tplc="E0162AB0" w:tentative="1">
      <w:start w:val="1"/>
      <w:numFmt w:val="lowerRoman"/>
      <w:lvlText w:val="%6."/>
      <w:lvlJc w:val="right"/>
      <w:pPr>
        <w:ind w:left="4320" w:hanging="180"/>
      </w:pPr>
    </w:lvl>
    <w:lvl w:ilvl="6" w:tplc="061A63E2" w:tentative="1">
      <w:start w:val="1"/>
      <w:numFmt w:val="decimal"/>
      <w:lvlText w:val="%7."/>
      <w:lvlJc w:val="left"/>
      <w:pPr>
        <w:ind w:left="5040" w:hanging="360"/>
      </w:pPr>
    </w:lvl>
    <w:lvl w:ilvl="7" w:tplc="48BA7904" w:tentative="1">
      <w:start w:val="1"/>
      <w:numFmt w:val="lowerLetter"/>
      <w:lvlText w:val="%8."/>
      <w:lvlJc w:val="left"/>
      <w:pPr>
        <w:ind w:left="5760" w:hanging="360"/>
      </w:pPr>
    </w:lvl>
    <w:lvl w:ilvl="8" w:tplc="1D22E78A" w:tentative="1">
      <w:start w:val="1"/>
      <w:numFmt w:val="lowerRoman"/>
      <w:lvlText w:val="%9."/>
      <w:lvlJc w:val="right"/>
      <w:pPr>
        <w:ind w:left="6480" w:hanging="180"/>
      </w:pPr>
    </w:lvl>
  </w:abstractNum>
  <w:abstractNum w:abstractNumId="12">
    <w:nsid w:val="4D4065A2"/>
    <w:multiLevelType w:val="hybridMultilevel"/>
    <w:tmpl w:val="59DA631E"/>
    <w:lvl w:ilvl="0" w:tplc="38D006E8">
      <w:start w:val="1"/>
      <w:numFmt w:val="decimal"/>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3">
    <w:nsid w:val="541915C6"/>
    <w:multiLevelType w:val="hybridMultilevel"/>
    <w:tmpl w:val="C360BDB6"/>
    <w:lvl w:ilvl="0" w:tplc="3CF4B130">
      <w:start w:val="1"/>
      <w:numFmt w:val="decimal"/>
      <w:lvlText w:val="%1."/>
      <w:lvlJc w:val="left"/>
      <w:pPr>
        <w:ind w:left="720" w:hanging="360"/>
      </w:pPr>
      <w:rPr>
        <w:rFonts w:ascii="Times New Roman" w:eastAsia="Times New Roman" w:hAnsi="Times New Roman" w:cs="Times New Roman"/>
      </w:rPr>
    </w:lvl>
    <w:lvl w:ilvl="1" w:tplc="1F8C8748" w:tentative="1">
      <w:start w:val="1"/>
      <w:numFmt w:val="lowerLetter"/>
      <w:lvlText w:val="%2."/>
      <w:lvlJc w:val="left"/>
      <w:pPr>
        <w:ind w:left="1440" w:hanging="360"/>
      </w:pPr>
    </w:lvl>
    <w:lvl w:ilvl="2" w:tplc="5F48E9C2" w:tentative="1">
      <w:start w:val="1"/>
      <w:numFmt w:val="lowerRoman"/>
      <w:lvlText w:val="%3."/>
      <w:lvlJc w:val="right"/>
      <w:pPr>
        <w:ind w:left="2160" w:hanging="180"/>
      </w:pPr>
    </w:lvl>
    <w:lvl w:ilvl="3" w:tplc="7BAE4D48" w:tentative="1">
      <w:start w:val="1"/>
      <w:numFmt w:val="decimal"/>
      <w:lvlText w:val="%4."/>
      <w:lvlJc w:val="left"/>
      <w:pPr>
        <w:ind w:left="2880" w:hanging="360"/>
      </w:pPr>
    </w:lvl>
    <w:lvl w:ilvl="4" w:tplc="41F48E1E" w:tentative="1">
      <w:start w:val="1"/>
      <w:numFmt w:val="lowerLetter"/>
      <w:lvlText w:val="%5."/>
      <w:lvlJc w:val="left"/>
      <w:pPr>
        <w:ind w:left="3600" w:hanging="360"/>
      </w:pPr>
    </w:lvl>
    <w:lvl w:ilvl="5" w:tplc="B6406A0C" w:tentative="1">
      <w:start w:val="1"/>
      <w:numFmt w:val="lowerRoman"/>
      <w:lvlText w:val="%6."/>
      <w:lvlJc w:val="right"/>
      <w:pPr>
        <w:ind w:left="4320" w:hanging="180"/>
      </w:pPr>
    </w:lvl>
    <w:lvl w:ilvl="6" w:tplc="DE8646C2" w:tentative="1">
      <w:start w:val="1"/>
      <w:numFmt w:val="decimal"/>
      <w:lvlText w:val="%7."/>
      <w:lvlJc w:val="left"/>
      <w:pPr>
        <w:ind w:left="5040" w:hanging="360"/>
      </w:pPr>
    </w:lvl>
    <w:lvl w:ilvl="7" w:tplc="05923572" w:tentative="1">
      <w:start w:val="1"/>
      <w:numFmt w:val="lowerLetter"/>
      <w:lvlText w:val="%8."/>
      <w:lvlJc w:val="left"/>
      <w:pPr>
        <w:ind w:left="5760" w:hanging="360"/>
      </w:pPr>
    </w:lvl>
    <w:lvl w:ilvl="8" w:tplc="B9683AC0" w:tentative="1">
      <w:start w:val="1"/>
      <w:numFmt w:val="lowerRoman"/>
      <w:lvlText w:val="%9."/>
      <w:lvlJc w:val="right"/>
      <w:pPr>
        <w:ind w:left="6480" w:hanging="180"/>
      </w:pPr>
    </w:lvl>
  </w:abstractNum>
  <w:abstractNum w:abstractNumId="14">
    <w:nsid w:val="599A3748"/>
    <w:multiLevelType w:val="hybridMultilevel"/>
    <w:tmpl w:val="486CB8CA"/>
    <w:lvl w:ilvl="0" w:tplc="1A1E52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6E6BE5"/>
    <w:multiLevelType w:val="hybridMultilevel"/>
    <w:tmpl w:val="D7961880"/>
    <w:lvl w:ilvl="0" w:tplc="04090017">
      <w:start w:val="1"/>
      <w:numFmt w:val="low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6">
    <w:nsid w:val="60962E29"/>
    <w:multiLevelType w:val="hybridMultilevel"/>
    <w:tmpl w:val="1DA2392E"/>
    <w:lvl w:ilvl="0" w:tplc="7EB2E2F8">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1360F4B"/>
    <w:multiLevelType w:val="hybridMultilevel"/>
    <w:tmpl w:val="C3F4F89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2186FD9"/>
    <w:multiLevelType w:val="hybridMultilevel"/>
    <w:tmpl w:val="2CB0A9C2"/>
    <w:lvl w:ilvl="0" w:tplc="9C3C222C">
      <w:start w:val="1"/>
      <w:numFmt w:val="decimal"/>
      <w:lvlText w:val="%1."/>
      <w:lvlJc w:val="left"/>
      <w:pPr>
        <w:ind w:left="754" w:hanging="360"/>
      </w:pPr>
    </w:lvl>
    <w:lvl w:ilvl="1" w:tplc="7A963396" w:tentative="1">
      <w:start w:val="1"/>
      <w:numFmt w:val="lowerLetter"/>
      <w:lvlText w:val="%2."/>
      <w:lvlJc w:val="left"/>
      <w:pPr>
        <w:ind w:left="1474" w:hanging="360"/>
      </w:pPr>
    </w:lvl>
    <w:lvl w:ilvl="2" w:tplc="8DE88FCA" w:tentative="1">
      <w:start w:val="1"/>
      <w:numFmt w:val="lowerRoman"/>
      <w:lvlText w:val="%3."/>
      <w:lvlJc w:val="right"/>
      <w:pPr>
        <w:ind w:left="2194" w:hanging="180"/>
      </w:pPr>
    </w:lvl>
    <w:lvl w:ilvl="3" w:tplc="9D7E929E" w:tentative="1">
      <w:start w:val="1"/>
      <w:numFmt w:val="decimal"/>
      <w:lvlText w:val="%4."/>
      <w:lvlJc w:val="left"/>
      <w:pPr>
        <w:ind w:left="2914" w:hanging="360"/>
      </w:pPr>
    </w:lvl>
    <w:lvl w:ilvl="4" w:tplc="563CD118" w:tentative="1">
      <w:start w:val="1"/>
      <w:numFmt w:val="lowerLetter"/>
      <w:lvlText w:val="%5."/>
      <w:lvlJc w:val="left"/>
      <w:pPr>
        <w:ind w:left="3634" w:hanging="360"/>
      </w:pPr>
    </w:lvl>
    <w:lvl w:ilvl="5" w:tplc="144886FE" w:tentative="1">
      <w:start w:val="1"/>
      <w:numFmt w:val="lowerRoman"/>
      <w:lvlText w:val="%6."/>
      <w:lvlJc w:val="right"/>
      <w:pPr>
        <w:ind w:left="4354" w:hanging="180"/>
      </w:pPr>
    </w:lvl>
    <w:lvl w:ilvl="6" w:tplc="311A38B2" w:tentative="1">
      <w:start w:val="1"/>
      <w:numFmt w:val="decimal"/>
      <w:lvlText w:val="%7."/>
      <w:lvlJc w:val="left"/>
      <w:pPr>
        <w:ind w:left="5074" w:hanging="360"/>
      </w:pPr>
    </w:lvl>
    <w:lvl w:ilvl="7" w:tplc="62E8CBEA" w:tentative="1">
      <w:start w:val="1"/>
      <w:numFmt w:val="lowerLetter"/>
      <w:lvlText w:val="%8."/>
      <w:lvlJc w:val="left"/>
      <w:pPr>
        <w:ind w:left="5794" w:hanging="360"/>
      </w:pPr>
    </w:lvl>
    <w:lvl w:ilvl="8" w:tplc="4560D550" w:tentative="1">
      <w:start w:val="1"/>
      <w:numFmt w:val="lowerRoman"/>
      <w:lvlText w:val="%9."/>
      <w:lvlJc w:val="right"/>
      <w:pPr>
        <w:ind w:left="6514" w:hanging="180"/>
      </w:pPr>
    </w:lvl>
  </w:abstractNum>
  <w:abstractNum w:abstractNumId="19">
    <w:nsid w:val="70DF7BB3"/>
    <w:multiLevelType w:val="hybridMultilevel"/>
    <w:tmpl w:val="97C8386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1C26178"/>
    <w:multiLevelType w:val="hybridMultilevel"/>
    <w:tmpl w:val="9FBED11A"/>
    <w:lvl w:ilvl="0" w:tplc="A432BC34">
      <w:start w:val="1"/>
      <w:numFmt w:val="decimal"/>
      <w:lvlText w:val="%1)"/>
      <w:lvlJc w:val="left"/>
      <w:pPr>
        <w:ind w:left="720" w:hanging="360"/>
      </w:pPr>
      <w:rPr>
        <w:rFonts w:hint="default"/>
      </w:rPr>
    </w:lvl>
    <w:lvl w:ilvl="1" w:tplc="8A4E48BA" w:tentative="1">
      <w:start w:val="1"/>
      <w:numFmt w:val="lowerLetter"/>
      <w:lvlText w:val="%2."/>
      <w:lvlJc w:val="left"/>
      <w:pPr>
        <w:ind w:left="1440" w:hanging="360"/>
      </w:pPr>
    </w:lvl>
    <w:lvl w:ilvl="2" w:tplc="8EA248BC" w:tentative="1">
      <w:start w:val="1"/>
      <w:numFmt w:val="lowerRoman"/>
      <w:lvlText w:val="%3."/>
      <w:lvlJc w:val="right"/>
      <w:pPr>
        <w:ind w:left="2160" w:hanging="180"/>
      </w:pPr>
    </w:lvl>
    <w:lvl w:ilvl="3" w:tplc="E3A611FE" w:tentative="1">
      <w:start w:val="1"/>
      <w:numFmt w:val="decimal"/>
      <w:lvlText w:val="%4."/>
      <w:lvlJc w:val="left"/>
      <w:pPr>
        <w:ind w:left="2880" w:hanging="360"/>
      </w:pPr>
    </w:lvl>
    <w:lvl w:ilvl="4" w:tplc="B554D1C0" w:tentative="1">
      <w:start w:val="1"/>
      <w:numFmt w:val="lowerLetter"/>
      <w:lvlText w:val="%5."/>
      <w:lvlJc w:val="left"/>
      <w:pPr>
        <w:ind w:left="3600" w:hanging="360"/>
      </w:pPr>
    </w:lvl>
    <w:lvl w:ilvl="5" w:tplc="6D62E65C" w:tentative="1">
      <w:start w:val="1"/>
      <w:numFmt w:val="lowerRoman"/>
      <w:lvlText w:val="%6."/>
      <w:lvlJc w:val="right"/>
      <w:pPr>
        <w:ind w:left="4320" w:hanging="180"/>
      </w:pPr>
    </w:lvl>
    <w:lvl w:ilvl="6" w:tplc="138095DE" w:tentative="1">
      <w:start w:val="1"/>
      <w:numFmt w:val="decimal"/>
      <w:lvlText w:val="%7."/>
      <w:lvlJc w:val="left"/>
      <w:pPr>
        <w:ind w:left="5040" w:hanging="360"/>
      </w:pPr>
    </w:lvl>
    <w:lvl w:ilvl="7" w:tplc="DCDC8090" w:tentative="1">
      <w:start w:val="1"/>
      <w:numFmt w:val="lowerLetter"/>
      <w:lvlText w:val="%8."/>
      <w:lvlJc w:val="left"/>
      <w:pPr>
        <w:ind w:left="5760" w:hanging="360"/>
      </w:pPr>
    </w:lvl>
    <w:lvl w:ilvl="8" w:tplc="96108AE6" w:tentative="1">
      <w:start w:val="1"/>
      <w:numFmt w:val="lowerRoman"/>
      <w:lvlText w:val="%9."/>
      <w:lvlJc w:val="right"/>
      <w:pPr>
        <w:ind w:left="6480" w:hanging="180"/>
      </w:pPr>
    </w:lvl>
  </w:abstractNum>
  <w:abstractNum w:abstractNumId="21">
    <w:nsid w:val="74F8102F"/>
    <w:multiLevelType w:val="hybridMultilevel"/>
    <w:tmpl w:val="A48283C8"/>
    <w:lvl w:ilvl="0" w:tplc="1ADE2DB0">
      <w:start w:val="1"/>
      <w:numFmt w:val="decimal"/>
      <w:lvlText w:val="%1)"/>
      <w:lvlJc w:val="left"/>
      <w:pPr>
        <w:ind w:left="720" w:hanging="360"/>
      </w:pPr>
      <w:rPr>
        <w:rFonts w:hint="default"/>
      </w:rPr>
    </w:lvl>
    <w:lvl w:ilvl="1" w:tplc="387C3560" w:tentative="1">
      <w:start w:val="1"/>
      <w:numFmt w:val="lowerLetter"/>
      <w:lvlText w:val="%2."/>
      <w:lvlJc w:val="left"/>
      <w:pPr>
        <w:ind w:left="1440" w:hanging="360"/>
      </w:pPr>
    </w:lvl>
    <w:lvl w:ilvl="2" w:tplc="0004F6AE" w:tentative="1">
      <w:start w:val="1"/>
      <w:numFmt w:val="lowerRoman"/>
      <w:lvlText w:val="%3."/>
      <w:lvlJc w:val="right"/>
      <w:pPr>
        <w:ind w:left="2160" w:hanging="180"/>
      </w:pPr>
    </w:lvl>
    <w:lvl w:ilvl="3" w:tplc="F2FC4D34" w:tentative="1">
      <w:start w:val="1"/>
      <w:numFmt w:val="decimal"/>
      <w:lvlText w:val="%4."/>
      <w:lvlJc w:val="left"/>
      <w:pPr>
        <w:ind w:left="2880" w:hanging="360"/>
      </w:pPr>
    </w:lvl>
    <w:lvl w:ilvl="4" w:tplc="544C3D16" w:tentative="1">
      <w:start w:val="1"/>
      <w:numFmt w:val="lowerLetter"/>
      <w:lvlText w:val="%5."/>
      <w:lvlJc w:val="left"/>
      <w:pPr>
        <w:ind w:left="3600" w:hanging="360"/>
      </w:pPr>
    </w:lvl>
    <w:lvl w:ilvl="5" w:tplc="C8062364" w:tentative="1">
      <w:start w:val="1"/>
      <w:numFmt w:val="lowerRoman"/>
      <w:lvlText w:val="%6."/>
      <w:lvlJc w:val="right"/>
      <w:pPr>
        <w:ind w:left="4320" w:hanging="180"/>
      </w:pPr>
    </w:lvl>
    <w:lvl w:ilvl="6" w:tplc="3EC80560" w:tentative="1">
      <w:start w:val="1"/>
      <w:numFmt w:val="decimal"/>
      <w:lvlText w:val="%7."/>
      <w:lvlJc w:val="left"/>
      <w:pPr>
        <w:ind w:left="5040" w:hanging="360"/>
      </w:pPr>
    </w:lvl>
    <w:lvl w:ilvl="7" w:tplc="6DD89586" w:tentative="1">
      <w:start w:val="1"/>
      <w:numFmt w:val="lowerLetter"/>
      <w:lvlText w:val="%8."/>
      <w:lvlJc w:val="left"/>
      <w:pPr>
        <w:ind w:left="5760" w:hanging="360"/>
      </w:pPr>
    </w:lvl>
    <w:lvl w:ilvl="8" w:tplc="D7B01546" w:tentative="1">
      <w:start w:val="1"/>
      <w:numFmt w:val="lowerRoman"/>
      <w:lvlText w:val="%9."/>
      <w:lvlJc w:val="right"/>
      <w:pPr>
        <w:ind w:left="6480" w:hanging="180"/>
      </w:pPr>
    </w:lvl>
  </w:abstractNum>
  <w:abstractNum w:abstractNumId="22">
    <w:nsid w:val="7F7619F5"/>
    <w:multiLevelType w:val="hybridMultilevel"/>
    <w:tmpl w:val="C758ED3C"/>
    <w:lvl w:ilvl="0" w:tplc="A9F0EC62">
      <w:start w:val="1"/>
      <w:numFmt w:val="decimal"/>
      <w:lvlText w:val="%1)"/>
      <w:lvlJc w:val="left"/>
      <w:pPr>
        <w:ind w:left="720" w:hanging="360"/>
      </w:pPr>
      <w:rPr>
        <w:rFonts w:hint="default"/>
      </w:rPr>
    </w:lvl>
    <w:lvl w:ilvl="1" w:tplc="EC7037BA" w:tentative="1">
      <w:start w:val="1"/>
      <w:numFmt w:val="lowerLetter"/>
      <w:lvlText w:val="%2."/>
      <w:lvlJc w:val="left"/>
      <w:pPr>
        <w:ind w:left="1440" w:hanging="360"/>
      </w:pPr>
    </w:lvl>
    <w:lvl w:ilvl="2" w:tplc="5820178A" w:tentative="1">
      <w:start w:val="1"/>
      <w:numFmt w:val="lowerRoman"/>
      <w:lvlText w:val="%3."/>
      <w:lvlJc w:val="right"/>
      <w:pPr>
        <w:ind w:left="2160" w:hanging="180"/>
      </w:pPr>
    </w:lvl>
    <w:lvl w:ilvl="3" w:tplc="8B1AF176" w:tentative="1">
      <w:start w:val="1"/>
      <w:numFmt w:val="decimal"/>
      <w:lvlText w:val="%4."/>
      <w:lvlJc w:val="left"/>
      <w:pPr>
        <w:ind w:left="2880" w:hanging="360"/>
      </w:pPr>
    </w:lvl>
    <w:lvl w:ilvl="4" w:tplc="D32CC9B8" w:tentative="1">
      <w:start w:val="1"/>
      <w:numFmt w:val="lowerLetter"/>
      <w:lvlText w:val="%5."/>
      <w:lvlJc w:val="left"/>
      <w:pPr>
        <w:ind w:left="3600" w:hanging="360"/>
      </w:pPr>
    </w:lvl>
    <w:lvl w:ilvl="5" w:tplc="3778557C" w:tentative="1">
      <w:start w:val="1"/>
      <w:numFmt w:val="lowerRoman"/>
      <w:lvlText w:val="%6."/>
      <w:lvlJc w:val="right"/>
      <w:pPr>
        <w:ind w:left="4320" w:hanging="180"/>
      </w:pPr>
    </w:lvl>
    <w:lvl w:ilvl="6" w:tplc="0FFEEEB4" w:tentative="1">
      <w:start w:val="1"/>
      <w:numFmt w:val="decimal"/>
      <w:lvlText w:val="%7."/>
      <w:lvlJc w:val="left"/>
      <w:pPr>
        <w:ind w:left="5040" w:hanging="360"/>
      </w:pPr>
    </w:lvl>
    <w:lvl w:ilvl="7" w:tplc="1DC8F246" w:tentative="1">
      <w:start w:val="1"/>
      <w:numFmt w:val="lowerLetter"/>
      <w:lvlText w:val="%8."/>
      <w:lvlJc w:val="left"/>
      <w:pPr>
        <w:ind w:left="5760" w:hanging="360"/>
      </w:pPr>
    </w:lvl>
    <w:lvl w:ilvl="8" w:tplc="FF1EDB62"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1"/>
  </w:num>
  <w:num w:numId="5">
    <w:abstractNumId w:val="6"/>
  </w:num>
  <w:num w:numId="6">
    <w:abstractNumId w:val="13"/>
  </w:num>
  <w:num w:numId="7">
    <w:abstractNumId w:val="2"/>
  </w:num>
  <w:num w:numId="8">
    <w:abstractNumId w:val="21"/>
  </w:num>
  <w:num w:numId="9">
    <w:abstractNumId w:val="22"/>
  </w:num>
  <w:num w:numId="10">
    <w:abstractNumId w:val="20"/>
  </w:num>
  <w:num w:numId="11">
    <w:abstractNumId w:val="10"/>
  </w:num>
  <w:num w:numId="12">
    <w:abstractNumId w:val="14"/>
  </w:num>
  <w:num w:numId="13">
    <w:abstractNumId w:val="0"/>
  </w:num>
  <w:num w:numId="14">
    <w:abstractNumId w:val="17"/>
  </w:num>
  <w:num w:numId="15">
    <w:abstractNumId w:val="9"/>
  </w:num>
  <w:num w:numId="16">
    <w:abstractNumId w:val="4"/>
  </w:num>
  <w:num w:numId="17">
    <w:abstractNumId w:val="7"/>
  </w:num>
  <w:num w:numId="18">
    <w:abstractNumId w:val="19"/>
  </w:num>
  <w:num w:numId="19">
    <w:abstractNumId w:val="8"/>
  </w:num>
  <w:num w:numId="20">
    <w:abstractNumId w:val="12"/>
  </w:num>
  <w:num w:numId="21">
    <w:abstractNumId w:val="1"/>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1C"/>
    <w:rsid w:val="000006D4"/>
    <w:rsid w:val="00000B7A"/>
    <w:rsid w:val="00006F0F"/>
    <w:rsid w:val="000168A6"/>
    <w:rsid w:val="00017924"/>
    <w:rsid w:val="000203E5"/>
    <w:rsid w:val="00027BAD"/>
    <w:rsid w:val="00036F3D"/>
    <w:rsid w:val="00041814"/>
    <w:rsid w:val="00044224"/>
    <w:rsid w:val="00044C80"/>
    <w:rsid w:val="00046435"/>
    <w:rsid w:val="00047A59"/>
    <w:rsid w:val="00052921"/>
    <w:rsid w:val="000532A9"/>
    <w:rsid w:val="00055596"/>
    <w:rsid w:val="00055FF5"/>
    <w:rsid w:val="000570D3"/>
    <w:rsid w:val="00060804"/>
    <w:rsid w:val="00061975"/>
    <w:rsid w:val="0006326D"/>
    <w:rsid w:val="000644ED"/>
    <w:rsid w:val="00066596"/>
    <w:rsid w:val="000717F0"/>
    <w:rsid w:val="00071F0E"/>
    <w:rsid w:val="000726BF"/>
    <w:rsid w:val="00073C8B"/>
    <w:rsid w:val="00085D80"/>
    <w:rsid w:val="000864C7"/>
    <w:rsid w:val="00092CEF"/>
    <w:rsid w:val="00094B40"/>
    <w:rsid w:val="000952B3"/>
    <w:rsid w:val="000A4EDF"/>
    <w:rsid w:val="000A5450"/>
    <w:rsid w:val="000A7A0E"/>
    <w:rsid w:val="000B2EE9"/>
    <w:rsid w:val="000C127A"/>
    <w:rsid w:val="000D074F"/>
    <w:rsid w:val="000D24CB"/>
    <w:rsid w:val="000E7C62"/>
    <w:rsid w:val="000F01C5"/>
    <w:rsid w:val="000F2179"/>
    <w:rsid w:val="000F21B1"/>
    <w:rsid w:val="000F2D2A"/>
    <w:rsid w:val="000F3637"/>
    <w:rsid w:val="000F796B"/>
    <w:rsid w:val="001002AF"/>
    <w:rsid w:val="001151C4"/>
    <w:rsid w:val="00115924"/>
    <w:rsid w:val="001226BE"/>
    <w:rsid w:val="001247CA"/>
    <w:rsid w:val="001273A7"/>
    <w:rsid w:val="00131111"/>
    <w:rsid w:val="0013477A"/>
    <w:rsid w:val="001351FC"/>
    <w:rsid w:val="001435F6"/>
    <w:rsid w:val="00150FB3"/>
    <w:rsid w:val="001522EB"/>
    <w:rsid w:val="0015241F"/>
    <w:rsid w:val="001531F9"/>
    <w:rsid w:val="00154ADC"/>
    <w:rsid w:val="00162663"/>
    <w:rsid w:val="00166964"/>
    <w:rsid w:val="001718C7"/>
    <w:rsid w:val="00173A4C"/>
    <w:rsid w:val="001740A1"/>
    <w:rsid w:val="001749F1"/>
    <w:rsid w:val="0017518B"/>
    <w:rsid w:val="00175D92"/>
    <w:rsid w:val="00176E94"/>
    <w:rsid w:val="001916E1"/>
    <w:rsid w:val="00192C5F"/>
    <w:rsid w:val="001930D7"/>
    <w:rsid w:val="0019383F"/>
    <w:rsid w:val="001A037F"/>
    <w:rsid w:val="001A2BC6"/>
    <w:rsid w:val="001A4EC5"/>
    <w:rsid w:val="001A7223"/>
    <w:rsid w:val="001B090E"/>
    <w:rsid w:val="001B348C"/>
    <w:rsid w:val="001B37C9"/>
    <w:rsid w:val="001B6449"/>
    <w:rsid w:val="001C0AEA"/>
    <w:rsid w:val="001C0C9B"/>
    <w:rsid w:val="001C5666"/>
    <w:rsid w:val="001C56C5"/>
    <w:rsid w:val="001D1E23"/>
    <w:rsid w:val="001D3C5A"/>
    <w:rsid w:val="001D45E6"/>
    <w:rsid w:val="001D5531"/>
    <w:rsid w:val="001D6C6A"/>
    <w:rsid w:val="001D78E9"/>
    <w:rsid w:val="001D7DE5"/>
    <w:rsid w:val="001E081D"/>
    <w:rsid w:val="001E0FDF"/>
    <w:rsid w:val="001E130E"/>
    <w:rsid w:val="001E2C60"/>
    <w:rsid w:val="001E2DF9"/>
    <w:rsid w:val="001F097E"/>
    <w:rsid w:val="001F3907"/>
    <w:rsid w:val="00201E47"/>
    <w:rsid w:val="0020262C"/>
    <w:rsid w:val="00202B48"/>
    <w:rsid w:val="002054F1"/>
    <w:rsid w:val="00207834"/>
    <w:rsid w:val="0022054B"/>
    <w:rsid w:val="0022526E"/>
    <w:rsid w:val="0023009A"/>
    <w:rsid w:val="00231822"/>
    <w:rsid w:val="002323EB"/>
    <w:rsid w:val="00236A1F"/>
    <w:rsid w:val="00240A69"/>
    <w:rsid w:val="00242225"/>
    <w:rsid w:val="00250099"/>
    <w:rsid w:val="00251A42"/>
    <w:rsid w:val="00253057"/>
    <w:rsid w:val="002532F9"/>
    <w:rsid w:val="00254E50"/>
    <w:rsid w:val="00261E34"/>
    <w:rsid w:val="002659F1"/>
    <w:rsid w:val="00273E66"/>
    <w:rsid w:val="00275A46"/>
    <w:rsid w:val="00276D5D"/>
    <w:rsid w:val="00277223"/>
    <w:rsid w:val="00285282"/>
    <w:rsid w:val="0028585B"/>
    <w:rsid w:val="00286420"/>
    <w:rsid w:val="002871D2"/>
    <w:rsid w:val="00291002"/>
    <w:rsid w:val="00297863"/>
    <w:rsid w:val="002A0265"/>
    <w:rsid w:val="002A1724"/>
    <w:rsid w:val="002B0227"/>
    <w:rsid w:val="002B0E96"/>
    <w:rsid w:val="002B5815"/>
    <w:rsid w:val="002B6DF9"/>
    <w:rsid w:val="002B7D78"/>
    <w:rsid w:val="002C22BE"/>
    <w:rsid w:val="002C4A80"/>
    <w:rsid w:val="002C7ECF"/>
    <w:rsid w:val="002D02E7"/>
    <w:rsid w:val="002D0FBD"/>
    <w:rsid w:val="002D1626"/>
    <w:rsid w:val="002D2BD0"/>
    <w:rsid w:val="002E2B0D"/>
    <w:rsid w:val="002F1D81"/>
    <w:rsid w:val="002F2913"/>
    <w:rsid w:val="00300972"/>
    <w:rsid w:val="00301E2B"/>
    <w:rsid w:val="00302DC1"/>
    <w:rsid w:val="0031039B"/>
    <w:rsid w:val="00310798"/>
    <w:rsid w:val="00317A45"/>
    <w:rsid w:val="00322331"/>
    <w:rsid w:val="00327F78"/>
    <w:rsid w:val="00332321"/>
    <w:rsid w:val="00335A14"/>
    <w:rsid w:val="00336B56"/>
    <w:rsid w:val="00336E9F"/>
    <w:rsid w:val="00340F29"/>
    <w:rsid w:val="00342C1C"/>
    <w:rsid w:val="0034707A"/>
    <w:rsid w:val="0034796B"/>
    <w:rsid w:val="00350684"/>
    <w:rsid w:val="00352BE9"/>
    <w:rsid w:val="00353776"/>
    <w:rsid w:val="00353C15"/>
    <w:rsid w:val="00364B5A"/>
    <w:rsid w:val="003676E2"/>
    <w:rsid w:val="0037076B"/>
    <w:rsid w:val="0037447A"/>
    <w:rsid w:val="00376346"/>
    <w:rsid w:val="0038083D"/>
    <w:rsid w:val="003810A1"/>
    <w:rsid w:val="00384728"/>
    <w:rsid w:val="003930D5"/>
    <w:rsid w:val="003A21D1"/>
    <w:rsid w:val="003A4486"/>
    <w:rsid w:val="003A4686"/>
    <w:rsid w:val="003B01C6"/>
    <w:rsid w:val="003B27C6"/>
    <w:rsid w:val="003B6A5E"/>
    <w:rsid w:val="003B7FA9"/>
    <w:rsid w:val="003C0E5E"/>
    <w:rsid w:val="003C1D2D"/>
    <w:rsid w:val="003C2699"/>
    <w:rsid w:val="003C775D"/>
    <w:rsid w:val="003D25D7"/>
    <w:rsid w:val="003D5D8B"/>
    <w:rsid w:val="003E05A2"/>
    <w:rsid w:val="003F0DD3"/>
    <w:rsid w:val="003F3A05"/>
    <w:rsid w:val="003F61CB"/>
    <w:rsid w:val="004040B1"/>
    <w:rsid w:val="004048C7"/>
    <w:rsid w:val="00407F82"/>
    <w:rsid w:val="0041305A"/>
    <w:rsid w:val="00413BD9"/>
    <w:rsid w:val="0041580B"/>
    <w:rsid w:val="00416F23"/>
    <w:rsid w:val="00417B84"/>
    <w:rsid w:val="004210D4"/>
    <w:rsid w:val="004219C7"/>
    <w:rsid w:val="00423276"/>
    <w:rsid w:val="00424791"/>
    <w:rsid w:val="00430E44"/>
    <w:rsid w:val="00433F84"/>
    <w:rsid w:val="004355FE"/>
    <w:rsid w:val="004405C5"/>
    <w:rsid w:val="00441759"/>
    <w:rsid w:val="00442A7F"/>
    <w:rsid w:val="00446908"/>
    <w:rsid w:val="00446A92"/>
    <w:rsid w:val="00452AE2"/>
    <w:rsid w:val="0045535A"/>
    <w:rsid w:val="0045655E"/>
    <w:rsid w:val="004622C3"/>
    <w:rsid w:val="004648FA"/>
    <w:rsid w:val="00465C98"/>
    <w:rsid w:val="00474714"/>
    <w:rsid w:val="00477435"/>
    <w:rsid w:val="00477F62"/>
    <w:rsid w:val="00481885"/>
    <w:rsid w:val="00484783"/>
    <w:rsid w:val="00491E9B"/>
    <w:rsid w:val="00492D3C"/>
    <w:rsid w:val="0049306F"/>
    <w:rsid w:val="00494B25"/>
    <w:rsid w:val="004A2355"/>
    <w:rsid w:val="004A3100"/>
    <w:rsid w:val="004A4EBE"/>
    <w:rsid w:val="004A7F10"/>
    <w:rsid w:val="004B3AE5"/>
    <w:rsid w:val="004B4AB8"/>
    <w:rsid w:val="004C4068"/>
    <w:rsid w:val="004D17FB"/>
    <w:rsid w:val="004D2E35"/>
    <w:rsid w:val="004D4B94"/>
    <w:rsid w:val="004D5248"/>
    <w:rsid w:val="004D628F"/>
    <w:rsid w:val="004E25DB"/>
    <w:rsid w:val="004F3C6B"/>
    <w:rsid w:val="004F4DF8"/>
    <w:rsid w:val="0050493A"/>
    <w:rsid w:val="00510199"/>
    <w:rsid w:val="005138E3"/>
    <w:rsid w:val="00521075"/>
    <w:rsid w:val="0052108D"/>
    <w:rsid w:val="00523237"/>
    <w:rsid w:val="00530226"/>
    <w:rsid w:val="0053202D"/>
    <w:rsid w:val="00535364"/>
    <w:rsid w:val="005464A0"/>
    <w:rsid w:val="005533BE"/>
    <w:rsid w:val="00553EFC"/>
    <w:rsid w:val="005607AD"/>
    <w:rsid w:val="00583F50"/>
    <w:rsid w:val="00596DC7"/>
    <w:rsid w:val="005B11A3"/>
    <w:rsid w:val="005B14A2"/>
    <w:rsid w:val="005B1A5F"/>
    <w:rsid w:val="005C1803"/>
    <w:rsid w:val="005C451C"/>
    <w:rsid w:val="005C4A89"/>
    <w:rsid w:val="005C6E35"/>
    <w:rsid w:val="005D422C"/>
    <w:rsid w:val="005E2B9A"/>
    <w:rsid w:val="005F658D"/>
    <w:rsid w:val="00600B68"/>
    <w:rsid w:val="00601BEB"/>
    <w:rsid w:val="00604986"/>
    <w:rsid w:val="00605C6C"/>
    <w:rsid w:val="006063CF"/>
    <w:rsid w:val="006109C0"/>
    <w:rsid w:val="00610EA4"/>
    <w:rsid w:val="006130EC"/>
    <w:rsid w:val="00615F04"/>
    <w:rsid w:val="00616CE1"/>
    <w:rsid w:val="00621927"/>
    <w:rsid w:val="00624449"/>
    <w:rsid w:val="0062535D"/>
    <w:rsid w:val="006260FC"/>
    <w:rsid w:val="0063785B"/>
    <w:rsid w:val="006403D5"/>
    <w:rsid w:val="006445B9"/>
    <w:rsid w:val="006474BF"/>
    <w:rsid w:val="0065697E"/>
    <w:rsid w:val="006679D1"/>
    <w:rsid w:val="00670555"/>
    <w:rsid w:val="00671043"/>
    <w:rsid w:val="0067170E"/>
    <w:rsid w:val="0067518D"/>
    <w:rsid w:val="00684E6E"/>
    <w:rsid w:val="006872A6"/>
    <w:rsid w:val="006909B9"/>
    <w:rsid w:val="00690CB7"/>
    <w:rsid w:val="00692943"/>
    <w:rsid w:val="0069529E"/>
    <w:rsid w:val="00695F0A"/>
    <w:rsid w:val="006964E3"/>
    <w:rsid w:val="00696F18"/>
    <w:rsid w:val="006A07CE"/>
    <w:rsid w:val="006A2282"/>
    <w:rsid w:val="006B07D7"/>
    <w:rsid w:val="006B15E9"/>
    <w:rsid w:val="006B3106"/>
    <w:rsid w:val="006B4F32"/>
    <w:rsid w:val="006B6D5B"/>
    <w:rsid w:val="006C03A6"/>
    <w:rsid w:val="006C11AD"/>
    <w:rsid w:val="006C1629"/>
    <w:rsid w:val="006C1D72"/>
    <w:rsid w:val="006C27E2"/>
    <w:rsid w:val="006C4B7C"/>
    <w:rsid w:val="006D146B"/>
    <w:rsid w:val="006D1EAD"/>
    <w:rsid w:val="006D231B"/>
    <w:rsid w:val="006D4F7C"/>
    <w:rsid w:val="006D5CEF"/>
    <w:rsid w:val="006E2626"/>
    <w:rsid w:val="006E48A2"/>
    <w:rsid w:val="006E6C0E"/>
    <w:rsid w:val="006E755A"/>
    <w:rsid w:val="006F0239"/>
    <w:rsid w:val="006F724B"/>
    <w:rsid w:val="00701085"/>
    <w:rsid w:val="007028F9"/>
    <w:rsid w:val="00704DDD"/>
    <w:rsid w:val="00706270"/>
    <w:rsid w:val="00710801"/>
    <w:rsid w:val="00710DE1"/>
    <w:rsid w:val="007125BD"/>
    <w:rsid w:val="007164D3"/>
    <w:rsid w:val="00717BF9"/>
    <w:rsid w:val="007213EE"/>
    <w:rsid w:val="0072528C"/>
    <w:rsid w:val="007257CB"/>
    <w:rsid w:val="00733F00"/>
    <w:rsid w:val="007362D7"/>
    <w:rsid w:val="007403A1"/>
    <w:rsid w:val="00742CA8"/>
    <w:rsid w:val="00744426"/>
    <w:rsid w:val="0074547D"/>
    <w:rsid w:val="00745F7A"/>
    <w:rsid w:val="00750EC0"/>
    <w:rsid w:val="007525AE"/>
    <w:rsid w:val="00763C11"/>
    <w:rsid w:val="007660C6"/>
    <w:rsid w:val="00780E7D"/>
    <w:rsid w:val="00781529"/>
    <w:rsid w:val="00782421"/>
    <w:rsid w:val="00782C36"/>
    <w:rsid w:val="00782FE5"/>
    <w:rsid w:val="00785EFA"/>
    <w:rsid w:val="00786AB4"/>
    <w:rsid w:val="00791266"/>
    <w:rsid w:val="00791FE1"/>
    <w:rsid w:val="00796FD3"/>
    <w:rsid w:val="007A045B"/>
    <w:rsid w:val="007A2571"/>
    <w:rsid w:val="007A4F23"/>
    <w:rsid w:val="007A5090"/>
    <w:rsid w:val="007B1C53"/>
    <w:rsid w:val="007B1CFF"/>
    <w:rsid w:val="007B7A42"/>
    <w:rsid w:val="007D2897"/>
    <w:rsid w:val="007D298A"/>
    <w:rsid w:val="007D4CE3"/>
    <w:rsid w:val="007D6B9E"/>
    <w:rsid w:val="007D76DD"/>
    <w:rsid w:val="007F048F"/>
    <w:rsid w:val="007F3CF4"/>
    <w:rsid w:val="007F6DA4"/>
    <w:rsid w:val="007F7448"/>
    <w:rsid w:val="0080249C"/>
    <w:rsid w:val="0080267A"/>
    <w:rsid w:val="008026E6"/>
    <w:rsid w:val="00806804"/>
    <w:rsid w:val="00814195"/>
    <w:rsid w:val="0082224C"/>
    <w:rsid w:val="0082251E"/>
    <w:rsid w:val="00827F11"/>
    <w:rsid w:val="00830676"/>
    <w:rsid w:val="00832044"/>
    <w:rsid w:val="00832945"/>
    <w:rsid w:val="0083701C"/>
    <w:rsid w:val="008378A2"/>
    <w:rsid w:val="0084191B"/>
    <w:rsid w:val="00850B98"/>
    <w:rsid w:val="008542CA"/>
    <w:rsid w:val="0085441A"/>
    <w:rsid w:val="0085612F"/>
    <w:rsid w:val="00856FD9"/>
    <w:rsid w:val="008573E5"/>
    <w:rsid w:val="008605BD"/>
    <w:rsid w:val="00864C2A"/>
    <w:rsid w:val="00867B97"/>
    <w:rsid w:val="00867D90"/>
    <w:rsid w:val="008722F0"/>
    <w:rsid w:val="008772B7"/>
    <w:rsid w:val="00883AD6"/>
    <w:rsid w:val="00884C9F"/>
    <w:rsid w:val="00887F3F"/>
    <w:rsid w:val="008939F7"/>
    <w:rsid w:val="00895249"/>
    <w:rsid w:val="00896040"/>
    <w:rsid w:val="008A0436"/>
    <w:rsid w:val="008A0CD3"/>
    <w:rsid w:val="008A3327"/>
    <w:rsid w:val="008A3DD6"/>
    <w:rsid w:val="008B18A8"/>
    <w:rsid w:val="008B1C36"/>
    <w:rsid w:val="008B2BBF"/>
    <w:rsid w:val="008B392D"/>
    <w:rsid w:val="008C5103"/>
    <w:rsid w:val="008C5E4E"/>
    <w:rsid w:val="008E2B4B"/>
    <w:rsid w:val="008E626F"/>
    <w:rsid w:val="008F0A6A"/>
    <w:rsid w:val="008F479B"/>
    <w:rsid w:val="008F746A"/>
    <w:rsid w:val="008F7B2D"/>
    <w:rsid w:val="00903B19"/>
    <w:rsid w:val="00906145"/>
    <w:rsid w:val="00907E1B"/>
    <w:rsid w:val="00910BBB"/>
    <w:rsid w:val="00912B59"/>
    <w:rsid w:val="00913BBD"/>
    <w:rsid w:val="00913D6E"/>
    <w:rsid w:val="00920C54"/>
    <w:rsid w:val="0092196F"/>
    <w:rsid w:val="00922D98"/>
    <w:rsid w:val="0092310A"/>
    <w:rsid w:val="00930F1B"/>
    <w:rsid w:val="0094153F"/>
    <w:rsid w:val="00943752"/>
    <w:rsid w:val="00946F67"/>
    <w:rsid w:val="0096290D"/>
    <w:rsid w:val="00962FB9"/>
    <w:rsid w:val="0096600D"/>
    <w:rsid w:val="0096666B"/>
    <w:rsid w:val="009755BE"/>
    <w:rsid w:val="0098188F"/>
    <w:rsid w:val="00984AEC"/>
    <w:rsid w:val="009877B1"/>
    <w:rsid w:val="00990B0F"/>
    <w:rsid w:val="00993742"/>
    <w:rsid w:val="00994359"/>
    <w:rsid w:val="009966FA"/>
    <w:rsid w:val="00997420"/>
    <w:rsid w:val="0099780F"/>
    <w:rsid w:val="009A1BBC"/>
    <w:rsid w:val="009A4BFD"/>
    <w:rsid w:val="009A5D40"/>
    <w:rsid w:val="009B1E75"/>
    <w:rsid w:val="009B6065"/>
    <w:rsid w:val="009B7421"/>
    <w:rsid w:val="009C2904"/>
    <w:rsid w:val="009C4B01"/>
    <w:rsid w:val="009D4C0E"/>
    <w:rsid w:val="009D5CC8"/>
    <w:rsid w:val="009E5F2B"/>
    <w:rsid w:val="009F0CDF"/>
    <w:rsid w:val="009F20CD"/>
    <w:rsid w:val="009F2AFD"/>
    <w:rsid w:val="009F2F0F"/>
    <w:rsid w:val="00A004BB"/>
    <w:rsid w:val="00A029E8"/>
    <w:rsid w:val="00A03194"/>
    <w:rsid w:val="00A11266"/>
    <w:rsid w:val="00A16A05"/>
    <w:rsid w:val="00A1753F"/>
    <w:rsid w:val="00A179BA"/>
    <w:rsid w:val="00A25D9C"/>
    <w:rsid w:val="00A262E5"/>
    <w:rsid w:val="00A324CA"/>
    <w:rsid w:val="00A360A5"/>
    <w:rsid w:val="00A43112"/>
    <w:rsid w:val="00A434F6"/>
    <w:rsid w:val="00A45D1C"/>
    <w:rsid w:val="00A46330"/>
    <w:rsid w:val="00A540C5"/>
    <w:rsid w:val="00A5457D"/>
    <w:rsid w:val="00A547FE"/>
    <w:rsid w:val="00A57587"/>
    <w:rsid w:val="00A57712"/>
    <w:rsid w:val="00A61A8E"/>
    <w:rsid w:val="00A64DD6"/>
    <w:rsid w:val="00A654B3"/>
    <w:rsid w:val="00A760CA"/>
    <w:rsid w:val="00A87150"/>
    <w:rsid w:val="00A936C8"/>
    <w:rsid w:val="00A970EF"/>
    <w:rsid w:val="00AB0AB1"/>
    <w:rsid w:val="00AB4574"/>
    <w:rsid w:val="00AC03E0"/>
    <w:rsid w:val="00AC4BC8"/>
    <w:rsid w:val="00AD1252"/>
    <w:rsid w:val="00AD59A6"/>
    <w:rsid w:val="00AD5C9A"/>
    <w:rsid w:val="00AE008E"/>
    <w:rsid w:val="00AE0688"/>
    <w:rsid w:val="00AE0973"/>
    <w:rsid w:val="00AE1DA4"/>
    <w:rsid w:val="00AE2B42"/>
    <w:rsid w:val="00AE3C96"/>
    <w:rsid w:val="00AE6F57"/>
    <w:rsid w:val="00AF0818"/>
    <w:rsid w:val="00AF3F9D"/>
    <w:rsid w:val="00AF60F9"/>
    <w:rsid w:val="00B000A1"/>
    <w:rsid w:val="00B023C3"/>
    <w:rsid w:val="00B025BF"/>
    <w:rsid w:val="00B050F6"/>
    <w:rsid w:val="00B15E8C"/>
    <w:rsid w:val="00B17F1A"/>
    <w:rsid w:val="00B216F0"/>
    <w:rsid w:val="00B25163"/>
    <w:rsid w:val="00B27267"/>
    <w:rsid w:val="00B30CB5"/>
    <w:rsid w:val="00B31328"/>
    <w:rsid w:val="00B31617"/>
    <w:rsid w:val="00B31A4E"/>
    <w:rsid w:val="00B4020C"/>
    <w:rsid w:val="00B4034C"/>
    <w:rsid w:val="00B405D4"/>
    <w:rsid w:val="00B50AC4"/>
    <w:rsid w:val="00B53338"/>
    <w:rsid w:val="00B555AF"/>
    <w:rsid w:val="00B650B7"/>
    <w:rsid w:val="00B6710B"/>
    <w:rsid w:val="00B671C5"/>
    <w:rsid w:val="00B71EA1"/>
    <w:rsid w:val="00B7546B"/>
    <w:rsid w:val="00B7771D"/>
    <w:rsid w:val="00B77F99"/>
    <w:rsid w:val="00B80793"/>
    <w:rsid w:val="00B827BC"/>
    <w:rsid w:val="00B94A93"/>
    <w:rsid w:val="00B94D4E"/>
    <w:rsid w:val="00BA020E"/>
    <w:rsid w:val="00BA7A9F"/>
    <w:rsid w:val="00BB393B"/>
    <w:rsid w:val="00BB4F00"/>
    <w:rsid w:val="00BC0E04"/>
    <w:rsid w:val="00BC4492"/>
    <w:rsid w:val="00BC58D7"/>
    <w:rsid w:val="00BD0156"/>
    <w:rsid w:val="00BE06CF"/>
    <w:rsid w:val="00BE10D8"/>
    <w:rsid w:val="00BE5F13"/>
    <w:rsid w:val="00BE72D9"/>
    <w:rsid w:val="00C00421"/>
    <w:rsid w:val="00C0136E"/>
    <w:rsid w:val="00C06EED"/>
    <w:rsid w:val="00C11118"/>
    <w:rsid w:val="00C14E75"/>
    <w:rsid w:val="00C20D0C"/>
    <w:rsid w:val="00C232D2"/>
    <w:rsid w:val="00C237D6"/>
    <w:rsid w:val="00C23FB0"/>
    <w:rsid w:val="00C30902"/>
    <w:rsid w:val="00C314FA"/>
    <w:rsid w:val="00C327AE"/>
    <w:rsid w:val="00C3351F"/>
    <w:rsid w:val="00C34D87"/>
    <w:rsid w:val="00C3544E"/>
    <w:rsid w:val="00C36014"/>
    <w:rsid w:val="00C37BBD"/>
    <w:rsid w:val="00C4035B"/>
    <w:rsid w:val="00C42D8C"/>
    <w:rsid w:val="00C46410"/>
    <w:rsid w:val="00C473AC"/>
    <w:rsid w:val="00C53C73"/>
    <w:rsid w:val="00C55E67"/>
    <w:rsid w:val="00C60D5D"/>
    <w:rsid w:val="00C635A7"/>
    <w:rsid w:val="00C65DC3"/>
    <w:rsid w:val="00C66C36"/>
    <w:rsid w:val="00C710EF"/>
    <w:rsid w:val="00C71FC8"/>
    <w:rsid w:val="00C722A7"/>
    <w:rsid w:val="00C73FF6"/>
    <w:rsid w:val="00C74F29"/>
    <w:rsid w:val="00C84DF1"/>
    <w:rsid w:val="00C84E4C"/>
    <w:rsid w:val="00C85B2A"/>
    <w:rsid w:val="00C93278"/>
    <w:rsid w:val="00CB156F"/>
    <w:rsid w:val="00CB40A3"/>
    <w:rsid w:val="00CC1C10"/>
    <w:rsid w:val="00CC2B2A"/>
    <w:rsid w:val="00CD6FEA"/>
    <w:rsid w:val="00CE5D85"/>
    <w:rsid w:val="00CF5953"/>
    <w:rsid w:val="00D019DA"/>
    <w:rsid w:val="00D06379"/>
    <w:rsid w:val="00D120EE"/>
    <w:rsid w:val="00D14388"/>
    <w:rsid w:val="00D15822"/>
    <w:rsid w:val="00D15CDC"/>
    <w:rsid w:val="00D2055E"/>
    <w:rsid w:val="00D26436"/>
    <w:rsid w:val="00D27C0A"/>
    <w:rsid w:val="00D32ABF"/>
    <w:rsid w:val="00D4587A"/>
    <w:rsid w:val="00D47E43"/>
    <w:rsid w:val="00D52B0A"/>
    <w:rsid w:val="00D53D15"/>
    <w:rsid w:val="00D544B7"/>
    <w:rsid w:val="00D5567F"/>
    <w:rsid w:val="00D615D0"/>
    <w:rsid w:val="00D6166B"/>
    <w:rsid w:val="00D63F38"/>
    <w:rsid w:val="00D645B5"/>
    <w:rsid w:val="00D650B2"/>
    <w:rsid w:val="00D70F22"/>
    <w:rsid w:val="00D71A77"/>
    <w:rsid w:val="00D71F8E"/>
    <w:rsid w:val="00D83004"/>
    <w:rsid w:val="00D83AB0"/>
    <w:rsid w:val="00D85B21"/>
    <w:rsid w:val="00D872A3"/>
    <w:rsid w:val="00D87E7D"/>
    <w:rsid w:val="00DA1882"/>
    <w:rsid w:val="00DB15E9"/>
    <w:rsid w:val="00DB3879"/>
    <w:rsid w:val="00DC38CE"/>
    <w:rsid w:val="00DC5C89"/>
    <w:rsid w:val="00DC6876"/>
    <w:rsid w:val="00DD5E7A"/>
    <w:rsid w:val="00DD69D9"/>
    <w:rsid w:val="00DE1198"/>
    <w:rsid w:val="00DE4937"/>
    <w:rsid w:val="00DE5AB9"/>
    <w:rsid w:val="00DF01B7"/>
    <w:rsid w:val="00DF1351"/>
    <w:rsid w:val="00DF3C5B"/>
    <w:rsid w:val="00DF4080"/>
    <w:rsid w:val="00E0761E"/>
    <w:rsid w:val="00E1520E"/>
    <w:rsid w:val="00E15EC6"/>
    <w:rsid w:val="00E16B77"/>
    <w:rsid w:val="00E216DD"/>
    <w:rsid w:val="00E23120"/>
    <w:rsid w:val="00E24D2C"/>
    <w:rsid w:val="00E263CE"/>
    <w:rsid w:val="00E322DA"/>
    <w:rsid w:val="00E461BF"/>
    <w:rsid w:val="00E46DD8"/>
    <w:rsid w:val="00E501E8"/>
    <w:rsid w:val="00E54FB9"/>
    <w:rsid w:val="00E5666D"/>
    <w:rsid w:val="00E567F1"/>
    <w:rsid w:val="00E645DB"/>
    <w:rsid w:val="00E64D98"/>
    <w:rsid w:val="00E6780B"/>
    <w:rsid w:val="00E67F36"/>
    <w:rsid w:val="00E74851"/>
    <w:rsid w:val="00E74F9D"/>
    <w:rsid w:val="00E751FC"/>
    <w:rsid w:val="00E86E59"/>
    <w:rsid w:val="00E904B0"/>
    <w:rsid w:val="00E97127"/>
    <w:rsid w:val="00EA151B"/>
    <w:rsid w:val="00EA3E36"/>
    <w:rsid w:val="00EA63E8"/>
    <w:rsid w:val="00EC4ECA"/>
    <w:rsid w:val="00EC6C87"/>
    <w:rsid w:val="00ED2CF7"/>
    <w:rsid w:val="00ED6931"/>
    <w:rsid w:val="00EE1431"/>
    <w:rsid w:val="00EE3E4B"/>
    <w:rsid w:val="00EF1CC5"/>
    <w:rsid w:val="00F01D7A"/>
    <w:rsid w:val="00F04EF5"/>
    <w:rsid w:val="00F07651"/>
    <w:rsid w:val="00F106E3"/>
    <w:rsid w:val="00F12456"/>
    <w:rsid w:val="00F14906"/>
    <w:rsid w:val="00F149BF"/>
    <w:rsid w:val="00F226DE"/>
    <w:rsid w:val="00F23D99"/>
    <w:rsid w:val="00F27283"/>
    <w:rsid w:val="00F3153D"/>
    <w:rsid w:val="00F31CB6"/>
    <w:rsid w:val="00F4193B"/>
    <w:rsid w:val="00F427F9"/>
    <w:rsid w:val="00F53A6B"/>
    <w:rsid w:val="00F61B54"/>
    <w:rsid w:val="00F62143"/>
    <w:rsid w:val="00F71640"/>
    <w:rsid w:val="00F77CB4"/>
    <w:rsid w:val="00F77D07"/>
    <w:rsid w:val="00F81418"/>
    <w:rsid w:val="00F8238E"/>
    <w:rsid w:val="00F8323A"/>
    <w:rsid w:val="00F832E9"/>
    <w:rsid w:val="00F863D0"/>
    <w:rsid w:val="00F86F16"/>
    <w:rsid w:val="00FA0397"/>
    <w:rsid w:val="00FA115F"/>
    <w:rsid w:val="00FA2764"/>
    <w:rsid w:val="00FA699C"/>
    <w:rsid w:val="00FB3D8B"/>
    <w:rsid w:val="00FB4F5C"/>
    <w:rsid w:val="00FB6A69"/>
    <w:rsid w:val="00FC052C"/>
    <w:rsid w:val="00FD487B"/>
    <w:rsid w:val="00FE414E"/>
    <w:rsid w:val="00FE5FE2"/>
    <w:rsid w:val="00FE61D7"/>
    <w:rsid w:val="00FE7643"/>
    <w:rsid w:val="00FE79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614DB7-040C-4B74-B3F4-A52E207D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2B3"/>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2B3"/>
    <w:rPr>
      <w:rFonts w:cs="Times New Roman"/>
      <w:color w:val="0000FF"/>
      <w:u w:val="single"/>
    </w:rPr>
  </w:style>
  <w:style w:type="paragraph" w:styleId="ListParagraph">
    <w:name w:val="List Paragraph"/>
    <w:aliases w:val="2,Strip,H&amp;P List Paragraph,Saraksta rindkopa,Saraksta rindkopa1"/>
    <w:basedOn w:val="Normal"/>
    <w:link w:val="ListParagraphChar"/>
    <w:uiPriority w:val="34"/>
    <w:qFormat/>
    <w:rsid w:val="000952B3"/>
    <w:pPr>
      <w:ind w:left="720"/>
      <w:contextualSpacing/>
    </w:pPr>
    <w:rPr>
      <w:rFonts w:eastAsia="Times New Roman"/>
      <w:sz w:val="22"/>
      <w:szCs w:val="22"/>
    </w:rPr>
  </w:style>
  <w:style w:type="character" w:customStyle="1" w:styleId="ListParagraphChar">
    <w:name w:val="List Paragraph Char"/>
    <w:aliases w:val="2 Char,Strip Char,H&amp;P List Paragraph Char,Saraksta rindkopa Char,Saraksta rindkopa1 Char"/>
    <w:link w:val="ListParagraph"/>
    <w:uiPriority w:val="34"/>
    <w:qFormat/>
    <w:rsid w:val="000952B3"/>
    <w:rPr>
      <w:rFonts w:ascii="Times New Roman" w:eastAsia="Times New Roman" w:hAnsi="Times New Roman" w:cs="Times New Roman"/>
      <w:lang w:eastAsia="lv-LV"/>
    </w:rPr>
  </w:style>
  <w:style w:type="paragraph" w:customStyle="1" w:styleId="Default">
    <w:name w:val="Default"/>
    <w:rsid w:val="000952B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0952B3"/>
    <w:pPr>
      <w:spacing w:before="100" w:beforeAutospacing="1" w:after="100" w:afterAutospacing="1"/>
    </w:pPr>
    <w:rPr>
      <w:rFonts w:eastAsia="Times New Roman"/>
    </w:rPr>
  </w:style>
  <w:style w:type="paragraph" w:customStyle="1" w:styleId="naisnod">
    <w:name w:val="naisnod"/>
    <w:basedOn w:val="Normal"/>
    <w:rsid w:val="000952B3"/>
    <w:pPr>
      <w:spacing w:before="100" w:beforeAutospacing="1" w:after="100" w:afterAutospacing="1"/>
    </w:pPr>
    <w:rPr>
      <w:rFonts w:eastAsia="Times New Roman"/>
    </w:rPr>
  </w:style>
  <w:style w:type="character" w:styleId="CommentReference">
    <w:name w:val="annotation reference"/>
    <w:unhideWhenUsed/>
    <w:rsid w:val="00055596"/>
    <w:rPr>
      <w:sz w:val="16"/>
      <w:szCs w:val="16"/>
    </w:rPr>
  </w:style>
  <w:style w:type="paragraph" w:styleId="CommentText">
    <w:name w:val="annotation text"/>
    <w:basedOn w:val="Normal"/>
    <w:link w:val="CommentTextChar"/>
    <w:unhideWhenUsed/>
    <w:rsid w:val="00055596"/>
    <w:pPr>
      <w:spacing w:after="200"/>
    </w:pPr>
    <w:rPr>
      <w:rFonts w:ascii="Calibri" w:hAnsi="Calibri"/>
      <w:sz w:val="20"/>
      <w:szCs w:val="20"/>
      <w:lang w:val="x-none" w:eastAsia="x-none"/>
    </w:rPr>
  </w:style>
  <w:style w:type="character" w:customStyle="1" w:styleId="CommentTextChar">
    <w:name w:val="Comment Text Char"/>
    <w:basedOn w:val="DefaultParagraphFont"/>
    <w:link w:val="CommentText"/>
    <w:rsid w:val="00055596"/>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055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596"/>
    <w:rPr>
      <w:rFonts w:ascii="Segoe UI" w:eastAsia="Calibri" w:hAnsi="Segoe UI" w:cs="Segoe UI"/>
      <w:sz w:val="18"/>
      <w:szCs w:val="18"/>
      <w:lang w:eastAsia="lv-LV"/>
    </w:rPr>
  </w:style>
  <w:style w:type="table" w:styleId="TableGrid">
    <w:name w:val="Table Grid"/>
    <w:basedOn w:val="TableNormal"/>
    <w:uiPriority w:val="39"/>
    <w:rsid w:val="00DF40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045B"/>
    <w:pPr>
      <w:spacing w:before="100" w:beforeAutospacing="1" w:after="100" w:afterAutospacing="1"/>
    </w:pPr>
    <w:rPr>
      <w:rFonts w:eastAsia="Times New Roman"/>
    </w:rPr>
  </w:style>
  <w:style w:type="paragraph" w:styleId="Header">
    <w:name w:val="header"/>
    <w:basedOn w:val="Normal"/>
    <w:link w:val="HeaderChar"/>
    <w:uiPriority w:val="99"/>
    <w:unhideWhenUsed/>
    <w:rsid w:val="007A045B"/>
    <w:pPr>
      <w:tabs>
        <w:tab w:val="center" w:pos="4153"/>
        <w:tab w:val="right" w:pos="8306"/>
      </w:tabs>
    </w:pPr>
  </w:style>
  <w:style w:type="character" w:customStyle="1" w:styleId="HeaderChar">
    <w:name w:val="Header Char"/>
    <w:basedOn w:val="DefaultParagraphFont"/>
    <w:link w:val="Header"/>
    <w:uiPriority w:val="99"/>
    <w:rsid w:val="007A045B"/>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7A045B"/>
    <w:pPr>
      <w:tabs>
        <w:tab w:val="center" w:pos="4153"/>
        <w:tab w:val="right" w:pos="8306"/>
      </w:tabs>
    </w:pPr>
  </w:style>
  <w:style w:type="character" w:customStyle="1" w:styleId="FooterChar">
    <w:name w:val="Footer Char"/>
    <w:basedOn w:val="DefaultParagraphFont"/>
    <w:link w:val="Footer"/>
    <w:uiPriority w:val="99"/>
    <w:rsid w:val="007A045B"/>
    <w:rPr>
      <w:rFonts w:ascii="Times New Roman" w:eastAsia="Calibri"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B94D4E"/>
    <w:pPr>
      <w:spacing w:after="0"/>
    </w:pPr>
    <w:rPr>
      <w:rFonts w:ascii="Times New Roman" w:hAnsi="Times New Roman"/>
      <w:b/>
      <w:bCs/>
      <w:lang w:val="lv-LV" w:eastAsia="lv-LV"/>
    </w:rPr>
  </w:style>
  <w:style w:type="character" w:customStyle="1" w:styleId="CommentSubjectChar">
    <w:name w:val="Comment Subject Char"/>
    <w:basedOn w:val="CommentTextChar"/>
    <w:link w:val="CommentSubject"/>
    <w:uiPriority w:val="99"/>
    <w:semiHidden/>
    <w:rsid w:val="00B94D4E"/>
    <w:rPr>
      <w:rFonts w:ascii="Times New Roman" w:eastAsia="Calibri" w:hAnsi="Times New Roman" w:cs="Times New Roman"/>
      <w:b/>
      <w:bCs/>
      <w:sz w:val="20"/>
      <w:szCs w:val="20"/>
      <w:lang w:val="x-none" w:eastAsia="lv-LV"/>
    </w:rPr>
  </w:style>
  <w:style w:type="paragraph" w:styleId="Revision">
    <w:name w:val="Revision"/>
    <w:hidden/>
    <w:uiPriority w:val="99"/>
    <w:semiHidden/>
    <w:rsid w:val="004040B1"/>
    <w:pPr>
      <w:spacing w:after="0" w:line="240" w:lineRule="auto"/>
    </w:pPr>
    <w:rPr>
      <w:rFonts w:ascii="Times New Roman" w:eastAsia="Calibri" w:hAnsi="Times New Roman" w:cs="Times New Roman"/>
      <w:sz w:val="24"/>
      <w:szCs w:val="24"/>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rsid w:val="00B31328"/>
    <w:rPr>
      <w:vertAlign w:val="superscript"/>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rsid w:val="003F61CB"/>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3F61CB"/>
    <w:rPr>
      <w:rFonts w:ascii="Times New Roman" w:eastAsia="Calibri" w:hAnsi="Times New Roman" w:cs="Times New Roman"/>
      <w:sz w:val="20"/>
      <w:szCs w:val="20"/>
      <w:lang w:eastAsia="lv-LV"/>
    </w:rPr>
  </w:style>
  <w:style w:type="paragraph" w:customStyle="1" w:styleId="CharCharCharChar">
    <w:name w:val="Char Char Char Char"/>
    <w:aliases w:val="Char2"/>
    <w:basedOn w:val="Normal"/>
    <w:next w:val="Normal"/>
    <w:link w:val="FootnoteReference"/>
    <w:uiPriority w:val="99"/>
    <w:rsid w:val="00782C36"/>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PlainText">
    <w:name w:val="Plain Text"/>
    <w:basedOn w:val="Normal"/>
    <w:link w:val="PlainTextChar"/>
    <w:uiPriority w:val="99"/>
    <w:unhideWhenUsed/>
    <w:rsid w:val="00782C36"/>
    <w:rPr>
      <w:rFonts w:ascii="Calibri" w:hAnsi="Calibri"/>
      <w:color w:val="1F497D"/>
      <w:sz w:val="22"/>
      <w:szCs w:val="21"/>
      <w:lang w:val="x-none" w:eastAsia="en-US"/>
    </w:rPr>
  </w:style>
  <w:style w:type="character" w:customStyle="1" w:styleId="PlainTextChar">
    <w:name w:val="Plain Text Char"/>
    <w:basedOn w:val="DefaultParagraphFont"/>
    <w:link w:val="PlainText"/>
    <w:uiPriority w:val="99"/>
    <w:rsid w:val="00782C36"/>
    <w:rPr>
      <w:rFonts w:ascii="Calibri" w:eastAsia="Calibri" w:hAnsi="Calibri" w:cs="Times New Roman"/>
      <w:color w:val="1F497D"/>
      <w:szCs w:val="21"/>
      <w:lang w:val="x-none"/>
    </w:rPr>
  </w:style>
  <w:style w:type="character" w:styleId="FollowedHyperlink">
    <w:name w:val="FollowedHyperlink"/>
    <w:basedOn w:val="DefaultParagraphFont"/>
    <w:uiPriority w:val="99"/>
    <w:semiHidden/>
    <w:unhideWhenUsed/>
    <w:rsid w:val="004A23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372">
      <w:bodyDiv w:val="1"/>
      <w:marLeft w:val="0"/>
      <w:marRight w:val="0"/>
      <w:marTop w:val="0"/>
      <w:marBottom w:val="0"/>
      <w:divBdr>
        <w:top w:val="none" w:sz="0" w:space="0" w:color="auto"/>
        <w:left w:val="none" w:sz="0" w:space="0" w:color="auto"/>
        <w:bottom w:val="none" w:sz="0" w:space="0" w:color="auto"/>
        <w:right w:val="none" w:sz="0" w:space="0" w:color="auto"/>
      </w:divBdr>
    </w:div>
    <w:div w:id="158230493">
      <w:bodyDiv w:val="1"/>
      <w:marLeft w:val="0"/>
      <w:marRight w:val="0"/>
      <w:marTop w:val="0"/>
      <w:marBottom w:val="0"/>
      <w:divBdr>
        <w:top w:val="none" w:sz="0" w:space="0" w:color="auto"/>
        <w:left w:val="none" w:sz="0" w:space="0" w:color="auto"/>
        <w:bottom w:val="none" w:sz="0" w:space="0" w:color="auto"/>
        <w:right w:val="none" w:sz="0" w:space="0" w:color="auto"/>
      </w:divBdr>
    </w:div>
    <w:div w:id="255794755">
      <w:bodyDiv w:val="1"/>
      <w:marLeft w:val="0"/>
      <w:marRight w:val="0"/>
      <w:marTop w:val="0"/>
      <w:marBottom w:val="0"/>
      <w:divBdr>
        <w:top w:val="none" w:sz="0" w:space="0" w:color="auto"/>
        <w:left w:val="none" w:sz="0" w:space="0" w:color="auto"/>
        <w:bottom w:val="none" w:sz="0" w:space="0" w:color="auto"/>
        <w:right w:val="none" w:sz="0" w:space="0" w:color="auto"/>
      </w:divBdr>
    </w:div>
    <w:div w:id="1456213429">
      <w:bodyDiv w:val="1"/>
      <w:marLeft w:val="0"/>
      <w:marRight w:val="0"/>
      <w:marTop w:val="0"/>
      <w:marBottom w:val="0"/>
      <w:divBdr>
        <w:top w:val="none" w:sz="0" w:space="0" w:color="auto"/>
        <w:left w:val="none" w:sz="0" w:space="0" w:color="auto"/>
        <w:bottom w:val="none" w:sz="0" w:space="0" w:color="auto"/>
        <w:right w:val="none" w:sz="0" w:space="0" w:color="auto"/>
      </w:divBdr>
    </w:div>
    <w:div w:id="1677734371">
      <w:bodyDiv w:val="1"/>
      <w:marLeft w:val="0"/>
      <w:marRight w:val="0"/>
      <w:marTop w:val="0"/>
      <w:marBottom w:val="0"/>
      <w:divBdr>
        <w:top w:val="none" w:sz="0" w:space="0" w:color="auto"/>
        <w:left w:val="none" w:sz="0" w:space="0" w:color="auto"/>
        <w:bottom w:val="none" w:sz="0" w:space="0" w:color="auto"/>
        <w:right w:val="none" w:sz="0" w:space="0" w:color="auto"/>
      </w:divBdr>
    </w:div>
    <w:div w:id="17520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zm.gov.lv/lv/sabiedribas-lidzdaliba/sabiedriskajai-apspriesanai-nodotie-normativo-aktu-projek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Grike@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ta.svirksta@izm.gov.lv" TargetMode="Externa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A2A15-37F3-4B32-B88C-FE9DF8A5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2674</Words>
  <Characters>19603</Characters>
  <Application>Microsoft Office Word</Application>
  <DocSecurity>0</DocSecurity>
  <Lines>612</Lines>
  <Paragraphs>193</Paragraphs>
  <ScaleCrop>false</ScaleCrop>
  <HeadingPairs>
    <vt:vector size="2" baseType="variant">
      <vt:variant>
        <vt:lpstr>Title</vt:lpstr>
      </vt:variant>
      <vt:variant>
        <vt:i4>1</vt:i4>
      </vt:variant>
    </vt:vector>
  </HeadingPairs>
  <TitlesOfParts>
    <vt:vector size="1" baseType="lpstr">
      <vt:lpstr>Anotācija</vt:lpstr>
    </vt:vector>
  </TitlesOfParts>
  <Company>IZM</Company>
  <LinksUpToDate>false</LinksUpToDate>
  <CharactersWithSpaces>22084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Grozījumi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dc:subject>
  <dc:creator>Švirksta</dc:creator>
  <dc:description>Švirksta
67047878
Inta.Svirksta@izm.gov.lv</dc:description>
  <cp:lastModifiedBy>Inta Švirksta</cp:lastModifiedBy>
  <cp:revision>10</cp:revision>
  <cp:lastPrinted>2019-03-15T11:09:00Z</cp:lastPrinted>
  <dcterms:created xsi:type="dcterms:W3CDTF">2019-05-29T09:50:00Z</dcterms:created>
  <dcterms:modified xsi:type="dcterms:W3CDTF">2019-06-05T13:05:00Z</dcterms:modified>
</cp:coreProperties>
</file>