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5DEF9" w14:textId="77777777" w:rsidR="00A96EDA" w:rsidRPr="00D21CB9" w:rsidRDefault="00A96EDA" w:rsidP="00A96EDA">
      <w:pPr>
        <w:spacing w:after="120"/>
        <w:jc w:val="center"/>
        <w:rPr>
          <w:b/>
          <w:lang w:eastAsia="en-US"/>
        </w:rPr>
      </w:pPr>
      <w:r w:rsidRPr="00D21CB9">
        <w:rPr>
          <w:b/>
        </w:rPr>
        <w:t>Ministru kabineta rīkojuma projekta “Par informācijas sabiedrības attīstības pamatnostādņu ieviešanu publiskās pārvaldes informācijas sistēmu jomā (</w:t>
      </w:r>
      <w:proofErr w:type="spellStart"/>
      <w:r w:rsidRPr="00D21CB9">
        <w:rPr>
          <w:b/>
        </w:rPr>
        <w:t>mērķarhitektūra</w:t>
      </w:r>
      <w:proofErr w:type="spellEnd"/>
      <w:r w:rsidRPr="00D21CB9">
        <w:rPr>
          <w:b/>
        </w:rPr>
        <w:t xml:space="preserve"> 47.0 versija)” </w:t>
      </w:r>
      <w:r w:rsidRPr="00D21CB9">
        <w:rPr>
          <w:b/>
          <w:bCs/>
          <w:lang w:eastAsia="en-US"/>
        </w:rPr>
        <w:t>sākotnējās ietekmes novērtējuma ziņojums (anotācija)</w:t>
      </w:r>
      <w:r w:rsidRPr="00D21CB9">
        <w:rPr>
          <w:b/>
          <w:lang w:eastAsia="en-US"/>
        </w:rPr>
        <w:t> </w:t>
      </w:r>
    </w:p>
    <w:p w14:paraId="1987C00A" w14:textId="77777777" w:rsidR="00A96EDA" w:rsidRPr="00D21CB9" w:rsidRDefault="00A96EDA" w:rsidP="00A96EDA">
      <w:pPr>
        <w:jc w:val="center"/>
        <w:rPr>
          <w:b/>
          <w:bCs/>
          <w:lang w:eastAsia="en-US"/>
        </w:rPr>
      </w:pPr>
    </w:p>
    <w:tbl>
      <w:tblPr>
        <w:tblW w:w="5542" w:type="pct"/>
        <w:tblCellSpacing w:w="15" w:type="dxa"/>
        <w:tblInd w:w="-35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880"/>
      </w:tblGrid>
      <w:tr w:rsidR="00D21CB9" w:rsidRPr="00D21CB9" w14:paraId="11437246" w14:textId="77777777" w:rsidTr="00843E17">
        <w:trPr>
          <w:tblCellSpacing w:w="15" w:type="dxa"/>
        </w:trPr>
        <w:tc>
          <w:tcPr>
            <w:tcW w:w="4970" w:type="pct"/>
            <w:tcBorders>
              <w:top w:val="outset" w:sz="6" w:space="0" w:color="auto"/>
              <w:left w:val="outset" w:sz="6" w:space="0" w:color="auto"/>
              <w:bottom w:val="outset" w:sz="6" w:space="0" w:color="auto"/>
              <w:right w:val="outset" w:sz="6" w:space="0" w:color="auto"/>
            </w:tcBorders>
            <w:vAlign w:val="center"/>
            <w:hideMark/>
          </w:tcPr>
          <w:p w14:paraId="07DF0159" w14:textId="77777777" w:rsidR="00A96EDA" w:rsidRPr="00D21CB9" w:rsidRDefault="00A96EDA" w:rsidP="00843E17">
            <w:pPr>
              <w:jc w:val="center"/>
              <w:rPr>
                <w:b/>
                <w:bCs/>
                <w:iCs/>
                <w:lang w:val="sv-SE" w:eastAsia="en-US"/>
              </w:rPr>
            </w:pPr>
            <w:r w:rsidRPr="00D21CB9">
              <w:rPr>
                <w:b/>
                <w:bCs/>
                <w:iCs/>
                <w:lang w:val="sv-SE" w:eastAsia="en-US"/>
              </w:rPr>
              <w:t>Tiesību akta projekta anotācijas kopsavilkums</w:t>
            </w:r>
          </w:p>
        </w:tc>
      </w:tr>
      <w:tr w:rsidR="00D21CB9" w:rsidRPr="00D21CB9" w14:paraId="4E2D61AC" w14:textId="77777777" w:rsidTr="00843E17">
        <w:trPr>
          <w:tblCellSpacing w:w="15" w:type="dxa"/>
        </w:trPr>
        <w:tc>
          <w:tcPr>
            <w:tcW w:w="4970" w:type="pct"/>
            <w:tcBorders>
              <w:top w:val="outset" w:sz="6" w:space="0" w:color="auto"/>
              <w:left w:val="outset" w:sz="6" w:space="0" w:color="auto"/>
              <w:bottom w:val="outset" w:sz="6" w:space="0" w:color="auto"/>
              <w:right w:val="outset" w:sz="6" w:space="0" w:color="auto"/>
            </w:tcBorders>
          </w:tcPr>
          <w:p w14:paraId="6383B115" w14:textId="12CA4A82" w:rsidR="00A96EDA" w:rsidRPr="00D21CB9" w:rsidRDefault="00D21CB9" w:rsidP="001E7DD0">
            <w:pPr>
              <w:jc w:val="both"/>
              <w:rPr>
                <w:iCs/>
                <w:lang w:val="sv-SE" w:eastAsia="en-US"/>
              </w:rPr>
            </w:pPr>
            <w:r w:rsidRPr="00D21CB9">
              <w:rPr>
                <w:iCs/>
                <w:lang w:val="x-none" w:eastAsia="en-US"/>
              </w:rPr>
              <w:t xml:space="preserve">Ar </w:t>
            </w:r>
            <w:r w:rsidRPr="00D21CB9">
              <w:rPr>
                <w:iCs/>
                <w:lang w:eastAsia="en-US"/>
              </w:rPr>
              <w:t xml:space="preserve">Ministru kabineta rīkojuma projektu </w:t>
            </w:r>
            <w:r w:rsidR="001E7DD0">
              <w:rPr>
                <w:iCs/>
                <w:lang w:eastAsia="en-US"/>
              </w:rPr>
              <w:t xml:space="preserve">paredzēts </w:t>
            </w:r>
            <w:r w:rsidRPr="00D21CB9">
              <w:rPr>
                <w:iCs/>
                <w:lang w:val="x-none" w:eastAsia="en-US"/>
              </w:rPr>
              <w:t>iekļaut</w:t>
            </w:r>
            <w:r w:rsidRPr="00D21CB9">
              <w:rPr>
                <w:iCs/>
                <w:lang w:eastAsia="en-US"/>
              </w:rPr>
              <w:t xml:space="preserve"> informācijas un komunikāciju tehnoloģiju  </w:t>
            </w:r>
            <w:proofErr w:type="spellStart"/>
            <w:r w:rsidRPr="00D21CB9">
              <w:rPr>
                <w:iCs/>
                <w:lang w:val="x-none" w:eastAsia="en-US"/>
              </w:rPr>
              <w:t>mērķarhitektūras</w:t>
            </w:r>
            <w:proofErr w:type="spellEnd"/>
            <w:r w:rsidRPr="00D21CB9">
              <w:rPr>
                <w:iCs/>
                <w:lang w:val="x-none" w:eastAsia="en-US"/>
              </w:rPr>
              <w:t xml:space="preserve"> </w:t>
            </w:r>
            <w:r w:rsidRPr="00D21CB9">
              <w:rPr>
                <w:iCs/>
                <w:lang w:eastAsia="en-US"/>
              </w:rPr>
              <w:t xml:space="preserve">47.0 </w:t>
            </w:r>
            <w:r w:rsidRPr="00D21CB9">
              <w:rPr>
                <w:iCs/>
                <w:lang w:val="x-none" w:eastAsia="en-US"/>
              </w:rPr>
              <w:t xml:space="preserve">versijā </w:t>
            </w:r>
            <w:r w:rsidRPr="00D21CB9">
              <w:rPr>
                <w:iCs/>
                <w:lang w:eastAsia="en-US"/>
              </w:rPr>
              <w:t>projekta apraksts</w:t>
            </w:r>
            <w:r w:rsidRPr="00D21CB9">
              <w:rPr>
                <w:iCs/>
                <w:lang w:val="x-none" w:eastAsia="en-US"/>
              </w:rPr>
              <w:t xml:space="preserve"> </w:t>
            </w:r>
            <w:r w:rsidRPr="00D21CB9">
              <w:rPr>
                <w:iCs/>
                <w:lang w:eastAsia="en-US"/>
              </w:rPr>
              <w:t>“</w:t>
            </w:r>
            <w:proofErr w:type="spellStart"/>
            <w:r w:rsidRPr="00D21CB9">
              <w:rPr>
                <w:iCs/>
                <w:lang w:eastAsia="en-US"/>
              </w:rPr>
              <w:t>Deinstitucionalizācijas</w:t>
            </w:r>
            <w:proofErr w:type="spellEnd"/>
            <w:r w:rsidRPr="00D21CB9">
              <w:rPr>
                <w:iCs/>
                <w:lang w:val="x-none" w:eastAsia="en-US"/>
              </w:rPr>
              <w:t xml:space="preserve"> procesu atbalsta </w:t>
            </w:r>
            <w:r w:rsidRPr="00D21CB9">
              <w:rPr>
                <w:iCs/>
                <w:lang w:eastAsia="en-US"/>
              </w:rPr>
              <w:t xml:space="preserve">informācijas </w:t>
            </w:r>
            <w:r w:rsidRPr="00D21CB9">
              <w:rPr>
                <w:iCs/>
                <w:lang w:val="x-none" w:eastAsia="en-US"/>
              </w:rPr>
              <w:t>sistēma (2.kārta)”</w:t>
            </w:r>
            <w:r w:rsidR="001E7DD0">
              <w:rPr>
                <w:iCs/>
                <w:lang w:eastAsia="en-US"/>
              </w:rPr>
              <w:t xml:space="preserve">. </w:t>
            </w:r>
            <w:r w:rsidR="001E7DD0" w:rsidRPr="001E7DD0">
              <w:rPr>
                <w:iCs/>
                <w:lang w:eastAsia="en-US"/>
              </w:rPr>
              <w:t xml:space="preserve">Projekta </w:t>
            </w:r>
            <w:r w:rsidR="001E7DD0">
              <w:rPr>
                <w:iCs/>
                <w:lang w:eastAsia="en-US"/>
              </w:rPr>
              <w:t>mē</w:t>
            </w:r>
            <w:r w:rsidR="001E7DD0" w:rsidRPr="001E7DD0">
              <w:rPr>
                <w:iCs/>
                <w:lang w:eastAsia="en-US"/>
              </w:rPr>
              <w:t xml:space="preserve">rķis ir nodrošināt </w:t>
            </w:r>
            <w:proofErr w:type="spellStart"/>
            <w:r w:rsidR="001E7DD0" w:rsidRPr="001E7DD0">
              <w:rPr>
                <w:iCs/>
                <w:lang w:eastAsia="en-US"/>
              </w:rPr>
              <w:t>deinstitucionalizācijas</w:t>
            </w:r>
            <w:proofErr w:type="spellEnd"/>
            <w:r w:rsidR="001E7DD0" w:rsidRPr="001E7DD0">
              <w:rPr>
                <w:iCs/>
                <w:lang w:eastAsia="en-US"/>
              </w:rPr>
              <w:t xml:space="preserve"> procesu atbalsta </w:t>
            </w:r>
            <w:r w:rsidR="005D7ED1">
              <w:rPr>
                <w:iCs/>
                <w:lang w:eastAsia="en-US"/>
              </w:rPr>
              <w:t xml:space="preserve">informācijas </w:t>
            </w:r>
            <w:r w:rsidR="001E7DD0" w:rsidRPr="001E7DD0">
              <w:rPr>
                <w:iCs/>
                <w:lang w:eastAsia="en-US"/>
              </w:rPr>
              <w:t>sistēmas ilgtspēju, lai paātrinātu ārpusģimenes aprūpes iestādēs dzīvojošu bērnu nokļūšanu audžuģimenē, kā arī uzlabot tehnisko palīglīdzekļu</w:t>
            </w:r>
            <w:r w:rsidR="001E7DD0">
              <w:rPr>
                <w:iCs/>
                <w:lang w:eastAsia="en-US"/>
              </w:rPr>
              <w:t xml:space="preserve"> </w:t>
            </w:r>
            <w:r w:rsidR="001E7DD0" w:rsidRPr="001E7DD0">
              <w:rPr>
                <w:iCs/>
                <w:lang w:eastAsia="en-US"/>
              </w:rPr>
              <w:t>piešķiršanas pakalpojuma efektivitāti, elektronizējot procesus un publiskos pakalpojumus, lai mazinātu iedzīvotājiem administratīvo slogu un veicinātu arvien aktīvāku valsts informācijas sistēmās esošo datu atkalizmantošanu valsts un pašvaldību iestādēs</w:t>
            </w:r>
            <w:r w:rsidR="001E7DD0">
              <w:rPr>
                <w:iCs/>
                <w:lang w:eastAsia="en-US"/>
              </w:rPr>
              <w:t>.</w:t>
            </w:r>
          </w:p>
        </w:tc>
      </w:tr>
    </w:tbl>
    <w:p w14:paraId="3E08E4AB" w14:textId="77777777" w:rsidR="00A96EDA" w:rsidRPr="00D21CB9" w:rsidRDefault="00A96EDA" w:rsidP="00A96EDA">
      <w:pPr>
        <w:jc w:val="center"/>
        <w:rPr>
          <w:b/>
          <w:lang w:eastAsia="en-US"/>
        </w:rPr>
      </w:pPr>
      <w:r w:rsidRPr="00D21CB9">
        <w:rPr>
          <w:b/>
          <w:iCs/>
          <w:lang w:val="sv-SE" w:eastAsia="en-US"/>
        </w:rPr>
        <w:t xml:space="preserve">  </w:t>
      </w:r>
    </w:p>
    <w:tbl>
      <w:tblPr>
        <w:tblW w:w="10126" w:type="dxa"/>
        <w:tblInd w:w="-430" w:type="dxa"/>
        <w:tblLayout w:type="fixed"/>
        <w:tblCellMar>
          <w:left w:w="57" w:type="dxa"/>
          <w:right w:w="57" w:type="dxa"/>
        </w:tblCellMar>
        <w:tblLook w:val="0000" w:firstRow="0" w:lastRow="0" w:firstColumn="0" w:lastColumn="0" w:noHBand="0" w:noVBand="0"/>
      </w:tblPr>
      <w:tblGrid>
        <w:gridCol w:w="762"/>
        <w:gridCol w:w="1986"/>
        <w:gridCol w:w="7378"/>
      </w:tblGrid>
      <w:tr w:rsidR="00D21CB9" w:rsidRPr="00D21CB9" w14:paraId="0D122355" w14:textId="77777777" w:rsidTr="00843E17">
        <w:trPr>
          <w:trHeight w:val="557"/>
        </w:trPr>
        <w:tc>
          <w:tcPr>
            <w:tcW w:w="1012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76393E26" w14:textId="77777777" w:rsidR="00A96EDA" w:rsidRPr="00D21CB9" w:rsidRDefault="00A96EDA" w:rsidP="00843E17">
            <w:pPr>
              <w:jc w:val="center"/>
            </w:pPr>
            <w:r w:rsidRPr="00D21CB9">
              <w:rPr>
                <w:b/>
                <w:bCs/>
                <w:lang w:eastAsia="en-US"/>
              </w:rPr>
              <w:t> I. Tiesību akta izstrādes nepieciešamība</w:t>
            </w:r>
          </w:p>
        </w:tc>
      </w:tr>
      <w:tr w:rsidR="00D21CB9" w:rsidRPr="00D21CB9" w14:paraId="641ADBFE" w14:textId="77777777" w:rsidTr="00843E17">
        <w:trPr>
          <w:trHeight w:val="271"/>
        </w:trPr>
        <w:tc>
          <w:tcPr>
            <w:tcW w:w="762" w:type="dxa"/>
            <w:tcBorders>
              <w:top w:val="thickThinLargeGap" w:sz="6" w:space="0" w:color="C0C0C0"/>
              <w:left w:val="thickThinLargeGap" w:sz="6" w:space="0" w:color="C0C0C0"/>
              <w:bottom w:val="thickThinLargeGap" w:sz="6" w:space="0" w:color="C0C0C0"/>
            </w:tcBorders>
            <w:shd w:val="clear" w:color="auto" w:fill="auto"/>
          </w:tcPr>
          <w:p w14:paraId="0BE21A2C" w14:textId="77777777" w:rsidR="00A96EDA" w:rsidRPr="00D21CB9" w:rsidRDefault="00A96EDA" w:rsidP="00843E17">
            <w:r w:rsidRPr="00D21CB9">
              <w:rPr>
                <w:lang w:eastAsia="en-US"/>
              </w:rPr>
              <w:t> 1.</w:t>
            </w:r>
          </w:p>
        </w:tc>
        <w:tc>
          <w:tcPr>
            <w:tcW w:w="1986" w:type="dxa"/>
            <w:tcBorders>
              <w:top w:val="thickThinLargeGap" w:sz="6" w:space="0" w:color="C0C0C0"/>
              <w:left w:val="thickThinLargeGap" w:sz="6" w:space="0" w:color="C0C0C0"/>
              <w:bottom w:val="thickThinLargeGap" w:sz="6" w:space="0" w:color="C0C0C0"/>
            </w:tcBorders>
            <w:shd w:val="clear" w:color="auto" w:fill="auto"/>
          </w:tcPr>
          <w:p w14:paraId="7C12B67D" w14:textId="77777777" w:rsidR="00A96EDA" w:rsidRPr="00D21CB9" w:rsidRDefault="00A96EDA" w:rsidP="00843E17">
            <w:r w:rsidRPr="00D21CB9">
              <w:rPr>
                <w:lang w:eastAsia="en-US"/>
              </w:rPr>
              <w:t>Pamatojums</w:t>
            </w:r>
          </w:p>
        </w:tc>
        <w:tc>
          <w:tcPr>
            <w:tcW w:w="737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EFD590" w14:textId="77777777" w:rsidR="00A96EDA" w:rsidRPr="00D21CB9" w:rsidRDefault="00A96EDA" w:rsidP="00A96EDA">
            <w:pPr>
              <w:numPr>
                <w:ilvl w:val="0"/>
                <w:numId w:val="2"/>
              </w:numPr>
              <w:ind w:left="85" w:right="210" w:hanging="85"/>
              <w:jc w:val="both"/>
            </w:pPr>
            <w:r w:rsidRPr="00D21CB9">
              <w:t>Ministru kabineta 2015. gada 17.novembra noteikumu Nr. 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 (turpmāk – īstenošanas noteikumi) 4. punkts un 13.2.apakšpunkts.</w:t>
            </w:r>
          </w:p>
          <w:p w14:paraId="2FE0F4C4" w14:textId="77777777" w:rsidR="00A96EDA" w:rsidRPr="00D21CB9" w:rsidRDefault="00A96EDA" w:rsidP="00A96EDA">
            <w:pPr>
              <w:numPr>
                <w:ilvl w:val="0"/>
                <w:numId w:val="2"/>
              </w:numPr>
              <w:ind w:left="85" w:right="210" w:hanging="85"/>
              <w:jc w:val="both"/>
            </w:pPr>
            <w:r w:rsidRPr="00D21CB9">
              <w:t>Ministru kabineta 2016.gada 10.februāra rīkojuma Nr.136 “Par informācijas sabiedrības attīstības pamatnostādņu ieviešanu publiskās pārvaldes informācijas sistēmu jomā” 4.</w:t>
            </w:r>
            <w:r w:rsidRPr="00D21CB9">
              <w:rPr>
                <w:vertAlign w:val="superscript"/>
              </w:rPr>
              <w:t>1</w:t>
            </w:r>
            <w:r w:rsidRPr="00D21CB9">
              <w:t>punkts.</w:t>
            </w:r>
          </w:p>
        </w:tc>
      </w:tr>
      <w:tr w:rsidR="00D21CB9" w:rsidRPr="00D21CB9" w14:paraId="76C890E9" w14:textId="77777777" w:rsidTr="00843E17">
        <w:trPr>
          <w:trHeight w:val="1545"/>
        </w:trPr>
        <w:tc>
          <w:tcPr>
            <w:tcW w:w="762" w:type="dxa"/>
            <w:tcBorders>
              <w:top w:val="thickThinLargeGap" w:sz="6" w:space="0" w:color="C0C0C0"/>
              <w:left w:val="thickThinLargeGap" w:sz="6" w:space="0" w:color="C0C0C0"/>
              <w:bottom w:val="thickThinLargeGap" w:sz="6" w:space="0" w:color="C0C0C0"/>
            </w:tcBorders>
            <w:shd w:val="clear" w:color="auto" w:fill="auto"/>
          </w:tcPr>
          <w:p w14:paraId="7576827A" w14:textId="77777777" w:rsidR="00A96EDA" w:rsidRPr="00D21CB9" w:rsidRDefault="00A96EDA" w:rsidP="00843E17">
            <w:r w:rsidRPr="00D21CB9">
              <w:rPr>
                <w:lang w:eastAsia="en-US"/>
              </w:rPr>
              <w:t> 2.</w:t>
            </w:r>
          </w:p>
        </w:tc>
        <w:tc>
          <w:tcPr>
            <w:tcW w:w="1986" w:type="dxa"/>
            <w:tcBorders>
              <w:top w:val="thickThinLargeGap" w:sz="6" w:space="0" w:color="C0C0C0"/>
              <w:left w:val="thickThinLargeGap" w:sz="6" w:space="0" w:color="C0C0C0"/>
              <w:bottom w:val="thickThinLargeGap" w:sz="6" w:space="0" w:color="C0C0C0"/>
            </w:tcBorders>
            <w:shd w:val="clear" w:color="auto" w:fill="auto"/>
          </w:tcPr>
          <w:p w14:paraId="5E786F0A" w14:textId="77777777" w:rsidR="00A96EDA" w:rsidRPr="00D21CB9" w:rsidRDefault="00A96EDA" w:rsidP="00843E17">
            <w:r w:rsidRPr="00D21CB9">
              <w:rPr>
                <w:lang w:eastAsia="en-US"/>
              </w:rPr>
              <w:t>Pašreizējā situācija un problēmas, kuru risināšanai tiesību akta projekts izstrādāts, tiesiskā regulējuma mērķis un būtība</w:t>
            </w:r>
          </w:p>
        </w:tc>
        <w:tc>
          <w:tcPr>
            <w:tcW w:w="737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82210D9" w14:textId="41E48714" w:rsidR="001B6063" w:rsidRPr="00D21CB9" w:rsidRDefault="00A96EDA" w:rsidP="001B6063">
            <w:pPr>
              <w:contextualSpacing/>
              <w:jc w:val="both"/>
              <w:rPr>
                <w:rFonts w:eastAsia="MS Mincho"/>
                <w:bCs/>
                <w:lang w:eastAsia="en-US"/>
              </w:rPr>
            </w:pPr>
            <w:r w:rsidRPr="00D21CB9">
              <w:rPr>
                <w:lang w:val="x-none"/>
              </w:rPr>
              <w:t xml:space="preserve">Ar </w:t>
            </w:r>
            <w:r w:rsidRPr="00D21CB9">
              <w:rPr>
                <w:lang w:eastAsia="en-US"/>
              </w:rPr>
              <w:t xml:space="preserve">Ministru kabineta rīkojuma projektu </w:t>
            </w:r>
            <w:r w:rsidRPr="00D21CB9">
              <w:rPr>
                <w:lang w:val="x-none"/>
              </w:rPr>
              <w:t>tiek apstiprināts un iekļauts</w:t>
            </w:r>
            <w:r w:rsidRPr="00D21CB9">
              <w:t xml:space="preserve"> informācijas un komunikāciju tehnoloģiju (turpmāk – IKT) </w:t>
            </w:r>
            <w:proofErr w:type="spellStart"/>
            <w:r w:rsidRPr="00D21CB9">
              <w:rPr>
                <w:lang w:val="x-none"/>
              </w:rPr>
              <w:t>mērķarhitektūras</w:t>
            </w:r>
            <w:proofErr w:type="spellEnd"/>
            <w:r w:rsidRPr="00D21CB9">
              <w:rPr>
                <w:lang w:val="x-none"/>
              </w:rPr>
              <w:t xml:space="preserve"> </w:t>
            </w:r>
            <w:r w:rsidRPr="00D21CB9">
              <w:t xml:space="preserve">47.0 </w:t>
            </w:r>
            <w:r w:rsidRPr="00D21CB9">
              <w:rPr>
                <w:lang w:val="x-none"/>
              </w:rPr>
              <w:t xml:space="preserve">versijā </w:t>
            </w:r>
            <w:r w:rsidRPr="00D21CB9">
              <w:t>projekta apraksts</w:t>
            </w:r>
            <w:r w:rsidRPr="00D21CB9">
              <w:rPr>
                <w:lang w:val="x-none"/>
              </w:rPr>
              <w:t xml:space="preserve"> </w:t>
            </w:r>
            <w:r w:rsidRPr="00D21CB9">
              <w:t>“</w:t>
            </w:r>
            <w:proofErr w:type="spellStart"/>
            <w:r w:rsidRPr="00D21CB9">
              <w:t>D</w:t>
            </w:r>
            <w:r w:rsidR="00D21CB9">
              <w:t>einstitucionalizācijas</w:t>
            </w:r>
            <w:proofErr w:type="spellEnd"/>
            <w:r w:rsidRPr="00D21CB9">
              <w:rPr>
                <w:lang w:val="x-none"/>
              </w:rPr>
              <w:t xml:space="preserve"> procesu atbalsta </w:t>
            </w:r>
            <w:r w:rsidRPr="00D21CB9">
              <w:t xml:space="preserve">informācijas </w:t>
            </w:r>
            <w:r w:rsidRPr="00D21CB9">
              <w:rPr>
                <w:lang w:val="x-none"/>
              </w:rPr>
              <w:t xml:space="preserve">sistēma (2.kārta)” (turpmāk – </w:t>
            </w:r>
            <w:r w:rsidRPr="00D21CB9">
              <w:t>DI projekts</w:t>
            </w:r>
            <w:r w:rsidRPr="00D21CB9">
              <w:rPr>
                <w:lang w:val="x-none"/>
              </w:rPr>
              <w:t>), kas tika izv</w:t>
            </w:r>
            <w:r w:rsidRPr="00D21CB9">
              <w:t xml:space="preserve">ērtēts atbilstoši Vides aizsardzības un reģionālās attīstības ministrijas (turpmāk – VARAM) izstrādātajai un apstiprinātajai metodikai par projektu iekļaušanu IKT </w:t>
            </w:r>
            <w:proofErr w:type="spellStart"/>
            <w:r w:rsidRPr="00D21CB9">
              <w:t>mērķarhitektūrā</w:t>
            </w:r>
            <w:proofErr w:type="spellEnd"/>
            <w:r w:rsidRPr="00D21CB9">
              <w:t xml:space="preserve">. VARAM ir atbalstījis DI projekta iekļaušanu IKT </w:t>
            </w:r>
            <w:proofErr w:type="spellStart"/>
            <w:r w:rsidRPr="00D21CB9">
              <w:t>mērķarhitektūras</w:t>
            </w:r>
            <w:proofErr w:type="spellEnd"/>
            <w:r w:rsidRPr="00D21CB9">
              <w:t xml:space="preserve"> kārtējā versijā. DI projekts</w:t>
            </w:r>
            <w:r w:rsidRPr="00D21CB9">
              <w:rPr>
                <w:rFonts w:eastAsia="MS Mincho"/>
                <w:bCs/>
                <w:lang w:eastAsia="en-US"/>
              </w:rPr>
              <w:t xml:space="preserve"> veicina darbības programmas “Izaugsme un nodarbinātība” specifiskā atbalsta mērķa "Nodrošināt publisko datu atkalizmantošanas pieaugumu un efektīvu publiskās pārvaldes un privātā sektora mijiedarbību" 2.2.1.1.pasākumam "Centralizētu publiskās pārvaldes IKT platformu izveide, publiskās pārvaldes procesu optimizēšana un attīstība" izvirzīto rādītāju sasniegšanu pilnveidojot 7 pamatdarbības procesus, izveidojot 10 datu kopas publicēšanai </w:t>
            </w:r>
            <w:proofErr w:type="spellStart"/>
            <w:r w:rsidRPr="00D21CB9">
              <w:rPr>
                <w:rFonts w:eastAsia="MS Mincho"/>
                <w:bCs/>
                <w:lang w:eastAsia="en-US"/>
              </w:rPr>
              <w:t>atkalizmantojamo</w:t>
            </w:r>
            <w:proofErr w:type="spellEnd"/>
            <w:r w:rsidRPr="00D21CB9">
              <w:rPr>
                <w:rFonts w:eastAsia="MS Mincho"/>
                <w:bCs/>
                <w:lang w:eastAsia="en-US"/>
              </w:rPr>
              <w:t xml:space="preserve"> datu formātos un ieviešot 3 elektroniskos pakalpojumus. </w:t>
            </w:r>
            <w:r w:rsidR="001B6063" w:rsidRPr="00D21CB9">
              <w:rPr>
                <w:rFonts w:eastAsia="MS Mincho"/>
                <w:bCs/>
                <w:lang w:eastAsia="en-US"/>
              </w:rPr>
              <w:t xml:space="preserve">DI projektam nav ietekmes uz darbības programmas “Izaugsme un nodarbinātība” rādītāja “Centralizētas atvērtas informācijas sistēmu platformas, skaits” palielināšanu, jo projekta rezultātā tiks izveidots jauns modulis uz Iekšlietu ministrijas Informācijas centra platformas </w:t>
            </w:r>
            <w:r w:rsidR="001B6063" w:rsidRPr="00D21CB9">
              <w:rPr>
                <w:rFonts w:eastAsia="MS Mincho"/>
                <w:bCs/>
                <w:lang w:eastAsia="en-US"/>
              </w:rPr>
              <w:lastRenderedPageBreak/>
              <w:t xml:space="preserve">(turpmāk – IeM IC) – Iekšlietu </w:t>
            </w:r>
            <w:proofErr w:type="spellStart"/>
            <w:r w:rsidR="001B6063" w:rsidRPr="00D21CB9">
              <w:rPr>
                <w:rFonts w:eastAsia="MS Mincho"/>
                <w:bCs/>
                <w:lang w:eastAsia="en-US"/>
              </w:rPr>
              <w:t>intergrētā</w:t>
            </w:r>
            <w:proofErr w:type="spellEnd"/>
            <w:r w:rsidR="001B6063" w:rsidRPr="00D21CB9">
              <w:rPr>
                <w:rFonts w:eastAsia="MS Mincho"/>
                <w:bCs/>
                <w:lang w:eastAsia="en-US"/>
              </w:rPr>
              <w:t xml:space="preserve"> informācijas sistēmā (turpmāk – IIIS).</w:t>
            </w:r>
          </w:p>
          <w:p w14:paraId="7B494A61" w14:textId="33023E70" w:rsidR="00A96EDA" w:rsidRPr="00D21CB9" w:rsidRDefault="00A96EDA" w:rsidP="00843E17">
            <w:pPr>
              <w:jc w:val="both"/>
            </w:pPr>
            <w:r w:rsidRPr="00D21CB9">
              <w:rPr>
                <w:rFonts w:eastAsia="MS Mincho" w:cs="Segoe UI"/>
                <w:b/>
                <w:bCs/>
                <w:szCs w:val="22"/>
              </w:rPr>
              <w:t>DI projektam ir izvirzīti šādi mērķi</w:t>
            </w:r>
            <w:r w:rsidRPr="00D21CB9">
              <w:rPr>
                <w:rFonts w:eastAsia="MS Mincho" w:cs="Segoe UI"/>
                <w:bCs/>
                <w:szCs w:val="22"/>
              </w:rPr>
              <w:t>:</w:t>
            </w:r>
          </w:p>
          <w:p w14:paraId="45B76D64" w14:textId="6AEDE97E" w:rsidR="00A96EDA" w:rsidRPr="00D21CB9" w:rsidRDefault="00A96EDA" w:rsidP="00843E17">
            <w:pPr>
              <w:pStyle w:val="NoSpacing"/>
              <w:spacing w:before="0"/>
              <w:rPr>
                <w:lang w:eastAsia="lv-LV"/>
              </w:rPr>
            </w:pPr>
            <w:r w:rsidRPr="00D21CB9">
              <w:rPr>
                <w:lang w:eastAsia="lv-LV"/>
              </w:rPr>
              <w:t xml:space="preserve">Projekta virsmērķis ir nodrošināt </w:t>
            </w:r>
            <w:proofErr w:type="spellStart"/>
            <w:r w:rsidRPr="00D21CB9">
              <w:rPr>
                <w:lang w:eastAsia="lv-LV"/>
              </w:rPr>
              <w:t>deinstitucionalizācijas</w:t>
            </w:r>
            <w:proofErr w:type="spellEnd"/>
            <w:r w:rsidRPr="00D21CB9">
              <w:rPr>
                <w:lang w:eastAsia="lv-LV"/>
              </w:rPr>
              <w:t xml:space="preserve"> procesu atbalsta </w:t>
            </w:r>
            <w:r w:rsidR="005D7ED1">
              <w:rPr>
                <w:lang w:eastAsia="lv-LV"/>
              </w:rPr>
              <w:t xml:space="preserve">informācijas </w:t>
            </w:r>
            <w:r w:rsidRPr="00D21CB9">
              <w:rPr>
                <w:lang w:eastAsia="lv-LV"/>
              </w:rPr>
              <w:t>sistēmas ilgtspēju, lai paātrinātu ārpusģimenes aprūpes iestādēs dzīvojošu bērnu nokļūšanu audžuģimenē, kā arī uzlabot tehnisko palīglīdzekļu (turpmāk – TPL) piešķiršanas pakalpojuma efektivitāti, elektronizējot procesus un publiskos pakalpojumus, lai mazinātu iedzīvotājiem administratīvo slogu un veicinātu arvien aktīvāku valsts informācijas sistēmās esošo datu atkalizmantošanu valsts un pašvaldību iestādēs, nepieprasot datu subjektiem iesniegt tos atkārtoti.</w:t>
            </w:r>
          </w:p>
          <w:p w14:paraId="28EC5C70" w14:textId="77777777" w:rsidR="00A96EDA" w:rsidRPr="00D21CB9" w:rsidRDefault="00A96EDA" w:rsidP="00843E17">
            <w:pPr>
              <w:pStyle w:val="NoSpacing"/>
              <w:spacing w:before="0"/>
              <w:rPr>
                <w:lang w:eastAsia="lv-LV"/>
              </w:rPr>
            </w:pPr>
            <w:r w:rsidRPr="00D21CB9">
              <w:rPr>
                <w:lang w:eastAsia="lv-LV"/>
              </w:rPr>
              <w:t>Projekta apakšmērķi:</w:t>
            </w:r>
          </w:p>
          <w:p w14:paraId="0EA2F6A1" w14:textId="3C78A8F2" w:rsidR="00A96EDA" w:rsidRPr="00D21CB9" w:rsidRDefault="00A96EDA" w:rsidP="00A96EDA">
            <w:pPr>
              <w:pStyle w:val="NoSpacing"/>
              <w:numPr>
                <w:ilvl w:val="0"/>
                <w:numId w:val="3"/>
              </w:numPr>
              <w:spacing w:before="0"/>
              <w:rPr>
                <w:lang w:eastAsia="lv-LV"/>
              </w:rPr>
            </w:pPr>
            <w:r w:rsidRPr="00D21CB9">
              <w:rPr>
                <w:lang w:eastAsia="lv-LV"/>
              </w:rPr>
              <w:t>Modernizēt Audžuģimeņu informācijas sistēmu (turpmāk – sistēma AGIS), attīstot uz atvērtā koda tehnoloģiju bāzētas platformas</w:t>
            </w:r>
            <w:r w:rsidR="001B6063" w:rsidRPr="00D21CB9">
              <w:rPr>
                <w:rFonts w:eastAsia="Times New Roman"/>
                <w:szCs w:val="24"/>
                <w:lang w:eastAsia="zh-CN"/>
              </w:rPr>
              <w:t xml:space="preserve"> </w:t>
            </w:r>
            <w:r w:rsidR="001B6063" w:rsidRPr="00D21CB9">
              <w:rPr>
                <w:lang w:eastAsia="lv-LV"/>
              </w:rPr>
              <w:t>Iekšlietu integrētā informācijas sistēmā kā jaunu moduli</w:t>
            </w:r>
            <w:r w:rsidRPr="00D21CB9">
              <w:rPr>
                <w:lang w:eastAsia="lv-LV"/>
              </w:rPr>
              <w:t>.</w:t>
            </w:r>
          </w:p>
          <w:p w14:paraId="1CDC2BF9" w14:textId="77777777" w:rsidR="00A96EDA" w:rsidRPr="00D21CB9" w:rsidRDefault="00A96EDA" w:rsidP="00A96EDA">
            <w:pPr>
              <w:pStyle w:val="NoSpacing"/>
              <w:numPr>
                <w:ilvl w:val="0"/>
                <w:numId w:val="3"/>
              </w:numPr>
              <w:spacing w:before="0"/>
              <w:rPr>
                <w:lang w:eastAsia="lv-LV"/>
              </w:rPr>
            </w:pPr>
            <w:r w:rsidRPr="00D21CB9">
              <w:rPr>
                <w:lang w:eastAsia="lv-LV"/>
              </w:rPr>
              <w:t>Paplašināt TPL pakalpojuma saņemšanas kanālu skaitu, piedāvājot klientiem elektroniski sniegto pakalpojumu iespējas.</w:t>
            </w:r>
          </w:p>
          <w:p w14:paraId="458FACC0" w14:textId="77777777" w:rsidR="00A96EDA" w:rsidRPr="00D21CB9" w:rsidRDefault="00A96EDA" w:rsidP="00A96EDA">
            <w:pPr>
              <w:pStyle w:val="NoSpacing"/>
              <w:numPr>
                <w:ilvl w:val="0"/>
                <w:numId w:val="3"/>
              </w:numPr>
              <w:spacing w:before="0"/>
              <w:rPr>
                <w:lang w:eastAsia="lv-LV"/>
              </w:rPr>
            </w:pPr>
            <w:r w:rsidRPr="00D21CB9">
              <w:rPr>
                <w:lang w:eastAsia="lv-LV"/>
              </w:rPr>
              <w:t>Elektronizēt TPL pakalpojuma administrēšanas procesus, ieviešot jaunu, uz procesiem balstītu funkcionalitāti Valsts sociālās politikas monitoringa informācijas sistēmā (turpmāk – SPOLIS).</w:t>
            </w:r>
          </w:p>
          <w:p w14:paraId="33E30B8E" w14:textId="77777777" w:rsidR="00A96EDA" w:rsidRPr="00D21CB9" w:rsidRDefault="00A96EDA" w:rsidP="00A96EDA">
            <w:pPr>
              <w:pStyle w:val="NoSpacing"/>
              <w:numPr>
                <w:ilvl w:val="0"/>
                <w:numId w:val="3"/>
              </w:numPr>
              <w:spacing w:before="0"/>
              <w:rPr>
                <w:lang w:eastAsia="lv-LV"/>
              </w:rPr>
            </w:pPr>
            <w:r w:rsidRPr="00D21CB9">
              <w:rPr>
                <w:lang w:eastAsia="lv-LV"/>
              </w:rPr>
              <w:t>Ieviest datu apmaiņas risinājumus TPL pakalpojuma kvalitātes uzlabošanai.</w:t>
            </w:r>
          </w:p>
          <w:p w14:paraId="283F1D34" w14:textId="77777777" w:rsidR="00A96EDA" w:rsidRPr="00D21CB9" w:rsidRDefault="00A96EDA" w:rsidP="00843E17">
            <w:pPr>
              <w:jc w:val="both"/>
              <w:rPr>
                <w:rFonts w:eastAsia="MS Mincho"/>
                <w:b/>
                <w:bCs/>
              </w:rPr>
            </w:pPr>
            <w:r w:rsidRPr="00D21CB9">
              <w:rPr>
                <w:rFonts w:eastAsia="MS Mincho" w:cs="Segoe UI"/>
                <w:b/>
                <w:bCs/>
                <w:szCs w:val="22"/>
              </w:rPr>
              <w:t>Risināmās problēmas:</w:t>
            </w:r>
            <w:r w:rsidRPr="00D21CB9">
              <w:t xml:space="preserve"> </w:t>
            </w:r>
          </w:p>
          <w:p w14:paraId="18502CD5" w14:textId="4FFA8014" w:rsidR="00A96EDA" w:rsidRPr="00D21CB9" w:rsidRDefault="00A96EDA" w:rsidP="00843E17">
            <w:pPr>
              <w:jc w:val="both"/>
              <w:rPr>
                <w:bCs/>
              </w:rPr>
            </w:pPr>
            <w:proofErr w:type="gramStart"/>
            <w:r w:rsidRPr="00D21CB9">
              <w:rPr>
                <w:bCs/>
              </w:rPr>
              <w:t>DI otrās kārtas</w:t>
            </w:r>
            <w:proofErr w:type="gramEnd"/>
            <w:r w:rsidRPr="00D21CB9">
              <w:rPr>
                <w:bCs/>
              </w:rPr>
              <w:t xml:space="preserve"> projekta rezultāts ir IKT sistēmu atbalsts </w:t>
            </w:r>
            <w:proofErr w:type="spellStart"/>
            <w:r w:rsidRPr="00D21CB9">
              <w:rPr>
                <w:bCs/>
              </w:rPr>
              <w:t>deinstitucionalizācijas</w:t>
            </w:r>
            <w:proofErr w:type="spellEnd"/>
            <w:r w:rsidRPr="00D21CB9">
              <w:rPr>
                <w:bCs/>
              </w:rPr>
              <w:t xml:space="preserve"> personu – ārpusģimenes aprūpē esošu bērnu paātrinātai nokļūšanai audžuģimenē vai specializētajā aud</w:t>
            </w:r>
            <w:r w:rsidR="005D7ED1">
              <w:rPr>
                <w:bCs/>
              </w:rPr>
              <w:t>žu</w:t>
            </w:r>
            <w:r w:rsidRPr="00D21CB9">
              <w:rPr>
                <w:bCs/>
              </w:rPr>
              <w:t xml:space="preserve">ģimenē, kā arī otras DI projekta mērķa grupas – savlaicīga TPL piegāde pilngadīgām personām ar funkcionāliem traucējumiem un bērniem ar funkcionāliem traucējumiem ģimenēs.  </w:t>
            </w:r>
          </w:p>
          <w:p w14:paraId="56D4B228" w14:textId="5F8F806E" w:rsidR="00A96EDA" w:rsidRPr="00D21CB9" w:rsidRDefault="00A96EDA" w:rsidP="00843E17">
            <w:pPr>
              <w:jc w:val="both"/>
              <w:rPr>
                <w:bCs/>
              </w:rPr>
            </w:pPr>
            <w:r w:rsidRPr="00D21CB9">
              <w:rPr>
                <w:bCs/>
              </w:rPr>
              <w:t>DI projekta otrajā kārtā nepieciešams paplašināt atbalsta sistēmu, attīstot Iekšlietu ministrijas Informāci</w:t>
            </w:r>
            <w:r w:rsidR="005D7ED1">
              <w:rPr>
                <w:bCs/>
              </w:rPr>
              <w:t>ja</w:t>
            </w:r>
            <w:r w:rsidRPr="00D21CB9">
              <w:rPr>
                <w:bCs/>
              </w:rPr>
              <w:t>s centra (turpmāk</w:t>
            </w:r>
            <w:r w:rsidR="005D7ED1">
              <w:rPr>
                <w:bCs/>
              </w:rPr>
              <w:t xml:space="preserve"> </w:t>
            </w:r>
            <w:r w:rsidRPr="00D21CB9">
              <w:rPr>
                <w:bCs/>
              </w:rPr>
              <w:t xml:space="preserve">- IeM IC) uzturēto sistēmu AGIS </w:t>
            </w:r>
            <w:proofErr w:type="gramStart"/>
            <w:r w:rsidRPr="00D21CB9">
              <w:rPr>
                <w:bCs/>
              </w:rPr>
              <w:t>un</w:t>
            </w:r>
            <w:proofErr w:type="gramEnd"/>
            <w:r w:rsidRPr="00D21CB9">
              <w:rPr>
                <w:bCs/>
              </w:rPr>
              <w:t xml:space="preserve"> turpinot pilnveidot funkcionalitāti, attīstot e-lietas konceptu, aizstājot līdzšinējo papīra lietu veidošanas praksi bāriņtiesās par personām un laulātajiem, kuriem piešķirts audžuģimenes statuss, tādējādi sniedzot aktuālu un kvalitatīvu informāciju AGIS lietotājiem par audžuģimenēm, kurās iespējams ievietot ārpusģimenes aprūpē esošus bērnus, kas tiek apstrādāta vienuviet un netiek dublēta citos informācijas nesējos vai informācijas fiksēšanas veidos. AGIS funkcionalitātes pilnveides turpināšana ir savstarpēji saistīta ar Nepil</w:t>
            </w:r>
            <w:r w:rsidR="007C7332" w:rsidRPr="00D21CB9">
              <w:rPr>
                <w:bCs/>
              </w:rPr>
              <w:t>n</w:t>
            </w:r>
            <w:r w:rsidRPr="00D21CB9">
              <w:rPr>
                <w:bCs/>
              </w:rPr>
              <w:t>gadīgo personu atbalsta informācijas sistēmā (NPAIS) veiktajiem uzlabojumiem DI projekta pirmajā kārtā attiecībā uz aktuālas un k</w:t>
            </w:r>
            <w:r w:rsidR="005D7ED1">
              <w:rPr>
                <w:bCs/>
              </w:rPr>
              <w:t>va</w:t>
            </w:r>
            <w:r w:rsidRPr="00D21CB9">
              <w:rPr>
                <w:bCs/>
              </w:rPr>
              <w:t>litatīvas informācijas apzināšanu par bērniem, kuri atrodas bērnu ap</w:t>
            </w:r>
            <w:r w:rsidR="007C7332" w:rsidRPr="00D21CB9">
              <w:rPr>
                <w:bCs/>
              </w:rPr>
              <w:t>r</w:t>
            </w:r>
            <w:r w:rsidRPr="00D21CB9">
              <w:rPr>
                <w:bCs/>
              </w:rPr>
              <w:t xml:space="preserve">ūpes iestādēs un kuriem nepieciešama audžuģimene. </w:t>
            </w:r>
          </w:p>
          <w:p w14:paraId="38C38D03" w14:textId="77777777" w:rsidR="00A96EDA" w:rsidRPr="00D21CB9" w:rsidRDefault="00A96EDA" w:rsidP="00843E17">
            <w:pPr>
              <w:jc w:val="both"/>
              <w:rPr>
                <w:bCs/>
              </w:rPr>
            </w:pPr>
          </w:p>
          <w:p w14:paraId="410575D2" w14:textId="77777777" w:rsidR="00A96EDA" w:rsidRPr="00D21CB9" w:rsidRDefault="00A96EDA" w:rsidP="00843E17">
            <w:pPr>
              <w:jc w:val="both"/>
              <w:rPr>
                <w:i/>
                <w:u w:val="single"/>
              </w:rPr>
            </w:pPr>
            <w:r w:rsidRPr="00D21CB9">
              <w:rPr>
                <w:i/>
                <w:u w:val="single"/>
              </w:rPr>
              <w:t>Audžuģimeņu informācijas sistēmas modernizācija:</w:t>
            </w:r>
          </w:p>
          <w:p w14:paraId="0985C8F1" w14:textId="4DCCEF65" w:rsidR="00A96EDA" w:rsidRPr="00D21CB9" w:rsidRDefault="00A96EDA" w:rsidP="00843E17">
            <w:pPr>
              <w:jc w:val="both"/>
            </w:pPr>
            <w:r w:rsidRPr="00D21CB9">
              <w:rPr>
                <w:lang w:eastAsia="lv-LV"/>
              </w:rPr>
              <w:t xml:space="preserve">Sistēma AGIS ir izstrādāta, lai tiktu vienkopus ievadīta informācija par audžuģimenēm, t.sk. specializētajām audžuģimenēm, un tajās ievietotajiem ārpusģimenes aprūpē esošajiem bērniem, tādējādi nodrošinot likumā „Grozījumi Bāriņtiesu likumā” (stājās spēkā 2018.gada 1.septembrī) Ministru kabinetam noteiktā pilnvarojuma izpildi. IeM IC ir Integrētās </w:t>
            </w:r>
            <w:r w:rsidRPr="00D21CB9">
              <w:rPr>
                <w:lang w:eastAsia="lv-LV"/>
              </w:rPr>
              <w:lastRenderedPageBreak/>
              <w:t>iekšlietu informācijas sistēmas apakšsistēmas “AGIS” turētājs un ir atbildīgs par tās tehnisko attīstību. Līdz ar to 2019.-2020.gada periodā ir ieplānots modernizēt visas IeM IC pārziņā esošās Integrētās iekšlietu informācijas sistēmas apakšsistēmas (kopā 13), pārvietojot tās uz atvērtā koda tehnoloģiju bāzētas platformas, tai skaitā arī apakšsistēmu “AGIS”. Pēc visu IeM IC informācijas apakšsistēmu pārnešanas uz jauno platformu līdzšinējais novecojušais Integrētās iekšlietu informācijas sistēmas risinājums, kas ticis izstrādāts deviņdesmitajos gados, vairs netiks uzturēts. Līdz ar to tiks zaudētas ieguldītās investīcijas sistēmā AGIS izveidē un biznesa process regresēs. Šī projekta ietvaros ir paredzēts modernizēt sistēmu AGIS, iekļaujot to kopējā jaunajā Ie</w:t>
            </w:r>
            <w:r w:rsidR="005D7ED1">
              <w:rPr>
                <w:lang w:eastAsia="lv-LV"/>
              </w:rPr>
              <w:t>M</w:t>
            </w:r>
            <w:r w:rsidRPr="00D21CB9">
              <w:rPr>
                <w:lang w:eastAsia="lv-LV"/>
              </w:rPr>
              <w:t xml:space="preserve"> IC infrastruktūrā. Projekta aktivitātes ir vērsts uz to, lai, pārnesot AGIS uz jauno IEM IC infrastruktūru, tajā tiktu veikti biznesam nepieciešamie pilnveidojumi. Infrastruktūras iegāde nav paredzēta šajā projektā</w:t>
            </w:r>
          </w:p>
          <w:p w14:paraId="31FD6DA8" w14:textId="77777777" w:rsidR="00A96EDA" w:rsidRPr="00D21CB9" w:rsidRDefault="00A96EDA" w:rsidP="00843E17">
            <w:pPr>
              <w:jc w:val="both"/>
              <w:rPr>
                <w:i/>
                <w:u w:val="single"/>
              </w:rPr>
            </w:pPr>
            <w:r w:rsidRPr="00D21CB9">
              <w:rPr>
                <w:i/>
                <w:u w:val="single"/>
              </w:rPr>
              <w:t>Tehnisko palīglīdzekļu administrēšanas moduļa izstrāde:</w:t>
            </w:r>
          </w:p>
          <w:p w14:paraId="626487BE" w14:textId="77777777" w:rsidR="00A96EDA" w:rsidRPr="00D21CB9" w:rsidRDefault="00A96EDA" w:rsidP="00843E17">
            <w:pPr>
              <w:jc w:val="both"/>
            </w:pPr>
            <w:r w:rsidRPr="00D21CB9">
              <w:t>Saskaņā ar Sociālo pakalpojumu un sociālās palīdzības likumu TPL pakalpojuma administrēšana ir deleģēta VSIA “Nacionālais rehabilitācijas centram “Vaivari”” (turpmāk – VSIA NRC “Vaivari”, Latvijas Neredzīgo biedrībai (turpmāk - LNB) un Latvijas Nedzirdīgo savienībai (turpmāk - LNS). Ar šī moduļa palīdzību varēs ātrāk apstrādāt pieprasījumus, pārvaldīt/uzraudzīt pieprasījumus pēc TPL un ātrāk nodrošināt tā pieejamību. Informācijas sistēmas, ko izmanto VSIA NRC “Vaivari”, LNS un LNB nav pilnībā drošas personu sensitīvo datu aizsardzībai. Projekta ietvaros ir paredzēts izpētīt biznesa procesus un veikt to optimizāciju, iesaistot progresīvākus tehniskus IT risinājumus, izstrādājot šādu funkcionalitāti sistēmā SPOLIS. Papildu klientu vajadzībām tiks izstrādāti jauni e-pakalpojumi saziņai ar TPL pakalpojuma administratoru, bet ieplānotie datu apmaiņas risinājumi ar ārējām informācijas sistēmu datu bāzēm nodrošinās aktīvāku valsts informācijas sistēmās esošo datu atkalizmantošanu valsts un pašvaldību iestādēs, nepieprasot datu subjektiem iesniegt tos atkārtoti.</w:t>
            </w:r>
          </w:p>
          <w:p w14:paraId="45B86954" w14:textId="77777777" w:rsidR="00A96EDA" w:rsidRPr="00D21CB9" w:rsidRDefault="00A96EDA" w:rsidP="00843E17">
            <w:pPr>
              <w:pStyle w:val="ISBodyText"/>
              <w:spacing w:before="0" w:after="0"/>
              <w:rPr>
                <w:rFonts w:ascii="Times New Roman" w:hAnsi="Times New Roman" w:cs="Times New Roman"/>
                <w:sz w:val="24"/>
                <w:szCs w:val="24"/>
              </w:rPr>
            </w:pPr>
            <w:r w:rsidRPr="00D21CB9">
              <w:rPr>
                <w:rFonts w:ascii="Times New Roman" w:hAnsi="Times New Roman" w:cs="Times New Roman"/>
                <w:sz w:val="24"/>
                <w:szCs w:val="24"/>
              </w:rPr>
              <w:t>TPL administrēšanas moduļa izstrāde informācijas sistēmā SPOLIS papildina iesākto sistēmas SPOLIS attīstību valsts finansēto sociālās rehabilitācijas pakalpojumu sadaļā un tiešā veidā uzlabo informācijas pieejamību un pakalpojuma sniegšanas kvalitāti personām ar invaliditāti, tai skaitā arī DI procesā iesaistītajām mērķa grupām.</w:t>
            </w:r>
          </w:p>
          <w:p w14:paraId="4EAD852B" w14:textId="77777777" w:rsidR="00A96EDA" w:rsidRPr="00D21CB9" w:rsidRDefault="00A96EDA" w:rsidP="00843E17">
            <w:pPr>
              <w:pStyle w:val="ISBodyText"/>
              <w:spacing w:before="0" w:after="0"/>
              <w:rPr>
                <w:rFonts w:ascii="Times New Roman" w:hAnsi="Times New Roman" w:cs="Times New Roman"/>
                <w:sz w:val="24"/>
                <w:szCs w:val="24"/>
              </w:rPr>
            </w:pPr>
            <w:r w:rsidRPr="00D21CB9">
              <w:rPr>
                <w:rFonts w:ascii="Times New Roman" w:hAnsi="Times New Roman" w:cs="Times New Roman"/>
                <w:i/>
                <w:sz w:val="24"/>
                <w:szCs w:val="24"/>
                <w:u w:val="single"/>
              </w:rPr>
              <w:t>DI projekta ietvaros tā mērķu sasniegšanai plānota šādu darbību īstenošana</w:t>
            </w:r>
            <w:r w:rsidRPr="00D21CB9">
              <w:rPr>
                <w:rFonts w:ascii="Times New Roman" w:hAnsi="Times New Roman" w:cs="Times New Roman"/>
                <w:sz w:val="24"/>
                <w:szCs w:val="24"/>
              </w:rPr>
              <w:t>:</w:t>
            </w:r>
          </w:p>
          <w:tbl>
            <w:tblPr>
              <w:tblW w:w="5000" w:type="pct"/>
              <w:tblBorders>
                <w:top w:val="single" w:sz="6" w:space="0" w:color="E8EEF4"/>
                <w:left w:val="single" w:sz="6" w:space="0" w:color="E8EEF4"/>
                <w:bottom w:val="single" w:sz="6" w:space="0" w:color="E8EEF4"/>
                <w:right w:val="single" w:sz="6" w:space="0" w:color="E8EEF4"/>
              </w:tblBorders>
              <w:tblLayout w:type="fixed"/>
              <w:tblCellMar>
                <w:top w:w="15" w:type="dxa"/>
                <w:left w:w="15" w:type="dxa"/>
                <w:bottom w:w="15" w:type="dxa"/>
                <w:right w:w="15" w:type="dxa"/>
              </w:tblCellMar>
              <w:tblLook w:val="04A0" w:firstRow="1" w:lastRow="0" w:firstColumn="1" w:lastColumn="0" w:noHBand="0" w:noVBand="1"/>
            </w:tblPr>
            <w:tblGrid>
              <w:gridCol w:w="935"/>
              <w:gridCol w:w="6313"/>
            </w:tblGrid>
            <w:tr w:rsidR="00D21CB9" w:rsidRPr="00D21CB9" w14:paraId="0188038E" w14:textId="77777777" w:rsidTr="00F47EDF">
              <w:tc>
                <w:tcPr>
                  <w:tcW w:w="935" w:type="dxa"/>
                  <w:tcBorders>
                    <w:top w:val="single" w:sz="6" w:space="0" w:color="C1E2E2"/>
                    <w:left w:val="single" w:sz="6" w:space="0" w:color="C1E2E2"/>
                    <w:bottom w:val="single" w:sz="6" w:space="0" w:color="C1E2E2"/>
                    <w:right w:val="single" w:sz="6" w:space="0" w:color="C1E2E2"/>
                  </w:tcBorders>
                  <w:shd w:val="clear" w:color="auto" w:fill="E8EEF4"/>
                  <w:tcMar>
                    <w:top w:w="90" w:type="dxa"/>
                    <w:left w:w="75" w:type="dxa"/>
                    <w:bottom w:w="90" w:type="dxa"/>
                    <w:right w:w="75" w:type="dxa"/>
                  </w:tcMar>
                  <w:vAlign w:val="center"/>
                  <w:hideMark/>
                </w:tcPr>
                <w:p w14:paraId="4ED9E7CA" w14:textId="77777777" w:rsidR="00F47EDF" w:rsidRPr="00D21CB9" w:rsidRDefault="00F47EDF" w:rsidP="00F47EDF">
                  <w:pPr>
                    <w:tabs>
                      <w:tab w:val="left" w:pos="567"/>
                    </w:tabs>
                    <w:spacing w:line="276" w:lineRule="auto"/>
                    <w:jc w:val="both"/>
                    <w:rPr>
                      <w:rFonts w:eastAsia="Calibri"/>
                    </w:rPr>
                  </w:pPr>
                  <w:proofErr w:type="spellStart"/>
                  <w:r w:rsidRPr="00D21CB9">
                    <w:rPr>
                      <w:rFonts w:eastAsia="Calibri"/>
                    </w:rPr>
                    <w:t>Nr.p.k</w:t>
                  </w:r>
                  <w:proofErr w:type="spellEnd"/>
                  <w:r w:rsidRPr="00D21CB9">
                    <w:rPr>
                      <w:rFonts w:eastAsia="Calibri"/>
                    </w:rPr>
                    <w:t>.</w:t>
                  </w:r>
                </w:p>
              </w:tc>
              <w:tc>
                <w:tcPr>
                  <w:tcW w:w="6313" w:type="dxa"/>
                  <w:tcBorders>
                    <w:top w:val="single" w:sz="6" w:space="0" w:color="C1E2E2"/>
                    <w:left w:val="single" w:sz="6" w:space="0" w:color="C1E2E2"/>
                    <w:bottom w:val="single" w:sz="6" w:space="0" w:color="C1E2E2"/>
                    <w:right w:val="single" w:sz="6" w:space="0" w:color="C1E2E2"/>
                  </w:tcBorders>
                  <w:shd w:val="clear" w:color="auto" w:fill="E8EEF4"/>
                  <w:tcMar>
                    <w:top w:w="90" w:type="dxa"/>
                    <w:left w:w="75" w:type="dxa"/>
                    <w:bottom w:w="90" w:type="dxa"/>
                    <w:right w:w="75" w:type="dxa"/>
                  </w:tcMar>
                  <w:vAlign w:val="center"/>
                  <w:hideMark/>
                </w:tcPr>
                <w:p w14:paraId="189E073A" w14:textId="77777777" w:rsidR="00F47EDF" w:rsidRPr="00D21CB9" w:rsidRDefault="00F47EDF" w:rsidP="00F47EDF">
                  <w:pPr>
                    <w:tabs>
                      <w:tab w:val="left" w:pos="567"/>
                    </w:tabs>
                    <w:spacing w:line="276" w:lineRule="auto"/>
                    <w:jc w:val="both"/>
                    <w:rPr>
                      <w:rFonts w:eastAsia="Calibri"/>
                    </w:rPr>
                  </w:pPr>
                  <w:r w:rsidRPr="00D21CB9">
                    <w:rPr>
                      <w:rFonts w:eastAsia="Calibri"/>
                    </w:rPr>
                    <w:t>Projekta darbība</w:t>
                  </w:r>
                </w:p>
              </w:tc>
            </w:tr>
            <w:tr w:rsidR="00D21CB9" w:rsidRPr="00D21CB9" w14:paraId="01F5FAF1"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9FD1D00" w14:textId="77777777" w:rsidR="00F47EDF" w:rsidRPr="00D21CB9" w:rsidRDefault="00F47EDF" w:rsidP="00F47EDF">
                  <w:pPr>
                    <w:tabs>
                      <w:tab w:val="left" w:pos="567"/>
                    </w:tabs>
                    <w:spacing w:line="276" w:lineRule="auto"/>
                    <w:jc w:val="both"/>
                    <w:rPr>
                      <w:rFonts w:eastAsia="Calibri"/>
                    </w:rPr>
                  </w:pPr>
                  <w:r w:rsidRPr="00D21CB9">
                    <w:rPr>
                      <w:rFonts w:eastAsia="Calibri"/>
                    </w:rPr>
                    <w:t>1.</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E4E6E9A" w14:textId="77777777" w:rsidR="00F47EDF" w:rsidRPr="00D21CB9" w:rsidRDefault="00F47EDF" w:rsidP="00F47EDF">
                  <w:pPr>
                    <w:tabs>
                      <w:tab w:val="left" w:pos="567"/>
                    </w:tabs>
                    <w:spacing w:line="276" w:lineRule="auto"/>
                    <w:jc w:val="both"/>
                    <w:rPr>
                      <w:rFonts w:eastAsia="Calibri"/>
                    </w:rPr>
                  </w:pPr>
                  <w:r w:rsidRPr="00D21CB9">
                    <w:rPr>
                      <w:rFonts w:eastAsia="Calibri"/>
                    </w:rPr>
                    <w:t>Projekta iesnieguma un to pamatojošās dokumentācijas izstrāde</w:t>
                  </w:r>
                </w:p>
              </w:tc>
            </w:tr>
            <w:tr w:rsidR="00D21CB9" w:rsidRPr="00D21CB9" w14:paraId="1FB79C30"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4A89FBB" w14:textId="77777777" w:rsidR="00F47EDF" w:rsidRPr="00D21CB9" w:rsidRDefault="00F47EDF" w:rsidP="00F47EDF">
                  <w:pPr>
                    <w:tabs>
                      <w:tab w:val="left" w:pos="567"/>
                    </w:tabs>
                    <w:spacing w:line="276" w:lineRule="auto"/>
                    <w:jc w:val="both"/>
                    <w:rPr>
                      <w:rFonts w:eastAsia="Calibri"/>
                    </w:rPr>
                  </w:pPr>
                  <w:r w:rsidRPr="00D21CB9">
                    <w:rPr>
                      <w:rFonts w:eastAsia="Calibri"/>
                    </w:rPr>
                    <w:t>2.</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64049AE8" w14:textId="77777777" w:rsidR="00F47EDF" w:rsidRPr="00D21CB9" w:rsidRDefault="00F47EDF" w:rsidP="00F47EDF">
                  <w:pPr>
                    <w:tabs>
                      <w:tab w:val="left" w:pos="567"/>
                    </w:tabs>
                    <w:spacing w:line="276" w:lineRule="auto"/>
                    <w:jc w:val="both"/>
                    <w:rPr>
                      <w:rFonts w:eastAsia="Calibri"/>
                    </w:rPr>
                  </w:pPr>
                  <w:r w:rsidRPr="00D21CB9">
                    <w:rPr>
                      <w:rFonts w:eastAsia="Calibri"/>
                    </w:rPr>
                    <w:t>Projekta vadība</w:t>
                  </w:r>
                </w:p>
              </w:tc>
            </w:tr>
            <w:tr w:rsidR="00D21CB9" w:rsidRPr="00D21CB9" w14:paraId="2DE6B4DA"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61EF921C" w14:textId="77777777" w:rsidR="00F47EDF" w:rsidRPr="00D21CB9" w:rsidRDefault="00F47EDF" w:rsidP="00F47EDF">
                  <w:pPr>
                    <w:tabs>
                      <w:tab w:val="left" w:pos="567"/>
                    </w:tabs>
                    <w:spacing w:line="276" w:lineRule="auto"/>
                    <w:jc w:val="both"/>
                    <w:rPr>
                      <w:rFonts w:eastAsia="Calibri"/>
                    </w:rPr>
                  </w:pPr>
                  <w:r w:rsidRPr="00D21CB9">
                    <w:rPr>
                      <w:rFonts w:eastAsia="Calibri"/>
                    </w:rPr>
                    <w:t>3.</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3EC5309C" w14:textId="77777777" w:rsidR="00F47EDF" w:rsidRPr="00D21CB9" w:rsidRDefault="00F47EDF" w:rsidP="00F47EDF">
                  <w:pPr>
                    <w:tabs>
                      <w:tab w:val="left" w:pos="567"/>
                    </w:tabs>
                    <w:spacing w:line="276" w:lineRule="auto"/>
                    <w:jc w:val="both"/>
                    <w:rPr>
                      <w:rFonts w:eastAsia="Calibri"/>
                    </w:rPr>
                  </w:pPr>
                  <w:r w:rsidRPr="00D21CB9">
                    <w:rPr>
                      <w:rFonts w:eastAsia="Calibri"/>
                    </w:rPr>
                    <w:t>Audžuģimeņu informācijas sistēmas attīstība</w:t>
                  </w:r>
                </w:p>
              </w:tc>
            </w:tr>
            <w:tr w:rsidR="00D21CB9" w:rsidRPr="00D21CB9" w14:paraId="66012423"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6B4E36B" w14:textId="77777777" w:rsidR="00F47EDF" w:rsidRPr="00D21CB9" w:rsidRDefault="00F47EDF" w:rsidP="00F47EDF">
                  <w:pPr>
                    <w:tabs>
                      <w:tab w:val="left" w:pos="567"/>
                    </w:tabs>
                    <w:spacing w:line="276" w:lineRule="auto"/>
                    <w:jc w:val="both"/>
                    <w:rPr>
                      <w:rFonts w:eastAsia="Calibri"/>
                    </w:rPr>
                  </w:pPr>
                  <w:r w:rsidRPr="00D21CB9">
                    <w:rPr>
                      <w:rFonts w:eastAsia="Calibri"/>
                    </w:rPr>
                    <w:t>4.</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648539A4" w14:textId="77777777" w:rsidR="00F47EDF" w:rsidRPr="00D21CB9" w:rsidRDefault="00F47EDF" w:rsidP="00F47EDF">
                  <w:pPr>
                    <w:tabs>
                      <w:tab w:val="left" w:pos="567"/>
                    </w:tabs>
                    <w:spacing w:line="276" w:lineRule="auto"/>
                    <w:jc w:val="both"/>
                    <w:rPr>
                      <w:rFonts w:eastAsia="Calibri"/>
                    </w:rPr>
                  </w:pPr>
                  <w:r w:rsidRPr="00D21CB9">
                    <w:rPr>
                      <w:rFonts w:eastAsia="Calibri"/>
                    </w:rPr>
                    <w:t>TPL administrēšanas moduļa izstrāde informācijas sistēmā SPOLIS</w:t>
                  </w:r>
                </w:p>
              </w:tc>
            </w:tr>
            <w:tr w:rsidR="00D21CB9" w:rsidRPr="00D21CB9" w14:paraId="6522B45A"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4D45191" w14:textId="77777777" w:rsidR="00F47EDF" w:rsidRPr="00D21CB9" w:rsidRDefault="00F47EDF" w:rsidP="00F47EDF">
                  <w:pPr>
                    <w:tabs>
                      <w:tab w:val="left" w:pos="567"/>
                    </w:tabs>
                    <w:spacing w:line="276" w:lineRule="auto"/>
                    <w:jc w:val="both"/>
                    <w:rPr>
                      <w:rFonts w:eastAsia="Calibri"/>
                    </w:rPr>
                  </w:pPr>
                  <w:r w:rsidRPr="00D21CB9">
                    <w:rPr>
                      <w:rFonts w:eastAsia="Calibri"/>
                    </w:rPr>
                    <w:t>4.1.</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704A155E" w14:textId="77777777" w:rsidR="00F47EDF" w:rsidRPr="00D21CB9" w:rsidRDefault="00F47EDF" w:rsidP="00F47EDF">
                  <w:pPr>
                    <w:tabs>
                      <w:tab w:val="left" w:pos="567"/>
                    </w:tabs>
                    <w:spacing w:line="276" w:lineRule="auto"/>
                    <w:jc w:val="both"/>
                    <w:rPr>
                      <w:rFonts w:eastAsia="Calibri"/>
                    </w:rPr>
                  </w:pPr>
                  <w:r w:rsidRPr="00D21CB9">
                    <w:rPr>
                      <w:rFonts w:eastAsia="Calibri"/>
                    </w:rPr>
                    <w:t>TPL administrēšanas moduļa izstrāde</w:t>
                  </w:r>
                </w:p>
              </w:tc>
            </w:tr>
            <w:tr w:rsidR="00D21CB9" w:rsidRPr="00D21CB9" w14:paraId="30A1024A"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7F6DCE9D" w14:textId="77777777" w:rsidR="00F47EDF" w:rsidRPr="00D21CB9" w:rsidRDefault="00F47EDF" w:rsidP="00F47EDF">
                  <w:pPr>
                    <w:tabs>
                      <w:tab w:val="left" w:pos="567"/>
                    </w:tabs>
                    <w:spacing w:line="276" w:lineRule="auto"/>
                    <w:jc w:val="both"/>
                    <w:rPr>
                      <w:rFonts w:eastAsia="Calibri"/>
                    </w:rPr>
                  </w:pPr>
                  <w:r w:rsidRPr="00D21CB9">
                    <w:rPr>
                      <w:rFonts w:eastAsia="Calibri"/>
                    </w:rPr>
                    <w:lastRenderedPageBreak/>
                    <w:t>4.2.</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329C48C8" w14:textId="77777777" w:rsidR="00F47EDF" w:rsidRPr="00D21CB9" w:rsidRDefault="00F47EDF" w:rsidP="00F47EDF">
                  <w:pPr>
                    <w:tabs>
                      <w:tab w:val="left" w:pos="567"/>
                    </w:tabs>
                    <w:spacing w:line="276" w:lineRule="auto"/>
                    <w:jc w:val="both"/>
                    <w:rPr>
                      <w:rFonts w:eastAsia="Calibri"/>
                    </w:rPr>
                  </w:pPr>
                  <w:r w:rsidRPr="00D21CB9">
                    <w:rPr>
                      <w:rFonts w:eastAsia="Calibri"/>
                    </w:rPr>
                    <w:t>E-pakalpojumu izstrāde IS SPOLIS</w:t>
                  </w:r>
                </w:p>
              </w:tc>
            </w:tr>
            <w:tr w:rsidR="00D21CB9" w:rsidRPr="00D21CB9" w14:paraId="4EB2ED2B"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2BE19E5C" w14:textId="77777777" w:rsidR="00F47EDF" w:rsidRPr="00D21CB9" w:rsidRDefault="00F47EDF" w:rsidP="00F47EDF">
                  <w:pPr>
                    <w:tabs>
                      <w:tab w:val="left" w:pos="567"/>
                    </w:tabs>
                    <w:spacing w:line="276" w:lineRule="auto"/>
                    <w:jc w:val="both"/>
                    <w:rPr>
                      <w:rFonts w:eastAsia="Calibri"/>
                    </w:rPr>
                  </w:pPr>
                  <w:r w:rsidRPr="00D21CB9">
                    <w:rPr>
                      <w:rFonts w:eastAsia="Calibri"/>
                    </w:rPr>
                    <w:t>4.3.</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09850239" w14:textId="77777777" w:rsidR="00F47EDF" w:rsidRPr="00D21CB9" w:rsidRDefault="00F47EDF" w:rsidP="00F47EDF">
                  <w:pPr>
                    <w:tabs>
                      <w:tab w:val="left" w:pos="567"/>
                    </w:tabs>
                    <w:spacing w:line="276" w:lineRule="auto"/>
                    <w:jc w:val="both"/>
                    <w:rPr>
                      <w:rFonts w:eastAsia="Calibri"/>
                    </w:rPr>
                  </w:pPr>
                  <w:r w:rsidRPr="00D21CB9">
                    <w:rPr>
                      <w:rFonts w:eastAsia="Calibri"/>
                    </w:rPr>
                    <w:t>Datu apmaiņas risinājumi ar Funkcionēšanas laboratorijas datu bāzi (DB)</w:t>
                  </w:r>
                  <w:r w:rsidRPr="00D21CB9">
                    <w:rPr>
                      <w:rFonts w:eastAsia="Calibri"/>
                      <w:vertAlign w:val="superscript"/>
                    </w:rPr>
                    <w:footnoteReference w:id="1"/>
                  </w:r>
                  <w:r w:rsidRPr="00D21CB9">
                    <w:rPr>
                      <w:rFonts w:eastAsia="Calibri"/>
                    </w:rPr>
                    <w:t>, Nacionālā veselības dienesta informācijas sistēmu “e-veselība”, Pilsonības un migrācijas lietu pārvaldes Vienotās migrācijas informācijas sistēmu (VMIS), Veselības un darbspēju ekspertīzes ārstu valsts komisijas Invaliditātes informācijas sistēmu (VDEĀVK IIS) un pašvaldību sociālās palīdzības administrēšanas lietojumprogrammu (SOPA).</w:t>
                  </w:r>
                </w:p>
              </w:tc>
            </w:tr>
            <w:tr w:rsidR="00D21CB9" w:rsidRPr="00D21CB9" w14:paraId="0F7BBEB7"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414167C2" w14:textId="77777777" w:rsidR="00F47EDF" w:rsidRPr="00D21CB9" w:rsidRDefault="00F47EDF" w:rsidP="00F47EDF">
                  <w:pPr>
                    <w:tabs>
                      <w:tab w:val="left" w:pos="567"/>
                    </w:tabs>
                    <w:spacing w:line="276" w:lineRule="auto"/>
                    <w:jc w:val="both"/>
                    <w:rPr>
                      <w:rFonts w:eastAsia="Calibri"/>
                    </w:rPr>
                  </w:pPr>
                  <w:r w:rsidRPr="00D21CB9">
                    <w:rPr>
                      <w:rFonts w:eastAsia="Calibri"/>
                    </w:rPr>
                    <w:t>4.4.</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5364EDA" w14:textId="77777777" w:rsidR="00F47EDF" w:rsidRPr="00D21CB9" w:rsidRDefault="00F47EDF" w:rsidP="00F47EDF">
                  <w:pPr>
                    <w:tabs>
                      <w:tab w:val="left" w:pos="567"/>
                    </w:tabs>
                    <w:spacing w:line="276" w:lineRule="auto"/>
                    <w:jc w:val="both"/>
                    <w:rPr>
                      <w:rFonts w:eastAsia="Calibri"/>
                    </w:rPr>
                  </w:pPr>
                  <w:r w:rsidRPr="00D21CB9">
                    <w:rPr>
                      <w:rFonts w:eastAsia="Calibri"/>
                    </w:rPr>
                    <w:t>TPL administrēšanas moduļa izstrādes testēšana</w:t>
                  </w:r>
                </w:p>
              </w:tc>
            </w:tr>
            <w:tr w:rsidR="00D21CB9" w:rsidRPr="00D21CB9" w14:paraId="7C741E20"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19502AD4" w14:textId="77777777" w:rsidR="00F47EDF" w:rsidRPr="00D21CB9" w:rsidRDefault="00F47EDF" w:rsidP="00F47EDF">
                  <w:pPr>
                    <w:tabs>
                      <w:tab w:val="left" w:pos="567"/>
                    </w:tabs>
                    <w:spacing w:line="276" w:lineRule="auto"/>
                    <w:jc w:val="both"/>
                    <w:rPr>
                      <w:rFonts w:eastAsia="Calibri"/>
                    </w:rPr>
                  </w:pPr>
                  <w:r w:rsidRPr="00D21CB9">
                    <w:rPr>
                      <w:rFonts w:eastAsia="Calibri"/>
                    </w:rPr>
                    <w:t>4.5.</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3387D145" w14:textId="77777777" w:rsidR="00F47EDF" w:rsidRPr="00D21CB9" w:rsidRDefault="00F47EDF" w:rsidP="00F47EDF">
                  <w:pPr>
                    <w:tabs>
                      <w:tab w:val="left" w:pos="567"/>
                    </w:tabs>
                    <w:spacing w:line="276" w:lineRule="auto"/>
                    <w:jc w:val="both"/>
                    <w:rPr>
                      <w:rFonts w:eastAsia="Calibri"/>
                    </w:rPr>
                  </w:pPr>
                  <w:r w:rsidRPr="00D21CB9">
                    <w:rPr>
                      <w:rFonts w:eastAsia="Calibri"/>
                    </w:rPr>
                    <w:t>TPL vēsturisko datu migrācija</w:t>
                  </w:r>
                </w:p>
              </w:tc>
            </w:tr>
            <w:tr w:rsidR="00D21CB9" w:rsidRPr="00D21CB9" w14:paraId="0BEEE19D"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DB4BE92" w14:textId="77777777" w:rsidR="00F47EDF" w:rsidRPr="00D21CB9" w:rsidRDefault="00F47EDF" w:rsidP="00F47EDF">
                  <w:pPr>
                    <w:tabs>
                      <w:tab w:val="left" w:pos="567"/>
                    </w:tabs>
                    <w:spacing w:line="276" w:lineRule="auto"/>
                    <w:jc w:val="both"/>
                    <w:rPr>
                      <w:rFonts w:eastAsia="Calibri"/>
                    </w:rPr>
                  </w:pPr>
                  <w:r w:rsidRPr="00D21CB9">
                    <w:rPr>
                      <w:rFonts w:eastAsia="Calibri"/>
                    </w:rPr>
                    <w:t>4.6.</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69FF8DC6" w14:textId="77777777" w:rsidR="00F47EDF" w:rsidRPr="00D21CB9" w:rsidRDefault="00F47EDF" w:rsidP="00F47EDF">
                  <w:pPr>
                    <w:tabs>
                      <w:tab w:val="left" w:pos="567"/>
                    </w:tabs>
                    <w:spacing w:line="276" w:lineRule="auto"/>
                    <w:jc w:val="both"/>
                    <w:rPr>
                      <w:rFonts w:eastAsia="Calibri"/>
                    </w:rPr>
                  </w:pPr>
                  <w:r w:rsidRPr="00D21CB9">
                    <w:rPr>
                      <w:rFonts w:eastAsia="Calibri"/>
                    </w:rPr>
                    <w:t>TPL administrēšanas moduļa rokasgrāmatas izstrāde</w:t>
                  </w:r>
                </w:p>
              </w:tc>
            </w:tr>
            <w:tr w:rsidR="00D21CB9" w:rsidRPr="00D21CB9" w14:paraId="0CDD8BBD"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6652011A" w14:textId="77777777" w:rsidR="00F47EDF" w:rsidRPr="00D21CB9" w:rsidRDefault="00F47EDF" w:rsidP="00F47EDF">
                  <w:pPr>
                    <w:tabs>
                      <w:tab w:val="left" w:pos="567"/>
                    </w:tabs>
                    <w:spacing w:line="276" w:lineRule="auto"/>
                    <w:jc w:val="both"/>
                    <w:rPr>
                      <w:rFonts w:eastAsia="Calibri"/>
                    </w:rPr>
                  </w:pPr>
                  <w:r w:rsidRPr="00D21CB9">
                    <w:rPr>
                      <w:rFonts w:eastAsia="Calibri"/>
                    </w:rPr>
                    <w:t>4.7.</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73011DB5" w14:textId="77777777" w:rsidR="00F47EDF" w:rsidRPr="00D21CB9" w:rsidRDefault="00F47EDF" w:rsidP="00F47EDF">
                  <w:pPr>
                    <w:tabs>
                      <w:tab w:val="left" w:pos="567"/>
                    </w:tabs>
                    <w:spacing w:line="276" w:lineRule="auto"/>
                    <w:jc w:val="both"/>
                    <w:rPr>
                      <w:rFonts w:eastAsia="Calibri"/>
                    </w:rPr>
                  </w:pPr>
                  <w:r w:rsidRPr="00D21CB9">
                    <w:rPr>
                      <w:rFonts w:eastAsia="Calibri"/>
                    </w:rPr>
                    <w:t>TPL administrēšanas moduļa lietotāju un administratora apmācība</w:t>
                  </w:r>
                </w:p>
              </w:tc>
            </w:tr>
            <w:tr w:rsidR="00D21CB9" w:rsidRPr="00D21CB9" w14:paraId="68742B32"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2A468330" w14:textId="77777777" w:rsidR="00F47EDF" w:rsidRPr="00D21CB9" w:rsidRDefault="00F47EDF" w:rsidP="00F47EDF">
                  <w:pPr>
                    <w:tabs>
                      <w:tab w:val="left" w:pos="567"/>
                    </w:tabs>
                    <w:spacing w:line="276" w:lineRule="auto"/>
                    <w:jc w:val="both"/>
                    <w:rPr>
                      <w:rFonts w:eastAsia="Calibri"/>
                    </w:rPr>
                  </w:pPr>
                  <w:r w:rsidRPr="00D21CB9">
                    <w:rPr>
                      <w:rFonts w:eastAsia="Calibri"/>
                    </w:rPr>
                    <w:t>4.8.</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6E23A4BF" w14:textId="77777777" w:rsidR="00F47EDF" w:rsidRPr="00D21CB9" w:rsidRDefault="00F47EDF" w:rsidP="00F47EDF">
                  <w:pPr>
                    <w:tabs>
                      <w:tab w:val="left" w:pos="567"/>
                    </w:tabs>
                    <w:spacing w:line="276" w:lineRule="auto"/>
                    <w:jc w:val="both"/>
                    <w:rPr>
                      <w:rFonts w:eastAsia="Calibri"/>
                    </w:rPr>
                  </w:pPr>
                  <w:r w:rsidRPr="00D21CB9">
                    <w:rPr>
                      <w:rFonts w:eastAsia="Calibri"/>
                    </w:rPr>
                    <w:t>IS SPOLIS lietojamības projektēšana un testēšana</w:t>
                  </w:r>
                </w:p>
              </w:tc>
            </w:tr>
            <w:tr w:rsidR="00D21CB9" w:rsidRPr="00D21CB9" w14:paraId="3F1888BB"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4BAA0816" w14:textId="77777777" w:rsidR="00F47EDF" w:rsidRPr="00D21CB9" w:rsidRDefault="00F47EDF" w:rsidP="00F47EDF">
                  <w:pPr>
                    <w:tabs>
                      <w:tab w:val="left" w:pos="567"/>
                    </w:tabs>
                    <w:spacing w:line="276" w:lineRule="auto"/>
                    <w:jc w:val="both"/>
                    <w:rPr>
                      <w:rFonts w:eastAsia="Calibri"/>
                    </w:rPr>
                  </w:pPr>
                  <w:r w:rsidRPr="00D21CB9">
                    <w:rPr>
                      <w:rFonts w:eastAsia="Calibri"/>
                    </w:rPr>
                    <w:t>5.</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5505158C" w14:textId="77777777" w:rsidR="00F47EDF" w:rsidRPr="00D21CB9" w:rsidRDefault="00F47EDF" w:rsidP="00F47EDF">
                  <w:pPr>
                    <w:tabs>
                      <w:tab w:val="left" w:pos="567"/>
                    </w:tabs>
                    <w:spacing w:line="276" w:lineRule="auto"/>
                    <w:jc w:val="both"/>
                    <w:rPr>
                      <w:rFonts w:eastAsia="Calibri"/>
                    </w:rPr>
                  </w:pPr>
                  <w:r w:rsidRPr="00D21CB9">
                    <w:rPr>
                      <w:rFonts w:eastAsia="Calibri"/>
                    </w:rPr>
                    <w:t>Pašvaldību sociālās palīdzības administrēšanas lietojumprogrammas (SOPA) izmaiņu izstrāde datu apmaiņai ar SPOLIS TPL moduli.</w:t>
                  </w:r>
                </w:p>
              </w:tc>
            </w:tr>
            <w:tr w:rsidR="00D21CB9" w:rsidRPr="00D21CB9" w14:paraId="59DBF399"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B4244DA" w14:textId="77777777" w:rsidR="00F47EDF" w:rsidRPr="00D21CB9" w:rsidRDefault="00F47EDF" w:rsidP="00F47EDF">
                  <w:pPr>
                    <w:tabs>
                      <w:tab w:val="left" w:pos="567"/>
                    </w:tabs>
                    <w:spacing w:line="276" w:lineRule="auto"/>
                    <w:jc w:val="both"/>
                    <w:rPr>
                      <w:rFonts w:eastAsia="Calibri"/>
                    </w:rPr>
                  </w:pPr>
                  <w:r w:rsidRPr="00D21CB9">
                    <w:rPr>
                      <w:rFonts w:eastAsia="Calibri"/>
                    </w:rPr>
                    <w:t>6.</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8582DA6" w14:textId="77777777" w:rsidR="00F47EDF" w:rsidRPr="00D21CB9" w:rsidRDefault="00F47EDF" w:rsidP="00F47EDF">
                  <w:pPr>
                    <w:tabs>
                      <w:tab w:val="left" w:pos="567"/>
                    </w:tabs>
                    <w:spacing w:line="276" w:lineRule="auto"/>
                    <w:jc w:val="both"/>
                    <w:rPr>
                      <w:rFonts w:eastAsia="Calibri"/>
                    </w:rPr>
                  </w:pPr>
                  <w:r w:rsidRPr="00D21CB9">
                    <w:rPr>
                      <w:rFonts w:eastAsia="Calibri"/>
                    </w:rPr>
                    <w:t>Informācijas sistēmas SPOLIS kvalitātes, veiktspējas un drošības audits</w:t>
                  </w:r>
                </w:p>
              </w:tc>
            </w:tr>
            <w:tr w:rsidR="00D21CB9" w:rsidRPr="00D21CB9" w14:paraId="1D6D9DF6" w14:textId="77777777" w:rsidTr="00F47EDF">
              <w:tc>
                <w:tcPr>
                  <w:tcW w:w="935"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661D1A8F" w14:textId="77777777" w:rsidR="00F47EDF" w:rsidRPr="00D21CB9" w:rsidRDefault="00F47EDF" w:rsidP="00F47EDF">
                  <w:pPr>
                    <w:tabs>
                      <w:tab w:val="left" w:pos="567"/>
                    </w:tabs>
                    <w:spacing w:line="276" w:lineRule="auto"/>
                    <w:jc w:val="both"/>
                    <w:rPr>
                      <w:rFonts w:eastAsia="Calibri"/>
                    </w:rPr>
                  </w:pPr>
                  <w:r w:rsidRPr="00D21CB9">
                    <w:rPr>
                      <w:rFonts w:eastAsia="Calibri"/>
                    </w:rPr>
                    <w:t>7.</w:t>
                  </w:r>
                </w:p>
              </w:tc>
              <w:tc>
                <w:tcPr>
                  <w:tcW w:w="6313" w:type="dxa"/>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590C1F6" w14:textId="77777777" w:rsidR="00F47EDF" w:rsidRPr="00D21CB9" w:rsidRDefault="00F47EDF" w:rsidP="00F47EDF">
                  <w:pPr>
                    <w:tabs>
                      <w:tab w:val="left" w:pos="567"/>
                    </w:tabs>
                    <w:spacing w:line="276" w:lineRule="auto"/>
                    <w:jc w:val="both"/>
                    <w:rPr>
                      <w:rFonts w:eastAsia="Calibri"/>
                    </w:rPr>
                  </w:pPr>
                  <w:r w:rsidRPr="00D21CB9">
                    <w:t>Ministru kabineta noteikumu Nr.653</w:t>
                  </w:r>
                  <w:r w:rsidRPr="00D21CB9">
                    <w:rPr>
                      <w:rStyle w:val="FootnoteReference"/>
                    </w:rPr>
                    <w:footnoteReference w:id="2"/>
                  </w:r>
                  <w:r w:rsidRPr="00D21CB9">
                    <w:t xml:space="preserve"> 20.14.apakšpunktā noteikto obligāto projekta publicitātes pasākumu īstenošana</w:t>
                  </w:r>
                </w:p>
              </w:tc>
            </w:tr>
          </w:tbl>
          <w:p w14:paraId="68649C2E" w14:textId="7B002009" w:rsidR="00A96EDA" w:rsidRPr="00D21CB9" w:rsidRDefault="00A96EDA" w:rsidP="00F47EDF">
            <w:pPr>
              <w:pStyle w:val="ISBodyText"/>
              <w:spacing w:before="0" w:after="0"/>
              <w:rPr>
                <w:rFonts w:ascii="Times New Roman" w:hAnsi="Times New Roman" w:cs="Times New Roman"/>
                <w:sz w:val="24"/>
                <w:szCs w:val="24"/>
              </w:rPr>
            </w:pPr>
          </w:p>
        </w:tc>
      </w:tr>
      <w:tr w:rsidR="00D21CB9" w:rsidRPr="00D21CB9" w14:paraId="0F1A960C" w14:textId="77777777" w:rsidTr="00843E17">
        <w:trPr>
          <w:trHeight w:val="476"/>
        </w:trPr>
        <w:tc>
          <w:tcPr>
            <w:tcW w:w="762" w:type="dxa"/>
            <w:tcBorders>
              <w:top w:val="thickThinLargeGap" w:sz="6" w:space="0" w:color="C0C0C0"/>
              <w:left w:val="thickThinLargeGap" w:sz="6" w:space="0" w:color="C0C0C0"/>
              <w:bottom w:val="thickThinLargeGap" w:sz="6" w:space="0" w:color="C0C0C0"/>
            </w:tcBorders>
            <w:shd w:val="clear" w:color="auto" w:fill="auto"/>
          </w:tcPr>
          <w:p w14:paraId="076C32AF" w14:textId="77777777" w:rsidR="00A96EDA" w:rsidRPr="00D21CB9" w:rsidRDefault="00A96EDA" w:rsidP="00843E17">
            <w:r w:rsidRPr="00D21CB9">
              <w:rPr>
                <w:lang w:eastAsia="en-US"/>
              </w:rPr>
              <w:lastRenderedPageBreak/>
              <w:t> 3.</w:t>
            </w:r>
          </w:p>
        </w:tc>
        <w:tc>
          <w:tcPr>
            <w:tcW w:w="1986" w:type="dxa"/>
            <w:tcBorders>
              <w:top w:val="thickThinLargeGap" w:sz="6" w:space="0" w:color="C0C0C0"/>
              <w:left w:val="thickThinLargeGap" w:sz="6" w:space="0" w:color="C0C0C0"/>
              <w:bottom w:val="thickThinLargeGap" w:sz="6" w:space="0" w:color="C0C0C0"/>
            </w:tcBorders>
            <w:shd w:val="clear" w:color="auto" w:fill="auto"/>
          </w:tcPr>
          <w:p w14:paraId="5CE116C0" w14:textId="77777777" w:rsidR="00A96EDA" w:rsidRPr="00D21CB9" w:rsidRDefault="00A96EDA" w:rsidP="00843E17">
            <w:r w:rsidRPr="00D21CB9">
              <w:rPr>
                <w:lang w:eastAsia="en-US"/>
              </w:rPr>
              <w:t>Projekta izstrādē iesaistītās institūcijas</w:t>
            </w:r>
          </w:p>
          <w:p w14:paraId="42329FE9" w14:textId="77777777" w:rsidR="00A96EDA" w:rsidRPr="00D21CB9" w:rsidRDefault="00A96EDA" w:rsidP="00843E17">
            <w:pPr>
              <w:pStyle w:val="VPBody"/>
              <w:spacing w:after="0"/>
            </w:pPr>
          </w:p>
        </w:tc>
        <w:tc>
          <w:tcPr>
            <w:tcW w:w="737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2B2D9785" w14:textId="77777777" w:rsidR="00A96EDA" w:rsidRPr="00D21CB9" w:rsidRDefault="00A96EDA" w:rsidP="00843E17">
            <w:pPr>
              <w:pStyle w:val="VPBody"/>
              <w:spacing w:after="0" w:line="276" w:lineRule="auto"/>
              <w:jc w:val="both"/>
            </w:pPr>
            <w:r w:rsidRPr="00D21CB9">
              <w:rPr>
                <w:rFonts w:eastAsia="Times New Roman"/>
                <w:szCs w:val="24"/>
                <w:lang w:eastAsia="lv-LV"/>
              </w:rPr>
              <w:t>Labklājības ministrija, VARAM, Valsts reģionālās attīstības aģentūra, Valsts sociālās apdrošināšanas aģentūra, Latvijas Pašvaldību savienība, Pilsonības un migrācijas lietu pārvalde, IeM IC, Valsts bērnu tiesību aizsardzības inspekcija (turpmāk - VBTAI), Nacionālais veselības dienests, VSIA NRC “Vaivari””, LNB, LNS un pašvaldības.</w:t>
            </w:r>
          </w:p>
        </w:tc>
      </w:tr>
      <w:tr w:rsidR="00D21CB9" w:rsidRPr="00D21CB9" w14:paraId="5DC560DA" w14:textId="77777777" w:rsidTr="00843E17">
        <w:tc>
          <w:tcPr>
            <w:tcW w:w="762" w:type="dxa"/>
            <w:tcBorders>
              <w:top w:val="thickThinLargeGap" w:sz="6" w:space="0" w:color="C0C0C0"/>
              <w:left w:val="thickThinLargeGap" w:sz="6" w:space="0" w:color="C0C0C0"/>
              <w:bottom w:val="thickThinLargeGap" w:sz="6" w:space="0" w:color="C0C0C0"/>
            </w:tcBorders>
            <w:shd w:val="clear" w:color="auto" w:fill="auto"/>
          </w:tcPr>
          <w:p w14:paraId="09FAFDD7" w14:textId="77777777" w:rsidR="00A96EDA" w:rsidRPr="00D21CB9" w:rsidRDefault="00A96EDA" w:rsidP="00843E17">
            <w:r w:rsidRPr="00D21CB9">
              <w:rPr>
                <w:lang w:eastAsia="en-US"/>
              </w:rPr>
              <w:t> 4.</w:t>
            </w:r>
          </w:p>
        </w:tc>
        <w:tc>
          <w:tcPr>
            <w:tcW w:w="1986" w:type="dxa"/>
            <w:tcBorders>
              <w:top w:val="thickThinLargeGap" w:sz="6" w:space="0" w:color="C0C0C0"/>
              <w:left w:val="thickThinLargeGap" w:sz="6" w:space="0" w:color="C0C0C0"/>
              <w:bottom w:val="thickThinLargeGap" w:sz="6" w:space="0" w:color="C0C0C0"/>
            </w:tcBorders>
            <w:shd w:val="clear" w:color="auto" w:fill="auto"/>
          </w:tcPr>
          <w:p w14:paraId="7CE8CC69" w14:textId="77777777" w:rsidR="00A96EDA" w:rsidRPr="00D21CB9" w:rsidRDefault="00A96EDA" w:rsidP="00843E17">
            <w:r w:rsidRPr="00D21CB9">
              <w:rPr>
                <w:lang w:eastAsia="en-US"/>
              </w:rPr>
              <w:t> Cita informācija</w:t>
            </w:r>
          </w:p>
        </w:tc>
        <w:tc>
          <w:tcPr>
            <w:tcW w:w="737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F6D7E7" w14:textId="77777777" w:rsidR="00A96EDA" w:rsidRPr="00D21CB9" w:rsidRDefault="00A96EDA" w:rsidP="00843E17">
            <w:pPr>
              <w:jc w:val="both"/>
            </w:pPr>
            <w:r w:rsidRPr="00D21CB9">
              <w:rPr>
                <w:lang w:eastAsia="en-US"/>
              </w:rPr>
              <w:t>Nav.</w:t>
            </w:r>
          </w:p>
        </w:tc>
      </w:tr>
    </w:tbl>
    <w:p w14:paraId="78218447" w14:textId="77777777" w:rsidR="00A96EDA" w:rsidRPr="00D21CB9" w:rsidRDefault="00A96EDA" w:rsidP="00A96EDA">
      <w:pPr>
        <w:jc w:val="both"/>
      </w:pPr>
      <w:r w:rsidRPr="00D21CB9">
        <w:t> </w:t>
      </w:r>
    </w:p>
    <w:tbl>
      <w:tblPr>
        <w:tblW w:w="10126" w:type="dxa"/>
        <w:tblInd w:w="-457" w:type="dxa"/>
        <w:tblLayout w:type="fixed"/>
        <w:tblCellMar>
          <w:left w:w="0" w:type="dxa"/>
          <w:right w:w="0" w:type="dxa"/>
        </w:tblCellMar>
        <w:tblLook w:val="0000" w:firstRow="0" w:lastRow="0" w:firstColumn="0" w:lastColumn="0" w:noHBand="0" w:noVBand="0"/>
      </w:tblPr>
      <w:tblGrid>
        <w:gridCol w:w="763"/>
        <w:gridCol w:w="1992"/>
        <w:gridCol w:w="7371"/>
      </w:tblGrid>
      <w:tr w:rsidR="00D21CB9" w:rsidRPr="00D21CB9" w14:paraId="7F0E026B" w14:textId="77777777" w:rsidTr="00843E17">
        <w:trPr>
          <w:trHeight w:val="585"/>
        </w:trPr>
        <w:tc>
          <w:tcPr>
            <w:tcW w:w="1012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8DC8603" w14:textId="77777777" w:rsidR="00A96EDA" w:rsidRPr="00D21CB9" w:rsidRDefault="00A96EDA" w:rsidP="00843E17">
            <w:pPr>
              <w:jc w:val="center"/>
            </w:pPr>
            <w:r w:rsidRPr="00D21CB9">
              <w:rPr>
                <w:b/>
                <w:bCs/>
              </w:rPr>
              <w:t> II. Tiesību akta projekta ietekme uz sabiedrību, tautsaimniecības attīstību un administratīvo slogu</w:t>
            </w:r>
          </w:p>
        </w:tc>
      </w:tr>
      <w:tr w:rsidR="00D21CB9" w:rsidRPr="00D21CB9" w14:paraId="07B6FD28" w14:textId="77777777" w:rsidTr="00843E17">
        <w:tblPrEx>
          <w:tblCellMar>
            <w:left w:w="57" w:type="dxa"/>
            <w:right w:w="57" w:type="dxa"/>
          </w:tblCellMar>
        </w:tblPrEx>
        <w:trPr>
          <w:trHeight w:val="905"/>
        </w:trPr>
        <w:tc>
          <w:tcPr>
            <w:tcW w:w="763" w:type="dxa"/>
            <w:tcBorders>
              <w:top w:val="thickThinLargeGap" w:sz="6" w:space="0" w:color="C0C0C0"/>
              <w:left w:val="thickThinLargeGap" w:sz="6" w:space="0" w:color="C0C0C0"/>
              <w:bottom w:val="thickThinLargeGap" w:sz="6" w:space="0" w:color="C0C0C0"/>
            </w:tcBorders>
            <w:shd w:val="clear" w:color="auto" w:fill="auto"/>
          </w:tcPr>
          <w:p w14:paraId="577FC133" w14:textId="77777777" w:rsidR="00A96EDA" w:rsidRPr="00D21CB9" w:rsidRDefault="00A96EDA" w:rsidP="00843E17">
            <w:r w:rsidRPr="00D21CB9">
              <w:rPr>
                <w:lang w:eastAsia="en-US"/>
              </w:rPr>
              <w:lastRenderedPageBreak/>
              <w:t>1.</w:t>
            </w:r>
          </w:p>
        </w:tc>
        <w:tc>
          <w:tcPr>
            <w:tcW w:w="1992" w:type="dxa"/>
            <w:tcBorders>
              <w:top w:val="thickThinLargeGap" w:sz="6" w:space="0" w:color="C0C0C0"/>
              <w:left w:val="thickThinLargeGap" w:sz="6" w:space="0" w:color="C0C0C0"/>
              <w:bottom w:val="thickThinLargeGap" w:sz="6" w:space="0" w:color="C0C0C0"/>
            </w:tcBorders>
            <w:shd w:val="clear" w:color="auto" w:fill="auto"/>
          </w:tcPr>
          <w:p w14:paraId="5B23A4F5" w14:textId="77777777" w:rsidR="00A96EDA" w:rsidRPr="00D21CB9" w:rsidRDefault="00A96EDA" w:rsidP="00843E17">
            <w:r w:rsidRPr="00D21CB9">
              <w:rPr>
                <w:lang w:eastAsia="en-US"/>
              </w:rPr>
              <w:t>Sabiedrības mērķgrupas, kuras tiesiskais regulējums ietekmē vai varētu ietekmēt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CFCB08" w14:textId="20B44FAB" w:rsidR="001B6063" w:rsidRPr="00D21CB9" w:rsidRDefault="001B6063" w:rsidP="001B6063">
            <w:pPr>
              <w:pStyle w:val="ListParagraph"/>
              <w:suppressAutoHyphens w:val="0"/>
              <w:ind w:left="25"/>
              <w:jc w:val="both"/>
            </w:pPr>
            <w:r w:rsidRPr="00D21CB9">
              <w:t xml:space="preserve">Projekts tiešā veidā ietekmē </w:t>
            </w:r>
            <w:proofErr w:type="spellStart"/>
            <w:r w:rsidRPr="00D21CB9">
              <w:t>deinstitucionalizācijas</w:t>
            </w:r>
            <w:proofErr w:type="spellEnd"/>
            <w:r w:rsidRPr="00D21CB9">
              <w:t xml:space="preserve"> procesa un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w:t>
            </w:r>
            <w:proofErr w:type="spellStart"/>
            <w:r w:rsidRPr="00D21CB9">
              <w:t>Deinstitucionalizācija</w:t>
            </w:r>
            <w:proofErr w:type="spellEnd"/>
            <w:r w:rsidRPr="00D21CB9">
              <w:t xml:space="preserve">” (turpmāk – 9.2.2.1. pasākums) mērķa grupas. Attiecībā uz pieaugušajiem cilvēkiem </w:t>
            </w:r>
            <w:proofErr w:type="spellStart"/>
            <w:r w:rsidRPr="00D21CB9">
              <w:t>deinstitucionalizācijas</w:t>
            </w:r>
            <w:proofErr w:type="spellEnd"/>
            <w:r w:rsidRPr="00D21CB9">
              <w:t xml:space="preserve"> process paredz cilvēku ar garīga rakstura traucējumiem iekļaušanu sabiedrībā un iesaisti darba tirgū, tādējādi veicinot viņu neatkarību un patstāvību. Projekts paredz uzlabot šo mērķa grupas personu dzīves kvalitāti, piegādājot TPL pakalpojumu. Savukārt 9.2.2.1.pasākuma mērķa grupā ir ietvertas audžuģimenes, kas saņems efektīvāku atbalstu no bāriņtiesām, lietojot modernizētu informācijas sistēmu AGIS.</w:t>
            </w:r>
          </w:p>
          <w:p w14:paraId="40611E80" w14:textId="77777777" w:rsidR="001B6063" w:rsidRPr="00D21CB9" w:rsidRDefault="001B6063" w:rsidP="001B6063">
            <w:pPr>
              <w:pStyle w:val="ListParagraph"/>
              <w:suppressAutoHyphens w:val="0"/>
              <w:ind w:left="25"/>
              <w:jc w:val="both"/>
            </w:pPr>
          </w:p>
          <w:p w14:paraId="017C2645" w14:textId="77777777" w:rsidR="00A96EDA" w:rsidRPr="00D21CB9" w:rsidRDefault="00A96EDA" w:rsidP="00843E17">
            <w:pPr>
              <w:pStyle w:val="ListParagraph"/>
              <w:ind w:left="-53" w:firstLine="53"/>
              <w:jc w:val="both"/>
              <w:rPr>
                <w:i/>
                <w:u w:val="single"/>
              </w:rPr>
            </w:pPr>
            <w:r w:rsidRPr="00D21CB9">
              <w:rPr>
                <w:i/>
                <w:u w:val="single"/>
              </w:rPr>
              <w:t>Sistēmas AGIS modernizācija:</w:t>
            </w:r>
          </w:p>
          <w:p w14:paraId="12D4E1B0" w14:textId="77777777" w:rsidR="00A96EDA" w:rsidRPr="00D21CB9" w:rsidRDefault="00A96EDA" w:rsidP="00843E17">
            <w:pPr>
              <w:pStyle w:val="ISBodyText"/>
              <w:spacing w:before="0" w:after="0"/>
              <w:rPr>
                <w:rFonts w:ascii="Times New Roman" w:eastAsia="Times New Roman" w:hAnsi="Times New Roman" w:cs="Times New Roman"/>
                <w:bCs w:val="0"/>
                <w:sz w:val="24"/>
                <w:szCs w:val="24"/>
              </w:rPr>
            </w:pPr>
            <w:r w:rsidRPr="00D21CB9">
              <w:rPr>
                <w:rFonts w:ascii="Times New Roman" w:eastAsia="Times New Roman" w:hAnsi="Times New Roman" w:cs="Times New Roman"/>
                <w:bCs w:val="0"/>
                <w:sz w:val="24"/>
                <w:szCs w:val="24"/>
              </w:rPr>
              <w:t xml:space="preserve">Latvijā </w:t>
            </w:r>
            <w:proofErr w:type="spellStart"/>
            <w:r w:rsidRPr="00D21CB9">
              <w:rPr>
                <w:rFonts w:ascii="Times New Roman" w:eastAsia="Times New Roman" w:hAnsi="Times New Roman" w:cs="Times New Roman"/>
                <w:bCs w:val="0"/>
                <w:sz w:val="24"/>
                <w:szCs w:val="24"/>
              </w:rPr>
              <w:t>deinstitucionalizācijas</w:t>
            </w:r>
            <w:proofErr w:type="spellEnd"/>
            <w:r w:rsidRPr="00D21CB9">
              <w:rPr>
                <w:rFonts w:ascii="Times New Roman" w:eastAsia="Times New Roman" w:hAnsi="Times New Roman" w:cs="Times New Roman"/>
                <w:bCs w:val="0"/>
                <w:sz w:val="24"/>
                <w:szCs w:val="24"/>
              </w:rPr>
              <w:t xml:space="preserve"> mērķa grupas ir šādas:</w:t>
            </w:r>
          </w:p>
          <w:p w14:paraId="0BE2CE65" w14:textId="77777777" w:rsidR="00A96EDA" w:rsidRPr="00D21CB9" w:rsidRDefault="00A96EDA" w:rsidP="00A96EDA">
            <w:pPr>
              <w:pStyle w:val="ISBodyText"/>
              <w:numPr>
                <w:ilvl w:val="0"/>
                <w:numId w:val="1"/>
              </w:numPr>
              <w:spacing w:before="0" w:after="0"/>
              <w:textAlignment w:val="auto"/>
              <w:rPr>
                <w:rFonts w:ascii="Times New Roman" w:eastAsia="Times New Roman" w:hAnsi="Times New Roman" w:cs="Times New Roman"/>
                <w:bCs w:val="0"/>
                <w:sz w:val="24"/>
                <w:szCs w:val="24"/>
              </w:rPr>
            </w:pPr>
            <w:r w:rsidRPr="00D21CB9">
              <w:rPr>
                <w:rFonts w:ascii="Times New Roman" w:eastAsia="Times New Roman" w:hAnsi="Times New Roman" w:cs="Times New Roman"/>
                <w:bCs w:val="0"/>
                <w:sz w:val="24"/>
                <w:szCs w:val="24"/>
              </w:rPr>
              <w:t>ārpusģimenes aprūpē esošie bērni;</w:t>
            </w:r>
          </w:p>
          <w:p w14:paraId="1714B32D" w14:textId="77777777" w:rsidR="00A96EDA" w:rsidRPr="00D21CB9" w:rsidRDefault="00A96EDA" w:rsidP="00A96EDA">
            <w:pPr>
              <w:pStyle w:val="ISBodyText"/>
              <w:numPr>
                <w:ilvl w:val="0"/>
                <w:numId w:val="1"/>
              </w:numPr>
              <w:spacing w:before="0" w:after="0"/>
              <w:textAlignment w:val="auto"/>
              <w:rPr>
                <w:rFonts w:ascii="Times New Roman" w:eastAsia="Times New Roman" w:hAnsi="Times New Roman" w:cs="Times New Roman"/>
                <w:bCs w:val="0"/>
                <w:sz w:val="24"/>
                <w:szCs w:val="24"/>
              </w:rPr>
            </w:pPr>
            <w:r w:rsidRPr="00D21CB9">
              <w:rPr>
                <w:rFonts w:ascii="Times New Roman" w:eastAsia="Times New Roman" w:hAnsi="Times New Roman" w:cs="Times New Roman"/>
                <w:bCs w:val="0"/>
                <w:sz w:val="24"/>
                <w:szCs w:val="24"/>
              </w:rPr>
              <w:t>bērni ar funkcionāliem traucējumiem un viņu likumiskie pārstāvji vai audžuģimenes;</w:t>
            </w:r>
          </w:p>
          <w:p w14:paraId="102A8334" w14:textId="77777777" w:rsidR="00A96EDA" w:rsidRPr="00D21CB9" w:rsidRDefault="00A96EDA" w:rsidP="00A96EDA">
            <w:pPr>
              <w:pStyle w:val="ISBodyText"/>
              <w:numPr>
                <w:ilvl w:val="0"/>
                <w:numId w:val="1"/>
              </w:numPr>
              <w:spacing w:before="0" w:after="0"/>
              <w:textAlignment w:val="auto"/>
              <w:rPr>
                <w:rFonts w:ascii="Times New Roman" w:eastAsia="Times New Roman" w:hAnsi="Times New Roman" w:cs="Times New Roman"/>
                <w:bCs w:val="0"/>
                <w:sz w:val="24"/>
                <w:szCs w:val="24"/>
              </w:rPr>
            </w:pPr>
            <w:r w:rsidRPr="00D21CB9">
              <w:rPr>
                <w:rFonts w:ascii="Times New Roman" w:eastAsia="Times New Roman" w:hAnsi="Times New Roman" w:cs="Times New Roman"/>
                <w:bCs w:val="0"/>
                <w:sz w:val="24"/>
                <w:szCs w:val="24"/>
              </w:rPr>
              <w:t>pilngadīgas personas ar garīga rakstura traucējumiem;</w:t>
            </w:r>
          </w:p>
          <w:p w14:paraId="49F8266A" w14:textId="7A5E81BA" w:rsidR="00A96EDA" w:rsidRPr="00D21CB9" w:rsidRDefault="00D21CB9" w:rsidP="00D21CB9">
            <w:pPr>
              <w:pStyle w:val="ISBodyText"/>
              <w:spacing w:before="0" w:after="0"/>
              <w:ind w:left="25"/>
              <w:textAlignment w:val="auto"/>
            </w:pPr>
            <w:r>
              <w:rPr>
                <w:rFonts w:ascii="Times New Roman" w:eastAsia="Times New Roman" w:hAnsi="Times New Roman" w:cs="Times New Roman"/>
                <w:bCs w:val="0"/>
                <w:sz w:val="24"/>
                <w:szCs w:val="24"/>
              </w:rPr>
              <w:t xml:space="preserve">Papildus AGIS mērķa grupa ir </w:t>
            </w:r>
            <w:r w:rsidR="00A96EDA" w:rsidRPr="00D21CB9">
              <w:rPr>
                <w:rFonts w:ascii="Times New Roman" w:eastAsia="Times New Roman" w:hAnsi="Times New Roman" w:cs="Times New Roman"/>
                <w:bCs w:val="0"/>
                <w:sz w:val="24"/>
                <w:szCs w:val="24"/>
              </w:rPr>
              <w:t>esošie un potenciālie aizbildņi, audžuģimenes, adoptētāji un viesģimenes.</w:t>
            </w:r>
          </w:p>
          <w:p w14:paraId="4FE67B66" w14:textId="77777777" w:rsidR="00A96EDA" w:rsidRPr="00D21CB9" w:rsidRDefault="00A96EDA" w:rsidP="00843E17">
            <w:pPr>
              <w:pStyle w:val="TableParagraph"/>
              <w:ind w:left="0"/>
              <w:jc w:val="both"/>
              <w:rPr>
                <w:sz w:val="24"/>
              </w:rPr>
            </w:pPr>
            <w:r w:rsidRPr="00D21CB9">
              <w:rPr>
                <w:sz w:val="24"/>
                <w:lang w:val="lv-LV"/>
              </w:rPr>
              <w:t>P</w:t>
            </w:r>
            <w:proofErr w:type="spellStart"/>
            <w:r w:rsidRPr="00D21CB9">
              <w:rPr>
                <w:sz w:val="24"/>
              </w:rPr>
              <w:t>rojekts</w:t>
            </w:r>
            <w:proofErr w:type="spellEnd"/>
            <w:r w:rsidRPr="00D21CB9">
              <w:rPr>
                <w:sz w:val="24"/>
              </w:rPr>
              <w:t xml:space="preserve"> attiecināms uz </w:t>
            </w:r>
            <w:r w:rsidRPr="00D21CB9">
              <w:rPr>
                <w:sz w:val="24"/>
                <w:szCs w:val="24"/>
              </w:rPr>
              <w:t>VBTAI</w:t>
            </w:r>
            <w:r w:rsidRPr="00D21CB9">
              <w:rPr>
                <w:sz w:val="24"/>
              </w:rPr>
              <w:t xml:space="preserve">, pašvaldībām, kā arī fiziskajām un juridiskajām personām, kuras iesaistītas audžuģimeņu un tajā ievietoto bērnu tiesību aizsardzībā. </w:t>
            </w:r>
            <w:proofErr w:type="gramStart"/>
            <w:r w:rsidRPr="00D21CB9">
              <w:rPr>
                <w:sz w:val="24"/>
              </w:rPr>
              <w:t>2018.gada</w:t>
            </w:r>
            <w:proofErr w:type="gramEnd"/>
            <w:r w:rsidRPr="00D21CB9">
              <w:rPr>
                <w:spacing w:val="-12"/>
                <w:sz w:val="24"/>
              </w:rPr>
              <w:t xml:space="preserve"> </w:t>
            </w:r>
            <w:r w:rsidRPr="00D21CB9">
              <w:rPr>
                <w:sz w:val="24"/>
              </w:rPr>
              <w:t>31.decembrī</w:t>
            </w:r>
            <w:r w:rsidRPr="00D21CB9">
              <w:rPr>
                <w:spacing w:val="-19"/>
                <w:sz w:val="24"/>
              </w:rPr>
              <w:t xml:space="preserve"> </w:t>
            </w:r>
            <w:r w:rsidRPr="00D21CB9">
              <w:rPr>
                <w:sz w:val="24"/>
              </w:rPr>
              <w:t>kopumā</w:t>
            </w:r>
            <w:r w:rsidRPr="00D21CB9">
              <w:rPr>
                <w:spacing w:val="-7"/>
                <w:sz w:val="24"/>
              </w:rPr>
              <w:t xml:space="preserve"> </w:t>
            </w:r>
            <w:r w:rsidRPr="00D21CB9">
              <w:rPr>
                <w:sz w:val="24"/>
              </w:rPr>
              <w:t>valstī</w:t>
            </w:r>
            <w:r w:rsidRPr="00D21CB9">
              <w:rPr>
                <w:spacing w:val="-15"/>
                <w:sz w:val="24"/>
              </w:rPr>
              <w:t xml:space="preserve"> </w:t>
            </w:r>
            <w:r w:rsidRPr="00D21CB9">
              <w:rPr>
                <w:sz w:val="24"/>
              </w:rPr>
              <w:t>bija</w:t>
            </w:r>
            <w:r w:rsidRPr="00D21CB9">
              <w:rPr>
                <w:spacing w:val="-11"/>
                <w:sz w:val="24"/>
              </w:rPr>
              <w:t xml:space="preserve"> </w:t>
            </w:r>
            <w:r w:rsidRPr="00D21CB9">
              <w:rPr>
                <w:sz w:val="24"/>
              </w:rPr>
              <w:t>600</w:t>
            </w:r>
            <w:r w:rsidRPr="00D21CB9">
              <w:rPr>
                <w:spacing w:val="-11"/>
                <w:sz w:val="24"/>
              </w:rPr>
              <w:t xml:space="preserve"> </w:t>
            </w:r>
            <w:r w:rsidRPr="00D21CB9">
              <w:rPr>
                <w:sz w:val="24"/>
              </w:rPr>
              <w:t>audžuģimenes, kuras aprūpēja 1 173 ārpusģimenes aprūpē esošus</w:t>
            </w:r>
            <w:r w:rsidRPr="00D21CB9">
              <w:rPr>
                <w:spacing w:val="17"/>
                <w:sz w:val="24"/>
              </w:rPr>
              <w:t xml:space="preserve"> </w:t>
            </w:r>
            <w:r w:rsidRPr="00D21CB9">
              <w:rPr>
                <w:sz w:val="24"/>
              </w:rPr>
              <w:t>bērnus.</w:t>
            </w:r>
          </w:p>
          <w:p w14:paraId="5818D3C4" w14:textId="77777777" w:rsidR="00A96EDA" w:rsidRPr="00D21CB9" w:rsidRDefault="00A96EDA" w:rsidP="00843E17">
            <w:pPr>
              <w:pStyle w:val="TableParagraph"/>
              <w:ind w:left="0"/>
              <w:jc w:val="both"/>
              <w:rPr>
                <w:sz w:val="24"/>
              </w:rPr>
            </w:pPr>
            <w:r w:rsidRPr="00D21CB9">
              <w:rPr>
                <w:sz w:val="24"/>
              </w:rPr>
              <w:t xml:space="preserve">Latvijā 2018.gadā bija 122 bāriņtiesas. </w:t>
            </w:r>
          </w:p>
          <w:p w14:paraId="4B80ECA1" w14:textId="77777777" w:rsidR="00A96EDA" w:rsidRPr="00D21CB9" w:rsidRDefault="00A96EDA" w:rsidP="00843E17">
            <w:pPr>
              <w:pStyle w:val="TableParagraph"/>
              <w:ind w:left="0"/>
              <w:jc w:val="both"/>
              <w:rPr>
                <w:sz w:val="24"/>
                <w:szCs w:val="24"/>
              </w:rPr>
            </w:pPr>
            <w:r w:rsidRPr="00D21CB9">
              <w:rPr>
                <w:sz w:val="24"/>
                <w:szCs w:val="24"/>
              </w:rPr>
              <w:t>Sistēmas AGIS mērķis ir nodrošināt audžuģimeņu un audžuģimenēs ievietoto bērnu uzskaiti, lai veicinātu audžuģimenē ievietoto bērnu personisko un mantisko interešu aizstāvību.</w:t>
            </w:r>
          </w:p>
          <w:p w14:paraId="6AADC69E" w14:textId="77777777" w:rsidR="0077679D" w:rsidRPr="00D21CB9" w:rsidRDefault="0077679D" w:rsidP="00843E17">
            <w:pPr>
              <w:pStyle w:val="TableParagraph"/>
              <w:spacing w:before="80"/>
              <w:ind w:left="0"/>
              <w:jc w:val="both"/>
              <w:rPr>
                <w:sz w:val="24"/>
                <w:szCs w:val="24"/>
              </w:rPr>
            </w:pPr>
          </w:p>
          <w:p w14:paraId="00D71225" w14:textId="77777777" w:rsidR="00A96EDA" w:rsidRPr="00D21CB9" w:rsidRDefault="00A96EDA" w:rsidP="00843E17">
            <w:pPr>
              <w:jc w:val="both"/>
              <w:rPr>
                <w:i/>
                <w:u w:val="single"/>
              </w:rPr>
            </w:pPr>
            <w:r w:rsidRPr="00D21CB9">
              <w:rPr>
                <w:i/>
                <w:u w:val="single"/>
              </w:rPr>
              <w:t>TPL pakalpojuma  administrēšanas moduļa izstrāde:</w:t>
            </w:r>
          </w:p>
          <w:p w14:paraId="55DFD5E1" w14:textId="77777777" w:rsidR="00A96EDA" w:rsidRPr="00D21CB9" w:rsidRDefault="00A96EDA" w:rsidP="00843E17">
            <w:pPr>
              <w:widowControl w:val="0"/>
              <w:jc w:val="both"/>
              <w:rPr>
                <w:lang w:eastAsia="lv-LV"/>
              </w:rPr>
            </w:pPr>
            <w:r w:rsidRPr="00D21CB9">
              <w:rPr>
                <w:lang w:eastAsia="lv-LV"/>
              </w:rPr>
              <w:t xml:space="preserve">Saskaņā ar Sociālo pakalpojumu un sociālās palīdzības likuma 13.panta pirmās daļas 5.punktu un 25.panta pirmo daļu valsts finansē TPL piešķiršanu: </w:t>
            </w:r>
          </w:p>
          <w:p w14:paraId="071CFAAD" w14:textId="77777777" w:rsidR="00A96EDA" w:rsidRPr="00D21CB9" w:rsidRDefault="00A96EDA" w:rsidP="00A96EDA">
            <w:pPr>
              <w:widowControl w:val="0"/>
              <w:numPr>
                <w:ilvl w:val="0"/>
                <w:numId w:val="4"/>
              </w:numPr>
              <w:suppressAutoHyphens w:val="0"/>
              <w:jc w:val="both"/>
              <w:rPr>
                <w:lang w:eastAsia="lv-LV"/>
              </w:rPr>
            </w:pPr>
            <w:r w:rsidRPr="00D21CB9">
              <w:rPr>
                <w:lang w:eastAsia="lv-LV"/>
              </w:rPr>
              <w:t>personām ar invaliditāti;</w:t>
            </w:r>
          </w:p>
          <w:p w14:paraId="7DC966EE" w14:textId="77777777" w:rsidR="00A96EDA" w:rsidRPr="00D21CB9" w:rsidRDefault="00A96EDA" w:rsidP="00A96EDA">
            <w:pPr>
              <w:widowControl w:val="0"/>
              <w:numPr>
                <w:ilvl w:val="0"/>
                <w:numId w:val="4"/>
              </w:numPr>
              <w:suppressAutoHyphens w:val="0"/>
              <w:jc w:val="both"/>
              <w:rPr>
                <w:lang w:eastAsia="lv-LV"/>
              </w:rPr>
            </w:pPr>
            <w:r w:rsidRPr="00D21CB9">
              <w:rPr>
                <w:lang w:eastAsia="lv-LV"/>
              </w:rPr>
              <w:t>bērniem un pilngadīgām personām, kuriem TPL nepieciešams, lai samazinātu vai novērstu funkcionālo mazspēju;</w:t>
            </w:r>
          </w:p>
          <w:p w14:paraId="327EBF7C" w14:textId="77777777" w:rsidR="00A96EDA" w:rsidRPr="00D21CB9" w:rsidRDefault="00A96EDA" w:rsidP="00A96EDA">
            <w:pPr>
              <w:widowControl w:val="0"/>
              <w:numPr>
                <w:ilvl w:val="0"/>
                <w:numId w:val="4"/>
              </w:numPr>
              <w:suppressAutoHyphens w:val="0"/>
              <w:jc w:val="both"/>
              <w:rPr>
                <w:lang w:eastAsia="lv-LV"/>
              </w:rPr>
            </w:pPr>
            <w:r w:rsidRPr="00D21CB9">
              <w:rPr>
                <w:lang w:eastAsia="lv-LV"/>
              </w:rPr>
              <w:t>personām ar prognozējamu invaliditāti, kurām TPL nepieciešams, lai samazinātu vai novērstu funkcionālo mazspēju;</w:t>
            </w:r>
          </w:p>
          <w:p w14:paraId="4384B7D0" w14:textId="77777777" w:rsidR="00A96EDA" w:rsidRPr="00D21CB9" w:rsidRDefault="00A96EDA" w:rsidP="00A96EDA">
            <w:pPr>
              <w:widowControl w:val="0"/>
              <w:numPr>
                <w:ilvl w:val="0"/>
                <w:numId w:val="4"/>
              </w:numPr>
              <w:suppressAutoHyphens w:val="0"/>
              <w:jc w:val="both"/>
              <w:rPr>
                <w:lang w:eastAsia="lv-LV"/>
              </w:rPr>
            </w:pPr>
            <w:r w:rsidRPr="00D21CB9">
              <w:rPr>
                <w:lang w:eastAsia="lv-LV"/>
              </w:rPr>
              <w:t>personām ar anatomiskiem defektiem — protēzi vai ortopēdiskos apavus.</w:t>
            </w:r>
          </w:p>
          <w:p w14:paraId="558C7024" w14:textId="77777777" w:rsidR="00A96EDA" w:rsidRPr="00D21CB9" w:rsidRDefault="00A96EDA" w:rsidP="00843E17">
            <w:pPr>
              <w:widowControl w:val="0"/>
              <w:jc w:val="both"/>
            </w:pPr>
            <w:r w:rsidRPr="00D21CB9">
              <w:rPr>
                <w:lang w:eastAsia="lv-LV"/>
              </w:rPr>
              <w:t>TPL steidzamības kārtā ir tiesības saņemt personām ar pirmreizējiem funkcionāliem traucējumiem</w:t>
            </w:r>
            <w:r w:rsidRPr="00D21CB9">
              <w:rPr>
                <w:i/>
                <w:lang w:eastAsia="lv-LV"/>
              </w:rPr>
              <w:t xml:space="preserve"> </w:t>
            </w:r>
            <w:r w:rsidRPr="00D21CB9">
              <w:rPr>
                <w:lang w:eastAsia="lv-LV"/>
              </w:rPr>
              <w:t xml:space="preserve">(t.i., pēc operācijām, avārijām, hroniskām saslimšanām), personām ar prognozējamu invaliditāti, grūtniecēm, kam </w:t>
            </w:r>
            <w:proofErr w:type="spellStart"/>
            <w:r w:rsidRPr="00D21CB9">
              <w:rPr>
                <w:lang w:eastAsia="lv-LV"/>
              </w:rPr>
              <w:t>antropometrisko</w:t>
            </w:r>
            <w:proofErr w:type="spellEnd"/>
            <w:r w:rsidRPr="00D21CB9">
              <w:rPr>
                <w:lang w:eastAsia="lv-LV"/>
              </w:rPr>
              <w:t xml:space="preserve"> rādītāju izmaiņu dēļ jānomaina iepriekš saņemtais TPL, bērniem, nodarbinātām personām un personām, kuras apgūst izglītības programmu, ja TPL nepieciešams izglītības apguves procesā vai darba pienākumu veikšanai. </w:t>
            </w:r>
          </w:p>
        </w:tc>
      </w:tr>
      <w:tr w:rsidR="00D21CB9" w:rsidRPr="00D21CB9" w14:paraId="4D0DC1A9" w14:textId="77777777" w:rsidTr="00843E17">
        <w:tblPrEx>
          <w:tblCellMar>
            <w:left w:w="57" w:type="dxa"/>
            <w:right w:w="57" w:type="dxa"/>
          </w:tblCellMar>
        </w:tblPrEx>
        <w:trPr>
          <w:trHeight w:val="628"/>
        </w:trPr>
        <w:tc>
          <w:tcPr>
            <w:tcW w:w="763" w:type="dxa"/>
            <w:tcBorders>
              <w:top w:val="thickThinLargeGap" w:sz="6" w:space="0" w:color="C0C0C0"/>
              <w:left w:val="thickThinLargeGap" w:sz="6" w:space="0" w:color="C0C0C0"/>
              <w:bottom w:val="thickThinLargeGap" w:sz="6" w:space="0" w:color="C0C0C0"/>
            </w:tcBorders>
            <w:shd w:val="clear" w:color="auto" w:fill="auto"/>
          </w:tcPr>
          <w:p w14:paraId="121AA679" w14:textId="77777777" w:rsidR="00A96EDA" w:rsidRPr="00D21CB9" w:rsidRDefault="00A96EDA" w:rsidP="00843E17">
            <w:r w:rsidRPr="00D21CB9">
              <w:rPr>
                <w:lang w:eastAsia="en-US"/>
              </w:rPr>
              <w:lastRenderedPageBreak/>
              <w:t>2.</w:t>
            </w:r>
          </w:p>
        </w:tc>
        <w:tc>
          <w:tcPr>
            <w:tcW w:w="1992" w:type="dxa"/>
            <w:tcBorders>
              <w:top w:val="thickThinLargeGap" w:sz="6" w:space="0" w:color="C0C0C0"/>
              <w:left w:val="thickThinLargeGap" w:sz="6" w:space="0" w:color="C0C0C0"/>
              <w:bottom w:val="thickThinLargeGap" w:sz="6" w:space="0" w:color="C0C0C0"/>
            </w:tcBorders>
            <w:shd w:val="clear" w:color="auto" w:fill="auto"/>
          </w:tcPr>
          <w:p w14:paraId="2371399D" w14:textId="77777777" w:rsidR="00A96EDA" w:rsidRPr="00D21CB9" w:rsidRDefault="00A96EDA" w:rsidP="00843E17">
            <w:r w:rsidRPr="00D21CB9">
              <w:rPr>
                <w:lang w:eastAsia="en-US"/>
              </w:rPr>
              <w:t>Tiesiskā regulējuma ietekme uz tautsaimniecību un administratīvo slogu</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49BC04B7" w14:textId="77777777" w:rsidR="00A96EDA" w:rsidRPr="00D21CB9" w:rsidRDefault="00A96EDA" w:rsidP="00843E17">
            <w:pPr>
              <w:pStyle w:val="VPBody"/>
              <w:spacing w:after="0" w:line="240" w:lineRule="auto"/>
              <w:jc w:val="both"/>
              <w:rPr>
                <w:szCs w:val="24"/>
              </w:rPr>
            </w:pPr>
            <w:r w:rsidRPr="00D21CB9">
              <w:t>Elektronisko pakalpojumu pieejamība un procesu elektronizācijas nodrošināšana veicinās lietotāju apmierinātību ar sniegtajiem pakalpojumiem kopumā. Atvērto datu publicēšana samazinās administratīvo slogu valsts pārvaldē kopumā, jo tiks vairākkārt izmantoti sākotnējie dati</w:t>
            </w:r>
            <w:r w:rsidRPr="00D21CB9">
              <w:rPr>
                <w:szCs w:val="24"/>
              </w:rPr>
              <w:t xml:space="preserve">. </w:t>
            </w:r>
          </w:p>
        </w:tc>
      </w:tr>
      <w:tr w:rsidR="00D21CB9" w:rsidRPr="00D21CB9" w14:paraId="3B52DBCE" w14:textId="77777777" w:rsidTr="00843E17">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shd w:val="clear" w:color="auto" w:fill="auto"/>
          </w:tcPr>
          <w:p w14:paraId="23CB60CA" w14:textId="77777777" w:rsidR="00A96EDA" w:rsidRPr="00D21CB9" w:rsidRDefault="00A96EDA" w:rsidP="00843E17">
            <w:r w:rsidRPr="00D21CB9">
              <w:rPr>
                <w:lang w:eastAsia="en-US"/>
              </w:rPr>
              <w:t>3.</w:t>
            </w:r>
          </w:p>
        </w:tc>
        <w:tc>
          <w:tcPr>
            <w:tcW w:w="1992" w:type="dxa"/>
            <w:tcBorders>
              <w:top w:val="thickThinLargeGap" w:sz="6" w:space="0" w:color="C0C0C0"/>
              <w:left w:val="thickThinLargeGap" w:sz="6" w:space="0" w:color="C0C0C0"/>
              <w:bottom w:val="thickThinLargeGap" w:sz="6" w:space="0" w:color="C0C0C0"/>
            </w:tcBorders>
            <w:shd w:val="clear" w:color="auto" w:fill="auto"/>
          </w:tcPr>
          <w:p w14:paraId="4C4CEA8B" w14:textId="77777777" w:rsidR="00A96EDA" w:rsidRPr="00D21CB9" w:rsidRDefault="00A96EDA" w:rsidP="00843E17">
            <w:r w:rsidRPr="00D21CB9">
              <w:rPr>
                <w:lang w:eastAsia="en-US"/>
              </w:rPr>
              <w:t>Administratīvo izmaksu monetārais novērtējums</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3DCEA313" w14:textId="77777777" w:rsidR="00A96EDA" w:rsidRPr="00D21CB9" w:rsidRDefault="00A96EDA" w:rsidP="00843E17">
            <w:pPr>
              <w:jc w:val="both"/>
            </w:pPr>
            <w:r w:rsidRPr="00D21CB9">
              <w:t>Nav attiecināms</w:t>
            </w:r>
          </w:p>
        </w:tc>
      </w:tr>
      <w:tr w:rsidR="00D21CB9" w:rsidRPr="00D21CB9" w14:paraId="00F6FA0F" w14:textId="77777777" w:rsidTr="00843E17">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shd w:val="clear" w:color="auto" w:fill="auto"/>
          </w:tcPr>
          <w:p w14:paraId="74C747BF" w14:textId="77777777" w:rsidR="00A96EDA" w:rsidRPr="00D21CB9" w:rsidRDefault="00A96EDA" w:rsidP="00843E17">
            <w:r w:rsidRPr="00D21CB9">
              <w:rPr>
                <w:lang w:eastAsia="en-US"/>
              </w:rPr>
              <w:t>4.</w:t>
            </w:r>
          </w:p>
        </w:tc>
        <w:tc>
          <w:tcPr>
            <w:tcW w:w="1992" w:type="dxa"/>
            <w:tcBorders>
              <w:top w:val="thickThinLargeGap" w:sz="6" w:space="0" w:color="C0C0C0"/>
              <w:left w:val="thickThinLargeGap" w:sz="6" w:space="0" w:color="C0C0C0"/>
              <w:bottom w:val="thickThinLargeGap" w:sz="6" w:space="0" w:color="C0C0C0"/>
            </w:tcBorders>
            <w:shd w:val="clear" w:color="auto" w:fill="auto"/>
          </w:tcPr>
          <w:p w14:paraId="1C186965" w14:textId="77777777" w:rsidR="00A96EDA" w:rsidRPr="00D21CB9" w:rsidRDefault="00A96EDA" w:rsidP="00843E17">
            <w:r w:rsidRPr="00D21CB9">
              <w:t>Atbilstības izmaksu monetārs novērtējums</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6F8FF6AB" w14:textId="77777777" w:rsidR="00A96EDA" w:rsidRPr="00D21CB9" w:rsidRDefault="00A96EDA" w:rsidP="00843E17">
            <w:pPr>
              <w:jc w:val="both"/>
            </w:pPr>
            <w:r w:rsidRPr="00D21CB9">
              <w:rPr>
                <w:lang w:eastAsia="en-US"/>
              </w:rPr>
              <w:t xml:space="preserve">Nav attiecināms </w:t>
            </w:r>
          </w:p>
        </w:tc>
      </w:tr>
      <w:tr w:rsidR="00D21CB9" w:rsidRPr="00D21CB9" w14:paraId="14AF3E05" w14:textId="77777777" w:rsidTr="00843E17">
        <w:tblPrEx>
          <w:tblCellMar>
            <w:left w:w="57" w:type="dxa"/>
            <w:right w:w="57" w:type="dxa"/>
          </w:tblCellMar>
        </w:tblPrEx>
        <w:tc>
          <w:tcPr>
            <w:tcW w:w="763" w:type="dxa"/>
            <w:tcBorders>
              <w:top w:val="thickThinLargeGap" w:sz="6" w:space="0" w:color="C0C0C0"/>
              <w:left w:val="thickThinLargeGap" w:sz="6" w:space="0" w:color="C0C0C0"/>
              <w:bottom w:val="thickThinLargeGap" w:sz="6" w:space="0" w:color="C0C0C0"/>
            </w:tcBorders>
            <w:shd w:val="clear" w:color="auto" w:fill="auto"/>
          </w:tcPr>
          <w:p w14:paraId="1DE3AF59" w14:textId="77777777" w:rsidR="00A96EDA" w:rsidRPr="00D21CB9" w:rsidRDefault="00A96EDA" w:rsidP="00843E17">
            <w:pPr>
              <w:rPr>
                <w:lang w:eastAsia="en-US"/>
              </w:rPr>
            </w:pPr>
            <w:r w:rsidRPr="00D21CB9">
              <w:rPr>
                <w:lang w:eastAsia="en-US"/>
              </w:rPr>
              <w:t>5.</w:t>
            </w:r>
          </w:p>
        </w:tc>
        <w:tc>
          <w:tcPr>
            <w:tcW w:w="1992" w:type="dxa"/>
            <w:tcBorders>
              <w:top w:val="thickThinLargeGap" w:sz="6" w:space="0" w:color="C0C0C0"/>
              <w:left w:val="thickThinLargeGap" w:sz="6" w:space="0" w:color="C0C0C0"/>
              <w:bottom w:val="thickThinLargeGap" w:sz="6" w:space="0" w:color="C0C0C0"/>
            </w:tcBorders>
            <w:shd w:val="clear" w:color="auto" w:fill="auto"/>
          </w:tcPr>
          <w:p w14:paraId="42CAAF04" w14:textId="77777777" w:rsidR="00A96EDA" w:rsidRPr="00D21CB9" w:rsidRDefault="00A96EDA" w:rsidP="00843E17">
            <w:pPr>
              <w:rPr>
                <w:lang w:eastAsia="en-US"/>
              </w:rPr>
            </w:pPr>
            <w:r w:rsidRPr="00D21CB9">
              <w:rPr>
                <w:lang w:eastAsia="en-US"/>
              </w:rPr>
              <w:t>Cita informācija</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74A90EF2" w14:textId="5D16BBA8" w:rsidR="00A96EDA" w:rsidRPr="00D21CB9" w:rsidRDefault="0077679D" w:rsidP="00843E17">
            <w:pPr>
              <w:jc w:val="both"/>
              <w:rPr>
                <w:lang w:eastAsia="en-US"/>
              </w:rPr>
            </w:pPr>
            <w:r w:rsidRPr="00D21CB9">
              <w:rPr>
                <w:lang w:eastAsia="en-US"/>
              </w:rPr>
              <w:t xml:space="preserve">DI projektam nav ietekmes uz darbības programmas “Izaugsme un nodarbinātība” rādītāja “Centralizētas atvērtas informācijas sistēmu platformas skaits” palielināšanu. </w:t>
            </w:r>
          </w:p>
        </w:tc>
      </w:tr>
    </w:tbl>
    <w:p w14:paraId="21EB1312" w14:textId="77777777" w:rsidR="00A96EDA" w:rsidRPr="00D21CB9" w:rsidRDefault="00A96EDA" w:rsidP="00A96EDA">
      <w:pPr>
        <w:jc w:val="both"/>
        <w:rPr>
          <w:lang w:eastAsia="en-US"/>
        </w:rPr>
      </w:pPr>
    </w:p>
    <w:tbl>
      <w:tblPr>
        <w:tblW w:w="5620" w:type="pct"/>
        <w:tblCellSpacing w:w="15" w:type="dxa"/>
        <w:tblInd w:w="-4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04"/>
        <w:gridCol w:w="725"/>
        <w:gridCol w:w="1308"/>
        <w:gridCol w:w="927"/>
        <w:gridCol w:w="980"/>
        <w:gridCol w:w="728"/>
        <w:gridCol w:w="1288"/>
        <w:gridCol w:w="2159"/>
      </w:tblGrid>
      <w:tr w:rsidR="00D21CB9" w:rsidRPr="00D21CB9" w14:paraId="15F1F227" w14:textId="77777777" w:rsidTr="00843E17">
        <w:trPr>
          <w:tblCellSpacing w:w="15" w:type="dxa"/>
        </w:trPr>
        <w:tc>
          <w:tcPr>
            <w:tcW w:w="4971" w:type="pct"/>
            <w:gridSpan w:val="8"/>
            <w:tcBorders>
              <w:top w:val="outset" w:sz="6" w:space="0" w:color="auto"/>
              <w:left w:val="outset" w:sz="6" w:space="0" w:color="auto"/>
              <w:bottom w:val="outset" w:sz="6" w:space="0" w:color="auto"/>
              <w:right w:val="outset" w:sz="6" w:space="0" w:color="auto"/>
            </w:tcBorders>
            <w:vAlign w:val="center"/>
            <w:hideMark/>
          </w:tcPr>
          <w:p w14:paraId="5247576E" w14:textId="77777777" w:rsidR="00A96EDA" w:rsidRPr="00D21CB9" w:rsidRDefault="00A96EDA" w:rsidP="00843E17">
            <w:pPr>
              <w:rPr>
                <w:b/>
                <w:bCs/>
                <w:iCs/>
                <w:lang w:eastAsia="lv-LV"/>
              </w:rPr>
            </w:pPr>
            <w:r w:rsidRPr="00D21CB9">
              <w:rPr>
                <w:b/>
                <w:bCs/>
                <w:iCs/>
                <w:lang w:eastAsia="lv-LV"/>
              </w:rPr>
              <w:t>III. Tiesību akta projekta ietekme uz valsts budžetu un pašvaldību budžetiem</w:t>
            </w:r>
          </w:p>
        </w:tc>
      </w:tr>
      <w:tr w:rsidR="00D21CB9" w:rsidRPr="00D21CB9" w14:paraId="122E6594" w14:textId="77777777" w:rsidTr="00101CE0">
        <w:trPr>
          <w:tblCellSpacing w:w="15" w:type="dxa"/>
        </w:trPr>
        <w:tc>
          <w:tcPr>
            <w:tcW w:w="948" w:type="pct"/>
            <w:vMerge w:val="restart"/>
            <w:tcBorders>
              <w:top w:val="outset" w:sz="6" w:space="0" w:color="auto"/>
              <w:left w:val="outset" w:sz="6" w:space="0" w:color="auto"/>
              <w:bottom w:val="outset" w:sz="6" w:space="0" w:color="auto"/>
              <w:right w:val="outset" w:sz="6" w:space="0" w:color="auto"/>
            </w:tcBorders>
            <w:vAlign w:val="center"/>
            <w:hideMark/>
          </w:tcPr>
          <w:p w14:paraId="7DE377D0" w14:textId="77777777" w:rsidR="00A96EDA" w:rsidRPr="00D21CB9" w:rsidRDefault="00A96EDA" w:rsidP="00843E17">
            <w:pPr>
              <w:jc w:val="center"/>
              <w:rPr>
                <w:iCs/>
                <w:lang w:eastAsia="lv-LV"/>
              </w:rPr>
            </w:pPr>
            <w:r w:rsidRPr="00D21CB9">
              <w:rPr>
                <w:iCs/>
                <w:lang w:eastAsia="lv-LV"/>
              </w:rPr>
              <w:t>Rādītāji</w:t>
            </w:r>
          </w:p>
        </w:tc>
        <w:tc>
          <w:tcPr>
            <w:tcW w:w="1007"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1A7868DE" w14:textId="77777777" w:rsidR="00A96EDA" w:rsidRPr="00D21CB9" w:rsidRDefault="00A96EDA" w:rsidP="00843E17">
            <w:pPr>
              <w:jc w:val="center"/>
              <w:rPr>
                <w:iCs/>
                <w:lang w:eastAsia="lv-LV"/>
              </w:rPr>
            </w:pPr>
            <w:r w:rsidRPr="00D21CB9">
              <w:rPr>
                <w:iCs/>
                <w:lang w:eastAsia="lv-LV"/>
              </w:rPr>
              <w:t>2019.gads</w:t>
            </w:r>
          </w:p>
        </w:tc>
        <w:tc>
          <w:tcPr>
            <w:tcW w:w="2986" w:type="pct"/>
            <w:gridSpan w:val="5"/>
            <w:tcBorders>
              <w:top w:val="outset" w:sz="6" w:space="0" w:color="auto"/>
              <w:left w:val="outset" w:sz="6" w:space="0" w:color="auto"/>
              <w:bottom w:val="outset" w:sz="6" w:space="0" w:color="auto"/>
              <w:right w:val="outset" w:sz="6" w:space="0" w:color="auto"/>
            </w:tcBorders>
            <w:vAlign w:val="center"/>
            <w:hideMark/>
          </w:tcPr>
          <w:p w14:paraId="185BBB55" w14:textId="77777777" w:rsidR="00A96EDA" w:rsidRPr="00D21CB9" w:rsidRDefault="00A96EDA" w:rsidP="00843E17">
            <w:pPr>
              <w:rPr>
                <w:iCs/>
                <w:lang w:eastAsia="lv-LV"/>
              </w:rPr>
            </w:pPr>
            <w:r w:rsidRPr="00D21CB9">
              <w:rPr>
                <w:iCs/>
                <w:lang w:eastAsia="lv-LV"/>
              </w:rPr>
              <w:t>Turpmākie trīs gadi (</w:t>
            </w:r>
            <w:proofErr w:type="spellStart"/>
            <w:r w:rsidRPr="00D21CB9">
              <w:rPr>
                <w:i/>
                <w:iCs/>
                <w:lang w:eastAsia="lv-LV"/>
              </w:rPr>
              <w:t>euro</w:t>
            </w:r>
            <w:proofErr w:type="spellEnd"/>
            <w:r w:rsidRPr="00D21CB9">
              <w:rPr>
                <w:iCs/>
                <w:lang w:eastAsia="lv-LV"/>
              </w:rPr>
              <w:t>)</w:t>
            </w:r>
          </w:p>
        </w:tc>
      </w:tr>
      <w:tr w:rsidR="00D21CB9" w:rsidRPr="00D21CB9" w14:paraId="15D594F5" w14:textId="77777777" w:rsidTr="00101CE0">
        <w:trPr>
          <w:tblCellSpacing w:w="15" w:type="dxa"/>
        </w:trPr>
        <w:tc>
          <w:tcPr>
            <w:tcW w:w="948" w:type="pct"/>
            <w:vMerge/>
            <w:tcBorders>
              <w:top w:val="outset" w:sz="6" w:space="0" w:color="auto"/>
              <w:left w:val="outset" w:sz="6" w:space="0" w:color="auto"/>
              <w:bottom w:val="outset" w:sz="6" w:space="0" w:color="auto"/>
              <w:right w:val="outset" w:sz="6" w:space="0" w:color="auto"/>
            </w:tcBorders>
            <w:vAlign w:val="center"/>
            <w:hideMark/>
          </w:tcPr>
          <w:p w14:paraId="18FB8D00" w14:textId="77777777" w:rsidR="00A96EDA" w:rsidRPr="00D21CB9" w:rsidRDefault="00A96EDA" w:rsidP="00843E17">
            <w:pPr>
              <w:rPr>
                <w:iCs/>
                <w:lang w:eastAsia="lv-LV"/>
              </w:rPr>
            </w:pPr>
          </w:p>
        </w:tc>
        <w:tc>
          <w:tcPr>
            <w:tcW w:w="1007" w:type="pct"/>
            <w:gridSpan w:val="2"/>
            <w:vMerge/>
            <w:tcBorders>
              <w:top w:val="outset" w:sz="6" w:space="0" w:color="auto"/>
              <w:left w:val="outset" w:sz="6" w:space="0" w:color="auto"/>
              <w:bottom w:val="outset" w:sz="6" w:space="0" w:color="auto"/>
              <w:right w:val="outset" w:sz="6" w:space="0" w:color="auto"/>
            </w:tcBorders>
            <w:vAlign w:val="center"/>
            <w:hideMark/>
          </w:tcPr>
          <w:p w14:paraId="055CEF41" w14:textId="77777777" w:rsidR="00A96EDA" w:rsidRPr="00D21CB9" w:rsidRDefault="00A96EDA" w:rsidP="00843E17">
            <w:pPr>
              <w:rPr>
                <w:iCs/>
                <w:lang w:eastAsia="lv-LV"/>
              </w:rPr>
            </w:pPr>
          </w:p>
        </w:tc>
        <w:tc>
          <w:tcPr>
            <w:tcW w:w="941" w:type="pct"/>
            <w:gridSpan w:val="2"/>
            <w:tcBorders>
              <w:top w:val="outset" w:sz="6" w:space="0" w:color="auto"/>
              <w:left w:val="outset" w:sz="6" w:space="0" w:color="auto"/>
              <w:bottom w:val="outset" w:sz="6" w:space="0" w:color="auto"/>
              <w:right w:val="outset" w:sz="6" w:space="0" w:color="auto"/>
            </w:tcBorders>
            <w:vAlign w:val="center"/>
            <w:hideMark/>
          </w:tcPr>
          <w:p w14:paraId="59533135" w14:textId="77777777" w:rsidR="00A96EDA" w:rsidRPr="00D21CB9" w:rsidRDefault="00A96EDA" w:rsidP="00843E17">
            <w:pPr>
              <w:jc w:val="center"/>
              <w:rPr>
                <w:iCs/>
                <w:lang w:eastAsia="lv-LV"/>
              </w:rPr>
            </w:pPr>
            <w:r w:rsidRPr="00D21CB9">
              <w:rPr>
                <w:iCs/>
                <w:lang w:eastAsia="lv-LV"/>
              </w:rPr>
              <w:t>2020.gads</w:t>
            </w:r>
          </w:p>
        </w:tc>
        <w:tc>
          <w:tcPr>
            <w:tcW w:w="997" w:type="pct"/>
            <w:gridSpan w:val="2"/>
            <w:tcBorders>
              <w:top w:val="outset" w:sz="6" w:space="0" w:color="auto"/>
              <w:left w:val="outset" w:sz="6" w:space="0" w:color="auto"/>
              <w:bottom w:val="outset" w:sz="6" w:space="0" w:color="auto"/>
              <w:right w:val="outset" w:sz="6" w:space="0" w:color="auto"/>
            </w:tcBorders>
            <w:vAlign w:val="center"/>
            <w:hideMark/>
          </w:tcPr>
          <w:p w14:paraId="6793989E" w14:textId="77777777" w:rsidR="00A96EDA" w:rsidRPr="00D21CB9" w:rsidRDefault="00A96EDA" w:rsidP="00843E17">
            <w:pPr>
              <w:jc w:val="center"/>
              <w:rPr>
                <w:iCs/>
                <w:lang w:eastAsia="lv-LV"/>
              </w:rPr>
            </w:pPr>
            <w:r w:rsidRPr="00D21CB9">
              <w:rPr>
                <w:iCs/>
                <w:lang w:eastAsia="lv-LV"/>
              </w:rPr>
              <w:t>2021.gads</w:t>
            </w:r>
          </w:p>
        </w:tc>
        <w:tc>
          <w:tcPr>
            <w:tcW w:w="1019" w:type="pct"/>
            <w:tcBorders>
              <w:top w:val="outset" w:sz="6" w:space="0" w:color="auto"/>
              <w:left w:val="outset" w:sz="6" w:space="0" w:color="auto"/>
              <w:bottom w:val="outset" w:sz="6" w:space="0" w:color="auto"/>
              <w:right w:val="outset" w:sz="6" w:space="0" w:color="auto"/>
            </w:tcBorders>
            <w:vAlign w:val="center"/>
            <w:hideMark/>
          </w:tcPr>
          <w:p w14:paraId="2452C17D" w14:textId="77777777" w:rsidR="00A96EDA" w:rsidRPr="00D21CB9" w:rsidRDefault="00A96EDA" w:rsidP="00843E17">
            <w:pPr>
              <w:rPr>
                <w:iCs/>
                <w:lang w:eastAsia="lv-LV"/>
              </w:rPr>
            </w:pPr>
            <w:r w:rsidRPr="00D21CB9">
              <w:rPr>
                <w:iCs/>
                <w:lang w:eastAsia="lv-LV"/>
              </w:rPr>
              <w:t>2022.gads</w:t>
            </w:r>
          </w:p>
        </w:tc>
      </w:tr>
      <w:tr w:rsidR="00D21CB9" w:rsidRPr="00D21CB9" w14:paraId="0D57100B" w14:textId="77777777" w:rsidTr="00101CE0">
        <w:trPr>
          <w:tblCellSpacing w:w="15" w:type="dxa"/>
        </w:trPr>
        <w:tc>
          <w:tcPr>
            <w:tcW w:w="948" w:type="pct"/>
            <w:vMerge/>
            <w:tcBorders>
              <w:top w:val="outset" w:sz="6" w:space="0" w:color="auto"/>
              <w:left w:val="outset" w:sz="6" w:space="0" w:color="auto"/>
              <w:bottom w:val="outset" w:sz="6" w:space="0" w:color="auto"/>
              <w:right w:val="outset" w:sz="6" w:space="0" w:color="auto"/>
            </w:tcBorders>
            <w:vAlign w:val="center"/>
            <w:hideMark/>
          </w:tcPr>
          <w:p w14:paraId="3DC0257D" w14:textId="77777777" w:rsidR="00A96EDA" w:rsidRPr="00D21CB9" w:rsidRDefault="00A96EDA" w:rsidP="00843E17">
            <w:pPr>
              <w:rPr>
                <w:iCs/>
                <w:lang w:eastAsia="lv-LV"/>
              </w:rPr>
            </w:pPr>
          </w:p>
        </w:tc>
        <w:tc>
          <w:tcPr>
            <w:tcW w:w="355" w:type="pct"/>
            <w:tcBorders>
              <w:top w:val="outset" w:sz="6" w:space="0" w:color="auto"/>
              <w:left w:val="outset" w:sz="6" w:space="0" w:color="auto"/>
              <w:bottom w:val="outset" w:sz="6" w:space="0" w:color="auto"/>
              <w:right w:val="outset" w:sz="6" w:space="0" w:color="auto"/>
            </w:tcBorders>
            <w:hideMark/>
          </w:tcPr>
          <w:p w14:paraId="0F6B05E1" w14:textId="77777777" w:rsidR="00A96EDA" w:rsidRPr="00D21CB9" w:rsidRDefault="00A96EDA" w:rsidP="00843E17">
            <w:r w:rsidRPr="00D21CB9">
              <w:t>saskaņā ar valsts budžetu kārtējam gadam*</w:t>
            </w:r>
          </w:p>
        </w:tc>
        <w:tc>
          <w:tcPr>
            <w:tcW w:w="637" w:type="pct"/>
            <w:tcBorders>
              <w:top w:val="outset" w:sz="6" w:space="0" w:color="auto"/>
              <w:left w:val="outset" w:sz="6" w:space="0" w:color="auto"/>
              <w:bottom w:val="outset" w:sz="6" w:space="0" w:color="auto"/>
              <w:right w:val="outset" w:sz="6" w:space="0" w:color="auto"/>
            </w:tcBorders>
            <w:hideMark/>
          </w:tcPr>
          <w:p w14:paraId="17CD3792" w14:textId="77777777" w:rsidR="00A96EDA" w:rsidRPr="00D21CB9" w:rsidRDefault="00A96EDA" w:rsidP="00843E17">
            <w:r w:rsidRPr="00D21CB9">
              <w:t>izmaiņas kārtējā gadā, salīdzinot ar valsts budžetu kārtējam gadam</w:t>
            </w:r>
          </w:p>
        </w:tc>
        <w:tc>
          <w:tcPr>
            <w:tcW w:w="457" w:type="pct"/>
            <w:tcBorders>
              <w:top w:val="outset" w:sz="6" w:space="0" w:color="auto"/>
              <w:left w:val="outset" w:sz="6" w:space="0" w:color="auto"/>
              <w:bottom w:val="outset" w:sz="6" w:space="0" w:color="auto"/>
              <w:right w:val="outset" w:sz="6" w:space="0" w:color="auto"/>
            </w:tcBorders>
            <w:hideMark/>
          </w:tcPr>
          <w:p w14:paraId="36D9A3AC" w14:textId="77777777" w:rsidR="00A96EDA" w:rsidRPr="00D21CB9" w:rsidRDefault="00A96EDA" w:rsidP="00843E17">
            <w:r w:rsidRPr="00D21CB9">
              <w:t>saskaņā ar vidēja termiņa budžeta ietvaru*</w:t>
            </w:r>
          </w:p>
        </w:tc>
        <w:tc>
          <w:tcPr>
            <w:tcW w:w="469" w:type="pct"/>
            <w:tcBorders>
              <w:top w:val="outset" w:sz="6" w:space="0" w:color="auto"/>
              <w:left w:val="outset" w:sz="6" w:space="0" w:color="auto"/>
              <w:bottom w:val="outset" w:sz="6" w:space="0" w:color="auto"/>
              <w:right w:val="outset" w:sz="6" w:space="0" w:color="auto"/>
            </w:tcBorders>
            <w:hideMark/>
          </w:tcPr>
          <w:p w14:paraId="5668C9D6" w14:textId="77777777" w:rsidR="00A96EDA" w:rsidRPr="00D21CB9" w:rsidRDefault="00A96EDA" w:rsidP="00843E17">
            <w:r w:rsidRPr="00D21CB9">
              <w:t>izmaiņas, salīdzinot ar vidēja termiņa budžeta ietvaru 2020. gadam</w:t>
            </w:r>
          </w:p>
        </w:tc>
        <w:tc>
          <w:tcPr>
            <w:tcW w:w="356" w:type="pct"/>
            <w:tcBorders>
              <w:top w:val="outset" w:sz="6" w:space="0" w:color="auto"/>
              <w:left w:val="outset" w:sz="6" w:space="0" w:color="auto"/>
              <w:bottom w:val="outset" w:sz="6" w:space="0" w:color="auto"/>
              <w:right w:val="outset" w:sz="6" w:space="0" w:color="auto"/>
            </w:tcBorders>
            <w:hideMark/>
          </w:tcPr>
          <w:p w14:paraId="0D13F41B" w14:textId="77777777" w:rsidR="00A96EDA" w:rsidRPr="00D21CB9" w:rsidRDefault="00A96EDA" w:rsidP="00843E17">
            <w:r w:rsidRPr="00D21CB9">
              <w:t>saskaņā ar vidēja termiņa budžeta ietvaru*</w:t>
            </w:r>
          </w:p>
        </w:tc>
        <w:tc>
          <w:tcPr>
            <w:tcW w:w="626" w:type="pct"/>
            <w:tcBorders>
              <w:top w:val="outset" w:sz="6" w:space="0" w:color="auto"/>
              <w:left w:val="outset" w:sz="6" w:space="0" w:color="auto"/>
              <w:bottom w:val="outset" w:sz="6" w:space="0" w:color="auto"/>
              <w:right w:val="outset" w:sz="6" w:space="0" w:color="auto"/>
            </w:tcBorders>
            <w:hideMark/>
          </w:tcPr>
          <w:p w14:paraId="51886FB9" w14:textId="77777777" w:rsidR="00A96EDA" w:rsidRPr="00D21CB9" w:rsidRDefault="00A96EDA" w:rsidP="00843E17">
            <w:r w:rsidRPr="00D21CB9">
              <w:t>izmaiņas, salīdzinot ar vidēja termiņa budžeta ietvaru  2021. gadam</w:t>
            </w:r>
          </w:p>
        </w:tc>
        <w:tc>
          <w:tcPr>
            <w:tcW w:w="1019" w:type="pct"/>
            <w:tcBorders>
              <w:top w:val="outset" w:sz="6" w:space="0" w:color="auto"/>
              <w:left w:val="outset" w:sz="6" w:space="0" w:color="auto"/>
              <w:bottom w:val="outset" w:sz="6" w:space="0" w:color="auto"/>
              <w:right w:val="outset" w:sz="6" w:space="0" w:color="auto"/>
            </w:tcBorders>
            <w:hideMark/>
          </w:tcPr>
          <w:p w14:paraId="7A32E3B8" w14:textId="77777777" w:rsidR="00A96EDA" w:rsidRPr="00D21CB9" w:rsidRDefault="00A96EDA" w:rsidP="00843E17">
            <w:r w:rsidRPr="00D21CB9">
              <w:t>izmaiņas, salīdzinot ar vidēja termiņa budžeta ietvaru 2021. gadam</w:t>
            </w:r>
          </w:p>
        </w:tc>
      </w:tr>
      <w:tr w:rsidR="00D21CB9" w:rsidRPr="00D21CB9" w14:paraId="5026285D"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vAlign w:val="center"/>
            <w:hideMark/>
          </w:tcPr>
          <w:p w14:paraId="600F35C2" w14:textId="77777777" w:rsidR="00A96EDA" w:rsidRPr="00D21CB9" w:rsidRDefault="00A96EDA" w:rsidP="00843E17">
            <w:pPr>
              <w:jc w:val="center"/>
              <w:rPr>
                <w:iCs/>
                <w:lang w:eastAsia="lv-LV"/>
              </w:rPr>
            </w:pPr>
            <w:r w:rsidRPr="00D21CB9">
              <w:rPr>
                <w:iCs/>
                <w:lang w:eastAsia="lv-LV"/>
              </w:rPr>
              <w:t>1</w:t>
            </w:r>
          </w:p>
        </w:tc>
        <w:tc>
          <w:tcPr>
            <w:tcW w:w="355" w:type="pct"/>
            <w:tcBorders>
              <w:top w:val="outset" w:sz="6" w:space="0" w:color="auto"/>
              <w:left w:val="outset" w:sz="6" w:space="0" w:color="auto"/>
              <w:bottom w:val="outset" w:sz="6" w:space="0" w:color="auto"/>
              <w:right w:val="outset" w:sz="6" w:space="0" w:color="auto"/>
            </w:tcBorders>
            <w:vAlign w:val="center"/>
            <w:hideMark/>
          </w:tcPr>
          <w:p w14:paraId="428E436B" w14:textId="77777777" w:rsidR="00A96EDA" w:rsidRPr="00D21CB9" w:rsidRDefault="00A96EDA" w:rsidP="00843E17">
            <w:pPr>
              <w:jc w:val="center"/>
              <w:rPr>
                <w:iCs/>
                <w:lang w:eastAsia="lv-LV"/>
              </w:rPr>
            </w:pPr>
            <w:r w:rsidRPr="00D21CB9">
              <w:rPr>
                <w:iCs/>
                <w:lang w:eastAsia="lv-LV"/>
              </w:rPr>
              <w:t>2</w:t>
            </w:r>
          </w:p>
        </w:tc>
        <w:tc>
          <w:tcPr>
            <w:tcW w:w="637" w:type="pct"/>
            <w:tcBorders>
              <w:top w:val="outset" w:sz="6" w:space="0" w:color="auto"/>
              <w:left w:val="outset" w:sz="6" w:space="0" w:color="auto"/>
              <w:bottom w:val="outset" w:sz="6" w:space="0" w:color="auto"/>
              <w:right w:val="outset" w:sz="6" w:space="0" w:color="auto"/>
            </w:tcBorders>
            <w:vAlign w:val="center"/>
            <w:hideMark/>
          </w:tcPr>
          <w:p w14:paraId="66BD47F2" w14:textId="77777777" w:rsidR="00A96EDA" w:rsidRPr="00D21CB9" w:rsidRDefault="00A96EDA" w:rsidP="00843E17">
            <w:pPr>
              <w:jc w:val="center"/>
              <w:rPr>
                <w:iCs/>
                <w:lang w:eastAsia="lv-LV"/>
              </w:rPr>
            </w:pPr>
            <w:r w:rsidRPr="00D21CB9">
              <w:rPr>
                <w:iCs/>
                <w:lang w:eastAsia="lv-LV"/>
              </w:rPr>
              <w:t>3</w:t>
            </w:r>
          </w:p>
        </w:tc>
        <w:tc>
          <w:tcPr>
            <w:tcW w:w="457" w:type="pct"/>
            <w:tcBorders>
              <w:top w:val="outset" w:sz="6" w:space="0" w:color="auto"/>
              <w:left w:val="outset" w:sz="6" w:space="0" w:color="auto"/>
              <w:bottom w:val="outset" w:sz="6" w:space="0" w:color="auto"/>
              <w:right w:val="outset" w:sz="6" w:space="0" w:color="auto"/>
            </w:tcBorders>
            <w:vAlign w:val="center"/>
            <w:hideMark/>
          </w:tcPr>
          <w:p w14:paraId="067DF439" w14:textId="77777777" w:rsidR="00A96EDA" w:rsidRPr="00D21CB9" w:rsidRDefault="00A96EDA" w:rsidP="00843E17">
            <w:pPr>
              <w:jc w:val="center"/>
              <w:rPr>
                <w:iCs/>
                <w:lang w:eastAsia="lv-LV"/>
              </w:rPr>
            </w:pPr>
            <w:r w:rsidRPr="00D21CB9">
              <w:rPr>
                <w:iCs/>
                <w:lang w:eastAsia="lv-LV"/>
              </w:rPr>
              <w:t>4</w:t>
            </w:r>
          </w:p>
        </w:tc>
        <w:tc>
          <w:tcPr>
            <w:tcW w:w="469" w:type="pct"/>
            <w:tcBorders>
              <w:top w:val="outset" w:sz="6" w:space="0" w:color="auto"/>
              <w:left w:val="outset" w:sz="6" w:space="0" w:color="auto"/>
              <w:bottom w:val="outset" w:sz="6" w:space="0" w:color="auto"/>
              <w:right w:val="outset" w:sz="6" w:space="0" w:color="auto"/>
            </w:tcBorders>
            <w:vAlign w:val="center"/>
            <w:hideMark/>
          </w:tcPr>
          <w:p w14:paraId="290ED200" w14:textId="77777777" w:rsidR="00A96EDA" w:rsidRPr="00D21CB9" w:rsidRDefault="00A96EDA" w:rsidP="00843E17">
            <w:pPr>
              <w:jc w:val="center"/>
              <w:rPr>
                <w:iCs/>
                <w:lang w:eastAsia="lv-LV"/>
              </w:rPr>
            </w:pPr>
            <w:r w:rsidRPr="00D21CB9">
              <w:rPr>
                <w:iCs/>
                <w:lang w:eastAsia="lv-LV"/>
              </w:rPr>
              <w:t>5</w:t>
            </w:r>
          </w:p>
        </w:tc>
        <w:tc>
          <w:tcPr>
            <w:tcW w:w="356" w:type="pct"/>
            <w:tcBorders>
              <w:top w:val="outset" w:sz="6" w:space="0" w:color="auto"/>
              <w:left w:val="outset" w:sz="6" w:space="0" w:color="auto"/>
              <w:bottom w:val="outset" w:sz="6" w:space="0" w:color="auto"/>
              <w:right w:val="outset" w:sz="6" w:space="0" w:color="auto"/>
            </w:tcBorders>
            <w:vAlign w:val="center"/>
            <w:hideMark/>
          </w:tcPr>
          <w:p w14:paraId="389B12AE" w14:textId="77777777" w:rsidR="00A96EDA" w:rsidRPr="00D21CB9" w:rsidRDefault="00A96EDA" w:rsidP="00843E17">
            <w:pPr>
              <w:jc w:val="center"/>
              <w:rPr>
                <w:iCs/>
                <w:lang w:eastAsia="lv-LV"/>
              </w:rPr>
            </w:pPr>
            <w:r w:rsidRPr="00D21CB9">
              <w:rPr>
                <w:iCs/>
                <w:lang w:eastAsia="lv-LV"/>
              </w:rPr>
              <w:t>6</w:t>
            </w:r>
          </w:p>
        </w:tc>
        <w:tc>
          <w:tcPr>
            <w:tcW w:w="626" w:type="pct"/>
            <w:tcBorders>
              <w:top w:val="outset" w:sz="6" w:space="0" w:color="auto"/>
              <w:left w:val="outset" w:sz="6" w:space="0" w:color="auto"/>
              <w:bottom w:val="outset" w:sz="6" w:space="0" w:color="auto"/>
              <w:right w:val="outset" w:sz="6" w:space="0" w:color="auto"/>
            </w:tcBorders>
            <w:vAlign w:val="center"/>
            <w:hideMark/>
          </w:tcPr>
          <w:p w14:paraId="30287E65" w14:textId="77777777" w:rsidR="00A96EDA" w:rsidRPr="00D21CB9" w:rsidRDefault="00A96EDA" w:rsidP="00843E17">
            <w:pPr>
              <w:jc w:val="center"/>
              <w:rPr>
                <w:iCs/>
                <w:lang w:eastAsia="lv-LV"/>
              </w:rPr>
            </w:pPr>
            <w:r w:rsidRPr="00D21CB9">
              <w:rPr>
                <w:iCs/>
                <w:lang w:eastAsia="lv-LV"/>
              </w:rPr>
              <w:t>7</w:t>
            </w:r>
          </w:p>
        </w:tc>
        <w:tc>
          <w:tcPr>
            <w:tcW w:w="1019" w:type="pct"/>
            <w:tcBorders>
              <w:top w:val="outset" w:sz="6" w:space="0" w:color="auto"/>
              <w:left w:val="outset" w:sz="6" w:space="0" w:color="auto"/>
              <w:bottom w:val="outset" w:sz="6" w:space="0" w:color="auto"/>
              <w:right w:val="outset" w:sz="6" w:space="0" w:color="auto"/>
            </w:tcBorders>
            <w:vAlign w:val="center"/>
            <w:hideMark/>
          </w:tcPr>
          <w:p w14:paraId="1C85B2B9" w14:textId="77777777" w:rsidR="00A96EDA" w:rsidRPr="00D21CB9" w:rsidRDefault="00A96EDA" w:rsidP="00843E17">
            <w:pPr>
              <w:jc w:val="center"/>
              <w:rPr>
                <w:iCs/>
                <w:lang w:eastAsia="lv-LV"/>
              </w:rPr>
            </w:pPr>
            <w:r w:rsidRPr="00D21CB9">
              <w:rPr>
                <w:iCs/>
                <w:lang w:eastAsia="lv-LV"/>
              </w:rPr>
              <w:t>8</w:t>
            </w:r>
          </w:p>
        </w:tc>
      </w:tr>
      <w:tr w:rsidR="00D21CB9" w:rsidRPr="00D21CB9" w14:paraId="7094D052"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62E76AB9" w14:textId="77777777" w:rsidR="00A96EDA" w:rsidRPr="00D21CB9" w:rsidRDefault="00A96EDA" w:rsidP="00843E17">
            <w:pPr>
              <w:rPr>
                <w:iCs/>
                <w:lang w:eastAsia="lv-LV"/>
              </w:rPr>
            </w:pPr>
            <w:r w:rsidRPr="00D21CB9">
              <w:rPr>
                <w:iCs/>
                <w:lang w:eastAsia="lv-LV"/>
              </w:rPr>
              <w:t>1. Budžeta ieņēmumi</w:t>
            </w:r>
          </w:p>
        </w:tc>
        <w:tc>
          <w:tcPr>
            <w:tcW w:w="355" w:type="pct"/>
            <w:tcBorders>
              <w:top w:val="outset" w:sz="6" w:space="0" w:color="auto"/>
              <w:left w:val="outset" w:sz="6" w:space="0" w:color="auto"/>
              <w:bottom w:val="outset" w:sz="6" w:space="0" w:color="auto"/>
              <w:right w:val="outset" w:sz="6" w:space="0" w:color="auto"/>
            </w:tcBorders>
            <w:vAlign w:val="center"/>
            <w:hideMark/>
          </w:tcPr>
          <w:p w14:paraId="62F62D79"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193B54E0" w14:textId="43B1DEFC" w:rsidR="00A96EDA" w:rsidRPr="00D21CB9" w:rsidRDefault="00101CE0" w:rsidP="00843E17">
            <w:pPr>
              <w:jc w:val="center"/>
            </w:pPr>
            <w:r w:rsidRPr="00D21CB9">
              <w:t>16 073</w:t>
            </w:r>
          </w:p>
        </w:tc>
        <w:tc>
          <w:tcPr>
            <w:tcW w:w="457" w:type="pct"/>
            <w:tcBorders>
              <w:top w:val="outset" w:sz="6" w:space="0" w:color="auto"/>
              <w:left w:val="outset" w:sz="6" w:space="0" w:color="auto"/>
              <w:bottom w:val="outset" w:sz="6" w:space="0" w:color="auto"/>
              <w:right w:val="outset" w:sz="6" w:space="0" w:color="auto"/>
            </w:tcBorders>
            <w:vAlign w:val="center"/>
            <w:hideMark/>
          </w:tcPr>
          <w:p w14:paraId="1433C7A8"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217F26F0" w14:textId="4BD95458" w:rsidR="00A96EDA" w:rsidRPr="00D21CB9" w:rsidRDefault="00101CE0" w:rsidP="00843E17">
            <w:pPr>
              <w:jc w:val="center"/>
            </w:pPr>
            <w:r w:rsidRPr="00D21CB9">
              <w:rPr>
                <w:iCs/>
              </w:rPr>
              <w:t>206 351</w:t>
            </w:r>
          </w:p>
        </w:tc>
        <w:tc>
          <w:tcPr>
            <w:tcW w:w="356" w:type="pct"/>
            <w:tcBorders>
              <w:top w:val="outset" w:sz="6" w:space="0" w:color="auto"/>
              <w:left w:val="outset" w:sz="6" w:space="0" w:color="auto"/>
              <w:bottom w:val="outset" w:sz="6" w:space="0" w:color="auto"/>
              <w:right w:val="outset" w:sz="6" w:space="0" w:color="auto"/>
            </w:tcBorders>
            <w:vAlign w:val="center"/>
            <w:hideMark/>
          </w:tcPr>
          <w:p w14:paraId="260593CA"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3F03749D" w14:textId="67FD7040" w:rsidR="00A96EDA" w:rsidRPr="00D21CB9" w:rsidRDefault="00101CE0" w:rsidP="00843E17">
            <w:pPr>
              <w:jc w:val="center"/>
            </w:pPr>
            <w:r w:rsidRPr="00D21CB9">
              <w:rPr>
                <w:iCs/>
              </w:rPr>
              <w:t>220 175</w:t>
            </w:r>
          </w:p>
        </w:tc>
        <w:tc>
          <w:tcPr>
            <w:tcW w:w="1019" w:type="pct"/>
            <w:tcBorders>
              <w:top w:val="outset" w:sz="6" w:space="0" w:color="auto"/>
              <w:left w:val="outset" w:sz="6" w:space="0" w:color="auto"/>
              <w:bottom w:val="outset" w:sz="6" w:space="0" w:color="auto"/>
              <w:right w:val="outset" w:sz="6" w:space="0" w:color="auto"/>
            </w:tcBorders>
            <w:vAlign w:val="center"/>
            <w:hideMark/>
          </w:tcPr>
          <w:p w14:paraId="029D88C6" w14:textId="75CBB74D" w:rsidR="00A96EDA" w:rsidRPr="00D21CB9" w:rsidRDefault="00101CE0" w:rsidP="00843E17">
            <w:pPr>
              <w:jc w:val="center"/>
            </w:pPr>
            <w:r w:rsidRPr="00D21CB9">
              <w:rPr>
                <w:iCs/>
              </w:rPr>
              <w:t>152 401</w:t>
            </w:r>
          </w:p>
        </w:tc>
      </w:tr>
      <w:tr w:rsidR="00D21CB9" w:rsidRPr="00D21CB9" w14:paraId="7399DE6C" w14:textId="77777777" w:rsidTr="00101CE0">
        <w:trPr>
          <w:trHeight w:val="2006"/>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1808C312" w14:textId="77777777" w:rsidR="00A96EDA" w:rsidRPr="00D21CB9" w:rsidRDefault="00A96EDA" w:rsidP="00843E17">
            <w:pPr>
              <w:rPr>
                <w:iCs/>
                <w:lang w:eastAsia="lv-LV"/>
              </w:rPr>
            </w:pPr>
            <w:r w:rsidRPr="00D21CB9">
              <w:rPr>
                <w:iCs/>
                <w:lang w:eastAsia="lv-LV"/>
              </w:rPr>
              <w:t>1.1. valsts pamatbudžets, tai skaitā ieņēmumi no maksas pakalpojumiem un citi pašu ieņēmumi</w:t>
            </w:r>
          </w:p>
        </w:tc>
        <w:tc>
          <w:tcPr>
            <w:tcW w:w="355" w:type="pct"/>
            <w:tcBorders>
              <w:top w:val="outset" w:sz="6" w:space="0" w:color="auto"/>
              <w:left w:val="outset" w:sz="6" w:space="0" w:color="auto"/>
              <w:bottom w:val="outset" w:sz="6" w:space="0" w:color="auto"/>
              <w:right w:val="outset" w:sz="6" w:space="0" w:color="auto"/>
            </w:tcBorders>
            <w:vAlign w:val="center"/>
            <w:hideMark/>
          </w:tcPr>
          <w:p w14:paraId="23303586"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B822110" w14:textId="2FE372A5" w:rsidR="00A96EDA" w:rsidRPr="00D21CB9" w:rsidRDefault="00101CE0" w:rsidP="00843E17">
            <w:pPr>
              <w:jc w:val="center"/>
            </w:pPr>
            <w:r w:rsidRPr="00D21CB9">
              <w:rPr>
                <w:iCs/>
              </w:rPr>
              <w:t>16 073</w:t>
            </w:r>
          </w:p>
        </w:tc>
        <w:tc>
          <w:tcPr>
            <w:tcW w:w="457" w:type="pct"/>
            <w:tcBorders>
              <w:top w:val="outset" w:sz="6" w:space="0" w:color="auto"/>
              <w:left w:val="outset" w:sz="6" w:space="0" w:color="auto"/>
              <w:bottom w:val="outset" w:sz="6" w:space="0" w:color="auto"/>
              <w:right w:val="outset" w:sz="6" w:space="0" w:color="auto"/>
            </w:tcBorders>
            <w:vAlign w:val="center"/>
            <w:hideMark/>
          </w:tcPr>
          <w:p w14:paraId="1A3B0BF3"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66463866" w14:textId="7D53533B" w:rsidR="00A96EDA" w:rsidRPr="00D21CB9" w:rsidRDefault="00101CE0" w:rsidP="00843E17">
            <w:pPr>
              <w:jc w:val="center"/>
            </w:pPr>
            <w:r w:rsidRPr="00D21CB9">
              <w:rPr>
                <w:iCs/>
              </w:rPr>
              <w:t>206 351</w:t>
            </w:r>
          </w:p>
        </w:tc>
        <w:tc>
          <w:tcPr>
            <w:tcW w:w="356" w:type="pct"/>
            <w:tcBorders>
              <w:top w:val="outset" w:sz="6" w:space="0" w:color="auto"/>
              <w:left w:val="outset" w:sz="6" w:space="0" w:color="auto"/>
              <w:bottom w:val="outset" w:sz="6" w:space="0" w:color="auto"/>
              <w:right w:val="outset" w:sz="6" w:space="0" w:color="auto"/>
            </w:tcBorders>
            <w:vAlign w:val="center"/>
            <w:hideMark/>
          </w:tcPr>
          <w:p w14:paraId="2EEE9A11"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12993F11" w14:textId="28C732C8" w:rsidR="00A96EDA" w:rsidRPr="00D21CB9" w:rsidRDefault="00101CE0" w:rsidP="00101CE0">
            <w:pPr>
              <w:jc w:val="center"/>
            </w:pPr>
            <w:r w:rsidRPr="00D21CB9">
              <w:rPr>
                <w:iCs/>
              </w:rPr>
              <w:t>220 175</w:t>
            </w:r>
          </w:p>
        </w:tc>
        <w:tc>
          <w:tcPr>
            <w:tcW w:w="1019" w:type="pct"/>
            <w:tcBorders>
              <w:top w:val="outset" w:sz="6" w:space="0" w:color="auto"/>
              <w:left w:val="outset" w:sz="6" w:space="0" w:color="auto"/>
              <w:bottom w:val="outset" w:sz="6" w:space="0" w:color="auto"/>
              <w:right w:val="outset" w:sz="6" w:space="0" w:color="auto"/>
            </w:tcBorders>
            <w:vAlign w:val="center"/>
            <w:hideMark/>
          </w:tcPr>
          <w:p w14:paraId="1C152E31" w14:textId="00E0FF9F" w:rsidR="00A96EDA" w:rsidRPr="00D21CB9" w:rsidRDefault="00101CE0" w:rsidP="00843E17">
            <w:pPr>
              <w:jc w:val="center"/>
            </w:pPr>
            <w:r w:rsidRPr="00D21CB9">
              <w:rPr>
                <w:iCs/>
              </w:rPr>
              <w:t>152 401</w:t>
            </w:r>
          </w:p>
        </w:tc>
      </w:tr>
      <w:tr w:rsidR="00D21CB9" w:rsidRPr="00D21CB9" w14:paraId="4065DE3A"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70F6C028" w14:textId="77777777" w:rsidR="00A96EDA" w:rsidRPr="00D21CB9" w:rsidRDefault="00A96EDA" w:rsidP="00843E17">
            <w:pPr>
              <w:rPr>
                <w:iCs/>
                <w:lang w:eastAsia="lv-LV"/>
              </w:rPr>
            </w:pPr>
            <w:r w:rsidRPr="00D21CB9">
              <w:rPr>
                <w:iCs/>
                <w:lang w:eastAsia="lv-LV"/>
              </w:rPr>
              <w:t>1.2. valsts speciālais 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4536A02A"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5BAB38CF" w14:textId="77777777" w:rsidR="00A96EDA" w:rsidRPr="00D21CB9" w:rsidRDefault="00A96EDA" w:rsidP="00843E17">
            <w:pPr>
              <w:jc w:val="center"/>
            </w:pPr>
            <w:r w:rsidRPr="00D21CB9">
              <w:rPr>
                <w:iCs/>
              </w:rPr>
              <w:t>0</w:t>
            </w:r>
          </w:p>
        </w:tc>
        <w:tc>
          <w:tcPr>
            <w:tcW w:w="457" w:type="pct"/>
            <w:tcBorders>
              <w:top w:val="outset" w:sz="6" w:space="0" w:color="auto"/>
              <w:left w:val="outset" w:sz="6" w:space="0" w:color="auto"/>
              <w:bottom w:val="outset" w:sz="6" w:space="0" w:color="auto"/>
              <w:right w:val="outset" w:sz="6" w:space="0" w:color="auto"/>
            </w:tcBorders>
            <w:vAlign w:val="center"/>
            <w:hideMark/>
          </w:tcPr>
          <w:p w14:paraId="52AF36F6"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26DC6C70" w14:textId="77777777" w:rsidR="00A96EDA" w:rsidRPr="00D21CB9" w:rsidRDefault="00A96EDA" w:rsidP="00843E17">
            <w:pPr>
              <w:jc w:val="center"/>
            </w:pPr>
            <w:r w:rsidRPr="00D21CB9">
              <w:rPr>
                <w:iCs/>
              </w:rPr>
              <w:t>0</w:t>
            </w:r>
          </w:p>
        </w:tc>
        <w:tc>
          <w:tcPr>
            <w:tcW w:w="356" w:type="pct"/>
            <w:tcBorders>
              <w:top w:val="outset" w:sz="6" w:space="0" w:color="auto"/>
              <w:left w:val="outset" w:sz="6" w:space="0" w:color="auto"/>
              <w:bottom w:val="outset" w:sz="6" w:space="0" w:color="auto"/>
              <w:right w:val="outset" w:sz="6" w:space="0" w:color="auto"/>
            </w:tcBorders>
            <w:vAlign w:val="center"/>
            <w:hideMark/>
          </w:tcPr>
          <w:p w14:paraId="7138BBD5"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88ACE98" w14:textId="77777777" w:rsidR="00A96EDA" w:rsidRPr="00D21CB9" w:rsidRDefault="00A96EDA" w:rsidP="00843E17">
            <w:pPr>
              <w:jc w:val="center"/>
            </w:pPr>
            <w:r w:rsidRPr="00D21CB9">
              <w:rPr>
                <w:iCs/>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70246C91" w14:textId="77777777" w:rsidR="00A96EDA" w:rsidRPr="00D21CB9" w:rsidRDefault="00A96EDA" w:rsidP="00843E17">
            <w:pPr>
              <w:jc w:val="center"/>
            </w:pPr>
            <w:r w:rsidRPr="00D21CB9">
              <w:rPr>
                <w:iCs/>
              </w:rPr>
              <w:t>0</w:t>
            </w:r>
          </w:p>
        </w:tc>
      </w:tr>
      <w:tr w:rsidR="00D21CB9" w:rsidRPr="00D21CB9" w14:paraId="23287BBA"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1F0B321C" w14:textId="77777777" w:rsidR="00A96EDA" w:rsidRPr="00D21CB9" w:rsidRDefault="00A96EDA" w:rsidP="00843E17">
            <w:pPr>
              <w:rPr>
                <w:iCs/>
                <w:lang w:eastAsia="lv-LV"/>
              </w:rPr>
            </w:pPr>
            <w:r w:rsidRPr="00D21CB9">
              <w:rPr>
                <w:iCs/>
                <w:lang w:eastAsia="lv-LV"/>
              </w:rPr>
              <w:t>1.3. pašvaldību 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0B8E2A40"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67F79710" w14:textId="77777777" w:rsidR="00A96EDA" w:rsidRPr="00D21CB9" w:rsidRDefault="00A96EDA" w:rsidP="00843E17">
            <w:pPr>
              <w:jc w:val="center"/>
            </w:pPr>
            <w:r w:rsidRPr="00D21CB9">
              <w:rPr>
                <w:iCs/>
              </w:rPr>
              <w:t>0</w:t>
            </w:r>
          </w:p>
        </w:tc>
        <w:tc>
          <w:tcPr>
            <w:tcW w:w="457" w:type="pct"/>
            <w:tcBorders>
              <w:top w:val="outset" w:sz="6" w:space="0" w:color="auto"/>
              <w:left w:val="outset" w:sz="6" w:space="0" w:color="auto"/>
              <w:bottom w:val="outset" w:sz="6" w:space="0" w:color="auto"/>
              <w:right w:val="outset" w:sz="6" w:space="0" w:color="auto"/>
            </w:tcBorders>
            <w:vAlign w:val="center"/>
            <w:hideMark/>
          </w:tcPr>
          <w:p w14:paraId="206B3B66"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4CD271D3" w14:textId="77777777" w:rsidR="00A96EDA" w:rsidRPr="00D21CB9" w:rsidRDefault="00A96EDA" w:rsidP="00843E17">
            <w:pPr>
              <w:jc w:val="center"/>
            </w:pPr>
            <w:r w:rsidRPr="00D21CB9">
              <w:rPr>
                <w:iCs/>
              </w:rPr>
              <w:t>0</w:t>
            </w:r>
          </w:p>
        </w:tc>
        <w:tc>
          <w:tcPr>
            <w:tcW w:w="356" w:type="pct"/>
            <w:tcBorders>
              <w:top w:val="outset" w:sz="6" w:space="0" w:color="auto"/>
              <w:left w:val="outset" w:sz="6" w:space="0" w:color="auto"/>
              <w:bottom w:val="outset" w:sz="6" w:space="0" w:color="auto"/>
              <w:right w:val="outset" w:sz="6" w:space="0" w:color="auto"/>
            </w:tcBorders>
            <w:vAlign w:val="center"/>
            <w:hideMark/>
          </w:tcPr>
          <w:p w14:paraId="40658737"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12012179" w14:textId="77777777" w:rsidR="00A96EDA" w:rsidRPr="00D21CB9" w:rsidRDefault="00A96EDA" w:rsidP="00843E17">
            <w:pPr>
              <w:jc w:val="center"/>
            </w:pPr>
            <w:r w:rsidRPr="00D21CB9">
              <w:rPr>
                <w:iCs/>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506DE64A" w14:textId="77777777" w:rsidR="00A96EDA" w:rsidRPr="00D21CB9" w:rsidRDefault="00A96EDA" w:rsidP="00843E17">
            <w:pPr>
              <w:jc w:val="center"/>
            </w:pPr>
            <w:r w:rsidRPr="00D21CB9">
              <w:rPr>
                <w:iCs/>
              </w:rPr>
              <w:t>0</w:t>
            </w:r>
          </w:p>
        </w:tc>
      </w:tr>
      <w:tr w:rsidR="00D21CB9" w:rsidRPr="00D21CB9" w14:paraId="65C383E1"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631F560D" w14:textId="77777777" w:rsidR="00A96EDA" w:rsidRPr="00D21CB9" w:rsidRDefault="00A96EDA" w:rsidP="00843E17">
            <w:pPr>
              <w:rPr>
                <w:iCs/>
                <w:lang w:eastAsia="lv-LV"/>
              </w:rPr>
            </w:pPr>
            <w:r w:rsidRPr="00D21CB9">
              <w:rPr>
                <w:iCs/>
                <w:lang w:eastAsia="lv-LV"/>
              </w:rPr>
              <w:lastRenderedPageBreak/>
              <w:t>2. Budžeta izdevumi</w:t>
            </w:r>
          </w:p>
        </w:tc>
        <w:tc>
          <w:tcPr>
            <w:tcW w:w="355" w:type="pct"/>
            <w:tcBorders>
              <w:top w:val="outset" w:sz="6" w:space="0" w:color="auto"/>
              <w:left w:val="outset" w:sz="6" w:space="0" w:color="auto"/>
              <w:bottom w:val="outset" w:sz="6" w:space="0" w:color="auto"/>
              <w:right w:val="outset" w:sz="6" w:space="0" w:color="auto"/>
            </w:tcBorders>
            <w:vAlign w:val="center"/>
            <w:hideMark/>
          </w:tcPr>
          <w:p w14:paraId="44351580"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4386B51A" w14:textId="1A1D75D8" w:rsidR="00A96EDA" w:rsidRPr="00D21CB9" w:rsidRDefault="00101CE0" w:rsidP="00843E17">
            <w:pPr>
              <w:jc w:val="center"/>
            </w:pPr>
            <w:r w:rsidRPr="00D21CB9">
              <w:rPr>
                <w:iCs/>
              </w:rPr>
              <w:t>18 909</w:t>
            </w:r>
          </w:p>
        </w:tc>
        <w:tc>
          <w:tcPr>
            <w:tcW w:w="457" w:type="pct"/>
            <w:tcBorders>
              <w:top w:val="outset" w:sz="6" w:space="0" w:color="auto"/>
              <w:left w:val="outset" w:sz="6" w:space="0" w:color="auto"/>
              <w:bottom w:val="outset" w:sz="6" w:space="0" w:color="auto"/>
              <w:right w:val="outset" w:sz="6" w:space="0" w:color="auto"/>
            </w:tcBorders>
            <w:vAlign w:val="center"/>
            <w:hideMark/>
          </w:tcPr>
          <w:p w14:paraId="21DE8BFA"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71ACAE04" w14:textId="066F9373" w:rsidR="00A96EDA" w:rsidRPr="00D21CB9" w:rsidRDefault="00101CE0" w:rsidP="00843E17">
            <w:pPr>
              <w:jc w:val="center"/>
            </w:pPr>
            <w:r w:rsidRPr="00D21CB9">
              <w:rPr>
                <w:iCs/>
              </w:rPr>
              <w:t>242 766</w:t>
            </w:r>
          </w:p>
        </w:tc>
        <w:tc>
          <w:tcPr>
            <w:tcW w:w="356" w:type="pct"/>
            <w:tcBorders>
              <w:top w:val="outset" w:sz="6" w:space="0" w:color="auto"/>
              <w:left w:val="outset" w:sz="6" w:space="0" w:color="auto"/>
              <w:bottom w:val="outset" w:sz="6" w:space="0" w:color="auto"/>
              <w:right w:val="outset" w:sz="6" w:space="0" w:color="auto"/>
            </w:tcBorders>
            <w:vAlign w:val="center"/>
            <w:hideMark/>
          </w:tcPr>
          <w:p w14:paraId="089CB223"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7E6AA4BB" w14:textId="66D5ECCE" w:rsidR="00A96EDA" w:rsidRPr="00D21CB9" w:rsidRDefault="00101CE0" w:rsidP="00101CE0">
            <w:pPr>
              <w:jc w:val="center"/>
            </w:pPr>
            <w:r w:rsidRPr="00D21CB9">
              <w:rPr>
                <w:iCs/>
              </w:rPr>
              <w:t>259 030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5C3E86BA" w14:textId="5E7E4069" w:rsidR="00A96EDA" w:rsidRPr="00D21CB9" w:rsidRDefault="0083340D" w:rsidP="00843E17">
            <w:pPr>
              <w:jc w:val="center"/>
            </w:pPr>
            <w:r w:rsidRPr="00D21CB9">
              <w:rPr>
                <w:iCs/>
              </w:rPr>
              <w:t>179 295</w:t>
            </w:r>
          </w:p>
        </w:tc>
      </w:tr>
      <w:tr w:rsidR="00D21CB9" w:rsidRPr="00D21CB9" w14:paraId="6DBDF96F"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18A747AD" w14:textId="77777777" w:rsidR="00A96EDA" w:rsidRPr="00D21CB9" w:rsidRDefault="00A96EDA" w:rsidP="00843E17">
            <w:pPr>
              <w:rPr>
                <w:iCs/>
                <w:lang w:eastAsia="lv-LV"/>
              </w:rPr>
            </w:pPr>
            <w:r w:rsidRPr="00D21CB9">
              <w:rPr>
                <w:iCs/>
                <w:lang w:eastAsia="lv-LV"/>
              </w:rPr>
              <w:t>2.1. valsts pamatbudžets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647571C4"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89A55B5" w14:textId="3A863253" w:rsidR="00A96EDA" w:rsidRPr="00D21CB9" w:rsidRDefault="00101CE0" w:rsidP="00843E17">
            <w:pPr>
              <w:jc w:val="center"/>
            </w:pPr>
            <w:r w:rsidRPr="00D21CB9">
              <w:rPr>
                <w:iCs/>
              </w:rPr>
              <w:t>18 909</w:t>
            </w:r>
          </w:p>
        </w:tc>
        <w:tc>
          <w:tcPr>
            <w:tcW w:w="457" w:type="pct"/>
            <w:tcBorders>
              <w:top w:val="outset" w:sz="6" w:space="0" w:color="auto"/>
              <w:left w:val="outset" w:sz="6" w:space="0" w:color="auto"/>
              <w:bottom w:val="outset" w:sz="6" w:space="0" w:color="auto"/>
              <w:right w:val="outset" w:sz="6" w:space="0" w:color="auto"/>
            </w:tcBorders>
            <w:vAlign w:val="center"/>
            <w:hideMark/>
          </w:tcPr>
          <w:p w14:paraId="23D6AAA4"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7D5D1DA8" w14:textId="01B9EB77" w:rsidR="00A96EDA" w:rsidRPr="00D21CB9" w:rsidRDefault="00101CE0" w:rsidP="00843E17">
            <w:pPr>
              <w:jc w:val="center"/>
            </w:pPr>
            <w:r w:rsidRPr="00D21CB9">
              <w:rPr>
                <w:iCs/>
              </w:rPr>
              <w:t>242 766</w:t>
            </w:r>
          </w:p>
        </w:tc>
        <w:tc>
          <w:tcPr>
            <w:tcW w:w="356" w:type="pct"/>
            <w:tcBorders>
              <w:top w:val="outset" w:sz="6" w:space="0" w:color="auto"/>
              <w:left w:val="outset" w:sz="6" w:space="0" w:color="auto"/>
              <w:bottom w:val="outset" w:sz="6" w:space="0" w:color="auto"/>
              <w:right w:val="outset" w:sz="6" w:space="0" w:color="auto"/>
            </w:tcBorders>
            <w:vAlign w:val="center"/>
            <w:hideMark/>
          </w:tcPr>
          <w:p w14:paraId="7847AC31"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70A5BEDF" w14:textId="24C02BBE" w:rsidR="00A96EDA" w:rsidRPr="00D21CB9" w:rsidRDefault="00101CE0" w:rsidP="00101CE0">
            <w:pPr>
              <w:jc w:val="center"/>
            </w:pPr>
            <w:r w:rsidRPr="00D21CB9">
              <w:rPr>
                <w:iCs/>
              </w:rPr>
              <w:t>259 030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21986095" w14:textId="5BF5B4FB" w:rsidR="00A96EDA" w:rsidRPr="00D21CB9" w:rsidRDefault="00101CE0" w:rsidP="0083340D">
            <w:pPr>
              <w:jc w:val="center"/>
            </w:pPr>
            <w:r w:rsidRPr="00D21CB9">
              <w:rPr>
                <w:iCs/>
              </w:rPr>
              <w:t>179 29</w:t>
            </w:r>
            <w:r w:rsidR="0083340D" w:rsidRPr="00D21CB9">
              <w:rPr>
                <w:iCs/>
              </w:rPr>
              <w:t>5</w:t>
            </w:r>
          </w:p>
        </w:tc>
      </w:tr>
      <w:tr w:rsidR="00D21CB9" w:rsidRPr="00D21CB9" w14:paraId="0A12E4AE"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2C171834" w14:textId="77777777" w:rsidR="00A96EDA" w:rsidRPr="00D21CB9" w:rsidRDefault="00A96EDA" w:rsidP="00843E17">
            <w:pPr>
              <w:rPr>
                <w:iCs/>
                <w:lang w:eastAsia="lv-LV"/>
              </w:rPr>
            </w:pPr>
            <w:r w:rsidRPr="00D21CB9">
              <w:rPr>
                <w:iCs/>
                <w:lang w:eastAsia="lv-LV"/>
              </w:rPr>
              <w:t>2.2. valsts speciālais 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0D08468E"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118769E4" w14:textId="77777777" w:rsidR="00A96EDA" w:rsidRPr="00D21CB9" w:rsidRDefault="00A96EDA" w:rsidP="00843E17">
            <w:pPr>
              <w:jc w:val="center"/>
            </w:pPr>
            <w:r w:rsidRPr="00D21CB9">
              <w:rPr>
                <w:iCs/>
              </w:rPr>
              <w:t>0</w:t>
            </w:r>
          </w:p>
        </w:tc>
        <w:tc>
          <w:tcPr>
            <w:tcW w:w="457" w:type="pct"/>
            <w:tcBorders>
              <w:top w:val="outset" w:sz="6" w:space="0" w:color="auto"/>
              <w:left w:val="outset" w:sz="6" w:space="0" w:color="auto"/>
              <w:bottom w:val="outset" w:sz="6" w:space="0" w:color="auto"/>
              <w:right w:val="outset" w:sz="6" w:space="0" w:color="auto"/>
            </w:tcBorders>
            <w:vAlign w:val="center"/>
            <w:hideMark/>
          </w:tcPr>
          <w:p w14:paraId="12F5FB11"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01AD673D" w14:textId="77777777" w:rsidR="00A96EDA" w:rsidRPr="00D21CB9" w:rsidRDefault="00A96EDA" w:rsidP="00843E17">
            <w:pPr>
              <w:jc w:val="center"/>
            </w:pPr>
            <w:r w:rsidRPr="00D21CB9">
              <w:rPr>
                <w:iCs/>
              </w:rPr>
              <w:t>0</w:t>
            </w:r>
          </w:p>
        </w:tc>
        <w:tc>
          <w:tcPr>
            <w:tcW w:w="356" w:type="pct"/>
            <w:tcBorders>
              <w:top w:val="outset" w:sz="6" w:space="0" w:color="auto"/>
              <w:left w:val="outset" w:sz="6" w:space="0" w:color="auto"/>
              <w:bottom w:val="outset" w:sz="6" w:space="0" w:color="auto"/>
              <w:right w:val="outset" w:sz="6" w:space="0" w:color="auto"/>
            </w:tcBorders>
            <w:vAlign w:val="center"/>
            <w:hideMark/>
          </w:tcPr>
          <w:p w14:paraId="745E3B24"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5E0FC5D2" w14:textId="77777777" w:rsidR="00A96EDA" w:rsidRPr="00D21CB9" w:rsidRDefault="00A96EDA" w:rsidP="00843E17">
            <w:pPr>
              <w:jc w:val="center"/>
            </w:pPr>
            <w:r w:rsidRPr="00D21CB9">
              <w:rPr>
                <w:iCs/>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1E24EFDE" w14:textId="77777777" w:rsidR="00A96EDA" w:rsidRPr="00D21CB9" w:rsidRDefault="00A96EDA" w:rsidP="00843E17">
            <w:pPr>
              <w:jc w:val="center"/>
            </w:pPr>
            <w:r w:rsidRPr="00D21CB9">
              <w:rPr>
                <w:iCs/>
              </w:rPr>
              <w:t>0</w:t>
            </w:r>
          </w:p>
        </w:tc>
      </w:tr>
      <w:tr w:rsidR="00D21CB9" w:rsidRPr="00D21CB9" w14:paraId="380DE16B"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11DB9033" w14:textId="77777777" w:rsidR="00A96EDA" w:rsidRPr="00D21CB9" w:rsidRDefault="00A96EDA" w:rsidP="00843E17">
            <w:pPr>
              <w:rPr>
                <w:iCs/>
                <w:lang w:eastAsia="lv-LV"/>
              </w:rPr>
            </w:pPr>
            <w:r w:rsidRPr="00D21CB9">
              <w:rPr>
                <w:iCs/>
                <w:lang w:eastAsia="lv-LV"/>
              </w:rPr>
              <w:t>2.3. pašvaldību 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2F37B5B7"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743085F" w14:textId="77777777" w:rsidR="00A96EDA" w:rsidRPr="00D21CB9" w:rsidRDefault="00A96EDA" w:rsidP="00843E17">
            <w:pPr>
              <w:jc w:val="center"/>
            </w:pPr>
            <w:r w:rsidRPr="00D21CB9">
              <w:rPr>
                <w:iCs/>
              </w:rPr>
              <w:t>0</w:t>
            </w:r>
          </w:p>
        </w:tc>
        <w:tc>
          <w:tcPr>
            <w:tcW w:w="457" w:type="pct"/>
            <w:tcBorders>
              <w:top w:val="outset" w:sz="6" w:space="0" w:color="auto"/>
              <w:left w:val="outset" w:sz="6" w:space="0" w:color="auto"/>
              <w:bottom w:val="outset" w:sz="6" w:space="0" w:color="auto"/>
              <w:right w:val="outset" w:sz="6" w:space="0" w:color="auto"/>
            </w:tcBorders>
            <w:vAlign w:val="center"/>
            <w:hideMark/>
          </w:tcPr>
          <w:p w14:paraId="31A4E4A7"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1DE4A0BA" w14:textId="77777777" w:rsidR="00A96EDA" w:rsidRPr="00D21CB9" w:rsidRDefault="00A96EDA" w:rsidP="00843E17">
            <w:pPr>
              <w:jc w:val="center"/>
            </w:pPr>
            <w:r w:rsidRPr="00D21CB9">
              <w:rPr>
                <w:iCs/>
              </w:rPr>
              <w:t>0</w:t>
            </w:r>
          </w:p>
        </w:tc>
        <w:tc>
          <w:tcPr>
            <w:tcW w:w="356" w:type="pct"/>
            <w:tcBorders>
              <w:top w:val="outset" w:sz="6" w:space="0" w:color="auto"/>
              <w:left w:val="outset" w:sz="6" w:space="0" w:color="auto"/>
              <w:bottom w:val="outset" w:sz="6" w:space="0" w:color="auto"/>
              <w:right w:val="outset" w:sz="6" w:space="0" w:color="auto"/>
            </w:tcBorders>
            <w:vAlign w:val="center"/>
            <w:hideMark/>
          </w:tcPr>
          <w:p w14:paraId="66F6D30A"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60B0DD0" w14:textId="77777777" w:rsidR="00A96EDA" w:rsidRPr="00D21CB9" w:rsidRDefault="00A96EDA" w:rsidP="00843E17">
            <w:pPr>
              <w:jc w:val="center"/>
            </w:pPr>
            <w:r w:rsidRPr="00D21CB9">
              <w:rPr>
                <w:iCs/>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111D9C9D" w14:textId="77777777" w:rsidR="00A96EDA" w:rsidRPr="00D21CB9" w:rsidRDefault="00A96EDA" w:rsidP="00843E17">
            <w:pPr>
              <w:jc w:val="center"/>
            </w:pPr>
            <w:r w:rsidRPr="00D21CB9">
              <w:rPr>
                <w:iCs/>
              </w:rPr>
              <w:t>0</w:t>
            </w:r>
          </w:p>
        </w:tc>
      </w:tr>
      <w:tr w:rsidR="00D21CB9" w:rsidRPr="00D21CB9" w14:paraId="3C445A50"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078D8A0F" w14:textId="77777777" w:rsidR="00A96EDA" w:rsidRPr="00D21CB9" w:rsidRDefault="00A96EDA" w:rsidP="00843E17">
            <w:pPr>
              <w:rPr>
                <w:iCs/>
                <w:lang w:eastAsia="lv-LV"/>
              </w:rPr>
            </w:pPr>
            <w:r w:rsidRPr="00D21CB9">
              <w:rPr>
                <w:iCs/>
                <w:lang w:eastAsia="lv-LV"/>
              </w:rPr>
              <w:t>3.Finansiālā ietekme</w:t>
            </w:r>
          </w:p>
        </w:tc>
        <w:tc>
          <w:tcPr>
            <w:tcW w:w="355" w:type="pct"/>
            <w:tcBorders>
              <w:top w:val="outset" w:sz="6" w:space="0" w:color="auto"/>
              <w:left w:val="outset" w:sz="6" w:space="0" w:color="auto"/>
              <w:bottom w:val="outset" w:sz="6" w:space="0" w:color="auto"/>
              <w:right w:val="outset" w:sz="6" w:space="0" w:color="auto"/>
            </w:tcBorders>
            <w:vAlign w:val="center"/>
            <w:hideMark/>
          </w:tcPr>
          <w:p w14:paraId="5BF6202A"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C3CC660" w14:textId="04FED14D" w:rsidR="00A96EDA" w:rsidRPr="00D21CB9" w:rsidRDefault="00A96EDA" w:rsidP="00101CE0">
            <w:pPr>
              <w:jc w:val="center"/>
            </w:pPr>
            <w:r w:rsidRPr="00D21CB9">
              <w:rPr>
                <w:iCs/>
              </w:rPr>
              <w:t xml:space="preserve">-2 </w:t>
            </w:r>
            <w:r w:rsidR="00101CE0" w:rsidRPr="00D21CB9">
              <w:rPr>
                <w:iCs/>
              </w:rPr>
              <w:t>836</w:t>
            </w:r>
          </w:p>
        </w:tc>
        <w:tc>
          <w:tcPr>
            <w:tcW w:w="457" w:type="pct"/>
            <w:tcBorders>
              <w:top w:val="outset" w:sz="6" w:space="0" w:color="auto"/>
              <w:left w:val="outset" w:sz="6" w:space="0" w:color="auto"/>
              <w:bottom w:val="outset" w:sz="6" w:space="0" w:color="auto"/>
              <w:right w:val="outset" w:sz="6" w:space="0" w:color="auto"/>
            </w:tcBorders>
            <w:vAlign w:val="center"/>
            <w:hideMark/>
          </w:tcPr>
          <w:p w14:paraId="1292FF8F"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2C62CAA5" w14:textId="70851ADA" w:rsidR="00A96EDA" w:rsidRPr="00D21CB9" w:rsidRDefault="00A96EDA" w:rsidP="00101CE0">
            <w:pPr>
              <w:jc w:val="center"/>
            </w:pPr>
            <w:r w:rsidRPr="00D21CB9">
              <w:rPr>
                <w:iCs/>
              </w:rPr>
              <w:t>-</w:t>
            </w:r>
            <w:r w:rsidR="00101CE0" w:rsidRPr="00D21CB9">
              <w:rPr>
                <w:iCs/>
              </w:rPr>
              <w:t>36 415</w:t>
            </w:r>
          </w:p>
        </w:tc>
        <w:tc>
          <w:tcPr>
            <w:tcW w:w="356" w:type="pct"/>
            <w:tcBorders>
              <w:top w:val="outset" w:sz="6" w:space="0" w:color="auto"/>
              <w:left w:val="outset" w:sz="6" w:space="0" w:color="auto"/>
              <w:bottom w:val="outset" w:sz="6" w:space="0" w:color="auto"/>
              <w:right w:val="outset" w:sz="6" w:space="0" w:color="auto"/>
            </w:tcBorders>
            <w:vAlign w:val="center"/>
            <w:hideMark/>
          </w:tcPr>
          <w:p w14:paraId="6504F089"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098C9462" w14:textId="3A8C6899" w:rsidR="00A96EDA" w:rsidRPr="00D21CB9" w:rsidRDefault="00101CE0" w:rsidP="00843E17">
            <w:pPr>
              <w:jc w:val="center"/>
            </w:pPr>
            <w:r w:rsidRPr="00D21CB9">
              <w:rPr>
                <w:iCs/>
              </w:rPr>
              <w:t>-38 855</w:t>
            </w:r>
          </w:p>
        </w:tc>
        <w:tc>
          <w:tcPr>
            <w:tcW w:w="1019" w:type="pct"/>
            <w:tcBorders>
              <w:top w:val="outset" w:sz="6" w:space="0" w:color="auto"/>
              <w:left w:val="outset" w:sz="6" w:space="0" w:color="auto"/>
              <w:bottom w:val="outset" w:sz="6" w:space="0" w:color="auto"/>
              <w:right w:val="outset" w:sz="6" w:space="0" w:color="auto"/>
            </w:tcBorders>
            <w:vAlign w:val="center"/>
            <w:hideMark/>
          </w:tcPr>
          <w:p w14:paraId="71253A8E" w14:textId="37212C50" w:rsidR="00A96EDA" w:rsidRPr="00D21CB9" w:rsidRDefault="00A96EDA" w:rsidP="00101CE0">
            <w:pPr>
              <w:jc w:val="center"/>
            </w:pPr>
            <w:r w:rsidRPr="00D21CB9">
              <w:rPr>
                <w:iCs/>
              </w:rPr>
              <w:t>-</w:t>
            </w:r>
            <w:r w:rsidR="00101CE0" w:rsidRPr="00D21CB9">
              <w:rPr>
                <w:iCs/>
              </w:rPr>
              <w:t>26 894</w:t>
            </w:r>
          </w:p>
        </w:tc>
      </w:tr>
      <w:tr w:rsidR="00D21CB9" w:rsidRPr="00D21CB9" w14:paraId="09B87F3C"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25498B4D" w14:textId="77777777" w:rsidR="00A96EDA" w:rsidRPr="00D21CB9" w:rsidRDefault="00A96EDA" w:rsidP="00843E17">
            <w:pPr>
              <w:rPr>
                <w:iCs/>
                <w:lang w:eastAsia="lv-LV"/>
              </w:rPr>
            </w:pPr>
            <w:r w:rsidRPr="00D21CB9">
              <w:rPr>
                <w:iCs/>
                <w:lang w:eastAsia="lv-LV"/>
              </w:rPr>
              <w:t>3.1. valsts pamatbudžets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1171D374"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56C9D1BF" w14:textId="047F304D" w:rsidR="00A96EDA" w:rsidRPr="00D21CB9" w:rsidRDefault="00A96EDA" w:rsidP="00101CE0">
            <w:pPr>
              <w:jc w:val="center"/>
            </w:pPr>
            <w:r w:rsidRPr="00D21CB9">
              <w:rPr>
                <w:iCs/>
              </w:rPr>
              <w:t xml:space="preserve">-2 </w:t>
            </w:r>
            <w:r w:rsidR="00101CE0" w:rsidRPr="00D21CB9">
              <w:rPr>
                <w:iCs/>
              </w:rPr>
              <w:t>836</w:t>
            </w:r>
          </w:p>
        </w:tc>
        <w:tc>
          <w:tcPr>
            <w:tcW w:w="457" w:type="pct"/>
            <w:tcBorders>
              <w:top w:val="outset" w:sz="6" w:space="0" w:color="auto"/>
              <w:left w:val="outset" w:sz="6" w:space="0" w:color="auto"/>
              <w:bottom w:val="outset" w:sz="6" w:space="0" w:color="auto"/>
              <w:right w:val="outset" w:sz="6" w:space="0" w:color="auto"/>
            </w:tcBorders>
            <w:vAlign w:val="center"/>
            <w:hideMark/>
          </w:tcPr>
          <w:p w14:paraId="1780669A" w14:textId="77777777" w:rsidR="00A96EDA" w:rsidRPr="00D21CB9" w:rsidRDefault="00A96EDA" w:rsidP="00843E17">
            <w:pPr>
              <w:jc w:val="center"/>
            </w:pPr>
            <w:r w:rsidRPr="00D21CB9">
              <w:rPr>
                <w:iCs/>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33ECF019" w14:textId="403C7841" w:rsidR="00A96EDA" w:rsidRPr="00D21CB9" w:rsidRDefault="00A96EDA" w:rsidP="00101CE0">
            <w:pPr>
              <w:jc w:val="center"/>
            </w:pPr>
            <w:r w:rsidRPr="00D21CB9">
              <w:rPr>
                <w:iCs/>
              </w:rPr>
              <w:t>-</w:t>
            </w:r>
            <w:r w:rsidR="00101CE0" w:rsidRPr="00D21CB9">
              <w:rPr>
                <w:iCs/>
              </w:rPr>
              <w:t>36 415</w:t>
            </w:r>
          </w:p>
        </w:tc>
        <w:tc>
          <w:tcPr>
            <w:tcW w:w="356" w:type="pct"/>
            <w:tcBorders>
              <w:top w:val="outset" w:sz="6" w:space="0" w:color="auto"/>
              <w:left w:val="outset" w:sz="6" w:space="0" w:color="auto"/>
              <w:bottom w:val="outset" w:sz="6" w:space="0" w:color="auto"/>
              <w:right w:val="outset" w:sz="6" w:space="0" w:color="auto"/>
            </w:tcBorders>
            <w:vAlign w:val="center"/>
            <w:hideMark/>
          </w:tcPr>
          <w:p w14:paraId="23C3B3DE" w14:textId="77777777" w:rsidR="00A96EDA" w:rsidRPr="00D21CB9" w:rsidRDefault="00A96EDA" w:rsidP="00843E17">
            <w:pPr>
              <w:jc w:val="center"/>
            </w:pPr>
            <w:r w:rsidRPr="00D21CB9">
              <w:rPr>
                <w:iCs/>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25D81BC0" w14:textId="5FE149FC" w:rsidR="00A96EDA" w:rsidRPr="00D21CB9" w:rsidRDefault="00101CE0" w:rsidP="00843E17">
            <w:pPr>
              <w:jc w:val="center"/>
            </w:pPr>
            <w:r w:rsidRPr="00D21CB9">
              <w:rPr>
                <w:iCs/>
              </w:rPr>
              <w:t>-38 855</w:t>
            </w:r>
          </w:p>
        </w:tc>
        <w:tc>
          <w:tcPr>
            <w:tcW w:w="1019" w:type="pct"/>
            <w:tcBorders>
              <w:top w:val="outset" w:sz="6" w:space="0" w:color="auto"/>
              <w:left w:val="outset" w:sz="6" w:space="0" w:color="auto"/>
              <w:bottom w:val="outset" w:sz="6" w:space="0" w:color="auto"/>
              <w:right w:val="outset" w:sz="6" w:space="0" w:color="auto"/>
            </w:tcBorders>
            <w:vAlign w:val="center"/>
            <w:hideMark/>
          </w:tcPr>
          <w:p w14:paraId="6EAD4EE4" w14:textId="3CC2F0A1" w:rsidR="00A96EDA" w:rsidRPr="00D21CB9" w:rsidRDefault="00101CE0" w:rsidP="00843E17">
            <w:pPr>
              <w:jc w:val="center"/>
            </w:pPr>
            <w:r w:rsidRPr="00D21CB9">
              <w:rPr>
                <w:iCs/>
              </w:rPr>
              <w:t>-26 894</w:t>
            </w:r>
          </w:p>
        </w:tc>
      </w:tr>
      <w:tr w:rsidR="00D21CB9" w:rsidRPr="00D21CB9" w14:paraId="4EEBCFF8"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05F5E4C3" w14:textId="77777777" w:rsidR="00A96EDA" w:rsidRPr="00D21CB9" w:rsidRDefault="00A96EDA" w:rsidP="00843E17">
            <w:pPr>
              <w:rPr>
                <w:iCs/>
                <w:lang w:eastAsia="lv-LV"/>
              </w:rPr>
            </w:pPr>
            <w:r w:rsidRPr="00D21CB9">
              <w:rPr>
                <w:iCs/>
                <w:lang w:eastAsia="lv-LV"/>
              </w:rPr>
              <w:t>3.2. speciālais 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4555B6A6"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44CE5C9" w14:textId="77777777" w:rsidR="00A96EDA" w:rsidRPr="00D21CB9" w:rsidRDefault="00A96EDA" w:rsidP="00843E17">
            <w:pPr>
              <w:jc w:val="center"/>
              <w:rPr>
                <w:iCs/>
                <w:lang w:eastAsia="lv-LV"/>
              </w:rPr>
            </w:pPr>
            <w:r w:rsidRPr="00D21CB9">
              <w:rPr>
                <w:iCs/>
                <w:lang w:eastAsia="lv-LV"/>
              </w:rPr>
              <w:t>0</w:t>
            </w:r>
          </w:p>
        </w:tc>
        <w:tc>
          <w:tcPr>
            <w:tcW w:w="457" w:type="pct"/>
            <w:tcBorders>
              <w:top w:val="outset" w:sz="6" w:space="0" w:color="auto"/>
              <w:left w:val="outset" w:sz="6" w:space="0" w:color="auto"/>
              <w:bottom w:val="outset" w:sz="6" w:space="0" w:color="auto"/>
              <w:right w:val="outset" w:sz="6" w:space="0" w:color="auto"/>
            </w:tcBorders>
            <w:vAlign w:val="center"/>
            <w:hideMark/>
          </w:tcPr>
          <w:p w14:paraId="1517FD94" w14:textId="77777777" w:rsidR="00A96EDA" w:rsidRPr="00D21CB9" w:rsidRDefault="00A96EDA" w:rsidP="00843E17">
            <w:pPr>
              <w:jc w:val="center"/>
              <w:rPr>
                <w:iCs/>
                <w:lang w:eastAsia="lv-LV"/>
              </w:rPr>
            </w:pPr>
            <w:r w:rsidRPr="00D21CB9">
              <w:rPr>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5467DB06" w14:textId="77777777" w:rsidR="00A96EDA" w:rsidRPr="00D21CB9" w:rsidRDefault="00A96EDA" w:rsidP="00843E17">
            <w:pPr>
              <w:jc w:val="center"/>
              <w:rPr>
                <w:iCs/>
                <w:lang w:eastAsia="lv-LV"/>
              </w:rPr>
            </w:pPr>
            <w:r w:rsidRPr="00D21CB9">
              <w:rPr>
                <w:iCs/>
                <w:lang w:eastAsia="lv-LV"/>
              </w:rPr>
              <w:t>0</w:t>
            </w:r>
          </w:p>
        </w:tc>
        <w:tc>
          <w:tcPr>
            <w:tcW w:w="356" w:type="pct"/>
            <w:tcBorders>
              <w:top w:val="outset" w:sz="6" w:space="0" w:color="auto"/>
              <w:left w:val="outset" w:sz="6" w:space="0" w:color="auto"/>
              <w:bottom w:val="outset" w:sz="6" w:space="0" w:color="auto"/>
              <w:right w:val="outset" w:sz="6" w:space="0" w:color="auto"/>
            </w:tcBorders>
            <w:vAlign w:val="center"/>
            <w:hideMark/>
          </w:tcPr>
          <w:p w14:paraId="2F4A613A" w14:textId="77777777" w:rsidR="00A96EDA" w:rsidRPr="00D21CB9" w:rsidRDefault="00A96EDA" w:rsidP="00843E17">
            <w:pPr>
              <w:jc w:val="center"/>
              <w:rPr>
                <w:iCs/>
                <w:lang w:eastAsia="lv-LV"/>
              </w:rPr>
            </w:pPr>
            <w:r w:rsidRPr="00D21CB9">
              <w:rPr>
                <w:iCs/>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5380C510" w14:textId="77777777" w:rsidR="00A96EDA" w:rsidRPr="00D21CB9" w:rsidRDefault="00A96EDA" w:rsidP="00843E17">
            <w:pPr>
              <w:jc w:val="center"/>
              <w:rPr>
                <w:iCs/>
                <w:lang w:eastAsia="lv-LV"/>
              </w:rPr>
            </w:pPr>
            <w:r w:rsidRPr="00D21CB9">
              <w:rPr>
                <w:iCs/>
                <w:lang w:eastAsia="lv-LV"/>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0E14CC3C" w14:textId="77777777" w:rsidR="00A96EDA" w:rsidRPr="00D21CB9" w:rsidRDefault="00A96EDA" w:rsidP="00843E17">
            <w:pPr>
              <w:jc w:val="center"/>
              <w:rPr>
                <w:iCs/>
                <w:lang w:eastAsia="lv-LV"/>
              </w:rPr>
            </w:pPr>
            <w:r w:rsidRPr="00D21CB9">
              <w:rPr>
                <w:iCs/>
                <w:lang w:eastAsia="lv-LV"/>
              </w:rPr>
              <w:t>0</w:t>
            </w:r>
          </w:p>
        </w:tc>
      </w:tr>
      <w:tr w:rsidR="00D21CB9" w:rsidRPr="00D21CB9" w14:paraId="208DE10C"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47964372" w14:textId="77777777" w:rsidR="00A96EDA" w:rsidRPr="00D21CB9" w:rsidRDefault="00A96EDA" w:rsidP="00843E17">
            <w:pPr>
              <w:rPr>
                <w:iCs/>
                <w:lang w:eastAsia="lv-LV"/>
              </w:rPr>
            </w:pPr>
            <w:r w:rsidRPr="00D21CB9">
              <w:rPr>
                <w:iCs/>
                <w:lang w:eastAsia="lv-LV"/>
              </w:rPr>
              <w:t>3.3. pašvaldību budžets</w:t>
            </w:r>
          </w:p>
        </w:tc>
        <w:tc>
          <w:tcPr>
            <w:tcW w:w="355" w:type="pct"/>
            <w:tcBorders>
              <w:top w:val="outset" w:sz="6" w:space="0" w:color="auto"/>
              <w:left w:val="outset" w:sz="6" w:space="0" w:color="auto"/>
              <w:bottom w:val="outset" w:sz="6" w:space="0" w:color="auto"/>
              <w:right w:val="outset" w:sz="6" w:space="0" w:color="auto"/>
            </w:tcBorders>
            <w:vAlign w:val="center"/>
            <w:hideMark/>
          </w:tcPr>
          <w:p w14:paraId="6AA64AE5" w14:textId="77777777" w:rsidR="00A96EDA" w:rsidRPr="00D21CB9" w:rsidRDefault="00A96EDA" w:rsidP="00843E17">
            <w:pPr>
              <w:jc w:val="center"/>
              <w:rPr>
                <w:iCs/>
                <w:lang w:eastAsia="lv-LV"/>
              </w:rPr>
            </w:pPr>
            <w:r w:rsidRPr="00D21CB9">
              <w:rPr>
                <w:iCs/>
                <w:lang w:eastAsia="lv-LV"/>
              </w:rPr>
              <w:t>0</w:t>
            </w:r>
          </w:p>
        </w:tc>
        <w:tc>
          <w:tcPr>
            <w:tcW w:w="637" w:type="pct"/>
            <w:tcBorders>
              <w:top w:val="outset" w:sz="6" w:space="0" w:color="auto"/>
              <w:left w:val="outset" w:sz="6" w:space="0" w:color="auto"/>
              <w:bottom w:val="outset" w:sz="6" w:space="0" w:color="auto"/>
              <w:right w:val="outset" w:sz="6" w:space="0" w:color="auto"/>
            </w:tcBorders>
            <w:vAlign w:val="center"/>
            <w:hideMark/>
          </w:tcPr>
          <w:p w14:paraId="08943545" w14:textId="77777777" w:rsidR="00A96EDA" w:rsidRPr="00D21CB9" w:rsidRDefault="00A96EDA" w:rsidP="00843E17">
            <w:pPr>
              <w:jc w:val="center"/>
              <w:rPr>
                <w:iCs/>
                <w:lang w:eastAsia="lv-LV"/>
              </w:rPr>
            </w:pPr>
            <w:r w:rsidRPr="00D21CB9">
              <w:rPr>
                <w:iCs/>
                <w:lang w:eastAsia="lv-LV"/>
              </w:rPr>
              <w:t>0</w:t>
            </w:r>
          </w:p>
        </w:tc>
        <w:tc>
          <w:tcPr>
            <w:tcW w:w="457" w:type="pct"/>
            <w:tcBorders>
              <w:top w:val="outset" w:sz="6" w:space="0" w:color="auto"/>
              <w:left w:val="outset" w:sz="6" w:space="0" w:color="auto"/>
              <w:bottom w:val="outset" w:sz="6" w:space="0" w:color="auto"/>
              <w:right w:val="outset" w:sz="6" w:space="0" w:color="auto"/>
            </w:tcBorders>
            <w:vAlign w:val="center"/>
            <w:hideMark/>
          </w:tcPr>
          <w:p w14:paraId="38CC5822" w14:textId="77777777" w:rsidR="00A96EDA" w:rsidRPr="00D21CB9" w:rsidRDefault="00A96EDA" w:rsidP="00843E17">
            <w:pPr>
              <w:jc w:val="center"/>
              <w:rPr>
                <w:iCs/>
                <w:lang w:eastAsia="lv-LV"/>
              </w:rPr>
            </w:pPr>
            <w:r w:rsidRPr="00D21CB9">
              <w:rPr>
                <w:iCs/>
                <w:lang w:eastAsia="lv-LV"/>
              </w:rPr>
              <w:t>0</w:t>
            </w:r>
          </w:p>
        </w:tc>
        <w:tc>
          <w:tcPr>
            <w:tcW w:w="469" w:type="pct"/>
            <w:tcBorders>
              <w:top w:val="outset" w:sz="6" w:space="0" w:color="auto"/>
              <w:left w:val="outset" w:sz="6" w:space="0" w:color="auto"/>
              <w:bottom w:val="outset" w:sz="6" w:space="0" w:color="auto"/>
              <w:right w:val="outset" w:sz="6" w:space="0" w:color="auto"/>
            </w:tcBorders>
            <w:vAlign w:val="center"/>
            <w:hideMark/>
          </w:tcPr>
          <w:p w14:paraId="125DCF72" w14:textId="77777777" w:rsidR="00A96EDA" w:rsidRPr="00D21CB9" w:rsidRDefault="00A96EDA" w:rsidP="00843E17">
            <w:pPr>
              <w:jc w:val="center"/>
              <w:rPr>
                <w:iCs/>
                <w:lang w:eastAsia="lv-LV"/>
              </w:rPr>
            </w:pPr>
            <w:r w:rsidRPr="00D21CB9">
              <w:rPr>
                <w:iCs/>
                <w:lang w:eastAsia="lv-LV"/>
              </w:rPr>
              <w:t>0</w:t>
            </w:r>
          </w:p>
        </w:tc>
        <w:tc>
          <w:tcPr>
            <w:tcW w:w="356" w:type="pct"/>
            <w:tcBorders>
              <w:top w:val="outset" w:sz="6" w:space="0" w:color="auto"/>
              <w:left w:val="outset" w:sz="6" w:space="0" w:color="auto"/>
              <w:bottom w:val="outset" w:sz="6" w:space="0" w:color="auto"/>
              <w:right w:val="outset" w:sz="6" w:space="0" w:color="auto"/>
            </w:tcBorders>
            <w:vAlign w:val="center"/>
            <w:hideMark/>
          </w:tcPr>
          <w:p w14:paraId="33EBF9A5" w14:textId="77777777" w:rsidR="00A96EDA" w:rsidRPr="00D21CB9" w:rsidRDefault="00A96EDA" w:rsidP="00843E17">
            <w:pPr>
              <w:jc w:val="center"/>
              <w:rPr>
                <w:iCs/>
                <w:lang w:eastAsia="lv-LV"/>
              </w:rPr>
            </w:pPr>
            <w:r w:rsidRPr="00D21CB9">
              <w:rPr>
                <w:iCs/>
                <w:lang w:eastAsia="lv-LV"/>
              </w:rPr>
              <w:t>0</w:t>
            </w:r>
          </w:p>
        </w:tc>
        <w:tc>
          <w:tcPr>
            <w:tcW w:w="626" w:type="pct"/>
            <w:tcBorders>
              <w:top w:val="outset" w:sz="6" w:space="0" w:color="auto"/>
              <w:left w:val="outset" w:sz="6" w:space="0" w:color="auto"/>
              <w:bottom w:val="outset" w:sz="6" w:space="0" w:color="auto"/>
              <w:right w:val="outset" w:sz="6" w:space="0" w:color="auto"/>
            </w:tcBorders>
            <w:vAlign w:val="center"/>
            <w:hideMark/>
          </w:tcPr>
          <w:p w14:paraId="7ED4EF60" w14:textId="77777777" w:rsidR="00A96EDA" w:rsidRPr="00D21CB9" w:rsidRDefault="00A96EDA" w:rsidP="00843E17">
            <w:pPr>
              <w:jc w:val="center"/>
              <w:rPr>
                <w:iCs/>
                <w:lang w:eastAsia="lv-LV"/>
              </w:rPr>
            </w:pPr>
            <w:r w:rsidRPr="00D21CB9">
              <w:rPr>
                <w:iCs/>
                <w:lang w:eastAsia="lv-LV"/>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49F03E2B" w14:textId="77777777" w:rsidR="00A96EDA" w:rsidRPr="00D21CB9" w:rsidRDefault="00A96EDA" w:rsidP="00843E17">
            <w:pPr>
              <w:jc w:val="center"/>
              <w:rPr>
                <w:iCs/>
                <w:lang w:eastAsia="lv-LV"/>
              </w:rPr>
            </w:pPr>
            <w:r w:rsidRPr="00D21CB9">
              <w:rPr>
                <w:iCs/>
                <w:lang w:eastAsia="lv-LV"/>
              </w:rPr>
              <w:t>0</w:t>
            </w:r>
          </w:p>
        </w:tc>
      </w:tr>
      <w:tr w:rsidR="00D21CB9" w:rsidRPr="00D21CB9" w14:paraId="43FB6E47"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7DFF52A3" w14:textId="77777777" w:rsidR="00A96EDA" w:rsidRPr="00D21CB9" w:rsidRDefault="00A96EDA" w:rsidP="00843E17">
            <w:pPr>
              <w:rPr>
                <w:iCs/>
                <w:lang w:eastAsia="lv-LV"/>
              </w:rPr>
            </w:pPr>
            <w:r w:rsidRPr="00D21CB9">
              <w:rPr>
                <w:iCs/>
                <w:lang w:eastAsia="lv-LV"/>
              </w:rPr>
              <w:t>4. Finanšu līdzekļi papildu izdevumu finansēšanai (kompensējošu izdevumu samazinājumu norāda ar "+" zīmi)</w:t>
            </w:r>
          </w:p>
        </w:tc>
        <w:tc>
          <w:tcPr>
            <w:tcW w:w="355" w:type="pct"/>
            <w:tcBorders>
              <w:top w:val="outset" w:sz="6" w:space="0" w:color="auto"/>
              <w:left w:val="outset" w:sz="6" w:space="0" w:color="auto"/>
              <w:bottom w:val="outset" w:sz="6" w:space="0" w:color="auto"/>
              <w:right w:val="outset" w:sz="6" w:space="0" w:color="auto"/>
            </w:tcBorders>
            <w:vAlign w:val="center"/>
            <w:hideMark/>
          </w:tcPr>
          <w:p w14:paraId="471229C8" w14:textId="77777777" w:rsidR="00A96EDA" w:rsidRPr="00D21CB9" w:rsidRDefault="00A96EDA" w:rsidP="00843E17">
            <w:pPr>
              <w:jc w:val="center"/>
              <w:rPr>
                <w:iCs/>
                <w:lang w:eastAsia="lv-LV"/>
              </w:rPr>
            </w:pPr>
            <w:r w:rsidRPr="00D21CB9">
              <w:rPr>
                <w:iCs/>
                <w:lang w:eastAsia="lv-LV"/>
              </w:rPr>
              <w:t>X</w:t>
            </w:r>
          </w:p>
        </w:tc>
        <w:tc>
          <w:tcPr>
            <w:tcW w:w="637" w:type="pct"/>
            <w:tcBorders>
              <w:top w:val="outset" w:sz="6" w:space="0" w:color="auto"/>
              <w:left w:val="outset" w:sz="6" w:space="0" w:color="auto"/>
              <w:bottom w:val="outset" w:sz="6" w:space="0" w:color="auto"/>
              <w:right w:val="outset" w:sz="6" w:space="0" w:color="auto"/>
            </w:tcBorders>
            <w:vAlign w:val="center"/>
            <w:hideMark/>
          </w:tcPr>
          <w:p w14:paraId="1ED9AD28" w14:textId="77777777" w:rsidR="00A96EDA" w:rsidRPr="00D21CB9" w:rsidRDefault="00A96EDA" w:rsidP="00843E17">
            <w:pPr>
              <w:jc w:val="center"/>
              <w:rPr>
                <w:iCs/>
                <w:lang w:eastAsia="lv-LV"/>
              </w:rPr>
            </w:pPr>
          </w:p>
        </w:tc>
        <w:tc>
          <w:tcPr>
            <w:tcW w:w="457" w:type="pct"/>
            <w:tcBorders>
              <w:top w:val="outset" w:sz="6" w:space="0" w:color="auto"/>
              <w:left w:val="outset" w:sz="6" w:space="0" w:color="auto"/>
              <w:bottom w:val="outset" w:sz="6" w:space="0" w:color="auto"/>
              <w:right w:val="outset" w:sz="6" w:space="0" w:color="auto"/>
            </w:tcBorders>
            <w:vAlign w:val="center"/>
            <w:hideMark/>
          </w:tcPr>
          <w:p w14:paraId="1FD4A6A8" w14:textId="77777777" w:rsidR="00A96EDA" w:rsidRPr="00D21CB9" w:rsidRDefault="00A96EDA" w:rsidP="00843E17">
            <w:pPr>
              <w:jc w:val="center"/>
              <w:rPr>
                <w:iCs/>
                <w:lang w:eastAsia="lv-LV"/>
              </w:rPr>
            </w:pPr>
            <w:r w:rsidRPr="00D21CB9">
              <w:rPr>
                <w:iCs/>
                <w:lang w:eastAsia="lv-LV"/>
              </w:rPr>
              <w:t>X</w:t>
            </w:r>
          </w:p>
        </w:tc>
        <w:tc>
          <w:tcPr>
            <w:tcW w:w="469" w:type="pct"/>
            <w:tcBorders>
              <w:top w:val="outset" w:sz="6" w:space="0" w:color="auto"/>
              <w:left w:val="outset" w:sz="6" w:space="0" w:color="auto"/>
              <w:bottom w:val="outset" w:sz="6" w:space="0" w:color="auto"/>
              <w:right w:val="outset" w:sz="6" w:space="0" w:color="auto"/>
            </w:tcBorders>
            <w:vAlign w:val="center"/>
            <w:hideMark/>
          </w:tcPr>
          <w:p w14:paraId="3C0A4DAD" w14:textId="77777777" w:rsidR="00A96EDA" w:rsidRPr="00D21CB9" w:rsidRDefault="00A96EDA" w:rsidP="00843E17">
            <w:pPr>
              <w:jc w:val="center"/>
              <w:rPr>
                <w:iCs/>
                <w:lang w:eastAsia="lv-LV"/>
              </w:rPr>
            </w:pPr>
          </w:p>
        </w:tc>
        <w:tc>
          <w:tcPr>
            <w:tcW w:w="356" w:type="pct"/>
            <w:tcBorders>
              <w:top w:val="outset" w:sz="6" w:space="0" w:color="auto"/>
              <w:left w:val="outset" w:sz="6" w:space="0" w:color="auto"/>
              <w:bottom w:val="outset" w:sz="6" w:space="0" w:color="auto"/>
              <w:right w:val="outset" w:sz="6" w:space="0" w:color="auto"/>
            </w:tcBorders>
            <w:vAlign w:val="center"/>
            <w:hideMark/>
          </w:tcPr>
          <w:p w14:paraId="7252CD19" w14:textId="77777777" w:rsidR="00A96EDA" w:rsidRPr="00D21CB9" w:rsidRDefault="00A96EDA" w:rsidP="00843E17">
            <w:pPr>
              <w:jc w:val="center"/>
              <w:rPr>
                <w:iCs/>
                <w:lang w:eastAsia="lv-LV"/>
              </w:rPr>
            </w:pPr>
            <w:r w:rsidRPr="00D21CB9">
              <w:rPr>
                <w:iCs/>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14:paraId="6D931D75" w14:textId="77777777" w:rsidR="00A96EDA" w:rsidRPr="00D21CB9" w:rsidRDefault="00A96EDA" w:rsidP="00843E17">
            <w:pPr>
              <w:rPr>
                <w:iCs/>
                <w:lang w:eastAsia="lv-LV"/>
              </w:rPr>
            </w:pPr>
            <w:r w:rsidRPr="00D21CB9">
              <w:rPr>
                <w:iCs/>
                <w:lang w:eastAsia="lv-LV"/>
              </w:rPr>
              <w:t> </w:t>
            </w:r>
          </w:p>
        </w:tc>
        <w:tc>
          <w:tcPr>
            <w:tcW w:w="1019" w:type="pct"/>
            <w:tcBorders>
              <w:top w:val="outset" w:sz="6" w:space="0" w:color="auto"/>
              <w:left w:val="outset" w:sz="6" w:space="0" w:color="auto"/>
              <w:bottom w:val="outset" w:sz="6" w:space="0" w:color="auto"/>
              <w:right w:val="outset" w:sz="6" w:space="0" w:color="auto"/>
            </w:tcBorders>
            <w:vAlign w:val="center"/>
            <w:hideMark/>
          </w:tcPr>
          <w:p w14:paraId="3FDE0891" w14:textId="77777777" w:rsidR="00A96EDA" w:rsidRPr="00D21CB9" w:rsidRDefault="00A96EDA" w:rsidP="00843E17">
            <w:pPr>
              <w:jc w:val="center"/>
              <w:rPr>
                <w:iCs/>
                <w:lang w:eastAsia="lv-LV"/>
              </w:rPr>
            </w:pPr>
            <w:r w:rsidRPr="00D21CB9">
              <w:rPr>
                <w:iCs/>
                <w:lang w:eastAsia="lv-LV"/>
              </w:rPr>
              <w:t>X</w:t>
            </w:r>
          </w:p>
        </w:tc>
      </w:tr>
      <w:tr w:rsidR="00D21CB9" w:rsidRPr="00D21CB9" w14:paraId="67ADDC88"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1FC27E33" w14:textId="77777777" w:rsidR="00A96EDA" w:rsidRPr="00D21CB9" w:rsidRDefault="00A96EDA" w:rsidP="00843E17">
            <w:pPr>
              <w:rPr>
                <w:iCs/>
                <w:lang w:eastAsia="lv-LV"/>
              </w:rPr>
            </w:pPr>
            <w:r w:rsidRPr="00D21CB9">
              <w:rPr>
                <w:iCs/>
                <w:lang w:eastAsia="lv-LV"/>
              </w:rPr>
              <w:t>5. Precizēta finansiālā ietekme</w:t>
            </w:r>
          </w:p>
        </w:tc>
        <w:tc>
          <w:tcPr>
            <w:tcW w:w="355" w:type="pct"/>
            <w:vMerge w:val="restart"/>
            <w:tcBorders>
              <w:top w:val="outset" w:sz="6" w:space="0" w:color="auto"/>
              <w:left w:val="outset" w:sz="6" w:space="0" w:color="auto"/>
              <w:bottom w:val="outset" w:sz="6" w:space="0" w:color="auto"/>
              <w:right w:val="outset" w:sz="6" w:space="0" w:color="auto"/>
            </w:tcBorders>
            <w:vAlign w:val="center"/>
            <w:hideMark/>
          </w:tcPr>
          <w:p w14:paraId="03702D4B" w14:textId="77777777" w:rsidR="00A96EDA" w:rsidRPr="00D21CB9" w:rsidRDefault="00A96EDA" w:rsidP="00843E17">
            <w:pPr>
              <w:jc w:val="center"/>
              <w:rPr>
                <w:iCs/>
                <w:lang w:eastAsia="lv-LV"/>
              </w:rPr>
            </w:pPr>
          </w:p>
          <w:p w14:paraId="018643A8" w14:textId="77777777" w:rsidR="00A96EDA" w:rsidRPr="00D21CB9" w:rsidRDefault="00A96EDA" w:rsidP="00843E17">
            <w:pPr>
              <w:jc w:val="center"/>
              <w:rPr>
                <w:iCs/>
                <w:lang w:eastAsia="lv-LV"/>
              </w:rPr>
            </w:pPr>
          </w:p>
          <w:p w14:paraId="16DE3A5B" w14:textId="77777777" w:rsidR="00A96EDA" w:rsidRPr="00D21CB9" w:rsidRDefault="00A96EDA" w:rsidP="00843E17">
            <w:pPr>
              <w:jc w:val="center"/>
              <w:rPr>
                <w:iCs/>
                <w:lang w:eastAsia="lv-LV"/>
              </w:rPr>
            </w:pPr>
          </w:p>
          <w:p w14:paraId="667182FC" w14:textId="77777777" w:rsidR="00A96EDA" w:rsidRPr="00D21CB9" w:rsidRDefault="00A96EDA" w:rsidP="00843E17">
            <w:pPr>
              <w:jc w:val="center"/>
              <w:rPr>
                <w:iCs/>
                <w:lang w:eastAsia="lv-LV"/>
              </w:rPr>
            </w:pPr>
          </w:p>
          <w:p w14:paraId="2BBADF4B" w14:textId="77777777" w:rsidR="00A96EDA" w:rsidRPr="00D21CB9" w:rsidRDefault="00A96EDA" w:rsidP="00843E17">
            <w:pPr>
              <w:jc w:val="center"/>
              <w:rPr>
                <w:iCs/>
                <w:lang w:eastAsia="lv-LV"/>
              </w:rPr>
            </w:pPr>
          </w:p>
          <w:p w14:paraId="3B150508" w14:textId="77777777" w:rsidR="00A96EDA" w:rsidRPr="00D21CB9" w:rsidRDefault="00A96EDA" w:rsidP="00843E17">
            <w:pPr>
              <w:jc w:val="center"/>
              <w:rPr>
                <w:iCs/>
                <w:lang w:eastAsia="lv-LV"/>
              </w:rPr>
            </w:pPr>
            <w:r w:rsidRPr="00D21CB9">
              <w:rPr>
                <w:iCs/>
                <w:lang w:eastAsia="lv-LV"/>
              </w:rPr>
              <w:t>X</w:t>
            </w:r>
          </w:p>
        </w:tc>
        <w:tc>
          <w:tcPr>
            <w:tcW w:w="637" w:type="pct"/>
            <w:tcBorders>
              <w:top w:val="outset" w:sz="6" w:space="0" w:color="auto"/>
              <w:left w:val="outset" w:sz="6" w:space="0" w:color="auto"/>
              <w:bottom w:val="outset" w:sz="6" w:space="0" w:color="auto"/>
              <w:right w:val="outset" w:sz="6" w:space="0" w:color="auto"/>
            </w:tcBorders>
            <w:vAlign w:val="center"/>
            <w:hideMark/>
          </w:tcPr>
          <w:p w14:paraId="306ED402" w14:textId="3C1E589B" w:rsidR="00A96EDA" w:rsidRPr="00D21CB9" w:rsidRDefault="006576F1" w:rsidP="00843E17">
            <w:pPr>
              <w:jc w:val="center"/>
              <w:rPr>
                <w:iCs/>
                <w:lang w:eastAsia="lv-LV"/>
              </w:rPr>
            </w:pPr>
            <w:r w:rsidRPr="00D21CB9">
              <w:rPr>
                <w:iCs/>
                <w:lang w:eastAsia="lv-LV"/>
              </w:rPr>
              <w:t>0</w:t>
            </w:r>
          </w:p>
        </w:tc>
        <w:tc>
          <w:tcPr>
            <w:tcW w:w="457" w:type="pct"/>
            <w:vMerge w:val="restart"/>
            <w:tcBorders>
              <w:top w:val="outset" w:sz="6" w:space="0" w:color="auto"/>
              <w:left w:val="outset" w:sz="6" w:space="0" w:color="auto"/>
              <w:bottom w:val="outset" w:sz="6" w:space="0" w:color="auto"/>
              <w:right w:val="outset" w:sz="6" w:space="0" w:color="auto"/>
            </w:tcBorders>
            <w:vAlign w:val="center"/>
            <w:hideMark/>
          </w:tcPr>
          <w:p w14:paraId="26C80ADF" w14:textId="77777777" w:rsidR="00A96EDA" w:rsidRPr="00D21CB9" w:rsidRDefault="00A96EDA" w:rsidP="00843E17">
            <w:pPr>
              <w:jc w:val="center"/>
              <w:rPr>
                <w:iCs/>
                <w:lang w:eastAsia="lv-LV"/>
              </w:rPr>
            </w:pPr>
          </w:p>
          <w:p w14:paraId="6355E50D" w14:textId="77777777" w:rsidR="00A96EDA" w:rsidRPr="00D21CB9" w:rsidRDefault="00A96EDA" w:rsidP="00843E17">
            <w:pPr>
              <w:jc w:val="center"/>
              <w:rPr>
                <w:iCs/>
                <w:lang w:eastAsia="lv-LV"/>
              </w:rPr>
            </w:pPr>
          </w:p>
          <w:p w14:paraId="71410DF8" w14:textId="77777777" w:rsidR="00A96EDA" w:rsidRPr="00D21CB9" w:rsidRDefault="00A96EDA" w:rsidP="00843E17">
            <w:pPr>
              <w:jc w:val="center"/>
              <w:rPr>
                <w:iCs/>
                <w:lang w:eastAsia="lv-LV"/>
              </w:rPr>
            </w:pPr>
          </w:p>
          <w:p w14:paraId="67C1D2A9" w14:textId="77777777" w:rsidR="00A96EDA" w:rsidRPr="00D21CB9" w:rsidRDefault="00A96EDA" w:rsidP="00843E17">
            <w:pPr>
              <w:jc w:val="center"/>
              <w:rPr>
                <w:iCs/>
                <w:lang w:eastAsia="lv-LV"/>
              </w:rPr>
            </w:pPr>
          </w:p>
          <w:p w14:paraId="11BB8912" w14:textId="77777777" w:rsidR="00A96EDA" w:rsidRPr="00D21CB9" w:rsidRDefault="00A96EDA" w:rsidP="00843E17">
            <w:pPr>
              <w:jc w:val="center"/>
              <w:rPr>
                <w:iCs/>
                <w:lang w:eastAsia="lv-LV"/>
              </w:rPr>
            </w:pPr>
          </w:p>
          <w:p w14:paraId="62862BB0" w14:textId="77777777" w:rsidR="00A96EDA" w:rsidRPr="00D21CB9" w:rsidRDefault="00A96EDA" w:rsidP="00843E17">
            <w:pPr>
              <w:jc w:val="center"/>
              <w:rPr>
                <w:iCs/>
                <w:lang w:eastAsia="lv-LV"/>
              </w:rPr>
            </w:pPr>
            <w:r w:rsidRPr="00D21CB9">
              <w:rPr>
                <w:iCs/>
                <w:lang w:eastAsia="lv-LV"/>
              </w:rPr>
              <w:t>X</w:t>
            </w:r>
          </w:p>
        </w:tc>
        <w:tc>
          <w:tcPr>
            <w:tcW w:w="469" w:type="pct"/>
            <w:tcBorders>
              <w:top w:val="outset" w:sz="6" w:space="0" w:color="auto"/>
              <w:left w:val="outset" w:sz="6" w:space="0" w:color="auto"/>
              <w:bottom w:val="outset" w:sz="6" w:space="0" w:color="auto"/>
              <w:right w:val="outset" w:sz="6" w:space="0" w:color="auto"/>
            </w:tcBorders>
            <w:vAlign w:val="center"/>
            <w:hideMark/>
          </w:tcPr>
          <w:p w14:paraId="5046E8F6" w14:textId="7339F55E" w:rsidR="00A96EDA" w:rsidRPr="00D21CB9" w:rsidRDefault="006576F1" w:rsidP="00843E17">
            <w:pPr>
              <w:jc w:val="center"/>
              <w:rPr>
                <w:iCs/>
                <w:lang w:eastAsia="lv-LV"/>
              </w:rPr>
            </w:pPr>
            <w:r w:rsidRPr="00D21CB9">
              <w:rPr>
                <w:iCs/>
                <w:lang w:eastAsia="lv-LV"/>
              </w:rPr>
              <w:t>0</w:t>
            </w:r>
          </w:p>
        </w:tc>
        <w:tc>
          <w:tcPr>
            <w:tcW w:w="356" w:type="pct"/>
            <w:vMerge w:val="restart"/>
            <w:tcBorders>
              <w:top w:val="outset" w:sz="6" w:space="0" w:color="auto"/>
              <w:left w:val="outset" w:sz="6" w:space="0" w:color="auto"/>
              <w:bottom w:val="outset" w:sz="6" w:space="0" w:color="auto"/>
              <w:right w:val="outset" w:sz="6" w:space="0" w:color="auto"/>
            </w:tcBorders>
            <w:vAlign w:val="center"/>
            <w:hideMark/>
          </w:tcPr>
          <w:p w14:paraId="4B640008" w14:textId="77777777" w:rsidR="00A96EDA" w:rsidRPr="00D21CB9" w:rsidRDefault="00A96EDA" w:rsidP="00843E17">
            <w:pPr>
              <w:jc w:val="center"/>
              <w:rPr>
                <w:iCs/>
                <w:lang w:eastAsia="lv-LV"/>
              </w:rPr>
            </w:pPr>
          </w:p>
          <w:p w14:paraId="56620481" w14:textId="77777777" w:rsidR="00A96EDA" w:rsidRPr="00D21CB9" w:rsidRDefault="00A96EDA" w:rsidP="00843E17">
            <w:pPr>
              <w:jc w:val="center"/>
              <w:rPr>
                <w:iCs/>
                <w:lang w:eastAsia="lv-LV"/>
              </w:rPr>
            </w:pPr>
          </w:p>
          <w:p w14:paraId="09539B4A" w14:textId="77777777" w:rsidR="00A96EDA" w:rsidRPr="00D21CB9" w:rsidRDefault="00A96EDA" w:rsidP="00843E17">
            <w:pPr>
              <w:jc w:val="center"/>
              <w:rPr>
                <w:iCs/>
                <w:lang w:eastAsia="lv-LV"/>
              </w:rPr>
            </w:pPr>
          </w:p>
          <w:p w14:paraId="677911DD" w14:textId="77777777" w:rsidR="00A96EDA" w:rsidRPr="00D21CB9" w:rsidRDefault="00A96EDA" w:rsidP="00843E17">
            <w:pPr>
              <w:jc w:val="center"/>
              <w:rPr>
                <w:iCs/>
                <w:lang w:eastAsia="lv-LV"/>
              </w:rPr>
            </w:pPr>
          </w:p>
          <w:p w14:paraId="2AAF3D07" w14:textId="77777777" w:rsidR="00A96EDA" w:rsidRPr="00D21CB9" w:rsidRDefault="00A96EDA" w:rsidP="00843E17">
            <w:pPr>
              <w:jc w:val="center"/>
              <w:rPr>
                <w:iCs/>
                <w:lang w:eastAsia="lv-LV"/>
              </w:rPr>
            </w:pPr>
          </w:p>
          <w:p w14:paraId="1FC5050B" w14:textId="77777777" w:rsidR="00A96EDA" w:rsidRPr="00D21CB9" w:rsidRDefault="00A96EDA" w:rsidP="00843E17">
            <w:pPr>
              <w:jc w:val="center"/>
              <w:rPr>
                <w:iCs/>
                <w:lang w:eastAsia="lv-LV"/>
              </w:rPr>
            </w:pPr>
            <w:r w:rsidRPr="00D21CB9">
              <w:rPr>
                <w:iCs/>
                <w:lang w:eastAsia="lv-LV"/>
              </w:rPr>
              <w:t>X</w:t>
            </w:r>
          </w:p>
        </w:tc>
        <w:tc>
          <w:tcPr>
            <w:tcW w:w="626" w:type="pct"/>
            <w:tcBorders>
              <w:top w:val="outset" w:sz="6" w:space="0" w:color="auto"/>
              <w:left w:val="outset" w:sz="6" w:space="0" w:color="auto"/>
              <w:bottom w:val="outset" w:sz="6" w:space="0" w:color="auto"/>
              <w:right w:val="outset" w:sz="6" w:space="0" w:color="auto"/>
            </w:tcBorders>
            <w:vAlign w:val="center"/>
            <w:hideMark/>
          </w:tcPr>
          <w:p w14:paraId="645F461E" w14:textId="118706CB" w:rsidR="00A96EDA" w:rsidRPr="00D21CB9" w:rsidRDefault="00A96EDA" w:rsidP="00843E17">
            <w:pPr>
              <w:rPr>
                <w:iCs/>
                <w:lang w:eastAsia="lv-LV"/>
              </w:rPr>
            </w:pPr>
            <w:r w:rsidRPr="00D21CB9">
              <w:rPr>
                <w:iCs/>
                <w:lang w:eastAsia="lv-LV"/>
              </w:rPr>
              <w:t> </w:t>
            </w:r>
            <w:r w:rsidR="006576F1" w:rsidRPr="00D21CB9">
              <w:rPr>
                <w:iCs/>
                <w:lang w:eastAsia="lv-LV"/>
              </w:rPr>
              <w:t>0</w:t>
            </w:r>
          </w:p>
        </w:tc>
        <w:tc>
          <w:tcPr>
            <w:tcW w:w="1019" w:type="pct"/>
            <w:tcBorders>
              <w:top w:val="outset" w:sz="6" w:space="0" w:color="auto"/>
              <w:left w:val="outset" w:sz="6" w:space="0" w:color="auto"/>
              <w:bottom w:val="outset" w:sz="6" w:space="0" w:color="auto"/>
              <w:right w:val="outset" w:sz="6" w:space="0" w:color="auto"/>
            </w:tcBorders>
            <w:vAlign w:val="center"/>
            <w:hideMark/>
          </w:tcPr>
          <w:p w14:paraId="3611E5E9" w14:textId="041C661A" w:rsidR="00A96EDA" w:rsidRPr="00D21CB9" w:rsidRDefault="00A96EDA" w:rsidP="00843E17">
            <w:pPr>
              <w:rPr>
                <w:iCs/>
                <w:lang w:eastAsia="lv-LV"/>
              </w:rPr>
            </w:pPr>
            <w:r w:rsidRPr="00D21CB9">
              <w:rPr>
                <w:iCs/>
                <w:lang w:eastAsia="lv-LV"/>
              </w:rPr>
              <w:t> </w:t>
            </w:r>
            <w:r w:rsidR="006576F1" w:rsidRPr="00D21CB9">
              <w:rPr>
                <w:iCs/>
                <w:lang w:eastAsia="lv-LV"/>
              </w:rPr>
              <w:t>0</w:t>
            </w:r>
          </w:p>
        </w:tc>
      </w:tr>
      <w:tr w:rsidR="00D21CB9" w:rsidRPr="00D21CB9" w14:paraId="383BD7EA"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13F232CA" w14:textId="77777777" w:rsidR="00A96EDA" w:rsidRPr="00D21CB9" w:rsidRDefault="00A96EDA" w:rsidP="00843E17">
            <w:pPr>
              <w:rPr>
                <w:iCs/>
                <w:lang w:eastAsia="lv-LV"/>
              </w:rPr>
            </w:pPr>
            <w:r w:rsidRPr="00D21CB9">
              <w:rPr>
                <w:iCs/>
                <w:lang w:eastAsia="lv-LV"/>
              </w:rPr>
              <w:t>5.1. valsts pamatbudžets</w:t>
            </w:r>
          </w:p>
        </w:tc>
        <w:tc>
          <w:tcPr>
            <w:tcW w:w="355" w:type="pct"/>
            <w:vMerge/>
            <w:tcBorders>
              <w:top w:val="outset" w:sz="6" w:space="0" w:color="auto"/>
              <w:left w:val="outset" w:sz="6" w:space="0" w:color="auto"/>
              <w:bottom w:val="outset" w:sz="6" w:space="0" w:color="auto"/>
              <w:right w:val="outset" w:sz="6" w:space="0" w:color="auto"/>
            </w:tcBorders>
            <w:vAlign w:val="center"/>
            <w:hideMark/>
          </w:tcPr>
          <w:p w14:paraId="4D9319A4" w14:textId="77777777" w:rsidR="00A96EDA" w:rsidRPr="00D21CB9" w:rsidRDefault="00A96EDA" w:rsidP="00843E17">
            <w:pPr>
              <w:rPr>
                <w:iCs/>
                <w:lang w:eastAsia="lv-LV"/>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1F4B9381" w14:textId="536266D3" w:rsidR="00A96EDA" w:rsidRPr="00D21CB9" w:rsidRDefault="00A96EDA" w:rsidP="00843E17">
            <w:pPr>
              <w:rPr>
                <w:iCs/>
                <w:lang w:eastAsia="lv-LV"/>
              </w:rPr>
            </w:pPr>
            <w:r w:rsidRPr="00D21CB9">
              <w:rPr>
                <w:iCs/>
                <w:lang w:eastAsia="lv-LV"/>
              </w:rPr>
              <w:t> </w:t>
            </w:r>
            <w:r w:rsidR="006576F1" w:rsidRPr="00D21CB9">
              <w:rPr>
                <w:iCs/>
                <w:lang w:eastAsia="lv-LV"/>
              </w:rPr>
              <w:t>2 836</w:t>
            </w:r>
          </w:p>
        </w:tc>
        <w:tc>
          <w:tcPr>
            <w:tcW w:w="457" w:type="pct"/>
            <w:vMerge/>
            <w:tcBorders>
              <w:top w:val="outset" w:sz="6" w:space="0" w:color="auto"/>
              <w:left w:val="outset" w:sz="6" w:space="0" w:color="auto"/>
              <w:bottom w:val="outset" w:sz="6" w:space="0" w:color="auto"/>
              <w:right w:val="outset" w:sz="6" w:space="0" w:color="auto"/>
            </w:tcBorders>
            <w:vAlign w:val="center"/>
            <w:hideMark/>
          </w:tcPr>
          <w:p w14:paraId="3166770F" w14:textId="77777777" w:rsidR="00A96EDA" w:rsidRPr="00D21CB9" w:rsidRDefault="00A96EDA" w:rsidP="00843E17">
            <w:pPr>
              <w:rPr>
                <w:iCs/>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42F240F5" w14:textId="4F2319F4" w:rsidR="00A96EDA" w:rsidRPr="00D21CB9" w:rsidRDefault="00A96EDA" w:rsidP="00843E17">
            <w:pPr>
              <w:rPr>
                <w:iCs/>
                <w:lang w:eastAsia="lv-LV"/>
              </w:rPr>
            </w:pPr>
            <w:r w:rsidRPr="00D21CB9">
              <w:rPr>
                <w:iCs/>
                <w:lang w:eastAsia="lv-LV"/>
              </w:rPr>
              <w:t> </w:t>
            </w:r>
            <w:r w:rsidR="006576F1" w:rsidRPr="00D21CB9">
              <w:rPr>
                <w:iCs/>
                <w:lang w:eastAsia="lv-LV"/>
              </w:rPr>
              <w:t>36 415</w:t>
            </w:r>
          </w:p>
        </w:tc>
        <w:tc>
          <w:tcPr>
            <w:tcW w:w="356" w:type="pct"/>
            <w:vMerge/>
            <w:tcBorders>
              <w:top w:val="outset" w:sz="6" w:space="0" w:color="auto"/>
              <w:left w:val="outset" w:sz="6" w:space="0" w:color="auto"/>
              <w:bottom w:val="outset" w:sz="6" w:space="0" w:color="auto"/>
              <w:right w:val="outset" w:sz="6" w:space="0" w:color="auto"/>
            </w:tcBorders>
            <w:vAlign w:val="center"/>
            <w:hideMark/>
          </w:tcPr>
          <w:p w14:paraId="62B2CDEB" w14:textId="77777777" w:rsidR="00A96EDA" w:rsidRPr="00D21CB9" w:rsidRDefault="00A96EDA" w:rsidP="00843E17">
            <w:pPr>
              <w:rPr>
                <w:iCs/>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0092A530" w14:textId="26E8E765" w:rsidR="00A96EDA" w:rsidRPr="00D21CB9" w:rsidRDefault="00A96EDA" w:rsidP="00843E17">
            <w:pPr>
              <w:rPr>
                <w:iCs/>
                <w:lang w:eastAsia="lv-LV"/>
              </w:rPr>
            </w:pPr>
            <w:r w:rsidRPr="00D21CB9">
              <w:rPr>
                <w:iCs/>
                <w:lang w:eastAsia="lv-LV"/>
              </w:rPr>
              <w:t> </w:t>
            </w:r>
            <w:r w:rsidR="006576F1" w:rsidRPr="00D21CB9">
              <w:rPr>
                <w:iCs/>
                <w:lang w:eastAsia="lv-LV"/>
              </w:rPr>
              <w:t>38 855</w:t>
            </w:r>
          </w:p>
        </w:tc>
        <w:tc>
          <w:tcPr>
            <w:tcW w:w="1019" w:type="pct"/>
            <w:tcBorders>
              <w:top w:val="outset" w:sz="6" w:space="0" w:color="auto"/>
              <w:left w:val="outset" w:sz="6" w:space="0" w:color="auto"/>
              <w:bottom w:val="outset" w:sz="6" w:space="0" w:color="auto"/>
              <w:right w:val="outset" w:sz="6" w:space="0" w:color="auto"/>
            </w:tcBorders>
            <w:vAlign w:val="center"/>
            <w:hideMark/>
          </w:tcPr>
          <w:p w14:paraId="14D7DCBC" w14:textId="6D7EFF8B" w:rsidR="00A96EDA" w:rsidRPr="00D21CB9" w:rsidRDefault="00A96EDA" w:rsidP="00843E17">
            <w:pPr>
              <w:rPr>
                <w:iCs/>
                <w:lang w:eastAsia="lv-LV"/>
              </w:rPr>
            </w:pPr>
            <w:r w:rsidRPr="00D21CB9">
              <w:rPr>
                <w:iCs/>
                <w:lang w:eastAsia="lv-LV"/>
              </w:rPr>
              <w:t> </w:t>
            </w:r>
            <w:r w:rsidR="006576F1" w:rsidRPr="00D21CB9">
              <w:rPr>
                <w:iCs/>
                <w:lang w:eastAsia="lv-LV"/>
              </w:rPr>
              <w:t>26 894</w:t>
            </w:r>
          </w:p>
        </w:tc>
      </w:tr>
      <w:tr w:rsidR="00D21CB9" w:rsidRPr="00D21CB9" w14:paraId="312FB57C"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6AD6F326" w14:textId="77777777" w:rsidR="00A96EDA" w:rsidRPr="00D21CB9" w:rsidRDefault="00A96EDA" w:rsidP="00843E17">
            <w:pPr>
              <w:rPr>
                <w:iCs/>
                <w:lang w:eastAsia="lv-LV"/>
              </w:rPr>
            </w:pPr>
            <w:r w:rsidRPr="00D21CB9">
              <w:rPr>
                <w:iCs/>
                <w:lang w:eastAsia="lv-LV"/>
              </w:rPr>
              <w:t>5.2. speciālais budžets</w:t>
            </w:r>
          </w:p>
        </w:tc>
        <w:tc>
          <w:tcPr>
            <w:tcW w:w="355" w:type="pct"/>
            <w:vMerge/>
            <w:tcBorders>
              <w:top w:val="outset" w:sz="6" w:space="0" w:color="auto"/>
              <w:left w:val="outset" w:sz="6" w:space="0" w:color="auto"/>
              <w:bottom w:val="outset" w:sz="6" w:space="0" w:color="auto"/>
              <w:right w:val="outset" w:sz="6" w:space="0" w:color="auto"/>
            </w:tcBorders>
            <w:vAlign w:val="center"/>
            <w:hideMark/>
          </w:tcPr>
          <w:p w14:paraId="533AF7BB" w14:textId="77777777" w:rsidR="00A96EDA" w:rsidRPr="00D21CB9" w:rsidRDefault="00A96EDA" w:rsidP="00843E17">
            <w:pPr>
              <w:rPr>
                <w:iCs/>
                <w:lang w:eastAsia="lv-LV"/>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183EB5C0" w14:textId="77777777" w:rsidR="00A96EDA" w:rsidRPr="00D21CB9" w:rsidRDefault="00A96EDA" w:rsidP="00843E17">
            <w:pPr>
              <w:rPr>
                <w:iCs/>
                <w:lang w:eastAsia="lv-LV"/>
              </w:rPr>
            </w:pPr>
            <w:r w:rsidRPr="00D21CB9">
              <w:rPr>
                <w:iCs/>
                <w:lang w:eastAsia="lv-LV"/>
              </w:rPr>
              <w:t> </w:t>
            </w:r>
          </w:p>
        </w:tc>
        <w:tc>
          <w:tcPr>
            <w:tcW w:w="457" w:type="pct"/>
            <w:vMerge/>
            <w:tcBorders>
              <w:top w:val="outset" w:sz="6" w:space="0" w:color="auto"/>
              <w:left w:val="outset" w:sz="6" w:space="0" w:color="auto"/>
              <w:bottom w:val="outset" w:sz="6" w:space="0" w:color="auto"/>
              <w:right w:val="outset" w:sz="6" w:space="0" w:color="auto"/>
            </w:tcBorders>
            <w:vAlign w:val="center"/>
            <w:hideMark/>
          </w:tcPr>
          <w:p w14:paraId="38CF410C" w14:textId="77777777" w:rsidR="00A96EDA" w:rsidRPr="00D21CB9" w:rsidRDefault="00A96EDA" w:rsidP="00843E17">
            <w:pPr>
              <w:rPr>
                <w:iCs/>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01FF28FA" w14:textId="77777777" w:rsidR="00A96EDA" w:rsidRPr="00D21CB9" w:rsidRDefault="00A96EDA" w:rsidP="00843E17">
            <w:pPr>
              <w:rPr>
                <w:iCs/>
                <w:lang w:eastAsia="lv-LV"/>
              </w:rPr>
            </w:pPr>
            <w:r w:rsidRPr="00D21CB9">
              <w:rPr>
                <w:iCs/>
                <w:lang w:eastAsia="lv-LV"/>
              </w:rPr>
              <w:t> </w:t>
            </w:r>
          </w:p>
        </w:tc>
        <w:tc>
          <w:tcPr>
            <w:tcW w:w="356" w:type="pct"/>
            <w:vMerge/>
            <w:tcBorders>
              <w:top w:val="outset" w:sz="6" w:space="0" w:color="auto"/>
              <w:left w:val="outset" w:sz="6" w:space="0" w:color="auto"/>
              <w:bottom w:val="outset" w:sz="6" w:space="0" w:color="auto"/>
              <w:right w:val="outset" w:sz="6" w:space="0" w:color="auto"/>
            </w:tcBorders>
            <w:vAlign w:val="center"/>
            <w:hideMark/>
          </w:tcPr>
          <w:p w14:paraId="34D3BA77" w14:textId="77777777" w:rsidR="00A96EDA" w:rsidRPr="00D21CB9" w:rsidRDefault="00A96EDA" w:rsidP="00843E17">
            <w:pPr>
              <w:rPr>
                <w:iCs/>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39A53130" w14:textId="77777777" w:rsidR="00A96EDA" w:rsidRPr="00D21CB9" w:rsidRDefault="00A96EDA" w:rsidP="00843E17">
            <w:pPr>
              <w:rPr>
                <w:iCs/>
                <w:lang w:eastAsia="lv-LV"/>
              </w:rPr>
            </w:pPr>
            <w:r w:rsidRPr="00D21CB9">
              <w:rPr>
                <w:iCs/>
                <w:lang w:eastAsia="lv-LV"/>
              </w:rPr>
              <w:t> </w:t>
            </w:r>
          </w:p>
        </w:tc>
        <w:tc>
          <w:tcPr>
            <w:tcW w:w="1019" w:type="pct"/>
            <w:tcBorders>
              <w:top w:val="outset" w:sz="6" w:space="0" w:color="auto"/>
              <w:left w:val="outset" w:sz="6" w:space="0" w:color="auto"/>
              <w:bottom w:val="outset" w:sz="6" w:space="0" w:color="auto"/>
              <w:right w:val="outset" w:sz="6" w:space="0" w:color="auto"/>
            </w:tcBorders>
            <w:vAlign w:val="center"/>
            <w:hideMark/>
          </w:tcPr>
          <w:p w14:paraId="115CD3A2" w14:textId="77777777" w:rsidR="00A96EDA" w:rsidRPr="00D21CB9" w:rsidRDefault="00A96EDA" w:rsidP="00843E17">
            <w:pPr>
              <w:rPr>
                <w:iCs/>
                <w:lang w:eastAsia="lv-LV"/>
              </w:rPr>
            </w:pPr>
            <w:r w:rsidRPr="00D21CB9">
              <w:rPr>
                <w:iCs/>
                <w:lang w:eastAsia="lv-LV"/>
              </w:rPr>
              <w:t> </w:t>
            </w:r>
          </w:p>
        </w:tc>
      </w:tr>
      <w:tr w:rsidR="00D21CB9" w:rsidRPr="00D21CB9" w14:paraId="00688361"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0E522267" w14:textId="77777777" w:rsidR="00A96EDA" w:rsidRPr="00D21CB9" w:rsidRDefault="00A96EDA" w:rsidP="00843E17">
            <w:pPr>
              <w:rPr>
                <w:iCs/>
                <w:lang w:eastAsia="lv-LV"/>
              </w:rPr>
            </w:pPr>
            <w:r w:rsidRPr="00D21CB9">
              <w:rPr>
                <w:iCs/>
                <w:lang w:eastAsia="lv-LV"/>
              </w:rPr>
              <w:t>5.3. pašvaldību budžets</w:t>
            </w:r>
          </w:p>
        </w:tc>
        <w:tc>
          <w:tcPr>
            <w:tcW w:w="355" w:type="pct"/>
            <w:vMerge/>
            <w:tcBorders>
              <w:top w:val="outset" w:sz="6" w:space="0" w:color="auto"/>
              <w:left w:val="outset" w:sz="6" w:space="0" w:color="auto"/>
              <w:bottom w:val="outset" w:sz="6" w:space="0" w:color="auto"/>
              <w:right w:val="outset" w:sz="6" w:space="0" w:color="auto"/>
            </w:tcBorders>
            <w:vAlign w:val="center"/>
            <w:hideMark/>
          </w:tcPr>
          <w:p w14:paraId="7FFE8069" w14:textId="77777777" w:rsidR="00A96EDA" w:rsidRPr="00D21CB9" w:rsidRDefault="00A96EDA" w:rsidP="00843E17">
            <w:pPr>
              <w:rPr>
                <w:iCs/>
                <w:lang w:eastAsia="lv-LV"/>
              </w:rPr>
            </w:pPr>
          </w:p>
        </w:tc>
        <w:tc>
          <w:tcPr>
            <w:tcW w:w="637" w:type="pct"/>
            <w:tcBorders>
              <w:top w:val="outset" w:sz="6" w:space="0" w:color="auto"/>
              <w:left w:val="outset" w:sz="6" w:space="0" w:color="auto"/>
              <w:bottom w:val="outset" w:sz="6" w:space="0" w:color="auto"/>
              <w:right w:val="outset" w:sz="6" w:space="0" w:color="auto"/>
            </w:tcBorders>
            <w:vAlign w:val="center"/>
            <w:hideMark/>
          </w:tcPr>
          <w:p w14:paraId="619148C9" w14:textId="77777777" w:rsidR="00A96EDA" w:rsidRPr="00D21CB9" w:rsidRDefault="00A96EDA" w:rsidP="00843E17">
            <w:pPr>
              <w:rPr>
                <w:iCs/>
                <w:lang w:eastAsia="lv-LV"/>
              </w:rPr>
            </w:pPr>
            <w:r w:rsidRPr="00D21CB9">
              <w:rPr>
                <w:iCs/>
                <w:lang w:eastAsia="lv-LV"/>
              </w:rPr>
              <w:t> </w:t>
            </w:r>
          </w:p>
        </w:tc>
        <w:tc>
          <w:tcPr>
            <w:tcW w:w="457" w:type="pct"/>
            <w:vMerge/>
            <w:tcBorders>
              <w:top w:val="outset" w:sz="6" w:space="0" w:color="auto"/>
              <w:left w:val="outset" w:sz="6" w:space="0" w:color="auto"/>
              <w:bottom w:val="outset" w:sz="6" w:space="0" w:color="auto"/>
              <w:right w:val="outset" w:sz="6" w:space="0" w:color="auto"/>
            </w:tcBorders>
            <w:vAlign w:val="center"/>
            <w:hideMark/>
          </w:tcPr>
          <w:p w14:paraId="1DA21E9D" w14:textId="77777777" w:rsidR="00A96EDA" w:rsidRPr="00D21CB9" w:rsidRDefault="00A96EDA" w:rsidP="00843E17">
            <w:pPr>
              <w:rPr>
                <w:iCs/>
                <w:lang w:eastAsia="lv-LV"/>
              </w:rPr>
            </w:pPr>
          </w:p>
        </w:tc>
        <w:tc>
          <w:tcPr>
            <w:tcW w:w="469" w:type="pct"/>
            <w:tcBorders>
              <w:top w:val="outset" w:sz="6" w:space="0" w:color="auto"/>
              <w:left w:val="outset" w:sz="6" w:space="0" w:color="auto"/>
              <w:bottom w:val="outset" w:sz="6" w:space="0" w:color="auto"/>
              <w:right w:val="outset" w:sz="6" w:space="0" w:color="auto"/>
            </w:tcBorders>
            <w:vAlign w:val="center"/>
            <w:hideMark/>
          </w:tcPr>
          <w:p w14:paraId="6F7D2D79" w14:textId="77777777" w:rsidR="00A96EDA" w:rsidRPr="00D21CB9" w:rsidRDefault="00A96EDA" w:rsidP="00843E17">
            <w:pPr>
              <w:rPr>
                <w:iCs/>
                <w:lang w:eastAsia="lv-LV"/>
              </w:rPr>
            </w:pPr>
            <w:r w:rsidRPr="00D21CB9">
              <w:rPr>
                <w:iCs/>
                <w:lang w:eastAsia="lv-LV"/>
              </w:rPr>
              <w:t> </w:t>
            </w:r>
          </w:p>
        </w:tc>
        <w:tc>
          <w:tcPr>
            <w:tcW w:w="356" w:type="pct"/>
            <w:vMerge/>
            <w:tcBorders>
              <w:top w:val="outset" w:sz="6" w:space="0" w:color="auto"/>
              <w:left w:val="outset" w:sz="6" w:space="0" w:color="auto"/>
              <w:bottom w:val="outset" w:sz="6" w:space="0" w:color="auto"/>
              <w:right w:val="outset" w:sz="6" w:space="0" w:color="auto"/>
            </w:tcBorders>
            <w:vAlign w:val="center"/>
            <w:hideMark/>
          </w:tcPr>
          <w:p w14:paraId="30465CE4" w14:textId="77777777" w:rsidR="00A96EDA" w:rsidRPr="00D21CB9" w:rsidRDefault="00A96EDA" w:rsidP="00843E17">
            <w:pPr>
              <w:rPr>
                <w:iCs/>
                <w:lang w:eastAsia="lv-LV"/>
              </w:rPr>
            </w:pPr>
          </w:p>
        </w:tc>
        <w:tc>
          <w:tcPr>
            <w:tcW w:w="626" w:type="pct"/>
            <w:tcBorders>
              <w:top w:val="outset" w:sz="6" w:space="0" w:color="auto"/>
              <w:left w:val="outset" w:sz="6" w:space="0" w:color="auto"/>
              <w:bottom w:val="outset" w:sz="6" w:space="0" w:color="auto"/>
              <w:right w:val="outset" w:sz="6" w:space="0" w:color="auto"/>
            </w:tcBorders>
            <w:vAlign w:val="center"/>
            <w:hideMark/>
          </w:tcPr>
          <w:p w14:paraId="166659E4" w14:textId="77777777" w:rsidR="00A96EDA" w:rsidRPr="00D21CB9" w:rsidRDefault="00A96EDA" w:rsidP="00843E17">
            <w:pPr>
              <w:rPr>
                <w:iCs/>
                <w:lang w:eastAsia="lv-LV"/>
              </w:rPr>
            </w:pPr>
            <w:r w:rsidRPr="00D21CB9">
              <w:rPr>
                <w:iCs/>
                <w:lang w:eastAsia="lv-LV"/>
              </w:rPr>
              <w:t> </w:t>
            </w:r>
          </w:p>
        </w:tc>
        <w:tc>
          <w:tcPr>
            <w:tcW w:w="1019" w:type="pct"/>
            <w:tcBorders>
              <w:top w:val="outset" w:sz="6" w:space="0" w:color="auto"/>
              <w:left w:val="outset" w:sz="6" w:space="0" w:color="auto"/>
              <w:bottom w:val="outset" w:sz="6" w:space="0" w:color="auto"/>
              <w:right w:val="outset" w:sz="6" w:space="0" w:color="auto"/>
            </w:tcBorders>
            <w:vAlign w:val="center"/>
            <w:hideMark/>
          </w:tcPr>
          <w:p w14:paraId="6F93491B" w14:textId="77777777" w:rsidR="00A96EDA" w:rsidRPr="00D21CB9" w:rsidRDefault="00A96EDA" w:rsidP="00843E17">
            <w:pPr>
              <w:rPr>
                <w:iCs/>
                <w:lang w:eastAsia="lv-LV"/>
              </w:rPr>
            </w:pPr>
            <w:r w:rsidRPr="00D21CB9">
              <w:rPr>
                <w:iCs/>
                <w:lang w:eastAsia="lv-LV"/>
              </w:rPr>
              <w:t> </w:t>
            </w:r>
          </w:p>
        </w:tc>
      </w:tr>
      <w:tr w:rsidR="00D21CB9" w:rsidRPr="00D21CB9" w14:paraId="3ECF82CF"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4484C960" w14:textId="77777777" w:rsidR="00A96EDA" w:rsidRPr="00D21CB9" w:rsidRDefault="00A96EDA" w:rsidP="00843E17">
            <w:pPr>
              <w:rPr>
                <w:iCs/>
                <w:lang w:eastAsia="lv-LV"/>
              </w:rPr>
            </w:pPr>
            <w:r w:rsidRPr="00D21CB9">
              <w:rPr>
                <w:iCs/>
                <w:lang w:eastAsia="lv-LV"/>
              </w:rPr>
              <w:t>6. Detalizēts ieņēmumu un izdevumu aprēķins (ja nepieciešams, detalizētu ieņēmumu un izdevumu aprēķinu var pievienot anotācijas pielikumā)</w:t>
            </w:r>
          </w:p>
        </w:tc>
        <w:tc>
          <w:tcPr>
            <w:tcW w:w="4008" w:type="pct"/>
            <w:gridSpan w:val="7"/>
            <w:vMerge w:val="restart"/>
            <w:tcBorders>
              <w:top w:val="outset" w:sz="6" w:space="0" w:color="auto"/>
              <w:left w:val="outset" w:sz="6" w:space="0" w:color="auto"/>
              <w:bottom w:val="outset" w:sz="6" w:space="0" w:color="auto"/>
              <w:right w:val="outset" w:sz="6" w:space="0" w:color="auto"/>
            </w:tcBorders>
            <w:hideMark/>
          </w:tcPr>
          <w:p w14:paraId="352E3700" w14:textId="77777777" w:rsidR="00A96EDA" w:rsidRPr="00D21CB9" w:rsidRDefault="00A96EDA" w:rsidP="00843E17">
            <w:pPr>
              <w:ind w:right="71"/>
              <w:jc w:val="both"/>
              <w:rPr>
                <w:i/>
                <w:sz w:val="18"/>
                <w:szCs w:val="18"/>
              </w:rPr>
            </w:pPr>
            <w:r w:rsidRPr="00D21CB9">
              <w:rPr>
                <w:i/>
                <w:sz w:val="18"/>
                <w:szCs w:val="18"/>
              </w:rPr>
              <w:t>*Atbilstoši LM apstiprinātajam maksimāli pieļaujamam valsts pamatbudžeta izdevumu apjomam.</w:t>
            </w:r>
          </w:p>
          <w:p w14:paraId="4900DC08" w14:textId="77777777" w:rsidR="00A96EDA" w:rsidRPr="00D21CB9" w:rsidRDefault="00A96EDA" w:rsidP="00843E17">
            <w:pPr>
              <w:spacing w:after="120" w:line="23" w:lineRule="atLeast"/>
              <w:jc w:val="both"/>
              <w:rPr>
                <w:lang w:eastAsia="en-US"/>
              </w:rPr>
            </w:pPr>
          </w:p>
          <w:p w14:paraId="4106015D" w14:textId="77777777" w:rsidR="00A96EDA" w:rsidRPr="00D21CB9" w:rsidRDefault="00A96EDA" w:rsidP="00843E17">
            <w:pPr>
              <w:spacing w:after="120" w:line="23" w:lineRule="atLeast"/>
              <w:jc w:val="both"/>
              <w:rPr>
                <w:lang w:eastAsia="en-US"/>
              </w:rPr>
            </w:pPr>
            <w:r w:rsidRPr="00D21CB9">
              <w:rPr>
                <w:lang w:eastAsia="en-US"/>
              </w:rPr>
              <w:t xml:space="preserve">DI otrās kārtas projekts tiks līdzfinansēts no Eiropas reģionālās attīstības fonda (turpmāk - ERAF) līdzekļiem un tā kopējais finansējuma apjoms (kopējās attiecināmās izmaksas) plānots 700 000 </w:t>
            </w:r>
            <w:proofErr w:type="spellStart"/>
            <w:r w:rsidRPr="00D21CB9">
              <w:rPr>
                <w:i/>
                <w:lang w:eastAsia="en-US"/>
              </w:rPr>
              <w:t>euro</w:t>
            </w:r>
            <w:proofErr w:type="spellEnd"/>
            <w:r w:rsidRPr="00D21CB9">
              <w:rPr>
                <w:lang w:eastAsia="en-US"/>
              </w:rPr>
              <w:t xml:space="preserve"> apmērā, tai skaitā, ERAF finansējums 595 000 </w:t>
            </w:r>
            <w:proofErr w:type="spellStart"/>
            <w:r w:rsidRPr="00D21CB9">
              <w:rPr>
                <w:i/>
                <w:lang w:eastAsia="en-US"/>
              </w:rPr>
              <w:t>euro</w:t>
            </w:r>
            <w:proofErr w:type="spellEnd"/>
            <w:r w:rsidRPr="00D21CB9">
              <w:rPr>
                <w:lang w:eastAsia="en-US"/>
              </w:rPr>
              <w:t xml:space="preserve"> un valsts budžeta (turpmāk – VB) finansējums 105 000 </w:t>
            </w:r>
            <w:proofErr w:type="spellStart"/>
            <w:r w:rsidRPr="00D21CB9">
              <w:rPr>
                <w:i/>
                <w:lang w:eastAsia="en-US"/>
              </w:rPr>
              <w:t>euro</w:t>
            </w:r>
            <w:proofErr w:type="spellEnd"/>
            <w:r w:rsidRPr="00D21CB9">
              <w:rPr>
                <w:lang w:eastAsia="en-US"/>
              </w:rPr>
              <w:t xml:space="preserve">. </w:t>
            </w:r>
          </w:p>
          <w:p w14:paraId="32CB1D46" w14:textId="6EE83691" w:rsidR="00243B42" w:rsidRPr="00D21CB9" w:rsidRDefault="00243B42" w:rsidP="00243B42">
            <w:pPr>
              <w:jc w:val="both"/>
              <w:rPr>
                <w:iCs/>
                <w:lang w:eastAsia="lv-LV"/>
              </w:rPr>
            </w:pPr>
            <w:r w:rsidRPr="00D21CB9">
              <w:rPr>
                <w:iCs/>
                <w:lang w:eastAsia="lv-LV"/>
              </w:rPr>
              <w:t>AGIS pilnveide</w:t>
            </w:r>
            <w:r w:rsidR="00650A4E" w:rsidRPr="00D21CB9">
              <w:rPr>
                <w:iCs/>
                <w:lang w:eastAsia="lv-LV"/>
              </w:rPr>
              <w:t>i, pārejai uz jauno risinājumu, šī projekta ietvaros paredzēts</w:t>
            </w:r>
            <w:r w:rsidRPr="00D21CB9">
              <w:rPr>
                <w:iCs/>
                <w:lang w:eastAsia="lv-LV"/>
              </w:rPr>
              <w:t xml:space="preserve"> finansējums </w:t>
            </w:r>
            <w:r w:rsidR="00650A4E" w:rsidRPr="00D21CB9">
              <w:rPr>
                <w:iCs/>
                <w:lang w:eastAsia="lv-LV"/>
              </w:rPr>
              <w:t xml:space="preserve">242 303 </w:t>
            </w:r>
            <w:proofErr w:type="spellStart"/>
            <w:r w:rsidR="00650A4E" w:rsidRPr="005D7ED1">
              <w:rPr>
                <w:i/>
                <w:iCs/>
                <w:lang w:eastAsia="lv-LV"/>
              </w:rPr>
              <w:t>euro</w:t>
            </w:r>
            <w:proofErr w:type="spellEnd"/>
            <w:r w:rsidR="00650A4E" w:rsidRPr="00D21CB9">
              <w:rPr>
                <w:iCs/>
                <w:lang w:eastAsia="lv-LV"/>
              </w:rPr>
              <w:t>,</w:t>
            </w:r>
            <w:r w:rsidR="00DB1F3F" w:rsidRPr="00D21CB9">
              <w:rPr>
                <w:iCs/>
                <w:lang w:eastAsia="lv-LV"/>
              </w:rPr>
              <w:t xml:space="preserve"> t.sk.,</w:t>
            </w:r>
            <w:r w:rsidR="00650A4E" w:rsidRPr="00D21CB9">
              <w:rPr>
                <w:iCs/>
                <w:lang w:eastAsia="lv-LV"/>
              </w:rPr>
              <w:t xml:space="preserve"> </w:t>
            </w:r>
            <w:proofErr w:type="gramStart"/>
            <w:r w:rsidRPr="00D21CB9">
              <w:rPr>
                <w:iCs/>
                <w:lang w:eastAsia="lv-LV"/>
              </w:rPr>
              <w:t>2020.gadā</w:t>
            </w:r>
            <w:proofErr w:type="gramEnd"/>
            <w:r w:rsidRPr="00D21CB9">
              <w:rPr>
                <w:iCs/>
                <w:lang w:eastAsia="lv-LV"/>
              </w:rPr>
              <w:t xml:space="preserve"> </w:t>
            </w:r>
            <w:r w:rsidR="00650A4E" w:rsidRPr="00D21CB9">
              <w:rPr>
                <w:iCs/>
                <w:lang w:eastAsia="lv-LV"/>
              </w:rPr>
              <w:t>123 000</w:t>
            </w:r>
            <w:r w:rsidRPr="00D21CB9">
              <w:rPr>
                <w:iCs/>
                <w:lang w:eastAsia="lv-LV"/>
              </w:rPr>
              <w:t xml:space="preserve"> </w:t>
            </w:r>
            <w:proofErr w:type="spellStart"/>
            <w:r w:rsidRPr="00D21CB9">
              <w:rPr>
                <w:i/>
                <w:iCs/>
                <w:lang w:eastAsia="lv-LV"/>
              </w:rPr>
              <w:t>euro</w:t>
            </w:r>
            <w:proofErr w:type="spellEnd"/>
            <w:r w:rsidRPr="00D21CB9">
              <w:rPr>
                <w:iCs/>
                <w:lang w:eastAsia="lv-LV"/>
              </w:rPr>
              <w:t xml:space="preserve"> apmērā</w:t>
            </w:r>
            <w:r w:rsidR="00650A4E" w:rsidRPr="00D21CB9">
              <w:rPr>
                <w:iCs/>
                <w:lang w:eastAsia="lv-LV"/>
              </w:rPr>
              <w:t xml:space="preserve"> un 2021.gadā 119 303 </w:t>
            </w:r>
            <w:proofErr w:type="spellStart"/>
            <w:r w:rsidR="00650A4E" w:rsidRPr="005D7ED1">
              <w:rPr>
                <w:i/>
                <w:iCs/>
                <w:lang w:eastAsia="lv-LV"/>
              </w:rPr>
              <w:t>euro</w:t>
            </w:r>
            <w:proofErr w:type="spellEnd"/>
            <w:r w:rsidR="00650A4E" w:rsidRPr="00D21CB9">
              <w:rPr>
                <w:iCs/>
                <w:lang w:eastAsia="lv-LV"/>
              </w:rPr>
              <w:t xml:space="preserve"> apmērā</w:t>
            </w:r>
            <w:r w:rsidRPr="00D21CB9">
              <w:rPr>
                <w:iCs/>
                <w:lang w:eastAsia="lv-LV"/>
              </w:rPr>
              <w:t>, kas izriet no projekta “</w:t>
            </w:r>
            <w:proofErr w:type="spellStart"/>
            <w:r w:rsidRPr="00D21CB9">
              <w:rPr>
                <w:iCs/>
                <w:lang w:eastAsia="lv-LV"/>
              </w:rPr>
              <w:t>Deinstitucionalizācijas</w:t>
            </w:r>
            <w:proofErr w:type="spellEnd"/>
            <w:r w:rsidRPr="00D21CB9">
              <w:rPr>
                <w:iCs/>
                <w:lang w:eastAsia="lv-LV"/>
              </w:rPr>
              <w:t xml:space="preserve"> procesu atbalsta sistēma (1.kārta)” rezultātu turpmākas attīstības, nodrošinot bērnu ārpusģimenes aprūpes pakalpojuma informācijas digitalizāciju. </w:t>
            </w:r>
            <w:r w:rsidR="00650A4E" w:rsidRPr="00D21CB9">
              <w:rPr>
                <w:iCs/>
                <w:lang w:eastAsia="lv-LV"/>
              </w:rPr>
              <w:t>Plānots, ka</w:t>
            </w:r>
            <w:r w:rsidRPr="00D21CB9">
              <w:rPr>
                <w:iCs/>
                <w:lang w:eastAsia="lv-LV"/>
              </w:rPr>
              <w:t xml:space="preserve"> IeM IC </w:t>
            </w:r>
            <w:r w:rsidR="00650A4E" w:rsidRPr="00D21CB9">
              <w:rPr>
                <w:iCs/>
                <w:lang w:eastAsia="lv-LV"/>
              </w:rPr>
              <w:lastRenderedPageBreak/>
              <w:t>būs</w:t>
            </w:r>
            <w:r w:rsidRPr="00D21CB9">
              <w:rPr>
                <w:iCs/>
                <w:lang w:eastAsia="lv-LV"/>
              </w:rPr>
              <w:t xml:space="preserve"> sadarbības partneri</w:t>
            </w:r>
            <w:r w:rsidR="00650A4E" w:rsidRPr="00D21CB9">
              <w:rPr>
                <w:iCs/>
                <w:lang w:eastAsia="lv-LV"/>
              </w:rPr>
              <w:t>s</w:t>
            </w:r>
            <w:r w:rsidRPr="00D21CB9">
              <w:rPr>
                <w:iCs/>
                <w:lang w:eastAsia="lv-LV"/>
              </w:rPr>
              <w:t xml:space="preserve"> minētā Eiropas Reģionālās attīstības fonda projekta realizācijā, noslēdzot sadarbības līgumu un paredzot starpministriju transferta pārskaitījumu 242 303 </w:t>
            </w:r>
            <w:proofErr w:type="spellStart"/>
            <w:r w:rsidRPr="00D21CB9">
              <w:rPr>
                <w:i/>
                <w:iCs/>
                <w:lang w:eastAsia="lv-LV"/>
              </w:rPr>
              <w:t>euro</w:t>
            </w:r>
            <w:proofErr w:type="spellEnd"/>
            <w:r w:rsidRPr="00D21CB9">
              <w:rPr>
                <w:iCs/>
                <w:lang w:eastAsia="lv-LV"/>
              </w:rPr>
              <w:t xml:space="preserve"> apmērā no Labklājības ministrijas apakšprogrammas 62.07.00 ”Eiropas Reģionālās attīstības fonda (ERAF) īstenotie projekti labklājības nozarē (2014-2020)” uz Iekšlietu ministrijas apakšprogrammu 62.07.00 „Eiropas Reģionālās attīstības fonda (ERAF) projektu un pasākumu īstenošana (2014-2020)”.</w:t>
            </w:r>
          </w:p>
          <w:p w14:paraId="76E9FB10" w14:textId="7E53814B" w:rsidR="00A96EDA" w:rsidRPr="00D21CB9" w:rsidRDefault="00A96EDA" w:rsidP="00843E17">
            <w:pPr>
              <w:jc w:val="both"/>
              <w:rPr>
                <w:iCs/>
                <w:lang w:eastAsia="lv-LV"/>
              </w:rPr>
            </w:pPr>
            <w:r w:rsidRPr="00D21CB9">
              <w:rPr>
                <w:iCs/>
                <w:lang w:eastAsia="lv-LV"/>
              </w:rPr>
              <w:t xml:space="preserve">Lai nodrošinātu ilgtspējību projekta ietvaros izstrādātiem un ieviestiem IKT risinājumiem, pēc projekta pabeigšanas, t.i., sākot ar </w:t>
            </w:r>
            <w:proofErr w:type="gramStart"/>
            <w:r w:rsidRPr="00D21CB9">
              <w:rPr>
                <w:iCs/>
                <w:lang w:eastAsia="lv-LV"/>
              </w:rPr>
              <w:t>2023.gadu</w:t>
            </w:r>
            <w:proofErr w:type="gramEnd"/>
            <w:r w:rsidRPr="00D21CB9">
              <w:rPr>
                <w:iCs/>
                <w:lang w:eastAsia="lv-LV"/>
              </w:rPr>
              <w:t xml:space="preserve">, ir plānots, ka IIS uzturēšanas izmaksas būs ne vairāk kā 63 597 </w:t>
            </w:r>
            <w:proofErr w:type="spellStart"/>
            <w:r w:rsidRPr="00D21CB9">
              <w:rPr>
                <w:i/>
                <w:iCs/>
                <w:lang w:eastAsia="lv-LV"/>
              </w:rPr>
              <w:t>euro</w:t>
            </w:r>
            <w:proofErr w:type="spellEnd"/>
            <w:r w:rsidRPr="00D21CB9">
              <w:rPr>
                <w:iCs/>
                <w:lang w:eastAsia="lv-LV"/>
              </w:rPr>
              <w:t xml:space="preserve"> (ar PVN) gadā, pieprasot tās normatīvajos aktos noteiktajā kārtībā. Uzturēšanas izmaksas plānotas </w:t>
            </w:r>
            <w:r w:rsidR="00650A4E" w:rsidRPr="00D21CB9">
              <w:rPr>
                <w:iCs/>
                <w:lang w:eastAsia="lv-LV"/>
              </w:rPr>
              <w:t xml:space="preserve">mazākas par </w:t>
            </w:r>
            <w:r w:rsidRPr="00D21CB9">
              <w:rPr>
                <w:iCs/>
                <w:lang w:eastAsia="lv-LV"/>
              </w:rPr>
              <w:t xml:space="preserve">10% no projekta realizācijas izdevumiem. </w:t>
            </w:r>
          </w:p>
          <w:p w14:paraId="1910D4BD" w14:textId="77777777" w:rsidR="00A96EDA" w:rsidRPr="00D21CB9" w:rsidRDefault="00A96EDA" w:rsidP="00843E17">
            <w:pPr>
              <w:jc w:val="both"/>
              <w:rPr>
                <w:iCs/>
                <w:lang w:eastAsia="lv-LV"/>
              </w:rPr>
            </w:pPr>
            <w:r w:rsidRPr="00D21CB9">
              <w:rPr>
                <w:iCs/>
                <w:lang w:eastAsia="lv-LV"/>
              </w:rPr>
              <w:t>Programmatūras uzturēšanas pakalpojums ietvers sekojošus uzdevumus:</w:t>
            </w:r>
          </w:p>
          <w:p w14:paraId="35BE141A" w14:textId="77777777" w:rsidR="00A96EDA" w:rsidRPr="00D21CB9" w:rsidRDefault="00A96EDA" w:rsidP="00843E17">
            <w:pPr>
              <w:jc w:val="both"/>
              <w:rPr>
                <w:iCs/>
                <w:lang w:eastAsia="lv-LV"/>
              </w:rPr>
            </w:pPr>
            <w:r w:rsidRPr="00D21CB9">
              <w:rPr>
                <w:iCs/>
                <w:lang w:eastAsia="lv-LV"/>
              </w:rPr>
              <w:t>- informācijas sistēmas darbības kļūdu novēršana, kas neattiecas uz garantijas laiku, un pilnveidojumi, kuru nepieciešamība tiks identificēta informācijas sistēmas ekspluatācijas pirmos divus gadus pēc tās ieviešanas;</w:t>
            </w:r>
          </w:p>
          <w:p w14:paraId="5816012F" w14:textId="77777777" w:rsidR="00A96EDA" w:rsidRPr="00D21CB9" w:rsidRDefault="00A96EDA" w:rsidP="00843E17">
            <w:pPr>
              <w:jc w:val="both"/>
              <w:rPr>
                <w:iCs/>
                <w:lang w:eastAsia="lv-LV"/>
              </w:rPr>
            </w:pPr>
            <w:r w:rsidRPr="00D21CB9">
              <w:rPr>
                <w:iCs/>
                <w:lang w:eastAsia="lv-LV"/>
              </w:rPr>
              <w:t>- lietotāju atbalstam un datu kļūdu novēršanai;</w:t>
            </w:r>
          </w:p>
          <w:p w14:paraId="5F385CD0" w14:textId="77777777" w:rsidR="00A96EDA" w:rsidRPr="00D21CB9" w:rsidRDefault="00A96EDA" w:rsidP="00843E17">
            <w:pPr>
              <w:jc w:val="both"/>
              <w:rPr>
                <w:iCs/>
                <w:lang w:eastAsia="lv-LV"/>
              </w:rPr>
            </w:pPr>
            <w:r w:rsidRPr="00D21CB9">
              <w:rPr>
                <w:iCs/>
                <w:lang w:eastAsia="lv-LV"/>
              </w:rPr>
              <w:t>- personas datu aizsardzības pasākumiem un informācijas atlasi pēc subjekta pieprasījuma;</w:t>
            </w:r>
          </w:p>
          <w:p w14:paraId="104D7141" w14:textId="77777777" w:rsidR="00A96EDA" w:rsidRPr="00D21CB9" w:rsidRDefault="00A96EDA" w:rsidP="00843E17">
            <w:pPr>
              <w:jc w:val="both"/>
              <w:rPr>
                <w:iCs/>
                <w:lang w:eastAsia="lv-LV"/>
              </w:rPr>
            </w:pPr>
            <w:r w:rsidRPr="00D21CB9">
              <w:rPr>
                <w:iCs/>
                <w:lang w:eastAsia="lv-LV"/>
              </w:rPr>
              <w:t>- datu apmaiņas servisu un e-pakalpojumu funkcionalitātes atjauninājumiem un uzturēšanas darbiem;</w:t>
            </w:r>
          </w:p>
          <w:p w14:paraId="05FE8E5A" w14:textId="77777777" w:rsidR="00A96EDA" w:rsidRPr="00D21CB9" w:rsidRDefault="00A96EDA" w:rsidP="00843E17">
            <w:pPr>
              <w:jc w:val="both"/>
              <w:rPr>
                <w:iCs/>
                <w:lang w:eastAsia="lv-LV"/>
              </w:rPr>
            </w:pPr>
            <w:r w:rsidRPr="00D21CB9">
              <w:rPr>
                <w:iCs/>
                <w:lang w:eastAsia="lv-LV"/>
              </w:rPr>
              <w:t>- informācijas sistēmas pilnveidojumi saistībā ar biznesa procesu un normatīvo aktu izmaiņām;</w:t>
            </w:r>
          </w:p>
          <w:p w14:paraId="11A7CDF7" w14:textId="77777777" w:rsidR="00A96EDA" w:rsidRPr="00D21CB9" w:rsidRDefault="00A96EDA" w:rsidP="00843E17">
            <w:pPr>
              <w:jc w:val="both"/>
              <w:rPr>
                <w:iCs/>
                <w:lang w:eastAsia="lv-LV"/>
              </w:rPr>
            </w:pPr>
            <w:r w:rsidRPr="00D21CB9">
              <w:rPr>
                <w:iCs/>
                <w:lang w:eastAsia="lv-LV"/>
              </w:rPr>
              <w:t>- informācijas sistēmas izmaiņu pieprasījumi saistībā ar tās pielāgošanu un konfigurēšanu nozares datu centra attīstības risinājumiem, operētājsistēmu un pārlūku atjauninājumiem u.c. infrastruktūras izmaiņām;</w:t>
            </w:r>
          </w:p>
          <w:p w14:paraId="6D954A34" w14:textId="77777777" w:rsidR="00A96EDA" w:rsidRPr="005D7ED1" w:rsidRDefault="00A96EDA" w:rsidP="00843E17">
            <w:pPr>
              <w:jc w:val="both"/>
              <w:rPr>
                <w:iCs/>
                <w:lang w:eastAsia="lv-LV"/>
              </w:rPr>
            </w:pPr>
            <w:r w:rsidRPr="00D21CB9">
              <w:rPr>
                <w:iCs/>
                <w:lang w:eastAsia="lv-LV"/>
              </w:rPr>
              <w:t>t.sk.:</w:t>
            </w:r>
          </w:p>
          <w:p w14:paraId="134CA60D" w14:textId="4534E981" w:rsidR="00A96EDA" w:rsidRPr="005D7ED1" w:rsidRDefault="00A96EDA" w:rsidP="00843E17">
            <w:pPr>
              <w:jc w:val="both"/>
              <w:rPr>
                <w:iCs/>
                <w:lang w:eastAsia="lv-LV"/>
              </w:rPr>
            </w:pPr>
            <w:r w:rsidRPr="005D7ED1">
              <w:rPr>
                <w:iCs/>
                <w:lang w:eastAsia="lv-LV"/>
              </w:rPr>
              <w:t>- LM informācijas sistēmas SPOLIS tehnisko palīglīdzekļu moduļa uzturēšanai 38</w:t>
            </w:r>
            <w:r w:rsidR="005D7ED1" w:rsidRPr="005D7ED1">
              <w:rPr>
                <w:iCs/>
                <w:lang w:eastAsia="lv-LV"/>
              </w:rPr>
              <w:t> </w:t>
            </w:r>
            <w:r w:rsidRPr="005D7ED1">
              <w:rPr>
                <w:iCs/>
                <w:lang w:eastAsia="lv-LV"/>
              </w:rPr>
              <w:t xml:space="preserve">869 </w:t>
            </w:r>
            <w:proofErr w:type="spellStart"/>
            <w:r w:rsidRPr="005D7ED1">
              <w:rPr>
                <w:i/>
                <w:iCs/>
                <w:lang w:eastAsia="lv-LV"/>
              </w:rPr>
              <w:t>euro</w:t>
            </w:r>
            <w:proofErr w:type="spellEnd"/>
            <w:proofErr w:type="gramStart"/>
            <w:r w:rsidRPr="005D7ED1">
              <w:rPr>
                <w:iCs/>
                <w:lang w:eastAsia="lv-LV"/>
              </w:rPr>
              <w:t xml:space="preserve">  </w:t>
            </w:r>
            <w:proofErr w:type="gramEnd"/>
            <w:r w:rsidRPr="005D7ED1">
              <w:rPr>
                <w:iCs/>
                <w:lang w:eastAsia="lv-LV"/>
              </w:rPr>
              <w:t xml:space="preserve">(51 cilvēkstundas mēnesī x 52,49 </w:t>
            </w:r>
            <w:proofErr w:type="spellStart"/>
            <w:r w:rsidRPr="005D7ED1">
              <w:rPr>
                <w:i/>
                <w:iCs/>
                <w:lang w:eastAsia="lv-LV"/>
              </w:rPr>
              <w:t>euro</w:t>
            </w:r>
            <w:proofErr w:type="spellEnd"/>
            <w:r w:rsidRPr="005D7ED1">
              <w:rPr>
                <w:iCs/>
                <w:lang w:eastAsia="lv-LV"/>
              </w:rPr>
              <w:t xml:space="preserve">/h x 12 mēneši x 21% PVN = 38 869,89 </w:t>
            </w:r>
            <w:proofErr w:type="spellStart"/>
            <w:r w:rsidRPr="005D7ED1">
              <w:rPr>
                <w:i/>
                <w:iCs/>
                <w:lang w:eastAsia="lv-LV"/>
              </w:rPr>
              <w:t>euro</w:t>
            </w:r>
            <w:proofErr w:type="spellEnd"/>
            <w:r w:rsidRPr="005D7ED1">
              <w:rPr>
                <w:iCs/>
                <w:lang w:eastAsia="lv-LV"/>
              </w:rPr>
              <w:t xml:space="preserve"> gadā) ;</w:t>
            </w:r>
          </w:p>
          <w:p w14:paraId="7E8B0F9E" w14:textId="77777777" w:rsidR="00A96EDA" w:rsidRPr="005D7ED1" w:rsidRDefault="00A96EDA" w:rsidP="00843E17">
            <w:pPr>
              <w:jc w:val="both"/>
              <w:rPr>
                <w:iCs/>
                <w:lang w:eastAsia="lv-LV"/>
              </w:rPr>
            </w:pPr>
            <w:r w:rsidRPr="005D7ED1">
              <w:rPr>
                <w:iCs/>
                <w:lang w:eastAsia="lv-LV"/>
              </w:rPr>
              <w:t xml:space="preserve">- pašvaldību sociālo dienestu lietojumprogrammas SOPA IKT risinājumu uzturēšanai ir nepieciešams papildu finansējums 4 356 </w:t>
            </w:r>
            <w:proofErr w:type="spellStart"/>
            <w:r w:rsidRPr="005D7ED1">
              <w:rPr>
                <w:i/>
                <w:iCs/>
                <w:lang w:eastAsia="lv-LV"/>
              </w:rPr>
              <w:t>euro</w:t>
            </w:r>
            <w:proofErr w:type="spellEnd"/>
            <w:r w:rsidRPr="005D7ED1">
              <w:rPr>
                <w:iCs/>
                <w:lang w:eastAsia="lv-LV"/>
              </w:rPr>
              <w:t xml:space="preserve"> apmērā (5 cilvēkstundas mēnesī x 60,00 </w:t>
            </w:r>
            <w:proofErr w:type="spellStart"/>
            <w:r w:rsidRPr="005D7ED1">
              <w:rPr>
                <w:i/>
                <w:iCs/>
                <w:lang w:eastAsia="lv-LV"/>
              </w:rPr>
              <w:t>euro</w:t>
            </w:r>
            <w:proofErr w:type="spellEnd"/>
            <w:r w:rsidRPr="005D7ED1">
              <w:rPr>
                <w:iCs/>
                <w:lang w:eastAsia="lv-LV"/>
              </w:rPr>
              <w:t>/h</w:t>
            </w:r>
            <w:r w:rsidRPr="005D7ED1">
              <w:rPr>
                <w:rStyle w:val="FootnoteReference"/>
                <w:iCs/>
                <w:lang w:eastAsia="lv-LV"/>
              </w:rPr>
              <w:footnoteReference w:id="3"/>
            </w:r>
            <w:r w:rsidRPr="005D7ED1">
              <w:rPr>
                <w:iCs/>
                <w:lang w:eastAsia="lv-LV"/>
              </w:rPr>
              <w:t xml:space="preserve"> x 12 mēneši x 21% PVN = 4 356 </w:t>
            </w:r>
            <w:proofErr w:type="spellStart"/>
            <w:r w:rsidRPr="005D7ED1">
              <w:rPr>
                <w:i/>
                <w:iCs/>
                <w:lang w:eastAsia="lv-LV"/>
              </w:rPr>
              <w:t>euro</w:t>
            </w:r>
            <w:proofErr w:type="spellEnd"/>
            <w:r w:rsidRPr="005D7ED1">
              <w:rPr>
                <w:iCs/>
                <w:lang w:eastAsia="lv-LV"/>
              </w:rPr>
              <w:t xml:space="preserve"> gadā); </w:t>
            </w:r>
          </w:p>
          <w:p w14:paraId="37E32ADE" w14:textId="472AC42D" w:rsidR="00A96EDA" w:rsidRPr="00D21CB9" w:rsidRDefault="00A96EDA" w:rsidP="00843E17">
            <w:pPr>
              <w:jc w:val="both"/>
              <w:rPr>
                <w:iCs/>
                <w:lang w:eastAsia="lv-LV"/>
              </w:rPr>
            </w:pPr>
            <w:r w:rsidRPr="005D7ED1">
              <w:rPr>
                <w:iCs/>
                <w:lang w:eastAsia="lv-LV"/>
              </w:rPr>
              <w:t xml:space="preserve">- lai nodrošinātu sistēmas SPOLIS tehnisko palīglīdzekļu moduļa darbību un lietotāju atbalstu, ir nepieciešams stiprināt SPOLIS atbalsta grupas kapacitāti. Jaunizveidoto moduli lietos VSIA NRC “Vaivari”, LNS, LNB un LM lietotāji, kam nepieciešams sniegt atbalstu ikdienā, kā arī veikt procesu izpēti funkcionalitātes izmaiņām, identificēt un novērst datu kļūdas, turpināt datu apmaiņas avotu pievienošanu sistēmai SPOLIS moduļa vajadzībām un citus jauninājumus </w:t>
            </w:r>
            <w:proofErr w:type="spellStart"/>
            <w:r w:rsidRPr="005D7ED1">
              <w:rPr>
                <w:iCs/>
                <w:lang w:eastAsia="lv-LV"/>
              </w:rPr>
              <w:t>pēcprojekta</w:t>
            </w:r>
            <w:proofErr w:type="spellEnd"/>
            <w:r w:rsidRPr="005D7ED1">
              <w:rPr>
                <w:iCs/>
                <w:lang w:eastAsia="lv-LV"/>
              </w:rPr>
              <w:t xml:space="preserve"> uzturēšanas laikā. Līdz ar to, ministrijai ir nepieciešama viena amata vieta un finansējums atlīdzībai 20</w:t>
            </w:r>
            <w:r w:rsidR="002E4BC8" w:rsidRPr="005D7ED1">
              <w:rPr>
                <w:iCs/>
                <w:lang w:eastAsia="lv-LV"/>
              </w:rPr>
              <w:t> </w:t>
            </w:r>
            <w:r w:rsidRPr="005D7ED1">
              <w:rPr>
                <w:iCs/>
                <w:lang w:eastAsia="lv-LV"/>
              </w:rPr>
              <w:t xml:space="preserve">372 </w:t>
            </w:r>
            <w:proofErr w:type="spellStart"/>
            <w:r w:rsidRPr="005D7ED1">
              <w:rPr>
                <w:i/>
                <w:iCs/>
                <w:lang w:eastAsia="lv-LV"/>
              </w:rPr>
              <w:t>euro</w:t>
            </w:r>
            <w:proofErr w:type="spellEnd"/>
            <w:r w:rsidRPr="005D7ED1">
              <w:rPr>
                <w:iCs/>
                <w:lang w:eastAsia="lv-LV"/>
              </w:rPr>
              <w:t xml:space="preserve"> apmērā.  Vecākais </w:t>
            </w:r>
            <w:proofErr w:type="spellStart"/>
            <w:r w:rsidRPr="005D7ED1">
              <w:rPr>
                <w:iCs/>
                <w:lang w:eastAsia="lv-LV"/>
              </w:rPr>
              <w:t>sistēmanalītiķis</w:t>
            </w:r>
            <w:proofErr w:type="spellEnd"/>
            <w:r w:rsidRPr="00D21CB9">
              <w:rPr>
                <w:iCs/>
                <w:lang w:eastAsia="lv-LV"/>
              </w:rPr>
              <w:t xml:space="preserve"> (amatu saime) 19.4. IV (mēnešalgu grupa) 12 (kategorija) 3</w:t>
            </w:r>
            <w:r w:rsidR="008E08C1" w:rsidRPr="00D21CB9">
              <w:rPr>
                <w:iCs/>
                <w:lang w:eastAsia="lv-LV"/>
              </w:rPr>
              <w:t xml:space="preserve">, </w:t>
            </w:r>
            <w:r w:rsidRPr="00D21CB9">
              <w:rPr>
                <w:iCs/>
                <w:lang w:eastAsia="lv-LV"/>
              </w:rPr>
              <w:t xml:space="preserve"> aprēķins  mēnešalga 1</w:t>
            </w:r>
            <w:r w:rsidR="002E4BC8" w:rsidRPr="005D7ED1">
              <w:rPr>
                <w:iCs/>
                <w:lang w:eastAsia="lv-LV"/>
              </w:rPr>
              <w:t> </w:t>
            </w:r>
            <w:r w:rsidRPr="00D21CB9">
              <w:rPr>
                <w:iCs/>
                <w:lang w:eastAsia="lv-LV"/>
              </w:rPr>
              <w:t xml:space="preserve">647 </w:t>
            </w:r>
            <w:proofErr w:type="spellStart"/>
            <w:r w:rsidRPr="002E4BC8">
              <w:rPr>
                <w:i/>
                <w:iCs/>
                <w:lang w:eastAsia="lv-LV"/>
              </w:rPr>
              <w:t>euro</w:t>
            </w:r>
            <w:proofErr w:type="spellEnd"/>
            <w:r w:rsidRPr="00D21CB9">
              <w:rPr>
                <w:iCs/>
                <w:lang w:eastAsia="lv-LV"/>
              </w:rPr>
              <w:t xml:space="preserve"> x 12 mēneši x 24,09% DDVSAOI = 24 52</w:t>
            </w:r>
            <w:r w:rsidR="006576F1" w:rsidRPr="00D21CB9">
              <w:rPr>
                <w:iCs/>
                <w:lang w:eastAsia="lv-LV"/>
              </w:rPr>
              <w:t>5</w:t>
            </w:r>
            <w:r w:rsidRPr="00D21CB9">
              <w:rPr>
                <w:iCs/>
                <w:lang w:eastAsia="lv-LV"/>
              </w:rPr>
              <w:t xml:space="preserve"> </w:t>
            </w:r>
            <w:proofErr w:type="spellStart"/>
            <w:r w:rsidRPr="002E4BC8">
              <w:rPr>
                <w:i/>
                <w:iCs/>
                <w:lang w:eastAsia="lv-LV"/>
              </w:rPr>
              <w:t>euro</w:t>
            </w:r>
            <w:proofErr w:type="spellEnd"/>
            <w:r w:rsidRPr="00D21CB9">
              <w:rPr>
                <w:iCs/>
                <w:lang w:eastAsia="lv-LV"/>
              </w:rPr>
              <w:t xml:space="preserve"> gadā, kā arī paredzot sociālās garantijas 2</w:t>
            </w:r>
            <w:r w:rsidR="006C79E0" w:rsidRPr="00D21CB9">
              <w:rPr>
                <w:iCs/>
                <w:lang w:eastAsia="lv-LV"/>
              </w:rPr>
              <w:t> </w:t>
            </w:r>
            <w:r w:rsidRPr="00D21CB9">
              <w:rPr>
                <w:iCs/>
                <w:lang w:eastAsia="lv-LV"/>
              </w:rPr>
              <w:t>2</w:t>
            </w:r>
            <w:r w:rsidR="006C79E0" w:rsidRPr="00D21CB9">
              <w:rPr>
                <w:iCs/>
                <w:lang w:eastAsia="lv-LV"/>
              </w:rPr>
              <w:t xml:space="preserve">50 </w:t>
            </w:r>
            <w:proofErr w:type="spellStart"/>
            <w:r w:rsidRPr="002E4BC8">
              <w:rPr>
                <w:i/>
                <w:iCs/>
                <w:lang w:eastAsia="lv-LV"/>
              </w:rPr>
              <w:t>euro</w:t>
            </w:r>
            <w:proofErr w:type="spellEnd"/>
            <w:r w:rsidRPr="00D21CB9">
              <w:rPr>
                <w:iCs/>
                <w:lang w:eastAsia="lv-LV"/>
              </w:rPr>
              <w:t xml:space="preserve"> apmērā (t.sk.,  1 02</w:t>
            </w:r>
            <w:r w:rsidR="008E08C1" w:rsidRPr="00D21CB9">
              <w:rPr>
                <w:iCs/>
                <w:lang w:eastAsia="lv-LV"/>
              </w:rPr>
              <w:t>3</w:t>
            </w:r>
            <w:r w:rsidRPr="00D21CB9">
              <w:rPr>
                <w:iCs/>
                <w:lang w:eastAsia="lv-LV"/>
              </w:rPr>
              <w:t xml:space="preserve"> </w:t>
            </w:r>
            <w:proofErr w:type="spellStart"/>
            <w:r w:rsidRPr="002E4BC8">
              <w:rPr>
                <w:i/>
                <w:iCs/>
                <w:lang w:eastAsia="lv-LV"/>
              </w:rPr>
              <w:t>euro</w:t>
            </w:r>
            <w:proofErr w:type="spellEnd"/>
            <w:r w:rsidRPr="00D21CB9">
              <w:rPr>
                <w:iCs/>
                <w:lang w:eastAsia="lv-LV"/>
              </w:rPr>
              <w:t xml:space="preserve"> atvaļinājuma pabalsts 50% apmērā no mēnešalgas un 1</w:t>
            </w:r>
            <w:r w:rsidR="008E08C1" w:rsidRPr="00D21CB9">
              <w:rPr>
                <w:iCs/>
                <w:lang w:eastAsia="lv-LV"/>
              </w:rPr>
              <w:t> </w:t>
            </w:r>
            <w:r w:rsidRPr="00D21CB9">
              <w:rPr>
                <w:iCs/>
                <w:lang w:eastAsia="lv-LV"/>
              </w:rPr>
              <w:t>22</w:t>
            </w:r>
            <w:r w:rsidR="008E08C1" w:rsidRPr="00D21CB9">
              <w:rPr>
                <w:iCs/>
                <w:lang w:eastAsia="lv-LV"/>
              </w:rPr>
              <w:t xml:space="preserve">7 </w:t>
            </w:r>
            <w:proofErr w:type="spellStart"/>
            <w:r w:rsidRPr="002E4BC8">
              <w:rPr>
                <w:i/>
                <w:iCs/>
                <w:lang w:eastAsia="lv-LV"/>
              </w:rPr>
              <w:t>euro</w:t>
            </w:r>
            <w:proofErr w:type="spellEnd"/>
            <w:r w:rsidRPr="00D21CB9">
              <w:rPr>
                <w:iCs/>
                <w:lang w:eastAsia="lv-LV"/>
              </w:rPr>
              <w:t xml:space="preserve"> novērtēšanas prēmija atbilstoši darba rezultātiem 60% apmērā no mēnešalgas</w:t>
            </w:r>
            <w:r w:rsidR="008E08C1" w:rsidRPr="00D21CB9">
              <w:rPr>
                <w:iCs/>
                <w:lang w:eastAsia="lv-LV"/>
              </w:rPr>
              <w:t>)</w:t>
            </w:r>
            <w:r w:rsidRPr="00D21CB9">
              <w:rPr>
                <w:iCs/>
                <w:lang w:eastAsia="lv-LV"/>
              </w:rPr>
              <w:t xml:space="preserve">. Lai nepalielinātu valsts pārvaldē nodarbināto skaitu, plānots, pārdalīt 1 amata vietu no LM apakšprogrammas 05.03.00.”Aprūpe valsts sociālās aprūpes institūcijās”, pārdale iespējama, jo reorganizējot VSAC „Rīga” filiāli „Baldone” tiks samazināta amata vieta -  </w:t>
            </w:r>
            <w:r w:rsidRPr="00D21CB9">
              <w:rPr>
                <w:iCs/>
                <w:lang w:eastAsia="lv-LV"/>
              </w:rPr>
              <w:lastRenderedPageBreak/>
              <w:t>apkopējs (amatu saime) 13 I (mēnešalgu grupa) 1 (kategorija) 1 , kurai plānots atalgojums gadam 6</w:t>
            </w:r>
            <w:r w:rsidR="002E4BC8" w:rsidRPr="005D7ED1">
              <w:rPr>
                <w:iCs/>
                <w:lang w:eastAsia="lv-LV"/>
              </w:rPr>
              <w:t> </w:t>
            </w:r>
            <w:r w:rsidRPr="00D21CB9">
              <w:rPr>
                <w:iCs/>
                <w:lang w:eastAsia="lv-LV"/>
              </w:rPr>
              <w:t xml:space="preserve">403 </w:t>
            </w:r>
            <w:proofErr w:type="spellStart"/>
            <w:r w:rsidRPr="002E4BC8">
              <w:rPr>
                <w:i/>
                <w:iCs/>
                <w:lang w:eastAsia="lv-LV"/>
              </w:rPr>
              <w:t>euro</w:t>
            </w:r>
            <w:proofErr w:type="spellEnd"/>
            <w:r w:rsidRPr="00D21CB9">
              <w:rPr>
                <w:iCs/>
                <w:lang w:eastAsia="lv-LV"/>
              </w:rPr>
              <w:t xml:space="preserve"> apmērā (mēnešalga 430 x 24</w:t>
            </w:r>
            <w:r w:rsidR="001F01EB" w:rsidRPr="00D21CB9">
              <w:rPr>
                <w:iCs/>
                <w:lang w:eastAsia="lv-LV"/>
              </w:rPr>
              <w:t>,</w:t>
            </w:r>
            <w:r w:rsidRPr="00D21CB9">
              <w:rPr>
                <w:iCs/>
                <w:lang w:eastAsia="lv-LV"/>
              </w:rPr>
              <w:t xml:space="preserve">09% x 12mēn=6 403 </w:t>
            </w:r>
            <w:proofErr w:type="spellStart"/>
            <w:r w:rsidRPr="002E4BC8">
              <w:rPr>
                <w:i/>
                <w:iCs/>
                <w:lang w:eastAsia="lv-LV"/>
              </w:rPr>
              <w:t>euro</w:t>
            </w:r>
            <w:proofErr w:type="spellEnd"/>
            <w:r w:rsidRPr="00D21CB9">
              <w:rPr>
                <w:iCs/>
                <w:lang w:eastAsia="lv-LV"/>
              </w:rPr>
              <w:t>), līdz ar to, lai nodrošinātu atalgojuma starpību papildus nepieciešams 20 37</w:t>
            </w:r>
            <w:r w:rsidR="00844CA3" w:rsidRPr="00D21CB9">
              <w:rPr>
                <w:iCs/>
                <w:lang w:eastAsia="lv-LV"/>
              </w:rPr>
              <w:t>2</w:t>
            </w:r>
            <w:r w:rsidRPr="00D21CB9">
              <w:rPr>
                <w:iCs/>
                <w:lang w:eastAsia="lv-LV"/>
              </w:rPr>
              <w:t xml:space="preserve"> </w:t>
            </w:r>
            <w:proofErr w:type="spellStart"/>
            <w:r w:rsidRPr="002E4BC8">
              <w:rPr>
                <w:i/>
                <w:iCs/>
                <w:lang w:eastAsia="lv-LV"/>
              </w:rPr>
              <w:t>euro</w:t>
            </w:r>
            <w:proofErr w:type="spellEnd"/>
            <w:r w:rsidRPr="00D21CB9">
              <w:rPr>
                <w:iCs/>
                <w:lang w:eastAsia="lv-LV"/>
              </w:rPr>
              <w:t xml:space="preserve"> (26 77</w:t>
            </w:r>
            <w:r w:rsidR="006C79E0" w:rsidRPr="00D21CB9">
              <w:rPr>
                <w:iCs/>
                <w:lang w:eastAsia="lv-LV"/>
              </w:rPr>
              <w:t>5</w:t>
            </w:r>
            <w:r w:rsidRPr="00D21CB9">
              <w:rPr>
                <w:iCs/>
                <w:lang w:eastAsia="lv-LV"/>
              </w:rPr>
              <w:t xml:space="preserve"> – 6</w:t>
            </w:r>
            <w:r w:rsidR="006C79E0" w:rsidRPr="00D21CB9">
              <w:rPr>
                <w:iCs/>
                <w:lang w:eastAsia="lv-LV"/>
              </w:rPr>
              <w:t> </w:t>
            </w:r>
            <w:r w:rsidRPr="00D21CB9">
              <w:rPr>
                <w:iCs/>
                <w:lang w:eastAsia="lv-LV"/>
              </w:rPr>
              <w:t>403</w:t>
            </w:r>
            <w:r w:rsidR="006C79E0" w:rsidRPr="00D21CB9">
              <w:rPr>
                <w:iCs/>
                <w:lang w:eastAsia="lv-LV"/>
              </w:rPr>
              <w:t>)</w:t>
            </w:r>
            <w:r w:rsidRPr="00D21CB9">
              <w:rPr>
                <w:iCs/>
                <w:lang w:eastAsia="lv-LV"/>
              </w:rPr>
              <w:t>= 20</w:t>
            </w:r>
            <w:r w:rsidR="006C79E0" w:rsidRPr="00D21CB9">
              <w:rPr>
                <w:iCs/>
                <w:lang w:eastAsia="lv-LV"/>
              </w:rPr>
              <w:t> </w:t>
            </w:r>
            <w:r w:rsidRPr="00D21CB9">
              <w:rPr>
                <w:iCs/>
                <w:lang w:eastAsia="lv-LV"/>
              </w:rPr>
              <w:t>37</w:t>
            </w:r>
            <w:r w:rsidR="006C79E0" w:rsidRPr="00D21CB9">
              <w:rPr>
                <w:iCs/>
                <w:lang w:eastAsia="lv-LV"/>
              </w:rPr>
              <w:t xml:space="preserve">2 </w:t>
            </w:r>
            <w:proofErr w:type="spellStart"/>
            <w:r w:rsidRPr="002E4BC8">
              <w:rPr>
                <w:i/>
                <w:iCs/>
                <w:lang w:eastAsia="lv-LV"/>
              </w:rPr>
              <w:t>euro</w:t>
            </w:r>
            <w:proofErr w:type="spellEnd"/>
            <w:r w:rsidRPr="00D21CB9">
              <w:rPr>
                <w:iCs/>
                <w:lang w:eastAsia="lv-LV"/>
              </w:rPr>
              <w:t>).</w:t>
            </w:r>
          </w:p>
          <w:p w14:paraId="20F053E7" w14:textId="77777777" w:rsidR="00A96EDA" w:rsidRPr="00D21CB9" w:rsidRDefault="00A96EDA" w:rsidP="00843E17">
            <w:pPr>
              <w:jc w:val="both"/>
              <w:rPr>
                <w:iCs/>
                <w:lang w:eastAsia="lv-LV"/>
              </w:rPr>
            </w:pPr>
            <w:r w:rsidRPr="00D21CB9">
              <w:rPr>
                <w:iCs/>
                <w:lang w:eastAsia="lv-LV"/>
              </w:rPr>
              <w:t>AGIS uzturēšanai finansējums netiks pieprasīts.</w:t>
            </w:r>
          </w:p>
        </w:tc>
      </w:tr>
      <w:tr w:rsidR="00D21CB9" w:rsidRPr="00D21CB9" w14:paraId="67F809C1"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39DA1A63" w14:textId="028AC782" w:rsidR="00A96EDA" w:rsidRPr="00D21CB9" w:rsidRDefault="00A96EDA" w:rsidP="00843E17">
            <w:pPr>
              <w:rPr>
                <w:iCs/>
                <w:lang w:eastAsia="lv-LV"/>
              </w:rPr>
            </w:pPr>
            <w:r w:rsidRPr="00D21CB9">
              <w:rPr>
                <w:iCs/>
                <w:lang w:eastAsia="lv-LV"/>
              </w:rPr>
              <w:lastRenderedPageBreak/>
              <w:t>6.1. detalizēts ieņēmumu aprēķins</w:t>
            </w:r>
          </w:p>
        </w:tc>
        <w:tc>
          <w:tcPr>
            <w:tcW w:w="4008" w:type="pct"/>
            <w:gridSpan w:val="7"/>
            <w:vMerge/>
            <w:tcBorders>
              <w:top w:val="outset" w:sz="6" w:space="0" w:color="auto"/>
              <w:left w:val="outset" w:sz="6" w:space="0" w:color="auto"/>
              <w:bottom w:val="outset" w:sz="6" w:space="0" w:color="auto"/>
              <w:right w:val="outset" w:sz="6" w:space="0" w:color="auto"/>
            </w:tcBorders>
            <w:vAlign w:val="center"/>
            <w:hideMark/>
          </w:tcPr>
          <w:p w14:paraId="7F3323F9" w14:textId="77777777" w:rsidR="00A96EDA" w:rsidRPr="00D21CB9" w:rsidRDefault="00A96EDA" w:rsidP="00843E17">
            <w:pPr>
              <w:rPr>
                <w:iCs/>
                <w:lang w:eastAsia="lv-LV"/>
              </w:rPr>
            </w:pPr>
          </w:p>
        </w:tc>
      </w:tr>
      <w:tr w:rsidR="00D21CB9" w:rsidRPr="00D21CB9" w14:paraId="2AEB9978"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319B2C85" w14:textId="77777777" w:rsidR="00A96EDA" w:rsidRPr="00D21CB9" w:rsidRDefault="00A96EDA" w:rsidP="00843E17">
            <w:pPr>
              <w:rPr>
                <w:iCs/>
                <w:lang w:eastAsia="lv-LV"/>
              </w:rPr>
            </w:pPr>
            <w:r w:rsidRPr="00D21CB9">
              <w:rPr>
                <w:iCs/>
                <w:lang w:eastAsia="lv-LV"/>
              </w:rPr>
              <w:t>6.2. detalizēts izdevumu aprēķins</w:t>
            </w:r>
          </w:p>
        </w:tc>
        <w:tc>
          <w:tcPr>
            <w:tcW w:w="4008" w:type="pct"/>
            <w:gridSpan w:val="7"/>
            <w:vMerge/>
            <w:tcBorders>
              <w:top w:val="outset" w:sz="6" w:space="0" w:color="auto"/>
              <w:left w:val="outset" w:sz="6" w:space="0" w:color="auto"/>
              <w:bottom w:val="outset" w:sz="6" w:space="0" w:color="auto"/>
              <w:right w:val="outset" w:sz="6" w:space="0" w:color="auto"/>
            </w:tcBorders>
            <w:vAlign w:val="center"/>
            <w:hideMark/>
          </w:tcPr>
          <w:p w14:paraId="2907CA60" w14:textId="77777777" w:rsidR="00A96EDA" w:rsidRPr="00D21CB9" w:rsidRDefault="00A96EDA" w:rsidP="00843E17">
            <w:pPr>
              <w:rPr>
                <w:iCs/>
                <w:lang w:eastAsia="lv-LV"/>
              </w:rPr>
            </w:pPr>
          </w:p>
        </w:tc>
      </w:tr>
      <w:tr w:rsidR="00D21CB9" w:rsidRPr="00D21CB9" w14:paraId="397579CE"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2B6B6D35" w14:textId="77777777" w:rsidR="00A96EDA" w:rsidRPr="00D21CB9" w:rsidRDefault="00A96EDA" w:rsidP="00843E17">
            <w:pPr>
              <w:rPr>
                <w:iCs/>
                <w:lang w:eastAsia="lv-LV"/>
              </w:rPr>
            </w:pPr>
            <w:r w:rsidRPr="00D21CB9">
              <w:rPr>
                <w:iCs/>
                <w:lang w:eastAsia="lv-LV"/>
              </w:rPr>
              <w:t>7. Amata vietu skaita izmaiņas</w:t>
            </w:r>
          </w:p>
        </w:tc>
        <w:tc>
          <w:tcPr>
            <w:tcW w:w="4008" w:type="pct"/>
            <w:gridSpan w:val="7"/>
            <w:tcBorders>
              <w:top w:val="outset" w:sz="6" w:space="0" w:color="auto"/>
              <w:left w:val="outset" w:sz="6" w:space="0" w:color="auto"/>
              <w:bottom w:val="outset" w:sz="6" w:space="0" w:color="auto"/>
              <w:right w:val="outset" w:sz="6" w:space="0" w:color="auto"/>
            </w:tcBorders>
            <w:hideMark/>
          </w:tcPr>
          <w:p w14:paraId="53495136" w14:textId="301E1A9D" w:rsidR="00A96EDA" w:rsidRPr="00D21CB9" w:rsidRDefault="00A96EDA" w:rsidP="00A22A43">
            <w:pPr>
              <w:jc w:val="both"/>
              <w:rPr>
                <w:iCs/>
                <w:lang w:eastAsia="lv-LV"/>
              </w:rPr>
            </w:pPr>
            <w:r w:rsidRPr="00D21CB9">
              <w:rPr>
                <w:iCs/>
                <w:lang w:eastAsia="lv-LV"/>
              </w:rPr>
              <w:t>Uz projekta īstenošanas laiku tiks izveidotas trīs amatu vietas (</w:t>
            </w:r>
            <w:r w:rsidR="00650A4E" w:rsidRPr="00D21CB9">
              <w:rPr>
                <w:iCs/>
                <w:lang w:eastAsia="lv-LV"/>
              </w:rPr>
              <w:t>1,8</w:t>
            </w:r>
            <w:r w:rsidRPr="00D21CB9">
              <w:rPr>
                <w:iCs/>
                <w:lang w:eastAsia="lv-LV"/>
              </w:rPr>
              <w:t xml:space="preserve"> slodzes): p</w:t>
            </w:r>
            <w:r w:rsidR="00650A4E" w:rsidRPr="00D21CB9">
              <w:rPr>
                <w:iCs/>
                <w:lang w:eastAsia="lv-LV"/>
              </w:rPr>
              <w:t>rojekta vadītājs (1</w:t>
            </w:r>
            <w:r w:rsidRPr="00D21CB9">
              <w:rPr>
                <w:iCs/>
                <w:lang w:eastAsia="lv-LV"/>
              </w:rPr>
              <w:t xml:space="preserve"> s</w:t>
            </w:r>
            <w:r w:rsidR="00650A4E" w:rsidRPr="00D21CB9">
              <w:rPr>
                <w:iCs/>
                <w:lang w:eastAsia="lv-LV"/>
              </w:rPr>
              <w:t>lodze), projekta koordinators (0</w:t>
            </w:r>
            <w:r w:rsidR="0045144A" w:rsidRPr="00D21CB9">
              <w:rPr>
                <w:iCs/>
                <w:lang w:eastAsia="lv-LV"/>
              </w:rPr>
              <w:t>,</w:t>
            </w:r>
            <w:r w:rsidR="00650A4E" w:rsidRPr="00D21CB9">
              <w:rPr>
                <w:iCs/>
                <w:lang w:eastAsia="lv-LV"/>
              </w:rPr>
              <w:t>3</w:t>
            </w:r>
            <w:r w:rsidRPr="00D21CB9">
              <w:rPr>
                <w:iCs/>
                <w:lang w:eastAsia="lv-LV"/>
              </w:rPr>
              <w:t xml:space="preserve"> slodzes), vecākais </w:t>
            </w:r>
            <w:proofErr w:type="spellStart"/>
            <w:r w:rsidRPr="00D21CB9">
              <w:rPr>
                <w:iCs/>
                <w:lang w:eastAsia="lv-LV"/>
              </w:rPr>
              <w:t>sistēmanalītiķis</w:t>
            </w:r>
            <w:proofErr w:type="spellEnd"/>
            <w:r w:rsidRPr="00D21CB9">
              <w:rPr>
                <w:iCs/>
                <w:lang w:eastAsia="lv-LV"/>
              </w:rPr>
              <w:t xml:space="preserve"> (0,5 slodze). Personāla izmaksas:</w:t>
            </w:r>
          </w:p>
          <w:p w14:paraId="071FF68D" w14:textId="703AFE75" w:rsidR="00650A4E" w:rsidRPr="00D21CB9" w:rsidRDefault="00A96EDA" w:rsidP="00A22A43">
            <w:pPr>
              <w:jc w:val="both"/>
              <w:rPr>
                <w:iCs/>
                <w:lang w:eastAsia="lv-LV"/>
              </w:rPr>
            </w:pPr>
            <w:proofErr w:type="gramStart"/>
            <w:r w:rsidRPr="00D21CB9">
              <w:rPr>
                <w:iCs/>
                <w:u w:val="single"/>
                <w:lang w:eastAsia="lv-LV"/>
              </w:rPr>
              <w:t>2019.gadā</w:t>
            </w:r>
            <w:proofErr w:type="gramEnd"/>
            <w:r w:rsidRPr="00D21CB9">
              <w:rPr>
                <w:iCs/>
                <w:u w:val="single"/>
                <w:lang w:eastAsia="lv-LV"/>
              </w:rPr>
              <w:t xml:space="preserve"> </w:t>
            </w:r>
            <w:r w:rsidRPr="00D21CB9">
              <w:rPr>
                <w:iCs/>
                <w:lang w:eastAsia="lv-LV"/>
              </w:rPr>
              <w:t xml:space="preserve">– </w:t>
            </w:r>
            <w:r w:rsidR="00650A4E" w:rsidRPr="00D21CB9">
              <w:rPr>
                <w:iCs/>
                <w:lang w:eastAsia="lv-LV"/>
              </w:rPr>
              <w:t>6 13</w:t>
            </w:r>
            <w:r w:rsidR="008E08C1" w:rsidRPr="00D21CB9">
              <w:rPr>
                <w:iCs/>
                <w:lang w:eastAsia="lv-LV"/>
              </w:rPr>
              <w:t>2</w:t>
            </w:r>
            <w:r w:rsidRPr="00D21CB9">
              <w:rPr>
                <w:iCs/>
                <w:lang w:eastAsia="lv-LV"/>
              </w:rPr>
              <w:t xml:space="preserve"> </w:t>
            </w:r>
            <w:proofErr w:type="spellStart"/>
            <w:r w:rsidRPr="00D21CB9">
              <w:rPr>
                <w:i/>
                <w:iCs/>
                <w:lang w:eastAsia="lv-LV"/>
              </w:rPr>
              <w:t>euro</w:t>
            </w:r>
            <w:proofErr w:type="spellEnd"/>
            <w:r w:rsidRPr="00D21CB9">
              <w:rPr>
                <w:iCs/>
                <w:lang w:eastAsia="lv-LV"/>
              </w:rPr>
              <w:t xml:space="preserve"> projekta vadītājs (3 mēneši),  (amatu saime) 44 III B (mēnešalgu grupa) 12 (kategorija) 3</w:t>
            </w:r>
            <w:r w:rsidR="00680CA5" w:rsidRPr="00D21CB9">
              <w:rPr>
                <w:iCs/>
                <w:lang w:eastAsia="lv-LV"/>
              </w:rPr>
              <w:t xml:space="preserve"> (aprēķins: 1 647 mēnešalga x 3</w:t>
            </w:r>
            <w:r w:rsidR="008C6D82" w:rsidRPr="00D21CB9">
              <w:rPr>
                <w:iCs/>
                <w:lang w:eastAsia="lv-LV"/>
              </w:rPr>
              <w:t xml:space="preserve"> </w:t>
            </w:r>
            <w:r w:rsidR="00680CA5" w:rsidRPr="00D21CB9">
              <w:rPr>
                <w:iCs/>
                <w:lang w:eastAsia="lv-LV"/>
              </w:rPr>
              <w:t xml:space="preserve">mēneši  x </w:t>
            </w:r>
            <w:r w:rsidR="008E08C1" w:rsidRPr="00D21CB9">
              <w:rPr>
                <w:iCs/>
                <w:lang w:eastAsia="lv-LV"/>
              </w:rPr>
              <w:t xml:space="preserve">24.09% DDVSAOI </w:t>
            </w:r>
            <w:r w:rsidR="00680CA5" w:rsidRPr="00D21CB9">
              <w:rPr>
                <w:iCs/>
                <w:lang w:eastAsia="lv-LV"/>
              </w:rPr>
              <w:t>=6 13</w:t>
            </w:r>
            <w:r w:rsidR="008E08C1" w:rsidRPr="00D21CB9">
              <w:rPr>
                <w:iCs/>
                <w:lang w:eastAsia="lv-LV"/>
              </w:rPr>
              <w:t>2</w:t>
            </w:r>
            <w:r w:rsidR="00680CA5" w:rsidRPr="00D21CB9">
              <w:rPr>
                <w:iCs/>
                <w:lang w:eastAsia="lv-LV"/>
              </w:rPr>
              <w:t xml:space="preserve"> </w:t>
            </w:r>
            <w:proofErr w:type="spellStart"/>
            <w:r w:rsidR="00680CA5" w:rsidRPr="002E4BC8">
              <w:rPr>
                <w:i/>
                <w:iCs/>
                <w:lang w:eastAsia="lv-LV"/>
              </w:rPr>
              <w:t>euro</w:t>
            </w:r>
            <w:proofErr w:type="spellEnd"/>
            <w:r w:rsidR="00680CA5" w:rsidRPr="00D21CB9">
              <w:rPr>
                <w:iCs/>
                <w:lang w:eastAsia="lv-LV"/>
              </w:rPr>
              <w:t>)</w:t>
            </w:r>
          </w:p>
          <w:p w14:paraId="7EDEFB7D" w14:textId="0401DE26" w:rsidR="005F2AD6" w:rsidRPr="00D21CB9" w:rsidRDefault="00A96EDA" w:rsidP="00A22A43">
            <w:pPr>
              <w:jc w:val="both"/>
              <w:rPr>
                <w:i/>
                <w:iCs/>
                <w:lang w:eastAsia="lv-LV"/>
              </w:rPr>
            </w:pPr>
            <w:r w:rsidRPr="00D21CB9">
              <w:rPr>
                <w:iCs/>
                <w:lang w:eastAsia="lv-LV"/>
              </w:rPr>
              <w:t xml:space="preserve"> </w:t>
            </w:r>
            <w:r w:rsidRPr="00D21CB9">
              <w:rPr>
                <w:iCs/>
                <w:u w:val="single"/>
                <w:lang w:eastAsia="lv-LV"/>
              </w:rPr>
              <w:t>2020.gadā</w:t>
            </w:r>
            <w:r w:rsidRPr="00D21CB9">
              <w:rPr>
                <w:iCs/>
                <w:lang w:eastAsia="lv-LV"/>
              </w:rPr>
              <w:t xml:space="preserve"> – </w:t>
            </w:r>
            <w:r w:rsidR="00650A4E" w:rsidRPr="00D21CB9">
              <w:rPr>
                <w:iCs/>
                <w:lang w:eastAsia="lv-LV"/>
              </w:rPr>
              <w:t>41 54</w:t>
            </w:r>
            <w:r w:rsidR="00CC6770" w:rsidRPr="00D21CB9">
              <w:rPr>
                <w:iCs/>
                <w:lang w:eastAsia="lv-LV"/>
              </w:rPr>
              <w:t>4</w:t>
            </w:r>
            <w:r w:rsidRPr="00D21CB9">
              <w:rPr>
                <w:iCs/>
                <w:lang w:eastAsia="lv-LV"/>
              </w:rPr>
              <w:t xml:space="preserve"> </w:t>
            </w:r>
            <w:proofErr w:type="spellStart"/>
            <w:r w:rsidRPr="00D21CB9">
              <w:rPr>
                <w:i/>
                <w:iCs/>
                <w:lang w:eastAsia="lv-LV"/>
              </w:rPr>
              <w:t>euro</w:t>
            </w:r>
            <w:proofErr w:type="spellEnd"/>
            <w:r w:rsidRPr="00D21CB9">
              <w:rPr>
                <w:i/>
                <w:iCs/>
                <w:lang w:eastAsia="lv-LV"/>
              </w:rPr>
              <w:t>, t.sk.:</w:t>
            </w:r>
          </w:p>
          <w:p w14:paraId="2BC9C67A" w14:textId="2CDB32DC" w:rsidR="005F2AD6" w:rsidRPr="00D21CB9" w:rsidRDefault="00CC6770" w:rsidP="00A22A43">
            <w:pPr>
              <w:jc w:val="both"/>
              <w:rPr>
                <w:iCs/>
                <w:lang w:eastAsia="lv-LV"/>
              </w:rPr>
            </w:pPr>
            <w:r w:rsidRPr="00D21CB9">
              <w:rPr>
                <w:i/>
                <w:iCs/>
                <w:lang w:eastAsia="lv-LV"/>
              </w:rPr>
              <w:t>-</w:t>
            </w:r>
            <w:r w:rsidR="0006698C" w:rsidRPr="00D21CB9">
              <w:rPr>
                <w:i/>
                <w:iCs/>
                <w:lang w:eastAsia="lv-LV"/>
              </w:rPr>
              <w:t xml:space="preserve"> </w:t>
            </w:r>
            <w:r w:rsidR="00E10C3E" w:rsidRPr="00D21CB9">
              <w:rPr>
                <w:iCs/>
                <w:lang w:eastAsia="lv-LV"/>
              </w:rPr>
              <w:t>26 27</w:t>
            </w:r>
            <w:r w:rsidR="008E08C1" w:rsidRPr="00D21CB9">
              <w:rPr>
                <w:iCs/>
                <w:lang w:eastAsia="lv-LV"/>
              </w:rPr>
              <w:t>2</w:t>
            </w:r>
            <w:r w:rsidR="00A96EDA" w:rsidRPr="00D21CB9">
              <w:rPr>
                <w:iCs/>
                <w:lang w:eastAsia="lv-LV"/>
              </w:rPr>
              <w:t xml:space="preserve"> </w:t>
            </w:r>
            <w:proofErr w:type="spellStart"/>
            <w:r w:rsidR="00A96EDA" w:rsidRPr="00D21CB9">
              <w:rPr>
                <w:i/>
                <w:iCs/>
                <w:lang w:eastAsia="lv-LV"/>
              </w:rPr>
              <w:t>euro</w:t>
            </w:r>
            <w:proofErr w:type="spellEnd"/>
            <w:r w:rsidR="00A96EDA" w:rsidRPr="00D21CB9">
              <w:rPr>
                <w:i/>
                <w:iCs/>
                <w:lang w:eastAsia="lv-LV"/>
              </w:rPr>
              <w:t xml:space="preserve"> </w:t>
            </w:r>
            <w:r w:rsidR="00A96EDA" w:rsidRPr="00D21CB9">
              <w:rPr>
                <w:iCs/>
                <w:lang w:eastAsia="lv-LV"/>
              </w:rPr>
              <w:t>(12 mēneši) projekta vadītājs</w:t>
            </w:r>
            <w:r w:rsidR="00680CA5" w:rsidRPr="00D21CB9">
              <w:rPr>
                <w:iCs/>
                <w:lang w:eastAsia="lv-LV"/>
              </w:rPr>
              <w:t xml:space="preserve"> (aprēķins: (1 647 mēnešalga x 12</w:t>
            </w:r>
            <w:r w:rsidR="005F2AD6" w:rsidRPr="00D21CB9">
              <w:rPr>
                <w:iCs/>
                <w:lang w:eastAsia="lv-LV"/>
              </w:rPr>
              <w:t xml:space="preserve"> </w:t>
            </w:r>
            <w:r w:rsidR="00680CA5" w:rsidRPr="00D21CB9">
              <w:rPr>
                <w:iCs/>
                <w:lang w:eastAsia="lv-LV"/>
              </w:rPr>
              <w:t>mēneši + 1 235 sociālās garantijas)</w:t>
            </w:r>
            <w:proofErr w:type="gramStart"/>
            <w:r w:rsidR="00680CA5" w:rsidRPr="00D21CB9">
              <w:rPr>
                <w:iCs/>
                <w:lang w:eastAsia="lv-LV"/>
              </w:rPr>
              <w:t xml:space="preserve">  </w:t>
            </w:r>
            <w:proofErr w:type="gramEnd"/>
            <w:r w:rsidR="00680CA5" w:rsidRPr="00D21CB9">
              <w:rPr>
                <w:iCs/>
                <w:lang w:eastAsia="lv-LV"/>
              </w:rPr>
              <w:t xml:space="preserve">x </w:t>
            </w:r>
            <w:r w:rsidR="008976B0" w:rsidRPr="00D21CB9">
              <w:rPr>
                <w:iCs/>
                <w:lang w:eastAsia="lv-LV"/>
              </w:rPr>
              <w:t xml:space="preserve">24.09% DDVSAOI </w:t>
            </w:r>
            <w:r w:rsidR="00680CA5" w:rsidRPr="00D21CB9">
              <w:rPr>
                <w:iCs/>
                <w:lang w:eastAsia="lv-LV"/>
              </w:rPr>
              <w:t>+214</w:t>
            </w:r>
            <w:r w:rsidR="008E08C1" w:rsidRPr="00D21CB9">
              <w:rPr>
                <w:iCs/>
                <w:lang w:eastAsia="lv-LV"/>
              </w:rPr>
              <w:t xml:space="preserve"> </w:t>
            </w:r>
            <w:proofErr w:type="spellStart"/>
            <w:r w:rsidR="006C79E0" w:rsidRPr="002E4BC8">
              <w:rPr>
                <w:i/>
                <w:iCs/>
                <w:lang w:eastAsia="lv-LV"/>
              </w:rPr>
              <w:t>euro</w:t>
            </w:r>
            <w:proofErr w:type="spellEnd"/>
            <w:r w:rsidR="00680CA5" w:rsidRPr="00D21CB9">
              <w:rPr>
                <w:iCs/>
                <w:lang w:eastAsia="lv-LV"/>
              </w:rPr>
              <w:t xml:space="preserve"> apdrošināšanas polise =</w:t>
            </w:r>
            <w:r w:rsidR="008E08C1" w:rsidRPr="00D21CB9">
              <w:rPr>
                <w:iCs/>
                <w:lang w:eastAsia="lv-LV"/>
              </w:rPr>
              <w:t xml:space="preserve"> </w:t>
            </w:r>
            <w:r w:rsidR="00C11902" w:rsidRPr="00D21CB9">
              <w:rPr>
                <w:iCs/>
                <w:lang w:eastAsia="lv-LV"/>
              </w:rPr>
              <w:t>26 27</w:t>
            </w:r>
            <w:r w:rsidR="00360920" w:rsidRPr="00D21CB9">
              <w:rPr>
                <w:iCs/>
                <w:lang w:eastAsia="lv-LV"/>
              </w:rPr>
              <w:t>2</w:t>
            </w:r>
            <w:r w:rsidR="00680CA5" w:rsidRPr="00D21CB9">
              <w:rPr>
                <w:iCs/>
                <w:lang w:eastAsia="lv-LV"/>
              </w:rPr>
              <w:t xml:space="preserve"> </w:t>
            </w:r>
            <w:proofErr w:type="spellStart"/>
            <w:r w:rsidR="00680CA5" w:rsidRPr="002E4BC8">
              <w:rPr>
                <w:i/>
                <w:iCs/>
                <w:lang w:eastAsia="lv-LV"/>
              </w:rPr>
              <w:t>euro</w:t>
            </w:r>
            <w:proofErr w:type="spellEnd"/>
            <w:r w:rsidR="00680CA5" w:rsidRPr="00D21CB9">
              <w:rPr>
                <w:iCs/>
                <w:lang w:eastAsia="lv-LV"/>
              </w:rPr>
              <w:t>)</w:t>
            </w:r>
            <w:r w:rsidR="008C6D82" w:rsidRPr="00D21CB9">
              <w:rPr>
                <w:iCs/>
                <w:lang w:eastAsia="lv-LV"/>
              </w:rPr>
              <w:t>;</w:t>
            </w:r>
            <w:r w:rsidR="00AF297B" w:rsidRPr="00D21CB9">
              <w:rPr>
                <w:iCs/>
                <w:lang w:eastAsia="lv-LV"/>
              </w:rPr>
              <w:t xml:space="preserve"> </w:t>
            </w:r>
          </w:p>
          <w:p w14:paraId="2F20A0B6" w14:textId="77184382" w:rsidR="00CC6770" w:rsidRPr="00D21CB9" w:rsidRDefault="002D1CF9" w:rsidP="00A22A43">
            <w:pPr>
              <w:jc w:val="both"/>
              <w:rPr>
                <w:iCs/>
                <w:lang w:eastAsia="lv-LV"/>
              </w:rPr>
            </w:pPr>
            <w:r w:rsidRPr="00D21CB9">
              <w:rPr>
                <w:iCs/>
                <w:lang w:eastAsia="lv-LV"/>
              </w:rPr>
              <w:t xml:space="preserve"> </w:t>
            </w:r>
            <w:r w:rsidR="00CC6770" w:rsidRPr="00D21CB9">
              <w:rPr>
                <w:iCs/>
                <w:lang w:eastAsia="lv-LV"/>
              </w:rPr>
              <w:t>-</w:t>
            </w:r>
            <w:r w:rsidR="00650A4E" w:rsidRPr="00D21CB9">
              <w:rPr>
                <w:iCs/>
                <w:lang w:eastAsia="lv-LV"/>
              </w:rPr>
              <w:t>2</w:t>
            </w:r>
            <w:r w:rsidR="00E10C3E" w:rsidRPr="00D21CB9">
              <w:rPr>
                <w:iCs/>
                <w:lang w:eastAsia="lv-LV"/>
              </w:rPr>
              <w:t> 39</w:t>
            </w:r>
            <w:r w:rsidR="00CC6770" w:rsidRPr="00D21CB9">
              <w:rPr>
                <w:iCs/>
                <w:lang w:eastAsia="lv-LV"/>
              </w:rPr>
              <w:t>6</w:t>
            </w:r>
            <w:r w:rsidR="00A96EDA" w:rsidRPr="00D21CB9">
              <w:rPr>
                <w:iCs/>
                <w:lang w:eastAsia="lv-LV"/>
              </w:rPr>
              <w:t xml:space="preserve"> </w:t>
            </w:r>
            <w:proofErr w:type="spellStart"/>
            <w:r w:rsidR="00A96EDA" w:rsidRPr="00D21CB9">
              <w:rPr>
                <w:i/>
                <w:iCs/>
                <w:lang w:eastAsia="lv-LV"/>
              </w:rPr>
              <w:t>euro</w:t>
            </w:r>
            <w:proofErr w:type="spellEnd"/>
            <w:r w:rsidR="00A96EDA" w:rsidRPr="00D21CB9">
              <w:rPr>
                <w:iCs/>
                <w:lang w:eastAsia="lv-LV"/>
              </w:rPr>
              <w:t xml:space="preserve"> (</w:t>
            </w:r>
            <w:r w:rsidR="00650A4E" w:rsidRPr="00D21CB9">
              <w:rPr>
                <w:iCs/>
                <w:lang w:eastAsia="lv-LV"/>
              </w:rPr>
              <w:t>5</w:t>
            </w:r>
            <w:r w:rsidR="00A96EDA" w:rsidRPr="00D21CB9">
              <w:rPr>
                <w:iCs/>
                <w:lang w:eastAsia="lv-LV"/>
              </w:rPr>
              <w:t xml:space="preserve"> mēneši) projekta koordinators (amatu saime) 32 II C (mēnešalgu grupa) 10 (kategorija) 3</w:t>
            </w:r>
            <w:r w:rsidR="00650A4E" w:rsidRPr="00D21CB9">
              <w:rPr>
                <w:iCs/>
                <w:lang w:eastAsia="lv-LV"/>
              </w:rPr>
              <w:t xml:space="preserve"> </w:t>
            </w:r>
            <w:r w:rsidR="00C11902" w:rsidRPr="00D21CB9">
              <w:rPr>
                <w:iCs/>
                <w:lang w:eastAsia="lv-LV"/>
              </w:rPr>
              <w:t>(386,10</w:t>
            </w:r>
            <w:r w:rsidR="0045144A" w:rsidRPr="00D21CB9">
              <w:rPr>
                <w:iCs/>
                <w:lang w:eastAsia="lv-LV"/>
              </w:rPr>
              <w:t xml:space="preserve"> mēnešalga</w:t>
            </w:r>
            <w:r w:rsidR="00C11902" w:rsidRPr="00D21CB9">
              <w:rPr>
                <w:iCs/>
                <w:lang w:eastAsia="lv-LV"/>
              </w:rPr>
              <w:t xml:space="preserve"> x 5 mēn</w:t>
            </w:r>
            <w:r w:rsidR="0045144A" w:rsidRPr="00D21CB9">
              <w:rPr>
                <w:iCs/>
                <w:lang w:eastAsia="lv-LV"/>
              </w:rPr>
              <w:t>eši</w:t>
            </w:r>
            <w:proofErr w:type="gramStart"/>
            <w:r w:rsidR="00C11902" w:rsidRPr="00D21CB9">
              <w:rPr>
                <w:iCs/>
                <w:lang w:eastAsia="lv-LV"/>
              </w:rPr>
              <w:t xml:space="preserve">  </w:t>
            </w:r>
            <w:proofErr w:type="gramEnd"/>
            <w:r w:rsidR="008976B0" w:rsidRPr="00D21CB9">
              <w:rPr>
                <w:iCs/>
                <w:lang w:eastAsia="lv-LV"/>
              </w:rPr>
              <w:t xml:space="preserve">x 24.09% DDVSAOI </w:t>
            </w:r>
            <w:r w:rsidR="00C11902" w:rsidRPr="00D21CB9">
              <w:rPr>
                <w:iCs/>
                <w:lang w:eastAsia="lv-LV"/>
              </w:rPr>
              <w:t>=2</w:t>
            </w:r>
            <w:r w:rsidR="00CC6770" w:rsidRPr="00D21CB9">
              <w:rPr>
                <w:iCs/>
                <w:lang w:eastAsia="lv-LV"/>
              </w:rPr>
              <w:t> </w:t>
            </w:r>
            <w:r w:rsidR="00C11902" w:rsidRPr="00D21CB9">
              <w:rPr>
                <w:iCs/>
                <w:lang w:eastAsia="lv-LV"/>
              </w:rPr>
              <w:t>39</w:t>
            </w:r>
            <w:r w:rsidR="00CC6770" w:rsidRPr="00D21CB9">
              <w:rPr>
                <w:iCs/>
                <w:lang w:eastAsia="lv-LV"/>
              </w:rPr>
              <w:t xml:space="preserve">6 </w:t>
            </w:r>
            <w:proofErr w:type="spellStart"/>
            <w:r w:rsidR="00CC6770" w:rsidRPr="002E4BC8">
              <w:rPr>
                <w:i/>
                <w:iCs/>
                <w:lang w:eastAsia="lv-LV"/>
              </w:rPr>
              <w:t>euro</w:t>
            </w:r>
            <w:proofErr w:type="spellEnd"/>
            <w:r w:rsidR="00C11902" w:rsidRPr="00D21CB9">
              <w:rPr>
                <w:iCs/>
                <w:lang w:eastAsia="lv-LV"/>
              </w:rPr>
              <w:t>)</w:t>
            </w:r>
            <w:r w:rsidR="005F2AD6" w:rsidRPr="00D21CB9">
              <w:rPr>
                <w:iCs/>
                <w:lang w:eastAsia="lv-LV"/>
              </w:rPr>
              <w:t>;</w:t>
            </w:r>
          </w:p>
          <w:p w14:paraId="3EBD5EFB" w14:textId="48CBB992" w:rsidR="00A96EDA" w:rsidRPr="00D21CB9" w:rsidRDefault="00CC6770" w:rsidP="00A22A43">
            <w:pPr>
              <w:jc w:val="both"/>
              <w:rPr>
                <w:iCs/>
                <w:lang w:eastAsia="lv-LV"/>
              </w:rPr>
            </w:pPr>
            <w:r w:rsidRPr="00D21CB9">
              <w:rPr>
                <w:iCs/>
                <w:lang w:eastAsia="lv-LV"/>
              </w:rPr>
              <w:t>-</w:t>
            </w:r>
            <w:r w:rsidR="00A96EDA" w:rsidRPr="00D21CB9">
              <w:rPr>
                <w:iCs/>
                <w:lang w:eastAsia="lv-LV"/>
              </w:rPr>
              <w:t>12</w:t>
            </w:r>
            <w:r w:rsidR="00650A4E" w:rsidRPr="00D21CB9">
              <w:rPr>
                <w:iCs/>
                <w:lang w:eastAsia="lv-LV"/>
              </w:rPr>
              <w:t> 87</w:t>
            </w:r>
            <w:r w:rsidR="00E10C3E" w:rsidRPr="00D21CB9">
              <w:rPr>
                <w:iCs/>
                <w:lang w:eastAsia="lv-LV"/>
              </w:rPr>
              <w:t>6</w:t>
            </w:r>
            <w:r w:rsidR="00A96EDA" w:rsidRPr="00D21CB9">
              <w:rPr>
                <w:iCs/>
                <w:lang w:eastAsia="lv-LV"/>
              </w:rPr>
              <w:t xml:space="preserve"> </w:t>
            </w:r>
            <w:proofErr w:type="spellStart"/>
            <w:r w:rsidR="00A96EDA" w:rsidRPr="00D21CB9">
              <w:rPr>
                <w:i/>
                <w:iCs/>
                <w:lang w:eastAsia="lv-LV"/>
              </w:rPr>
              <w:t>euro</w:t>
            </w:r>
            <w:proofErr w:type="spellEnd"/>
            <w:r w:rsidR="00A96EDA" w:rsidRPr="00D21CB9">
              <w:rPr>
                <w:iCs/>
                <w:lang w:eastAsia="lv-LV"/>
              </w:rPr>
              <w:t xml:space="preserve"> (12 mēneši) vecākais </w:t>
            </w:r>
            <w:proofErr w:type="spellStart"/>
            <w:r w:rsidR="00A96EDA" w:rsidRPr="00D21CB9">
              <w:rPr>
                <w:iCs/>
                <w:lang w:eastAsia="lv-LV"/>
              </w:rPr>
              <w:t>sistēmanalītiķis</w:t>
            </w:r>
            <w:proofErr w:type="spellEnd"/>
            <w:r w:rsidR="002D1CF9" w:rsidRPr="00D21CB9">
              <w:rPr>
                <w:iCs/>
                <w:lang w:eastAsia="lv-LV"/>
              </w:rPr>
              <w:t xml:space="preserve"> </w:t>
            </w:r>
            <w:r w:rsidR="00A96EDA" w:rsidRPr="00D21CB9">
              <w:rPr>
                <w:iCs/>
                <w:lang w:eastAsia="lv-LV"/>
              </w:rPr>
              <w:t xml:space="preserve"> (amatu saime) 19.4. IV (mēnešalgu grupa) 12 (kategorija) 3 </w:t>
            </w:r>
            <w:r w:rsidR="00C11902" w:rsidRPr="00D21CB9">
              <w:rPr>
                <w:iCs/>
                <w:lang w:eastAsia="lv-LV"/>
              </w:rPr>
              <w:t>(823,50</w:t>
            </w:r>
            <w:r w:rsidR="0045144A" w:rsidRPr="00D21CB9">
              <w:rPr>
                <w:iCs/>
                <w:lang w:eastAsia="lv-LV"/>
              </w:rPr>
              <w:t xml:space="preserve"> mēnešalga </w:t>
            </w:r>
            <w:r w:rsidR="00C11902" w:rsidRPr="00D21CB9">
              <w:rPr>
                <w:iCs/>
                <w:lang w:eastAsia="lv-LV"/>
              </w:rPr>
              <w:t>x</w:t>
            </w:r>
            <w:r w:rsidR="0045144A" w:rsidRPr="00D21CB9">
              <w:rPr>
                <w:iCs/>
                <w:lang w:eastAsia="lv-LV"/>
              </w:rPr>
              <w:t xml:space="preserve"> </w:t>
            </w:r>
            <w:r w:rsidR="00C11902" w:rsidRPr="00D21CB9">
              <w:rPr>
                <w:iCs/>
                <w:lang w:eastAsia="lv-LV"/>
              </w:rPr>
              <w:t>12 mēneši</w:t>
            </w:r>
            <w:r w:rsidRPr="00D21CB9">
              <w:rPr>
                <w:iCs/>
                <w:lang w:eastAsia="lv-LV"/>
              </w:rPr>
              <w:t xml:space="preserve"> + 494 </w:t>
            </w:r>
            <w:proofErr w:type="spellStart"/>
            <w:r w:rsidRPr="00D21CB9">
              <w:rPr>
                <w:i/>
                <w:iCs/>
                <w:lang w:eastAsia="lv-LV"/>
              </w:rPr>
              <w:t>euro</w:t>
            </w:r>
            <w:proofErr w:type="spellEnd"/>
            <w:r w:rsidRPr="00D21CB9">
              <w:rPr>
                <w:iCs/>
                <w:lang w:eastAsia="lv-LV"/>
              </w:rPr>
              <w:t xml:space="preserve"> sociālās garantijas )</w:t>
            </w:r>
            <w:r w:rsidR="00C11902" w:rsidRPr="00D21CB9">
              <w:rPr>
                <w:iCs/>
                <w:lang w:eastAsia="lv-LV"/>
              </w:rPr>
              <w:t xml:space="preserve"> x </w:t>
            </w:r>
            <w:r w:rsidR="008976B0" w:rsidRPr="00D21CB9">
              <w:rPr>
                <w:iCs/>
                <w:lang w:eastAsia="lv-LV"/>
              </w:rPr>
              <w:t>24</w:t>
            </w:r>
            <w:r w:rsidRPr="00D21CB9">
              <w:rPr>
                <w:iCs/>
                <w:lang w:eastAsia="lv-LV"/>
              </w:rPr>
              <w:t>,</w:t>
            </w:r>
            <w:r w:rsidR="008976B0" w:rsidRPr="00D21CB9">
              <w:rPr>
                <w:iCs/>
                <w:lang w:eastAsia="lv-LV"/>
              </w:rPr>
              <w:t>09% DDVSAOI</w:t>
            </w:r>
            <w:r w:rsidR="00C11902" w:rsidRPr="00D21CB9">
              <w:rPr>
                <w:iCs/>
                <w:lang w:eastAsia="lv-LV"/>
              </w:rPr>
              <w:t>)=12</w:t>
            </w:r>
            <w:r w:rsidRPr="00D21CB9">
              <w:rPr>
                <w:iCs/>
                <w:lang w:eastAsia="lv-LV"/>
              </w:rPr>
              <w:t> </w:t>
            </w:r>
            <w:r w:rsidR="00C11902" w:rsidRPr="00D21CB9">
              <w:rPr>
                <w:iCs/>
                <w:lang w:eastAsia="lv-LV"/>
              </w:rPr>
              <w:t>876</w:t>
            </w:r>
            <w:r w:rsidRPr="00D21CB9">
              <w:rPr>
                <w:iCs/>
                <w:lang w:eastAsia="lv-LV"/>
              </w:rPr>
              <w:t xml:space="preserve"> </w:t>
            </w:r>
            <w:proofErr w:type="spellStart"/>
            <w:r w:rsidRPr="00D21CB9">
              <w:rPr>
                <w:i/>
                <w:iCs/>
                <w:lang w:eastAsia="lv-LV"/>
              </w:rPr>
              <w:t>euro</w:t>
            </w:r>
            <w:proofErr w:type="spellEnd"/>
            <w:r w:rsidRPr="00D21CB9">
              <w:rPr>
                <w:iCs/>
                <w:lang w:eastAsia="lv-LV"/>
              </w:rPr>
              <w:t xml:space="preserve"> </w:t>
            </w:r>
            <w:r w:rsidR="00C11902" w:rsidRPr="00D21CB9">
              <w:rPr>
                <w:iCs/>
                <w:lang w:eastAsia="lv-LV"/>
              </w:rPr>
              <w:t>.</w:t>
            </w:r>
          </w:p>
          <w:p w14:paraId="254F0047" w14:textId="35074F53" w:rsidR="00CC6770" w:rsidRPr="00D21CB9" w:rsidRDefault="00A96EDA" w:rsidP="00A22A43">
            <w:pPr>
              <w:jc w:val="both"/>
              <w:rPr>
                <w:iCs/>
                <w:lang w:eastAsia="lv-LV"/>
              </w:rPr>
            </w:pPr>
            <w:proofErr w:type="gramStart"/>
            <w:r w:rsidRPr="00D21CB9">
              <w:rPr>
                <w:iCs/>
                <w:u w:val="single"/>
                <w:lang w:eastAsia="lv-LV"/>
              </w:rPr>
              <w:t>2021.gadā</w:t>
            </w:r>
            <w:proofErr w:type="gramEnd"/>
            <w:r w:rsidRPr="00D21CB9">
              <w:rPr>
                <w:iCs/>
                <w:u w:val="single"/>
                <w:lang w:eastAsia="lv-LV"/>
              </w:rPr>
              <w:t xml:space="preserve"> </w:t>
            </w:r>
            <w:r w:rsidRPr="00D21CB9">
              <w:rPr>
                <w:iCs/>
                <w:lang w:eastAsia="lv-LV"/>
              </w:rPr>
              <w:t xml:space="preserve">–  </w:t>
            </w:r>
            <w:r w:rsidR="00E10C3E" w:rsidRPr="00D21CB9">
              <w:rPr>
                <w:iCs/>
                <w:lang w:eastAsia="lv-LV"/>
              </w:rPr>
              <w:t>41 54</w:t>
            </w:r>
            <w:r w:rsidR="00CD65D6" w:rsidRPr="00D21CB9">
              <w:rPr>
                <w:iCs/>
                <w:lang w:eastAsia="lv-LV"/>
              </w:rPr>
              <w:t>3</w:t>
            </w:r>
            <w:r w:rsidRPr="00D21CB9">
              <w:rPr>
                <w:iCs/>
                <w:lang w:eastAsia="lv-LV"/>
              </w:rPr>
              <w:t xml:space="preserve"> </w:t>
            </w:r>
            <w:proofErr w:type="spellStart"/>
            <w:r w:rsidRPr="002E4BC8">
              <w:rPr>
                <w:i/>
                <w:iCs/>
                <w:lang w:eastAsia="lv-LV"/>
              </w:rPr>
              <w:t>euro</w:t>
            </w:r>
            <w:proofErr w:type="spellEnd"/>
            <w:r w:rsidRPr="00D21CB9">
              <w:rPr>
                <w:iCs/>
                <w:lang w:eastAsia="lv-LV"/>
              </w:rPr>
              <w:t xml:space="preserve"> </w:t>
            </w:r>
            <w:r w:rsidR="00CC6770" w:rsidRPr="00D21CB9">
              <w:rPr>
                <w:iCs/>
                <w:lang w:eastAsia="lv-LV"/>
              </w:rPr>
              <w:t>, t.sk.</w:t>
            </w:r>
            <w:r w:rsidR="008C6D82" w:rsidRPr="00D21CB9">
              <w:rPr>
                <w:iCs/>
                <w:lang w:eastAsia="lv-LV"/>
              </w:rPr>
              <w:t>:</w:t>
            </w:r>
            <w:r w:rsidR="00CC6770" w:rsidRPr="00D21CB9">
              <w:rPr>
                <w:iCs/>
                <w:lang w:eastAsia="lv-LV"/>
              </w:rPr>
              <w:t xml:space="preserve"> </w:t>
            </w:r>
          </w:p>
          <w:p w14:paraId="1CF6AAF5" w14:textId="4ABC4DF3" w:rsidR="00CC6770" w:rsidRPr="00D21CB9" w:rsidRDefault="00CC6770" w:rsidP="00A22A43">
            <w:pPr>
              <w:jc w:val="both"/>
              <w:rPr>
                <w:iCs/>
                <w:lang w:eastAsia="lv-LV"/>
              </w:rPr>
            </w:pPr>
            <w:r w:rsidRPr="00D21CB9">
              <w:rPr>
                <w:iCs/>
                <w:lang w:eastAsia="lv-LV"/>
              </w:rPr>
              <w:t xml:space="preserve">-26 272 </w:t>
            </w:r>
            <w:proofErr w:type="spellStart"/>
            <w:r w:rsidRPr="002E4BC8">
              <w:rPr>
                <w:i/>
                <w:iCs/>
                <w:lang w:eastAsia="lv-LV"/>
              </w:rPr>
              <w:t>euro</w:t>
            </w:r>
            <w:proofErr w:type="spellEnd"/>
            <w:proofErr w:type="gramStart"/>
            <w:r w:rsidRPr="00D21CB9">
              <w:rPr>
                <w:iCs/>
                <w:lang w:eastAsia="lv-LV"/>
              </w:rPr>
              <w:t xml:space="preserve">  </w:t>
            </w:r>
            <w:proofErr w:type="gramEnd"/>
            <w:r w:rsidR="00A96EDA" w:rsidRPr="00D21CB9">
              <w:rPr>
                <w:iCs/>
                <w:lang w:eastAsia="lv-LV"/>
              </w:rPr>
              <w:t>projekta vadītājs (12 mēneši)</w:t>
            </w:r>
            <w:r w:rsidRPr="00D21CB9">
              <w:rPr>
                <w:iCs/>
                <w:lang w:eastAsia="lv-LV"/>
              </w:rPr>
              <w:t xml:space="preserve"> (aprēķins: (1 647 mēnešalga x 12 mēneši + 1 235 sociālās garantijas)  x 24.09% DDVSAOI +214 </w:t>
            </w:r>
            <w:proofErr w:type="spellStart"/>
            <w:r w:rsidRPr="002E4BC8">
              <w:rPr>
                <w:i/>
                <w:iCs/>
                <w:lang w:eastAsia="lv-LV"/>
              </w:rPr>
              <w:t>euro</w:t>
            </w:r>
            <w:proofErr w:type="spellEnd"/>
            <w:r w:rsidRPr="00D21CB9">
              <w:rPr>
                <w:iCs/>
                <w:lang w:eastAsia="lv-LV"/>
              </w:rPr>
              <w:t xml:space="preserve"> apdrošināšanas polise = 26 272 </w:t>
            </w:r>
            <w:proofErr w:type="spellStart"/>
            <w:r w:rsidRPr="002E4BC8">
              <w:rPr>
                <w:i/>
                <w:iCs/>
                <w:lang w:eastAsia="lv-LV"/>
              </w:rPr>
              <w:t>euro</w:t>
            </w:r>
            <w:proofErr w:type="spellEnd"/>
            <w:r w:rsidRPr="00D21CB9">
              <w:rPr>
                <w:iCs/>
                <w:lang w:eastAsia="lv-LV"/>
              </w:rPr>
              <w:t>)</w:t>
            </w:r>
            <w:r w:rsidR="008C6D82" w:rsidRPr="00D21CB9">
              <w:rPr>
                <w:iCs/>
                <w:lang w:eastAsia="lv-LV"/>
              </w:rPr>
              <w:t>;</w:t>
            </w:r>
            <w:r w:rsidR="00A96EDA" w:rsidRPr="00D21CB9">
              <w:rPr>
                <w:iCs/>
                <w:lang w:eastAsia="lv-LV"/>
              </w:rPr>
              <w:t xml:space="preserve"> </w:t>
            </w:r>
          </w:p>
          <w:p w14:paraId="665F0B81" w14:textId="333BB3CD" w:rsidR="00CC6770" w:rsidRPr="00D21CB9" w:rsidRDefault="00CC6770" w:rsidP="00A22A43">
            <w:pPr>
              <w:jc w:val="both"/>
              <w:rPr>
                <w:iCs/>
                <w:lang w:eastAsia="lv-LV"/>
              </w:rPr>
            </w:pPr>
            <w:r w:rsidRPr="00D21CB9">
              <w:rPr>
                <w:iCs/>
                <w:lang w:eastAsia="lv-LV"/>
              </w:rPr>
              <w:t xml:space="preserve">-2 396 </w:t>
            </w:r>
            <w:proofErr w:type="spellStart"/>
            <w:r w:rsidRPr="00D21CB9">
              <w:rPr>
                <w:i/>
                <w:iCs/>
                <w:lang w:eastAsia="lv-LV"/>
              </w:rPr>
              <w:t>euro</w:t>
            </w:r>
            <w:proofErr w:type="spellEnd"/>
            <w:r w:rsidRPr="00D21CB9">
              <w:rPr>
                <w:iCs/>
                <w:lang w:eastAsia="lv-LV"/>
              </w:rPr>
              <w:t xml:space="preserve"> </w:t>
            </w:r>
            <w:r w:rsidR="00A96EDA" w:rsidRPr="00D21CB9">
              <w:rPr>
                <w:iCs/>
                <w:lang w:eastAsia="lv-LV"/>
              </w:rPr>
              <w:t>projekta koordinators (</w:t>
            </w:r>
            <w:r w:rsidR="00E10C3E" w:rsidRPr="00D21CB9">
              <w:rPr>
                <w:iCs/>
                <w:lang w:eastAsia="lv-LV"/>
              </w:rPr>
              <w:t>5</w:t>
            </w:r>
            <w:r w:rsidR="00A96EDA" w:rsidRPr="00D21CB9">
              <w:rPr>
                <w:iCs/>
                <w:lang w:eastAsia="lv-LV"/>
              </w:rPr>
              <w:t xml:space="preserve"> mēneši)</w:t>
            </w:r>
            <w:r w:rsidRPr="00D21CB9">
              <w:rPr>
                <w:iCs/>
                <w:lang w:eastAsia="lv-LV"/>
              </w:rPr>
              <w:t xml:space="preserve"> (386,10 </w:t>
            </w:r>
            <w:r w:rsidR="0045144A" w:rsidRPr="00D21CB9">
              <w:rPr>
                <w:iCs/>
                <w:lang w:eastAsia="lv-LV"/>
              </w:rPr>
              <w:t xml:space="preserve">mēnešalga </w:t>
            </w:r>
            <w:r w:rsidRPr="00D21CB9">
              <w:rPr>
                <w:iCs/>
                <w:lang w:eastAsia="lv-LV"/>
              </w:rPr>
              <w:t>x 5 mēn</w:t>
            </w:r>
            <w:r w:rsidR="0045144A" w:rsidRPr="00D21CB9">
              <w:rPr>
                <w:iCs/>
                <w:lang w:eastAsia="lv-LV"/>
              </w:rPr>
              <w:t>eši</w:t>
            </w:r>
            <w:proofErr w:type="gramStart"/>
            <w:r w:rsidRPr="00D21CB9">
              <w:rPr>
                <w:iCs/>
                <w:lang w:eastAsia="lv-LV"/>
              </w:rPr>
              <w:t xml:space="preserve">  </w:t>
            </w:r>
            <w:proofErr w:type="gramEnd"/>
            <w:r w:rsidRPr="00D21CB9">
              <w:rPr>
                <w:iCs/>
                <w:lang w:eastAsia="lv-LV"/>
              </w:rPr>
              <w:t xml:space="preserve">x 24.09% DDVSAOI =2 396 </w:t>
            </w:r>
            <w:proofErr w:type="spellStart"/>
            <w:r w:rsidRPr="002E4BC8">
              <w:rPr>
                <w:i/>
                <w:iCs/>
                <w:lang w:eastAsia="lv-LV"/>
              </w:rPr>
              <w:t>euro</w:t>
            </w:r>
            <w:proofErr w:type="spellEnd"/>
            <w:r w:rsidRPr="00D21CB9">
              <w:rPr>
                <w:iCs/>
                <w:lang w:eastAsia="lv-LV"/>
              </w:rPr>
              <w:t>)</w:t>
            </w:r>
            <w:r w:rsidR="008C6D82" w:rsidRPr="00D21CB9">
              <w:rPr>
                <w:iCs/>
                <w:lang w:eastAsia="lv-LV"/>
              </w:rPr>
              <w:t>;</w:t>
            </w:r>
          </w:p>
          <w:p w14:paraId="01F19F46" w14:textId="09203270" w:rsidR="00A96EDA" w:rsidRPr="00D21CB9" w:rsidRDefault="00CC6770" w:rsidP="00A22A43">
            <w:pPr>
              <w:jc w:val="both"/>
              <w:rPr>
                <w:iCs/>
                <w:lang w:eastAsia="lv-LV"/>
              </w:rPr>
            </w:pPr>
            <w:r w:rsidRPr="00D21CB9">
              <w:rPr>
                <w:iCs/>
                <w:lang w:eastAsia="lv-LV"/>
              </w:rPr>
              <w:t>-12</w:t>
            </w:r>
            <w:r w:rsidR="00CD65D6" w:rsidRPr="00D21CB9">
              <w:rPr>
                <w:iCs/>
                <w:lang w:eastAsia="lv-LV"/>
              </w:rPr>
              <w:t> </w:t>
            </w:r>
            <w:r w:rsidRPr="00D21CB9">
              <w:rPr>
                <w:iCs/>
                <w:lang w:eastAsia="lv-LV"/>
              </w:rPr>
              <w:t>8</w:t>
            </w:r>
            <w:r w:rsidR="00CD65D6" w:rsidRPr="00D21CB9">
              <w:rPr>
                <w:iCs/>
                <w:lang w:eastAsia="lv-LV"/>
              </w:rPr>
              <w:t xml:space="preserve">75 </w:t>
            </w:r>
            <w:proofErr w:type="spellStart"/>
            <w:r w:rsidRPr="002E4BC8">
              <w:rPr>
                <w:i/>
                <w:iCs/>
                <w:lang w:eastAsia="lv-LV"/>
              </w:rPr>
              <w:t>euro</w:t>
            </w:r>
            <w:proofErr w:type="spellEnd"/>
            <w:r w:rsidRPr="00D21CB9">
              <w:rPr>
                <w:iCs/>
                <w:lang w:eastAsia="lv-LV"/>
              </w:rPr>
              <w:t xml:space="preserve"> </w:t>
            </w:r>
            <w:r w:rsidR="00A96EDA" w:rsidRPr="00D21CB9">
              <w:rPr>
                <w:iCs/>
                <w:lang w:eastAsia="lv-LV"/>
              </w:rPr>
              <w:t xml:space="preserve">vecākais </w:t>
            </w:r>
            <w:proofErr w:type="spellStart"/>
            <w:r w:rsidR="00A96EDA" w:rsidRPr="00D21CB9">
              <w:rPr>
                <w:iCs/>
                <w:lang w:eastAsia="lv-LV"/>
              </w:rPr>
              <w:t>sistēmanalītiķis</w:t>
            </w:r>
            <w:proofErr w:type="spellEnd"/>
            <w:r w:rsidR="00A96EDA" w:rsidRPr="00D21CB9">
              <w:rPr>
                <w:iCs/>
                <w:lang w:eastAsia="lv-LV"/>
              </w:rPr>
              <w:t xml:space="preserve"> (12 mēneši)</w:t>
            </w:r>
            <w:r w:rsidRPr="00D21CB9">
              <w:t xml:space="preserve"> </w:t>
            </w:r>
            <w:r w:rsidRPr="00D21CB9">
              <w:rPr>
                <w:iCs/>
                <w:lang w:eastAsia="lv-LV"/>
              </w:rPr>
              <w:t>(823,50</w:t>
            </w:r>
            <w:r w:rsidR="0045144A" w:rsidRPr="00D21CB9">
              <w:t xml:space="preserve"> </w:t>
            </w:r>
            <w:r w:rsidR="0045144A" w:rsidRPr="00D21CB9">
              <w:rPr>
                <w:iCs/>
                <w:lang w:eastAsia="lv-LV"/>
              </w:rPr>
              <w:t xml:space="preserve">mēnešalga </w:t>
            </w:r>
            <w:r w:rsidRPr="00D21CB9">
              <w:rPr>
                <w:iCs/>
                <w:lang w:eastAsia="lv-LV"/>
              </w:rPr>
              <w:t>x</w:t>
            </w:r>
            <w:r w:rsidR="0045144A" w:rsidRPr="00D21CB9">
              <w:rPr>
                <w:iCs/>
                <w:lang w:eastAsia="lv-LV"/>
              </w:rPr>
              <w:t xml:space="preserve"> </w:t>
            </w:r>
            <w:r w:rsidRPr="00D21CB9">
              <w:rPr>
                <w:iCs/>
                <w:lang w:eastAsia="lv-LV"/>
              </w:rPr>
              <w:t xml:space="preserve">12 mēneši + 493 </w:t>
            </w:r>
            <w:proofErr w:type="spellStart"/>
            <w:r w:rsidRPr="002E4BC8">
              <w:rPr>
                <w:i/>
                <w:iCs/>
                <w:lang w:eastAsia="lv-LV"/>
              </w:rPr>
              <w:t>euro</w:t>
            </w:r>
            <w:proofErr w:type="spellEnd"/>
            <w:r w:rsidRPr="00D21CB9">
              <w:rPr>
                <w:iCs/>
                <w:lang w:eastAsia="lv-LV"/>
              </w:rPr>
              <w:t xml:space="preserve"> sociālās garantijas</w:t>
            </w:r>
            <w:proofErr w:type="gramStart"/>
            <w:r w:rsidRPr="00D21CB9">
              <w:rPr>
                <w:iCs/>
                <w:lang w:eastAsia="lv-LV"/>
              </w:rPr>
              <w:t xml:space="preserve"> )</w:t>
            </w:r>
            <w:proofErr w:type="gramEnd"/>
            <w:r w:rsidRPr="00D21CB9">
              <w:rPr>
                <w:iCs/>
                <w:lang w:eastAsia="lv-LV"/>
              </w:rPr>
              <w:t xml:space="preserve"> x 24,09% DDVSAOI)=12 8</w:t>
            </w:r>
            <w:r w:rsidR="00CD65D6" w:rsidRPr="00D21CB9">
              <w:rPr>
                <w:iCs/>
                <w:lang w:eastAsia="lv-LV"/>
              </w:rPr>
              <w:t>75</w:t>
            </w:r>
            <w:r w:rsidRPr="00D21CB9">
              <w:rPr>
                <w:iCs/>
                <w:lang w:eastAsia="lv-LV"/>
              </w:rPr>
              <w:t xml:space="preserve"> </w:t>
            </w:r>
            <w:proofErr w:type="spellStart"/>
            <w:r w:rsidRPr="002E4BC8">
              <w:rPr>
                <w:i/>
                <w:iCs/>
                <w:lang w:eastAsia="lv-LV"/>
              </w:rPr>
              <w:t>euro</w:t>
            </w:r>
            <w:proofErr w:type="spellEnd"/>
            <w:r w:rsidR="008C6D82" w:rsidRPr="00D21CB9">
              <w:rPr>
                <w:iCs/>
                <w:lang w:eastAsia="lv-LV"/>
              </w:rPr>
              <w:t>.</w:t>
            </w:r>
          </w:p>
          <w:p w14:paraId="777113C0" w14:textId="27671432" w:rsidR="00CC6770" w:rsidRPr="00D21CB9" w:rsidRDefault="00A96EDA" w:rsidP="00A22A43">
            <w:pPr>
              <w:jc w:val="both"/>
              <w:rPr>
                <w:iCs/>
                <w:lang w:eastAsia="lv-LV"/>
              </w:rPr>
            </w:pPr>
            <w:proofErr w:type="gramStart"/>
            <w:r w:rsidRPr="00D21CB9">
              <w:rPr>
                <w:iCs/>
                <w:u w:val="single"/>
                <w:lang w:eastAsia="lv-LV"/>
              </w:rPr>
              <w:t>202</w:t>
            </w:r>
            <w:r w:rsidR="002D1CF9" w:rsidRPr="00D21CB9">
              <w:rPr>
                <w:iCs/>
                <w:u w:val="single"/>
                <w:lang w:eastAsia="lv-LV"/>
              </w:rPr>
              <w:t>2</w:t>
            </w:r>
            <w:r w:rsidRPr="00D21CB9">
              <w:rPr>
                <w:iCs/>
                <w:u w:val="single"/>
                <w:lang w:eastAsia="lv-LV"/>
              </w:rPr>
              <w:t>.gadā</w:t>
            </w:r>
            <w:proofErr w:type="gramEnd"/>
            <w:r w:rsidRPr="00D21CB9">
              <w:rPr>
                <w:iCs/>
                <w:lang w:eastAsia="lv-LV"/>
              </w:rPr>
              <w:t xml:space="preserve"> –  </w:t>
            </w:r>
            <w:r w:rsidR="00E10C3E" w:rsidRPr="00D21CB9">
              <w:rPr>
                <w:iCs/>
                <w:lang w:eastAsia="lv-LV"/>
              </w:rPr>
              <w:t>30 09</w:t>
            </w:r>
            <w:r w:rsidR="0072572B" w:rsidRPr="00D21CB9">
              <w:rPr>
                <w:iCs/>
                <w:lang w:eastAsia="lv-LV"/>
              </w:rPr>
              <w:t>9</w:t>
            </w:r>
            <w:r w:rsidR="00E10C3E" w:rsidRPr="00D21CB9">
              <w:rPr>
                <w:iCs/>
                <w:lang w:eastAsia="lv-LV"/>
              </w:rPr>
              <w:t xml:space="preserve"> </w:t>
            </w:r>
            <w:proofErr w:type="spellStart"/>
            <w:r w:rsidRPr="002E4BC8">
              <w:rPr>
                <w:i/>
                <w:iCs/>
                <w:lang w:eastAsia="lv-LV"/>
              </w:rPr>
              <w:t>euro</w:t>
            </w:r>
            <w:proofErr w:type="spellEnd"/>
            <w:r w:rsidR="00CC6770" w:rsidRPr="00D21CB9">
              <w:rPr>
                <w:iCs/>
                <w:lang w:eastAsia="lv-LV"/>
              </w:rPr>
              <w:t>, t.sk.</w:t>
            </w:r>
            <w:r w:rsidR="008C6D82" w:rsidRPr="00D21CB9">
              <w:rPr>
                <w:iCs/>
                <w:lang w:eastAsia="lv-LV"/>
              </w:rPr>
              <w:t>:</w:t>
            </w:r>
            <w:r w:rsidR="00CC6770" w:rsidRPr="00D21CB9">
              <w:rPr>
                <w:iCs/>
                <w:lang w:eastAsia="lv-LV"/>
              </w:rPr>
              <w:t xml:space="preserve"> </w:t>
            </w:r>
          </w:p>
          <w:p w14:paraId="2E4C639E" w14:textId="4EB4C358" w:rsidR="00CC6770" w:rsidRPr="00D21CB9" w:rsidRDefault="00A96EDA" w:rsidP="00A22A43">
            <w:pPr>
              <w:jc w:val="both"/>
              <w:rPr>
                <w:iCs/>
                <w:lang w:eastAsia="lv-LV"/>
              </w:rPr>
            </w:pPr>
            <w:r w:rsidRPr="00D21CB9">
              <w:rPr>
                <w:iCs/>
                <w:lang w:eastAsia="lv-LV"/>
              </w:rPr>
              <w:t xml:space="preserve"> </w:t>
            </w:r>
            <w:r w:rsidR="00CC6770" w:rsidRPr="00D21CB9">
              <w:rPr>
                <w:iCs/>
                <w:lang w:eastAsia="lv-LV"/>
              </w:rPr>
              <w:t>19 82</w:t>
            </w:r>
            <w:r w:rsidR="00CD65D6" w:rsidRPr="00D21CB9">
              <w:rPr>
                <w:iCs/>
                <w:lang w:eastAsia="lv-LV"/>
              </w:rPr>
              <w:t>5</w:t>
            </w:r>
            <w:r w:rsidR="00CC6770" w:rsidRPr="00D21CB9">
              <w:rPr>
                <w:iCs/>
                <w:lang w:eastAsia="lv-LV"/>
              </w:rPr>
              <w:t xml:space="preserve"> </w:t>
            </w:r>
            <w:proofErr w:type="spellStart"/>
            <w:r w:rsidR="00CC6770" w:rsidRPr="002E4BC8">
              <w:rPr>
                <w:i/>
                <w:iCs/>
                <w:lang w:eastAsia="lv-LV"/>
              </w:rPr>
              <w:t>euro</w:t>
            </w:r>
            <w:proofErr w:type="spellEnd"/>
            <w:r w:rsidR="00CC6770" w:rsidRPr="00D21CB9">
              <w:rPr>
                <w:iCs/>
                <w:lang w:eastAsia="lv-LV"/>
              </w:rPr>
              <w:t xml:space="preserve"> </w:t>
            </w:r>
            <w:r w:rsidRPr="00D21CB9">
              <w:rPr>
                <w:iCs/>
                <w:lang w:eastAsia="lv-LV"/>
              </w:rPr>
              <w:t>projekta vadītājs (9 mēneši)</w:t>
            </w:r>
            <w:r w:rsidR="00CC6770" w:rsidRPr="00D21CB9">
              <w:t xml:space="preserve"> </w:t>
            </w:r>
            <w:r w:rsidR="00CC6770" w:rsidRPr="00D21CB9">
              <w:rPr>
                <w:iCs/>
                <w:lang w:eastAsia="lv-LV"/>
              </w:rPr>
              <w:t>(1 647 mēnešalga x 9 mēneši + 1</w:t>
            </w:r>
            <w:r w:rsidR="002E4BC8" w:rsidRPr="005D7ED1">
              <w:rPr>
                <w:iCs/>
                <w:lang w:eastAsia="lv-LV"/>
              </w:rPr>
              <w:t> </w:t>
            </w:r>
            <w:r w:rsidR="00CC6770" w:rsidRPr="00D21CB9">
              <w:rPr>
                <w:iCs/>
                <w:lang w:eastAsia="lv-LV"/>
              </w:rPr>
              <w:t>15</w:t>
            </w:r>
            <w:r w:rsidR="00CD65D6" w:rsidRPr="00D21CB9">
              <w:rPr>
                <w:iCs/>
                <w:lang w:eastAsia="lv-LV"/>
              </w:rPr>
              <w:t>3</w:t>
            </w:r>
            <w:r w:rsidR="00CC6770" w:rsidRPr="00D21CB9">
              <w:rPr>
                <w:iCs/>
                <w:lang w:eastAsia="lv-LV"/>
              </w:rPr>
              <w:t xml:space="preserve"> sociālās garantijas)</w:t>
            </w:r>
            <w:proofErr w:type="gramStart"/>
            <w:r w:rsidR="00CC6770" w:rsidRPr="00D21CB9">
              <w:rPr>
                <w:iCs/>
                <w:lang w:eastAsia="lv-LV"/>
              </w:rPr>
              <w:t xml:space="preserve">  </w:t>
            </w:r>
            <w:proofErr w:type="gramEnd"/>
            <w:r w:rsidR="00CC6770" w:rsidRPr="00D21CB9">
              <w:rPr>
                <w:iCs/>
                <w:lang w:eastAsia="lv-LV"/>
              </w:rPr>
              <w:t>x 24.09% DDVSAOI = 19 82</w:t>
            </w:r>
            <w:r w:rsidR="00CD65D6" w:rsidRPr="00D21CB9">
              <w:rPr>
                <w:iCs/>
                <w:lang w:eastAsia="lv-LV"/>
              </w:rPr>
              <w:t>5</w:t>
            </w:r>
            <w:r w:rsidR="00CC6770" w:rsidRPr="00D21CB9">
              <w:rPr>
                <w:iCs/>
                <w:lang w:eastAsia="lv-LV"/>
              </w:rPr>
              <w:t xml:space="preserve"> </w:t>
            </w:r>
            <w:proofErr w:type="spellStart"/>
            <w:r w:rsidR="00CC6770" w:rsidRPr="00D21CB9">
              <w:rPr>
                <w:iCs/>
                <w:lang w:eastAsia="lv-LV"/>
              </w:rPr>
              <w:t>euro</w:t>
            </w:r>
            <w:proofErr w:type="spellEnd"/>
            <w:r w:rsidR="008C6D82" w:rsidRPr="00D21CB9">
              <w:rPr>
                <w:iCs/>
                <w:lang w:eastAsia="lv-LV"/>
              </w:rPr>
              <w:t>;</w:t>
            </w:r>
          </w:p>
          <w:p w14:paraId="1B2FDC2F" w14:textId="0FE37F77" w:rsidR="00CC6770" w:rsidRPr="00D21CB9" w:rsidRDefault="00A96EDA" w:rsidP="00A22A43">
            <w:pPr>
              <w:jc w:val="both"/>
              <w:rPr>
                <w:iCs/>
                <w:lang w:eastAsia="lv-LV"/>
              </w:rPr>
            </w:pPr>
            <w:r w:rsidRPr="00D21CB9">
              <w:rPr>
                <w:iCs/>
                <w:lang w:eastAsia="lv-LV"/>
              </w:rPr>
              <w:t xml:space="preserve"> </w:t>
            </w:r>
            <w:r w:rsidR="00CC6770" w:rsidRPr="00D21CB9">
              <w:rPr>
                <w:iCs/>
                <w:lang w:eastAsia="lv-LV"/>
              </w:rPr>
              <w:t>1 91</w:t>
            </w:r>
            <w:r w:rsidR="00CD65D6" w:rsidRPr="00D21CB9">
              <w:rPr>
                <w:iCs/>
                <w:lang w:eastAsia="lv-LV"/>
              </w:rPr>
              <w:t>6</w:t>
            </w:r>
            <w:r w:rsidR="00CC6770" w:rsidRPr="00D21CB9">
              <w:rPr>
                <w:iCs/>
                <w:lang w:eastAsia="lv-LV"/>
              </w:rPr>
              <w:t xml:space="preserve"> euro </w:t>
            </w:r>
            <w:r w:rsidRPr="00D21CB9">
              <w:rPr>
                <w:iCs/>
                <w:lang w:eastAsia="lv-LV"/>
              </w:rPr>
              <w:t>projekta koordinators (</w:t>
            </w:r>
            <w:r w:rsidR="00E10C3E" w:rsidRPr="00D21CB9">
              <w:rPr>
                <w:iCs/>
                <w:lang w:eastAsia="lv-LV"/>
              </w:rPr>
              <w:t>4</w:t>
            </w:r>
            <w:r w:rsidRPr="00D21CB9">
              <w:rPr>
                <w:iCs/>
                <w:lang w:eastAsia="lv-LV"/>
              </w:rPr>
              <w:t xml:space="preserve"> mēneši)</w:t>
            </w:r>
            <w:r w:rsidR="0072572B" w:rsidRPr="00D21CB9">
              <w:t xml:space="preserve"> </w:t>
            </w:r>
            <w:r w:rsidR="0072572B" w:rsidRPr="00D21CB9">
              <w:rPr>
                <w:iCs/>
                <w:lang w:eastAsia="lv-LV"/>
              </w:rPr>
              <w:t>(386,10</w:t>
            </w:r>
            <w:r w:rsidR="0045144A" w:rsidRPr="00D21CB9">
              <w:t xml:space="preserve"> </w:t>
            </w:r>
            <w:r w:rsidR="0045144A" w:rsidRPr="00D21CB9">
              <w:rPr>
                <w:iCs/>
                <w:lang w:eastAsia="lv-LV"/>
              </w:rPr>
              <w:t>mēnešalga</w:t>
            </w:r>
            <w:r w:rsidR="0072572B" w:rsidRPr="00D21CB9">
              <w:rPr>
                <w:iCs/>
                <w:lang w:eastAsia="lv-LV"/>
              </w:rPr>
              <w:t xml:space="preserve"> x 4 mēn</w:t>
            </w:r>
            <w:r w:rsidR="0045144A" w:rsidRPr="00D21CB9">
              <w:rPr>
                <w:iCs/>
                <w:lang w:eastAsia="lv-LV"/>
              </w:rPr>
              <w:t>eši</w:t>
            </w:r>
            <w:proofErr w:type="gramStart"/>
            <w:r w:rsidR="0072572B" w:rsidRPr="00D21CB9">
              <w:rPr>
                <w:iCs/>
                <w:lang w:eastAsia="lv-LV"/>
              </w:rPr>
              <w:t xml:space="preserve">  </w:t>
            </w:r>
            <w:proofErr w:type="gramEnd"/>
            <w:r w:rsidR="0072572B" w:rsidRPr="00D21CB9">
              <w:rPr>
                <w:iCs/>
                <w:lang w:eastAsia="lv-LV"/>
              </w:rPr>
              <w:t>x 24.09% DDVSAOI =1</w:t>
            </w:r>
            <w:r w:rsidR="002E4BC8" w:rsidRPr="005D7ED1">
              <w:rPr>
                <w:iCs/>
                <w:lang w:eastAsia="lv-LV"/>
              </w:rPr>
              <w:t> </w:t>
            </w:r>
            <w:r w:rsidR="0072572B" w:rsidRPr="00D21CB9">
              <w:rPr>
                <w:iCs/>
                <w:lang w:eastAsia="lv-LV"/>
              </w:rPr>
              <w:t>91</w:t>
            </w:r>
            <w:r w:rsidR="00CD65D6" w:rsidRPr="00D21CB9">
              <w:rPr>
                <w:iCs/>
                <w:lang w:eastAsia="lv-LV"/>
              </w:rPr>
              <w:t>6</w:t>
            </w:r>
            <w:r w:rsidR="0072572B" w:rsidRPr="00D21CB9">
              <w:rPr>
                <w:iCs/>
                <w:lang w:eastAsia="lv-LV"/>
              </w:rPr>
              <w:t xml:space="preserve"> </w:t>
            </w:r>
            <w:proofErr w:type="spellStart"/>
            <w:r w:rsidR="0072572B" w:rsidRPr="002E4BC8">
              <w:rPr>
                <w:i/>
                <w:iCs/>
                <w:lang w:eastAsia="lv-LV"/>
              </w:rPr>
              <w:t>euro</w:t>
            </w:r>
            <w:proofErr w:type="spellEnd"/>
            <w:r w:rsidR="0072572B" w:rsidRPr="00D21CB9">
              <w:rPr>
                <w:iCs/>
                <w:lang w:eastAsia="lv-LV"/>
              </w:rPr>
              <w:t>)</w:t>
            </w:r>
            <w:r w:rsidR="008C6D82" w:rsidRPr="00D21CB9">
              <w:rPr>
                <w:iCs/>
                <w:lang w:eastAsia="lv-LV"/>
              </w:rPr>
              <w:t>;</w:t>
            </w:r>
            <w:r w:rsidRPr="00D21CB9">
              <w:rPr>
                <w:iCs/>
                <w:lang w:eastAsia="lv-LV"/>
              </w:rPr>
              <w:t xml:space="preserve"> </w:t>
            </w:r>
          </w:p>
          <w:p w14:paraId="2D77FCF9" w14:textId="3FEA3AED" w:rsidR="00A96EDA" w:rsidRPr="00D21CB9" w:rsidRDefault="00CC6770" w:rsidP="00A22A43">
            <w:pPr>
              <w:jc w:val="both"/>
              <w:rPr>
                <w:iCs/>
                <w:lang w:eastAsia="lv-LV"/>
              </w:rPr>
            </w:pPr>
            <w:r w:rsidRPr="00D21CB9">
              <w:rPr>
                <w:iCs/>
                <w:lang w:eastAsia="lv-LV"/>
              </w:rPr>
              <w:t>8 35</w:t>
            </w:r>
            <w:r w:rsidR="0072572B" w:rsidRPr="00D21CB9">
              <w:rPr>
                <w:iCs/>
                <w:lang w:eastAsia="lv-LV"/>
              </w:rPr>
              <w:t>8</w:t>
            </w:r>
            <w:r w:rsidRPr="00D21CB9">
              <w:rPr>
                <w:iCs/>
                <w:lang w:eastAsia="lv-LV"/>
              </w:rPr>
              <w:t xml:space="preserve"> </w:t>
            </w:r>
            <w:proofErr w:type="spellStart"/>
            <w:r w:rsidRPr="002E4BC8">
              <w:rPr>
                <w:i/>
                <w:iCs/>
                <w:lang w:eastAsia="lv-LV"/>
              </w:rPr>
              <w:t>euro</w:t>
            </w:r>
            <w:proofErr w:type="spellEnd"/>
            <w:r w:rsidRPr="00D21CB9">
              <w:rPr>
                <w:iCs/>
                <w:lang w:eastAsia="lv-LV"/>
              </w:rPr>
              <w:t xml:space="preserve"> </w:t>
            </w:r>
            <w:r w:rsidR="00A96EDA" w:rsidRPr="00D21CB9">
              <w:rPr>
                <w:iCs/>
                <w:lang w:eastAsia="lv-LV"/>
              </w:rPr>
              <w:t xml:space="preserve">vecākais </w:t>
            </w:r>
            <w:proofErr w:type="spellStart"/>
            <w:r w:rsidR="00A96EDA" w:rsidRPr="00D21CB9">
              <w:rPr>
                <w:iCs/>
                <w:lang w:eastAsia="lv-LV"/>
              </w:rPr>
              <w:t>sistēmanalītiķis</w:t>
            </w:r>
            <w:proofErr w:type="spellEnd"/>
            <w:r w:rsidR="00A96EDA" w:rsidRPr="00D21CB9">
              <w:rPr>
                <w:iCs/>
                <w:lang w:eastAsia="lv-LV"/>
              </w:rPr>
              <w:t xml:space="preserve"> (8 mēneši)</w:t>
            </w:r>
            <w:r w:rsidR="0072572B" w:rsidRPr="00D21CB9">
              <w:t xml:space="preserve"> </w:t>
            </w:r>
            <w:r w:rsidR="0072572B" w:rsidRPr="00D21CB9">
              <w:rPr>
                <w:iCs/>
                <w:lang w:eastAsia="lv-LV"/>
              </w:rPr>
              <w:t>(823,50</w:t>
            </w:r>
            <w:r w:rsidR="0045144A" w:rsidRPr="00D21CB9">
              <w:rPr>
                <w:iCs/>
                <w:lang w:eastAsia="lv-LV"/>
              </w:rPr>
              <w:t xml:space="preserve"> mēnešalga </w:t>
            </w:r>
            <w:r w:rsidR="0072572B" w:rsidRPr="00D21CB9">
              <w:rPr>
                <w:iCs/>
                <w:lang w:eastAsia="lv-LV"/>
              </w:rPr>
              <w:t>x</w:t>
            </w:r>
            <w:r w:rsidR="0045144A" w:rsidRPr="00D21CB9">
              <w:rPr>
                <w:iCs/>
                <w:lang w:eastAsia="lv-LV"/>
              </w:rPr>
              <w:t xml:space="preserve"> </w:t>
            </w:r>
            <w:r w:rsidR="0072572B" w:rsidRPr="00D21CB9">
              <w:rPr>
                <w:iCs/>
                <w:lang w:eastAsia="lv-LV"/>
              </w:rPr>
              <w:t xml:space="preserve">8 mēneši + 147 </w:t>
            </w:r>
            <w:proofErr w:type="spellStart"/>
            <w:r w:rsidR="0072572B" w:rsidRPr="002E4BC8">
              <w:rPr>
                <w:i/>
                <w:iCs/>
                <w:lang w:eastAsia="lv-LV"/>
              </w:rPr>
              <w:t>euro</w:t>
            </w:r>
            <w:proofErr w:type="spellEnd"/>
            <w:r w:rsidR="0072572B" w:rsidRPr="00D21CB9">
              <w:rPr>
                <w:iCs/>
                <w:lang w:eastAsia="lv-LV"/>
              </w:rPr>
              <w:t xml:space="preserve"> sociālās garantijas</w:t>
            </w:r>
            <w:proofErr w:type="gramStart"/>
            <w:r w:rsidR="0072572B" w:rsidRPr="00D21CB9">
              <w:rPr>
                <w:iCs/>
                <w:lang w:eastAsia="lv-LV"/>
              </w:rPr>
              <w:t xml:space="preserve"> )</w:t>
            </w:r>
            <w:proofErr w:type="gramEnd"/>
            <w:r w:rsidR="0072572B" w:rsidRPr="00D21CB9">
              <w:rPr>
                <w:iCs/>
                <w:lang w:eastAsia="lv-LV"/>
              </w:rPr>
              <w:t xml:space="preserve"> x 24,09% DDVSAOI)=8 358 </w:t>
            </w:r>
            <w:proofErr w:type="spellStart"/>
            <w:r w:rsidR="0072572B" w:rsidRPr="002E4BC8">
              <w:rPr>
                <w:i/>
                <w:iCs/>
                <w:lang w:eastAsia="lv-LV"/>
              </w:rPr>
              <w:t>euro</w:t>
            </w:r>
            <w:proofErr w:type="spellEnd"/>
            <w:r w:rsidR="004A0DDA" w:rsidRPr="00D21CB9">
              <w:rPr>
                <w:iCs/>
                <w:lang w:eastAsia="lv-LV"/>
              </w:rPr>
              <w:t>.</w:t>
            </w:r>
          </w:p>
          <w:p w14:paraId="6F30AD4E" w14:textId="77777777" w:rsidR="00A96EDA" w:rsidRPr="00D21CB9" w:rsidRDefault="00A96EDA" w:rsidP="00A22A43">
            <w:pPr>
              <w:jc w:val="both"/>
              <w:rPr>
                <w:iCs/>
                <w:lang w:eastAsia="lv-LV"/>
              </w:rPr>
            </w:pPr>
            <w:r w:rsidRPr="00D21CB9">
              <w:rPr>
                <w:iCs/>
                <w:lang w:eastAsia="lv-LV"/>
              </w:rPr>
              <w:t>Pēc projekta īstenošanas ministrijai būs nepieciešama papildus 1 amata vieta, kas tiks nodrošināta, pārdalot amatu vietas nozares amata vietu ietvaros, līdz ar to, valsts pārvaldē kopumā amata vietu skaits netiks palielināts.</w:t>
            </w:r>
          </w:p>
        </w:tc>
      </w:tr>
      <w:tr w:rsidR="00D21CB9" w:rsidRPr="00D21CB9" w14:paraId="57575A9B" w14:textId="77777777" w:rsidTr="00101CE0">
        <w:trPr>
          <w:tblCellSpacing w:w="15" w:type="dxa"/>
        </w:trPr>
        <w:tc>
          <w:tcPr>
            <w:tcW w:w="948" w:type="pct"/>
            <w:tcBorders>
              <w:top w:val="outset" w:sz="6" w:space="0" w:color="auto"/>
              <w:left w:val="outset" w:sz="6" w:space="0" w:color="auto"/>
              <w:bottom w:val="outset" w:sz="6" w:space="0" w:color="auto"/>
              <w:right w:val="outset" w:sz="6" w:space="0" w:color="auto"/>
            </w:tcBorders>
            <w:hideMark/>
          </w:tcPr>
          <w:p w14:paraId="6ACEA009" w14:textId="77777777" w:rsidR="00A96EDA" w:rsidRPr="00D21CB9" w:rsidRDefault="00A96EDA" w:rsidP="00843E17">
            <w:pPr>
              <w:rPr>
                <w:iCs/>
                <w:lang w:eastAsia="lv-LV"/>
              </w:rPr>
            </w:pPr>
            <w:r w:rsidRPr="00D21CB9">
              <w:rPr>
                <w:iCs/>
                <w:lang w:eastAsia="lv-LV"/>
              </w:rPr>
              <w:t>8. Cita informācija</w:t>
            </w:r>
          </w:p>
        </w:tc>
        <w:tc>
          <w:tcPr>
            <w:tcW w:w="4008" w:type="pct"/>
            <w:gridSpan w:val="7"/>
            <w:tcBorders>
              <w:top w:val="outset" w:sz="6" w:space="0" w:color="auto"/>
              <w:left w:val="outset" w:sz="6" w:space="0" w:color="auto"/>
              <w:bottom w:val="outset" w:sz="6" w:space="0" w:color="auto"/>
              <w:right w:val="outset" w:sz="6" w:space="0" w:color="auto"/>
            </w:tcBorders>
            <w:hideMark/>
          </w:tcPr>
          <w:p w14:paraId="13DE6F0F" w14:textId="77777777" w:rsidR="00A96EDA" w:rsidRPr="00D21CB9" w:rsidRDefault="00A96EDA" w:rsidP="00843E17">
            <w:pPr>
              <w:jc w:val="both"/>
              <w:rPr>
                <w:iCs/>
                <w:lang w:eastAsia="lv-LV"/>
              </w:rPr>
            </w:pPr>
            <w:r w:rsidRPr="00D21CB9">
              <w:rPr>
                <w:iCs/>
                <w:lang w:eastAsia="lv-LV"/>
              </w:rPr>
              <w:t>Finansējuma sadalījums pa gadiem ir norādīts indikatīvi un var mainīties SAM pasākuma ieviešanas gaitā atbilstoši faktiskajai situācijai. Projektam nepieciešamais finansējums 2019.gadam tiks pārdalīts no citiem labklājības nozares projektiem, savukārt nepieciešamais finansējums 2020.-2021.gadam tiks pieprasīts no 74. budžeta resora programmas 80.00.00 "Nesadalītais finansējums Eiropas Savienības politiku instrumentu un pārējās ārvalstu finanšu palīdzības līdzfinansēto projektu un pasākumu īstenošanai".</w:t>
            </w:r>
          </w:p>
        </w:tc>
      </w:tr>
    </w:tbl>
    <w:p w14:paraId="4D3BC313" w14:textId="77777777" w:rsidR="00A96EDA" w:rsidRPr="00D21CB9" w:rsidRDefault="00A96EDA" w:rsidP="00A96EDA">
      <w:pPr>
        <w:rPr>
          <w:iCs/>
          <w:lang w:eastAsia="en-US"/>
        </w:rPr>
      </w:pPr>
    </w:p>
    <w:tbl>
      <w:tblPr>
        <w:tblW w:w="5620"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19"/>
      </w:tblGrid>
      <w:tr w:rsidR="00D21CB9" w:rsidRPr="00D21CB9" w14:paraId="06203932" w14:textId="77777777" w:rsidTr="00843E17">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hideMark/>
          </w:tcPr>
          <w:p w14:paraId="08B796C8" w14:textId="77777777" w:rsidR="00A96EDA" w:rsidRPr="00D21CB9" w:rsidRDefault="00A96EDA" w:rsidP="00843E17">
            <w:pPr>
              <w:rPr>
                <w:b/>
                <w:bCs/>
                <w:iCs/>
                <w:lang w:eastAsia="en-US"/>
              </w:rPr>
            </w:pPr>
            <w:r w:rsidRPr="00D21CB9">
              <w:rPr>
                <w:b/>
                <w:bCs/>
                <w:iCs/>
                <w:lang w:eastAsia="en-US"/>
              </w:rPr>
              <w:t>IV. Tiesību akta projekta ietekme uz spēkā esošo tiesību normu sistēmu</w:t>
            </w:r>
          </w:p>
        </w:tc>
      </w:tr>
      <w:tr w:rsidR="00D21CB9" w:rsidRPr="00D21CB9" w14:paraId="12D7DF98" w14:textId="77777777" w:rsidTr="00843E17">
        <w:trPr>
          <w:tblCellSpacing w:w="15" w:type="dxa"/>
        </w:trPr>
        <w:tc>
          <w:tcPr>
            <w:tcW w:w="4971" w:type="pct"/>
            <w:tcBorders>
              <w:top w:val="outset" w:sz="6" w:space="0" w:color="auto"/>
              <w:left w:val="outset" w:sz="6" w:space="0" w:color="auto"/>
              <w:bottom w:val="outset" w:sz="6" w:space="0" w:color="auto"/>
              <w:right w:val="outset" w:sz="6" w:space="0" w:color="auto"/>
            </w:tcBorders>
            <w:hideMark/>
          </w:tcPr>
          <w:p w14:paraId="1D3EF208" w14:textId="77777777" w:rsidR="00A96EDA" w:rsidRPr="00D21CB9" w:rsidRDefault="00A96EDA" w:rsidP="00843E17">
            <w:pPr>
              <w:jc w:val="center"/>
              <w:rPr>
                <w:iCs/>
                <w:lang w:eastAsia="en-US"/>
              </w:rPr>
            </w:pPr>
            <w:r w:rsidRPr="00D21CB9">
              <w:rPr>
                <w:iCs/>
                <w:lang w:eastAsia="en-US"/>
              </w:rPr>
              <w:lastRenderedPageBreak/>
              <w:t>Projekts šo jomu neskar.</w:t>
            </w:r>
          </w:p>
        </w:tc>
      </w:tr>
    </w:tbl>
    <w:p w14:paraId="7EA99704" w14:textId="77777777" w:rsidR="00A96EDA" w:rsidRPr="00D21CB9" w:rsidRDefault="00A96EDA" w:rsidP="00A96EDA">
      <w:pPr>
        <w:rPr>
          <w:iCs/>
          <w:lang w:eastAsia="en-US"/>
        </w:rPr>
      </w:pPr>
      <w:r w:rsidRPr="00D21CB9">
        <w:rPr>
          <w:iCs/>
          <w:lang w:eastAsia="en-US"/>
        </w:rPr>
        <w:t xml:space="preserve">  </w:t>
      </w:r>
    </w:p>
    <w:tbl>
      <w:tblPr>
        <w:tblW w:w="5620"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19"/>
      </w:tblGrid>
      <w:tr w:rsidR="00D21CB9" w:rsidRPr="00D21CB9" w14:paraId="457A76AD" w14:textId="77777777" w:rsidTr="00843E17">
        <w:trPr>
          <w:tblCellSpacing w:w="15" w:type="dxa"/>
        </w:trPr>
        <w:tc>
          <w:tcPr>
            <w:tcW w:w="4971" w:type="pct"/>
            <w:tcBorders>
              <w:top w:val="outset" w:sz="6" w:space="0" w:color="auto"/>
              <w:left w:val="outset" w:sz="6" w:space="0" w:color="auto"/>
              <w:bottom w:val="outset" w:sz="6" w:space="0" w:color="auto"/>
              <w:right w:val="outset" w:sz="6" w:space="0" w:color="auto"/>
            </w:tcBorders>
            <w:vAlign w:val="center"/>
            <w:hideMark/>
          </w:tcPr>
          <w:p w14:paraId="4B137BA0" w14:textId="77777777" w:rsidR="00A96EDA" w:rsidRPr="00D21CB9" w:rsidRDefault="00A96EDA" w:rsidP="00843E17">
            <w:pPr>
              <w:rPr>
                <w:b/>
                <w:bCs/>
                <w:iCs/>
                <w:lang w:val="en-US" w:eastAsia="en-US"/>
              </w:rPr>
            </w:pPr>
            <w:r w:rsidRPr="00D21CB9">
              <w:rPr>
                <w:b/>
                <w:bCs/>
                <w:iCs/>
                <w:lang w:val="en-US" w:eastAsia="en-US"/>
              </w:rPr>
              <w:t xml:space="preserve">V. </w:t>
            </w:r>
            <w:proofErr w:type="spellStart"/>
            <w:r w:rsidRPr="00D21CB9">
              <w:rPr>
                <w:b/>
                <w:bCs/>
                <w:iCs/>
                <w:lang w:val="en-US" w:eastAsia="en-US"/>
              </w:rPr>
              <w:t>Tiesību</w:t>
            </w:r>
            <w:proofErr w:type="spellEnd"/>
            <w:r w:rsidRPr="00D21CB9">
              <w:rPr>
                <w:b/>
                <w:bCs/>
                <w:iCs/>
                <w:lang w:val="en-US" w:eastAsia="en-US"/>
              </w:rPr>
              <w:t xml:space="preserve"> </w:t>
            </w:r>
            <w:proofErr w:type="spellStart"/>
            <w:r w:rsidRPr="00D21CB9">
              <w:rPr>
                <w:b/>
                <w:bCs/>
                <w:iCs/>
                <w:lang w:val="en-US" w:eastAsia="en-US"/>
              </w:rPr>
              <w:t>akta</w:t>
            </w:r>
            <w:proofErr w:type="spellEnd"/>
            <w:r w:rsidRPr="00D21CB9">
              <w:rPr>
                <w:b/>
                <w:bCs/>
                <w:iCs/>
                <w:lang w:val="en-US" w:eastAsia="en-US"/>
              </w:rPr>
              <w:t xml:space="preserve"> </w:t>
            </w:r>
            <w:proofErr w:type="spellStart"/>
            <w:r w:rsidRPr="00D21CB9">
              <w:rPr>
                <w:b/>
                <w:bCs/>
                <w:iCs/>
                <w:lang w:val="en-US" w:eastAsia="en-US"/>
              </w:rPr>
              <w:t>projekta</w:t>
            </w:r>
            <w:proofErr w:type="spellEnd"/>
            <w:r w:rsidRPr="00D21CB9">
              <w:rPr>
                <w:b/>
                <w:bCs/>
                <w:iCs/>
                <w:lang w:val="en-US" w:eastAsia="en-US"/>
              </w:rPr>
              <w:t xml:space="preserve"> </w:t>
            </w:r>
            <w:proofErr w:type="spellStart"/>
            <w:r w:rsidRPr="00D21CB9">
              <w:rPr>
                <w:b/>
                <w:bCs/>
                <w:iCs/>
                <w:lang w:val="en-US" w:eastAsia="en-US"/>
              </w:rPr>
              <w:t>atbilstība</w:t>
            </w:r>
            <w:proofErr w:type="spellEnd"/>
            <w:r w:rsidRPr="00D21CB9">
              <w:rPr>
                <w:b/>
                <w:bCs/>
                <w:iCs/>
                <w:lang w:val="en-US" w:eastAsia="en-US"/>
              </w:rPr>
              <w:t xml:space="preserve"> </w:t>
            </w:r>
            <w:proofErr w:type="spellStart"/>
            <w:r w:rsidRPr="00D21CB9">
              <w:rPr>
                <w:b/>
                <w:bCs/>
                <w:iCs/>
                <w:lang w:val="en-US" w:eastAsia="en-US"/>
              </w:rPr>
              <w:t>Latvijas</w:t>
            </w:r>
            <w:proofErr w:type="spellEnd"/>
            <w:r w:rsidRPr="00D21CB9">
              <w:rPr>
                <w:b/>
                <w:bCs/>
                <w:iCs/>
                <w:lang w:val="en-US" w:eastAsia="en-US"/>
              </w:rPr>
              <w:t xml:space="preserve"> </w:t>
            </w:r>
            <w:proofErr w:type="spellStart"/>
            <w:r w:rsidRPr="00D21CB9">
              <w:rPr>
                <w:b/>
                <w:bCs/>
                <w:iCs/>
                <w:lang w:val="en-US" w:eastAsia="en-US"/>
              </w:rPr>
              <w:t>Republikas</w:t>
            </w:r>
            <w:proofErr w:type="spellEnd"/>
            <w:r w:rsidRPr="00D21CB9">
              <w:rPr>
                <w:b/>
                <w:bCs/>
                <w:iCs/>
                <w:lang w:val="en-US" w:eastAsia="en-US"/>
              </w:rPr>
              <w:t xml:space="preserve"> </w:t>
            </w:r>
            <w:proofErr w:type="spellStart"/>
            <w:r w:rsidRPr="00D21CB9">
              <w:rPr>
                <w:b/>
                <w:bCs/>
                <w:iCs/>
                <w:lang w:val="en-US" w:eastAsia="en-US"/>
              </w:rPr>
              <w:t>starptautiskajām</w:t>
            </w:r>
            <w:proofErr w:type="spellEnd"/>
            <w:r w:rsidRPr="00D21CB9">
              <w:rPr>
                <w:b/>
                <w:bCs/>
                <w:iCs/>
                <w:lang w:val="en-US" w:eastAsia="en-US"/>
              </w:rPr>
              <w:t xml:space="preserve"> </w:t>
            </w:r>
            <w:proofErr w:type="spellStart"/>
            <w:r w:rsidRPr="00D21CB9">
              <w:rPr>
                <w:b/>
                <w:bCs/>
                <w:iCs/>
                <w:lang w:val="en-US" w:eastAsia="en-US"/>
              </w:rPr>
              <w:t>saistībām</w:t>
            </w:r>
            <w:proofErr w:type="spellEnd"/>
          </w:p>
        </w:tc>
      </w:tr>
      <w:tr w:rsidR="00D21CB9" w:rsidRPr="00D21CB9" w14:paraId="39E2E5BD" w14:textId="77777777" w:rsidTr="00843E17">
        <w:trPr>
          <w:tblCellSpacing w:w="15" w:type="dxa"/>
        </w:trPr>
        <w:tc>
          <w:tcPr>
            <w:tcW w:w="4971" w:type="pct"/>
            <w:tcBorders>
              <w:top w:val="outset" w:sz="6" w:space="0" w:color="auto"/>
              <w:left w:val="outset" w:sz="6" w:space="0" w:color="auto"/>
              <w:bottom w:val="outset" w:sz="6" w:space="0" w:color="auto"/>
              <w:right w:val="outset" w:sz="6" w:space="0" w:color="auto"/>
            </w:tcBorders>
            <w:hideMark/>
          </w:tcPr>
          <w:p w14:paraId="0627A49E" w14:textId="77777777" w:rsidR="00A96EDA" w:rsidRPr="00D21CB9" w:rsidRDefault="00A96EDA" w:rsidP="00843E17">
            <w:pPr>
              <w:jc w:val="center"/>
              <w:rPr>
                <w:iCs/>
                <w:lang w:val="en-US" w:eastAsia="en-US"/>
              </w:rPr>
            </w:pPr>
            <w:r w:rsidRPr="00D21CB9">
              <w:rPr>
                <w:iCs/>
                <w:lang w:eastAsia="en-US"/>
              </w:rPr>
              <w:t>Projekts šo jomu neskar.</w:t>
            </w:r>
          </w:p>
        </w:tc>
      </w:tr>
    </w:tbl>
    <w:p w14:paraId="5094612C" w14:textId="77777777" w:rsidR="00A96EDA" w:rsidRPr="00D21CB9" w:rsidRDefault="00A96EDA" w:rsidP="00A96EDA">
      <w:pPr>
        <w:rPr>
          <w:iCs/>
          <w:lang w:val="en-US" w:eastAsia="en-US"/>
        </w:rPr>
      </w:pPr>
      <w:r w:rsidRPr="00D21CB9">
        <w:rPr>
          <w:iCs/>
          <w:lang w:val="en-US" w:eastAsia="en-US"/>
        </w:rPr>
        <w:t xml:space="preserve">  </w:t>
      </w:r>
    </w:p>
    <w:tbl>
      <w:tblPr>
        <w:tblW w:w="5620" w:type="pct"/>
        <w:tblCellSpacing w:w="15" w:type="dxa"/>
        <w:tblInd w:w="-49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3"/>
        <w:gridCol w:w="2984"/>
        <w:gridCol w:w="5992"/>
      </w:tblGrid>
      <w:tr w:rsidR="00D21CB9" w:rsidRPr="00D21CB9" w14:paraId="0153BB05" w14:textId="77777777" w:rsidTr="00843E17">
        <w:trPr>
          <w:tblCellSpacing w:w="15" w:type="dxa"/>
        </w:trPr>
        <w:tc>
          <w:tcPr>
            <w:tcW w:w="4971" w:type="pct"/>
            <w:gridSpan w:val="3"/>
            <w:tcBorders>
              <w:top w:val="outset" w:sz="6" w:space="0" w:color="auto"/>
              <w:left w:val="outset" w:sz="6" w:space="0" w:color="auto"/>
              <w:bottom w:val="outset" w:sz="6" w:space="0" w:color="auto"/>
              <w:right w:val="outset" w:sz="6" w:space="0" w:color="auto"/>
            </w:tcBorders>
            <w:vAlign w:val="center"/>
            <w:hideMark/>
          </w:tcPr>
          <w:p w14:paraId="6760A2D5" w14:textId="77777777" w:rsidR="00A96EDA" w:rsidRPr="00D21CB9" w:rsidRDefault="00A96EDA" w:rsidP="00843E17">
            <w:pPr>
              <w:rPr>
                <w:b/>
                <w:bCs/>
                <w:iCs/>
                <w:lang w:val="en-US" w:eastAsia="en-US"/>
              </w:rPr>
            </w:pPr>
            <w:r w:rsidRPr="00D21CB9">
              <w:rPr>
                <w:b/>
                <w:bCs/>
                <w:iCs/>
                <w:lang w:val="en-US" w:eastAsia="en-US"/>
              </w:rPr>
              <w:t xml:space="preserve">VI. </w:t>
            </w:r>
            <w:proofErr w:type="spellStart"/>
            <w:r w:rsidRPr="00D21CB9">
              <w:rPr>
                <w:b/>
                <w:bCs/>
                <w:iCs/>
                <w:lang w:val="en-US" w:eastAsia="en-US"/>
              </w:rPr>
              <w:t>Sabiedrības</w:t>
            </w:r>
            <w:proofErr w:type="spellEnd"/>
            <w:r w:rsidRPr="00D21CB9">
              <w:rPr>
                <w:b/>
                <w:bCs/>
                <w:iCs/>
                <w:lang w:val="en-US" w:eastAsia="en-US"/>
              </w:rPr>
              <w:t xml:space="preserve"> </w:t>
            </w:r>
            <w:proofErr w:type="spellStart"/>
            <w:r w:rsidRPr="00D21CB9">
              <w:rPr>
                <w:b/>
                <w:bCs/>
                <w:iCs/>
                <w:lang w:val="en-US" w:eastAsia="en-US"/>
              </w:rPr>
              <w:t>līdzdalība</w:t>
            </w:r>
            <w:proofErr w:type="spellEnd"/>
            <w:r w:rsidRPr="00D21CB9">
              <w:rPr>
                <w:b/>
                <w:bCs/>
                <w:iCs/>
                <w:lang w:val="en-US" w:eastAsia="en-US"/>
              </w:rPr>
              <w:t xml:space="preserve"> un </w:t>
            </w:r>
            <w:proofErr w:type="spellStart"/>
            <w:r w:rsidRPr="00D21CB9">
              <w:rPr>
                <w:b/>
                <w:bCs/>
                <w:iCs/>
                <w:lang w:val="en-US" w:eastAsia="en-US"/>
              </w:rPr>
              <w:t>komunikācijas</w:t>
            </w:r>
            <w:proofErr w:type="spellEnd"/>
            <w:r w:rsidRPr="00D21CB9">
              <w:rPr>
                <w:b/>
                <w:bCs/>
                <w:iCs/>
                <w:lang w:val="en-US" w:eastAsia="en-US"/>
              </w:rPr>
              <w:t xml:space="preserve"> </w:t>
            </w:r>
            <w:proofErr w:type="spellStart"/>
            <w:r w:rsidRPr="00D21CB9">
              <w:rPr>
                <w:b/>
                <w:bCs/>
                <w:iCs/>
                <w:lang w:val="en-US" w:eastAsia="en-US"/>
              </w:rPr>
              <w:t>aktivitātes</w:t>
            </w:r>
            <w:proofErr w:type="spellEnd"/>
          </w:p>
        </w:tc>
      </w:tr>
      <w:tr w:rsidR="00D21CB9" w:rsidRPr="00D21CB9" w14:paraId="3A79FF7F" w14:textId="77777777" w:rsidTr="00843E17">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14:paraId="043A690A" w14:textId="77777777" w:rsidR="00A96EDA" w:rsidRPr="00D21CB9" w:rsidRDefault="00A96EDA" w:rsidP="00843E17">
            <w:pPr>
              <w:rPr>
                <w:iCs/>
                <w:lang w:val="en-US" w:eastAsia="en-US"/>
              </w:rPr>
            </w:pPr>
            <w:r w:rsidRPr="00D21CB9">
              <w:rPr>
                <w:iCs/>
                <w:lang w:val="en-US" w:eastAsia="en-US"/>
              </w:rPr>
              <w:t>1.</w:t>
            </w:r>
          </w:p>
        </w:tc>
        <w:tc>
          <w:tcPr>
            <w:tcW w:w="1483" w:type="pct"/>
            <w:tcBorders>
              <w:top w:val="outset" w:sz="6" w:space="0" w:color="auto"/>
              <w:left w:val="outset" w:sz="6" w:space="0" w:color="auto"/>
              <w:bottom w:val="outset" w:sz="6" w:space="0" w:color="auto"/>
              <w:right w:val="outset" w:sz="6" w:space="0" w:color="auto"/>
            </w:tcBorders>
            <w:hideMark/>
          </w:tcPr>
          <w:p w14:paraId="4FDC5D47" w14:textId="77777777" w:rsidR="00A96EDA" w:rsidRPr="00D21CB9" w:rsidRDefault="00A96EDA" w:rsidP="00843E17">
            <w:pPr>
              <w:rPr>
                <w:iCs/>
                <w:lang w:val="en-US" w:eastAsia="en-US"/>
              </w:rPr>
            </w:pPr>
            <w:proofErr w:type="spellStart"/>
            <w:r w:rsidRPr="00D21CB9">
              <w:rPr>
                <w:iCs/>
                <w:lang w:val="en-US" w:eastAsia="en-US"/>
              </w:rPr>
              <w:t>Plānotās</w:t>
            </w:r>
            <w:proofErr w:type="spellEnd"/>
            <w:r w:rsidRPr="00D21CB9">
              <w:rPr>
                <w:iCs/>
                <w:lang w:val="en-US" w:eastAsia="en-US"/>
              </w:rPr>
              <w:t xml:space="preserve"> </w:t>
            </w:r>
            <w:proofErr w:type="spellStart"/>
            <w:r w:rsidRPr="00D21CB9">
              <w:rPr>
                <w:iCs/>
                <w:lang w:val="en-US" w:eastAsia="en-US"/>
              </w:rPr>
              <w:t>sabiedrības</w:t>
            </w:r>
            <w:proofErr w:type="spellEnd"/>
            <w:r w:rsidRPr="00D21CB9">
              <w:rPr>
                <w:iCs/>
                <w:lang w:val="en-US" w:eastAsia="en-US"/>
              </w:rPr>
              <w:t xml:space="preserve"> </w:t>
            </w:r>
            <w:proofErr w:type="spellStart"/>
            <w:r w:rsidRPr="00D21CB9">
              <w:rPr>
                <w:iCs/>
                <w:lang w:val="en-US" w:eastAsia="en-US"/>
              </w:rPr>
              <w:t>līdzdalības</w:t>
            </w:r>
            <w:proofErr w:type="spellEnd"/>
            <w:r w:rsidRPr="00D21CB9">
              <w:rPr>
                <w:iCs/>
                <w:lang w:val="en-US" w:eastAsia="en-US"/>
              </w:rPr>
              <w:t xml:space="preserve"> un </w:t>
            </w:r>
            <w:proofErr w:type="spellStart"/>
            <w:r w:rsidRPr="00D21CB9">
              <w:rPr>
                <w:iCs/>
                <w:lang w:val="en-US" w:eastAsia="en-US"/>
              </w:rPr>
              <w:t>komunikācijas</w:t>
            </w:r>
            <w:proofErr w:type="spellEnd"/>
            <w:r w:rsidRPr="00D21CB9">
              <w:rPr>
                <w:iCs/>
                <w:lang w:val="en-US" w:eastAsia="en-US"/>
              </w:rPr>
              <w:t xml:space="preserve"> </w:t>
            </w:r>
            <w:proofErr w:type="spellStart"/>
            <w:r w:rsidRPr="00D21CB9">
              <w:rPr>
                <w:iCs/>
                <w:lang w:val="en-US" w:eastAsia="en-US"/>
              </w:rPr>
              <w:t>aktivitātes</w:t>
            </w:r>
            <w:proofErr w:type="spellEnd"/>
            <w:r w:rsidRPr="00D21CB9">
              <w:rPr>
                <w:iCs/>
                <w:lang w:val="en-US" w:eastAsia="en-US"/>
              </w:rPr>
              <w:t xml:space="preserve"> </w:t>
            </w:r>
            <w:proofErr w:type="spellStart"/>
            <w:r w:rsidRPr="00D21CB9">
              <w:rPr>
                <w:iCs/>
                <w:lang w:val="en-US" w:eastAsia="en-US"/>
              </w:rPr>
              <w:t>saistībā</w:t>
            </w:r>
            <w:proofErr w:type="spellEnd"/>
            <w:r w:rsidRPr="00D21CB9">
              <w:rPr>
                <w:iCs/>
                <w:lang w:val="en-US" w:eastAsia="en-US"/>
              </w:rPr>
              <w:t xml:space="preserve"> </w:t>
            </w:r>
            <w:proofErr w:type="spellStart"/>
            <w:r w:rsidRPr="00D21CB9">
              <w:rPr>
                <w:iCs/>
                <w:lang w:val="en-US" w:eastAsia="en-US"/>
              </w:rPr>
              <w:t>ar</w:t>
            </w:r>
            <w:proofErr w:type="spellEnd"/>
            <w:r w:rsidRPr="00D21CB9">
              <w:rPr>
                <w:iCs/>
                <w:lang w:val="en-US" w:eastAsia="en-US"/>
              </w:rPr>
              <w:t xml:space="preserve"> </w:t>
            </w:r>
            <w:proofErr w:type="spellStart"/>
            <w:r w:rsidRPr="00D21CB9">
              <w:rPr>
                <w:iCs/>
                <w:lang w:val="en-US" w:eastAsia="en-US"/>
              </w:rPr>
              <w:t>projektu</w:t>
            </w:r>
            <w:proofErr w:type="spellEnd"/>
          </w:p>
        </w:tc>
        <w:tc>
          <w:tcPr>
            <w:tcW w:w="2958" w:type="pct"/>
            <w:tcBorders>
              <w:top w:val="outset" w:sz="6" w:space="0" w:color="auto"/>
              <w:left w:val="outset" w:sz="6" w:space="0" w:color="auto"/>
              <w:bottom w:val="outset" w:sz="6" w:space="0" w:color="auto"/>
              <w:right w:val="outset" w:sz="6" w:space="0" w:color="auto"/>
            </w:tcBorders>
            <w:hideMark/>
          </w:tcPr>
          <w:p w14:paraId="53F35E6B" w14:textId="77777777" w:rsidR="00A96EDA" w:rsidRPr="00D21CB9" w:rsidRDefault="00A96EDA" w:rsidP="00843E17">
            <w:pPr>
              <w:jc w:val="both"/>
              <w:rPr>
                <w:iCs/>
                <w:lang w:val="en-US" w:eastAsia="en-US"/>
              </w:rPr>
            </w:pPr>
            <w:r w:rsidRPr="00D21CB9">
              <w:rPr>
                <w:iCs/>
                <w:lang w:eastAsia="en-US"/>
              </w:rPr>
              <w:t>Sabiedrības</w:t>
            </w:r>
            <w:r w:rsidRPr="00D21CB9">
              <w:rPr>
                <w:iCs/>
                <w:lang w:val="en-US" w:eastAsia="en-US"/>
              </w:rPr>
              <w:t xml:space="preserve"> </w:t>
            </w:r>
            <w:r w:rsidRPr="00D21CB9">
              <w:rPr>
                <w:iCs/>
                <w:lang w:eastAsia="en-US"/>
              </w:rPr>
              <w:t>līdzdalības</w:t>
            </w:r>
            <w:r w:rsidRPr="00D21CB9">
              <w:rPr>
                <w:iCs/>
                <w:lang w:val="en-US" w:eastAsia="en-US"/>
              </w:rPr>
              <w:t xml:space="preserve"> </w:t>
            </w:r>
            <w:r w:rsidRPr="00D21CB9">
              <w:rPr>
                <w:iCs/>
                <w:lang w:eastAsia="en-US"/>
              </w:rPr>
              <w:t>pasākumu</w:t>
            </w:r>
            <w:r w:rsidRPr="00D21CB9">
              <w:rPr>
                <w:iCs/>
                <w:lang w:val="en-US" w:eastAsia="en-US"/>
              </w:rPr>
              <w:t xml:space="preserve"> </w:t>
            </w:r>
            <w:r w:rsidRPr="00D21CB9">
              <w:rPr>
                <w:iCs/>
                <w:lang w:eastAsia="en-US"/>
              </w:rPr>
              <w:t>organizēt</w:t>
            </w:r>
            <w:r w:rsidRPr="00D21CB9">
              <w:rPr>
                <w:iCs/>
                <w:lang w:val="en-US" w:eastAsia="en-US"/>
              </w:rPr>
              <w:t xml:space="preserve"> </w:t>
            </w:r>
            <w:r w:rsidRPr="00D21CB9">
              <w:rPr>
                <w:iCs/>
                <w:lang w:eastAsia="en-US"/>
              </w:rPr>
              <w:t>nav</w:t>
            </w:r>
            <w:r w:rsidRPr="00D21CB9">
              <w:rPr>
                <w:iCs/>
                <w:lang w:val="en-US" w:eastAsia="en-US"/>
              </w:rPr>
              <w:t xml:space="preserve"> </w:t>
            </w:r>
            <w:r w:rsidRPr="00D21CB9">
              <w:rPr>
                <w:iCs/>
                <w:lang w:eastAsia="en-US"/>
              </w:rPr>
              <w:t>nepieciešams</w:t>
            </w:r>
            <w:r w:rsidRPr="00D21CB9">
              <w:rPr>
                <w:iCs/>
                <w:lang w:val="en-US" w:eastAsia="en-US"/>
              </w:rPr>
              <w:t xml:space="preserve">, jo </w:t>
            </w:r>
            <w:r w:rsidRPr="00D21CB9">
              <w:rPr>
                <w:iCs/>
                <w:lang w:eastAsia="en-US"/>
              </w:rPr>
              <w:t>projekts</w:t>
            </w:r>
            <w:r w:rsidRPr="00D21CB9">
              <w:rPr>
                <w:iCs/>
                <w:lang w:val="en-US" w:eastAsia="en-US"/>
              </w:rPr>
              <w:t xml:space="preserve"> </w:t>
            </w:r>
            <w:r w:rsidRPr="00D21CB9">
              <w:rPr>
                <w:iCs/>
                <w:lang w:eastAsia="en-US"/>
              </w:rPr>
              <w:t>neietekmē</w:t>
            </w:r>
            <w:r w:rsidRPr="00D21CB9">
              <w:rPr>
                <w:iCs/>
                <w:lang w:val="en-US" w:eastAsia="en-US"/>
              </w:rPr>
              <w:t xml:space="preserve"> </w:t>
            </w:r>
            <w:r w:rsidRPr="00D21CB9">
              <w:rPr>
                <w:iCs/>
                <w:lang w:eastAsia="en-US"/>
              </w:rPr>
              <w:t>sabiedrību</w:t>
            </w:r>
            <w:r w:rsidRPr="00D21CB9">
              <w:rPr>
                <w:iCs/>
                <w:lang w:val="en-US" w:eastAsia="en-US"/>
              </w:rPr>
              <w:t xml:space="preserve"> </w:t>
            </w:r>
            <w:r w:rsidRPr="00D21CB9">
              <w:rPr>
                <w:iCs/>
                <w:lang w:eastAsia="en-US"/>
              </w:rPr>
              <w:t>tiešā</w:t>
            </w:r>
            <w:r w:rsidRPr="00D21CB9">
              <w:rPr>
                <w:iCs/>
                <w:lang w:val="en-US" w:eastAsia="en-US"/>
              </w:rPr>
              <w:t xml:space="preserve"> </w:t>
            </w:r>
            <w:r w:rsidRPr="00D21CB9">
              <w:rPr>
                <w:iCs/>
                <w:lang w:eastAsia="en-US"/>
              </w:rPr>
              <w:t>veidā</w:t>
            </w:r>
            <w:r w:rsidRPr="00D21CB9">
              <w:rPr>
                <w:iCs/>
                <w:lang w:val="en-US" w:eastAsia="en-US"/>
              </w:rPr>
              <w:t>.</w:t>
            </w:r>
          </w:p>
        </w:tc>
      </w:tr>
      <w:tr w:rsidR="00D21CB9" w:rsidRPr="00D21CB9" w14:paraId="49F4EAA3" w14:textId="77777777" w:rsidTr="00843E17">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14:paraId="754B6FB1" w14:textId="77777777" w:rsidR="00A96EDA" w:rsidRPr="00D21CB9" w:rsidRDefault="00A96EDA" w:rsidP="00843E17">
            <w:pPr>
              <w:rPr>
                <w:iCs/>
                <w:lang w:val="en-US" w:eastAsia="en-US"/>
              </w:rPr>
            </w:pPr>
            <w:r w:rsidRPr="00D21CB9">
              <w:rPr>
                <w:iCs/>
                <w:lang w:val="en-US" w:eastAsia="en-US"/>
              </w:rPr>
              <w:t>2.</w:t>
            </w:r>
          </w:p>
        </w:tc>
        <w:tc>
          <w:tcPr>
            <w:tcW w:w="1483" w:type="pct"/>
            <w:tcBorders>
              <w:top w:val="outset" w:sz="6" w:space="0" w:color="auto"/>
              <w:left w:val="outset" w:sz="6" w:space="0" w:color="auto"/>
              <w:bottom w:val="outset" w:sz="6" w:space="0" w:color="auto"/>
              <w:right w:val="outset" w:sz="6" w:space="0" w:color="auto"/>
            </w:tcBorders>
            <w:hideMark/>
          </w:tcPr>
          <w:p w14:paraId="6A08E138" w14:textId="77777777" w:rsidR="00A96EDA" w:rsidRPr="00D21CB9" w:rsidRDefault="00A96EDA" w:rsidP="00843E17">
            <w:pPr>
              <w:rPr>
                <w:iCs/>
                <w:lang w:val="en-US" w:eastAsia="en-US"/>
              </w:rPr>
            </w:pPr>
            <w:proofErr w:type="spellStart"/>
            <w:r w:rsidRPr="00D21CB9">
              <w:rPr>
                <w:iCs/>
                <w:lang w:val="en-US" w:eastAsia="en-US"/>
              </w:rPr>
              <w:t>Sabiedrības</w:t>
            </w:r>
            <w:proofErr w:type="spellEnd"/>
            <w:r w:rsidRPr="00D21CB9">
              <w:rPr>
                <w:iCs/>
                <w:lang w:val="en-US" w:eastAsia="en-US"/>
              </w:rPr>
              <w:t xml:space="preserve"> </w:t>
            </w:r>
            <w:proofErr w:type="spellStart"/>
            <w:r w:rsidRPr="00D21CB9">
              <w:rPr>
                <w:iCs/>
                <w:lang w:val="en-US" w:eastAsia="en-US"/>
              </w:rPr>
              <w:t>līdzdalība</w:t>
            </w:r>
            <w:proofErr w:type="spellEnd"/>
            <w:r w:rsidRPr="00D21CB9">
              <w:rPr>
                <w:iCs/>
                <w:lang w:val="en-US" w:eastAsia="en-US"/>
              </w:rPr>
              <w:t xml:space="preserve"> </w:t>
            </w:r>
            <w:proofErr w:type="spellStart"/>
            <w:r w:rsidRPr="00D21CB9">
              <w:rPr>
                <w:iCs/>
                <w:lang w:val="en-US" w:eastAsia="en-US"/>
              </w:rPr>
              <w:t>projekta</w:t>
            </w:r>
            <w:proofErr w:type="spellEnd"/>
            <w:r w:rsidRPr="00D21CB9">
              <w:rPr>
                <w:iCs/>
                <w:lang w:val="en-US" w:eastAsia="en-US"/>
              </w:rPr>
              <w:t xml:space="preserve"> </w:t>
            </w:r>
            <w:proofErr w:type="spellStart"/>
            <w:r w:rsidRPr="00D21CB9">
              <w:rPr>
                <w:iCs/>
                <w:lang w:val="en-US" w:eastAsia="en-US"/>
              </w:rPr>
              <w:t>izstrādē</w:t>
            </w:r>
            <w:proofErr w:type="spellEnd"/>
          </w:p>
        </w:tc>
        <w:tc>
          <w:tcPr>
            <w:tcW w:w="2958" w:type="pct"/>
            <w:tcBorders>
              <w:top w:val="outset" w:sz="6" w:space="0" w:color="auto"/>
              <w:left w:val="outset" w:sz="6" w:space="0" w:color="auto"/>
              <w:bottom w:val="outset" w:sz="6" w:space="0" w:color="auto"/>
              <w:right w:val="outset" w:sz="6" w:space="0" w:color="auto"/>
            </w:tcBorders>
            <w:hideMark/>
          </w:tcPr>
          <w:p w14:paraId="71B50E5D" w14:textId="77777777" w:rsidR="00A96EDA" w:rsidRPr="00D21CB9" w:rsidRDefault="00A96EDA" w:rsidP="00843E17">
            <w:pPr>
              <w:rPr>
                <w:iCs/>
                <w:lang w:val="en-US" w:eastAsia="en-US"/>
              </w:rPr>
            </w:pPr>
            <w:r w:rsidRPr="00D21CB9">
              <w:rPr>
                <w:iCs/>
                <w:lang w:val="en-US" w:eastAsia="en-US"/>
              </w:rPr>
              <w:t>Nav</w:t>
            </w:r>
          </w:p>
        </w:tc>
      </w:tr>
      <w:tr w:rsidR="00D21CB9" w:rsidRPr="00D21CB9" w14:paraId="202C8C0C" w14:textId="77777777" w:rsidTr="00843E17">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14:paraId="53DA5BEF" w14:textId="77777777" w:rsidR="00A96EDA" w:rsidRPr="00D21CB9" w:rsidRDefault="00A96EDA" w:rsidP="00843E17">
            <w:pPr>
              <w:rPr>
                <w:iCs/>
                <w:lang w:val="en-US" w:eastAsia="en-US"/>
              </w:rPr>
            </w:pPr>
            <w:r w:rsidRPr="00D21CB9">
              <w:rPr>
                <w:iCs/>
                <w:lang w:val="en-US" w:eastAsia="en-US"/>
              </w:rPr>
              <w:t>3.</w:t>
            </w:r>
          </w:p>
        </w:tc>
        <w:tc>
          <w:tcPr>
            <w:tcW w:w="1483" w:type="pct"/>
            <w:tcBorders>
              <w:top w:val="outset" w:sz="6" w:space="0" w:color="auto"/>
              <w:left w:val="outset" w:sz="6" w:space="0" w:color="auto"/>
              <w:bottom w:val="outset" w:sz="6" w:space="0" w:color="auto"/>
              <w:right w:val="outset" w:sz="6" w:space="0" w:color="auto"/>
            </w:tcBorders>
            <w:hideMark/>
          </w:tcPr>
          <w:p w14:paraId="7B05CF2A" w14:textId="77777777" w:rsidR="00A96EDA" w:rsidRPr="00D21CB9" w:rsidRDefault="00A96EDA" w:rsidP="00843E17">
            <w:pPr>
              <w:rPr>
                <w:iCs/>
                <w:lang w:val="en-US" w:eastAsia="en-US"/>
              </w:rPr>
            </w:pPr>
            <w:proofErr w:type="spellStart"/>
            <w:r w:rsidRPr="00D21CB9">
              <w:rPr>
                <w:iCs/>
                <w:lang w:val="en-US" w:eastAsia="en-US"/>
              </w:rPr>
              <w:t>Sabiedrības</w:t>
            </w:r>
            <w:proofErr w:type="spellEnd"/>
            <w:r w:rsidRPr="00D21CB9">
              <w:rPr>
                <w:iCs/>
                <w:lang w:val="en-US" w:eastAsia="en-US"/>
              </w:rPr>
              <w:t xml:space="preserve"> </w:t>
            </w:r>
            <w:proofErr w:type="spellStart"/>
            <w:r w:rsidRPr="00D21CB9">
              <w:rPr>
                <w:iCs/>
                <w:lang w:val="en-US" w:eastAsia="en-US"/>
              </w:rPr>
              <w:t>līdzdalības</w:t>
            </w:r>
            <w:proofErr w:type="spellEnd"/>
            <w:r w:rsidRPr="00D21CB9">
              <w:rPr>
                <w:iCs/>
                <w:lang w:val="en-US" w:eastAsia="en-US"/>
              </w:rPr>
              <w:t xml:space="preserve"> </w:t>
            </w:r>
            <w:proofErr w:type="spellStart"/>
            <w:r w:rsidRPr="00D21CB9">
              <w:rPr>
                <w:iCs/>
                <w:lang w:val="en-US" w:eastAsia="en-US"/>
              </w:rPr>
              <w:t>rezultāti</w:t>
            </w:r>
            <w:proofErr w:type="spellEnd"/>
          </w:p>
        </w:tc>
        <w:tc>
          <w:tcPr>
            <w:tcW w:w="2958" w:type="pct"/>
            <w:tcBorders>
              <w:top w:val="outset" w:sz="6" w:space="0" w:color="auto"/>
              <w:left w:val="outset" w:sz="6" w:space="0" w:color="auto"/>
              <w:bottom w:val="outset" w:sz="6" w:space="0" w:color="auto"/>
              <w:right w:val="outset" w:sz="6" w:space="0" w:color="auto"/>
            </w:tcBorders>
            <w:hideMark/>
          </w:tcPr>
          <w:p w14:paraId="28E97B51" w14:textId="77777777" w:rsidR="00A96EDA" w:rsidRPr="00D21CB9" w:rsidRDefault="00A96EDA" w:rsidP="00843E17">
            <w:pPr>
              <w:rPr>
                <w:iCs/>
                <w:lang w:val="en-US" w:eastAsia="en-US"/>
              </w:rPr>
            </w:pPr>
            <w:r w:rsidRPr="00D21CB9">
              <w:rPr>
                <w:iCs/>
                <w:lang w:val="en-US" w:eastAsia="en-US"/>
              </w:rPr>
              <w:t>Nav</w:t>
            </w:r>
          </w:p>
        </w:tc>
      </w:tr>
      <w:tr w:rsidR="00D21CB9" w:rsidRPr="00D21CB9" w14:paraId="46728D8C" w14:textId="77777777" w:rsidTr="00843E17">
        <w:trPr>
          <w:tblCellSpacing w:w="15" w:type="dxa"/>
        </w:trPr>
        <w:tc>
          <w:tcPr>
            <w:tcW w:w="501" w:type="pct"/>
            <w:tcBorders>
              <w:top w:val="outset" w:sz="6" w:space="0" w:color="auto"/>
              <w:left w:val="outset" w:sz="6" w:space="0" w:color="auto"/>
              <w:bottom w:val="outset" w:sz="6" w:space="0" w:color="auto"/>
              <w:right w:val="outset" w:sz="6" w:space="0" w:color="auto"/>
            </w:tcBorders>
            <w:hideMark/>
          </w:tcPr>
          <w:p w14:paraId="680575FC" w14:textId="77777777" w:rsidR="00A96EDA" w:rsidRPr="00D21CB9" w:rsidRDefault="00A96EDA" w:rsidP="00843E17">
            <w:pPr>
              <w:rPr>
                <w:iCs/>
                <w:lang w:val="en-US" w:eastAsia="en-US"/>
              </w:rPr>
            </w:pPr>
            <w:r w:rsidRPr="00D21CB9">
              <w:rPr>
                <w:iCs/>
                <w:lang w:val="en-US" w:eastAsia="en-US"/>
              </w:rPr>
              <w:t>4.</w:t>
            </w:r>
          </w:p>
        </w:tc>
        <w:tc>
          <w:tcPr>
            <w:tcW w:w="1483" w:type="pct"/>
            <w:tcBorders>
              <w:top w:val="outset" w:sz="6" w:space="0" w:color="auto"/>
              <w:left w:val="outset" w:sz="6" w:space="0" w:color="auto"/>
              <w:bottom w:val="outset" w:sz="6" w:space="0" w:color="auto"/>
              <w:right w:val="outset" w:sz="6" w:space="0" w:color="auto"/>
            </w:tcBorders>
            <w:hideMark/>
          </w:tcPr>
          <w:p w14:paraId="348C2548" w14:textId="77777777" w:rsidR="00A96EDA" w:rsidRPr="00D21CB9" w:rsidRDefault="00A96EDA" w:rsidP="00843E17">
            <w:pPr>
              <w:rPr>
                <w:iCs/>
                <w:lang w:val="en-US" w:eastAsia="en-US"/>
              </w:rPr>
            </w:pPr>
            <w:proofErr w:type="spellStart"/>
            <w:r w:rsidRPr="00D21CB9">
              <w:rPr>
                <w:iCs/>
                <w:lang w:val="en-US" w:eastAsia="en-US"/>
              </w:rPr>
              <w:t>Cita</w:t>
            </w:r>
            <w:proofErr w:type="spellEnd"/>
            <w:r w:rsidRPr="00D21CB9">
              <w:rPr>
                <w:iCs/>
                <w:lang w:val="en-US" w:eastAsia="en-US"/>
              </w:rPr>
              <w:t xml:space="preserve"> </w:t>
            </w:r>
            <w:proofErr w:type="spellStart"/>
            <w:r w:rsidRPr="00D21CB9">
              <w:rPr>
                <w:iCs/>
                <w:lang w:val="en-US" w:eastAsia="en-US"/>
              </w:rPr>
              <w:t>informācija</w:t>
            </w:r>
            <w:proofErr w:type="spellEnd"/>
          </w:p>
        </w:tc>
        <w:tc>
          <w:tcPr>
            <w:tcW w:w="2958" w:type="pct"/>
            <w:tcBorders>
              <w:top w:val="outset" w:sz="6" w:space="0" w:color="auto"/>
              <w:left w:val="outset" w:sz="6" w:space="0" w:color="auto"/>
              <w:bottom w:val="outset" w:sz="6" w:space="0" w:color="auto"/>
              <w:right w:val="outset" w:sz="6" w:space="0" w:color="auto"/>
            </w:tcBorders>
            <w:hideMark/>
          </w:tcPr>
          <w:p w14:paraId="7F7F01BC" w14:textId="77777777" w:rsidR="00A96EDA" w:rsidRPr="00D21CB9" w:rsidRDefault="00A96EDA" w:rsidP="00843E17">
            <w:pPr>
              <w:rPr>
                <w:iCs/>
                <w:lang w:val="en-US" w:eastAsia="en-US"/>
              </w:rPr>
            </w:pPr>
            <w:r w:rsidRPr="00D21CB9">
              <w:rPr>
                <w:iCs/>
                <w:lang w:val="en-US" w:eastAsia="en-US"/>
              </w:rPr>
              <w:t>Nav</w:t>
            </w:r>
          </w:p>
        </w:tc>
      </w:tr>
    </w:tbl>
    <w:p w14:paraId="33ACFE44" w14:textId="77777777" w:rsidR="00A96EDA" w:rsidRPr="00D21CB9" w:rsidRDefault="00A96EDA" w:rsidP="00A96EDA">
      <w:pPr>
        <w:rPr>
          <w:iCs/>
          <w:lang w:val="en-US" w:eastAsia="en-US"/>
        </w:rPr>
      </w:pPr>
      <w:r w:rsidRPr="00D21CB9">
        <w:rPr>
          <w:iCs/>
          <w:lang w:val="en-US" w:eastAsia="en-US"/>
        </w:rPr>
        <w:t xml:space="preserve">  </w:t>
      </w:r>
    </w:p>
    <w:tbl>
      <w:tblPr>
        <w:tblW w:w="10206" w:type="dxa"/>
        <w:tblInd w:w="-510" w:type="dxa"/>
        <w:tblLayout w:type="fixed"/>
        <w:tblCellMar>
          <w:top w:w="57" w:type="dxa"/>
          <w:left w:w="57" w:type="dxa"/>
          <w:bottom w:w="57" w:type="dxa"/>
          <w:right w:w="57" w:type="dxa"/>
        </w:tblCellMar>
        <w:tblLook w:val="0000" w:firstRow="0" w:lastRow="0" w:firstColumn="0" w:lastColumn="0" w:noHBand="0" w:noVBand="0"/>
      </w:tblPr>
      <w:tblGrid>
        <w:gridCol w:w="816"/>
        <w:gridCol w:w="4376"/>
        <w:gridCol w:w="5014"/>
      </w:tblGrid>
      <w:tr w:rsidR="00D21CB9" w:rsidRPr="00D21CB9" w14:paraId="26B53FF1" w14:textId="77777777" w:rsidTr="00843E17">
        <w:tc>
          <w:tcPr>
            <w:tcW w:w="10206" w:type="dxa"/>
            <w:gridSpan w:val="3"/>
            <w:tcBorders>
              <w:top w:val="single" w:sz="4" w:space="0" w:color="000000"/>
              <w:left w:val="single" w:sz="4" w:space="0" w:color="000000"/>
              <w:bottom w:val="single" w:sz="4" w:space="0" w:color="000000"/>
              <w:right w:val="single" w:sz="4" w:space="0" w:color="000000"/>
            </w:tcBorders>
            <w:shd w:val="clear" w:color="auto" w:fill="auto"/>
          </w:tcPr>
          <w:p w14:paraId="0EA33858" w14:textId="77777777" w:rsidR="00A96EDA" w:rsidRPr="00D21CB9" w:rsidRDefault="00A96EDA" w:rsidP="00843E17">
            <w:pPr>
              <w:pStyle w:val="naisnod"/>
              <w:spacing w:before="0" w:after="0"/>
              <w:ind w:left="57" w:right="57"/>
            </w:pPr>
            <w:r w:rsidRPr="00D21CB9">
              <w:t>VII. Tiesību akta projekta izpildes nodrošināšana un tās ietekme uz institūcijām</w:t>
            </w:r>
          </w:p>
        </w:tc>
      </w:tr>
      <w:tr w:rsidR="00D21CB9" w:rsidRPr="00D21CB9" w14:paraId="0A272EE9" w14:textId="77777777" w:rsidTr="00843E17">
        <w:tblPrEx>
          <w:tblCellMar>
            <w:top w:w="28" w:type="dxa"/>
            <w:left w:w="28" w:type="dxa"/>
            <w:bottom w:w="28" w:type="dxa"/>
            <w:right w:w="28" w:type="dxa"/>
          </w:tblCellMar>
        </w:tblPrEx>
        <w:trPr>
          <w:trHeight w:val="427"/>
        </w:trPr>
        <w:tc>
          <w:tcPr>
            <w:tcW w:w="816" w:type="dxa"/>
            <w:tcBorders>
              <w:top w:val="single" w:sz="4" w:space="0" w:color="000000"/>
              <w:left w:val="single" w:sz="4" w:space="0" w:color="000000"/>
              <w:bottom w:val="single" w:sz="4" w:space="0" w:color="000000"/>
            </w:tcBorders>
            <w:shd w:val="clear" w:color="auto" w:fill="auto"/>
          </w:tcPr>
          <w:p w14:paraId="1262CE54" w14:textId="77777777" w:rsidR="00A96EDA" w:rsidRPr="00D21CB9" w:rsidRDefault="00A96EDA" w:rsidP="00843E17">
            <w:pPr>
              <w:pStyle w:val="naisnod"/>
              <w:spacing w:before="0" w:after="0"/>
              <w:ind w:left="57" w:right="57"/>
              <w:jc w:val="left"/>
            </w:pPr>
            <w:r w:rsidRPr="00D21CB9">
              <w:rPr>
                <w:b w:val="0"/>
              </w:rPr>
              <w:t>1.</w:t>
            </w:r>
          </w:p>
        </w:tc>
        <w:tc>
          <w:tcPr>
            <w:tcW w:w="4376" w:type="dxa"/>
            <w:tcBorders>
              <w:top w:val="single" w:sz="4" w:space="0" w:color="000000"/>
              <w:left w:val="single" w:sz="4" w:space="0" w:color="000000"/>
              <w:bottom w:val="single" w:sz="4" w:space="0" w:color="000000"/>
            </w:tcBorders>
            <w:shd w:val="clear" w:color="auto" w:fill="auto"/>
          </w:tcPr>
          <w:p w14:paraId="739234D2" w14:textId="77777777" w:rsidR="00A96EDA" w:rsidRPr="00D21CB9" w:rsidRDefault="00A96EDA" w:rsidP="00843E17">
            <w:pPr>
              <w:pStyle w:val="naisf"/>
              <w:spacing w:before="0" w:after="0"/>
              <w:ind w:left="57" w:right="57" w:firstLine="0"/>
              <w:jc w:val="left"/>
            </w:pPr>
            <w:r w:rsidRPr="00D21CB9">
              <w:t xml:space="preserve">Projekta izpildē iesaistītās institūcijas </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4B0140FE" w14:textId="77777777" w:rsidR="00A96EDA" w:rsidRPr="00D21CB9" w:rsidRDefault="00A96EDA" w:rsidP="00843E17">
            <w:pPr>
              <w:pStyle w:val="VPBody"/>
              <w:spacing w:after="120" w:line="276" w:lineRule="auto"/>
              <w:jc w:val="both"/>
            </w:pPr>
            <w:r w:rsidRPr="00D21CB9">
              <w:rPr>
                <w:rFonts w:eastAsia="Times New Roman"/>
                <w:szCs w:val="24"/>
                <w:lang w:eastAsia="lv-LV"/>
              </w:rPr>
              <w:t xml:space="preserve">Labklājības ministrija, VARAM, Valsts reģionālās attīstības aģentūra, Valsts sociālās apdrošināšanas aģentūra, Latvijas Pašvaldību savienība, biedrība “Latvijas </w:t>
            </w:r>
            <w:proofErr w:type="spellStart"/>
            <w:r w:rsidRPr="00D21CB9">
              <w:rPr>
                <w:rFonts w:eastAsia="Times New Roman"/>
                <w:szCs w:val="24"/>
                <w:lang w:eastAsia="lv-LV"/>
              </w:rPr>
              <w:t>Bāirņtiesu</w:t>
            </w:r>
            <w:proofErr w:type="spellEnd"/>
            <w:r w:rsidRPr="00D21CB9">
              <w:rPr>
                <w:rFonts w:eastAsia="Times New Roman"/>
                <w:szCs w:val="24"/>
                <w:lang w:eastAsia="lv-LV"/>
              </w:rPr>
              <w:t xml:space="preserve"> darbinieku asociācija”, biedrība “Profesionālo audžuģimeņu apvienība ” Terēze””, Pilsonības un migrācijas lietu pārvalde, IeM IC, VB</w:t>
            </w:r>
            <w:bookmarkStart w:id="1" w:name="_GoBack"/>
            <w:bookmarkEnd w:id="1"/>
            <w:r w:rsidRPr="00D21CB9">
              <w:rPr>
                <w:rFonts w:eastAsia="Times New Roman"/>
                <w:szCs w:val="24"/>
                <w:lang w:eastAsia="lv-LV"/>
              </w:rPr>
              <w:t>TAI, Nacionālais veselības dienests (NVD), VSIA NRC “Vaivari””, Latvijas Nacionālais arhīvs, ārpusģimenes aprūpes atbalsta centri, LNB, LNS un pašvaldības.</w:t>
            </w:r>
          </w:p>
        </w:tc>
      </w:tr>
      <w:tr w:rsidR="00D21CB9" w:rsidRPr="00D21CB9" w14:paraId="5E9532FD" w14:textId="77777777" w:rsidTr="00843E17">
        <w:tblPrEx>
          <w:tblCellMar>
            <w:top w:w="28" w:type="dxa"/>
            <w:left w:w="28" w:type="dxa"/>
            <w:bottom w:w="28" w:type="dxa"/>
            <w:right w:w="28" w:type="dxa"/>
          </w:tblCellMar>
        </w:tblPrEx>
        <w:trPr>
          <w:trHeight w:val="463"/>
        </w:trPr>
        <w:tc>
          <w:tcPr>
            <w:tcW w:w="816" w:type="dxa"/>
            <w:tcBorders>
              <w:top w:val="single" w:sz="4" w:space="0" w:color="000000"/>
              <w:left w:val="single" w:sz="4" w:space="0" w:color="000000"/>
              <w:bottom w:val="single" w:sz="4" w:space="0" w:color="000000"/>
            </w:tcBorders>
            <w:shd w:val="clear" w:color="auto" w:fill="auto"/>
          </w:tcPr>
          <w:p w14:paraId="1C3F63EF" w14:textId="77777777" w:rsidR="00A96EDA" w:rsidRPr="00D21CB9" w:rsidRDefault="00A96EDA" w:rsidP="00843E17">
            <w:pPr>
              <w:pStyle w:val="naisnod"/>
              <w:spacing w:before="0" w:after="0"/>
              <w:ind w:left="57" w:right="57"/>
              <w:jc w:val="left"/>
            </w:pPr>
            <w:r w:rsidRPr="00D21CB9">
              <w:rPr>
                <w:b w:val="0"/>
              </w:rPr>
              <w:t>2.</w:t>
            </w:r>
          </w:p>
        </w:tc>
        <w:tc>
          <w:tcPr>
            <w:tcW w:w="4376" w:type="dxa"/>
            <w:tcBorders>
              <w:top w:val="single" w:sz="4" w:space="0" w:color="000000"/>
              <w:left w:val="single" w:sz="4" w:space="0" w:color="000000"/>
              <w:bottom w:val="single" w:sz="4" w:space="0" w:color="000000"/>
            </w:tcBorders>
            <w:shd w:val="clear" w:color="auto" w:fill="auto"/>
          </w:tcPr>
          <w:p w14:paraId="46E97FA5" w14:textId="77777777" w:rsidR="00A96EDA" w:rsidRPr="00D21CB9" w:rsidRDefault="00A96EDA" w:rsidP="00843E17">
            <w:pPr>
              <w:pStyle w:val="naisf"/>
              <w:spacing w:before="0" w:after="0"/>
              <w:ind w:left="57" w:right="57" w:firstLine="0"/>
              <w:jc w:val="left"/>
            </w:pPr>
            <w:r w:rsidRPr="00D21CB9">
              <w:t>Projekta izpildes ietekme uz pārvaldes funkcijām un institucionālo struktūru</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06D2C326" w14:textId="77777777" w:rsidR="00A96EDA" w:rsidRPr="00D21CB9" w:rsidRDefault="00A96EDA" w:rsidP="00843E17">
            <w:pPr>
              <w:pStyle w:val="naisnod"/>
              <w:spacing w:before="0" w:after="0"/>
              <w:ind w:right="57"/>
              <w:jc w:val="both"/>
            </w:pPr>
            <w:r w:rsidRPr="00D21CB9">
              <w:rPr>
                <w:b w:val="0"/>
                <w:iCs/>
                <w:lang w:val="sv-SE"/>
              </w:rPr>
              <w:t>MK rīkojuma projekts neparedz jaunu institūciju veidošanu, kā arī neparedz esošo institūciju funkciju paplašināšanu. Ar MK rīkojuma projektu noteiktā funkcija tiks īstenota esošo cilvēkresursu ietvaros.</w:t>
            </w:r>
          </w:p>
        </w:tc>
      </w:tr>
      <w:tr w:rsidR="00D21CB9" w:rsidRPr="00D21CB9" w14:paraId="1A832BBA" w14:textId="77777777" w:rsidTr="00843E17">
        <w:tblPrEx>
          <w:tblCellMar>
            <w:top w:w="28" w:type="dxa"/>
            <w:left w:w="28" w:type="dxa"/>
            <w:bottom w:w="28" w:type="dxa"/>
            <w:right w:w="28" w:type="dxa"/>
          </w:tblCellMar>
        </w:tblPrEx>
        <w:trPr>
          <w:trHeight w:val="476"/>
        </w:trPr>
        <w:tc>
          <w:tcPr>
            <w:tcW w:w="816" w:type="dxa"/>
            <w:tcBorders>
              <w:top w:val="single" w:sz="4" w:space="0" w:color="000000"/>
              <w:left w:val="single" w:sz="4" w:space="0" w:color="000000"/>
              <w:bottom w:val="single" w:sz="4" w:space="0" w:color="000000"/>
            </w:tcBorders>
            <w:shd w:val="clear" w:color="auto" w:fill="auto"/>
          </w:tcPr>
          <w:p w14:paraId="1CD1F7DE" w14:textId="77777777" w:rsidR="00A96EDA" w:rsidRPr="00D21CB9" w:rsidRDefault="00A96EDA" w:rsidP="00843E17">
            <w:pPr>
              <w:pStyle w:val="naiskr"/>
              <w:spacing w:before="0" w:after="0"/>
              <w:ind w:left="57" w:right="57"/>
            </w:pPr>
            <w:r w:rsidRPr="00D21CB9">
              <w:t>3.</w:t>
            </w:r>
          </w:p>
        </w:tc>
        <w:tc>
          <w:tcPr>
            <w:tcW w:w="4376" w:type="dxa"/>
            <w:tcBorders>
              <w:top w:val="single" w:sz="4" w:space="0" w:color="000000"/>
              <w:left w:val="single" w:sz="4" w:space="0" w:color="000000"/>
              <w:bottom w:val="single" w:sz="4" w:space="0" w:color="000000"/>
            </w:tcBorders>
            <w:shd w:val="clear" w:color="auto" w:fill="auto"/>
          </w:tcPr>
          <w:p w14:paraId="3E1EBEF7" w14:textId="77777777" w:rsidR="00A96EDA" w:rsidRPr="00D21CB9" w:rsidRDefault="00A96EDA" w:rsidP="00843E17">
            <w:pPr>
              <w:pStyle w:val="naiskr"/>
              <w:spacing w:before="0" w:after="0"/>
              <w:ind w:left="57" w:right="57"/>
            </w:pPr>
            <w:r w:rsidRPr="00D21CB9">
              <w:t>Cita informācija</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14:paraId="3C90CFDD" w14:textId="77777777" w:rsidR="00A96EDA" w:rsidRPr="00D21CB9" w:rsidRDefault="00A96EDA" w:rsidP="00843E17">
            <w:pPr>
              <w:pStyle w:val="naiskr"/>
              <w:spacing w:before="0" w:after="0"/>
              <w:ind w:left="57" w:right="57"/>
            </w:pPr>
            <w:r w:rsidRPr="00D21CB9">
              <w:t>Nav attiecināms</w:t>
            </w:r>
          </w:p>
        </w:tc>
      </w:tr>
    </w:tbl>
    <w:p w14:paraId="35313B43" w14:textId="77777777" w:rsidR="00A96EDA" w:rsidRPr="00D21CB9" w:rsidRDefault="00A96EDA" w:rsidP="00A96EDA">
      <w:pPr>
        <w:ind w:left="-426"/>
        <w:jc w:val="both"/>
      </w:pPr>
    </w:p>
    <w:p w14:paraId="6F6878F4" w14:textId="77777777" w:rsidR="00A96EDA" w:rsidRPr="00D21CB9" w:rsidRDefault="00A96EDA" w:rsidP="00A96EDA">
      <w:pPr>
        <w:ind w:left="-426" w:right="-709"/>
        <w:jc w:val="both"/>
        <w:rPr>
          <w:sz w:val="28"/>
          <w:szCs w:val="28"/>
        </w:rPr>
      </w:pPr>
      <w:r w:rsidRPr="00D21CB9">
        <w:rPr>
          <w:sz w:val="28"/>
          <w:szCs w:val="28"/>
        </w:rPr>
        <w:t>Labklājības ministre</w:t>
      </w:r>
      <w:r w:rsidRPr="00D21CB9">
        <w:rPr>
          <w:sz w:val="28"/>
          <w:szCs w:val="28"/>
        </w:rPr>
        <w:tab/>
      </w:r>
      <w:r w:rsidRPr="00D21CB9">
        <w:rPr>
          <w:sz w:val="28"/>
          <w:szCs w:val="28"/>
        </w:rPr>
        <w:tab/>
      </w:r>
      <w:r w:rsidRPr="00D21CB9">
        <w:rPr>
          <w:sz w:val="28"/>
          <w:szCs w:val="28"/>
        </w:rPr>
        <w:tab/>
      </w:r>
      <w:r w:rsidRPr="00D21CB9">
        <w:rPr>
          <w:sz w:val="28"/>
          <w:szCs w:val="28"/>
        </w:rPr>
        <w:tab/>
      </w:r>
      <w:r w:rsidRPr="00D21CB9">
        <w:rPr>
          <w:sz w:val="28"/>
          <w:szCs w:val="28"/>
        </w:rPr>
        <w:tab/>
      </w:r>
      <w:r w:rsidRPr="00D21CB9">
        <w:rPr>
          <w:sz w:val="28"/>
          <w:szCs w:val="28"/>
        </w:rPr>
        <w:tab/>
      </w:r>
      <w:r w:rsidRPr="00D21CB9">
        <w:rPr>
          <w:sz w:val="28"/>
          <w:szCs w:val="28"/>
        </w:rPr>
        <w:tab/>
      </w:r>
      <w:r w:rsidRPr="00D21CB9">
        <w:rPr>
          <w:sz w:val="28"/>
          <w:szCs w:val="28"/>
        </w:rPr>
        <w:tab/>
      </w:r>
      <w:r w:rsidRPr="00D21CB9">
        <w:rPr>
          <w:sz w:val="28"/>
          <w:szCs w:val="28"/>
        </w:rPr>
        <w:tab/>
      </w:r>
      <w:proofErr w:type="spellStart"/>
      <w:r w:rsidRPr="00D21CB9">
        <w:rPr>
          <w:sz w:val="28"/>
          <w:szCs w:val="28"/>
        </w:rPr>
        <w:t>R.Petraviča</w:t>
      </w:r>
      <w:proofErr w:type="spellEnd"/>
    </w:p>
    <w:p w14:paraId="77C56874" w14:textId="4E16DA11" w:rsidR="00A96EDA" w:rsidRPr="00D21CB9" w:rsidRDefault="00A96EDA" w:rsidP="002E4BC8"/>
    <w:p w14:paraId="6600F453" w14:textId="70DAC990" w:rsidR="00A96EDA" w:rsidRPr="00D21CB9" w:rsidRDefault="00A96EDA" w:rsidP="00A96EDA">
      <w:pPr>
        <w:ind w:left="-284" w:hanging="142"/>
        <w:rPr>
          <w:sz w:val="16"/>
          <w:szCs w:val="16"/>
        </w:rPr>
      </w:pPr>
      <w:bookmarkStart w:id="2" w:name="_Hlk3274493"/>
      <w:r w:rsidRPr="00D21CB9">
        <w:rPr>
          <w:sz w:val="16"/>
          <w:szCs w:val="16"/>
        </w:rPr>
        <w:t xml:space="preserve">Labklājības ministrijas </w:t>
      </w:r>
      <w:r w:rsidR="00D21CB9" w:rsidRPr="00D21CB9">
        <w:rPr>
          <w:sz w:val="16"/>
          <w:szCs w:val="16"/>
        </w:rPr>
        <w:t>Sociālo</w:t>
      </w:r>
      <w:r w:rsidRPr="00D21CB9">
        <w:rPr>
          <w:sz w:val="16"/>
          <w:szCs w:val="16"/>
        </w:rPr>
        <w:t xml:space="preserve"> pakalpojumu departamenta</w:t>
      </w:r>
    </w:p>
    <w:p w14:paraId="0C91AA23" w14:textId="0FCBEAB0" w:rsidR="00A96EDA" w:rsidRPr="00D21CB9" w:rsidRDefault="00A96EDA" w:rsidP="00A96EDA">
      <w:pPr>
        <w:ind w:left="-284" w:hanging="142"/>
      </w:pPr>
      <w:r w:rsidRPr="00D21CB9">
        <w:rPr>
          <w:sz w:val="16"/>
          <w:szCs w:val="16"/>
        </w:rPr>
        <w:t xml:space="preserve">Vecākā </w:t>
      </w:r>
      <w:r w:rsidR="00D21CB9" w:rsidRPr="00D21CB9">
        <w:rPr>
          <w:sz w:val="16"/>
          <w:szCs w:val="16"/>
        </w:rPr>
        <w:t>eksperte</w:t>
      </w:r>
      <w:r w:rsidR="002E4BC8">
        <w:rPr>
          <w:sz w:val="16"/>
          <w:szCs w:val="16"/>
        </w:rPr>
        <w:t xml:space="preserve"> </w:t>
      </w:r>
      <w:r w:rsidRPr="00D21CB9">
        <w:rPr>
          <w:sz w:val="16"/>
          <w:szCs w:val="16"/>
        </w:rPr>
        <w:t xml:space="preserve">Ineta </w:t>
      </w:r>
      <w:proofErr w:type="spellStart"/>
      <w:r w:rsidRPr="00D21CB9">
        <w:rPr>
          <w:sz w:val="16"/>
          <w:szCs w:val="16"/>
        </w:rPr>
        <w:t>Pikše</w:t>
      </w:r>
      <w:proofErr w:type="spellEnd"/>
      <w:r w:rsidRPr="00D21CB9">
        <w:rPr>
          <w:sz w:val="16"/>
          <w:szCs w:val="16"/>
        </w:rPr>
        <w:t>, 67021 634</w:t>
      </w:r>
    </w:p>
    <w:p w14:paraId="4B38B517" w14:textId="77777777" w:rsidR="00A96EDA" w:rsidRPr="00D21CB9" w:rsidRDefault="00B42840" w:rsidP="00A96EDA">
      <w:pPr>
        <w:ind w:left="-284" w:hanging="142"/>
      </w:pPr>
      <w:hyperlink r:id="rId7" w:history="1">
        <w:r w:rsidR="00A96EDA" w:rsidRPr="00D21CB9">
          <w:rPr>
            <w:rStyle w:val="Hyperlink"/>
            <w:color w:val="auto"/>
            <w:sz w:val="16"/>
            <w:szCs w:val="16"/>
            <w:u w:val="none"/>
          </w:rPr>
          <w:t>ineta.pikse@lm.gov.lv</w:t>
        </w:r>
      </w:hyperlink>
      <w:r w:rsidR="00A96EDA" w:rsidRPr="00D21CB9">
        <w:t xml:space="preserve"> </w:t>
      </w:r>
    </w:p>
    <w:bookmarkEnd w:id="2"/>
    <w:p w14:paraId="59880BEB" w14:textId="77777777" w:rsidR="00A96EDA" w:rsidRPr="002E4BC8" w:rsidRDefault="00A96EDA" w:rsidP="00A96EDA">
      <w:pPr>
        <w:ind w:left="-284" w:hanging="142"/>
        <w:rPr>
          <w:sz w:val="16"/>
          <w:szCs w:val="16"/>
        </w:rPr>
      </w:pPr>
      <w:r w:rsidRPr="002E4BC8">
        <w:rPr>
          <w:sz w:val="16"/>
          <w:szCs w:val="16"/>
        </w:rPr>
        <w:t>Labklājības ministrijas Finanšu vadības departamenta</w:t>
      </w:r>
    </w:p>
    <w:p w14:paraId="1305CAFE" w14:textId="7B1B0606" w:rsidR="00A96EDA" w:rsidRPr="002E4BC8" w:rsidRDefault="002E4BC8" w:rsidP="00A96EDA">
      <w:pPr>
        <w:ind w:left="-284" w:hanging="142"/>
        <w:rPr>
          <w:sz w:val="16"/>
          <w:szCs w:val="16"/>
        </w:rPr>
      </w:pPr>
      <w:r w:rsidRPr="002E4BC8">
        <w:rPr>
          <w:sz w:val="16"/>
          <w:szCs w:val="16"/>
        </w:rPr>
        <w:t>D</w:t>
      </w:r>
      <w:r w:rsidR="00A96EDA" w:rsidRPr="002E4BC8">
        <w:rPr>
          <w:sz w:val="16"/>
          <w:szCs w:val="16"/>
        </w:rPr>
        <w:t>irektore</w:t>
      </w:r>
      <w:r>
        <w:rPr>
          <w:sz w:val="16"/>
          <w:szCs w:val="16"/>
        </w:rPr>
        <w:t xml:space="preserve"> </w:t>
      </w:r>
      <w:r w:rsidR="00A96EDA" w:rsidRPr="002E4BC8">
        <w:rPr>
          <w:sz w:val="16"/>
          <w:szCs w:val="16"/>
        </w:rPr>
        <w:t>Aija Grīnberga, 67021 522</w:t>
      </w:r>
    </w:p>
    <w:p w14:paraId="6BE480E5" w14:textId="6A60428C" w:rsidR="008755AA" w:rsidRDefault="00B42840" w:rsidP="00A22A43">
      <w:pPr>
        <w:ind w:left="-284" w:hanging="142"/>
        <w:rPr>
          <w:sz w:val="16"/>
          <w:szCs w:val="16"/>
        </w:rPr>
      </w:pPr>
      <w:hyperlink r:id="rId8" w:history="1">
        <w:r w:rsidR="002E4BC8" w:rsidRPr="00BD4ACA">
          <w:rPr>
            <w:rStyle w:val="Hyperlink"/>
            <w:sz w:val="16"/>
            <w:szCs w:val="16"/>
          </w:rPr>
          <w:t>aija.grinberga@lm.gov.lv</w:t>
        </w:r>
      </w:hyperlink>
    </w:p>
    <w:p w14:paraId="09E5F7D6" w14:textId="033CDF35" w:rsidR="002E4BC8" w:rsidRPr="002E4BC8" w:rsidRDefault="002E4BC8" w:rsidP="002E4BC8">
      <w:pPr>
        <w:ind w:left="-284" w:hanging="142"/>
        <w:rPr>
          <w:sz w:val="16"/>
          <w:szCs w:val="16"/>
        </w:rPr>
      </w:pPr>
      <w:r w:rsidRPr="002E4BC8">
        <w:rPr>
          <w:sz w:val="16"/>
          <w:szCs w:val="16"/>
        </w:rPr>
        <w:t xml:space="preserve">Labklājības ministrijas </w:t>
      </w:r>
      <w:r>
        <w:rPr>
          <w:sz w:val="16"/>
          <w:szCs w:val="16"/>
        </w:rPr>
        <w:t>Informācijas tehnoloģiju</w:t>
      </w:r>
      <w:r w:rsidRPr="002E4BC8">
        <w:rPr>
          <w:sz w:val="16"/>
          <w:szCs w:val="16"/>
        </w:rPr>
        <w:t xml:space="preserve"> departamenta</w:t>
      </w:r>
    </w:p>
    <w:p w14:paraId="786C1463" w14:textId="11908C5A" w:rsidR="002E4BC8" w:rsidRPr="002E4BC8" w:rsidRDefault="002E4BC8" w:rsidP="002E4BC8">
      <w:pPr>
        <w:ind w:left="-284" w:hanging="142"/>
        <w:rPr>
          <w:sz w:val="16"/>
          <w:szCs w:val="16"/>
        </w:rPr>
      </w:pPr>
      <w:r w:rsidRPr="002E4BC8">
        <w:rPr>
          <w:sz w:val="16"/>
          <w:szCs w:val="16"/>
        </w:rPr>
        <w:t>Direktor</w:t>
      </w:r>
      <w:r>
        <w:rPr>
          <w:sz w:val="16"/>
          <w:szCs w:val="16"/>
        </w:rPr>
        <w:t>a vietniece Inese Barbare</w:t>
      </w:r>
      <w:r w:rsidRPr="002E4BC8">
        <w:rPr>
          <w:sz w:val="16"/>
          <w:szCs w:val="16"/>
        </w:rPr>
        <w:t xml:space="preserve">, 67021 </w:t>
      </w:r>
      <w:r>
        <w:rPr>
          <w:sz w:val="16"/>
          <w:szCs w:val="16"/>
        </w:rPr>
        <w:t>659</w:t>
      </w:r>
    </w:p>
    <w:p w14:paraId="78AB67EC" w14:textId="71652678" w:rsidR="002E4BC8" w:rsidRPr="002E4BC8" w:rsidRDefault="002E4BC8" w:rsidP="002E4BC8">
      <w:pPr>
        <w:ind w:left="-284" w:hanging="142"/>
        <w:rPr>
          <w:sz w:val="16"/>
          <w:szCs w:val="16"/>
        </w:rPr>
      </w:pPr>
      <w:r>
        <w:rPr>
          <w:sz w:val="16"/>
          <w:szCs w:val="16"/>
        </w:rPr>
        <w:t>Inese.Barbare</w:t>
      </w:r>
      <w:r w:rsidRPr="002E4BC8">
        <w:rPr>
          <w:sz w:val="16"/>
          <w:szCs w:val="16"/>
        </w:rPr>
        <w:t>@lm.gov.lv</w:t>
      </w:r>
    </w:p>
    <w:sectPr w:rsidR="002E4BC8" w:rsidRPr="002E4BC8">
      <w:headerReference w:type="default" r:id="rId9"/>
      <w:footerReference w:type="default" r:id="rId10"/>
      <w:footerReference w:type="first" r:id="rId11"/>
      <w:pgSz w:w="11906" w:h="16838"/>
      <w:pgMar w:top="1276" w:right="1275"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C8A03" w14:textId="77777777" w:rsidR="00B42840" w:rsidRDefault="00B42840" w:rsidP="00A96EDA">
      <w:r>
        <w:separator/>
      </w:r>
    </w:p>
  </w:endnote>
  <w:endnote w:type="continuationSeparator" w:id="0">
    <w:p w14:paraId="38CC1E29" w14:textId="77777777" w:rsidR="00B42840" w:rsidRDefault="00B42840" w:rsidP="00A9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3235" w14:textId="7780C450" w:rsidR="00EE09FB" w:rsidRDefault="001B6217" w:rsidP="00A93266">
    <w:pPr>
      <w:pStyle w:val="Footer"/>
      <w:jc w:val="both"/>
    </w:pPr>
    <w:r>
      <w:rPr>
        <w:sz w:val="20"/>
        <w:szCs w:val="20"/>
      </w:rPr>
      <w:t>LManot_2</w:t>
    </w:r>
    <w:r w:rsidR="006E16EF">
      <w:rPr>
        <w:sz w:val="20"/>
        <w:szCs w:val="20"/>
      </w:rPr>
      <w:t>9</w:t>
    </w:r>
    <w:r>
      <w:rPr>
        <w:sz w:val="20"/>
        <w:szCs w:val="20"/>
      </w:rPr>
      <w:t>0</w:t>
    </w:r>
    <w:r w:rsidR="00D21CB9">
      <w:rPr>
        <w:sz w:val="20"/>
        <w:szCs w:val="20"/>
      </w:rPr>
      <w:t>4</w:t>
    </w:r>
    <w:r>
      <w:rPr>
        <w:sz w:val="20"/>
        <w:szCs w:val="20"/>
      </w:rPr>
      <w:t>19_MA47; Ministru kabineta rīkojuma projekta „Par informācijas sabiedrības attīstības pamatnostādņu ieviešanu publiskās pārvaldes informācijas sistēmu jomā (</w:t>
    </w:r>
    <w:proofErr w:type="spellStart"/>
    <w:r>
      <w:rPr>
        <w:sz w:val="20"/>
        <w:szCs w:val="20"/>
      </w:rPr>
      <w:t>mērķarhitektūra</w:t>
    </w:r>
    <w:proofErr w:type="spellEnd"/>
    <w:r>
      <w:rPr>
        <w:sz w:val="20"/>
        <w:szCs w:val="20"/>
      </w:rPr>
      <w:t xml:space="preserve"> 47.0 </w:t>
    </w:r>
    <w:proofErr w:type="spellStart"/>
    <w:r>
      <w:rPr>
        <w:sz w:val="20"/>
        <w:szCs w:val="20"/>
      </w:rPr>
      <w:t>vesija</w:t>
    </w:r>
    <w:proofErr w:type="spellEnd"/>
    <w:r>
      <w:rPr>
        <w:sz w:val="20"/>
        <w:szCs w:val="20"/>
      </w:rPr>
      <w:t>)” sākotnējās ietekmes novērtējuma ziņojums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5ADD5" w14:textId="50356E8B" w:rsidR="00A93266" w:rsidRPr="00A93266" w:rsidRDefault="001B6217" w:rsidP="00A93266">
    <w:pPr>
      <w:pStyle w:val="Footer"/>
      <w:rPr>
        <w:sz w:val="20"/>
        <w:szCs w:val="20"/>
      </w:rPr>
    </w:pPr>
    <w:r w:rsidRPr="00A93266">
      <w:rPr>
        <w:sz w:val="20"/>
        <w:szCs w:val="20"/>
      </w:rPr>
      <w:t>LManot_2</w:t>
    </w:r>
    <w:r w:rsidR="006E16EF">
      <w:rPr>
        <w:sz w:val="20"/>
        <w:szCs w:val="20"/>
      </w:rPr>
      <w:t>9</w:t>
    </w:r>
    <w:r w:rsidR="007B464B">
      <w:rPr>
        <w:sz w:val="20"/>
        <w:szCs w:val="20"/>
      </w:rPr>
      <w:t>04</w:t>
    </w:r>
    <w:r w:rsidRPr="00A93266">
      <w:rPr>
        <w:sz w:val="20"/>
        <w:szCs w:val="20"/>
      </w:rPr>
      <w:t>19_MA47; Ministru kabineta rīkojuma projekta „Par informācijas sabiedrības attīstības pamatnostādņu ieviešanu publiskās pārvaldes informācijas sistēmu jomā (</w:t>
    </w:r>
    <w:proofErr w:type="spellStart"/>
    <w:r w:rsidRPr="00A93266">
      <w:rPr>
        <w:sz w:val="20"/>
        <w:szCs w:val="20"/>
      </w:rPr>
      <w:t>mērķarhitektūra</w:t>
    </w:r>
    <w:r>
      <w:rPr>
        <w:sz w:val="20"/>
        <w:szCs w:val="20"/>
      </w:rPr>
      <w:t>s</w:t>
    </w:r>
    <w:proofErr w:type="spellEnd"/>
    <w:r>
      <w:rPr>
        <w:sz w:val="20"/>
        <w:szCs w:val="20"/>
      </w:rPr>
      <w:t xml:space="preserve"> 4</w:t>
    </w:r>
    <w:r w:rsidRPr="00A93266">
      <w:rPr>
        <w:sz w:val="20"/>
        <w:szCs w:val="20"/>
      </w:rPr>
      <w:t>7</w:t>
    </w:r>
    <w:r>
      <w:rPr>
        <w:sz w:val="20"/>
        <w:szCs w:val="20"/>
      </w:rPr>
      <w:t>.0</w:t>
    </w:r>
    <w:r w:rsidRPr="00A93266">
      <w:rPr>
        <w:sz w:val="20"/>
        <w:szCs w:val="20"/>
      </w:rPr>
      <w:t xml:space="preserve"> </w:t>
    </w:r>
    <w:proofErr w:type="spellStart"/>
    <w:r w:rsidRPr="00A93266">
      <w:rPr>
        <w:sz w:val="20"/>
        <w:szCs w:val="20"/>
      </w:rPr>
      <w:t>vesija</w:t>
    </w:r>
    <w:proofErr w:type="spellEnd"/>
    <w:r w:rsidRPr="00A93266">
      <w:rPr>
        <w:sz w:val="20"/>
        <w:szCs w:val="20"/>
      </w:rPr>
      <w:t>)” sākotnējās ietekmes novērtējuma ziņojums (anotācija)</w:t>
    </w:r>
  </w:p>
  <w:p w14:paraId="40AA98AC" w14:textId="77777777" w:rsidR="00EE09FB" w:rsidRPr="00A93266" w:rsidRDefault="00B42840" w:rsidP="00A932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A0121" w14:textId="77777777" w:rsidR="00B42840" w:rsidRDefault="00B42840" w:rsidP="00A96EDA">
      <w:r>
        <w:separator/>
      </w:r>
    </w:p>
  </w:footnote>
  <w:footnote w:type="continuationSeparator" w:id="0">
    <w:p w14:paraId="74F94A4F" w14:textId="77777777" w:rsidR="00B42840" w:rsidRDefault="00B42840" w:rsidP="00A96EDA">
      <w:r>
        <w:continuationSeparator/>
      </w:r>
    </w:p>
  </w:footnote>
  <w:footnote w:id="1">
    <w:p w14:paraId="1151A490" w14:textId="77777777" w:rsidR="00F47EDF" w:rsidRPr="005A22E8" w:rsidRDefault="00F47EDF" w:rsidP="00F47EDF">
      <w:pPr>
        <w:pStyle w:val="ListParagraph"/>
        <w:ind w:left="0"/>
        <w:jc w:val="both"/>
        <w:rPr>
          <w:sz w:val="20"/>
          <w:szCs w:val="20"/>
        </w:rPr>
      </w:pPr>
      <w:r w:rsidRPr="00C57B03">
        <w:rPr>
          <w:rStyle w:val="FootnoteReference"/>
        </w:rPr>
        <w:footnoteRef/>
      </w:r>
      <w:r w:rsidRPr="00C57B03">
        <w:t xml:space="preserve"> </w:t>
      </w:r>
      <w:r w:rsidRPr="005A22E8">
        <w:rPr>
          <w:sz w:val="20"/>
          <w:szCs w:val="20"/>
        </w:rPr>
        <w:t xml:space="preserve">tiek izveidota Eiropas Reģionālās attīstības fonda projekta </w:t>
      </w:r>
      <w:bookmarkStart w:id="0" w:name="_Hlk535494826"/>
      <w:r w:rsidRPr="005A22E8">
        <w:rPr>
          <w:sz w:val="20"/>
          <w:szCs w:val="20"/>
        </w:rPr>
        <w:t xml:space="preserve">"VSIA NRC "Vaivari" infrastruktūras attīstība funkcionēšanas novērtēšanas un asistīvo tehnoloģiju apmaiņas fonda izveidei" (Nr.9.3.1.2/16/I/001) ietvaros </w:t>
      </w:r>
    </w:p>
    <w:bookmarkEnd w:id="0"/>
    <w:p w14:paraId="0422D2A7" w14:textId="77777777" w:rsidR="00F47EDF" w:rsidRPr="00991681" w:rsidRDefault="00F47EDF" w:rsidP="00F47EDF">
      <w:pPr>
        <w:pStyle w:val="FootnoteText"/>
      </w:pPr>
    </w:p>
  </w:footnote>
  <w:footnote w:id="2">
    <w:p w14:paraId="46F7F5D5" w14:textId="77777777" w:rsidR="00F47EDF" w:rsidRPr="006A7422" w:rsidRDefault="00F47EDF" w:rsidP="00F47EDF">
      <w:pPr>
        <w:pStyle w:val="FootnoteText"/>
        <w:jc w:val="both"/>
        <w:rPr>
          <w:rFonts w:ascii="Times New Roman" w:hAnsi="Times New Roman" w:cs="Times New Roman"/>
        </w:rPr>
      </w:pPr>
      <w:r w:rsidRPr="006A7422">
        <w:rPr>
          <w:rStyle w:val="FootnoteReference"/>
          <w:rFonts w:ascii="Times New Roman" w:hAnsi="Times New Roman" w:cs="Times New Roman"/>
        </w:rPr>
        <w:footnoteRef/>
      </w:r>
      <w:r w:rsidRPr="006A7422">
        <w:rPr>
          <w:rFonts w:ascii="Times New Roman" w:hAnsi="Times New Roman" w:cs="Times New Roman"/>
        </w:rPr>
        <w:t xml:space="preserve"> </w:t>
      </w:r>
      <w:r w:rsidRPr="006A7422">
        <w:rPr>
          <w:rFonts w:ascii="Times New Roman" w:hAnsi="Times New Roman" w:cs="Times New Roman"/>
          <w:szCs w:val="18"/>
        </w:rPr>
        <w:t>Ministru kabineta 2015.gada 17.novembra noteikumi Nr. 653 “Darbības programmas “Izaugsme un nodarbinātība” 2.2.1.specifiskā atbalsta mērķa “Nodrošināt publisko datu atkalizmantošanas pieaugumu un efektīvu publiskās pārvaldes un privātā sektora mijiedarbību” 2.2.1.1.pasākuma “Centralizētu publiskās pārvaldes IKT platformu izveide, publiskās pārvaldes procesu optimizēšana un attīstība” īstenošanas noteikumi”.</w:t>
      </w:r>
      <w:r w:rsidRPr="006A7422">
        <w:rPr>
          <w:rFonts w:ascii="Times New Roman" w:hAnsi="Times New Roman" w:cs="Times New Roman"/>
        </w:rPr>
        <w:t xml:space="preserve"> </w:t>
      </w:r>
    </w:p>
  </w:footnote>
  <w:footnote w:id="3">
    <w:p w14:paraId="053272E3" w14:textId="77777777" w:rsidR="00A96EDA" w:rsidRDefault="00A96EDA" w:rsidP="00A96EDA">
      <w:pPr>
        <w:pStyle w:val="FootnoteText"/>
      </w:pPr>
      <w:r>
        <w:rPr>
          <w:rStyle w:val="FootnoteReference"/>
        </w:rPr>
        <w:footnoteRef/>
      </w:r>
      <w:r>
        <w:t xml:space="preserve"> Cilvēkstundas cena, atbilstoši spēkā esošajam cenrādim EIS par IS SOPA uzturēšanu.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E2F93" w14:textId="77777777" w:rsidR="00EE09FB" w:rsidRDefault="001B6217">
    <w:pPr>
      <w:pStyle w:val="Header"/>
      <w:jc w:val="center"/>
    </w:pPr>
    <w:r>
      <w:fldChar w:fldCharType="begin"/>
    </w:r>
    <w:r>
      <w:instrText xml:space="preserve"> PAGE </w:instrText>
    </w:r>
    <w:r>
      <w:fldChar w:fldCharType="separate"/>
    </w:r>
    <w:r w:rsidR="007C7332">
      <w:rPr>
        <w:noProof/>
      </w:rPr>
      <w:t>10</w:t>
    </w:r>
    <w:r>
      <w:fldChar w:fldCharType="end"/>
    </w:r>
  </w:p>
  <w:p w14:paraId="4D2414AF" w14:textId="77777777" w:rsidR="00EE09FB" w:rsidRDefault="00B428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05"/>
    <w:multiLevelType w:val="singleLevel"/>
    <w:tmpl w:val="00000005"/>
    <w:name w:val="WW8Num14"/>
    <w:lvl w:ilvl="0">
      <w:start w:val="1"/>
      <w:numFmt w:val="decimal"/>
      <w:lvlText w:val="%1)"/>
      <w:lvlJc w:val="left"/>
      <w:pPr>
        <w:tabs>
          <w:tab w:val="num" w:pos="0"/>
        </w:tabs>
        <w:ind w:left="360" w:hanging="360"/>
      </w:pPr>
    </w:lvl>
  </w:abstractNum>
  <w:abstractNum w:abstractNumId="2" w15:restartNumberingAfterBreak="0">
    <w:nsid w:val="282414E5"/>
    <w:multiLevelType w:val="hybridMultilevel"/>
    <w:tmpl w:val="88F6C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15E2736"/>
    <w:multiLevelType w:val="hybridMultilevel"/>
    <w:tmpl w:val="EE561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BE92837"/>
    <w:multiLevelType w:val="hybridMultilevel"/>
    <w:tmpl w:val="E8328D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5115ABE"/>
    <w:multiLevelType w:val="hybridMultilevel"/>
    <w:tmpl w:val="D58C0FD0"/>
    <w:lvl w:ilvl="0" w:tplc="04260011">
      <w:start w:val="1"/>
      <w:numFmt w:val="decimal"/>
      <w:lvlText w:val="%1)"/>
      <w:lvlJc w:val="left"/>
      <w:pPr>
        <w:tabs>
          <w:tab w:val="num" w:pos="1095"/>
        </w:tabs>
        <w:ind w:left="1095" w:hanging="360"/>
      </w:pPr>
      <w:rPr>
        <w:rFonts w:hint="default"/>
      </w:rPr>
    </w:lvl>
    <w:lvl w:ilvl="1" w:tplc="04260003" w:tentative="1">
      <w:start w:val="1"/>
      <w:numFmt w:val="bullet"/>
      <w:lvlText w:val="o"/>
      <w:lvlJc w:val="left"/>
      <w:pPr>
        <w:tabs>
          <w:tab w:val="num" w:pos="1815"/>
        </w:tabs>
        <w:ind w:left="1815" w:hanging="360"/>
      </w:pPr>
      <w:rPr>
        <w:rFonts w:ascii="Courier New" w:hAnsi="Courier New" w:cs="Courier New" w:hint="default"/>
      </w:rPr>
    </w:lvl>
    <w:lvl w:ilvl="2" w:tplc="04260005" w:tentative="1">
      <w:start w:val="1"/>
      <w:numFmt w:val="bullet"/>
      <w:lvlText w:val=""/>
      <w:lvlJc w:val="left"/>
      <w:pPr>
        <w:tabs>
          <w:tab w:val="num" w:pos="2535"/>
        </w:tabs>
        <w:ind w:left="2535" w:hanging="360"/>
      </w:pPr>
      <w:rPr>
        <w:rFonts w:ascii="Wingdings" w:hAnsi="Wingdings" w:hint="default"/>
      </w:rPr>
    </w:lvl>
    <w:lvl w:ilvl="3" w:tplc="04260001" w:tentative="1">
      <w:start w:val="1"/>
      <w:numFmt w:val="bullet"/>
      <w:lvlText w:val=""/>
      <w:lvlJc w:val="left"/>
      <w:pPr>
        <w:tabs>
          <w:tab w:val="num" w:pos="3255"/>
        </w:tabs>
        <w:ind w:left="3255" w:hanging="360"/>
      </w:pPr>
      <w:rPr>
        <w:rFonts w:ascii="Symbol" w:hAnsi="Symbol" w:hint="default"/>
      </w:rPr>
    </w:lvl>
    <w:lvl w:ilvl="4" w:tplc="04260003" w:tentative="1">
      <w:start w:val="1"/>
      <w:numFmt w:val="bullet"/>
      <w:lvlText w:val="o"/>
      <w:lvlJc w:val="left"/>
      <w:pPr>
        <w:tabs>
          <w:tab w:val="num" w:pos="3975"/>
        </w:tabs>
        <w:ind w:left="3975" w:hanging="360"/>
      </w:pPr>
      <w:rPr>
        <w:rFonts w:ascii="Courier New" w:hAnsi="Courier New" w:cs="Courier New" w:hint="default"/>
      </w:rPr>
    </w:lvl>
    <w:lvl w:ilvl="5" w:tplc="04260005" w:tentative="1">
      <w:start w:val="1"/>
      <w:numFmt w:val="bullet"/>
      <w:lvlText w:val=""/>
      <w:lvlJc w:val="left"/>
      <w:pPr>
        <w:tabs>
          <w:tab w:val="num" w:pos="4695"/>
        </w:tabs>
        <w:ind w:left="4695" w:hanging="360"/>
      </w:pPr>
      <w:rPr>
        <w:rFonts w:ascii="Wingdings" w:hAnsi="Wingdings" w:hint="default"/>
      </w:rPr>
    </w:lvl>
    <w:lvl w:ilvl="6" w:tplc="04260001" w:tentative="1">
      <w:start w:val="1"/>
      <w:numFmt w:val="bullet"/>
      <w:lvlText w:val=""/>
      <w:lvlJc w:val="left"/>
      <w:pPr>
        <w:tabs>
          <w:tab w:val="num" w:pos="5415"/>
        </w:tabs>
        <w:ind w:left="5415" w:hanging="360"/>
      </w:pPr>
      <w:rPr>
        <w:rFonts w:ascii="Symbol" w:hAnsi="Symbol" w:hint="default"/>
      </w:rPr>
    </w:lvl>
    <w:lvl w:ilvl="7" w:tplc="04260003" w:tentative="1">
      <w:start w:val="1"/>
      <w:numFmt w:val="bullet"/>
      <w:lvlText w:val="o"/>
      <w:lvlJc w:val="left"/>
      <w:pPr>
        <w:tabs>
          <w:tab w:val="num" w:pos="6135"/>
        </w:tabs>
        <w:ind w:left="6135" w:hanging="360"/>
      </w:pPr>
      <w:rPr>
        <w:rFonts w:ascii="Courier New" w:hAnsi="Courier New" w:cs="Courier New" w:hint="default"/>
      </w:rPr>
    </w:lvl>
    <w:lvl w:ilvl="8" w:tplc="04260005" w:tentative="1">
      <w:start w:val="1"/>
      <w:numFmt w:val="bullet"/>
      <w:lvlText w:val=""/>
      <w:lvlJc w:val="left"/>
      <w:pPr>
        <w:tabs>
          <w:tab w:val="num" w:pos="6855"/>
        </w:tabs>
        <w:ind w:left="6855"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DA"/>
    <w:rsid w:val="0006698C"/>
    <w:rsid w:val="00101CE0"/>
    <w:rsid w:val="001A42B2"/>
    <w:rsid w:val="001B6063"/>
    <w:rsid w:val="001B6217"/>
    <w:rsid w:val="001E7DD0"/>
    <w:rsid w:val="001F01EB"/>
    <w:rsid w:val="00243B42"/>
    <w:rsid w:val="002D1CF9"/>
    <w:rsid w:val="002E4BC8"/>
    <w:rsid w:val="00360920"/>
    <w:rsid w:val="004421E2"/>
    <w:rsid w:val="00447AE2"/>
    <w:rsid w:val="0045027F"/>
    <w:rsid w:val="0045144A"/>
    <w:rsid w:val="004811FC"/>
    <w:rsid w:val="00486246"/>
    <w:rsid w:val="004A0DDA"/>
    <w:rsid w:val="0051762D"/>
    <w:rsid w:val="005B7856"/>
    <w:rsid w:val="005D7ED1"/>
    <w:rsid w:val="005F2AD6"/>
    <w:rsid w:val="00650A4E"/>
    <w:rsid w:val="006576F1"/>
    <w:rsid w:val="00680CA5"/>
    <w:rsid w:val="00691B4A"/>
    <w:rsid w:val="006C79E0"/>
    <w:rsid w:val="006E16EF"/>
    <w:rsid w:val="0072572B"/>
    <w:rsid w:val="0077679D"/>
    <w:rsid w:val="007B464B"/>
    <w:rsid w:val="007C7332"/>
    <w:rsid w:val="0083340D"/>
    <w:rsid w:val="00844CA3"/>
    <w:rsid w:val="00855D5F"/>
    <w:rsid w:val="008755AA"/>
    <w:rsid w:val="008976B0"/>
    <w:rsid w:val="008C6D82"/>
    <w:rsid w:val="008E08C1"/>
    <w:rsid w:val="008F27F4"/>
    <w:rsid w:val="009E519C"/>
    <w:rsid w:val="00A22A43"/>
    <w:rsid w:val="00A702A7"/>
    <w:rsid w:val="00A96EDA"/>
    <w:rsid w:val="00AF297B"/>
    <w:rsid w:val="00B42840"/>
    <w:rsid w:val="00BF12FF"/>
    <w:rsid w:val="00C11902"/>
    <w:rsid w:val="00C27A01"/>
    <w:rsid w:val="00CC6770"/>
    <w:rsid w:val="00CD4E7A"/>
    <w:rsid w:val="00CD65D6"/>
    <w:rsid w:val="00D21CB9"/>
    <w:rsid w:val="00DB1F3F"/>
    <w:rsid w:val="00E10C3E"/>
    <w:rsid w:val="00F46391"/>
    <w:rsid w:val="00F47EDF"/>
    <w:rsid w:val="00F561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F7282"/>
  <w15:docId w15:val="{74B1DED6-9BF1-41BD-94D0-557ADC7BF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DA"/>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96EDA"/>
    <w:rPr>
      <w:color w:val="0000FF"/>
      <w:u w:val="single"/>
    </w:rPr>
  </w:style>
  <w:style w:type="character" w:styleId="CommentReference">
    <w:name w:val="annotation reference"/>
    <w:rsid w:val="00A96EDA"/>
    <w:rPr>
      <w:sz w:val="16"/>
      <w:szCs w:val="16"/>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link w:val="CharCharCharChar"/>
    <w:uiPriority w:val="99"/>
    <w:rsid w:val="00A96EDA"/>
    <w:rPr>
      <w:vertAlign w:val="superscript"/>
    </w:rPr>
  </w:style>
  <w:style w:type="paragraph" w:customStyle="1" w:styleId="naisf">
    <w:name w:val="naisf"/>
    <w:basedOn w:val="Normal"/>
    <w:rsid w:val="00A96EDA"/>
    <w:pPr>
      <w:spacing w:before="75" w:after="75"/>
      <w:ind w:firstLine="375"/>
      <w:jc w:val="both"/>
    </w:pPr>
  </w:style>
  <w:style w:type="paragraph" w:customStyle="1" w:styleId="naisnod">
    <w:name w:val="naisnod"/>
    <w:basedOn w:val="Normal"/>
    <w:rsid w:val="00A96EDA"/>
    <w:pPr>
      <w:spacing w:before="150" w:after="150"/>
      <w:jc w:val="center"/>
    </w:pPr>
    <w:rPr>
      <w:b/>
      <w:bCs/>
    </w:rPr>
  </w:style>
  <w:style w:type="paragraph" w:customStyle="1" w:styleId="naiskr">
    <w:name w:val="naiskr"/>
    <w:basedOn w:val="Normal"/>
    <w:rsid w:val="00A96EDA"/>
    <w:pPr>
      <w:spacing w:before="75" w:after="75"/>
    </w:pPr>
  </w:style>
  <w:style w:type="paragraph" w:styleId="Header">
    <w:name w:val="header"/>
    <w:basedOn w:val="Normal"/>
    <w:link w:val="HeaderChar"/>
    <w:rsid w:val="00A96EDA"/>
  </w:style>
  <w:style w:type="character" w:customStyle="1" w:styleId="HeaderChar">
    <w:name w:val="Header Char"/>
    <w:basedOn w:val="DefaultParagraphFont"/>
    <w:link w:val="Header"/>
    <w:rsid w:val="00A96EDA"/>
    <w:rPr>
      <w:rFonts w:ascii="Times New Roman" w:eastAsia="Times New Roman" w:hAnsi="Times New Roman" w:cs="Times New Roman"/>
      <w:sz w:val="24"/>
      <w:szCs w:val="24"/>
      <w:lang w:eastAsia="zh-CN"/>
    </w:rPr>
  </w:style>
  <w:style w:type="paragraph" w:styleId="Footer">
    <w:name w:val="footer"/>
    <w:basedOn w:val="Normal"/>
    <w:link w:val="FooterChar"/>
    <w:rsid w:val="00A96EDA"/>
  </w:style>
  <w:style w:type="character" w:customStyle="1" w:styleId="FooterChar">
    <w:name w:val="Footer Char"/>
    <w:basedOn w:val="DefaultParagraphFont"/>
    <w:link w:val="Footer"/>
    <w:rsid w:val="00A96EDA"/>
    <w:rPr>
      <w:rFonts w:ascii="Times New Roman" w:eastAsia="Times New Roman" w:hAnsi="Times New Roman" w:cs="Times New Roman"/>
      <w:sz w:val="24"/>
      <w:szCs w:val="24"/>
      <w:lang w:eastAsia="zh-CN"/>
    </w:rPr>
  </w:style>
  <w:style w:type="paragraph" w:styleId="CommentText">
    <w:name w:val="annotation text"/>
    <w:basedOn w:val="Normal"/>
    <w:link w:val="CommentTextChar"/>
    <w:rsid w:val="00A96EDA"/>
    <w:rPr>
      <w:sz w:val="20"/>
      <w:szCs w:val="20"/>
    </w:rPr>
  </w:style>
  <w:style w:type="character" w:customStyle="1" w:styleId="CommentTextChar">
    <w:name w:val="Comment Text Char"/>
    <w:basedOn w:val="DefaultParagraphFont"/>
    <w:link w:val="CommentText"/>
    <w:rsid w:val="00A96EDA"/>
    <w:rPr>
      <w:rFonts w:ascii="Times New Roman" w:eastAsia="Times New Roman" w:hAnsi="Times New Roman" w:cs="Times New Roman"/>
      <w:sz w:val="20"/>
      <w:szCs w:val="20"/>
      <w:lang w:eastAsia="zh-CN"/>
    </w:rPr>
  </w:style>
  <w:style w:type="paragraph" w:styleId="ListParagraph">
    <w:name w:val="List Paragraph"/>
    <w:aliases w:val="2,H&amp;P List Paragraph,Strip,List Paragraph1,Colorful List - Accent 11"/>
    <w:basedOn w:val="Normal"/>
    <w:link w:val="ListParagraphChar"/>
    <w:uiPriority w:val="34"/>
    <w:qFormat/>
    <w:rsid w:val="00A96EDA"/>
    <w:pPr>
      <w:ind w:left="720"/>
      <w:contextualSpacing/>
    </w:pPr>
  </w:style>
  <w:style w:type="paragraph" w:customStyle="1" w:styleId="ISBodyText">
    <w:name w:val="IS Body Text"/>
    <w:basedOn w:val="Normal"/>
    <w:rsid w:val="00A96EDA"/>
    <w:pPr>
      <w:overflowPunct w:val="0"/>
      <w:autoSpaceDE w:val="0"/>
      <w:spacing w:before="120" w:after="120"/>
      <w:jc w:val="both"/>
      <w:textAlignment w:val="baseline"/>
    </w:pPr>
    <w:rPr>
      <w:rFonts w:ascii="Segoe UI" w:eastAsia="MS Mincho" w:hAnsi="Segoe UI" w:cs="Segoe UI"/>
      <w:bCs/>
      <w:sz w:val="22"/>
      <w:szCs w:val="22"/>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qFormat/>
    <w:rsid w:val="00A96EDA"/>
    <w:pPr>
      <w:overflowPunct w:val="0"/>
      <w:autoSpaceDE w:val="0"/>
      <w:spacing w:after="60"/>
      <w:textAlignment w:val="baseline"/>
    </w:pPr>
    <w:rPr>
      <w:rFonts w:ascii="Segoe UI" w:hAnsi="Segoe UI" w:cs="Segoe UI"/>
      <w:sz w:val="18"/>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96EDA"/>
    <w:rPr>
      <w:rFonts w:ascii="Segoe UI" w:eastAsia="Times New Roman" w:hAnsi="Segoe UI" w:cs="Segoe UI"/>
      <w:sz w:val="18"/>
      <w:szCs w:val="24"/>
      <w:lang w:eastAsia="zh-CN"/>
    </w:rPr>
  </w:style>
  <w:style w:type="paragraph" w:customStyle="1" w:styleId="VPBody">
    <w:name w:val="VP Body"/>
    <w:basedOn w:val="Normal"/>
    <w:qFormat/>
    <w:rsid w:val="00A96EDA"/>
    <w:pPr>
      <w:spacing w:after="160" w:line="254" w:lineRule="auto"/>
    </w:pPr>
    <w:rPr>
      <w:rFonts w:eastAsia="Calibri"/>
      <w:szCs w:val="22"/>
    </w:rPr>
  </w:style>
  <w:style w:type="paragraph" w:styleId="NoSpacing">
    <w:name w:val="No Spacing"/>
    <w:uiPriority w:val="1"/>
    <w:qFormat/>
    <w:rsid w:val="00A96EDA"/>
    <w:pPr>
      <w:spacing w:before="120" w:after="0" w:line="240" w:lineRule="auto"/>
      <w:jc w:val="both"/>
    </w:pPr>
    <w:rPr>
      <w:rFonts w:ascii="Times New Roman" w:eastAsia="Calibri" w:hAnsi="Times New Roman" w:cs="Times New Roman"/>
      <w:sz w:val="24"/>
    </w:rPr>
  </w:style>
  <w:style w:type="paragraph" w:customStyle="1" w:styleId="TableParagraph">
    <w:name w:val="Table Paragraph"/>
    <w:basedOn w:val="Normal"/>
    <w:uiPriority w:val="1"/>
    <w:qFormat/>
    <w:rsid w:val="00A96EDA"/>
    <w:pPr>
      <w:widowControl w:val="0"/>
      <w:suppressAutoHyphens w:val="0"/>
      <w:autoSpaceDE w:val="0"/>
      <w:autoSpaceDN w:val="0"/>
      <w:ind w:left="110"/>
    </w:pPr>
    <w:rPr>
      <w:sz w:val="22"/>
      <w:szCs w:val="22"/>
      <w:lang w:val="lv" w:eastAsia="lv"/>
    </w:rPr>
  </w:style>
  <w:style w:type="paragraph" w:styleId="BalloonText">
    <w:name w:val="Balloon Text"/>
    <w:basedOn w:val="Normal"/>
    <w:link w:val="BalloonTextChar"/>
    <w:uiPriority w:val="99"/>
    <w:semiHidden/>
    <w:unhideWhenUsed/>
    <w:rsid w:val="00A96E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EDA"/>
    <w:rPr>
      <w:rFonts w:ascii="Segoe UI" w:eastAsia="Times New Roman" w:hAnsi="Segoe UI" w:cs="Segoe UI"/>
      <w:sz w:val="18"/>
      <w:szCs w:val="18"/>
      <w:lang w:eastAsia="zh-CN"/>
    </w:rPr>
  </w:style>
  <w:style w:type="paragraph" w:styleId="CommentSubject">
    <w:name w:val="annotation subject"/>
    <w:basedOn w:val="CommentText"/>
    <w:next w:val="CommentText"/>
    <w:link w:val="CommentSubjectChar"/>
    <w:uiPriority w:val="99"/>
    <w:semiHidden/>
    <w:unhideWhenUsed/>
    <w:rsid w:val="00243B42"/>
    <w:rPr>
      <w:b/>
      <w:bCs/>
    </w:rPr>
  </w:style>
  <w:style w:type="character" w:customStyle="1" w:styleId="CommentSubjectChar">
    <w:name w:val="Comment Subject Char"/>
    <w:basedOn w:val="CommentTextChar"/>
    <w:link w:val="CommentSubject"/>
    <w:uiPriority w:val="99"/>
    <w:semiHidden/>
    <w:rsid w:val="00243B42"/>
    <w:rPr>
      <w:rFonts w:ascii="Times New Roman" w:eastAsia="Times New Roman" w:hAnsi="Times New Roman" w:cs="Times New Roman"/>
      <w:b/>
      <w:bCs/>
      <w:sz w:val="20"/>
      <w:szCs w:val="20"/>
      <w:lang w:eastAsia="zh-CN"/>
    </w:rPr>
  </w:style>
  <w:style w:type="character" w:customStyle="1" w:styleId="ListParagraphChar">
    <w:name w:val="List Paragraph Char"/>
    <w:aliases w:val="2 Char,H&amp;P List Paragraph Char,Strip Char,List Paragraph1 Char,Colorful List - Accent 11 Char"/>
    <w:link w:val="ListParagraph"/>
    <w:uiPriority w:val="34"/>
    <w:rsid w:val="00F47EDF"/>
    <w:rPr>
      <w:rFonts w:ascii="Times New Roman" w:eastAsia="Times New Roman" w:hAnsi="Times New Roman" w:cs="Times New Roman"/>
      <w:sz w:val="24"/>
      <w:szCs w:val="24"/>
      <w:lang w:eastAsia="zh-CN"/>
    </w:rPr>
  </w:style>
  <w:style w:type="paragraph" w:customStyle="1" w:styleId="CharCharCharChar">
    <w:name w:val="Char Char Char Char"/>
    <w:aliases w:val="Char2"/>
    <w:basedOn w:val="Normal"/>
    <w:next w:val="Normal"/>
    <w:link w:val="FootnoteReference"/>
    <w:uiPriority w:val="99"/>
    <w:rsid w:val="00F47EDF"/>
    <w:pPr>
      <w:suppressAutoHyphens w:val="0"/>
      <w:spacing w:after="160" w:line="240" w:lineRule="exact"/>
      <w:jc w:val="both"/>
      <w:textAlignment w:val="baseline"/>
    </w:pPr>
    <w:rPr>
      <w:rFonts w:asciiTheme="minorHAnsi" w:eastAsiaTheme="minorHAnsi" w:hAnsiTheme="minorHAnsi" w:cstheme="minorBidi"/>
      <w:sz w:val="22"/>
      <w:szCs w:val="22"/>
      <w:vertAlign w:val="superscript"/>
      <w:lang w:eastAsia="en-US"/>
    </w:rPr>
  </w:style>
  <w:style w:type="character" w:styleId="UnresolvedMention">
    <w:name w:val="Unresolved Mention"/>
    <w:basedOn w:val="DefaultParagraphFont"/>
    <w:uiPriority w:val="99"/>
    <w:semiHidden/>
    <w:unhideWhenUsed/>
    <w:rsid w:val="002E4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ja.grinberga@l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eta.pikse@l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15778</Words>
  <Characters>8994</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Ministru kabineta rīkojuma projekta “Par informācijas sabiedrības attīstības pamatnostādņu ieviešanu publiskās pārvaldes informācijas sistēmu jomā (mērķarhitektūra 47.0 versija)” sākotnējās ietekmes novērtējuma ziņojums (anotācija)</vt:lpstr>
    </vt:vector>
  </TitlesOfParts>
  <Company>LM</Company>
  <LinksUpToDate>false</LinksUpToDate>
  <CharactersWithSpaces>24723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 47.0 versija)” sākotnējās ietekmes novērtējuma ziņojums (anotācija)</dc:title>
  <dc:subject/>
  <dc:creator>Ineta Pikse</dc:creator>
  <cp:keywords/>
  <dc:description>LM. SPD vecākā eksperte Ineta Pikše, tel.67021634, ineta.pikse@lm.gov.lv</dc:description>
  <cp:lastModifiedBy>Ineta Pikse</cp:lastModifiedBy>
  <cp:revision>6</cp:revision>
  <cp:lastPrinted>2019-04-24T10:28:00Z</cp:lastPrinted>
  <dcterms:created xsi:type="dcterms:W3CDTF">2019-04-26T08:56:00Z</dcterms:created>
  <dcterms:modified xsi:type="dcterms:W3CDTF">2019-04-29T13:23:00Z</dcterms:modified>
  <cp:category>Anotācija</cp:category>
</cp:coreProperties>
</file>