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737B" w14:textId="77777777" w:rsidR="00C6614E" w:rsidRPr="00BF7EF7" w:rsidRDefault="00C6614E" w:rsidP="008323E9">
      <w:pPr>
        <w:spacing w:after="0" w:line="240" w:lineRule="auto"/>
        <w:jc w:val="right"/>
        <w:rPr>
          <w:rFonts w:ascii="Times New Roman" w:eastAsia="Times New Roman" w:hAnsi="Times New Roman" w:cs="Times New Roman"/>
          <w:i/>
          <w:iCs/>
          <w:sz w:val="28"/>
          <w:szCs w:val="28"/>
          <w:shd w:val="clear" w:color="auto" w:fill="FFFFFF"/>
          <w:lang w:eastAsia="lv-LV"/>
        </w:rPr>
      </w:pPr>
      <w:r w:rsidRPr="00BF7EF7">
        <w:rPr>
          <w:rFonts w:ascii="Times New Roman" w:eastAsia="Times New Roman" w:hAnsi="Times New Roman" w:cs="Times New Roman"/>
          <w:i/>
          <w:iCs/>
          <w:sz w:val="28"/>
          <w:szCs w:val="28"/>
          <w:shd w:val="clear" w:color="auto" w:fill="FFFFFF"/>
          <w:lang w:eastAsia="lv-LV"/>
        </w:rPr>
        <w:t>PROJEKTS</w:t>
      </w:r>
    </w:p>
    <w:p w14:paraId="3FFF94F1" w14:textId="76E67424" w:rsidR="00C6614E" w:rsidRPr="00BF7EF7" w:rsidRDefault="00FD5AFA" w:rsidP="008323E9">
      <w:pPr>
        <w:spacing w:after="0" w:line="240" w:lineRule="auto"/>
        <w:jc w:val="right"/>
        <w:rPr>
          <w:rFonts w:ascii="Times New Roman" w:eastAsia="Times New Roman" w:hAnsi="Times New Roman" w:cs="Times New Roman"/>
          <w:b/>
          <w:i/>
          <w:iCs/>
          <w:sz w:val="28"/>
          <w:szCs w:val="28"/>
          <w:shd w:val="clear" w:color="auto" w:fill="FFFFFF"/>
          <w:lang w:eastAsia="lv-LV"/>
        </w:rPr>
      </w:pPr>
      <w:r w:rsidRPr="00BF7EF7">
        <w:rPr>
          <w:rFonts w:ascii="Times New Roman" w:eastAsia="Times New Roman" w:hAnsi="Times New Roman" w:cs="Times New Roman"/>
          <w:b/>
          <w:i/>
          <w:iCs/>
          <w:sz w:val="28"/>
          <w:szCs w:val="28"/>
          <w:shd w:val="clear" w:color="auto" w:fill="FFFFFF"/>
          <w:lang w:eastAsia="lv-LV"/>
        </w:rPr>
        <w:t>         </w:t>
      </w:r>
    </w:p>
    <w:p w14:paraId="1523242A" w14:textId="1C31DD32" w:rsidR="00FD5AFA" w:rsidRPr="00BF7EF7" w:rsidRDefault="00FD5AFA" w:rsidP="008323E9">
      <w:pPr>
        <w:spacing w:after="0" w:line="240" w:lineRule="auto"/>
        <w:jc w:val="right"/>
        <w:rPr>
          <w:rFonts w:ascii="Times New Roman" w:eastAsia="Times New Roman" w:hAnsi="Times New Roman" w:cs="Times New Roman"/>
          <w:b/>
          <w:sz w:val="28"/>
          <w:szCs w:val="28"/>
          <w:lang w:eastAsia="lv-LV"/>
        </w:rPr>
      </w:pPr>
      <w:r w:rsidRPr="00BF7EF7">
        <w:rPr>
          <w:rFonts w:ascii="Times New Roman" w:eastAsia="Times New Roman" w:hAnsi="Times New Roman" w:cs="Times New Roman"/>
          <w:b/>
          <w:i/>
          <w:iCs/>
          <w:sz w:val="28"/>
          <w:szCs w:val="28"/>
          <w:shd w:val="clear" w:color="auto" w:fill="FFFFFF"/>
          <w:lang w:eastAsia="lv-LV"/>
        </w:rPr>
        <w:t xml:space="preserve">   </w:t>
      </w:r>
      <w:r w:rsidRPr="00BF7EF7">
        <w:rPr>
          <w:rFonts w:ascii="Times New Roman" w:eastAsia="Times New Roman" w:hAnsi="Times New Roman" w:cs="Times New Roman"/>
          <w:b/>
          <w:sz w:val="28"/>
          <w:szCs w:val="28"/>
          <w:shd w:val="clear" w:color="auto" w:fill="FFFFFF"/>
          <w:lang w:eastAsia="lv-LV"/>
        </w:rPr>
        <w:t>Latvijas Republikas tiesībsargam</w:t>
      </w:r>
    </w:p>
    <w:p w14:paraId="002F29F7" w14:textId="77777777" w:rsidR="007F4703" w:rsidRPr="00BF7EF7" w:rsidRDefault="00FD5AFA" w:rsidP="008323E9">
      <w:pPr>
        <w:shd w:val="clear" w:color="auto" w:fill="FFFFFF"/>
        <w:spacing w:after="0" w:line="240" w:lineRule="auto"/>
        <w:rPr>
          <w:rFonts w:ascii="Times New Roman" w:eastAsia="Times New Roman" w:hAnsi="Times New Roman" w:cs="Times New Roman"/>
          <w:i/>
          <w:iCs/>
          <w:sz w:val="28"/>
          <w:szCs w:val="28"/>
          <w:lang w:eastAsia="lv-LV"/>
        </w:rPr>
      </w:pPr>
      <w:r w:rsidRPr="00BF7EF7">
        <w:rPr>
          <w:rFonts w:ascii="Times New Roman" w:eastAsia="Times New Roman" w:hAnsi="Times New Roman" w:cs="Times New Roman"/>
          <w:b/>
          <w:sz w:val="28"/>
          <w:szCs w:val="28"/>
          <w:lang w:eastAsia="lv-LV"/>
        </w:rPr>
        <w:br/>
      </w:r>
      <w:r w:rsidRPr="00BF7EF7">
        <w:rPr>
          <w:rFonts w:ascii="Times New Roman" w:eastAsia="Times New Roman" w:hAnsi="Times New Roman" w:cs="Times New Roman"/>
          <w:sz w:val="28"/>
          <w:szCs w:val="28"/>
          <w:lang w:eastAsia="lv-LV"/>
        </w:rPr>
        <w:br/>
      </w:r>
      <w:r w:rsidRPr="00BF7EF7">
        <w:rPr>
          <w:rFonts w:ascii="Times New Roman" w:eastAsia="Times New Roman" w:hAnsi="Times New Roman" w:cs="Times New Roman"/>
          <w:i/>
          <w:iCs/>
          <w:sz w:val="28"/>
          <w:szCs w:val="28"/>
          <w:lang w:eastAsia="lv-LV"/>
        </w:rPr>
        <w:t xml:space="preserve">Par </w:t>
      </w:r>
      <w:r w:rsidR="007F4703" w:rsidRPr="00BF7EF7">
        <w:rPr>
          <w:rFonts w:ascii="Times New Roman" w:eastAsia="Times New Roman" w:hAnsi="Times New Roman" w:cs="Times New Roman"/>
          <w:i/>
          <w:iCs/>
          <w:sz w:val="28"/>
          <w:szCs w:val="28"/>
          <w:lang w:eastAsia="lv-LV"/>
        </w:rPr>
        <w:t>garantētā minimālā ienākuma līmeņa</w:t>
      </w:r>
    </w:p>
    <w:p w14:paraId="2C699FE1" w14:textId="6D171F6A" w:rsidR="003A5A5B" w:rsidRPr="00BF7EF7" w:rsidRDefault="007F4703" w:rsidP="008323E9">
      <w:pPr>
        <w:shd w:val="clear" w:color="auto" w:fill="FFFFFF"/>
        <w:spacing w:after="0" w:line="240" w:lineRule="auto"/>
        <w:rPr>
          <w:rFonts w:ascii="Times New Roman" w:eastAsia="Times New Roman" w:hAnsi="Times New Roman" w:cs="Times New Roman"/>
          <w:sz w:val="28"/>
          <w:szCs w:val="28"/>
          <w:lang w:eastAsia="lv-LV"/>
        </w:rPr>
      </w:pPr>
      <w:r w:rsidRPr="00BF7EF7">
        <w:rPr>
          <w:rFonts w:ascii="Times New Roman" w:eastAsia="Times New Roman" w:hAnsi="Times New Roman" w:cs="Times New Roman"/>
          <w:i/>
          <w:iCs/>
          <w:sz w:val="28"/>
          <w:szCs w:val="28"/>
          <w:lang w:eastAsia="lv-LV"/>
        </w:rPr>
        <w:t>un trūcīgas personas ienākuma līmeņa apmēru</w:t>
      </w:r>
      <w:r w:rsidRPr="00BF7EF7">
        <w:rPr>
          <w:rFonts w:ascii="Times New Roman" w:eastAsia="Times New Roman" w:hAnsi="Times New Roman" w:cs="Times New Roman"/>
          <w:sz w:val="28"/>
          <w:szCs w:val="28"/>
          <w:lang w:eastAsia="lv-LV"/>
        </w:rPr>
        <w:t xml:space="preserve"> </w:t>
      </w:r>
      <w:r w:rsidR="00FD5AFA" w:rsidRPr="00BF7EF7">
        <w:rPr>
          <w:rFonts w:ascii="Times New Roman" w:eastAsia="Times New Roman" w:hAnsi="Times New Roman" w:cs="Times New Roman"/>
          <w:sz w:val="28"/>
          <w:szCs w:val="28"/>
          <w:lang w:eastAsia="lv-LV"/>
        </w:rPr>
        <w:br/>
      </w:r>
    </w:p>
    <w:p w14:paraId="6B274897" w14:textId="7B51F8F8" w:rsidR="00FD5AFA" w:rsidRPr="00BF7EF7" w:rsidRDefault="00FD5AFA" w:rsidP="008323E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F7EF7">
        <w:rPr>
          <w:rFonts w:ascii="Times New Roman" w:eastAsia="Times New Roman" w:hAnsi="Times New Roman" w:cs="Times New Roman"/>
          <w:sz w:val="28"/>
          <w:szCs w:val="28"/>
          <w:lang w:eastAsia="lv-LV"/>
        </w:rPr>
        <w:t>Ministru kabinets 2019.gada </w:t>
      </w:r>
      <w:r w:rsidR="007F4703" w:rsidRPr="00BF7EF7">
        <w:rPr>
          <w:rFonts w:ascii="Times New Roman" w:eastAsia="Times New Roman" w:hAnsi="Times New Roman" w:cs="Times New Roman"/>
          <w:sz w:val="28"/>
          <w:szCs w:val="28"/>
          <w:lang w:eastAsia="lv-LV"/>
        </w:rPr>
        <w:t>4.jūnij</w:t>
      </w:r>
      <w:r w:rsidR="009B20AD" w:rsidRPr="00BF7EF7">
        <w:rPr>
          <w:rFonts w:ascii="Times New Roman" w:eastAsia="Times New Roman" w:hAnsi="Times New Roman" w:cs="Times New Roman"/>
          <w:sz w:val="28"/>
          <w:szCs w:val="28"/>
          <w:lang w:eastAsia="lv-LV"/>
        </w:rPr>
        <w:t>ā</w:t>
      </w:r>
      <w:r w:rsidRPr="00BF7EF7">
        <w:rPr>
          <w:rFonts w:ascii="Times New Roman" w:eastAsia="Times New Roman" w:hAnsi="Times New Roman" w:cs="Times New Roman"/>
          <w:sz w:val="28"/>
          <w:szCs w:val="28"/>
          <w:lang w:eastAsia="lv-LV"/>
        </w:rPr>
        <w:t xml:space="preserve"> izskatīja </w:t>
      </w:r>
      <w:r w:rsidR="009B20AD" w:rsidRPr="00BF7EF7">
        <w:rPr>
          <w:rFonts w:ascii="Times New Roman" w:eastAsia="Times New Roman" w:hAnsi="Times New Roman" w:cs="Times New Roman"/>
          <w:sz w:val="28"/>
          <w:szCs w:val="28"/>
          <w:lang w:eastAsia="lv-LV"/>
        </w:rPr>
        <w:t xml:space="preserve">Latvijas Republikas </w:t>
      </w:r>
      <w:r w:rsidRPr="00BF7EF7">
        <w:rPr>
          <w:rFonts w:ascii="Times New Roman" w:eastAsia="Times New Roman" w:hAnsi="Times New Roman" w:cs="Times New Roman"/>
          <w:sz w:val="28"/>
          <w:szCs w:val="28"/>
          <w:lang w:eastAsia="lv-LV"/>
        </w:rPr>
        <w:t xml:space="preserve">tiesībsarga 2019.gada </w:t>
      </w:r>
      <w:r w:rsidR="007F4703" w:rsidRPr="00BF7EF7">
        <w:rPr>
          <w:rFonts w:ascii="Times New Roman" w:eastAsia="Times New Roman" w:hAnsi="Times New Roman" w:cs="Times New Roman"/>
          <w:sz w:val="28"/>
          <w:szCs w:val="28"/>
          <w:lang w:eastAsia="lv-LV"/>
        </w:rPr>
        <w:t>12.aprīļa vēstuli Nr.1-8/5</w:t>
      </w:r>
      <w:r w:rsidRPr="00BF7EF7">
        <w:rPr>
          <w:rFonts w:ascii="Times New Roman" w:eastAsia="Times New Roman" w:hAnsi="Times New Roman" w:cs="Times New Roman"/>
          <w:sz w:val="28"/>
          <w:szCs w:val="28"/>
          <w:lang w:eastAsia="lv-LV"/>
        </w:rPr>
        <w:t xml:space="preserve"> </w:t>
      </w:r>
      <w:r w:rsidR="007F4703" w:rsidRPr="00BF7EF7">
        <w:rPr>
          <w:rFonts w:ascii="Times New Roman" w:eastAsia="Times New Roman" w:hAnsi="Times New Roman" w:cs="Times New Roman"/>
          <w:sz w:val="28"/>
          <w:szCs w:val="28"/>
          <w:lang w:eastAsia="lv-LV"/>
        </w:rPr>
        <w:t xml:space="preserve">un 2019.gada </w:t>
      </w:r>
      <w:r w:rsidR="00FC0E5E" w:rsidRPr="00BF7EF7">
        <w:rPr>
          <w:rFonts w:ascii="Times New Roman" w:eastAsia="Times New Roman" w:hAnsi="Times New Roman" w:cs="Times New Roman"/>
          <w:sz w:val="28"/>
          <w:szCs w:val="28"/>
          <w:lang w:eastAsia="lv-LV"/>
        </w:rPr>
        <w:t>2.maija vēstuli Nr. 1- 8/7</w:t>
      </w:r>
      <w:r w:rsidRPr="00BF7EF7">
        <w:rPr>
          <w:rFonts w:ascii="Times New Roman" w:eastAsia="Times New Roman" w:hAnsi="Times New Roman" w:cs="Times New Roman"/>
          <w:sz w:val="28"/>
          <w:szCs w:val="28"/>
          <w:lang w:eastAsia="lv-LV"/>
        </w:rPr>
        <w:t xml:space="preserve">, kurā </w:t>
      </w:r>
      <w:r w:rsidR="009B4E1F" w:rsidRPr="00BF7EF7">
        <w:rPr>
          <w:rFonts w:ascii="Times New Roman" w:eastAsia="Times New Roman" w:hAnsi="Times New Roman" w:cs="Times New Roman"/>
          <w:sz w:val="28"/>
          <w:szCs w:val="28"/>
          <w:lang w:eastAsia="lv-LV"/>
        </w:rPr>
        <w:t>t</w:t>
      </w:r>
      <w:r w:rsidRPr="00BF7EF7">
        <w:rPr>
          <w:rFonts w:ascii="Times New Roman" w:eastAsia="Times New Roman" w:hAnsi="Times New Roman" w:cs="Times New Roman"/>
          <w:sz w:val="28"/>
          <w:szCs w:val="28"/>
          <w:lang w:eastAsia="lv-LV"/>
        </w:rPr>
        <w:t>iesībsargs iesaka Ministru kabinetam noteikt garantētā minimālā ienākuma līmeni</w:t>
      </w:r>
      <w:r w:rsidR="007F4703" w:rsidRPr="00BF7EF7">
        <w:rPr>
          <w:rFonts w:ascii="Times New Roman" w:eastAsia="Times New Roman" w:hAnsi="Times New Roman" w:cs="Times New Roman"/>
          <w:sz w:val="28"/>
          <w:szCs w:val="28"/>
          <w:lang w:eastAsia="lv-LV"/>
        </w:rPr>
        <w:t xml:space="preserve"> un trūcīgas personas ienākuma līmeni atbilstošu </w:t>
      </w:r>
      <w:r w:rsidR="00FC0E5E" w:rsidRPr="00BF7EF7">
        <w:rPr>
          <w:rFonts w:ascii="Times New Roman" w:eastAsia="Times New Roman" w:hAnsi="Times New Roman" w:cs="Times New Roman"/>
          <w:sz w:val="28"/>
          <w:szCs w:val="28"/>
          <w:lang w:eastAsia="lv-LV"/>
        </w:rPr>
        <w:t xml:space="preserve">Latvijas Republikas </w:t>
      </w:r>
      <w:r w:rsidR="007F4703" w:rsidRPr="00BF7EF7">
        <w:rPr>
          <w:rFonts w:ascii="Times New Roman" w:eastAsia="Times New Roman" w:hAnsi="Times New Roman" w:cs="Times New Roman"/>
          <w:sz w:val="28"/>
          <w:szCs w:val="28"/>
          <w:lang w:eastAsia="lv-LV"/>
        </w:rPr>
        <w:t>Satversme</w:t>
      </w:r>
      <w:r w:rsidR="008D151F" w:rsidRPr="00BF7EF7">
        <w:rPr>
          <w:rFonts w:ascii="Times New Roman" w:eastAsia="Times New Roman" w:hAnsi="Times New Roman" w:cs="Times New Roman"/>
          <w:sz w:val="28"/>
          <w:szCs w:val="28"/>
          <w:lang w:eastAsia="lv-LV"/>
        </w:rPr>
        <w:t>s 1. un 109.pantam</w:t>
      </w:r>
      <w:r w:rsidR="00FA6216" w:rsidRPr="00BF7EF7">
        <w:rPr>
          <w:rFonts w:ascii="Times New Roman" w:eastAsia="Times New Roman" w:hAnsi="Times New Roman" w:cs="Times New Roman"/>
          <w:sz w:val="28"/>
          <w:szCs w:val="28"/>
          <w:lang w:eastAsia="lv-LV"/>
        </w:rPr>
        <w:t>, nodrošinot sociāl</w:t>
      </w:r>
      <w:r w:rsidR="009B20AD" w:rsidRPr="00BF7EF7">
        <w:rPr>
          <w:rFonts w:ascii="Times New Roman" w:eastAsia="Times New Roman" w:hAnsi="Times New Roman" w:cs="Times New Roman"/>
          <w:sz w:val="28"/>
          <w:szCs w:val="28"/>
          <w:lang w:eastAsia="lv-LV"/>
        </w:rPr>
        <w:t>i</w:t>
      </w:r>
      <w:r w:rsidR="00FA6216" w:rsidRPr="00BF7EF7">
        <w:rPr>
          <w:rFonts w:ascii="Times New Roman" w:eastAsia="Times New Roman" w:hAnsi="Times New Roman" w:cs="Times New Roman"/>
          <w:sz w:val="28"/>
          <w:szCs w:val="28"/>
          <w:lang w:eastAsia="lv-LV"/>
        </w:rPr>
        <w:t xml:space="preserve"> atbildīgu politiku pret iedzīvotājiem.</w:t>
      </w:r>
    </w:p>
    <w:p w14:paraId="2C38ACF7" w14:textId="4DF122EB" w:rsidR="00755641" w:rsidRPr="00BF7EF7" w:rsidRDefault="002C5C40" w:rsidP="00D040C3">
      <w:pPr>
        <w:pStyle w:val="Default"/>
        <w:ind w:firstLine="720"/>
        <w:jc w:val="both"/>
        <w:rPr>
          <w:color w:val="auto"/>
          <w:sz w:val="28"/>
          <w:szCs w:val="28"/>
        </w:rPr>
      </w:pPr>
      <w:r w:rsidRPr="00BF7EF7">
        <w:rPr>
          <w:color w:val="auto"/>
          <w:sz w:val="28"/>
          <w:szCs w:val="28"/>
        </w:rPr>
        <w:t>Jau</w:t>
      </w:r>
      <w:r w:rsidR="00755641" w:rsidRPr="00BF7EF7">
        <w:rPr>
          <w:color w:val="auto"/>
          <w:sz w:val="28"/>
          <w:szCs w:val="28"/>
        </w:rPr>
        <w:t xml:space="preserve"> </w:t>
      </w:r>
      <w:r w:rsidRPr="00BF7EF7">
        <w:rPr>
          <w:color w:val="auto"/>
          <w:sz w:val="28"/>
          <w:szCs w:val="28"/>
        </w:rPr>
        <w:t>vairāku gadu garumā valstī saglabājas relatīvi augsts nabadzības riskam pakļauto iedzīvotāju īpatsvars un izteikta ienākumu nevienlīdzība. Saskaņā ar Latvijas Republikas Centrālās statistikas pārvaldes (turpmāk – CSP) veiktā Ienākumu un dzīves apstākļu apsekojuma datiem 2017.gadā 28,4% iedzīvotāju bija pakļauti nabadzības vai sociālās atstumtības riskam</w:t>
      </w:r>
      <w:r w:rsidR="007F4703" w:rsidRPr="00BF7EF7">
        <w:rPr>
          <w:color w:val="auto"/>
          <w:sz w:val="28"/>
          <w:szCs w:val="28"/>
        </w:rPr>
        <w:t xml:space="preserve">. </w:t>
      </w:r>
      <w:r w:rsidRPr="00BF7EF7">
        <w:rPr>
          <w:color w:val="auto"/>
          <w:sz w:val="28"/>
          <w:szCs w:val="28"/>
        </w:rPr>
        <w:t xml:space="preserve">Tas ir par 0,2 procentpunktiem vairāk nekā 2016.gadā, kad nabadzības vai sociālās atstumtības riskam bija pakļauti 28,2% iedzīvotāju. </w:t>
      </w:r>
      <w:r w:rsidR="00FD5AFA" w:rsidRPr="00BF7EF7">
        <w:rPr>
          <w:color w:val="auto"/>
          <w:sz w:val="28"/>
          <w:szCs w:val="28"/>
        </w:rPr>
        <w:t>Savukārt nabadzības riskam bija pakļauti 23,3% jeb 446 tūkstoši iedzīvotāju.</w:t>
      </w:r>
      <w:r w:rsidR="00D040C3" w:rsidRPr="00BF7EF7">
        <w:rPr>
          <w:sz w:val="28"/>
          <w:szCs w:val="28"/>
        </w:rPr>
        <w:t xml:space="preserve"> </w:t>
      </w:r>
      <w:r w:rsidR="002A17E1" w:rsidRPr="00BF7EF7">
        <w:rPr>
          <w:color w:val="auto"/>
          <w:sz w:val="28"/>
          <w:szCs w:val="28"/>
        </w:rPr>
        <w:t xml:space="preserve">Tie ir cilvēki, kuri dzīvo zemu ienākumu </w:t>
      </w:r>
      <w:r w:rsidR="008F0156" w:rsidRPr="00BF7EF7">
        <w:rPr>
          <w:color w:val="auto"/>
          <w:sz w:val="28"/>
          <w:szCs w:val="28"/>
        </w:rPr>
        <w:t>vai</w:t>
      </w:r>
      <w:r w:rsidR="002A17E1" w:rsidRPr="00BF7EF7">
        <w:rPr>
          <w:color w:val="auto"/>
          <w:sz w:val="28"/>
          <w:szCs w:val="28"/>
        </w:rPr>
        <w:t xml:space="preserve"> zemas darba intensitātes mājsaimniecībās, ir materiāli atstumti. </w:t>
      </w:r>
    </w:p>
    <w:p w14:paraId="39BF3E13" w14:textId="0AB7706C" w:rsidR="00D040C3" w:rsidRPr="00BF7EF7" w:rsidRDefault="008F0156" w:rsidP="00D040C3">
      <w:pPr>
        <w:pStyle w:val="Default"/>
        <w:ind w:firstLine="720"/>
        <w:jc w:val="both"/>
        <w:rPr>
          <w:color w:val="auto"/>
          <w:sz w:val="28"/>
          <w:szCs w:val="28"/>
        </w:rPr>
      </w:pPr>
      <w:r w:rsidRPr="00BF7EF7">
        <w:rPr>
          <w:color w:val="auto"/>
          <w:sz w:val="28"/>
          <w:szCs w:val="28"/>
        </w:rPr>
        <w:t>Eiropas Savienībā</w:t>
      </w:r>
      <w:r w:rsidR="00BB458A" w:rsidRPr="00BF7EF7">
        <w:rPr>
          <w:color w:val="auto"/>
          <w:sz w:val="28"/>
          <w:szCs w:val="28"/>
        </w:rPr>
        <w:t xml:space="preserve"> (turpmāk – ES)</w:t>
      </w:r>
      <w:r w:rsidRPr="00BF7EF7">
        <w:rPr>
          <w:color w:val="auto"/>
          <w:sz w:val="28"/>
          <w:szCs w:val="28"/>
        </w:rPr>
        <w:t xml:space="preserve"> atbilstoši Ienākumu un dzīves apstākļu apsekojuma metodoloģijai, </w:t>
      </w:r>
      <w:r w:rsidRPr="00BF7EF7">
        <w:rPr>
          <w:sz w:val="28"/>
          <w:szCs w:val="28"/>
        </w:rPr>
        <w:t>n</w:t>
      </w:r>
      <w:r w:rsidR="00DF1FCB" w:rsidRPr="00BF7EF7">
        <w:rPr>
          <w:sz w:val="28"/>
          <w:szCs w:val="28"/>
        </w:rPr>
        <w:t>osakot iedzīvotāju ekvivalentos ienākumus</w:t>
      </w:r>
      <w:r w:rsidR="00820C43">
        <w:rPr>
          <w:sz w:val="28"/>
          <w:szCs w:val="28"/>
        </w:rPr>
        <w:t>,</w:t>
      </w:r>
      <w:r w:rsidR="00DF1FCB" w:rsidRPr="00BF7EF7">
        <w:rPr>
          <w:sz w:val="28"/>
          <w:szCs w:val="28"/>
        </w:rPr>
        <w:t xml:space="preserve"> tiek piemērota OECD modificētā ekvivalences skal</w:t>
      </w:r>
      <w:r w:rsidR="002A17E1" w:rsidRPr="00BF7EF7">
        <w:rPr>
          <w:sz w:val="28"/>
          <w:szCs w:val="28"/>
        </w:rPr>
        <w:t>a</w:t>
      </w:r>
      <w:r w:rsidR="00DF1FCB" w:rsidRPr="00BF7EF7">
        <w:rPr>
          <w:sz w:val="28"/>
          <w:szCs w:val="28"/>
        </w:rPr>
        <w:t xml:space="preserve">, </w:t>
      </w:r>
      <w:r w:rsidRPr="00BF7EF7">
        <w:rPr>
          <w:sz w:val="28"/>
          <w:szCs w:val="28"/>
        </w:rPr>
        <w:t>pieņemot</w:t>
      </w:r>
      <w:r w:rsidR="00DF1FCB" w:rsidRPr="00BF7EF7">
        <w:rPr>
          <w:sz w:val="28"/>
          <w:szCs w:val="28"/>
        </w:rPr>
        <w:t>, ka pirmajam pieaugušajam mājsaimniecībā ekvivalentais svars ir 1, otrajam un katram nākamajam mājsaimniecības loceklim virs 14 gadu vecuma – 0</w:t>
      </w:r>
      <w:r w:rsidR="00590333">
        <w:rPr>
          <w:sz w:val="28"/>
          <w:szCs w:val="28"/>
        </w:rPr>
        <w:t>.</w:t>
      </w:r>
      <w:r w:rsidR="00DF1FCB" w:rsidRPr="00BF7EF7">
        <w:rPr>
          <w:sz w:val="28"/>
          <w:szCs w:val="28"/>
        </w:rPr>
        <w:t>5 un bērniem līdz 14 gadu vecumam – 0</w:t>
      </w:r>
      <w:r w:rsidR="00590333">
        <w:rPr>
          <w:sz w:val="28"/>
          <w:szCs w:val="28"/>
        </w:rPr>
        <w:t>.</w:t>
      </w:r>
      <w:r w:rsidR="00DF1FCB" w:rsidRPr="00BF7EF7">
        <w:rPr>
          <w:sz w:val="28"/>
          <w:szCs w:val="28"/>
        </w:rPr>
        <w:t xml:space="preserve">3. </w:t>
      </w:r>
      <w:r w:rsidRPr="00BF7EF7">
        <w:rPr>
          <w:sz w:val="28"/>
          <w:szCs w:val="28"/>
        </w:rPr>
        <w:t xml:space="preserve">Savukārt </w:t>
      </w:r>
      <w:r w:rsidR="00DF1FCB" w:rsidRPr="00BF7EF7">
        <w:rPr>
          <w:sz w:val="28"/>
          <w:szCs w:val="28"/>
        </w:rPr>
        <w:t>n</w:t>
      </w:r>
      <w:r w:rsidR="00D040C3" w:rsidRPr="00BF7EF7">
        <w:rPr>
          <w:sz w:val="28"/>
          <w:szCs w:val="28"/>
        </w:rPr>
        <w:t xml:space="preserve">abadzības riska </w:t>
      </w:r>
      <w:r w:rsidR="00D040C3" w:rsidRPr="00BF7EF7">
        <w:rPr>
          <w:color w:val="auto"/>
          <w:sz w:val="28"/>
          <w:szCs w:val="28"/>
        </w:rPr>
        <w:t xml:space="preserve">slieksnis ir izteikts kā </w:t>
      </w:r>
      <w:r w:rsidR="00D040C3" w:rsidRPr="00BF7EF7">
        <w:rPr>
          <w:color w:val="auto"/>
          <w:sz w:val="28"/>
          <w:szCs w:val="28"/>
          <w:shd w:val="clear" w:color="auto" w:fill="FFFFFF"/>
        </w:rPr>
        <w:t>60% no mājsaimniecību rīcībā esošo ienākumu mediānas pārrēķinātas uz ekvivalento patērētāju skaitu mājsaimniecībā</w:t>
      </w:r>
      <w:r w:rsidR="00D040C3" w:rsidRPr="00BF7EF7">
        <w:rPr>
          <w:color w:val="auto"/>
          <w:sz w:val="28"/>
          <w:szCs w:val="28"/>
        </w:rPr>
        <w:t>. Tādējādi tie iedzīvotāji, kuru ekvivalentie rīcībā esošie ienākumi ir zemāki par 60% no mediānas</w:t>
      </w:r>
      <w:r w:rsidR="00755641" w:rsidRPr="00BF7EF7">
        <w:rPr>
          <w:color w:val="auto"/>
          <w:sz w:val="28"/>
          <w:szCs w:val="28"/>
        </w:rPr>
        <w:t xml:space="preserve"> ienākuma</w:t>
      </w:r>
      <w:r w:rsidR="006D5BA6" w:rsidRPr="00BF7EF7">
        <w:rPr>
          <w:rStyle w:val="FootnoteReference"/>
          <w:color w:val="auto"/>
          <w:sz w:val="28"/>
          <w:szCs w:val="28"/>
        </w:rPr>
        <w:footnoteReference w:id="1"/>
      </w:r>
      <w:r w:rsidR="00D040C3" w:rsidRPr="00BF7EF7">
        <w:rPr>
          <w:color w:val="auto"/>
          <w:sz w:val="28"/>
          <w:szCs w:val="28"/>
        </w:rPr>
        <w:t xml:space="preserve">, tiek uzskatīti par pakļautiem nabadzības riskam. Atbilstoši CSP </w:t>
      </w:r>
      <w:r w:rsidR="00755641" w:rsidRPr="00BF7EF7">
        <w:rPr>
          <w:color w:val="auto"/>
          <w:sz w:val="28"/>
          <w:szCs w:val="28"/>
        </w:rPr>
        <w:t xml:space="preserve">datiem </w:t>
      </w:r>
      <w:r w:rsidR="00935F66" w:rsidRPr="00BF7EF7">
        <w:rPr>
          <w:color w:val="auto"/>
          <w:sz w:val="28"/>
          <w:szCs w:val="28"/>
        </w:rPr>
        <w:t>un ES kopīgi izma</w:t>
      </w:r>
      <w:r w:rsidR="00DC7199">
        <w:rPr>
          <w:color w:val="auto"/>
          <w:sz w:val="28"/>
          <w:szCs w:val="28"/>
        </w:rPr>
        <w:t>n</w:t>
      </w:r>
      <w:r w:rsidR="00935F66" w:rsidRPr="00BF7EF7">
        <w:rPr>
          <w:color w:val="auto"/>
          <w:sz w:val="28"/>
          <w:szCs w:val="28"/>
        </w:rPr>
        <w:t xml:space="preserve">totajai metodoloģijai </w:t>
      </w:r>
      <w:r w:rsidR="00755641" w:rsidRPr="00BF7EF7">
        <w:rPr>
          <w:color w:val="auto"/>
          <w:sz w:val="28"/>
          <w:szCs w:val="28"/>
        </w:rPr>
        <w:t xml:space="preserve">ienākumu mediāna uz vienu ekvivalento patērētāju ir 611 </w:t>
      </w:r>
      <w:proofErr w:type="spellStart"/>
      <w:r w:rsidR="00755641" w:rsidRPr="00BF7EF7">
        <w:rPr>
          <w:i/>
          <w:color w:val="auto"/>
          <w:sz w:val="28"/>
          <w:szCs w:val="28"/>
        </w:rPr>
        <w:t>euro</w:t>
      </w:r>
      <w:proofErr w:type="spellEnd"/>
      <w:r w:rsidR="00755641" w:rsidRPr="00BF7EF7">
        <w:rPr>
          <w:color w:val="auto"/>
          <w:sz w:val="28"/>
          <w:szCs w:val="28"/>
        </w:rPr>
        <w:t>, attiecīgi</w:t>
      </w:r>
      <w:r w:rsidR="00D040C3" w:rsidRPr="00BF7EF7">
        <w:rPr>
          <w:color w:val="auto"/>
          <w:sz w:val="28"/>
          <w:szCs w:val="28"/>
        </w:rPr>
        <w:t xml:space="preserve"> </w:t>
      </w:r>
      <w:r w:rsidR="00755641" w:rsidRPr="00BF7EF7">
        <w:rPr>
          <w:color w:val="auto"/>
          <w:sz w:val="28"/>
          <w:szCs w:val="28"/>
        </w:rPr>
        <w:t xml:space="preserve">nabadzības riska slieksnis jeb 60% no mediānas ienākuma ir 367 </w:t>
      </w:r>
      <w:proofErr w:type="spellStart"/>
      <w:r w:rsidR="00755641" w:rsidRPr="00BF7EF7">
        <w:rPr>
          <w:i/>
          <w:color w:val="auto"/>
          <w:sz w:val="28"/>
          <w:szCs w:val="28"/>
        </w:rPr>
        <w:t>euro</w:t>
      </w:r>
      <w:proofErr w:type="spellEnd"/>
      <w:r w:rsidR="00852ACD">
        <w:rPr>
          <w:i/>
          <w:color w:val="auto"/>
          <w:sz w:val="28"/>
          <w:szCs w:val="28"/>
        </w:rPr>
        <w:t xml:space="preserve"> </w:t>
      </w:r>
      <w:r w:rsidR="00852ACD" w:rsidRPr="00852ACD">
        <w:rPr>
          <w:color w:val="auto"/>
          <w:sz w:val="28"/>
          <w:szCs w:val="28"/>
        </w:rPr>
        <w:t>mēnesī</w:t>
      </w:r>
      <w:r w:rsidR="00755641" w:rsidRPr="00BF7EF7">
        <w:rPr>
          <w:rStyle w:val="FootnoteReference"/>
          <w:color w:val="auto"/>
          <w:sz w:val="28"/>
          <w:szCs w:val="28"/>
        </w:rPr>
        <w:footnoteReference w:id="2"/>
      </w:r>
      <w:r w:rsidR="00852ACD">
        <w:rPr>
          <w:i/>
          <w:color w:val="auto"/>
          <w:sz w:val="28"/>
          <w:szCs w:val="28"/>
        </w:rPr>
        <w:t>.</w:t>
      </w:r>
      <w:r w:rsidR="00FD5AFA" w:rsidRPr="00BF7EF7">
        <w:rPr>
          <w:color w:val="auto"/>
          <w:sz w:val="28"/>
          <w:szCs w:val="28"/>
        </w:rPr>
        <w:t xml:space="preserve"> </w:t>
      </w:r>
    </w:p>
    <w:p w14:paraId="16B88415" w14:textId="4FE3F9C8" w:rsidR="00935F66" w:rsidRPr="00BF7EF7" w:rsidRDefault="001552C0" w:rsidP="00935F66">
      <w:pPr>
        <w:autoSpaceDE w:val="0"/>
        <w:autoSpaceDN w:val="0"/>
        <w:adjustRightInd w:val="0"/>
        <w:spacing w:after="0" w:line="240" w:lineRule="auto"/>
        <w:ind w:firstLine="720"/>
        <w:jc w:val="both"/>
        <w:rPr>
          <w:rFonts w:ascii="Times New Roman" w:hAnsi="Times New Roman" w:cs="Times New Roman"/>
          <w:sz w:val="28"/>
          <w:szCs w:val="28"/>
        </w:rPr>
      </w:pPr>
      <w:r w:rsidRPr="00BF7EF7">
        <w:rPr>
          <w:rFonts w:ascii="Times New Roman" w:hAnsi="Times New Roman" w:cs="Times New Roman"/>
          <w:sz w:val="28"/>
          <w:szCs w:val="28"/>
        </w:rPr>
        <w:t xml:space="preserve">Jāatzīmē, ka nabadzības riska slieksnis un arī pārējie </w:t>
      </w:r>
      <w:r w:rsidR="001E4FC8" w:rsidRPr="00BF7EF7">
        <w:rPr>
          <w:rFonts w:ascii="Times New Roman" w:hAnsi="Times New Roman" w:cs="Times New Roman"/>
          <w:sz w:val="28"/>
          <w:szCs w:val="28"/>
        </w:rPr>
        <w:t>ES</w:t>
      </w:r>
      <w:r w:rsidR="00BB458A" w:rsidRPr="00BF7EF7">
        <w:rPr>
          <w:rFonts w:ascii="Times New Roman" w:hAnsi="Times New Roman" w:cs="Times New Roman"/>
          <w:sz w:val="28"/>
          <w:szCs w:val="28"/>
        </w:rPr>
        <w:t xml:space="preserve"> </w:t>
      </w:r>
      <w:r w:rsidRPr="00BF7EF7">
        <w:rPr>
          <w:rFonts w:ascii="Times New Roman" w:hAnsi="Times New Roman" w:cs="Times New Roman"/>
          <w:sz w:val="28"/>
          <w:szCs w:val="28"/>
        </w:rPr>
        <w:t xml:space="preserve">kopējie indikatori tiek izmantoti galvenokārt statistiskiem nolūkiem, proti, situācijas salīdzināšanai ar citām ES dalībvalstīm, un tas nenozīmē, ka </w:t>
      </w:r>
      <w:r w:rsidRPr="00BF7EF7">
        <w:rPr>
          <w:rFonts w:ascii="Times New Roman" w:hAnsi="Times New Roman" w:cs="Times New Roman"/>
          <w:sz w:val="28"/>
          <w:szCs w:val="28"/>
        </w:rPr>
        <w:lastRenderedPageBreak/>
        <w:t>iedzīvotājiem tiek sniegts materiālais atbalsts, ja viņi ir pakļauti nabadzības riskam</w:t>
      </w:r>
      <w:r w:rsidR="009B4E1F" w:rsidRPr="00BF7EF7">
        <w:rPr>
          <w:rFonts w:ascii="Times New Roman" w:hAnsi="Times New Roman" w:cs="Times New Roman"/>
          <w:sz w:val="28"/>
          <w:szCs w:val="28"/>
        </w:rPr>
        <w:t xml:space="preserve"> pēc ES metodoloģijas</w:t>
      </w:r>
      <w:r w:rsidRPr="00BF7EF7">
        <w:rPr>
          <w:rFonts w:ascii="Times New Roman" w:hAnsi="Times New Roman" w:cs="Times New Roman"/>
          <w:sz w:val="28"/>
          <w:szCs w:val="28"/>
        </w:rPr>
        <w:t xml:space="preserve">. </w:t>
      </w:r>
      <w:r w:rsidR="00935F66" w:rsidRPr="00BF7EF7">
        <w:rPr>
          <w:rFonts w:ascii="Times New Roman" w:hAnsi="Times New Roman" w:cs="Times New Roman"/>
          <w:sz w:val="28"/>
          <w:szCs w:val="28"/>
        </w:rPr>
        <w:t xml:space="preserve">Savukārt materiālajam atbalstam visnabadzīgākajiem iedzīvotājiem katra ES dalībvalsts izmanto </w:t>
      </w:r>
      <w:r w:rsidR="00F11BBC">
        <w:rPr>
          <w:rFonts w:ascii="Times New Roman" w:hAnsi="Times New Roman" w:cs="Times New Roman"/>
          <w:sz w:val="28"/>
          <w:szCs w:val="28"/>
        </w:rPr>
        <w:t>savu izvēlēto</w:t>
      </w:r>
      <w:r w:rsidR="00935F66" w:rsidRPr="00BF7EF7">
        <w:rPr>
          <w:rFonts w:ascii="Times New Roman" w:hAnsi="Times New Roman" w:cs="Times New Roman"/>
          <w:sz w:val="28"/>
          <w:szCs w:val="28"/>
        </w:rPr>
        <w:t xml:space="preserve"> pieeju un statistisko informāciju</w:t>
      </w:r>
      <w:r w:rsidR="007134CD">
        <w:rPr>
          <w:rFonts w:ascii="Times New Roman" w:hAnsi="Times New Roman" w:cs="Times New Roman"/>
          <w:sz w:val="28"/>
          <w:szCs w:val="28"/>
        </w:rPr>
        <w:t>.</w:t>
      </w:r>
    </w:p>
    <w:p w14:paraId="6EEBDA06" w14:textId="77777777" w:rsidR="00C466DF" w:rsidRPr="00BF7EF7" w:rsidRDefault="00C466DF" w:rsidP="00DD5398">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14:paraId="4AFDA7B2" w14:textId="1517BC9F" w:rsidR="00C466DF" w:rsidRPr="00BF7EF7" w:rsidRDefault="0029200A" w:rsidP="00C466DF">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w:t>
      </w:r>
      <w:r w:rsidRPr="00BF7EF7">
        <w:rPr>
          <w:rFonts w:ascii="Times New Roman" w:eastAsia="Times New Roman" w:hAnsi="Times New Roman" w:cs="Times New Roman"/>
          <w:sz w:val="28"/>
          <w:szCs w:val="28"/>
          <w:lang w:eastAsia="lv-LV"/>
        </w:rPr>
        <w:t>ociāli atbildīgas valsts princips uzliek valstij pienākumu rūpēties par cilvēka cienīga dzīves līmeņa nodrošināšanu un aizsardzību sociālā riska gadījumā, tomēr cilvēkam ir arī pienākums rūpēties pašam par sevi un tuviniekiem un pienākums pašam aktīvi iesaistīties savu sociālo problēmu</w:t>
      </w:r>
      <w:r w:rsidRPr="00BF7EF7">
        <w:rPr>
          <w:rFonts w:ascii="Times New Roman" w:hAnsi="Times New Roman" w:cs="Times New Roman"/>
          <w:color w:val="373737"/>
          <w:sz w:val="28"/>
          <w:szCs w:val="28"/>
          <w:shd w:val="clear" w:color="auto" w:fill="FFFFFF"/>
        </w:rPr>
        <w:t xml:space="preserve"> </w:t>
      </w:r>
      <w:r w:rsidRPr="00BF7EF7">
        <w:rPr>
          <w:rFonts w:ascii="Times New Roman" w:eastAsia="Times New Roman" w:hAnsi="Times New Roman" w:cs="Times New Roman"/>
          <w:sz w:val="28"/>
          <w:szCs w:val="28"/>
          <w:lang w:eastAsia="lv-LV"/>
        </w:rPr>
        <w:t>risināšanā</w:t>
      </w:r>
      <w:r w:rsidRPr="00BF7EF7">
        <w:rPr>
          <w:rFonts w:ascii="Times New Roman" w:hAnsi="Times New Roman" w:cs="Times New Roman"/>
          <w:color w:val="373737"/>
          <w:sz w:val="28"/>
          <w:szCs w:val="28"/>
          <w:shd w:val="clear" w:color="auto" w:fill="FFFFFF"/>
        </w:rPr>
        <w:t xml:space="preserve">. </w:t>
      </w:r>
      <w:r>
        <w:rPr>
          <w:rFonts w:ascii="Times New Roman" w:eastAsia="Times New Roman" w:hAnsi="Times New Roman" w:cs="Times New Roman"/>
          <w:sz w:val="28"/>
          <w:szCs w:val="28"/>
          <w:lang w:eastAsia="lv-LV"/>
        </w:rPr>
        <w:t xml:space="preserve">Atbilstoši Deklarācijai par </w:t>
      </w:r>
      <w:r w:rsidRPr="00BF7EF7">
        <w:rPr>
          <w:rFonts w:ascii="Times New Roman" w:eastAsia="Times New Roman" w:hAnsi="Times New Roman" w:cs="Times New Roman"/>
          <w:sz w:val="28"/>
          <w:szCs w:val="28"/>
          <w:lang w:eastAsia="lv-LV"/>
        </w:rPr>
        <w:t>Artura Krišjāņa Kariņa vadītā Ministru kabineta</w:t>
      </w:r>
      <w:r w:rsidR="005F248F">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iecerēto darbību n</w:t>
      </w:r>
      <w:r w:rsidR="0037587B" w:rsidRPr="00BF7EF7">
        <w:rPr>
          <w:rFonts w:ascii="Times New Roman" w:eastAsia="Times New Roman" w:hAnsi="Times New Roman" w:cs="Times New Roman"/>
          <w:sz w:val="28"/>
          <w:szCs w:val="28"/>
          <w:lang w:eastAsia="lv-LV"/>
        </w:rPr>
        <w:t>abadzības un sociālās atstumtības mazināšana ir aktuāl</w:t>
      </w:r>
      <w:r>
        <w:rPr>
          <w:rFonts w:ascii="Times New Roman" w:eastAsia="Times New Roman" w:hAnsi="Times New Roman" w:cs="Times New Roman"/>
          <w:sz w:val="28"/>
          <w:szCs w:val="28"/>
          <w:lang w:eastAsia="lv-LV"/>
        </w:rPr>
        <w:t>s</w:t>
      </w:r>
      <w:r w:rsidR="00C466DF" w:rsidRPr="00BF7EF7">
        <w:rPr>
          <w:rFonts w:ascii="Times New Roman" w:eastAsia="Times New Roman" w:hAnsi="Times New Roman" w:cs="Times New Roman"/>
          <w:sz w:val="28"/>
          <w:szCs w:val="28"/>
          <w:lang w:eastAsia="lv-LV"/>
        </w:rPr>
        <w:t xml:space="preserve"> </w:t>
      </w:r>
      <w:r w:rsidR="0037587B" w:rsidRPr="00BF7EF7">
        <w:rPr>
          <w:rFonts w:ascii="Times New Roman" w:eastAsia="Times New Roman" w:hAnsi="Times New Roman" w:cs="Times New Roman"/>
          <w:sz w:val="28"/>
          <w:szCs w:val="28"/>
          <w:lang w:eastAsia="lv-LV"/>
        </w:rPr>
        <w:t>un prioritār</w:t>
      </w:r>
      <w:r>
        <w:rPr>
          <w:rFonts w:ascii="Times New Roman" w:eastAsia="Times New Roman" w:hAnsi="Times New Roman" w:cs="Times New Roman"/>
          <w:sz w:val="28"/>
          <w:szCs w:val="28"/>
          <w:lang w:eastAsia="lv-LV"/>
        </w:rPr>
        <w:t>s</w:t>
      </w:r>
      <w:r w:rsidR="00C466DF" w:rsidRPr="00BF7EF7">
        <w:rPr>
          <w:rFonts w:ascii="Times New Roman" w:eastAsia="Times New Roman" w:hAnsi="Times New Roman" w:cs="Times New Roman"/>
          <w:sz w:val="28"/>
          <w:szCs w:val="28"/>
          <w:lang w:eastAsia="lv-LV"/>
        </w:rPr>
        <w:t xml:space="preserve"> </w:t>
      </w:r>
      <w:r w:rsidR="0037587B" w:rsidRPr="00BF7EF7">
        <w:rPr>
          <w:rFonts w:ascii="Times New Roman" w:eastAsia="Times New Roman" w:hAnsi="Times New Roman" w:cs="Times New Roman"/>
          <w:sz w:val="28"/>
          <w:szCs w:val="28"/>
          <w:lang w:eastAsia="lv-LV"/>
        </w:rPr>
        <w:t>uzdevum</w:t>
      </w:r>
      <w:r w:rsidR="00B519FB">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kurš tai skaitā paredz </w:t>
      </w:r>
      <w:r w:rsidRPr="005F248F">
        <w:rPr>
          <w:rFonts w:ascii="Times New Roman" w:eastAsia="Times New Roman" w:hAnsi="Times New Roman" w:cs="Times New Roman"/>
          <w:sz w:val="28"/>
          <w:szCs w:val="28"/>
          <w:lang w:eastAsia="lv-LV"/>
        </w:rPr>
        <w:t>pakāpeniski pilnveidot minimālo ienākumu atbalsta sistēmu (111.punkts)</w:t>
      </w:r>
      <w:r w:rsidR="001552C0" w:rsidRPr="005F248F">
        <w:rPr>
          <w:rFonts w:ascii="Times New Roman" w:eastAsia="Times New Roman" w:hAnsi="Times New Roman" w:cs="Times New Roman"/>
          <w:sz w:val="28"/>
          <w:szCs w:val="28"/>
          <w:lang w:eastAsia="lv-LV"/>
        </w:rPr>
        <w:t>. Š</w:t>
      </w:r>
      <w:r w:rsidR="0037587B" w:rsidRPr="005F248F">
        <w:rPr>
          <w:rFonts w:ascii="Times New Roman" w:eastAsia="Times New Roman" w:hAnsi="Times New Roman" w:cs="Times New Roman"/>
          <w:sz w:val="28"/>
          <w:szCs w:val="28"/>
          <w:lang w:eastAsia="lv-LV"/>
        </w:rPr>
        <w:t>obrīd normatīvajos aktos noteiktie minimālo ienākum</w:t>
      </w:r>
      <w:r w:rsidR="003C390E" w:rsidRPr="005F248F">
        <w:rPr>
          <w:rFonts w:ascii="Times New Roman" w:eastAsia="Times New Roman" w:hAnsi="Times New Roman" w:cs="Times New Roman"/>
          <w:sz w:val="28"/>
          <w:szCs w:val="28"/>
          <w:lang w:eastAsia="lv-LV"/>
        </w:rPr>
        <w:t>u</w:t>
      </w:r>
      <w:r w:rsidR="0037587B" w:rsidRPr="005F248F">
        <w:rPr>
          <w:rFonts w:ascii="Times New Roman" w:eastAsia="Times New Roman" w:hAnsi="Times New Roman" w:cs="Times New Roman"/>
          <w:sz w:val="28"/>
          <w:szCs w:val="28"/>
          <w:lang w:eastAsia="lv-LV"/>
        </w:rPr>
        <w:t xml:space="preserve"> </w:t>
      </w:r>
      <w:r w:rsidR="00146B1F">
        <w:rPr>
          <w:rFonts w:ascii="Times New Roman" w:eastAsia="Times New Roman" w:hAnsi="Times New Roman" w:cs="Times New Roman"/>
          <w:sz w:val="28"/>
          <w:szCs w:val="28"/>
          <w:lang w:eastAsia="lv-LV"/>
        </w:rPr>
        <w:t>sliekšņi</w:t>
      </w:r>
      <w:r w:rsidR="00146B1F" w:rsidRPr="005F248F">
        <w:rPr>
          <w:rFonts w:ascii="Times New Roman" w:eastAsia="Times New Roman" w:hAnsi="Times New Roman" w:cs="Times New Roman"/>
          <w:sz w:val="28"/>
          <w:szCs w:val="28"/>
          <w:lang w:eastAsia="lv-LV"/>
        </w:rPr>
        <w:t xml:space="preserve"> </w:t>
      </w:r>
      <w:r w:rsidR="0037587B" w:rsidRPr="005F248F">
        <w:rPr>
          <w:rFonts w:ascii="Times New Roman" w:eastAsia="Times New Roman" w:hAnsi="Times New Roman" w:cs="Times New Roman"/>
          <w:sz w:val="28"/>
          <w:szCs w:val="28"/>
          <w:lang w:eastAsia="lv-LV"/>
        </w:rPr>
        <w:t>ir pārāk zemi, lai veiksmīgi mazinātu nabadzību un sociālo nevienlīdzību, it īpaši to iedzīvotāju vidū</w:t>
      </w:r>
      <w:r w:rsidR="003C390E" w:rsidRPr="005F248F">
        <w:rPr>
          <w:rFonts w:ascii="Times New Roman" w:eastAsia="Times New Roman" w:hAnsi="Times New Roman" w:cs="Times New Roman"/>
          <w:sz w:val="28"/>
          <w:szCs w:val="28"/>
          <w:lang w:eastAsia="lv-LV"/>
        </w:rPr>
        <w:t>, kas ir</w:t>
      </w:r>
      <w:r w:rsidR="0037587B" w:rsidRPr="005F248F">
        <w:rPr>
          <w:rFonts w:ascii="Times New Roman" w:eastAsia="Times New Roman" w:hAnsi="Times New Roman" w:cs="Times New Roman"/>
          <w:sz w:val="28"/>
          <w:szCs w:val="28"/>
          <w:lang w:eastAsia="lv-LV"/>
        </w:rPr>
        <w:t xml:space="preserve"> ar viszemākajiem ienākumiem vai bez ienākumiem vispār. </w:t>
      </w:r>
      <w:r w:rsidR="001552C0" w:rsidRPr="005F248F">
        <w:rPr>
          <w:rFonts w:ascii="Times New Roman" w:eastAsia="Times New Roman" w:hAnsi="Times New Roman" w:cs="Times New Roman"/>
          <w:sz w:val="28"/>
          <w:szCs w:val="28"/>
          <w:lang w:eastAsia="lv-LV"/>
        </w:rPr>
        <w:t>Lai nodrošinātu mērķēt</w:t>
      </w:r>
      <w:r w:rsidR="00B519FB">
        <w:rPr>
          <w:rFonts w:ascii="Times New Roman" w:eastAsia="Times New Roman" w:hAnsi="Times New Roman" w:cs="Times New Roman"/>
          <w:sz w:val="28"/>
          <w:szCs w:val="28"/>
          <w:lang w:eastAsia="lv-LV"/>
        </w:rPr>
        <w:t>u</w:t>
      </w:r>
      <w:r w:rsidR="001552C0" w:rsidRPr="005F248F">
        <w:rPr>
          <w:rFonts w:ascii="Times New Roman" w:eastAsia="Times New Roman" w:hAnsi="Times New Roman" w:cs="Times New Roman"/>
          <w:sz w:val="28"/>
          <w:szCs w:val="28"/>
          <w:lang w:eastAsia="lv-LV"/>
        </w:rPr>
        <w:t xml:space="preserve"> atbalst</w:t>
      </w:r>
      <w:r w:rsidR="00B519FB">
        <w:rPr>
          <w:rFonts w:ascii="Times New Roman" w:eastAsia="Times New Roman" w:hAnsi="Times New Roman" w:cs="Times New Roman"/>
          <w:sz w:val="28"/>
          <w:szCs w:val="28"/>
          <w:lang w:eastAsia="lv-LV"/>
        </w:rPr>
        <w:t>u</w:t>
      </w:r>
      <w:r w:rsidR="00AD3E46">
        <w:rPr>
          <w:rFonts w:ascii="Times New Roman" w:eastAsia="Times New Roman" w:hAnsi="Times New Roman" w:cs="Times New Roman"/>
          <w:sz w:val="28"/>
          <w:szCs w:val="28"/>
          <w:lang w:eastAsia="lv-LV"/>
        </w:rPr>
        <w:t xml:space="preserve"> </w:t>
      </w:r>
      <w:r w:rsidR="001552C0" w:rsidRPr="005F248F">
        <w:rPr>
          <w:rFonts w:ascii="Times New Roman" w:eastAsia="Times New Roman" w:hAnsi="Times New Roman" w:cs="Times New Roman"/>
          <w:sz w:val="28"/>
          <w:szCs w:val="28"/>
          <w:lang w:eastAsia="lv-LV"/>
        </w:rPr>
        <w:t xml:space="preserve">iedzīvotājiem ar viszemākajiem ienākumiem, jau </w:t>
      </w:r>
      <w:r w:rsidR="00FE3943" w:rsidRPr="005F248F">
        <w:rPr>
          <w:rFonts w:ascii="Times New Roman" w:eastAsia="Times New Roman" w:hAnsi="Times New Roman" w:cs="Times New Roman"/>
          <w:sz w:val="28"/>
          <w:szCs w:val="28"/>
          <w:lang w:eastAsia="lv-LV"/>
        </w:rPr>
        <w:t>2014.gadā M</w:t>
      </w:r>
      <w:r w:rsidR="0047321D" w:rsidRPr="005F248F">
        <w:rPr>
          <w:rFonts w:ascii="Times New Roman" w:eastAsia="Times New Roman" w:hAnsi="Times New Roman" w:cs="Times New Roman"/>
          <w:sz w:val="28"/>
          <w:szCs w:val="28"/>
          <w:lang w:eastAsia="lv-LV"/>
        </w:rPr>
        <w:t>inistru kabinets</w:t>
      </w:r>
      <w:r w:rsidR="00FE3943" w:rsidRPr="005F248F">
        <w:rPr>
          <w:rFonts w:ascii="Times New Roman" w:eastAsia="Times New Roman" w:hAnsi="Times New Roman" w:cs="Times New Roman"/>
          <w:sz w:val="28"/>
          <w:szCs w:val="28"/>
          <w:lang w:eastAsia="lv-LV"/>
        </w:rPr>
        <w:t xml:space="preserve"> </w:t>
      </w:r>
      <w:r w:rsidR="008D151F" w:rsidRPr="005F248F">
        <w:rPr>
          <w:rFonts w:ascii="Times New Roman" w:eastAsia="Times New Roman" w:hAnsi="Times New Roman" w:cs="Times New Roman"/>
          <w:sz w:val="28"/>
          <w:szCs w:val="28"/>
          <w:lang w:eastAsia="lv-LV"/>
        </w:rPr>
        <w:t xml:space="preserve">atbalstīja </w:t>
      </w:r>
      <w:r w:rsidR="001E4FC8" w:rsidRPr="005F248F">
        <w:rPr>
          <w:rFonts w:ascii="Times New Roman" w:eastAsia="Times New Roman" w:hAnsi="Times New Roman" w:cs="Times New Roman"/>
          <w:sz w:val="28"/>
          <w:szCs w:val="28"/>
          <w:lang w:eastAsia="lv-LV"/>
        </w:rPr>
        <w:t xml:space="preserve">Labklājības ministrijas izstrādāto </w:t>
      </w:r>
      <w:r w:rsidR="00FE3943" w:rsidRPr="005F248F">
        <w:rPr>
          <w:rFonts w:ascii="Times New Roman" w:eastAsia="Times New Roman" w:hAnsi="Times New Roman" w:cs="Times New Roman"/>
          <w:sz w:val="28"/>
          <w:szCs w:val="28"/>
          <w:lang w:eastAsia="lv-LV"/>
        </w:rPr>
        <w:t xml:space="preserve">koncepciju </w:t>
      </w:r>
      <w:r w:rsidR="003C390E" w:rsidRPr="005F248F">
        <w:rPr>
          <w:rFonts w:ascii="Times New Roman" w:eastAsia="Times New Roman" w:hAnsi="Times New Roman" w:cs="Times New Roman"/>
          <w:sz w:val="28"/>
          <w:szCs w:val="28"/>
          <w:lang w:eastAsia="lv-LV"/>
        </w:rPr>
        <w:t>„</w:t>
      </w:r>
      <w:r w:rsidR="00FE3943" w:rsidRPr="005F248F">
        <w:rPr>
          <w:rFonts w:ascii="Times New Roman" w:eastAsia="Times New Roman" w:hAnsi="Times New Roman" w:cs="Times New Roman"/>
          <w:sz w:val="28"/>
          <w:szCs w:val="28"/>
          <w:lang w:eastAsia="lv-LV"/>
        </w:rPr>
        <w:t xml:space="preserve">Par minimālā ienākuma </w:t>
      </w:r>
      <w:r w:rsidR="00FE3943" w:rsidRPr="00BF7EF7">
        <w:rPr>
          <w:rFonts w:ascii="Times New Roman" w:eastAsia="Times New Roman" w:hAnsi="Times New Roman" w:cs="Times New Roman"/>
          <w:sz w:val="28"/>
          <w:szCs w:val="28"/>
          <w:lang w:eastAsia="lv-LV"/>
        </w:rPr>
        <w:t>līmeņa noteikšanu” (turpmāk – Koncepcija), kuras virsmērķis ir uz solidaritātes principiem balstīta nabadzības un ienākumu nevienlīdzības mazināšana,</w:t>
      </w:r>
      <w:r w:rsidR="00C466DF" w:rsidRPr="00BF7EF7">
        <w:rPr>
          <w:rFonts w:ascii="Times New Roman" w:eastAsia="Times New Roman" w:hAnsi="Times New Roman" w:cs="Times New Roman"/>
          <w:sz w:val="28"/>
          <w:szCs w:val="28"/>
          <w:lang w:eastAsia="lv-LV"/>
        </w:rPr>
        <w:t xml:space="preserve"> </w:t>
      </w:r>
      <w:r w:rsidR="00FE3943" w:rsidRPr="00BF7EF7">
        <w:rPr>
          <w:rFonts w:ascii="Times New Roman" w:eastAsia="Times New Roman" w:hAnsi="Times New Roman" w:cs="Times New Roman"/>
          <w:sz w:val="28"/>
          <w:szCs w:val="28"/>
          <w:lang w:eastAsia="lv-LV"/>
        </w:rPr>
        <w:t>nosakot</w:t>
      </w:r>
      <w:r w:rsidR="00C466DF" w:rsidRPr="00BF7EF7">
        <w:rPr>
          <w:rFonts w:ascii="Times New Roman" w:eastAsia="Times New Roman" w:hAnsi="Times New Roman" w:cs="Times New Roman"/>
          <w:sz w:val="28"/>
          <w:szCs w:val="28"/>
          <w:lang w:eastAsia="lv-LV"/>
        </w:rPr>
        <w:t xml:space="preserve"> </w:t>
      </w:r>
      <w:r w:rsidR="00FE3943" w:rsidRPr="00BF7EF7">
        <w:rPr>
          <w:rFonts w:ascii="Times New Roman" w:eastAsia="Times New Roman" w:hAnsi="Times New Roman" w:cs="Times New Roman"/>
          <w:sz w:val="28"/>
          <w:szCs w:val="28"/>
          <w:lang w:eastAsia="lv-LV"/>
        </w:rPr>
        <w:t>metodoloģiski pamatotu un sociālekonomiskajai situācijai atbilstošu minimālā ienākuma līmeni, kas kalpotu par atskaites punktu sociālās drošības sistēmas jomu ietvaros noteikto atbalsta pasākumu pilnveidošanai.</w:t>
      </w:r>
      <w:r w:rsidR="001552C0" w:rsidRPr="00BF7EF7">
        <w:rPr>
          <w:rFonts w:ascii="Times New Roman" w:eastAsia="Times New Roman" w:hAnsi="Times New Roman" w:cs="Times New Roman"/>
          <w:sz w:val="28"/>
          <w:szCs w:val="28"/>
          <w:lang w:eastAsia="lv-LV"/>
        </w:rPr>
        <w:t xml:space="preserve"> Koncepcija paredz minimālā ienākum</w:t>
      </w:r>
      <w:r w:rsidR="009B4E1F" w:rsidRPr="00BF7EF7">
        <w:rPr>
          <w:rFonts w:ascii="Times New Roman" w:eastAsia="Times New Roman" w:hAnsi="Times New Roman" w:cs="Times New Roman"/>
          <w:sz w:val="28"/>
          <w:szCs w:val="28"/>
          <w:lang w:eastAsia="lv-LV"/>
        </w:rPr>
        <w:t>a</w:t>
      </w:r>
      <w:r w:rsidR="001552C0" w:rsidRPr="00BF7EF7">
        <w:rPr>
          <w:rFonts w:ascii="Times New Roman" w:eastAsia="Times New Roman" w:hAnsi="Times New Roman" w:cs="Times New Roman"/>
          <w:sz w:val="28"/>
          <w:szCs w:val="28"/>
          <w:lang w:eastAsia="lv-LV"/>
        </w:rPr>
        <w:t xml:space="preserve"> līmeni noteikt 40% apmērā no </w:t>
      </w:r>
      <w:r w:rsidR="00EB2768">
        <w:rPr>
          <w:rFonts w:ascii="Times New Roman" w:eastAsia="Times New Roman" w:hAnsi="Times New Roman" w:cs="Times New Roman"/>
          <w:sz w:val="28"/>
          <w:szCs w:val="28"/>
          <w:lang w:eastAsia="lv-LV"/>
        </w:rPr>
        <w:t>mājsaimniecīb</w:t>
      </w:r>
      <w:r w:rsidR="00D74E6B">
        <w:rPr>
          <w:rFonts w:ascii="Times New Roman" w:eastAsia="Times New Roman" w:hAnsi="Times New Roman" w:cs="Times New Roman"/>
          <w:sz w:val="28"/>
          <w:szCs w:val="28"/>
          <w:lang w:eastAsia="lv-LV"/>
        </w:rPr>
        <w:t>u</w:t>
      </w:r>
      <w:bookmarkStart w:id="0" w:name="_GoBack"/>
      <w:bookmarkEnd w:id="0"/>
      <w:r w:rsidR="00EB2768">
        <w:rPr>
          <w:rFonts w:ascii="Times New Roman" w:eastAsia="Times New Roman" w:hAnsi="Times New Roman" w:cs="Times New Roman"/>
          <w:sz w:val="28"/>
          <w:szCs w:val="28"/>
          <w:lang w:eastAsia="lv-LV"/>
        </w:rPr>
        <w:t xml:space="preserve"> </w:t>
      </w:r>
      <w:r w:rsidR="001552C0" w:rsidRPr="00BF7EF7">
        <w:rPr>
          <w:rFonts w:ascii="Times New Roman" w:eastAsia="Times New Roman" w:hAnsi="Times New Roman" w:cs="Times New Roman"/>
          <w:sz w:val="28"/>
          <w:szCs w:val="28"/>
          <w:lang w:eastAsia="lv-LV"/>
        </w:rPr>
        <w:t>rīcībā esošo ienākumu mediānas pārrēķinātas uz ekvivalento patērētāju, piemērojot ekvivalences skalu (1; 0</w:t>
      </w:r>
      <w:r w:rsidR="009E12F9">
        <w:rPr>
          <w:rFonts w:ascii="Times New Roman" w:eastAsia="Times New Roman" w:hAnsi="Times New Roman" w:cs="Times New Roman"/>
          <w:sz w:val="28"/>
          <w:szCs w:val="28"/>
          <w:lang w:eastAsia="lv-LV"/>
        </w:rPr>
        <w:t>.</w:t>
      </w:r>
      <w:r w:rsidR="001552C0" w:rsidRPr="00BF7EF7">
        <w:rPr>
          <w:rFonts w:ascii="Times New Roman" w:eastAsia="Times New Roman" w:hAnsi="Times New Roman" w:cs="Times New Roman"/>
          <w:sz w:val="28"/>
          <w:szCs w:val="28"/>
          <w:lang w:eastAsia="lv-LV"/>
        </w:rPr>
        <w:t>7; 0</w:t>
      </w:r>
      <w:r w:rsidR="009E12F9">
        <w:rPr>
          <w:rFonts w:ascii="Times New Roman" w:eastAsia="Times New Roman" w:hAnsi="Times New Roman" w:cs="Times New Roman"/>
          <w:sz w:val="28"/>
          <w:szCs w:val="28"/>
          <w:lang w:eastAsia="lv-LV"/>
        </w:rPr>
        <w:t>.</w:t>
      </w:r>
      <w:r w:rsidR="001552C0" w:rsidRPr="00BF7EF7">
        <w:rPr>
          <w:rFonts w:ascii="Times New Roman" w:eastAsia="Times New Roman" w:hAnsi="Times New Roman" w:cs="Times New Roman"/>
          <w:sz w:val="28"/>
          <w:szCs w:val="28"/>
          <w:lang w:eastAsia="lv-LV"/>
        </w:rPr>
        <w:t>7)</w:t>
      </w:r>
      <w:r w:rsidR="00DC7199">
        <w:rPr>
          <w:rFonts w:ascii="Times New Roman" w:eastAsia="Times New Roman" w:hAnsi="Times New Roman" w:cs="Times New Roman"/>
          <w:sz w:val="28"/>
          <w:szCs w:val="28"/>
          <w:lang w:eastAsia="lv-LV"/>
        </w:rPr>
        <w:t>,</w:t>
      </w:r>
      <w:r w:rsidR="009B4E1F" w:rsidRPr="00BF7EF7">
        <w:rPr>
          <w:rFonts w:ascii="Times New Roman" w:hAnsi="Times New Roman" w:cs="Times New Roman"/>
          <w:iCs/>
          <w:sz w:val="28"/>
          <w:szCs w:val="28"/>
        </w:rPr>
        <w:t xml:space="preserve"> </w:t>
      </w:r>
      <w:r w:rsidR="00344A17" w:rsidRPr="00BF7EF7">
        <w:rPr>
          <w:rFonts w:ascii="Times New Roman" w:hAnsi="Times New Roman" w:cs="Times New Roman"/>
          <w:sz w:val="28"/>
          <w:szCs w:val="28"/>
        </w:rPr>
        <w:t>ņemot vērā Latvijas demogrāfisko situāciju</w:t>
      </w:r>
      <w:r w:rsidR="009B4E1F" w:rsidRPr="00BF7EF7">
        <w:rPr>
          <w:rFonts w:ascii="Times New Roman" w:hAnsi="Times New Roman" w:cs="Times New Roman"/>
          <w:sz w:val="28"/>
          <w:szCs w:val="28"/>
        </w:rPr>
        <w:t xml:space="preserve"> un piešķirot lielāku ekvivalento svaru bērniem nekā ES metodoloģijā</w:t>
      </w:r>
      <w:r w:rsidR="00344A17" w:rsidRPr="00BF7EF7">
        <w:rPr>
          <w:rFonts w:ascii="Times New Roman" w:hAnsi="Times New Roman" w:cs="Times New Roman"/>
          <w:sz w:val="28"/>
          <w:szCs w:val="28"/>
        </w:rPr>
        <w:t xml:space="preserve">. </w:t>
      </w:r>
      <w:r w:rsidR="00C466DF" w:rsidRPr="00BF7EF7">
        <w:rPr>
          <w:rFonts w:ascii="Times New Roman" w:eastAsia="Times New Roman" w:hAnsi="Times New Roman" w:cs="Times New Roman"/>
          <w:sz w:val="28"/>
          <w:szCs w:val="28"/>
          <w:lang w:eastAsia="lv-LV"/>
        </w:rPr>
        <w:t>Jāpaskaidro, ka, izmantojot atšķirīgas ekvivalences skalas, mājsaimniecīb</w:t>
      </w:r>
      <w:r w:rsidR="00D66EFE">
        <w:rPr>
          <w:rFonts w:ascii="Times New Roman" w:eastAsia="Times New Roman" w:hAnsi="Times New Roman" w:cs="Times New Roman"/>
          <w:sz w:val="28"/>
          <w:szCs w:val="28"/>
          <w:lang w:eastAsia="lv-LV"/>
        </w:rPr>
        <w:t xml:space="preserve">u locekļiem </w:t>
      </w:r>
      <w:r w:rsidR="00C466DF" w:rsidRPr="00BF7EF7">
        <w:rPr>
          <w:rFonts w:ascii="Times New Roman" w:eastAsia="Times New Roman" w:hAnsi="Times New Roman" w:cs="Times New Roman"/>
          <w:sz w:val="28"/>
          <w:szCs w:val="28"/>
          <w:lang w:eastAsia="lv-LV"/>
        </w:rPr>
        <w:t>tiek piešķirts atšķirīgs ekvivalentais svars atkarībā no to sastāva un veidojas atšķirīgs mediānas ienākums, un līdz ar to atšķirīgs nabadzības riska slieksnis (skat</w:t>
      </w:r>
      <w:r w:rsidR="00B94E5C">
        <w:rPr>
          <w:rFonts w:ascii="Times New Roman" w:eastAsia="Times New Roman" w:hAnsi="Times New Roman" w:cs="Times New Roman"/>
          <w:sz w:val="28"/>
          <w:szCs w:val="28"/>
          <w:lang w:eastAsia="lv-LV"/>
        </w:rPr>
        <w:t xml:space="preserve">īt </w:t>
      </w:r>
      <w:r w:rsidR="00C466DF" w:rsidRPr="00BF7EF7">
        <w:rPr>
          <w:rFonts w:ascii="Times New Roman" w:eastAsia="Times New Roman" w:hAnsi="Times New Roman" w:cs="Times New Roman"/>
          <w:sz w:val="28"/>
          <w:szCs w:val="28"/>
          <w:lang w:eastAsia="lv-LV"/>
        </w:rPr>
        <w:t xml:space="preserve">1.tabulu). Mājsaimniecību locekļiem piešķirtais ekvivalentais svars ļauj izdarīt pieņēmumu par papildu vajadzībām </w:t>
      </w:r>
      <w:r w:rsidR="00146B1F">
        <w:rPr>
          <w:rFonts w:ascii="Times New Roman" w:eastAsia="Times New Roman" w:hAnsi="Times New Roman" w:cs="Times New Roman"/>
          <w:sz w:val="28"/>
          <w:szCs w:val="28"/>
          <w:lang w:eastAsia="lv-LV"/>
        </w:rPr>
        <w:t xml:space="preserve">katram nākamajam mājsaimniecības loceklim </w:t>
      </w:r>
      <w:r w:rsidR="00C466DF" w:rsidRPr="00BF7EF7">
        <w:rPr>
          <w:rFonts w:ascii="Times New Roman" w:eastAsia="Times New Roman" w:hAnsi="Times New Roman" w:cs="Times New Roman"/>
          <w:sz w:val="28"/>
          <w:szCs w:val="28"/>
          <w:lang w:eastAsia="lv-LV"/>
        </w:rPr>
        <w:t xml:space="preserve">un noteikt </w:t>
      </w:r>
      <w:r w:rsidR="00D66EFE">
        <w:rPr>
          <w:rFonts w:ascii="Times New Roman" w:eastAsia="Times New Roman" w:hAnsi="Times New Roman" w:cs="Times New Roman"/>
          <w:sz w:val="28"/>
          <w:szCs w:val="28"/>
          <w:lang w:eastAsia="lv-LV"/>
        </w:rPr>
        <w:t xml:space="preserve">mājsaimniecības </w:t>
      </w:r>
      <w:r w:rsidR="00C466DF" w:rsidRPr="00BF7EF7">
        <w:rPr>
          <w:rFonts w:ascii="Times New Roman" w:eastAsia="Times New Roman" w:hAnsi="Times New Roman" w:cs="Times New Roman"/>
          <w:sz w:val="28"/>
          <w:szCs w:val="28"/>
          <w:lang w:eastAsia="lv-LV"/>
        </w:rPr>
        <w:t xml:space="preserve">ienākumu, </w:t>
      </w:r>
      <w:r w:rsidR="00D66EFE">
        <w:rPr>
          <w:rFonts w:ascii="Times New Roman" w:eastAsia="Times New Roman" w:hAnsi="Times New Roman" w:cs="Times New Roman"/>
          <w:sz w:val="28"/>
          <w:szCs w:val="28"/>
          <w:lang w:eastAsia="lv-LV"/>
        </w:rPr>
        <w:t xml:space="preserve">kas </w:t>
      </w:r>
      <w:r w:rsidR="00C466DF" w:rsidRPr="00BF7EF7">
        <w:rPr>
          <w:rFonts w:ascii="Times New Roman" w:eastAsia="Times New Roman" w:hAnsi="Times New Roman" w:cs="Times New Roman"/>
          <w:sz w:val="28"/>
          <w:szCs w:val="28"/>
          <w:lang w:eastAsia="lv-LV"/>
        </w:rPr>
        <w:t>atspoguļo palielinātās izmaksas</w:t>
      </w:r>
      <w:r w:rsidR="00D66EFE">
        <w:rPr>
          <w:rFonts w:ascii="Times New Roman" w:eastAsia="Times New Roman" w:hAnsi="Times New Roman" w:cs="Times New Roman"/>
          <w:sz w:val="28"/>
          <w:szCs w:val="28"/>
          <w:lang w:eastAsia="lv-LV"/>
        </w:rPr>
        <w:t xml:space="preserve"> par nākamajiem mājsaimniecības locekļiem</w:t>
      </w:r>
      <w:r w:rsidR="00874860">
        <w:rPr>
          <w:rFonts w:ascii="Times New Roman" w:eastAsia="Times New Roman" w:hAnsi="Times New Roman" w:cs="Times New Roman"/>
          <w:sz w:val="28"/>
          <w:szCs w:val="28"/>
          <w:lang w:eastAsia="lv-LV"/>
        </w:rPr>
        <w:t>.</w:t>
      </w:r>
      <w:r w:rsidR="00D66EFE">
        <w:rPr>
          <w:rFonts w:ascii="Times New Roman" w:eastAsia="Times New Roman" w:hAnsi="Times New Roman" w:cs="Times New Roman"/>
          <w:sz w:val="28"/>
          <w:szCs w:val="28"/>
          <w:lang w:eastAsia="lv-LV"/>
        </w:rPr>
        <w:t xml:space="preserve"> 1.tabulā ietverti piemēri par </w:t>
      </w:r>
      <w:r w:rsidR="00874860">
        <w:rPr>
          <w:rFonts w:ascii="Times New Roman" w:eastAsia="Times New Roman" w:hAnsi="Times New Roman" w:cs="Times New Roman"/>
          <w:sz w:val="28"/>
          <w:szCs w:val="28"/>
          <w:lang w:eastAsia="lv-LV"/>
        </w:rPr>
        <w:t xml:space="preserve">ienākuma slieksni </w:t>
      </w:r>
      <w:r w:rsidR="00874860" w:rsidRPr="00BF7EF7">
        <w:rPr>
          <w:rFonts w:ascii="Times New Roman" w:hAnsi="Times New Roman" w:cs="Times New Roman"/>
          <w:sz w:val="28"/>
          <w:szCs w:val="28"/>
        </w:rPr>
        <w:t>pie 40% no ienākumu mediānas</w:t>
      </w:r>
      <w:r w:rsidR="00874860">
        <w:rPr>
          <w:rFonts w:ascii="Times New Roman" w:eastAsia="Times New Roman" w:hAnsi="Times New Roman" w:cs="Times New Roman"/>
          <w:sz w:val="28"/>
          <w:szCs w:val="28"/>
          <w:lang w:eastAsia="lv-LV"/>
        </w:rPr>
        <w:t xml:space="preserve"> </w:t>
      </w:r>
      <w:r w:rsidR="00D66EFE">
        <w:rPr>
          <w:rFonts w:ascii="Times New Roman" w:eastAsia="Times New Roman" w:hAnsi="Times New Roman" w:cs="Times New Roman"/>
          <w:sz w:val="28"/>
          <w:szCs w:val="28"/>
          <w:lang w:eastAsia="lv-LV"/>
        </w:rPr>
        <w:t>diviem ģimeņu tipiem pie abām ekvivalences skalām</w:t>
      </w:r>
      <w:r w:rsidR="00874860">
        <w:rPr>
          <w:rFonts w:ascii="Times New Roman" w:eastAsia="Times New Roman" w:hAnsi="Times New Roman" w:cs="Times New Roman"/>
          <w:sz w:val="28"/>
          <w:szCs w:val="28"/>
          <w:lang w:eastAsia="lv-LV"/>
        </w:rPr>
        <w:t>.</w:t>
      </w:r>
      <w:r w:rsidR="00EB2768">
        <w:rPr>
          <w:rFonts w:ascii="Times New Roman" w:hAnsi="Times New Roman" w:cs="Times New Roman"/>
          <w:sz w:val="28"/>
          <w:szCs w:val="28"/>
        </w:rPr>
        <w:t xml:space="preserve"> </w:t>
      </w:r>
      <w:r w:rsidR="00C466DF" w:rsidRPr="00BF7EF7">
        <w:rPr>
          <w:rFonts w:ascii="Times New Roman" w:eastAsia="Times New Roman" w:hAnsi="Times New Roman" w:cs="Times New Roman"/>
          <w:sz w:val="28"/>
          <w:szCs w:val="28"/>
          <w:lang w:eastAsia="lv-LV"/>
        </w:rPr>
        <w:t>Lai arī, izvēloties Koncepcij</w:t>
      </w:r>
      <w:r w:rsidR="00146B1F">
        <w:rPr>
          <w:rFonts w:ascii="Times New Roman" w:eastAsia="Times New Roman" w:hAnsi="Times New Roman" w:cs="Times New Roman"/>
          <w:sz w:val="28"/>
          <w:szCs w:val="28"/>
          <w:lang w:eastAsia="lv-LV"/>
        </w:rPr>
        <w:t>ā</w:t>
      </w:r>
      <w:r w:rsidR="00C466DF" w:rsidRPr="00BF7EF7">
        <w:rPr>
          <w:rFonts w:ascii="Times New Roman" w:eastAsia="Times New Roman" w:hAnsi="Times New Roman" w:cs="Times New Roman"/>
          <w:sz w:val="28"/>
          <w:szCs w:val="28"/>
          <w:lang w:eastAsia="lv-LV"/>
        </w:rPr>
        <w:t xml:space="preserve"> noteikto ekvivalences skalu</w:t>
      </w:r>
      <w:r w:rsidR="00146B1F">
        <w:rPr>
          <w:rFonts w:ascii="Times New Roman" w:eastAsia="Times New Roman" w:hAnsi="Times New Roman" w:cs="Times New Roman"/>
          <w:sz w:val="28"/>
          <w:szCs w:val="28"/>
          <w:lang w:eastAsia="lv-LV"/>
        </w:rPr>
        <w:t xml:space="preserve"> </w:t>
      </w:r>
      <w:r w:rsidR="00146B1F" w:rsidRPr="00BF7EF7">
        <w:rPr>
          <w:rFonts w:ascii="Times New Roman" w:eastAsia="Times New Roman" w:hAnsi="Times New Roman" w:cs="Times New Roman"/>
          <w:sz w:val="28"/>
          <w:szCs w:val="28"/>
          <w:lang w:eastAsia="lv-LV"/>
        </w:rPr>
        <w:t>(1; 0</w:t>
      </w:r>
      <w:r w:rsidR="009E12F9">
        <w:rPr>
          <w:rFonts w:ascii="Times New Roman" w:eastAsia="Times New Roman" w:hAnsi="Times New Roman" w:cs="Times New Roman"/>
          <w:sz w:val="28"/>
          <w:szCs w:val="28"/>
          <w:lang w:eastAsia="lv-LV"/>
        </w:rPr>
        <w:t>.</w:t>
      </w:r>
      <w:r w:rsidR="00146B1F" w:rsidRPr="00BF7EF7">
        <w:rPr>
          <w:rFonts w:ascii="Times New Roman" w:eastAsia="Times New Roman" w:hAnsi="Times New Roman" w:cs="Times New Roman"/>
          <w:sz w:val="28"/>
          <w:szCs w:val="28"/>
          <w:lang w:eastAsia="lv-LV"/>
        </w:rPr>
        <w:t>7; 0</w:t>
      </w:r>
      <w:r w:rsidR="009E12F9">
        <w:rPr>
          <w:rFonts w:ascii="Times New Roman" w:eastAsia="Times New Roman" w:hAnsi="Times New Roman" w:cs="Times New Roman"/>
          <w:sz w:val="28"/>
          <w:szCs w:val="28"/>
          <w:lang w:eastAsia="lv-LV"/>
        </w:rPr>
        <w:t>.</w:t>
      </w:r>
      <w:r w:rsidR="00146B1F" w:rsidRPr="00BF7EF7">
        <w:rPr>
          <w:rFonts w:ascii="Times New Roman" w:eastAsia="Times New Roman" w:hAnsi="Times New Roman" w:cs="Times New Roman"/>
          <w:sz w:val="28"/>
          <w:szCs w:val="28"/>
          <w:lang w:eastAsia="lv-LV"/>
        </w:rPr>
        <w:t>7)</w:t>
      </w:r>
      <w:r w:rsidR="00C466DF" w:rsidRPr="00BF7EF7">
        <w:rPr>
          <w:rFonts w:ascii="Times New Roman" w:eastAsia="Times New Roman" w:hAnsi="Times New Roman" w:cs="Times New Roman"/>
          <w:sz w:val="28"/>
          <w:szCs w:val="28"/>
          <w:lang w:eastAsia="lv-LV"/>
        </w:rPr>
        <w:t>, nabadzības riska slieksnis ir zemāks nekā pēc ES metodoloģijas</w:t>
      </w:r>
      <w:r w:rsidR="00146B1F">
        <w:rPr>
          <w:rFonts w:ascii="Times New Roman" w:eastAsia="Times New Roman" w:hAnsi="Times New Roman" w:cs="Times New Roman"/>
          <w:sz w:val="28"/>
          <w:szCs w:val="28"/>
          <w:lang w:eastAsia="lv-LV"/>
        </w:rPr>
        <w:t xml:space="preserve"> </w:t>
      </w:r>
      <w:r w:rsidR="00146B1F" w:rsidRPr="006F6C1D">
        <w:rPr>
          <w:rFonts w:ascii="Times New Roman" w:hAnsi="Times New Roman" w:cs="Times New Roman"/>
          <w:sz w:val="28"/>
          <w:szCs w:val="28"/>
        </w:rPr>
        <w:t>(1; 0</w:t>
      </w:r>
      <w:r w:rsidR="009E12F9">
        <w:rPr>
          <w:rFonts w:ascii="Times New Roman" w:hAnsi="Times New Roman" w:cs="Times New Roman"/>
          <w:sz w:val="28"/>
          <w:szCs w:val="28"/>
        </w:rPr>
        <w:t>.</w:t>
      </w:r>
      <w:r w:rsidR="00146B1F" w:rsidRPr="006F6C1D">
        <w:rPr>
          <w:rFonts w:ascii="Times New Roman" w:hAnsi="Times New Roman" w:cs="Times New Roman"/>
          <w:sz w:val="28"/>
          <w:szCs w:val="28"/>
        </w:rPr>
        <w:t>5; 0</w:t>
      </w:r>
      <w:r w:rsidR="009E12F9">
        <w:rPr>
          <w:rFonts w:ascii="Times New Roman" w:hAnsi="Times New Roman" w:cs="Times New Roman"/>
          <w:sz w:val="28"/>
          <w:szCs w:val="28"/>
        </w:rPr>
        <w:t>.</w:t>
      </w:r>
      <w:r w:rsidR="00146B1F" w:rsidRPr="006F6C1D">
        <w:rPr>
          <w:rFonts w:ascii="Times New Roman" w:hAnsi="Times New Roman" w:cs="Times New Roman"/>
          <w:sz w:val="28"/>
          <w:szCs w:val="28"/>
        </w:rPr>
        <w:t>3)</w:t>
      </w:r>
      <w:r w:rsidR="00C466DF" w:rsidRPr="00146B1F">
        <w:rPr>
          <w:rFonts w:ascii="Times New Roman" w:eastAsia="Times New Roman" w:hAnsi="Times New Roman" w:cs="Times New Roman"/>
          <w:sz w:val="28"/>
          <w:szCs w:val="28"/>
          <w:lang w:eastAsia="lv-LV"/>
        </w:rPr>
        <w:t>,</w:t>
      </w:r>
      <w:r w:rsidR="00C466DF" w:rsidRPr="00BF7EF7">
        <w:rPr>
          <w:rFonts w:ascii="Times New Roman" w:eastAsia="Times New Roman" w:hAnsi="Times New Roman" w:cs="Times New Roman"/>
          <w:sz w:val="28"/>
          <w:szCs w:val="28"/>
          <w:lang w:eastAsia="lv-LV"/>
        </w:rPr>
        <w:t xml:space="preserve"> Koncepcijā izvēlētā ekvivalences skala ļauj nodrošināt lielāku atbalstu ģimenēm ar bērniem, kas ir viena no nabadzības riskam visbiežāk pakļautajām sabiedrības grupām.</w:t>
      </w:r>
    </w:p>
    <w:p w14:paraId="2F0C7A3E" w14:textId="35134371" w:rsidR="00C6614E" w:rsidRPr="00BF7EF7" w:rsidRDefault="00E70516" w:rsidP="00BF7EF7">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sidRPr="00BF7EF7">
        <w:rPr>
          <w:rFonts w:ascii="Times New Roman" w:eastAsia="Times New Roman" w:hAnsi="Times New Roman" w:cs="Times New Roman"/>
          <w:sz w:val="28"/>
          <w:szCs w:val="28"/>
          <w:lang w:eastAsia="lv-LV"/>
        </w:rPr>
        <w:lastRenderedPageBreak/>
        <w:t>T</w:t>
      </w:r>
      <w:r w:rsidR="00C466DF" w:rsidRPr="00BF7EF7">
        <w:rPr>
          <w:rFonts w:ascii="Times New Roman" w:eastAsia="Times New Roman" w:hAnsi="Times New Roman" w:cs="Times New Roman"/>
          <w:sz w:val="28"/>
          <w:szCs w:val="28"/>
          <w:lang w:eastAsia="lv-LV"/>
        </w:rPr>
        <w:t>ādējādi,</w:t>
      </w:r>
      <w:r w:rsidRPr="00BF7EF7">
        <w:rPr>
          <w:rFonts w:ascii="Times New Roman" w:eastAsia="Times New Roman" w:hAnsi="Times New Roman" w:cs="Times New Roman"/>
          <w:sz w:val="28"/>
          <w:szCs w:val="28"/>
          <w:lang w:eastAsia="lv-LV"/>
        </w:rPr>
        <w:t xml:space="preserve"> nosakot minimālā ienākum</w:t>
      </w:r>
      <w:r w:rsidR="00C466DF" w:rsidRPr="00BF7EF7">
        <w:rPr>
          <w:rFonts w:ascii="Times New Roman" w:eastAsia="Times New Roman" w:hAnsi="Times New Roman" w:cs="Times New Roman"/>
          <w:sz w:val="28"/>
          <w:szCs w:val="28"/>
          <w:lang w:eastAsia="lv-LV"/>
        </w:rPr>
        <w:t>a</w:t>
      </w:r>
      <w:r w:rsidRPr="00BF7EF7">
        <w:rPr>
          <w:rFonts w:ascii="Times New Roman" w:eastAsia="Times New Roman" w:hAnsi="Times New Roman" w:cs="Times New Roman"/>
          <w:sz w:val="28"/>
          <w:szCs w:val="28"/>
          <w:lang w:eastAsia="lv-LV"/>
        </w:rPr>
        <w:t xml:space="preserve"> līmeni 40% apmērā no </w:t>
      </w:r>
      <w:r w:rsidR="00C466DF" w:rsidRPr="00BF7EF7">
        <w:rPr>
          <w:rFonts w:ascii="Times New Roman" w:eastAsia="Times New Roman" w:hAnsi="Times New Roman" w:cs="Times New Roman"/>
          <w:sz w:val="28"/>
          <w:szCs w:val="28"/>
          <w:lang w:eastAsia="lv-LV"/>
        </w:rPr>
        <w:t xml:space="preserve">mājsaimniecību </w:t>
      </w:r>
      <w:r w:rsidRPr="00BF7EF7">
        <w:rPr>
          <w:rFonts w:ascii="Times New Roman" w:eastAsia="Times New Roman" w:hAnsi="Times New Roman" w:cs="Times New Roman"/>
          <w:sz w:val="28"/>
          <w:szCs w:val="28"/>
          <w:lang w:eastAsia="lv-LV"/>
        </w:rPr>
        <w:t xml:space="preserve">rīcībā esošo ienākumu mediānas, </w:t>
      </w:r>
      <w:r w:rsidR="00BA700E" w:rsidRPr="00BF7EF7">
        <w:rPr>
          <w:rFonts w:ascii="Times New Roman" w:eastAsia="Times New Roman" w:hAnsi="Times New Roman" w:cs="Times New Roman"/>
          <w:sz w:val="28"/>
          <w:szCs w:val="28"/>
          <w:lang w:eastAsia="lv-LV"/>
        </w:rPr>
        <w:t>veidojas</w:t>
      </w:r>
      <w:r w:rsidRPr="00BF7EF7">
        <w:rPr>
          <w:rFonts w:ascii="Times New Roman" w:eastAsia="Times New Roman" w:hAnsi="Times New Roman" w:cs="Times New Roman"/>
          <w:sz w:val="28"/>
          <w:szCs w:val="28"/>
          <w:lang w:eastAsia="lv-LV"/>
        </w:rPr>
        <w:t xml:space="preserve"> samērīga proporcija</w:t>
      </w:r>
      <w:r w:rsidR="00BA700E" w:rsidRPr="00BF7EF7">
        <w:rPr>
          <w:rFonts w:ascii="Times New Roman" w:eastAsia="Times New Roman" w:hAnsi="Times New Roman" w:cs="Times New Roman"/>
          <w:sz w:val="28"/>
          <w:szCs w:val="28"/>
          <w:lang w:eastAsia="lv-LV"/>
        </w:rPr>
        <w:t xml:space="preserve">, kādā sabiedrības vairākums atbalsta sabiedrības mazākumu ar zemiem ienākumiem. </w:t>
      </w:r>
      <w:r w:rsidRPr="00BF7EF7">
        <w:rPr>
          <w:rFonts w:ascii="Times New Roman" w:eastAsia="Times New Roman" w:hAnsi="Times New Roman" w:cs="Times New Roman"/>
          <w:sz w:val="28"/>
          <w:szCs w:val="28"/>
          <w:lang w:eastAsia="lv-LV"/>
        </w:rPr>
        <w:t xml:space="preserve"> </w:t>
      </w:r>
    </w:p>
    <w:p w14:paraId="148600E1" w14:textId="77777777" w:rsidR="002105F9" w:rsidRPr="00BF7EF7" w:rsidRDefault="002105F9" w:rsidP="00C466DF">
      <w:pPr>
        <w:autoSpaceDE w:val="0"/>
        <w:autoSpaceDN w:val="0"/>
        <w:adjustRightInd w:val="0"/>
        <w:spacing w:after="0" w:line="240" w:lineRule="auto"/>
        <w:ind w:firstLine="720"/>
        <w:jc w:val="right"/>
        <w:rPr>
          <w:rFonts w:ascii="Times New Roman" w:hAnsi="Times New Roman" w:cs="Times New Roman"/>
          <w:sz w:val="28"/>
          <w:szCs w:val="28"/>
        </w:rPr>
      </w:pPr>
      <w:r w:rsidRPr="00BF7EF7">
        <w:rPr>
          <w:rFonts w:ascii="Times New Roman" w:hAnsi="Times New Roman" w:cs="Times New Roman"/>
          <w:sz w:val="28"/>
          <w:szCs w:val="28"/>
        </w:rPr>
        <w:t xml:space="preserve">1.tabula </w:t>
      </w:r>
    </w:p>
    <w:p w14:paraId="57AF0D1E" w14:textId="1BB1CBDC" w:rsidR="002105F9" w:rsidRPr="00BF7EF7" w:rsidRDefault="00952AEE" w:rsidP="00B519FB">
      <w:pPr>
        <w:autoSpaceDE w:val="0"/>
        <w:autoSpaceDN w:val="0"/>
        <w:adjustRightInd w:val="0"/>
        <w:spacing w:after="0" w:line="240" w:lineRule="auto"/>
        <w:jc w:val="center"/>
        <w:rPr>
          <w:rFonts w:ascii="Times New Roman" w:hAnsi="Times New Roman" w:cs="Times New Roman"/>
          <w:b/>
          <w:sz w:val="28"/>
          <w:szCs w:val="28"/>
        </w:rPr>
      </w:pPr>
      <w:r w:rsidRPr="00BF7EF7">
        <w:rPr>
          <w:rFonts w:ascii="Times New Roman" w:hAnsi="Times New Roman" w:cs="Times New Roman"/>
          <w:b/>
          <w:sz w:val="28"/>
          <w:szCs w:val="28"/>
        </w:rPr>
        <w:t xml:space="preserve">Minimālo ienākumu sliekšņi </w:t>
      </w:r>
      <w:r w:rsidR="002105F9" w:rsidRPr="00BF7EF7">
        <w:rPr>
          <w:rFonts w:ascii="Times New Roman" w:hAnsi="Times New Roman" w:cs="Times New Roman"/>
          <w:b/>
          <w:sz w:val="28"/>
          <w:szCs w:val="28"/>
        </w:rPr>
        <w:t>un ekvivalentais mediānas ienākums pie atšķirīgām ekvivalences skalām</w:t>
      </w:r>
      <w:r w:rsidR="009D3B1F" w:rsidRPr="00BF7EF7">
        <w:rPr>
          <w:rFonts w:ascii="Times New Roman" w:hAnsi="Times New Roman" w:cs="Times New Roman"/>
          <w:b/>
          <w:sz w:val="28"/>
          <w:szCs w:val="28"/>
        </w:rPr>
        <w:t>, 2017.gads</w:t>
      </w:r>
    </w:p>
    <w:p w14:paraId="7FBF0F76" w14:textId="00B4AAF2" w:rsidR="00CA0115" w:rsidRPr="00BF7EF7" w:rsidRDefault="00CA0115" w:rsidP="008323E9">
      <w:pPr>
        <w:autoSpaceDE w:val="0"/>
        <w:autoSpaceDN w:val="0"/>
        <w:adjustRightInd w:val="0"/>
        <w:spacing w:after="0" w:line="240" w:lineRule="auto"/>
        <w:ind w:firstLine="720"/>
        <w:jc w:val="both"/>
        <w:rPr>
          <w:rFonts w:ascii="Times New Roman" w:hAnsi="Times New Roman" w:cs="Times New Roman"/>
          <w:sz w:val="28"/>
          <w:szCs w:val="28"/>
        </w:rPr>
      </w:pPr>
    </w:p>
    <w:tbl>
      <w:tblPr>
        <w:tblStyle w:val="TableGrid"/>
        <w:tblW w:w="8880" w:type="dxa"/>
        <w:tblInd w:w="-5" w:type="dxa"/>
        <w:tblLook w:val="04A0" w:firstRow="1" w:lastRow="0" w:firstColumn="1" w:lastColumn="0" w:noHBand="0" w:noVBand="1"/>
      </w:tblPr>
      <w:tblGrid>
        <w:gridCol w:w="2906"/>
        <w:gridCol w:w="2906"/>
        <w:gridCol w:w="3068"/>
      </w:tblGrid>
      <w:tr w:rsidR="00CA0115" w:rsidRPr="00BF7EF7" w14:paraId="6E733CD1" w14:textId="77777777" w:rsidTr="00197083">
        <w:trPr>
          <w:trHeight w:val="662"/>
        </w:trPr>
        <w:tc>
          <w:tcPr>
            <w:tcW w:w="2906" w:type="dxa"/>
            <w:vAlign w:val="center"/>
          </w:tcPr>
          <w:p w14:paraId="046F9413" w14:textId="77777777" w:rsidR="00CA0115" w:rsidRPr="00BF7EF7" w:rsidRDefault="00CA0115" w:rsidP="00CA0115">
            <w:pPr>
              <w:pStyle w:val="Default"/>
              <w:jc w:val="center"/>
              <w:rPr>
                <w:color w:val="auto"/>
              </w:rPr>
            </w:pPr>
          </w:p>
        </w:tc>
        <w:tc>
          <w:tcPr>
            <w:tcW w:w="2906" w:type="dxa"/>
            <w:vAlign w:val="center"/>
          </w:tcPr>
          <w:p w14:paraId="47906253" w14:textId="1DBE4E7B" w:rsidR="00CA0115" w:rsidRPr="00BF7EF7" w:rsidRDefault="00CA0115" w:rsidP="00DD5398">
            <w:pPr>
              <w:pStyle w:val="Default"/>
              <w:jc w:val="center"/>
              <w:rPr>
                <w:color w:val="auto"/>
              </w:rPr>
            </w:pPr>
            <w:r w:rsidRPr="00BF7EF7">
              <w:rPr>
                <w:color w:val="auto"/>
              </w:rPr>
              <w:t>Eurostat</w:t>
            </w:r>
          </w:p>
          <w:p w14:paraId="0918DBF1" w14:textId="664123B7" w:rsidR="00CA0115" w:rsidRPr="00BF7EF7" w:rsidRDefault="00CA0115" w:rsidP="00DD5398">
            <w:pPr>
              <w:pStyle w:val="Default"/>
              <w:jc w:val="center"/>
              <w:rPr>
                <w:color w:val="auto"/>
              </w:rPr>
            </w:pPr>
            <w:r w:rsidRPr="00BF7EF7">
              <w:rPr>
                <w:color w:val="auto"/>
              </w:rPr>
              <w:t>(1; 0</w:t>
            </w:r>
            <w:r w:rsidR="00DF1AAA" w:rsidRPr="00BF7EF7">
              <w:rPr>
                <w:color w:val="auto"/>
              </w:rPr>
              <w:t>.</w:t>
            </w:r>
            <w:r w:rsidRPr="00BF7EF7">
              <w:rPr>
                <w:color w:val="auto"/>
              </w:rPr>
              <w:t>5;</w:t>
            </w:r>
            <w:r w:rsidR="00DF1AAA" w:rsidRPr="00BF7EF7">
              <w:rPr>
                <w:color w:val="auto"/>
              </w:rPr>
              <w:t xml:space="preserve"> </w:t>
            </w:r>
            <w:r w:rsidRPr="00BF7EF7">
              <w:rPr>
                <w:color w:val="auto"/>
              </w:rPr>
              <w:t>0</w:t>
            </w:r>
            <w:r w:rsidR="00DF1AAA" w:rsidRPr="00BF7EF7">
              <w:rPr>
                <w:color w:val="auto"/>
              </w:rPr>
              <w:t>.</w:t>
            </w:r>
            <w:r w:rsidRPr="00BF7EF7">
              <w:rPr>
                <w:color w:val="auto"/>
              </w:rPr>
              <w:t>3)</w:t>
            </w:r>
            <w:r w:rsidR="00724031" w:rsidRPr="00BF7EF7">
              <w:rPr>
                <w:color w:val="auto"/>
              </w:rPr>
              <w:t xml:space="preserve">, </w:t>
            </w:r>
            <w:proofErr w:type="spellStart"/>
            <w:r w:rsidRPr="00197083">
              <w:rPr>
                <w:i/>
                <w:color w:val="auto"/>
              </w:rPr>
              <w:t>euro</w:t>
            </w:r>
            <w:proofErr w:type="spellEnd"/>
            <w:r w:rsidR="00724031" w:rsidRPr="00BF7EF7">
              <w:rPr>
                <w:color w:val="auto"/>
              </w:rPr>
              <w:t xml:space="preserve"> mēnesī</w:t>
            </w:r>
          </w:p>
        </w:tc>
        <w:tc>
          <w:tcPr>
            <w:tcW w:w="3068" w:type="dxa"/>
            <w:vAlign w:val="center"/>
          </w:tcPr>
          <w:p w14:paraId="19BA56D0" w14:textId="5F7E0911" w:rsidR="00CA0115" w:rsidRPr="00BF7EF7" w:rsidRDefault="00C466DF" w:rsidP="00DD5398">
            <w:pPr>
              <w:pStyle w:val="Default"/>
              <w:jc w:val="center"/>
              <w:rPr>
                <w:color w:val="auto"/>
              </w:rPr>
            </w:pPr>
            <w:r w:rsidRPr="00BF7EF7">
              <w:rPr>
                <w:color w:val="auto"/>
              </w:rPr>
              <w:t xml:space="preserve">Koncepcijā noteiktais </w:t>
            </w:r>
            <w:r w:rsidR="00CA0115" w:rsidRPr="00BF7EF7">
              <w:rPr>
                <w:color w:val="auto"/>
              </w:rPr>
              <w:t>minimālā ienākuma līmenis</w:t>
            </w:r>
          </w:p>
          <w:p w14:paraId="1CA12E20" w14:textId="4A0B32DC" w:rsidR="00CA0115" w:rsidRPr="00BF7EF7" w:rsidRDefault="00CA0115" w:rsidP="00DD5398">
            <w:pPr>
              <w:pStyle w:val="Default"/>
              <w:jc w:val="center"/>
              <w:rPr>
                <w:color w:val="auto"/>
              </w:rPr>
            </w:pPr>
            <w:r w:rsidRPr="00BF7EF7">
              <w:rPr>
                <w:color w:val="auto"/>
              </w:rPr>
              <w:t>(1;</w:t>
            </w:r>
            <w:r w:rsidR="00DF1AAA" w:rsidRPr="00BF7EF7">
              <w:rPr>
                <w:color w:val="auto"/>
              </w:rPr>
              <w:t xml:space="preserve"> </w:t>
            </w:r>
            <w:r w:rsidRPr="00BF7EF7">
              <w:rPr>
                <w:color w:val="auto"/>
              </w:rPr>
              <w:t>0</w:t>
            </w:r>
            <w:r w:rsidR="00DF1AAA" w:rsidRPr="00BF7EF7">
              <w:rPr>
                <w:color w:val="auto"/>
              </w:rPr>
              <w:t>.</w:t>
            </w:r>
            <w:r w:rsidRPr="00BF7EF7">
              <w:rPr>
                <w:color w:val="auto"/>
              </w:rPr>
              <w:t>7</w:t>
            </w:r>
            <w:r w:rsidR="00DF1AAA" w:rsidRPr="00BF7EF7">
              <w:rPr>
                <w:color w:val="auto"/>
              </w:rPr>
              <w:t>; 0.7</w:t>
            </w:r>
            <w:r w:rsidRPr="00BF7EF7">
              <w:rPr>
                <w:color w:val="auto"/>
              </w:rPr>
              <w:t>)</w:t>
            </w:r>
            <w:r w:rsidR="00724031" w:rsidRPr="00BF7EF7">
              <w:rPr>
                <w:color w:val="auto"/>
              </w:rPr>
              <w:t xml:space="preserve">, </w:t>
            </w:r>
            <w:proofErr w:type="spellStart"/>
            <w:r w:rsidRPr="00197083">
              <w:rPr>
                <w:i/>
                <w:color w:val="auto"/>
              </w:rPr>
              <w:t>euro</w:t>
            </w:r>
            <w:proofErr w:type="spellEnd"/>
            <w:r w:rsidR="00724031" w:rsidRPr="00BF7EF7">
              <w:rPr>
                <w:color w:val="auto"/>
              </w:rPr>
              <w:t xml:space="preserve"> mēnesī</w:t>
            </w:r>
          </w:p>
        </w:tc>
      </w:tr>
      <w:tr w:rsidR="00CA0115" w:rsidRPr="00BF7EF7" w14:paraId="5FFD2FD2" w14:textId="77777777" w:rsidTr="00197083">
        <w:trPr>
          <w:trHeight w:val="264"/>
        </w:trPr>
        <w:tc>
          <w:tcPr>
            <w:tcW w:w="2906" w:type="dxa"/>
            <w:vAlign w:val="center"/>
          </w:tcPr>
          <w:p w14:paraId="55F10ACC" w14:textId="77C23A58" w:rsidR="009D3B1F" w:rsidRPr="00BF7EF7" w:rsidRDefault="009D3B1F" w:rsidP="00C6614E">
            <w:pPr>
              <w:pStyle w:val="Default"/>
              <w:jc w:val="both"/>
              <w:rPr>
                <w:b/>
                <w:color w:val="auto"/>
              </w:rPr>
            </w:pPr>
            <w:r w:rsidRPr="00BF7EF7">
              <w:rPr>
                <w:b/>
                <w:color w:val="auto"/>
              </w:rPr>
              <w:t>Mājsaimniecību rīcībā esošo i</w:t>
            </w:r>
            <w:r w:rsidR="00CA0115" w:rsidRPr="00BF7EF7">
              <w:rPr>
                <w:b/>
                <w:color w:val="auto"/>
              </w:rPr>
              <w:t>enākumu mediāna</w:t>
            </w:r>
            <w:r w:rsidRPr="00BF7EF7">
              <w:rPr>
                <w:b/>
                <w:color w:val="auto"/>
              </w:rPr>
              <w:t xml:space="preserve"> uz vienu ekvivalento patērētāju</w:t>
            </w:r>
          </w:p>
        </w:tc>
        <w:tc>
          <w:tcPr>
            <w:tcW w:w="2906" w:type="dxa"/>
            <w:vAlign w:val="center"/>
          </w:tcPr>
          <w:p w14:paraId="1B380B1B" w14:textId="2038E6C2" w:rsidR="00CA0115" w:rsidRPr="00BF7EF7" w:rsidRDefault="00CA0115" w:rsidP="00CA0115">
            <w:pPr>
              <w:pStyle w:val="Default"/>
              <w:jc w:val="center"/>
              <w:rPr>
                <w:b/>
                <w:color w:val="auto"/>
              </w:rPr>
            </w:pPr>
            <w:r w:rsidRPr="00BF7EF7">
              <w:rPr>
                <w:b/>
                <w:color w:val="auto"/>
              </w:rPr>
              <w:t>611</w:t>
            </w:r>
          </w:p>
        </w:tc>
        <w:tc>
          <w:tcPr>
            <w:tcW w:w="3068" w:type="dxa"/>
            <w:vAlign w:val="center"/>
          </w:tcPr>
          <w:p w14:paraId="500EB9DD" w14:textId="71453DAD" w:rsidR="00CA0115" w:rsidRPr="00BF7EF7" w:rsidRDefault="00CA0115" w:rsidP="00CA0115">
            <w:pPr>
              <w:pStyle w:val="Default"/>
              <w:jc w:val="center"/>
              <w:rPr>
                <w:b/>
                <w:color w:val="auto"/>
              </w:rPr>
            </w:pPr>
            <w:r w:rsidRPr="00BF7EF7">
              <w:rPr>
                <w:b/>
                <w:color w:val="auto"/>
              </w:rPr>
              <w:t>49</w:t>
            </w:r>
            <w:r w:rsidR="007360B1" w:rsidRPr="00BF7EF7">
              <w:rPr>
                <w:b/>
                <w:color w:val="auto"/>
              </w:rPr>
              <w:t>4</w:t>
            </w:r>
          </w:p>
        </w:tc>
      </w:tr>
      <w:tr w:rsidR="00CA0115" w:rsidRPr="00BF7EF7" w14:paraId="7DCC4F1A" w14:textId="77777777" w:rsidTr="00197083">
        <w:trPr>
          <w:trHeight w:val="662"/>
        </w:trPr>
        <w:tc>
          <w:tcPr>
            <w:tcW w:w="2906" w:type="dxa"/>
            <w:vAlign w:val="center"/>
          </w:tcPr>
          <w:p w14:paraId="0F2071A5" w14:textId="40F71BBC" w:rsidR="00CA0115" w:rsidRPr="00BF7EF7" w:rsidRDefault="00CA0115" w:rsidP="00C466DF">
            <w:pPr>
              <w:pStyle w:val="Default"/>
              <w:rPr>
                <w:color w:val="auto"/>
              </w:rPr>
            </w:pPr>
            <w:r w:rsidRPr="00BF7EF7">
              <w:rPr>
                <w:color w:val="auto"/>
              </w:rPr>
              <w:t>Nabadzības riska slieksnis</w:t>
            </w:r>
            <w:r w:rsidR="00724031" w:rsidRPr="00BF7EF7">
              <w:rPr>
                <w:color w:val="auto"/>
              </w:rPr>
              <w:t xml:space="preserve"> vienas personas mājsaimniecībai</w:t>
            </w:r>
            <w:r w:rsidRPr="00BF7EF7">
              <w:rPr>
                <w:color w:val="auto"/>
              </w:rPr>
              <w:t xml:space="preserve"> (60% no ienākumu mediānas)</w:t>
            </w:r>
          </w:p>
        </w:tc>
        <w:tc>
          <w:tcPr>
            <w:tcW w:w="2906" w:type="dxa"/>
            <w:vAlign w:val="center"/>
          </w:tcPr>
          <w:p w14:paraId="6AB47F0F" w14:textId="77777777" w:rsidR="00CA0115" w:rsidRPr="00BF7EF7" w:rsidRDefault="00CA0115" w:rsidP="00CA0115">
            <w:pPr>
              <w:pStyle w:val="Default"/>
              <w:jc w:val="center"/>
              <w:rPr>
                <w:color w:val="auto"/>
              </w:rPr>
            </w:pPr>
            <w:r w:rsidRPr="00BF7EF7">
              <w:rPr>
                <w:color w:val="auto"/>
              </w:rPr>
              <w:t>367</w:t>
            </w:r>
          </w:p>
        </w:tc>
        <w:tc>
          <w:tcPr>
            <w:tcW w:w="3068" w:type="dxa"/>
            <w:vAlign w:val="center"/>
          </w:tcPr>
          <w:p w14:paraId="297B6487" w14:textId="77777777" w:rsidR="00CA0115" w:rsidRPr="00BF7EF7" w:rsidRDefault="00CA0115" w:rsidP="00CA0115">
            <w:pPr>
              <w:pStyle w:val="Default"/>
              <w:jc w:val="center"/>
              <w:rPr>
                <w:color w:val="auto"/>
              </w:rPr>
            </w:pPr>
            <w:r w:rsidRPr="00BF7EF7">
              <w:rPr>
                <w:color w:val="auto"/>
              </w:rPr>
              <w:t>297</w:t>
            </w:r>
          </w:p>
        </w:tc>
      </w:tr>
      <w:tr w:rsidR="00CA0115" w:rsidRPr="00BF7EF7" w14:paraId="44144A0E" w14:textId="77777777" w:rsidTr="00197083">
        <w:trPr>
          <w:trHeight w:val="922"/>
        </w:trPr>
        <w:tc>
          <w:tcPr>
            <w:tcW w:w="2906" w:type="dxa"/>
            <w:vAlign w:val="center"/>
          </w:tcPr>
          <w:p w14:paraId="2203A443" w14:textId="4B20B803" w:rsidR="00CA0115" w:rsidRPr="00BF7EF7" w:rsidRDefault="00952AEE" w:rsidP="00C466DF">
            <w:pPr>
              <w:pStyle w:val="Default"/>
              <w:rPr>
                <w:color w:val="auto"/>
              </w:rPr>
            </w:pPr>
            <w:r w:rsidRPr="00BF7EF7">
              <w:rPr>
                <w:color w:val="auto"/>
              </w:rPr>
              <w:t xml:space="preserve">Minimālā ienākuma slieksnis vienas personas mājsaimniecībai  pie </w:t>
            </w:r>
            <w:r w:rsidR="00CA0115" w:rsidRPr="00BF7EF7">
              <w:rPr>
                <w:color w:val="auto"/>
              </w:rPr>
              <w:t>40% no ienākumu mediānas</w:t>
            </w:r>
          </w:p>
        </w:tc>
        <w:tc>
          <w:tcPr>
            <w:tcW w:w="2906" w:type="dxa"/>
            <w:vAlign w:val="center"/>
          </w:tcPr>
          <w:p w14:paraId="00C17616" w14:textId="77777777" w:rsidR="00CA0115" w:rsidRPr="00BF7EF7" w:rsidRDefault="00CA0115" w:rsidP="00CA0115">
            <w:pPr>
              <w:pStyle w:val="Default"/>
              <w:jc w:val="center"/>
              <w:rPr>
                <w:color w:val="auto"/>
              </w:rPr>
            </w:pPr>
            <w:r w:rsidRPr="00BF7EF7">
              <w:rPr>
                <w:color w:val="auto"/>
              </w:rPr>
              <w:t>244</w:t>
            </w:r>
          </w:p>
        </w:tc>
        <w:tc>
          <w:tcPr>
            <w:tcW w:w="3068" w:type="dxa"/>
            <w:vAlign w:val="center"/>
          </w:tcPr>
          <w:p w14:paraId="18DBD202" w14:textId="77777777" w:rsidR="00CA0115" w:rsidRPr="00BF7EF7" w:rsidRDefault="00CA0115" w:rsidP="00CA0115">
            <w:pPr>
              <w:pStyle w:val="Default"/>
              <w:jc w:val="center"/>
              <w:rPr>
                <w:color w:val="auto"/>
              </w:rPr>
            </w:pPr>
            <w:r w:rsidRPr="00BF7EF7">
              <w:rPr>
                <w:color w:val="auto"/>
              </w:rPr>
              <w:t>198</w:t>
            </w:r>
          </w:p>
        </w:tc>
      </w:tr>
      <w:tr w:rsidR="00CA0115" w:rsidRPr="00BF7EF7" w14:paraId="151D0298" w14:textId="77777777" w:rsidTr="00197083">
        <w:trPr>
          <w:trHeight w:val="797"/>
        </w:trPr>
        <w:tc>
          <w:tcPr>
            <w:tcW w:w="2906" w:type="dxa"/>
            <w:tcBorders>
              <w:bottom w:val="single" w:sz="4" w:space="0" w:color="auto"/>
            </w:tcBorders>
            <w:vAlign w:val="center"/>
          </w:tcPr>
          <w:p w14:paraId="5969CA52" w14:textId="5C54427A" w:rsidR="00CA0115" w:rsidRPr="00BF7EF7" w:rsidRDefault="00952AEE" w:rsidP="00C466DF">
            <w:pPr>
              <w:pStyle w:val="Default"/>
              <w:rPr>
                <w:color w:val="auto"/>
              </w:rPr>
            </w:pPr>
            <w:r w:rsidRPr="00BF7EF7">
              <w:rPr>
                <w:color w:val="auto"/>
              </w:rPr>
              <w:t xml:space="preserve">Minimālā ienākuma slieksnis vienas personas mājsaimniecībai pie </w:t>
            </w:r>
            <w:r w:rsidR="00CA0115" w:rsidRPr="00BF7EF7">
              <w:rPr>
                <w:color w:val="auto"/>
              </w:rPr>
              <w:t>20 % no ienākumu mediānas</w:t>
            </w:r>
            <w:r w:rsidRPr="00BF7EF7">
              <w:rPr>
                <w:color w:val="auto"/>
              </w:rPr>
              <w:t xml:space="preserve">, </w:t>
            </w:r>
          </w:p>
        </w:tc>
        <w:tc>
          <w:tcPr>
            <w:tcW w:w="2906" w:type="dxa"/>
            <w:tcBorders>
              <w:bottom w:val="single" w:sz="4" w:space="0" w:color="auto"/>
            </w:tcBorders>
            <w:vAlign w:val="center"/>
          </w:tcPr>
          <w:p w14:paraId="4A839C08" w14:textId="77777777" w:rsidR="00CA0115" w:rsidRPr="00BF7EF7" w:rsidRDefault="00CA0115" w:rsidP="00CA0115">
            <w:pPr>
              <w:pStyle w:val="Default"/>
              <w:jc w:val="center"/>
              <w:rPr>
                <w:color w:val="auto"/>
              </w:rPr>
            </w:pPr>
            <w:r w:rsidRPr="00BF7EF7">
              <w:rPr>
                <w:color w:val="auto"/>
              </w:rPr>
              <w:t>122</w:t>
            </w:r>
          </w:p>
        </w:tc>
        <w:tc>
          <w:tcPr>
            <w:tcW w:w="3068" w:type="dxa"/>
            <w:tcBorders>
              <w:bottom w:val="single" w:sz="4" w:space="0" w:color="auto"/>
            </w:tcBorders>
            <w:vAlign w:val="center"/>
          </w:tcPr>
          <w:p w14:paraId="3605BC7E" w14:textId="77777777" w:rsidR="00CA0115" w:rsidRPr="00BF7EF7" w:rsidRDefault="00CA0115" w:rsidP="00CA0115">
            <w:pPr>
              <w:pStyle w:val="Default"/>
              <w:jc w:val="center"/>
              <w:rPr>
                <w:color w:val="auto"/>
              </w:rPr>
            </w:pPr>
            <w:r w:rsidRPr="00BF7EF7">
              <w:rPr>
                <w:color w:val="auto"/>
              </w:rPr>
              <w:t>99</w:t>
            </w:r>
          </w:p>
        </w:tc>
      </w:tr>
      <w:tr w:rsidR="00CA0115" w:rsidRPr="00BF7EF7" w14:paraId="491F5327" w14:textId="77777777" w:rsidTr="00197083">
        <w:trPr>
          <w:trHeight w:val="791"/>
        </w:trPr>
        <w:tc>
          <w:tcPr>
            <w:tcW w:w="2906" w:type="dxa"/>
            <w:tcBorders>
              <w:bottom w:val="double" w:sz="4" w:space="0" w:color="auto"/>
            </w:tcBorders>
            <w:vAlign w:val="center"/>
          </w:tcPr>
          <w:p w14:paraId="14F94C60" w14:textId="44F881E3" w:rsidR="00CA0115" w:rsidRPr="00BF7EF7" w:rsidRDefault="00CA0115" w:rsidP="00C466DF">
            <w:pPr>
              <w:pStyle w:val="Default"/>
              <w:rPr>
                <w:color w:val="auto"/>
              </w:rPr>
            </w:pPr>
            <w:r w:rsidRPr="00BF7EF7">
              <w:rPr>
                <w:color w:val="auto"/>
              </w:rPr>
              <w:t xml:space="preserve"> </w:t>
            </w:r>
            <w:r w:rsidR="00952AEE" w:rsidRPr="00BF7EF7">
              <w:rPr>
                <w:color w:val="auto"/>
              </w:rPr>
              <w:t xml:space="preserve">Minimālā ienākuma slieksnis vienas personas mājsaimniecībai pie </w:t>
            </w:r>
            <w:r w:rsidRPr="00BF7EF7">
              <w:rPr>
                <w:color w:val="auto"/>
              </w:rPr>
              <w:t>13 % no ienākumu mediānas</w:t>
            </w:r>
          </w:p>
        </w:tc>
        <w:tc>
          <w:tcPr>
            <w:tcW w:w="2906" w:type="dxa"/>
            <w:tcBorders>
              <w:bottom w:val="double" w:sz="4" w:space="0" w:color="auto"/>
            </w:tcBorders>
            <w:vAlign w:val="center"/>
          </w:tcPr>
          <w:p w14:paraId="3AF3B978" w14:textId="77777777" w:rsidR="00CA0115" w:rsidRPr="00BF7EF7" w:rsidRDefault="00CA0115" w:rsidP="00CA0115">
            <w:pPr>
              <w:pStyle w:val="Default"/>
              <w:jc w:val="center"/>
              <w:rPr>
                <w:color w:val="auto"/>
              </w:rPr>
            </w:pPr>
            <w:r w:rsidRPr="00BF7EF7">
              <w:rPr>
                <w:color w:val="auto"/>
              </w:rPr>
              <w:t>79</w:t>
            </w:r>
          </w:p>
        </w:tc>
        <w:tc>
          <w:tcPr>
            <w:tcW w:w="3068" w:type="dxa"/>
            <w:tcBorders>
              <w:bottom w:val="double" w:sz="4" w:space="0" w:color="auto"/>
            </w:tcBorders>
            <w:vAlign w:val="center"/>
          </w:tcPr>
          <w:p w14:paraId="17AA02C8" w14:textId="77777777" w:rsidR="00952AEE" w:rsidRPr="00BF7EF7" w:rsidRDefault="00CA0115" w:rsidP="00CA0115">
            <w:pPr>
              <w:pStyle w:val="Default"/>
              <w:jc w:val="center"/>
              <w:rPr>
                <w:color w:val="auto"/>
              </w:rPr>
            </w:pPr>
            <w:r w:rsidRPr="00BF7EF7">
              <w:rPr>
                <w:color w:val="auto"/>
              </w:rPr>
              <w:t>64</w:t>
            </w:r>
            <w:r w:rsidR="00952AEE" w:rsidRPr="00BF7EF7">
              <w:rPr>
                <w:color w:val="auto"/>
              </w:rPr>
              <w:t xml:space="preserve"> </w:t>
            </w:r>
          </w:p>
          <w:p w14:paraId="331F0C15" w14:textId="0C9BBA55" w:rsidR="00CA0115" w:rsidRPr="00BF7EF7" w:rsidRDefault="00952AEE" w:rsidP="00CA0115">
            <w:pPr>
              <w:pStyle w:val="Default"/>
              <w:jc w:val="center"/>
              <w:rPr>
                <w:color w:val="auto"/>
              </w:rPr>
            </w:pPr>
            <w:r w:rsidRPr="00BF7EF7">
              <w:rPr>
                <w:color w:val="auto"/>
              </w:rPr>
              <w:t>(</w:t>
            </w:r>
            <w:r w:rsidR="00437E12" w:rsidRPr="00BF7EF7">
              <w:rPr>
                <w:color w:val="auto"/>
              </w:rPr>
              <w:t>no 01.01.2020. plānota</w:t>
            </w:r>
            <w:r w:rsidR="00294305" w:rsidRPr="00BF7EF7">
              <w:rPr>
                <w:color w:val="auto"/>
              </w:rPr>
              <w:t>i</w:t>
            </w:r>
            <w:r w:rsidR="00437E12" w:rsidRPr="00BF7EF7">
              <w:rPr>
                <w:color w:val="auto"/>
              </w:rPr>
              <w:t>s</w:t>
            </w:r>
            <w:r w:rsidR="00C466DF" w:rsidRPr="00BF7EF7">
              <w:rPr>
                <w:color w:val="auto"/>
              </w:rPr>
              <w:t xml:space="preserve"> </w:t>
            </w:r>
            <w:r w:rsidRPr="00BF7EF7">
              <w:rPr>
                <w:color w:val="auto"/>
              </w:rPr>
              <w:t>GMI līmenis)</w:t>
            </w:r>
          </w:p>
        </w:tc>
      </w:tr>
      <w:tr w:rsidR="009D3B1F" w:rsidRPr="00BF7EF7" w14:paraId="367583AA" w14:textId="77777777" w:rsidTr="00197083">
        <w:trPr>
          <w:trHeight w:val="791"/>
        </w:trPr>
        <w:tc>
          <w:tcPr>
            <w:tcW w:w="2906" w:type="dxa"/>
            <w:tcBorders>
              <w:top w:val="double" w:sz="4" w:space="0" w:color="auto"/>
            </w:tcBorders>
            <w:vAlign w:val="center"/>
          </w:tcPr>
          <w:p w14:paraId="59DBC62C" w14:textId="77777777" w:rsidR="009D3B1F" w:rsidRPr="00BF7EF7" w:rsidRDefault="009D3B1F" w:rsidP="00DF1AAA">
            <w:pPr>
              <w:pStyle w:val="Default"/>
              <w:rPr>
                <w:color w:val="auto"/>
              </w:rPr>
            </w:pPr>
          </w:p>
          <w:p w14:paraId="31F28250" w14:textId="290519E9" w:rsidR="009D3B1F" w:rsidRPr="00BF7EF7" w:rsidRDefault="0011484B" w:rsidP="00C6614E">
            <w:pPr>
              <w:pStyle w:val="Default"/>
              <w:jc w:val="both"/>
              <w:rPr>
                <w:b/>
                <w:color w:val="auto"/>
              </w:rPr>
            </w:pPr>
            <w:r w:rsidRPr="00BF7EF7">
              <w:rPr>
                <w:b/>
                <w:color w:val="auto"/>
              </w:rPr>
              <w:t>Minimālā ienākuma slieksnis pie 40% no ienākumu mediānas šādās mājsaimniecībās:</w:t>
            </w:r>
          </w:p>
        </w:tc>
        <w:tc>
          <w:tcPr>
            <w:tcW w:w="2906" w:type="dxa"/>
            <w:tcBorders>
              <w:top w:val="double" w:sz="4" w:space="0" w:color="auto"/>
            </w:tcBorders>
            <w:vAlign w:val="center"/>
          </w:tcPr>
          <w:p w14:paraId="3F7E0B22" w14:textId="77777777" w:rsidR="009D3B1F" w:rsidRPr="00BF7EF7" w:rsidRDefault="009D3B1F" w:rsidP="00CA0115">
            <w:pPr>
              <w:pStyle w:val="Default"/>
              <w:jc w:val="center"/>
              <w:rPr>
                <w:color w:val="auto"/>
              </w:rPr>
            </w:pPr>
          </w:p>
        </w:tc>
        <w:tc>
          <w:tcPr>
            <w:tcW w:w="3068" w:type="dxa"/>
            <w:tcBorders>
              <w:top w:val="double" w:sz="4" w:space="0" w:color="auto"/>
            </w:tcBorders>
            <w:vAlign w:val="center"/>
          </w:tcPr>
          <w:p w14:paraId="617DE98C" w14:textId="77777777" w:rsidR="009D3B1F" w:rsidRPr="00BF7EF7" w:rsidRDefault="009D3B1F" w:rsidP="00CA0115">
            <w:pPr>
              <w:pStyle w:val="Default"/>
              <w:jc w:val="center"/>
              <w:rPr>
                <w:color w:val="auto"/>
              </w:rPr>
            </w:pPr>
          </w:p>
        </w:tc>
      </w:tr>
      <w:tr w:rsidR="009D3B1F" w:rsidRPr="00BF7EF7" w14:paraId="03A4C9B6" w14:textId="77777777" w:rsidTr="00197083">
        <w:trPr>
          <w:trHeight w:val="791"/>
        </w:trPr>
        <w:tc>
          <w:tcPr>
            <w:tcW w:w="2906" w:type="dxa"/>
            <w:vAlign w:val="center"/>
          </w:tcPr>
          <w:p w14:paraId="6D810F34" w14:textId="107BAE1F" w:rsidR="009D3B1F" w:rsidRPr="00BF7EF7" w:rsidRDefault="009D3B1F" w:rsidP="00DF1AAA">
            <w:pPr>
              <w:pStyle w:val="Default"/>
              <w:rPr>
                <w:color w:val="auto"/>
              </w:rPr>
            </w:pPr>
            <w:r w:rsidRPr="00BF7EF7">
              <w:rPr>
                <w:color w:val="auto"/>
              </w:rPr>
              <w:t>Divi pieaugušie un divi bērni vecumā līdz 14 gadiem</w:t>
            </w:r>
          </w:p>
        </w:tc>
        <w:tc>
          <w:tcPr>
            <w:tcW w:w="2906" w:type="dxa"/>
            <w:vAlign w:val="center"/>
          </w:tcPr>
          <w:p w14:paraId="0B31304F" w14:textId="3E2A6E80" w:rsidR="009D3B1F" w:rsidRPr="00BF7EF7" w:rsidRDefault="009D3B1F" w:rsidP="00CA0115">
            <w:pPr>
              <w:pStyle w:val="Default"/>
              <w:jc w:val="center"/>
              <w:rPr>
                <w:color w:val="auto"/>
              </w:rPr>
            </w:pPr>
            <w:r w:rsidRPr="00BF7EF7">
              <w:rPr>
                <w:color w:val="auto"/>
              </w:rPr>
              <w:t>2.</w:t>
            </w:r>
            <w:r w:rsidR="00294305" w:rsidRPr="00BF7EF7">
              <w:rPr>
                <w:color w:val="auto"/>
              </w:rPr>
              <w:t>1</w:t>
            </w:r>
            <w:r w:rsidRPr="00BF7EF7">
              <w:rPr>
                <w:color w:val="auto"/>
              </w:rPr>
              <w:t xml:space="preserve"> // 5</w:t>
            </w:r>
            <w:r w:rsidR="00294305" w:rsidRPr="00BF7EF7">
              <w:rPr>
                <w:color w:val="auto"/>
              </w:rPr>
              <w:t>12</w:t>
            </w:r>
            <w:r w:rsidRPr="00BF7EF7">
              <w:rPr>
                <w:color w:val="auto"/>
              </w:rPr>
              <w:t xml:space="preserve"> </w:t>
            </w:r>
            <w:proofErr w:type="spellStart"/>
            <w:r w:rsidRPr="00BF7EF7">
              <w:rPr>
                <w:i/>
                <w:color w:val="auto"/>
              </w:rPr>
              <w:t>euro</w:t>
            </w:r>
            <w:proofErr w:type="spellEnd"/>
          </w:p>
        </w:tc>
        <w:tc>
          <w:tcPr>
            <w:tcW w:w="3068" w:type="dxa"/>
            <w:vAlign w:val="center"/>
          </w:tcPr>
          <w:p w14:paraId="79170842" w14:textId="1D730C5A" w:rsidR="009D3B1F" w:rsidRPr="00BF7EF7" w:rsidRDefault="009D3B1F" w:rsidP="00CA0115">
            <w:pPr>
              <w:pStyle w:val="Default"/>
              <w:jc w:val="center"/>
              <w:rPr>
                <w:color w:val="auto"/>
              </w:rPr>
            </w:pPr>
            <w:r w:rsidRPr="00BF7EF7">
              <w:rPr>
                <w:color w:val="auto"/>
              </w:rPr>
              <w:t xml:space="preserve">3.1 // 614 </w:t>
            </w:r>
            <w:proofErr w:type="spellStart"/>
            <w:r w:rsidRPr="00BF7EF7">
              <w:rPr>
                <w:i/>
                <w:color w:val="auto"/>
              </w:rPr>
              <w:t>euro</w:t>
            </w:r>
            <w:proofErr w:type="spellEnd"/>
          </w:p>
        </w:tc>
      </w:tr>
      <w:tr w:rsidR="009D3B1F" w:rsidRPr="00BF7EF7" w14:paraId="0A3C1F55" w14:textId="77777777" w:rsidTr="00197083">
        <w:trPr>
          <w:trHeight w:val="791"/>
        </w:trPr>
        <w:tc>
          <w:tcPr>
            <w:tcW w:w="2906" w:type="dxa"/>
            <w:vAlign w:val="center"/>
          </w:tcPr>
          <w:p w14:paraId="5FFA87F3" w14:textId="40E0178B" w:rsidR="009D3B1F" w:rsidRPr="00BF7EF7" w:rsidRDefault="0029252D" w:rsidP="00DF1AAA">
            <w:pPr>
              <w:pStyle w:val="Default"/>
              <w:rPr>
                <w:color w:val="auto"/>
              </w:rPr>
            </w:pPr>
            <w:r w:rsidRPr="00BF7EF7">
              <w:rPr>
                <w:color w:val="auto"/>
              </w:rPr>
              <w:t>Viens pieaugušais un divi bērni vecumā līdz 14 gadiem</w:t>
            </w:r>
          </w:p>
        </w:tc>
        <w:tc>
          <w:tcPr>
            <w:tcW w:w="2906" w:type="dxa"/>
            <w:vAlign w:val="center"/>
          </w:tcPr>
          <w:p w14:paraId="293E6260" w14:textId="5A6F99D3" w:rsidR="009D3B1F" w:rsidRPr="00BF7EF7" w:rsidRDefault="0029252D" w:rsidP="00CA0115">
            <w:pPr>
              <w:pStyle w:val="Default"/>
              <w:jc w:val="center"/>
              <w:rPr>
                <w:color w:val="auto"/>
              </w:rPr>
            </w:pPr>
            <w:r w:rsidRPr="00BF7EF7">
              <w:rPr>
                <w:color w:val="auto"/>
              </w:rPr>
              <w:t xml:space="preserve">1.6 // 390 </w:t>
            </w:r>
            <w:proofErr w:type="spellStart"/>
            <w:r w:rsidRPr="00BF7EF7">
              <w:rPr>
                <w:i/>
                <w:color w:val="auto"/>
              </w:rPr>
              <w:t>euro</w:t>
            </w:r>
            <w:proofErr w:type="spellEnd"/>
          </w:p>
        </w:tc>
        <w:tc>
          <w:tcPr>
            <w:tcW w:w="3068" w:type="dxa"/>
            <w:vAlign w:val="center"/>
          </w:tcPr>
          <w:p w14:paraId="5950C255" w14:textId="24797CA5" w:rsidR="009D3B1F" w:rsidRPr="00BF7EF7" w:rsidRDefault="0029252D" w:rsidP="00CA0115">
            <w:pPr>
              <w:pStyle w:val="Default"/>
              <w:jc w:val="center"/>
              <w:rPr>
                <w:color w:val="auto"/>
              </w:rPr>
            </w:pPr>
            <w:r w:rsidRPr="00BF7EF7">
              <w:rPr>
                <w:color w:val="auto"/>
              </w:rPr>
              <w:t xml:space="preserve">2.4 // 475 </w:t>
            </w:r>
            <w:proofErr w:type="spellStart"/>
            <w:r w:rsidRPr="00BF7EF7">
              <w:rPr>
                <w:i/>
                <w:color w:val="auto"/>
              </w:rPr>
              <w:t>euro</w:t>
            </w:r>
            <w:proofErr w:type="spellEnd"/>
          </w:p>
        </w:tc>
      </w:tr>
    </w:tbl>
    <w:p w14:paraId="2E0EAF80" w14:textId="68BCBEA0" w:rsidR="00CA0115" w:rsidRPr="00BF7EF7" w:rsidRDefault="00952AEE" w:rsidP="00BB458A">
      <w:pPr>
        <w:autoSpaceDE w:val="0"/>
        <w:autoSpaceDN w:val="0"/>
        <w:adjustRightInd w:val="0"/>
        <w:spacing w:after="0" w:line="240" w:lineRule="auto"/>
        <w:jc w:val="both"/>
        <w:rPr>
          <w:rFonts w:ascii="Times New Roman" w:hAnsi="Times New Roman" w:cs="Times New Roman"/>
          <w:i/>
          <w:sz w:val="20"/>
          <w:szCs w:val="20"/>
        </w:rPr>
      </w:pPr>
      <w:r w:rsidRPr="00BF7EF7">
        <w:rPr>
          <w:rFonts w:ascii="Times New Roman" w:hAnsi="Times New Roman" w:cs="Times New Roman"/>
          <w:i/>
          <w:sz w:val="20"/>
          <w:szCs w:val="20"/>
        </w:rPr>
        <w:t>Avots: CSP dati par mājsaimniecību rīcībā esošajiem ienākumiem un minimālā ienākuma līmeni, LM aprēķini</w:t>
      </w:r>
    </w:p>
    <w:p w14:paraId="70EEB1CF" w14:textId="77777777" w:rsidR="00405209" w:rsidRPr="00BF7EF7" w:rsidRDefault="00405209" w:rsidP="008323E9">
      <w:pPr>
        <w:autoSpaceDE w:val="0"/>
        <w:autoSpaceDN w:val="0"/>
        <w:adjustRightInd w:val="0"/>
        <w:spacing w:after="0" w:line="240" w:lineRule="auto"/>
        <w:ind w:firstLine="720"/>
        <w:jc w:val="both"/>
        <w:rPr>
          <w:rFonts w:ascii="Times New Roman" w:hAnsi="Times New Roman" w:cs="Times New Roman"/>
          <w:sz w:val="28"/>
          <w:szCs w:val="28"/>
        </w:rPr>
      </w:pPr>
    </w:p>
    <w:p w14:paraId="0CBA601D" w14:textId="137E86A8" w:rsidR="00C6614E" w:rsidRPr="00BF7EF7" w:rsidRDefault="00C6614E" w:rsidP="00C6614E">
      <w:pPr>
        <w:autoSpaceDE w:val="0"/>
        <w:autoSpaceDN w:val="0"/>
        <w:adjustRightInd w:val="0"/>
        <w:spacing w:after="0" w:line="240" w:lineRule="auto"/>
        <w:ind w:firstLine="720"/>
        <w:jc w:val="both"/>
        <w:rPr>
          <w:rFonts w:ascii="Times New Roman" w:hAnsi="Times New Roman" w:cs="Times New Roman"/>
          <w:sz w:val="28"/>
          <w:szCs w:val="28"/>
        </w:rPr>
      </w:pPr>
      <w:r w:rsidRPr="00BF7EF7">
        <w:rPr>
          <w:rFonts w:ascii="Times New Roman" w:eastAsia="Times New Roman" w:hAnsi="Times New Roman" w:cs="Times New Roman"/>
          <w:sz w:val="28"/>
          <w:szCs w:val="28"/>
          <w:lang w:eastAsia="lv-LV"/>
        </w:rPr>
        <w:t xml:space="preserve">Jāuzsver, ka šī </w:t>
      </w:r>
      <w:r w:rsidRPr="00BF7EF7">
        <w:rPr>
          <w:rFonts w:ascii="Times New Roman" w:hAnsi="Times New Roman" w:cs="Times New Roman"/>
          <w:sz w:val="28"/>
          <w:szCs w:val="28"/>
        </w:rPr>
        <w:t xml:space="preserve">ir relatīvās nabadzības mērīšanas pieeja un to pamatā izmanto lielākā daļa ES un OECD valstis, nosakot to kā pastāvīgu proporciju, parasti nosakot nabadzības riska slieksni pie 40%-60% no </w:t>
      </w:r>
      <w:r w:rsidR="006522CD">
        <w:rPr>
          <w:rFonts w:ascii="Times New Roman" w:hAnsi="Times New Roman" w:cs="Times New Roman"/>
          <w:sz w:val="28"/>
          <w:szCs w:val="28"/>
        </w:rPr>
        <w:t xml:space="preserve">ienākumu </w:t>
      </w:r>
      <w:r w:rsidRPr="00BF7EF7">
        <w:rPr>
          <w:rFonts w:ascii="Times New Roman" w:hAnsi="Times New Roman" w:cs="Times New Roman"/>
          <w:sz w:val="28"/>
          <w:szCs w:val="28"/>
        </w:rPr>
        <w:t>mediānas vai vidējiem mājsaimniecību ienākumiem</w:t>
      </w:r>
      <w:r w:rsidR="006522CD">
        <w:rPr>
          <w:rFonts w:ascii="Times New Roman" w:hAnsi="Times New Roman" w:cs="Times New Roman"/>
          <w:sz w:val="28"/>
          <w:szCs w:val="28"/>
        </w:rPr>
        <w:t>.</w:t>
      </w:r>
      <w:r w:rsidRPr="00BF7EF7">
        <w:rPr>
          <w:rFonts w:ascii="Times New Roman" w:hAnsi="Times New Roman" w:cs="Times New Roman"/>
          <w:sz w:val="28"/>
          <w:szCs w:val="28"/>
        </w:rPr>
        <w:t xml:space="preserve"> </w:t>
      </w:r>
      <w:r w:rsidR="006522CD">
        <w:rPr>
          <w:rFonts w:ascii="Times New Roman" w:hAnsi="Times New Roman" w:cs="Times New Roman"/>
          <w:sz w:val="28"/>
          <w:szCs w:val="28"/>
        </w:rPr>
        <w:t xml:space="preserve">Turklāt </w:t>
      </w:r>
      <w:r w:rsidRPr="00BF7EF7">
        <w:rPr>
          <w:rFonts w:ascii="Times New Roman" w:hAnsi="Times New Roman" w:cs="Times New Roman"/>
          <w:sz w:val="28"/>
          <w:szCs w:val="28"/>
        </w:rPr>
        <w:lastRenderedPageBreak/>
        <w:t>valstis, veidojot politiku trūcīgo iedzīvotāju atbalstam</w:t>
      </w:r>
      <w:r w:rsidR="006522CD">
        <w:rPr>
          <w:rFonts w:ascii="Times New Roman" w:hAnsi="Times New Roman" w:cs="Times New Roman"/>
          <w:sz w:val="28"/>
          <w:szCs w:val="28"/>
        </w:rPr>
        <w:t>,</w:t>
      </w:r>
      <w:r w:rsidRPr="00BF7EF7">
        <w:rPr>
          <w:rFonts w:ascii="Times New Roman" w:hAnsi="Times New Roman" w:cs="Times New Roman"/>
          <w:sz w:val="28"/>
          <w:szCs w:val="28"/>
        </w:rPr>
        <w:t xml:space="preserve"> var izvēlēties savu (citu) ekvivalences skalu, kuru uzskata par piemērotāku mājsaimniecību sastāva un izdevumu struktūrai.  </w:t>
      </w:r>
    </w:p>
    <w:p w14:paraId="0F5EF3C9" w14:textId="780087E9" w:rsidR="00C81C3E" w:rsidRDefault="00C6614E" w:rsidP="00C81C3E">
      <w:pPr>
        <w:autoSpaceDE w:val="0"/>
        <w:autoSpaceDN w:val="0"/>
        <w:adjustRightInd w:val="0"/>
        <w:spacing w:after="0" w:line="240" w:lineRule="auto"/>
        <w:ind w:firstLine="720"/>
        <w:jc w:val="both"/>
        <w:rPr>
          <w:rFonts w:ascii="Times New Roman" w:hAnsi="Times New Roman" w:cs="Times New Roman"/>
          <w:sz w:val="28"/>
          <w:szCs w:val="28"/>
        </w:rPr>
      </w:pPr>
      <w:r w:rsidRPr="00BF7EF7">
        <w:rPr>
          <w:rFonts w:ascii="Times New Roman" w:hAnsi="Times New Roman" w:cs="Times New Roman"/>
          <w:sz w:val="28"/>
          <w:szCs w:val="28"/>
        </w:rPr>
        <w:t xml:space="preserve">Savukārt materiāls atbalsts ES valstīs (sociālās palīdzības pabalsti) tiek sniegts, ja iedzīvotāju ienākumi ir vidēji 25% no </w:t>
      </w:r>
      <w:r w:rsidR="006522CD">
        <w:rPr>
          <w:rFonts w:ascii="Times New Roman" w:hAnsi="Times New Roman" w:cs="Times New Roman"/>
          <w:sz w:val="28"/>
          <w:szCs w:val="28"/>
        </w:rPr>
        <w:t xml:space="preserve">ienākumu </w:t>
      </w:r>
      <w:r w:rsidRPr="00BF7EF7">
        <w:rPr>
          <w:rFonts w:ascii="Times New Roman" w:hAnsi="Times New Roman" w:cs="Times New Roman"/>
          <w:sz w:val="28"/>
          <w:szCs w:val="28"/>
        </w:rPr>
        <w:t>mediānas, bet vairumā gadījumā tas ir ap 20%</w:t>
      </w:r>
      <w:r w:rsidRPr="00BF7EF7">
        <w:rPr>
          <w:rStyle w:val="FootnoteReference"/>
          <w:rFonts w:ascii="Times New Roman" w:hAnsi="Times New Roman" w:cs="Times New Roman"/>
          <w:color w:val="000000"/>
          <w:sz w:val="28"/>
          <w:szCs w:val="28"/>
        </w:rPr>
        <w:footnoteReference w:id="3"/>
      </w:r>
      <w:r w:rsidRPr="00BF7EF7">
        <w:rPr>
          <w:rFonts w:ascii="Times New Roman" w:hAnsi="Times New Roman" w:cs="Times New Roman"/>
          <w:sz w:val="28"/>
          <w:szCs w:val="28"/>
        </w:rPr>
        <w:t xml:space="preserve">. </w:t>
      </w:r>
    </w:p>
    <w:p w14:paraId="4EDBF724" w14:textId="77777777" w:rsidR="00C81C3E" w:rsidRDefault="00C81C3E" w:rsidP="00C81C3E">
      <w:pPr>
        <w:autoSpaceDE w:val="0"/>
        <w:autoSpaceDN w:val="0"/>
        <w:adjustRightInd w:val="0"/>
        <w:spacing w:after="0" w:line="240" w:lineRule="auto"/>
        <w:ind w:firstLine="720"/>
        <w:jc w:val="both"/>
        <w:rPr>
          <w:rFonts w:ascii="Times New Roman" w:hAnsi="Times New Roman" w:cs="Times New Roman"/>
          <w:sz w:val="28"/>
          <w:szCs w:val="28"/>
        </w:rPr>
      </w:pPr>
    </w:p>
    <w:p w14:paraId="73248CCB" w14:textId="2A0E6B9F" w:rsidR="004456E5" w:rsidRPr="00C81C3E" w:rsidRDefault="001E4FC8" w:rsidP="00C81C3E">
      <w:pPr>
        <w:autoSpaceDE w:val="0"/>
        <w:autoSpaceDN w:val="0"/>
        <w:adjustRightInd w:val="0"/>
        <w:spacing w:after="0" w:line="240" w:lineRule="auto"/>
        <w:ind w:firstLine="720"/>
        <w:jc w:val="both"/>
        <w:rPr>
          <w:rFonts w:ascii="Times New Roman" w:hAnsi="Times New Roman" w:cs="Times New Roman"/>
          <w:sz w:val="28"/>
          <w:szCs w:val="28"/>
        </w:rPr>
      </w:pPr>
      <w:r w:rsidRPr="00BF7EF7">
        <w:rPr>
          <w:rFonts w:ascii="Times New Roman" w:eastAsia="Times New Roman" w:hAnsi="Times New Roman" w:cs="Times New Roman"/>
          <w:sz w:val="28"/>
          <w:szCs w:val="28"/>
          <w:lang w:eastAsia="lv-LV"/>
        </w:rPr>
        <w:t xml:space="preserve">Lai nodrošinātu Koncepcijas pakāpenisku īstenošanu, </w:t>
      </w:r>
      <w:r w:rsidR="00AE056D" w:rsidRPr="00BF7EF7">
        <w:rPr>
          <w:rFonts w:ascii="Times New Roman" w:eastAsia="Times New Roman" w:hAnsi="Times New Roman" w:cs="Times New Roman"/>
          <w:sz w:val="28"/>
          <w:szCs w:val="28"/>
          <w:lang w:eastAsia="lv-LV"/>
        </w:rPr>
        <w:t>Lab</w:t>
      </w:r>
      <w:r w:rsidR="00FE3943" w:rsidRPr="00BF7EF7">
        <w:rPr>
          <w:rFonts w:ascii="Times New Roman" w:eastAsia="Times New Roman" w:hAnsi="Times New Roman" w:cs="Times New Roman"/>
          <w:sz w:val="28"/>
          <w:szCs w:val="28"/>
          <w:lang w:eastAsia="lv-LV"/>
        </w:rPr>
        <w:t xml:space="preserve">klājības </w:t>
      </w:r>
      <w:r w:rsidRPr="00BF7EF7">
        <w:rPr>
          <w:rFonts w:ascii="Times New Roman" w:eastAsia="Times New Roman" w:hAnsi="Times New Roman" w:cs="Times New Roman"/>
          <w:sz w:val="28"/>
          <w:szCs w:val="28"/>
          <w:lang w:eastAsia="lv-LV"/>
        </w:rPr>
        <w:t>ministrijas</w:t>
      </w:r>
      <w:r w:rsidR="00FE3943" w:rsidRPr="00BF7EF7">
        <w:rPr>
          <w:rFonts w:ascii="Times New Roman" w:eastAsia="Times New Roman" w:hAnsi="Times New Roman" w:cs="Times New Roman"/>
          <w:sz w:val="28"/>
          <w:szCs w:val="28"/>
          <w:lang w:eastAsia="lv-LV"/>
        </w:rPr>
        <w:t xml:space="preserve"> uzdevums ir sagatavot</w:t>
      </w:r>
      <w:r w:rsidR="00AE056D" w:rsidRPr="00BF7EF7">
        <w:rPr>
          <w:rFonts w:ascii="Times New Roman" w:eastAsia="Times New Roman" w:hAnsi="Times New Roman" w:cs="Times New Roman"/>
          <w:sz w:val="28"/>
          <w:szCs w:val="28"/>
          <w:lang w:eastAsia="lv-LV"/>
        </w:rPr>
        <w:t xml:space="preserve"> politikas plānošan</w:t>
      </w:r>
      <w:r w:rsidR="00952AEE" w:rsidRPr="00BF7EF7">
        <w:rPr>
          <w:rFonts w:ascii="Times New Roman" w:eastAsia="Times New Roman" w:hAnsi="Times New Roman" w:cs="Times New Roman"/>
          <w:sz w:val="28"/>
          <w:szCs w:val="28"/>
          <w:lang w:eastAsia="lv-LV"/>
        </w:rPr>
        <w:t>a</w:t>
      </w:r>
      <w:r w:rsidR="00AE056D" w:rsidRPr="00BF7EF7">
        <w:rPr>
          <w:rFonts w:ascii="Times New Roman" w:eastAsia="Times New Roman" w:hAnsi="Times New Roman" w:cs="Times New Roman"/>
          <w:sz w:val="28"/>
          <w:szCs w:val="28"/>
          <w:lang w:eastAsia="lv-LV"/>
        </w:rPr>
        <w:t>s dokumentu “Plāns minimālo ienākumu l</w:t>
      </w:r>
      <w:r w:rsidR="00FE3943" w:rsidRPr="00BF7EF7">
        <w:rPr>
          <w:rFonts w:ascii="Times New Roman" w:eastAsia="Times New Roman" w:hAnsi="Times New Roman" w:cs="Times New Roman"/>
          <w:sz w:val="28"/>
          <w:szCs w:val="28"/>
          <w:lang w:eastAsia="lv-LV"/>
        </w:rPr>
        <w:t>īmeņa pilnveidošanai 2020.-202</w:t>
      </w:r>
      <w:r w:rsidR="00AE056D" w:rsidRPr="00BF7EF7">
        <w:rPr>
          <w:rFonts w:ascii="Times New Roman" w:eastAsia="Times New Roman" w:hAnsi="Times New Roman" w:cs="Times New Roman"/>
          <w:sz w:val="28"/>
          <w:szCs w:val="28"/>
          <w:lang w:eastAsia="lv-LV"/>
        </w:rPr>
        <w:t>1.gadam”</w:t>
      </w:r>
      <w:r w:rsidR="004456E5" w:rsidRPr="00BF7EF7">
        <w:rPr>
          <w:rFonts w:ascii="Times New Roman" w:eastAsia="Times New Roman" w:hAnsi="Times New Roman" w:cs="Times New Roman"/>
          <w:sz w:val="28"/>
          <w:szCs w:val="28"/>
          <w:lang w:eastAsia="lv-LV"/>
        </w:rPr>
        <w:t xml:space="preserve"> (turpmāk – </w:t>
      </w:r>
      <w:r w:rsidR="0047321D" w:rsidRPr="00BF7EF7">
        <w:rPr>
          <w:rFonts w:ascii="Times New Roman" w:eastAsia="Times New Roman" w:hAnsi="Times New Roman" w:cs="Times New Roman"/>
          <w:sz w:val="28"/>
          <w:szCs w:val="28"/>
          <w:lang w:eastAsia="lv-LV"/>
        </w:rPr>
        <w:t>P</w:t>
      </w:r>
      <w:r w:rsidR="004456E5" w:rsidRPr="00BF7EF7">
        <w:rPr>
          <w:rFonts w:ascii="Times New Roman" w:eastAsia="Times New Roman" w:hAnsi="Times New Roman" w:cs="Times New Roman"/>
          <w:sz w:val="28"/>
          <w:szCs w:val="28"/>
          <w:lang w:eastAsia="lv-LV"/>
        </w:rPr>
        <w:t>lāna projekts)</w:t>
      </w:r>
      <w:r w:rsidR="00FE3943" w:rsidRPr="00BF7EF7">
        <w:rPr>
          <w:rFonts w:ascii="Times New Roman" w:eastAsia="Times New Roman" w:hAnsi="Times New Roman" w:cs="Times New Roman"/>
          <w:sz w:val="28"/>
          <w:szCs w:val="28"/>
          <w:lang w:eastAsia="lv-LV"/>
        </w:rPr>
        <w:t xml:space="preserve"> un</w:t>
      </w:r>
      <w:r w:rsidR="007360B1" w:rsidRPr="00BF7EF7">
        <w:rPr>
          <w:rFonts w:ascii="Times New Roman" w:eastAsia="Times New Roman" w:hAnsi="Times New Roman" w:cs="Times New Roman"/>
          <w:sz w:val="28"/>
          <w:szCs w:val="28"/>
          <w:lang w:eastAsia="lv-LV"/>
        </w:rPr>
        <w:t xml:space="preserve"> </w:t>
      </w:r>
      <w:r w:rsidR="00FE3943" w:rsidRPr="00BF7EF7">
        <w:rPr>
          <w:rFonts w:ascii="Times New Roman" w:eastAsia="Times New Roman" w:hAnsi="Times New Roman" w:cs="Times New Roman"/>
          <w:sz w:val="28"/>
          <w:szCs w:val="28"/>
          <w:lang w:eastAsia="lv-LV"/>
        </w:rPr>
        <w:t>iesnieg</w:t>
      </w:r>
      <w:r w:rsidR="007360B1" w:rsidRPr="00BF7EF7">
        <w:rPr>
          <w:rFonts w:ascii="Times New Roman" w:eastAsia="Times New Roman" w:hAnsi="Times New Roman" w:cs="Times New Roman"/>
          <w:sz w:val="28"/>
          <w:szCs w:val="28"/>
          <w:lang w:eastAsia="lv-LV"/>
        </w:rPr>
        <w:t>t</w:t>
      </w:r>
      <w:r w:rsidR="00FE3943" w:rsidRPr="00BF7EF7">
        <w:rPr>
          <w:rFonts w:ascii="Times New Roman" w:eastAsia="Times New Roman" w:hAnsi="Times New Roman" w:cs="Times New Roman"/>
          <w:sz w:val="28"/>
          <w:szCs w:val="28"/>
          <w:lang w:eastAsia="lv-LV"/>
        </w:rPr>
        <w:t xml:space="preserve"> Valsts kancelejā</w:t>
      </w:r>
      <w:r w:rsidR="007360B1" w:rsidRPr="00BF7EF7">
        <w:rPr>
          <w:rFonts w:ascii="Times New Roman" w:eastAsia="Times New Roman" w:hAnsi="Times New Roman" w:cs="Times New Roman"/>
          <w:sz w:val="28"/>
          <w:szCs w:val="28"/>
          <w:lang w:eastAsia="lv-LV"/>
        </w:rPr>
        <w:t xml:space="preserve"> </w:t>
      </w:r>
      <w:r w:rsidR="00FE3943" w:rsidRPr="00BF7EF7">
        <w:rPr>
          <w:rFonts w:ascii="Times New Roman" w:eastAsia="Times New Roman" w:hAnsi="Times New Roman" w:cs="Times New Roman"/>
          <w:sz w:val="28"/>
          <w:szCs w:val="28"/>
          <w:lang w:eastAsia="lv-LV"/>
        </w:rPr>
        <w:t>izskatīšanai M</w:t>
      </w:r>
      <w:r w:rsidR="0047321D" w:rsidRPr="00BF7EF7">
        <w:rPr>
          <w:rFonts w:ascii="Times New Roman" w:eastAsia="Times New Roman" w:hAnsi="Times New Roman" w:cs="Times New Roman"/>
          <w:sz w:val="28"/>
          <w:szCs w:val="28"/>
          <w:lang w:eastAsia="lv-LV"/>
        </w:rPr>
        <w:t>inistru kabineta</w:t>
      </w:r>
      <w:r w:rsidR="00FE3943" w:rsidRPr="00BF7EF7">
        <w:rPr>
          <w:rFonts w:ascii="Times New Roman" w:eastAsia="Times New Roman" w:hAnsi="Times New Roman" w:cs="Times New Roman"/>
          <w:sz w:val="28"/>
          <w:szCs w:val="28"/>
          <w:lang w:eastAsia="lv-LV"/>
        </w:rPr>
        <w:t xml:space="preserve"> sēdē. </w:t>
      </w:r>
      <w:r w:rsidR="0047321D" w:rsidRPr="00BF7EF7">
        <w:rPr>
          <w:rFonts w:ascii="Times New Roman" w:eastAsia="Times New Roman" w:hAnsi="Times New Roman" w:cs="Times New Roman"/>
          <w:sz w:val="28"/>
          <w:szCs w:val="28"/>
          <w:lang w:eastAsia="lv-LV"/>
        </w:rPr>
        <w:t>Labklājības ministrija</w:t>
      </w:r>
      <w:r w:rsidR="00FE3943" w:rsidRPr="00BF7EF7">
        <w:rPr>
          <w:rFonts w:ascii="Times New Roman" w:eastAsia="Times New Roman" w:hAnsi="Times New Roman" w:cs="Times New Roman"/>
          <w:sz w:val="28"/>
          <w:szCs w:val="28"/>
          <w:lang w:eastAsia="lv-LV"/>
        </w:rPr>
        <w:t xml:space="preserve"> ir sagatavojusi Plāna projektu</w:t>
      </w:r>
      <w:r w:rsidR="0047321D" w:rsidRPr="00BF7EF7">
        <w:rPr>
          <w:rFonts w:ascii="Times New Roman" w:eastAsia="Times New Roman" w:hAnsi="Times New Roman" w:cs="Times New Roman"/>
          <w:sz w:val="28"/>
          <w:szCs w:val="28"/>
          <w:lang w:eastAsia="lv-LV"/>
        </w:rPr>
        <w:t>,</w:t>
      </w:r>
      <w:r w:rsidR="004456E5" w:rsidRPr="00BF7EF7">
        <w:rPr>
          <w:rFonts w:ascii="Times New Roman" w:eastAsia="Times New Roman" w:hAnsi="Times New Roman" w:cs="Times New Roman"/>
          <w:sz w:val="28"/>
          <w:szCs w:val="28"/>
          <w:lang w:eastAsia="lv-LV"/>
        </w:rPr>
        <w:t xml:space="preserve"> un</w:t>
      </w:r>
      <w:r w:rsidR="0047321D" w:rsidRPr="00BF7EF7">
        <w:rPr>
          <w:rFonts w:ascii="Times New Roman" w:eastAsia="Times New Roman" w:hAnsi="Times New Roman" w:cs="Times New Roman"/>
          <w:sz w:val="28"/>
          <w:szCs w:val="28"/>
          <w:lang w:eastAsia="lv-LV"/>
        </w:rPr>
        <w:t xml:space="preserve"> tas ir</w:t>
      </w:r>
      <w:r w:rsidR="004456E5" w:rsidRPr="00BF7EF7">
        <w:rPr>
          <w:rFonts w:ascii="Times New Roman" w:eastAsia="Times New Roman" w:hAnsi="Times New Roman" w:cs="Times New Roman"/>
          <w:sz w:val="28"/>
          <w:szCs w:val="28"/>
          <w:lang w:eastAsia="lv-LV"/>
        </w:rPr>
        <w:t xml:space="preserve"> izsludināts starpinstitūciju saskaņošanai Valsts sekretāru sanāksmē 2019.gada 9.maijā</w:t>
      </w:r>
      <w:r w:rsidR="0047321D" w:rsidRPr="00BF7EF7">
        <w:rPr>
          <w:rStyle w:val="FootnoteReference"/>
          <w:rFonts w:ascii="Times New Roman" w:eastAsia="Times New Roman" w:hAnsi="Times New Roman" w:cs="Times New Roman"/>
          <w:sz w:val="28"/>
          <w:szCs w:val="28"/>
          <w:lang w:eastAsia="lv-LV"/>
        </w:rPr>
        <w:footnoteReference w:id="4"/>
      </w:r>
      <w:r w:rsidR="004456E5" w:rsidRPr="00BF7EF7">
        <w:rPr>
          <w:rFonts w:ascii="Times New Roman" w:eastAsia="Times New Roman" w:hAnsi="Times New Roman" w:cs="Times New Roman"/>
          <w:sz w:val="28"/>
          <w:szCs w:val="28"/>
          <w:lang w:eastAsia="lv-LV"/>
        </w:rPr>
        <w:t>. Plāna projekts ir</w:t>
      </w:r>
      <w:r w:rsidR="00FE3943" w:rsidRPr="00BF7EF7">
        <w:rPr>
          <w:rFonts w:ascii="Times New Roman" w:eastAsia="Times New Roman" w:hAnsi="Times New Roman" w:cs="Times New Roman"/>
          <w:sz w:val="28"/>
          <w:szCs w:val="28"/>
          <w:lang w:eastAsia="lv-LV"/>
        </w:rPr>
        <w:t xml:space="preserve"> mērķēts, lai sniegtu solidāru atbalstu no valsts un pašvaldības puses tieši nabadzīgāko iedzīvotāju ienākumu palielināšanai, tādējādi mazinot sociālo atstumtību un nabadzības risku. </w:t>
      </w:r>
    </w:p>
    <w:p w14:paraId="1C35643C" w14:textId="7032CCFC" w:rsidR="00C81C3E" w:rsidRPr="00BF7EF7" w:rsidRDefault="00FE3943" w:rsidP="00C81C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sidRPr="00BF7EF7">
        <w:rPr>
          <w:rFonts w:ascii="Times New Roman" w:eastAsia="Times New Roman" w:hAnsi="Times New Roman" w:cs="Times New Roman"/>
          <w:sz w:val="28"/>
          <w:szCs w:val="28"/>
          <w:lang w:eastAsia="lv-LV"/>
        </w:rPr>
        <w:t>Plāna projektā paredzēts stiprināt atbalstu iedzīvotājiem ar zemiem ienākumiem, minimālo pabalstu apmērus nosakot kontekstā ar mājsaimniecību rīcībā esošo ienākumu mediānu vienam ekvivalentajam patērētājam</w:t>
      </w:r>
      <w:r w:rsidRPr="00BF7EF7">
        <w:rPr>
          <w:rStyle w:val="FootnoteReference"/>
          <w:rFonts w:ascii="Times New Roman" w:hAnsi="Times New Roman" w:cs="Times New Roman"/>
          <w:sz w:val="28"/>
          <w:szCs w:val="28"/>
        </w:rPr>
        <w:footnoteReference w:id="5"/>
      </w:r>
      <w:r w:rsidR="009E09E8" w:rsidRPr="00BF7EF7">
        <w:rPr>
          <w:rFonts w:ascii="Times New Roman" w:eastAsia="Times New Roman" w:hAnsi="Times New Roman" w:cs="Times New Roman"/>
          <w:sz w:val="28"/>
          <w:szCs w:val="28"/>
          <w:lang w:eastAsia="lv-LV"/>
        </w:rPr>
        <w:t>.</w:t>
      </w:r>
      <w:r w:rsidRPr="00BF7EF7">
        <w:rPr>
          <w:rFonts w:ascii="Times New Roman" w:eastAsia="Times New Roman" w:hAnsi="Times New Roman" w:cs="Times New Roman"/>
          <w:sz w:val="28"/>
          <w:szCs w:val="28"/>
          <w:lang w:eastAsia="lv-LV"/>
        </w:rPr>
        <w:t xml:space="preserve"> Plāna projekts paredz no 2020.gada</w:t>
      </w:r>
      <w:r w:rsidR="007360B1" w:rsidRPr="00BF7EF7">
        <w:rPr>
          <w:rFonts w:ascii="Times New Roman" w:eastAsia="Times New Roman" w:hAnsi="Times New Roman" w:cs="Times New Roman"/>
          <w:sz w:val="28"/>
          <w:szCs w:val="28"/>
          <w:lang w:eastAsia="lv-LV"/>
        </w:rPr>
        <w:t xml:space="preserve"> </w:t>
      </w:r>
      <w:r w:rsidRPr="00BF7EF7">
        <w:rPr>
          <w:rFonts w:ascii="Times New Roman" w:eastAsia="Times New Roman" w:hAnsi="Times New Roman" w:cs="Times New Roman"/>
          <w:sz w:val="28"/>
          <w:szCs w:val="28"/>
          <w:lang w:eastAsia="lv-LV"/>
        </w:rPr>
        <w:t xml:space="preserve">palielināt valsts sociālā nodrošinājuma pabalstu, kas ir viens no galvenajiem valsts sociālo pabalstu veidiem. Valsts sociālā nodrošinājuma pabalsts nav mainīts 12 gadus, tāpēc tā palielināšana ir nozīmīgs solis šī pabalsta saņēmēju situācijas uzlabošanā. </w:t>
      </w:r>
      <w:r w:rsidR="000D26CE" w:rsidRPr="00BF7EF7">
        <w:rPr>
          <w:rFonts w:ascii="Times New Roman" w:eastAsia="Times New Roman" w:hAnsi="Times New Roman" w:cs="Times New Roman"/>
          <w:sz w:val="28"/>
          <w:szCs w:val="28"/>
          <w:lang w:eastAsia="lv-LV"/>
        </w:rPr>
        <w:t>Plāna projekts paredz noteikt v</w:t>
      </w:r>
      <w:r w:rsidRPr="00BF7EF7">
        <w:rPr>
          <w:rFonts w:ascii="Times New Roman" w:eastAsia="Times New Roman" w:hAnsi="Times New Roman" w:cs="Times New Roman"/>
          <w:sz w:val="28"/>
          <w:szCs w:val="28"/>
          <w:lang w:eastAsia="lv-LV"/>
        </w:rPr>
        <w:t>alsts sociālā nodrošinājuma pabalst</w:t>
      </w:r>
      <w:r w:rsidR="000D26CE" w:rsidRPr="00BF7EF7">
        <w:rPr>
          <w:rFonts w:ascii="Times New Roman" w:eastAsia="Times New Roman" w:hAnsi="Times New Roman" w:cs="Times New Roman"/>
          <w:sz w:val="28"/>
          <w:szCs w:val="28"/>
          <w:lang w:eastAsia="lv-LV"/>
        </w:rPr>
        <w:t>u</w:t>
      </w:r>
      <w:r w:rsidR="009E09E8" w:rsidRPr="00BF7EF7">
        <w:rPr>
          <w:rFonts w:ascii="Times New Roman" w:eastAsia="Times New Roman" w:hAnsi="Times New Roman" w:cs="Times New Roman"/>
          <w:sz w:val="28"/>
          <w:szCs w:val="28"/>
          <w:lang w:eastAsia="lv-LV"/>
        </w:rPr>
        <w:t xml:space="preserve"> 20% apmērā no ienākumu mediānas –</w:t>
      </w:r>
      <w:r w:rsidR="00EB2768">
        <w:rPr>
          <w:rFonts w:ascii="Times New Roman" w:eastAsia="Times New Roman" w:hAnsi="Times New Roman" w:cs="Times New Roman"/>
          <w:sz w:val="28"/>
          <w:szCs w:val="28"/>
          <w:lang w:eastAsia="lv-LV"/>
        </w:rPr>
        <w:t xml:space="preserve"> palielinot</w:t>
      </w:r>
      <w:r w:rsidR="009E09E8" w:rsidRPr="00BF7EF7">
        <w:rPr>
          <w:rFonts w:ascii="Times New Roman" w:eastAsia="Times New Roman" w:hAnsi="Times New Roman" w:cs="Times New Roman"/>
          <w:sz w:val="28"/>
          <w:szCs w:val="28"/>
          <w:lang w:eastAsia="lv-LV"/>
        </w:rPr>
        <w:t xml:space="preserve"> no 64</w:t>
      </w:r>
      <w:r w:rsidR="000D26CE" w:rsidRPr="00BF7EF7">
        <w:rPr>
          <w:rFonts w:ascii="Times New Roman" w:eastAsia="Times New Roman" w:hAnsi="Times New Roman" w:cs="Times New Roman"/>
          <w:sz w:val="28"/>
          <w:szCs w:val="28"/>
          <w:lang w:eastAsia="lv-LV"/>
        </w:rPr>
        <w:t>,03</w:t>
      </w:r>
      <w:r w:rsidR="009E09E8" w:rsidRPr="00BF7EF7">
        <w:rPr>
          <w:rFonts w:ascii="Times New Roman" w:eastAsia="Times New Roman" w:hAnsi="Times New Roman" w:cs="Times New Roman"/>
          <w:sz w:val="28"/>
          <w:szCs w:val="28"/>
          <w:lang w:eastAsia="lv-LV"/>
        </w:rPr>
        <w:t xml:space="preserve"> </w:t>
      </w:r>
      <w:proofErr w:type="spellStart"/>
      <w:r w:rsidR="009E09E8" w:rsidRPr="00BF7EF7">
        <w:rPr>
          <w:rFonts w:ascii="Times New Roman" w:eastAsia="Times New Roman" w:hAnsi="Times New Roman" w:cs="Times New Roman"/>
          <w:i/>
          <w:sz w:val="28"/>
          <w:szCs w:val="28"/>
          <w:lang w:eastAsia="lv-LV"/>
        </w:rPr>
        <w:t>euro</w:t>
      </w:r>
      <w:proofErr w:type="spellEnd"/>
      <w:r w:rsidR="009E09E8" w:rsidRPr="00BF7EF7">
        <w:rPr>
          <w:rFonts w:ascii="Times New Roman" w:eastAsia="Times New Roman" w:hAnsi="Times New Roman" w:cs="Times New Roman"/>
          <w:sz w:val="28"/>
          <w:szCs w:val="28"/>
          <w:lang w:eastAsia="lv-LV"/>
        </w:rPr>
        <w:t xml:space="preserve"> līdz 99 </w:t>
      </w:r>
      <w:proofErr w:type="spellStart"/>
      <w:r w:rsidR="009E09E8" w:rsidRPr="00BF7EF7">
        <w:rPr>
          <w:rFonts w:ascii="Times New Roman" w:eastAsia="Times New Roman" w:hAnsi="Times New Roman" w:cs="Times New Roman"/>
          <w:i/>
          <w:sz w:val="28"/>
          <w:szCs w:val="28"/>
          <w:lang w:eastAsia="lv-LV"/>
        </w:rPr>
        <w:t>euro</w:t>
      </w:r>
      <w:proofErr w:type="spellEnd"/>
      <w:r w:rsidR="009E09E8" w:rsidRPr="00BF7EF7">
        <w:rPr>
          <w:rFonts w:ascii="Times New Roman" w:eastAsia="Times New Roman" w:hAnsi="Times New Roman" w:cs="Times New Roman"/>
          <w:i/>
          <w:sz w:val="28"/>
          <w:szCs w:val="28"/>
          <w:lang w:eastAsia="lv-LV"/>
        </w:rPr>
        <w:t>.</w:t>
      </w:r>
      <w:r w:rsidR="009E09E8" w:rsidRPr="00BF7EF7">
        <w:rPr>
          <w:rFonts w:ascii="Times New Roman" w:eastAsia="Times New Roman" w:hAnsi="Times New Roman" w:cs="Times New Roman"/>
          <w:sz w:val="28"/>
          <w:szCs w:val="28"/>
          <w:lang w:eastAsia="lv-LV"/>
        </w:rPr>
        <w:t xml:space="preserve"> Valsts sociālā nodrošinājuma pabalsta </w:t>
      </w:r>
      <w:r w:rsidRPr="00BF7EF7">
        <w:rPr>
          <w:rFonts w:ascii="Times New Roman" w:eastAsia="Times New Roman" w:hAnsi="Times New Roman" w:cs="Times New Roman"/>
          <w:sz w:val="28"/>
          <w:szCs w:val="28"/>
          <w:lang w:eastAsia="lv-LV"/>
        </w:rPr>
        <w:t xml:space="preserve">palielināšana </w:t>
      </w:r>
      <w:r w:rsidR="00276911" w:rsidRPr="00BF7EF7">
        <w:rPr>
          <w:rFonts w:ascii="Times New Roman" w:eastAsia="Times New Roman" w:hAnsi="Times New Roman" w:cs="Times New Roman"/>
          <w:bCs/>
          <w:sz w:val="28"/>
          <w:szCs w:val="28"/>
          <w:lang w:eastAsia="lv-LV"/>
        </w:rPr>
        <w:t>pozitīvi</w:t>
      </w:r>
      <w:r w:rsidR="000D26CE" w:rsidRPr="00BF7EF7">
        <w:rPr>
          <w:rFonts w:ascii="Times New Roman" w:eastAsia="Times New Roman" w:hAnsi="Times New Roman" w:cs="Times New Roman"/>
          <w:bCs/>
          <w:sz w:val="28"/>
          <w:szCs w:val="28"/>
          <w:lang w:eastAsia="lv-LV"/>
        </w:rPr>
        <w:t xml:space="preserve"> ietekmētu aptuveni 11 </w:t>
      </w:r>
      <w:r w:rsidR="00A15122" w:rsidRPr="00BF7EF7">
        <w:rPr>
          <w:rFonts w:ascii="Times New Roman" w:eastAsia="Times New Roman" w:hAnsi="Times New Roman" w:cs="Times New Roman"/>
          <w:bCs/>
          <w:sz w:val="28"/>
          <w:szCs w:val="28"/>
          <w:lang w:eastAsia="lv-LV"/>
        </w:rPr>
        <w:t>tūkstošus</w:t>
      </w:r>
      <w:r w:rsidR="000D26CE" w:rsidRPr="00BF7EF7">
        <w:rPr>
          <w:rFonts w:ascii="Times New Roman" w:eastAsia="Times New Roman" w:hAnsi="Times New Roman" w:cs="Times New Roman"/>
          <w:bCs/>
          <w:sz w:val="28"/>
          <w:szCs w:val="28"/>
          <w:lang w:eastAsia="lv-LV"/>
        </w:rPr>
        <w:t xml:space="preserve"> valsts iedzīvotāju, t.sk. pensijas vecumu sasniegušos iedzīvotājus</w:t>
      </w:r>
      <w:r w:rsidR="00A15122" w:rsidRPr="00BF7EF7">
        <w:rPr>
          <w:rFonts w:ascii="Times New Roman" w:eastAsia="Times New Roman" w:hAnsi="Times New Roman" w:cs="Times New Roman"/>
          <w:bCs/>
          <w:sz w:val="28"/>
          <w:szCs w:val="28"/>
          <w:lang w:eastAsia="lv-LV"/>
        </w:rPr>
        <w:t>,</w:t>
      </w:r>
      <w:r w:rsidR="000D26CE" w:rsidRPr="00BF7EF7">
        <w:rPr>
          <w:rFonts w:ascii="Times New Roman" w:eastAsia="Times New Roman" w:hAnsi="Times New Roman" w:cs="Times New Roman"/>
          <w:bCs/>
          <w:sz w:val="28"/>
          <w:szCs w:val="28"/>
          <w:lang w:eastAsia="lv-LV"/>
        </w:rPr>
        <w:t xml:space="preserve"> personas ar invaliditāti</w:t>
      </w:r>
      <w:r w:rsidR="00A15122" w:rsidRPr="00BF7EF7">
        <w:rPr>
          <w:rFonts w:ascii="Times New Roman" w:eastAsia="Times New Roman" w:hAnsi="Times New Roman" w:cs="Times New Roman"/>
          <w:bCs/>
          <w:sz w:val="28"/>
          <w:szCs w:val="28"/>
          <w:lang w:eastAsia="lv-LV"/>
        </w:rPr>
        <w:t>, apbedīšanas pabalsta saņēmējus un atlīdzības par darbspēju zaudējumu un darbā nodarītā kaitējuma atlīdzības saņēmējus</w:t>
      </w:r>
      <w:r w:rsidR="00EA2F68">
        <w:rPr>
          <w:rFonts w:ascii="Times New Roman" w:eastAsia="Times New Roman" w:hAnsi="Times New Roman" w:cs="Times New Roman"/>
          <w:bCs/>
          <w:sz w:val="28"/>
          <w:szCs w:val="28"/>
          <w:lang w:eastAsia="lv-LV"/>
        </w:rPr>
        <w:t>.</w:t>
      </w:r>
      <w:r w:rsidR="000D26CE" w:rsidRPr="00BF7EF7">
        <w:rPr>
          <w:rFonts w:ascii="Times New Roman" w:eastAsia="Times New Roman" w:hAnsi="Times New Roman" w:cs="Times New Roman"/>
          <w:bCs/>
          <w:sz w:val="28"/>
          <w:szCs w:val="28"/>
          <w:lang w:eastAsia="lv-LV"/>
        </w:rPr>
        <w:t xml:space="preserve"> </w:t>
      </w:r>
      <w:r w:rsidR="00C81C3E" w:rsidRPr="00BF7EF7">
        <w:rPr>
          <w:rFonts w:ascii="Times New Roman" w:eastAsia="Times New Roman" w:hAnsi="Times New Roman" w:cs="Times New Roman"/>
          <w:sz w:val="28"/>
          <w:szCs w:val="28"/>
          <w:lang w:eastAsia="lv-LV"/>
        </w:rPr>
        <w:t>Lai saglabātu pensijas vecuma cilvēku un personu ar invaliditāti pirktspēju, no 2021.gada rosināts arī ikgadēji valsts sociālā nodrošinājuma pabalsta saņēmēju pabalstu  indeksēt ar patēriņa cenu indeksu.</w:t>
      </w:r>
    </w:p>
    <w:p w14:paraId="2DAD8F5C" w14:textId="0875C20A" w:rsidR="009E09E8" w:rsidRPr="00BF7EF7" w:rsidRDefault="000D26CE" w:rsidP="00A15122">
      <w:pPr>
        <w:spacing w:after="0" w:line="240" w:lineRule="auto"/>
        <w:ind w:firstLine="720"/>
        <w:jc w:val="both"/>
        <w:rPr>
          <w:rFonts w:ascii="Times New Roman" w:hAnsi="Times New Roman" w:cs="Times New Roman"/>
          <w:bCs/>
          <w:sz w:val="28"/>
          <w:szCs w:val="28"/>
        </w:rPr>
      </w:pPr>
      <w:r w:rsidRPr="00BF7EF7">
        <w:rPr>
          <w:rFonts w:ascii="Times New Roman" w:eastAsia="Times New Roman" w:hAnsi="Times New Roman" w:cs="Times New Roman"/>
          <w:sz w:val="28"/>
          <w:szCs w:val="28"/>
          <w:lang w:eastAsia="lv-LV"/>
        </w:rPr>
        <w:t>Tāpat Plāna projekts paredz</w:t>
      </w:r>
      <w:r w:rsidR="00C81C3E">
        <w:rPr>
          <w:rFonts w:ascii="Times New Roman" w:eastAsia="Times New Roman" w:hAnsi="Times New Roman" w:cs="Times New Roman"/>
          <w:sz w:val="28"/>
          <w:szCs w:val="28"/>
          <w:lang w:eastAsia="lv-LV"/>
        </w:rPr>
        <w:t xml:space="preserve"> no 2020.gada</w:t>
      </w:r>
      <w:r w:rsidRPr="00BF7EF7">
        <w:rPr>
          <w:rFonts w:ascii="Times New Roman" w:eastAsia="Times New Roman" w:hAnsi="Times New Roman" w:cs="Times New Roman"/>
          <w:sz w:val="28"/>
          <w:szCs w:val="28"/>
          <w:lang w:eastAsia="lv-LV"/>
        </w:rPr>
        <w:t xml:space="preserve"> </w:t>
      </w:r>
      <w:r w:rsidRPr="00BF7EF7">
        <w:rPr>
          <w:rFonts w:ascii="Times New Roman" w:hAnsi="Times New Roman" w:cs="Times New Roman"/>
          <w:bCs/>
          <w:sz w:val="28"/>
          <w:szCs w:val="28"/>
        </w:rPr>
        <w:t>palielināt atbalst</w:t>
      </w:r>
      <w:r w:rsidR="00C81C3E">
        <w:rPr>
          <w:rFonts w:ascii="Times New Roman" w:hAnsi="Times New Roman" w:cs="Times New Roman"/>
          <w:bCs/>
          <w:sz w:val="28"/>
          <w:szCs w:val="28"/>
        </w:rPr>
        <w:t>u</w:t>
      </w:r>
      <w:r w:rsidRPr="00BF7EF7">
        <w:rPr>
          <w:rFonts w:ascii="Times New Roman" w:hAnsi="Times New Roman" w:cs="Times New Roman"/>
          <w:bCs/>
          <w:sz w:val="28"/>
          <w:szCs w:val="28"/>
        </w:rPr>
        <w:t xml:space="preserve"> minimālo pensiju saņēmējiem, paaugstinot minimālo valsts pensiju aprēķinu bāzi </w:t>
      </w:r>
      <w:r w:rsidRPr="00BF7EF7">
        <w:rPr>
          <w:rFonts w:ascii="Times New Roman" w:hAnsi="Times New Roman" w:cs="Times New Roman"/>
          <w:sz w:val="28"/>
          <w:szCs w:val="28"/>
        </w:rPr>
        <w:t xml:space="preserve">līdz 99 </w:t>
      </w:r>
      <w:proofErr w:type="spellStart"/>
      <w:r w:rsidRPr="00BF7EF7">
        <w:rPr>
          <w:rFonts w:ascii="Times New Roman" w:hAnsi="Times New Roman" w:cs="Times New Roman"/>
          <w:i/>
          <w:sz w:val="28"/>
          <w:szCs w:val="28"/>
        </w:rPr>
        <w:t>euro</w:t>
      </w:r>
      <w:proofErr w:type="spellEnd"/>
      <w:r w:rsidRPr="00BF7EF7">
        <w:rPr>
          <w:rFonts w:ascii="Times New Roman" w:hAnsi="Times New Roman" w:cs="Times New Roman"/>
          <w:i/>
          <w:sz w:val="28"/>
          <w:szCs w:val="28"/>
        </w:rPr>
        <w:t xml:space="preserve"> (</w:t>
      </w:r>
      <w:r w:rsidRPr="00BF7EF7">
        <w:rPr>
          <w:rFonts w:ascii="Times New Roman" w:eastAsia="Times New Roman" w:hAnsi="Times New Roman" w:cs="Times New Roman"/>
          <w:sz w:val="28"/>
          <w:szCs w:val="28"/>
          <w:lang w:eastAsia="lv-LV"/>
        </w:rPr>
        <w:t>to nosakot 20% apmērā no ienākumu mediānas)</w:t>
      </w:r>
      <w:r w:rsidRPr="00BF7EF7">
        <w:rPr>
          <w:rFonts w:ascii="Times New Roman" w:hAnsi="Times New Roman" w:cs="Times New Roman"/>
          <w:i/>
          <w:sz w:val="28"/>
          <w:szCs w:val="28"/>
        </w:rPr>
        <w:t xml:space="preserve"> </w:t>
      </w:r>
      <w:r w:rsidRPr="00C81C3E">
        <w:rPr>
          <w:rFonts w:ascii="Times New Roman" w:hAnsi="Times New Roman" w:cs="Times New Roman"/>
          <w:sz w:val="28"/>
          <w:szCs w:val="28"/>
        </w:rPr>
        <w:t>līdzšinējo 64,03</w:t>
      </w:r>
      <w:r w:rsidRPr="00BF7EF7">
        <w:rPr>
          <w:rFonts w:ascii="Times New Roman" w:hAnsi="Times New Roman" w:cs="Times New Roman"/>
          <w:i/>
          <w:sz w:val="28"/>
          <w:szCs w:val="28"/>
        </w:rPr>
        <w:t xml:space="preserve"> </w:t>
      </w:r>
      <w:proofErr w:type="spellStart"/>
      <w:r w:rsidRPr="00BF7EF7">
        <w:rPr>
          <w:rFonts w:ascii="Times New Roman" w:hAnsi="Times New Roman" w:cs="Times New Roman"/>
          <w:i/>
          <w:sz w:val="28"/>
          <w:szCs w:val="28"/>
        </w:rPr>
        <w:t>euro</w:t>
      </w:r>
      <w:proofErr w:type="spellEnd"/>
      <w:r w:rsidRPr="00BF7EF7">
        <w:rPr>
          <w:rFonts w:ascii="Times New Roman" w:hAnsi="Times New Roman" w:cs="Times New Roman"/>
          <w:i/>
          <w:sz w:val="28"/>
          <w:szCs w:val="28"/>
        </w:rPr>
        <w:t xml:space="preserve"> </w:t>
      </w:r>
      <w:r w:rsidRPr="00C81C3E">
        <w:rPr>
          <w:rFonts w:ascii="Times New Roman" w:hAnsi="Times New Roman" w:cs="Times New Roman"/>
          <w:sz w:val="28"/>
          <w:szCs w:val="28"/>
        </w:rPr>
        <w:t>vietā</w:t>
      </w:r>
      <w:r w:rsidRPr="00BF7EF7">
        <w:rPr>
          <w:rFonts w:ascii="Times New Roman" w:hAnsi="Times New Roman" w:cs="Times New Roman"/>
          <w:bCs/>
          <w:sz w:val="28"/>
          <w:szCs w:val="28"/>
        </w:rPr>
        <w:t>.</w:t>
      </w:r>
      <w:r w:rsidRPr="00BF7EF7">
        <w:rPr>
          <w:rFonts w:ascii="Times New Roman" w:eastAsia="Times New Roman" w:hAnsi="Times New Roman" w:cs="Times New Roman"/>
          <w:sz w:val="28"/>
          <w:szCs w:val="28"/>
          <w:lang w:eastAsia="lv-LV"/>
        </w:rPr>
        <w:t xml:space="preserve"> Minimālo valsts pensiju aprēķina bāzes palielināšana pozitīvi ietekmēs aptuven</w:t>
      </w:r>
      <w:r w:rsidR="006522CD">
        <w:rPr>
          <w:rFonts w:ascii="Times New Roman" w:eastAsia="Times New Roman" w:hAnsi="Times New Roman" w:cs="Times New Roman"/>
          <w:sz w:val="28"/>
          <w:szCs w:val="28"/>
          <w:lang w:eastAsia="lv-LV"/>
        </w:rPr>
        <w:t>i</w:t>
      </w:r>
      <w:r w:rsidRPr="00BF7EF7">
        <w:rPr>
          <w:rFonts w:ascii="Times New Roman" w:eastAsia="Times New Roman" w:hAnsi="Times New Roman" w:cs="Times New Roman"/>
          <w:sz w:val="28"/>
          <w:szCs w:val="28"/>
          <w:lang w:eastAsia="lv-LV"/>
        </w:rPr>
        <w:t xml:space="preserve"> 71 tūkstoti valsts iedzīvotāju, t.sk. vecuma pensiju saņēmējus, invaliditātes pensiju saņēmējus, apgādnieka zaudējuma </w:t>
      </w:r>
      <w:r w:rsidR="00A15122" w:rsidRPr="00BF7EF7">
        <w:rPr>
          <w:rFonts w:ascii="Times New Roman" w:eastAsia="Times New Roman" w:hAnsi="Times New Roman" w:cs="Times New Roman"/>
          <w:sz w:val="28"/>
          <w:szCs w:val="28"/>
          <w:lang w:eastAsia="lv-LV"/>
        </w:rPr>
        <w:t>pensijas saņēmējus un izdienas pensiju saņēmējus.</w:t>
      </w:r>
    </w:p>
    <w:p w14:paraId="5F7695FD" w14:textId="5D2A3C16" w:rsidR="00C30DB0" w:rsidRDefault="00C30DB0" w:rsidP="008323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Tāpat</w:t>
      </w:r>
      <w:r w:rsidR="00FE3943" w:rsidRPr="00BF7EF7">
        <w:rPr>
          <w:rFonts w:ascii="Times New Roman" w:eastAsia="Times New Roman" w:hAnsi="Times New Roman" w:cs="Times New Roman"/>
          <w:sz w:val="28"/>
          <w:szCs w:val="28"/>
          <w:lang w:eastAsia="lv-LV"/>
        </w:rPr>
        <w:t xml:space="preserve"> </w:t>
      </w:r>
      <w:r w:rsidR="00B84003" w:rsidRPr="00BF7EF7">
        <w:rPr>
          <w:rFonts w:ascii="Times New Roman" w:eastAsia="Times New Roman" w:hAnsi="Times New Roman" w:cs="Times New Roman"/>
          <w:sz w:val="28"/>
          <w:szCs w:val="28"/>
          <w:lang w:eastAsia="lv-LV"/>
        </w:rPr>
        <w:t xml:space="preserve">Plāna projektā </w:t>
      </w:r>
      <w:r w:rsidR="00FE3943" w:rsidRPr="00BF7EF7">
        <w:rPr>
          <w:rFonts w:ascii="Times New Roman" w:eastAsia="Times New Roman" w:hAnsi="Times New Roman" w:cs="Times New Roman"/>
          <w:sz w:val="28"/>
          <w:szCs w:val="28"/>
          <w:lang w:eastAsia="lv-LV"/>
        </w:rPr>
        <w:t>no 2021.gada rosināts palielināt atbalstu trūcīgām personām, gan mainot kritērijus trūcīgas personas statusa noteikšanā, gan paaugstinot atbalst</w:t>
      </w:r>
      <w:r w:rsidR="007360B1" w:rsidRPr="00BF7EF7">
        <w:rPr>
          <w:rFonts w:ascii="Times New Roman" w:eastAsia="Times New Roman" w:hAnsi="Times New Roman" w:cs="Times New Roman"/>
          <w:sz w:val="28"/>
          <w:szCs w:val="28"/>
          <w:lang w:eastAsia="lv-LV"/>
        </w:rPr>
        <w:t>a slieksni</w:t>
      </w:r>
      <w:r w:rsidR="00FE3943" w:rsidRPr="00BF7EF7">
        <w:rPr>
          <w:rFonts w:ascii="Times New Roman" w:eastAsia="Times New Roman" w:hAnsi="Times New Roman" w:cs="Times New Roman"/>
          <w:sz w:val="28"/>
          <w:szCs w:val="28"/>
          <w:lang w:eastAsia="lv-LV"/>
        </w:rPr>
        <w:t xml:space="preserve"> šai mērķa grupai. Trūcīgas personas statusam atbilstošais ienākuma līmenis nav mainīts kopš 2009.gada un tā apmērs ir 128,06 </w:t>
      </w:r>
      <w:proofErr w:type="spellStart"/>
      <w:r w:rsidR="00FE3943" w:rsidRPr="00BF7EF7">
        <w:rPr>
          <w:rFonts w:ascii="Times New Roman" w:eastAsia="Times New Roman" w:hAnsi="Times New Roman" w:cs="Times New Roman"/>
          <w:i/>
          <w:sz w:val="28"/>
          <w:szCs w:val="28"/>
          <w:lang w:eastAsia="lv-LV"/>
        </w:rPr>
        <w:t>euro</w:t>
      </w:r>
      <w:proofErr w:type="spellEnd"/>
      <w:r w:rsidR="00FE3943" w:rsidRPr="00BF7EF7">
        <w:rPr>
          <w:rFonts w:ascii="Times New Roman" w:eastAsia="Times New Roman" w:hAnsi="Times New Roman" w:cs="Times New Roman"/>
          <w:sz w:val="28"/>
          <w:szCs w:val="28"/>
          <w:lang w:eastAsia="lv-LV"/>
        </w:rPr>
        <w:t xml:space="preserve"> mēnesī vienai personai. Plāna projekts paredz palielināt iedzīvotāju loku, k</w:t>
      </w:r>
      <w:r w:rsidR="001172E7">
        <w:rPr>
          <w:rFonts w:ascii="Times New Roman" w:eastAsia="Times New Roman" w:hAnsi="Times New Roman" w:cs="Times New Roman"/>
          <w:sz w:val="28"/>
          <w:szCs w:val="28"/>
          <w:lang w:eastAsia="lv-LV"/>
        </w:rPr>
        <w:t>uri</w:t>
      </w:r>
      <w:r w:rsidR="00FE3943" w:rsidRPr="00BF7EF7">
        <w:rPr>
          <w:rFonts w:ascii="Times New Roman" w:eastAsia="Times New Roman" w:hAnsi="Times New Roman" w:cs="Times New Roman"/>
          <w:sz w:val="28"/>
          <w:szCs w:val="28"/>
          <w:lang w:eastAsia="lv-LV"/>
        </w:rPr>
        <w:t xml:space="preserve"> būtu tiesīgi pret</w:t>
      </w:r>
      <w:r>
        <w:rPr>
          <w:rFonts w:ascii="Times New Roman" w:eastAsia="Times New Roman" w:hAnsi="Times New Roman" w:cs="Times New Roman"/>
          <w:sz w:val="28"/>
          <w:szCs w:val="28"/>
          <w:lang w:eastAsia="lv-LV"/>
        </w:rPr>
        <w:t>e</w:t>
      </w:r>
      <w:r w:rsidR="00FE3943" w:rsidRPr="00BF7EF7">
        <w:rPr>
          <w:rFonts w:ascii="Times New Roman" w:eastAsia="Times New Roman" w:hAnsi="Times New Roman" w:cs="Times New Roman"/>
          <w:sz w:val="28"/>
          <w:szCs w:val="28"/>
          <w:lang w:eastAsia="lv-LV"/>
        </w:rPr>
        <w:t xml:space="preserve">ndēt uz atbalstu trūcīgām personām, palielinot trūcīgas personas statusam atbilstošo ienākuma līmeni no 128,06 </w:t>
      </w:r>
      <w:proofErr w:type="spellStart"/>
      <w:r w:rsidR="00FE3943" w:rsidRPr="00BF7EF7">
        <w:rPr>
          <w:rFonts w:ascii="Times New Roman" w:eastAsia="Times New Roman" w:hAnsi="Times New Roman" w:cs="Times New Roman"/>
          <w:i/>
          <w:sz w:val="28"/>
          <w:szCs w:val="28"/>
          <w:lang w:eastAsia="lv-LV"/>
        </w:rPr>
        <w:t>euro</w:t>
      </w:r>
      <w:proofErr w:type="spellEnd"/>
      <w:r w:rsidR="00FE3943" w:rsidRPr="00BF7EF7">
        <w:rPr>
          <w:rFonts w:ascii="Times New Roman" w:eastAsia="Times New Roman" w:hAnsi="Times New Roman" w:cs="Times New Roman"/>
          <w:sz w:val="28"/>
          <w:szCs w:val="28"/>
          <w:lang w:eastAsia="lv-LV"/>
        </w:rPr>
        <w:t xml:space="preserve"> līdz 198 </w:t>
      </w:r>
      <w:proofErr w:type="spellStart"/>
      <w:r w:rsidR="00FE3943" w:rsidRPr="00BF7EF7">
        <w:rPr>
          <w:rFonts w:ascii="Times New Roman" w:eastAsia="Times New Roman" w:hAnsi="Times New Roman" w:cs="Times New Roman"/>
          <w:i/>
          <w:sz w:val="28"/>
          <w:szCs w:val="28"/>
          <w:lang w:eastAsia="lv-LV"/>
        </w:rPr>
        <w:t>e</w:t>
      </w:r>
      <w:r w:rsidR="00146450" w:rsidRPr="00BF7EF7">
        <w:rPr>
          <w:rFonts w:ascii="Times New Roman" w:eastAsia="Times New Roman" w:hAnsi="Times New Roman" w:cs="Times New Roman"/>
          <w:i/>
          <w:sz w:val="28"/>
          <w:szCs w:val="28"/>
          <w:lang w:eastAsia="lv-LV"/>
        </w:rPr>
        <w:t>u</w:t>
      </w:r>
      <w:r w:rsidR="00FE3943" w:rsidRPr="00BF7EF7">
        <w:rPr>
          <w:rFonts w:ascii="Times New Roman" w:eastAsia="Times New Roman" w:hAnsi="Times New Roman" w:cs="Times New Roman"/>
          <w:i/>
          <w:sz w:val="28"/>
          <w:szCs w:val="28"/>
          <w:lang w:eastAsia="lv-LV"/>
        </w:rPr>
        <w:t>ro</w:t>
      </w:r>
      <w:proofErr w:type="spellEnd"/>
      <w:r w:rsidR="00FE3943" w:rsidRPr="00BF7EF7">
        <w:rPr>
          <w:rFonts w:ascii="Times New Roman" w:eastAsia="Times New Roman" w:hAnsi="Times New Roman" w:cs="Times New Roman"/>
          <w:sz w:val="28"/>
          <w:szCs w:val="28"/>
          <w:lang w:eastAsia="lv-LV"/>
        </w:rPr>
        <w:t xml:space="preserve"> </w:t>
      </w:r>
      <w:r w:rsidR="00276911" w:rsidRPr="00BF7EF7">
        <w:rPr>
          <w:rFonts w:ascii="Times New Roman" w:eastAsia="Times New Roman" w:hAnsi="Times New Roman" w:cs="Times New Roman"/>
          <w:sz w:val="28"/>
          <w:szCs w:val="28"/>
          <w:lang w:eastAsia="lv-LV"/>
        </w:rPr>
        <w:t xml:space="preserve">mēnesī </w:t>
      </w:r>
      <w:r w:rsidR="00FE3943" w:rsidRPr="00BF7EF7">
        <w:rPr>
          <w:rFonts w:ascii="Times New Roman" w:eastAsia="Times New Roman" w:hAnsi="Times New Roman" w:cs="Times New Roman"/>
          <w:sz w:val="28"/>
          <w:szCs w:val="28"/>
          <w:lang w:eastAsia="lv-LV"/>
        </w:rPr>
        <w:t>jeb 40% no ienākumu mediānas pirmajai personai, pārējām personām mājsaimniecībā piemērojot 0.7 koeficientu no pirmās personas</w:t>
      </w:r>
      <w:r w:rsidR="00146450" w:rsidRPr="00BF7EF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jeb </w:t>
      </w:r>
      <w:r w:rsidR="00146450" w:rsidRPr="00BF7EF7">
        <w:rPr>
          <w:rFonts w:ascii="Times New Roman" w:eastAsia="Times New Roman" w:hAnsi="Times New Roman" w:cs="Times New Roman"/>
          <w:sz w:val="28"/>
          <w:szCs w:val="28"/>
          <w:lang w:eastAsia="lv-LV"/>
        </w:rPr>
        <w:t xml:space="preserve">139 </w:t>
      </w:r>
      <w:proofErr w:type="spellStart"/>
      <w:r w:rsidR="00146450" w:rsidRPr="00BF7EF7">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mēnesī</w:t>
      </w:r>
      <w:r w:rsidR="00FE3943" w:rsidRPr="00BF7EF7">
        <w:rPr>
          <w:rFonts w:ascii="Times New Roman" w:eastAsia="Times New Roman" w:hAnsi="Times New Roman" w:cs="Times New Roman"/>
          <w:sz w:val="28"/>
          <w:szCs w:val="28"/>
          <w:lang w:eastAsia="lv-LV"/>
        </w:rPr>
        <w:t>.</w:t>
      </w:r>
      <w:r w:rsidR="0036089B" w:rsidRPr="00BF7EF7">
        <w:rPr>
          <w:rFonts w:ascii="Times New Roman" w:eastAsia="Times New Roman" w:hAnsi="Times New Roman" w:cs="Times New Roman"/>
          <w:sz w:val="28"/>
          <w:szCs w:val="28"/>
          <w:lang w:eastAsia="lv-LV"/>
        </w:rPr>
        <w:t xml:space="preserve"> </w:t>
      </w:r>
    </w:p>
    <w:p w14:paraId="2258AC91" w14:textId="4A641D06" w:rsidR="00B519FB" w:rsidRPr="00BF7EF7" w:rsidRDefault="00B519FB" w:rsidP="00B519FB">
      <w:pPr>
        <w:autoSpaceDE w:val="0"/>
        <w:autoSpaceDN w:val="0"/>
        <w:adjustRightInd w:val="0"/>
        <w:spacing w:after="0" w:line="240" w:lineRule="auto"/>
        <w:ind w:firstLine="720"/>
        <w:jc w:val="both"/>
        <w:rPr>
          <w:rFonts w:ascii="Times New Roman" w:hAnsi="Times New Roman" w:cs="Times New Roman"/>
          <w:sz w:val="28"/>
          <w:szCs w:val="28"/>
        </w:rPr>
      </w:pPr>
      <w:r w:rsidRPr="00BF7EF7">
        <w:rPr>
          <w:rFonts w:ascii="Times New Roman" w:eastAsia="Times New Roman" w:hAnsi="Times New Roman" w:cs="Times New Roman"/>
          <w:sz w:val="28"/>
          <w:szCs w:val="28"/>
          <w:lang w:eastAsia="lv-LV"/>
        </w:rPr>
        <w:t xml:space="preserve">Pabalsts garantētā minimālā ienākuma (GMI) līmeņa nodrošināšanai ir galvenais atbalsts ienākuma veidā trūcīgām personām. Šis ir zemākais ienākuma atbalsta veids cilvēkiem, kuriem nav nekādu ienākumu vai tie ir ļoti zemi. GMI pabalstu </w:t>
      </w:r>
      <w:r w:rsidRPr="00BF7EF7">
        <w:rPr>
          <w:rFonts w:ascii="Times New Roman" w:hAnsi="Times New Roman" w:cs="Times New Roman"/>
          <w:color w:val="000000"/>
          <w:sz w:val="28"/>
          <w:szCs w:val="28"/>
        </w:rPr>
        <w:t xml:space="preserve">aprēķina kā starpību starp Ministru kabineta (no 2018.gada 1.janvāra 53,00 </w:t>
      </w:r>
      <w:proofErr w:type="spellStart"/>
      <w:r w:rsidRPr="00BF7EF7">
        <w:rPr>
          <w:rFonts w:ascii="Times New Roman" w:hAnsi="Times New Roman" w:cs="Times New Roman"/>
          <w:i/>
          <w:color w:val="000000"/>
          <w:sz w:val="28"/>
          <w:szCs w:val="28"/>
        </w:rPr>
        <w:t>euro</w:t>
      </w:r>
      <w:proofErr w:type="spellEnd"/>
      <w:r w:rsidRPr="00BF7EF7">
        <w:rPr>
          <w:rFonts w:ascii="Times New Roman" w:hAnsi="Times New Roman" w:cs="Times New Roman"/>
          <w:color w:val="000000"/>
          <w:sz w:val="28"/>
          <w:szCs w:val="28"/>
        </w:rPr>
        <w:t xml:space="preserve">) vai pašvaldības noteikto (no 53,00 </w:t>
      </w:r>
      <w:proofErr w:type="spellStart"/>
      <w:r w:rsidRPr="00BF7EF7">
        <w:rPr>
          <w:rFonts w:ascii="Times New Roman" w:hAnsi="Times New Roman" w:cs="Times New Roman"/>
          <w:i/>
          <w:color w:val="000000"/>
          <w:sz w:val="28"/>
          <w:szCs w:val="28"/>
        </w:rPr>
        <w:t>euro</w:t>
      </w:r>
      <w:proofErr w:type="spellEnd"/>
      <w:r w:rsidRPr="00BF7EF7">
        <w:rPr>
          <w:rFonts w:ascii="Times New Roman" w:hAnsi="Times New Roman" w:cs="Times New Roman"/>
          <w:color w:val="000000"/>
          <w:sz w:val="28"/>
          <w:szCs w:val="28"/>
        </w:rPr>
        <w:t xml:space="preserve"> līdz 128,06 </w:t>
      </w:r>
      <w:proofErr w:type="spellStart"/>
      <w:r w:rsidRPr="00BF7EF7">
        <w:rPr>
          <w:rFonts w:ascii="Times New Roman" w:hAnsi="Times New Roman" w:cs="Times New Roman"/>
          <w:i/>
          <w:color w:val="000000"/>
          <w:sz w:val="28"/>
          <w:szCs w:val="28"/>
        </w:rPr>
        <w:t>euro</w:t>
      </w:r>
      <w:proofErr w:type="spellEnd"/>
      <w:r w:rsidRPr="00BF7EF7">
        <w:rPr>
          <w:rFonts w:ascii="Times New Roman" w:hAnsi="Times New Roman" w:cs="Times New Roman"/>
          <w:color w:val="000000"/>
          <w:sz w:val="28"/>
          <w:szCs w:val="28"/>
        </w:rPr>
        <w:t xml:space="preserve">) GMI līmeni katram ģimenes loceklim un trūcīgas ģimenes (personas) kopējiem ienākumiem. </w:t>
      </w:r>
      <w:r w:rsidRPr="00BF7EF7">
        <w:rPr>
          <w:rFonts w:ascii="Times New Roman" w:eastAsia="Times New Roman" w:hAnsi="Times New Roman" w:cs="Times New Roman"/>
          <w:sz w:val="28"/>
          <w:szCs w:val="28"/>
          <w:lang w:eastAsia="lv-LV"/>
        </w:rPr>
        <w:t xml:space="preserve">Lai palielinātu ienākuma atbalstu cilvēkiem ar viszemākajiem ienākumiem, Plāna projektā plānots </w:t>
      </w:r>
      <w:r>
        <w:rPr>
          <w:rFonts w:ascii="Times New Roman" w:eastAsia="Times New Roman" w:hAnsi="Times New Roman" w:cs="Times New Roman"/>
          <w:sz w:val="28"/>
          <w:szCs w:val="28"/>
          <w:lang w:eastAsia="lv-LV"/>
        </w:rPr>
        <w:t xml:space="preserve">no 2021.gada </w:t>
      </w:r>
      <w:r w:rsidRPr="00BF7EF7">
        <w:rPr>
          <w:rFonts w:ascii="Times New Roman" w:eastAsia="Times New Roman" w:hAnsi="Times New Roman" w:cs="Times New Roman"/>
          <w:sz w:val="28"/>
          <w:szCs w:val="28"/>
          <w:lang w:eastAsia="lv-LV"/>
        </w:rPr>
        <w:t xml:space="preserve">palielināt GMI līmeni </w:t>
      </w:r>
      <w:r>
        <w:rPr>
          <w:rFonts w:ascii="Times New Roman" w:eastAsia="Times New Roman" w:hAnsi="Times New Roman" w:cs="Times New Roman"/>
          <w:sz w:val="28"/>
          <w:szCs w:val="28"/>
          <w:lang w:eastAsia="lv-LV"/>
        </w:rPr>
        <w:t>un noteikt</w:t>
      </w:r>
      <w:r w:rsidRPr="00BF7EF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to </w:t>
      </w:r>
      <w:r w:rsidRPr="00BF7EF7">
        <w:rPr>
          <w:rFonts w:ascii="Times New Roman" w:eastAsia="Times New Roman" w:hAnsi="Times New Roman" w:cs="Times New Roman"/>
          <w:sz w:val="28"/>
          <w:szCs w:val="28"/>
          <w:lang w:eastAsia="lv-LV"/>
        </w:rPr>
        <w:t>99 </w:t>
      </w:r>
      <w:proofErr w:type="spellStart"/>
      <w:r w:rsidRPr="00BF7EF7">
        <w:rPr>
          <w:rFonts w:ascii="Times New Roman" w:eastAsia="Times New Roman" w:hAnsi="Times New Roman" w:cs="Times New Roman"/>
          <w:i/>
          <w:sz w:val="28"/>
          <w:szCs w:val="28"/>
          <w:lang w:eastAsia="lv-LV"/>
        </w:rPr>
        <w:t>euro</w:t>
      </w:r>
      <w:proofErr w:type="spellEnd"/>
      <w:r w:rsidRPr="00BF7EF7">
        <w:rPr>
          <w:rFonts w:ascii="Times New Roman" w:eastAsia="Times New Roman" w:hAnsi="Times New Roman" w:cs="Times New Roman"/>
          <w:sz w:val="28"/>
          <w:szCs w:val="28"/>
          <w:lang w:eastAsia="lv-LV"/>
        </w:rPr>
        <w:t xml:space="preserve"> mēnesī jeb 20% no ienākumu mediānas pirmajai</w:t>
      </w:r>
      <w:r>
        <w:rPr>
          <w:rFonts w:ascii="Times New Roman" w:eastAsia="Times New Roman" w:hAnsi="Times New Roman" w:cs="Times New Roman"/>
          <w:sz w:val="28"/>
          <w:szCs w:val="28"/>
          <w:lang w:eastAsia="lv-LV"/>
        </w:rPr>
        <w:t xml:space="preserve"> </w:t>
      </w:r>
      <w:r w:rsidRPr="00BF7EF7">
        <w:rPr>
          <w:rFonts w:ascii="Times New Roman" w:eastAsia="Times New Roman" w:hAnsi="Times New Roman" w:cs="Times New Roman"/>
          <w:sz w:val="28"/>
          <w:szCs w:val="28"/>
          <w:lang w:eastAsia="lv-LV"/>
        </w:rPr>
        <w:t>personai (</w:t>
      </w:r>
      <w:r>
        <w:rPr>
          <w:rFonts w:ascii="Times New Roman" w:eastAsia="Times New Roman" w:hAnsi="Times New Roman" w:cs="Times New Roman"/>
          <w:sz w:val="28"/>
          <w:szCs w:val="28"/>
          <w:lang w:eastAsia="lv-LV"/>
        </w:rPr>
        <w:t xml:space="preserve">kas </w:t>
      </w:r>
      <w:r w:rsidRPr="00BF7EF7">
        <w:rPr>
          <w:rFonts w:ascii="Times New Roman" w:hAnsi="Times New Roman" w:cs="Times New Roman"/>
          <w:sz w:val="28"/>
          <w:szCs w:val="28"/>
        </w:rPr>
        <w:t>tuvotos ES vidējam līmenim)</w:t>
      </w:r>
      <w:r w:rsidRPr="00BF7EF7">
        <w:rPr>
          <w:rFonts w:ascii="Times New Roman" w:eastAsia="Times New Roman" w:hAnsi="Times New Roman" w:cs="Times New Roman"/>
          <w:sz w:val="28"/>
          <w:szCs w:val="28"/>
          <w:lang w:eastAsia="lv-LV"/>
        </w:rPr>
        <w:t xml:space="preserve">, pārējām personām mājsaimniecībā piemērojot 0.7 koeficientu, kas veido 69 </w:t>
      </w:r>
      <w:proofErr w:type="spellStart"/>
      <w:r w:rsidRPr="00BF7EF7">
        <w:rPr>
          <w:rFonts w:ascii="Times New Roman" w:eastAsia="Times New Roman" w:hAnsi="Times New Roman" w:cs="Times New Roman"/>
          <w:i/>
          <w:sz w:val="28"/>
          <w:szCs w:val="28"/>
          <w:lang w:eastAsia="lv-LV"/>
        </w:rPr>
        <w:t>euro</w:t>
      </w:r>
      <w:proofErr w:type="spellEnd"/>
      <w:r>
        <w:rPr>
          <w:rFonts w:ascii="Times New Roman" w:hAnsi="Times New Roman" w:cs="Times New Roman"/>
          <w:sz w:val="28"/>
          <w:szCs w:val="28"/>
        </w:rPr>
        <w:t xml:space="preserve"> mēnesī.</w:t>
      </w:r>
    </w:p>
    <w:p w14:paraId="2A1AC336" w14:textId="0BF29A25" w:rsidR="00BC1BB0" w:rsidRPr="00BF7EF7" w:rsidRDefault="00FE3943" w:rsidP="008323E9">
      <w:pPr>
        <w:autoSpaceDE w:val="0"/>
        <w:autoSpaceDN w:val="0"/>
        <w:adjustRightInd w:val="0"/>
        <w:spacing w:after="0" w:line="240" w:lineRule="auto"/>
        <w:ind w:firstLine="720"/>
        <w:jc w:val="both"/>
        <w:rPr>
          <w:rFonts w:ascii="Times New Roman" w:hAnsi="Times New Roman" w:cs="Times New Roman"/>
          <w:sz w:val="28"/>
          <w:szCs w:val="28"/>
        </w:rPr>
      </w:pPr>
      <w:r w:rsidRPr="00BF7EF7">
        <w:rPr>
          <w:rFonts w:ascii="Times New Roman" w:eastAsia="Times New Roman" w:hAnsi="Times New Roman" w:cs="Times New Roman"/>
          <w:sz w:val="28"/>
          <w:szCs w:val="28"/>
          <w:lang w:eastAsia="lv-LV"/>
        </w:rPr>
        <w:t xml:space="preserve">Tāpat </w:t>
      </w:r>
      <w:r w:rsidR="00E172D5" w:rsidRPr="00BF7EF7">
        <w:rPr>
          <w:rFonts w:ascii="Times New Roman" w:eastAsia="Times New Roman" w:hAnsi="Times New Roman" w:cs="Times New Roman"/>
          <w:sz w:val="28"/>
          <w:szCs w:val="28"/>
          <w:lang w:eastAsia="lv-LV"/>
        </w:rPr>
        <w:t>P</w:t>
      </w:r>
      <w:r w:rsidRPr="00BF7EF7">
        <w:rPr>
          <w:rFonts w:ascii="Times New Roman" w:eastAsia="Times New Roman" w:hAnsi="Times New Roman" w:cs="Times New Roman"/>
          <w:sz w:val="28"/>
          <w:szCs w:val="28"/>
          <w:lang w:eastAsia="lv-LV"/>
        </w:rPr>
        <w:t>lāna projekts paredz ar</w:t>
      </w:r>
      <w:r w:rsidR="00E172D5" w:rsidRPr="00BF7EF7">
        <w:rPr>
          <w:rFonts w:ascii="Times New Roman" w:eastAsia="Times New Roman" w:hAnsi="Times New Roman" w:cs="Times New Roman"/>
          <w:sz w:val="28"/>
          <w:szCs w:val="28"/>
          <w:lang w:eastAsia="lv-LV"/>
        </w:rPr>
        <w:t xml:space="preserve"> </w:t>
      </w:r>
      <w:r w:rsidRPr="00BF7EF7">
        <w:rPr>
          <w:rFonts w:ascii="Times New Roman" w:eastAsia="Times New Roman" w:hAnsi="Times New Roman" w:cs="Times New Roman"/>
          <w:sz w:val="28"/>
          <w:szCs w:val="28"/>
          <w:lang w:eastAsia="lv-LV"/>
        </w:rPr>
        <w:t>2021.gadu noteikt</w:t>
      </w:r>
      <w:r w:rsidR="007360B1" w:rsidRPr="00BF7EF7">
        <w:rPr>
          <w:rFonts w:ascii="Times New Roman" w:eastAsia="Times New Roman" w:hAnsi="Times New Roman" w:cs="Times New Roman"/>
          <w:sz w:val="28"/>
          <w:szCs w:val="28"/>
          <w:lang w:eastAsia="lv-LV"/>
        </w:rPr>
        <w:t xml:space="preserve"> </w:t>
      </w:r>
      <w:r w:rsidRPr="00BF7EF7">
        <w:rPr>
          <w:rFonts w:ascii="Times New Roman" w:eastAsia="Times New Roman" w:hAnsi="Times New Roman" w:cs="Times New Roman"/>
          <w:sz w:val="28"/>
          <w:szCs w:val="28"/>
          <w:lang w:eastAsia="lv-LV"/>
        </w:rPr>
        <w:t xml:space="preserve">vienotu maznodrošinātās personas ienākuma līmeni valsts </w:t>
      </w:r>
      <w:r w:rsidR="00276911" w:rsidRPr="00BF7EF7">
        <w:rPr>
          <w:rFonts w:ascii="Times New Roman" w:eastAsia="Times New Roman" w:hAnsi="Times New Roman" w:cs="Times New Roman"/>
          <w:sz w:val="28"/>
          <w:szCs w:val="28"/>
          <w:lang w:eastAsia="lv-LV"/>
        </w:rPr>
        <w:t>sniegtajiem</w:t>
      </w:r>
      <w:r w:rsidRPr="00BF7EF7">
        <w:rPr>
          <w:rFonts w:ascii="Times New Roman" w:eastAsia="Times New Roman" w:hAnsi="Times New Roman" w:cs="Times New Roman"/>
          <w:sz w:val="28"/>
          <w:szCs w:val="28"/>
          <w:lang w:eastAsia="lv-LV"/>
        </w:rPr>
        <w:t xml:space="preserve"> atbalsta </w:t>
      </w:r>
      <w:r w:rsidR="00D34838" w:rsidRPr="00BF7EF7">
        <w:rPr>
          <w:rFonts w:ascii="Times New Roman" w:eastAsia="Times New Roman" w:hAnsi="Times New Roman" w:cs="Times New Roman"/>
          <w:sz w:val="28"/>
          <w:szCs w:val="28"/>
          <w:lang w:eastAsia="lv-LV"/>
        </w:rPr>
        <w:t xml:space="preserve">pasākumiem, nosakot to </w:t>
      </w:r>
      <w:r w:rsidRPr="00BF7EF7">
        <w:rPr>
          <w:rFonts w:ascii="Times New Roman" w:eastAsia="Times New Roman" w:hAnsi="Times New Roman" w:cs="Times New Roman"/>
          <w:sz w:val="28"/>
          <w:szCs w:val="28"/>
          <w:lang w:eastAsia="lv-LV"/>
        </w:rPr>
        <w:t>1.5 apmērā no trūcīgai personai atbilstošā ienākuma līmeņa pirmajai personai</w:t>
      </w:r>
      <w:r w:rsidR="00D34838" w:rsidRPr="00BF7EF7">
        <w:rPr>
          <w:rFonts w:ascii="Times New Roman" w:eastAsia="Times New Roman" w:hAnsi="Times New Roman" w:cs="Times New Roman"/>
          <w:sz w:val="28"/>
          <w:szCs w:val="28"/>
          <w:lang w:eastAsia="lv-LV"/>
        </w:rPr>
        <w:t xml:space="preserve"> </w:t>
      </w:r>
      <w:r w:rsidRPr="00BF7EF7">
        <w:rPr>
          <w:rFonts w:ascii="Times New Roman" w:eastAsia="Times New Roman" w:hAnsi="Times New Roman" w:cs="Times New Roman"/>
          <w:bCs/>
          <w:sz w:val="28"/>
          <w:szCs w:val="28"/>
          <w:lang w:eastAsia="lv-LV"/>
        </w:rPr>
        <w:t>297</w:t>
      </w:r>
      <w:r w:rsidR="00E172D5" w:rsidRPr="00BF7EF7">
        <w:rPr>
          <w:rFonts w:ascii="Times New Roman" w:eastAsia="Times New Roman" w:hAnsi="Times New Roman" w:cs="Times New Roman"/>
          <w:bCs/>
          <w:sz w:val="28"/>
          <w:szCs w:val="28"/>
          <w:lang w:eastAsia="lv-LV"/>
        </w:rPr>
        <w:t> </w:t>
      </w:r>
      <w:proofErr w:type="spellStart"/>
      <w:r w:rsidRPr="00BF7EF7">
        <w:rPr>
          <w:rFonts w:ascii="Times New Roman" w:eastAsia="Times New Roman" w:hAnsi="Times New Roman" w:cs="Times New Roman"/>
          <w:bCs/>
          <w:i/>
          <w:sz w:val="28"/>
          <w:szCs w:val="28"/>
          <w:lang w:eastAsia="lv-LV"/>
        </w:rPr>
        <w:t>euro</w:t>
      </w:r>
      <w:proofErr w:type="spellEnd"/>
      <w:r w:rsidR="007360B1" w:rsidRPr="00BF7EF7">
        <w:rPr>
          <w:rFonts w:ascii="Times New Roman" w:eastAsia="Times New Roman" w:hAnsi="Times New Roman" w:cs="Times New Roman"/>
          <w:bCs/>
          <w:sz w:val="28"/>
          <w:szCs w:val="28"/>
          <w:lang w:eastAsia="lv-LV"/>
        </w:rPr>
        <w:t xml:space="preserve"> </w:t>
      </w:r>
      <w:r w:rsidRPr="00BF7EF7">
        <w:rPr>
          <w:rFonts w:ascii="Times New Roman" w:eastAsia="Times New Roman" w:hAnsi="Times New Roman" w:cs="Times New Roman"/>
          <w:sz w:val="28"/>
          <w:szCs w:val="28"/>
          <w:lang w:eastAsia="lv-LV"/>
        </w:rPr>
        <w:t>apmērā, nākamajām personām mājsaimn</w:t>
      </w:r>
      <w:r w:rsidR="009E12F9">
        <w:rPr>
          <w:rFonts w:ascii="Times New Roman" w:eastAsia="Times New Roman" w:hAnsi="Times New Roman" w:cs="Times New Roman"/>
          <w:sz w:val="28"/>
          <w:szCs w:val="28"/>
          <w:lang w:eastAsia="lv-LV"/>
        </w:rPr>
        <w:t>iecībā piemērojot koeficientu 0.</w:t>
      </w:r>
      <w:r w:rsidRPr="00BF7EF7">
        <w:rPr>
          <w:rFonts w:ascii="Times New Roman" w:eastAsia="Times New Roman" w:hAnsi="Times New Roman" w:cs="Times New Roman"/>
          <w:sz w:val="28"/>
          <w:szCs w:val="28"/>
          <w:lang w:eastAsia="lv-LV"/>
        </w:rPr>
        <w:t xml:space="preserve">7 </w:t>
      </w:r>
      <w:r w:rsidR="00C30DB0">
        <w:rPr>
          <w:rFonts w:ascii="Times New Roman" w:eastAsia="Times New Roman" w:hAnsi="Times New Roman" w:cs="Times New Roman"/>
          <w:sz w:val="28"/>
          <w:szCs w:val="28"/>
          <w:lang w:eastAsia="lv-LV"/>
        </w:rPr>
        <w:t xml:space="preserve">jeb </w:t>
      </w:r>
      <w:r w:rsidRPr="00BF7EF7">
        <w:rPr>
          <w:rFonts w:ascii="Times New Roman" w:eastAsia="Times New Roman" w:hAnsi="Times New Roman" w:cs="Times New Roman"/>
          <w:bCs/>
          <w:sz w:val="28"/>
          <w:szCs w:val="28"/>
          <w:lang w:eastAsia="lv-LV"/>
        </w:rPr>
        <w:t xml:space="preserve">208 </w:t>
      </w:r>
      <w:proofErr w:type="spellStart"/>
      <w:r w:rsidRPr="00BF7EF7">
        <w:rPr>
          <w:rFonts w:ascii="Times New Roman" w:eastAsia="Times New Roman" w:hAnsi="Times New Roman" w:cs="Times New Roman"/>
          <w:bCs/>
          <w:i/>
          <w:sz w:val="28"/>
          <w:szCs w:val="28"/>
          <w:lang w:eastAsia="lv-LV"/>
        </w:rPr>
        <w:t>euro</w:t>
      </w:r>
      <w:proofErr w:type="spellEnd"/>
      <w:r w:rsidRPr="00BF7EF7">
        <w:rPr>
          <w:rFonts w:ascii="Times New Roman" w:eastAsia="Times New Roman" w:hAnsi="Times New Roman" w:cs="Times New Roman"/>
          <w:sz w:val="28"/>
          <w:szCs w:val="28"/>
          <w:lang w:eastAsia="lv-LV"/>
        </w:rPr>
        <w:t>.</w:t>
      </w:r>
    </w:p>
    <w:p w14:paraId="5FBFB799" w14:textId="631095DB" w:rsidR="00BC1BB0" w:rsidRPr="00BF7EF7" w:rsidRDefault="00FE3943" w:rsidP="008323E9">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sidRPr="00BF7EF7">
        <w:rPr>
          <w:rFonts w:ascii="Times New Roman" w:eastAsia="Times New Roman" w:hAnsi="Times New Roman" w:cs="Times New Roman"/>
          <w:sz w:val="28"/>
          <w:szCs w:val="28"/>
          <w:lang w:eastAsia="lv-LV"/>
        </w:rPr>
        <w:t>Plān</w:t>
      </w:r>
      <w:r w:rsidR="007360B1" w:rsidRPr="00BF7EF7">
        <w:rPr>
          <w:rFonts w:ascii="Times New Roman" w:eastAsia="Times New Roman" w:hAnsi="Times New Roman" w:cs="Times New Roman"/>
          <w:sz w:val="28"/>
          <w:szCs w:val="28"/>
          <w:lang w:eastAsia="lv-LV"/>
        </w:rPr>
        <w:t>a projekt</w:t>
      </w:r>
      <w:r w:rsidRPr="00BF7EF7">
        <w:rPr>
          <w:rFonts w:ascii="Times New Roman" w:eastAsia="Times New Roman" w:hAnsi="Times New Roman" w:cs="Times New Roman"/>
          <w:sz w:val="28"/>
          <w:szCs w:val="28"/>
          <w:lang w:eastAsia="lv-LV"/>
        </w:rPr>
        <w:t>ā piedāvāt</w:t>
      </w:r>
      <w:r w:rsidR="00276911" w:rsidRPr="00BF7EF7">
        <w:rPr>
          <w:rFonts w:ascii="Times New Roman" w:eastAsia="Times New Roman" w:hAnsi="Times New Roman" w:cs="Times New Roman"/>
          <w:sz w:val="28"/>
          <w:szCs w:val="28"/>
          <w:lang w:eastAsia="lv-LV"/>
        </w:rPr>
        <w:t>o</w:t>
      </w:r>
      <w:r w:rsidRPr="00BF7EF7">
        <w:rPr>
          <w:rFonts w:ascii="Times New Roman" w:eastAsia="Times New Roman" w:hAnsi="Times New Roman" w:cs="Times New Roman"/>
          <w:sz w:val="28"/>
          <w:szCs w:val="28"/>
          <w:lang w:eastAsia="lv-LV"/>
        </w:rPr>
        <w:t xml:space="preserve"> pasākum</w:t>
      </w:r>
      <w:r w:rsidR="00276911" w:rsidRPr="00BF7EF7">
        <w:rPr>
          <w:rFonts w:ascii="Times New Roman" w:eastAsia="Times New Roman" w:hAnsi="Times New Roman" w:cs="Times New Roman"/>
          <w:sz w:val="28"/>
          <w:szCs w:val="28"/>
          <w:lang w:eastAsia="lv-LV"/>
        </w:rPr>
        <w:t xml:space="preserve">u ieviešanai laika periodā no 2020. līdz 2022.gadam indikatīvi ik gadu ir nepieciešami </w:t>
      </w:r>
      <w:r w:rsidRPr="00BF7EF7">
        <w:rPr>
          <w:rFonts w:ascii="Times New Roman" w:eastAsia="Times New Roman" w:hAnsi="Times New Roman" w:cs="Times New Roman"/>
          <w:sz w:val="28"/>
          <w:szCs w:val="28"/>
          <w:lang w:eastAsia="lv-LV"/>
        </w:rPr>
        <w:t xml:space="preserve">papildu 27-28 milj. </w:t>
      </w:r>
      <w:proofErr w:type="spellStart"/>
      <w:r w:rsidRPr="00BF7EF7">
        <w:rPr>
          <w:rFonts w:ascii="Times New Roman" w:eastAsia="Times New Roman" w:hAnsi="Times New Roman" w:cs="Times New Roman"/>
          <w:i/>
          <w:sz w:val="28"/>
          <w:szCs w:val="28"/>
          <w:lang w:eastAsia="lv-LV"/>
        </w:rPr>
        <w:t>euro</w:t>
      </w:r>
      <w:proofErr w:type="spellEnd"/>
      <w:r w:rsidR="00276911" w:rsidRPr="00BF7EF7">
        <w:rPr>
          <w:rFonts w:ascii="Times New Roman" w:eastAsia="Times New Roman" w:hAnsi="Times New Roman" w:cs="Times New Roman"/>
          <w:i/>
          <w:sz w:val="28"/>
          <w:szCs w:val="28"/>
          <w:lang w:eastAsia="lv-LV"/>
        </w:rPr>
        <w:t xml:space="preserve"> </w:t>
      </w:r>
      <w:r w:rsidR="00276911" w:rsidRPr="00BF7EF7">
        <w:rPr>
          <w:rFonts w:ascii="Times New Roman" w:eastAsia="Times New Roman" w:hAnsi="Times New Roman" w:cs="Times New Roman"/>
          <w:sz w:val="28"/>
          <w:szCs w:val="28"/>
          <w:lang w:eastAsia="lv-LV"/>
        </w:rPr>
        <w:t xml:space="preserve">valsts budžeta līdzekļi. Tādēļ </w:t>
      </w:r>
      <w:r w:rsidRPr="00BF7EF7">
        <w:rPr>
          <w:rFonts w:ascii="Times New Roman" w:eastAsia="Times New Roman" w:hAnsi="Times New Roman" w:cs="Times New Roman"/>
          <w:sz w:val="28"/>
          <w:szCs w:val="28"/>
          <w:lang w:eastAsia="lv-LV"/>
        </w:rPr>
        <w:t xml:space="preserve">jautājums par </w:t>
      </w:r>
      <w:r w:rsidR="00AD3E46">
        <w:rPr>
          <w:rFonts w:ascii="Times New Roman" w:eastAsia="Times New Roman" w:hAnsi="Times New Roman" w:cs="Times New Roman"/>
          <w:sz w:val="28"/>
          <w:szCs w:val="28"/>
          <w:lang w:eastAsia="lv-LV"/>
        </w:rPr>
        <w:t xml:space="preserve">papildu valsts budžeta līdzekļu piešķiršanu </w:t>
      </w:r>
      <w:r w:rsidRPr="00BF7EF7">
        <w:rPr>
          <w:rFonts w:ascii="Times New Roman" w:eastAsia="Times New Roman" w:hAnsi="Times New Roman" w:cs="Times New Roman"/>
          <w:sz w:val="28"/>
          <w:szCs w:val="28"/>
          <w:lang w:eastAsia="lv-LV"/>
        </w:rPr>
        <w:t>Plān</w:t>
      </w:r>
      <w:r w:rsidR="008323E9" w:rsidRPr="00BF7EF7">
        <w:rPr>
          <w:rFonts w:ascii="Times New Roman" w:eastAsia="Times New Roman" w:hAnsi="Times New Roman" w:cs="Times New Roman"/>
          <w:sz w:val="28"/>
          <w:szCs w:val="28"/>
          <w:lang w:eastAsia="lv-LV"/>
        </w:rPr>
        <w:t>a projektā</w:t>
      </w:r>
      <w:r w:rsidRPr="00BF7EF7">
        <w:rPr>
          <w:rFonts w:ascii="Times New Roman" w:eastAsia="Times New Roman" w:hAnsi="Times New Roman" w:cs="Times New Roman"/>
          <w:sz w:val="28"/>
          <w:szCs w:val="28"/>
          <w:lang w:eastAsia="lv-LV"/>
        </w:rPr>
        <w:t xml:space="preserve"> ietverto pasākumu īstenošan</w:t>
      </w:r>
      <w:r w:rsidR="00AD3E46">
        <w:rPr>
          <w:rFonts w:ascii="Times New Roman" w:eastAsia="Times New Roman" w:hAnsi="Times New Roman" w:cs="Times New Roman"/>
          <w:sz w:val="28"/>
          <w:szCs w:val="28"/>
          <w:lang w:eastAsia="lv-LV"/>
        </w:rPr>
        <w:t>ai</w:t>
      </w:r>
      <w:r w:rsidRPr="00BF7EF7">
        <w:rPr>
          <w:rFonts w:ascii="Times New Roman" w:eastAsia="Times New Roman" w:hAnsi="Times New Roman" w:cs="Times New Roman"/>
          <w:sz w:val="28"/>
          <w:szCs w:val="28"/>
          <w:lang w:eastAsia="lv-LV"/>
        </w:rPr>
        <w:t xml:space="preserve"> skatāms </w:t>
      </w:r>
      <w:r w:rsidR="00AD3E46">
        <w:rPr>
          <w:rFonts w:ascii="Times New Roman" w:eastAsia="Times New Roman" w:hAnsi="Times New Roman" w:cs="Times New Roman"/>
          <w:sz w:val="28"/>
          <w:szCs w:val="28"/>
          <w:lang w:eastAsia="lv-LV"/>
        </w:rPr>
        <w:t xml:space="preserve">likumprojekta “Par valsts budžetu 2020.gadam” un likumprojekta “Par </w:t>
      </w:r>
      <w:r w:rsidRPr="00BF7EF7">
        <w:rPr>
          <w:rFonts w:ascii="Times New Roman" w:eastAsia="Times New Roman" w:hAnsi="Times New Roman" w:cs="Times New Roman"/>
          <w:sz w:val="28"/>
          <w:szCs w:val="28"/>
          <w:lang w:eastAsia="lv-LV"/>
        </w:rPr>
        <w:t xml:space="preserve">vidēja termiņa budžeta </w:t>
      </w:r>
      <w:r w:rsidR="00AD3E46">
        <w:rPr>
          <w:rFonts w:ascii="Times New Roman" w:eastAsia="Times New Roman" w:hAnsi="Times New Roman" w:cs="Times New Roman"/>
          <w:sz w:val="28"/>
          <w:szCs w:val="28"/>
          <w:lang w:eastAsia="lv-LV"/>
        </w:rPr>
        <w:t xml:space="preserve">ietvaru 2020., 2021. un 2022.gadam” </w:t>
      </w:r>
      <w:r w:rsidRPr="00BF7EF7">
        <w:rPr>
          <w:rFonts w:ascii="Times New Roman" w:eastAsia="Times New Roman" w:hAnsi="Times New Roman" w:cs="Times New Roman"/>
          <w:sz w:val="28"/>
          <w:szCs w:val="28"/>
          <w:lang w:eastAsia="lv-LV"/>
        </w:rPr>
        <w:t xml:space="preserve">sagatavošanas </w:t>
      </w:r>
      <w:r w:rsidR="00AD3E46">
        <w:rPr>
          <w:rFonts w:ascii="Times New Roman" w:eastAsia="Times New Roman" w:hAnsi="Times New Roman" w:cs="Times New Roman"/>
          <w:sz w:val="28"/>
          <w:szCs w:val="28"/>
          <w:lang w:eastAsia="lv-LV"/>
        </w:rPr>
        <w:t>un izskatīšanas procesā kopā ar visu ministriju un centrālo valsts iestāžu iesniegtajiem prioritāro pasākumu pieteikumiem atbilstoši valsts budžeta finansiālajām iespējām</w:t>
      </w:r>
      <w:r w:rsidR="003266FE" w:rsidRPr="00BF7EF7">
        <w:rPr>
          <w:rFonts w:ascii="Times New Roman" w:eastAsia="Times New Roman" w:hAnsi="Times New Roman" w:cs="Times New Roman"/>
          <w:sz w:val="28"/>
          <w:szCs w:val="28"/>
          <w:lang w:eastAsia="lv-LV"/>
        </w:rPr>
        <w:t>.</w:t>
      </w:r>
      <w:r w:rsidRPr="00BF7EF7">
        <w:rPr>
          <w:rFonts w:ascii="Times New Roman" w:eastAsia="Times New Roman" w:hAnsi="Times New Roman" w:cs="Times New Roman"/>
          <w:sz w:val="28"/>
          <w:szCs w:val="28"/>
          <w:lang w:eastAsia="lv-LV"/>
        </w:rPr>
        <w:t xml:space="preserve"> </w:t>
      </w:r>
    </w:p>
    <w:p w14:paraId="58F33F46" w14:textId="0E51CAFA" w:rsidR="00BC1BB0" w:rsidRDefault="00FE3943" w:rsidP="008323E9">
      <w:pPr>
        <w:autoSpaceDE w:val="0"/>
        <w:autoSpaceDN w:val="0"/>
        <w:adjustRightInd w:val="0"/>
        <w:spacing w:after="0" w:line="240" w:lineRule="auto"/>
        <w:ind w:firstLine="720"/>
        <w:jc w:val="both"/>
        <w:rPr>
          <w:rFonts w:ascii="Times New Roman" w:hAnsi="Times New Roman" w:cs="Times New Roman"/>
          <w:i/>
          <w:sz w:val="28"/>
          <w:szCs w:val="28"/>
        </w:rPr>
      </w:pPr>
      <w:r w:rsidRPr="00BF7EF7">
        <w:rPr>
          <w:rFonts w:ascii="Times New Roman" w:eastAsia="Times New Roman" w:hAnsi="Times New Roman" w:cs="Times New Roman"/>
          <w:sz w:val="28"/>
          <w:szCs w:val="28"/>
          <w:lang w:eastAsia="lv-LV"/>
        </w:rPr>
        <w:t xml:space="preserve">Tāpat jāatzīmē, ka </w:t>
      </w:r>
      <w:r w:rsidRPr="00BF7EF7">
        <w:rPr>
          <w:rFonts w:ascii="Times New Roman" w:hAnsi="Times New Roman" w:cs="Times New Roman"/>
          <w:sz w:val="28"/>
          <w:szCs w:val="28"/>
        </w:rPr>
        <w:t xml:space="preserve">būtiska loma atbalsta sniegšanā iedzīvotājiem ar zemiem </w:t>
      </w:r>
      <w:r w:rsidR="00D34838" w:rsidRPr="00BF7EF7">
        <w:rPr>
          <w:rFonts w:ascii="Times New Roman" w:hAnsi="Times New Roman" w:cs="Times New Roman"/>
          <w:sz w:val="28"/>
          <w:szCs w:val="28"/>
        </w:rPr>
        <w:t xml:space="preserve">ienākumiem </w:t>
      </w:r>
      <w:r w:rsidRPr="00BF7EF7">
        <w:rPr>
          <w:rFonts w:ascii="Times New Roman" w:hAnsi="Times New Roman" w:cs="Times New Roman"/>
          <w:sz w:val="28"/>
          <w:szCs w:val="28"/>
        </w:rPr>
        <w:t xml:space="preserve">vai </w:t>
      </w:r>
      <w:r w:rsidR="00D34838" w:rsidRPr="00BF7EF7">
        <w:rPr>
          <w:rFonts w:ascii="Times New Roman" w:hAnsi="Times New Roman" w:cs="Times New Roman"/>
          <w:sz w:val="28"/>
          <w:szCs w:val="28"/>
        </w:rPr>
        <w:t xml:space="preserve">bez </w:t>
      </w:r>
      <w:r w:rsidRPr="00BF7EF7">
        <w:rPr>
          <w:rFonts w:ascii="Times New Roman" w:hAnsi="Times New Roman" w:cs="Times New Roman"/>
          <w:sz w:val="28"/>
          <w:szCs w:val="28"/>
        </w:rPr>
        <w:t xml:space="preserve">ienākumiem ir pašvaldībām, kuras nodrošina GMI pabalsta izmaksu un sniedz atbalstu (dažādu pabalstu, t.sk. dzīvokļa pabalsta un </w:t>
      </w:r>
      <w:r w:rsidR="00D34838" w:rsidRPr="00BF7EF7">
        <w:rPr>
          <w:rFonts w:ascii="Times New Roman" w:hAnsi="Times New Roman" w:cs="Times New Roman"/>
          <w:sz w:val="28"/>
          <w:szCs w:val="28"/>
        </w:rPr>
        <w:t xml:space="preserve">sociālo </w:t>
      </w:r>
      <w:r w:rsidRPr="00BF7EF7">
        <w:rPr>
          <w:rFonts w:ascii="Times New Roman" w:hAnsi="Times New Roman" w:cs="Times New Roman"/>
          <w:sz w:val="28"/>
          <w:szCs w:val="28"/>
        </w:rPr>
        <w:t xml:space="preserve">pakalpojumu veidā) trūcīgajiem iedzīvotājiem. GMI un trūcīgas personas statusa piešķiršanai noteikto ienākuma līmeņu </w:t>
      </w:r>
      <w:r w:rsidRPr="00BF7EF7">
        <w:rPr>
          <w:rFonts w:ascii="Times New Roman" w:hAnsi="Times New Roman" w:cs="Times New Roman"/>
          <w:sz w:val="28"/>
          <w:szCs w:val="28"/>
        </w:rPr>
        <w:lastRenderedPageBreak/>
        <w:t>paaugstināšana</w:t>
      </w:r>
      <w:r w:rsidR="00624231">
        <w:rPr>
          <w:rFonts w:ascii="Times New Roman" w:hAnsi="Times New Roman" w:cs="Times New Roman"/>
          <w:sz w:val="28"/>
          <w:szCs w:val="28"/>
        </w:rPr>
        <w:t>i</w:t>
      </w:r>
      <w:r w:rsidRPr="00BF7EF7">
        <w:rPr>
          <w:rFonts w:ascii="Times New Roman" w:hAnsi="Times New Roman" w:cs="Times New Roman"/>
          <w:sz w:val="28"/>
          <w:szCs w:val="28"/>
        </w:rPr>
        <w:t xml:space="preserve"> pašvaldībām </w:t>
      </w:r>
      <w:r w:rsidR="003266FE" w:rsidRPr="00BF7EF7">
        <w:rPr>
          <w:rFonts w:ascii="Times New Roman" w:hAnsi="Times New Roman" w:cs="Times New Roman"/>
          <w:sz w:val="28"/>
          <w:szCs w:val="28"/>
        </w:rPr>
        <w:t xml:space="preserve">laika periodā no 2021. līdz 2022.gadam </w:t>
      </w:r>
      <w:r w:rsidR="00624231" w:rsidRPr="00624231">
        <w:rPr>
          <w:rFonts w:ascii="Times New Roman" w:hAnsi="Times New Roman" w:cs="Times New Roman"/>
          <w:sz w:val="28"/>
          <w:szCs w:val="28"/>
        </w:rPr>
        <w:t>ik gadu</w:t>
      </w:r>
      <w:r w:rsidR="00624231">
        <w:rPr>
          <w:rFonts w:ascii="Times New Roman" w:hAnsi="Times New Roman" w:cs="Times New Roman"/>
          <w:sz w:val="28"/>
          <w:szCs w:val="28"/>
        </w:rPr>
        <w:t xml:space="preserve"> </w:t>
      </w:r>
      <w:r w:rsidR="008323E9" w:rsidRPr="00BF7EF7">
        <w:rPr>
          <w:rFonts w:ascii="Times New Roman" w:hAnsi="Times New Roman" w:cs="Times New Roman"/>
          <w:sz w:val="28"/>
          <w:szCs w:val="28"/>
        </w:rPr>
        <w:t>papildu</w:t>
      </w:r>
      <w:r w:rsidR="003266FE" w:rsidRPr="00BF7EF7">
        <w:rPr>
          <w:rFonts w:ascii="Times New Roman" w:hAnsi="Times New Roman" w:cs="Times New Roman"/>
          <w:sz w:val="28"/>
          <w:szCs w:val="28"/>
        </w:rPr>
        <w:t xml:space="preserve"> nepieciešami indikatīvi</w:t>
      </w:r>
      <w:r w:rsidR="008323E9" w:rsidRPr="00BF7EF7">
        <w:rPr>
          <w:rFonts w:ascii="Times New Roman" w:hAnsi="Times New Roman" w:cs="Times New Roman"/>
          <w:sz w:val="28"/>
          <w:szCs w:val="28"/>
        </w:rPr>
        <w:t xml:space="preserve"> </w:t>
      </w:r>
      <w:r w:rsidRPr="00BF7EF7">
        <w:rPr>
          <w:rFonts w:ascii="Times New Roman" w:hAnsi="Times New Roman" w:cs="Times New Roman"/>
          <w:sz w:val="28"/>
          <w:szCs w:val="28"/>
        </w:rPr>
        <w:t xml:space="preserve">8,7 milj. </w:t>
      </w:r>
      <w:proofErr w:type="spellStart"/>
      <w:r w:rsidR="00BC1BB0" w:rsidRPr="00BF7EF7">
        <w:rPr>
          <w:rFonts w:ascii="Times New Roman" w:hAnsi="Times New Roman" w:cs="Times New Roman"/>
          <w:sz w:val="28"/>
          <w:szCs w:val="28"/>
        </w:rPr>
        <w:t>e</w:t>
      </w:r>
      <w:r w:rsidRPr="00BF7EF7">
        <w:rPr>
          <w:rFonts w:ascii="Times New Roman" w:hAnsi="Times New Roman" w:cs="Times New Roman"/>
          <w:i/>
          <w:sz w:val="28"/>
          <w:szCs w:val="28"/>
        </w:rPr>
        <w:t>uro</w:t>
      </w:r>
      <w:proofErr w:type="spellEnd"/>
      <w:r w:rsidR="00624231">
        <w:rPr>
          <w:rFonts w:ascii="Times New Roman" w:hAnsi="Times New Roman" w:cs="Times New Roman"/>
          <w:i/>
          <w:sz w:val="28"/>
          <w:szCs w:val="28"/>
        </w:rPr>
        <w:t>.</w:t>
      </w:r>
    </w:p>
    <w:p w14:paraId="59D8A298" w14:textId="1136EE9E" w:rsidR="00AD3E46" w:rsidRPr="00AD3E46" w:rsidRDefault="00AD3E46" w:rsidP="00AD3E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Tādējādi minēto pasākumu ieviešana indikatīvi palielinātu vispārējās valdības budžeta izdevumus 2020.gadā par 28,0 milj. </w:t>
      </w:r>
      <w:proofErr w:type="spellStart"/>
      <w:r w:rsidRPr="00E346D4">
        <w:rPr>
          <w:rFonts w:ascii="Times New Roman" w:hAnsi="Times New Roman" w:cs="Times New Roman"/>
          <w:i/>
          <w:sz w:val="28"/>
          <w:szCs w:val="28"/>
        </w:rPr>
        <w:t>euro</w:t>
      </w:r>
      <w:proofErr w:type="spellEnd"/>
      <w:r>
        <w:rPr>
          <w:rFonts w:ascii="Times New Roman" w:hAnsi="Times New Roman" w:cs="Times New Roman"/>
          <w:sz w:val="28"/>
          <w:szCs w:val="28"/>
        </w:rPr>
        <w:t xml:space="preserve">, 2021.gadā par 37,0 milj. </w:t>
      </w:r>
      <w:proofErr w:type="spellStart"/>
      <w:r w:rsidRPr="00E346D4">
        <w:rPr>
          <w:rFonts w:ascii="Times New Roman" w:hAnsi="Times New Roman" w:cs="Times New Roman"/>
          <w:i/>
          <w:sz w:val="28"/>
          <w:szCs w:val="28"/>
        </w:rPr>
        <w:t>euro</w:t>
      </w:r>
      <w:proofErr w:type="spellEnd"/>
      <w:r>
        <w:rPr>
          <w:rFonts w:ascii="Times New Roman" w:hAnsi="Times New Roman" w:cs="Times New Roman"/>
          <w:sz w:val="28"/>
          <w:szCs w:val="28"/>
        </w:rPr>
        <w:t xml:space="preserve"> un 2022.gadā par 36,0 milj.</w:t>
      </w:r>
      <w:r w:rsidRPr="00E346D4">
        <w:rPr>
          <w:rFonts w:ascii="Times New Roman" w:hAnsi="Times New Roman" w:cs="Times New Roman"/>
          <w:i/>
          <w:sz w:val="28"/>
          <w:szCs w:val="28"/>
        </w:rPr>
        <w:t xml:space="preserve"> </w:t>
      </w:r>
      <w:proofErr w:type="spellStart"/>
      <w:r w:rsidRPr="00E346D4">
        <w:rPr>
          <w:rFonts w:ascii="Times New Roman" w:hAnsi="Times New Roman" w:cs="Times New Roman"/>
          <w:i/>
          <w:sz w:val="28"/>
          <w:szCs w:val="28"/>
        </w:rPr>
        <w:t>euro</w:t>
      </w:r>
      <w:proofErr w:type="spellEnd"/>
      <w:r>
        <w:rPr>
          <w:rFonts w:ascii="Times New Roman" w:hAnsi="Times New Roman" w:cs="Times New Roman"/>
          <w:sz w:val="28"/>
          <w:szCs w:val="28"/>
        </w:rPr>
        <w:t>.</w:t>
      </w:r>
    </w:p>
    <w:p w14:paraId="29001409" w14:textId="35408E9F" w:rsidR="00E60BE8" w:rsidRPr="00BF7EF7" w:rsidRDefault="00BC1BB0" w:rsidP="00E60BE8">
      <w:pPr>
        <w:shd w:val="clear" w:color="auto" w:fill="FFFFFF"/>
        <w:spacing w:after="0" w:line="240" w:lineRule="auto"/>
        <w:jc w:val="both"/>
        <w:rPr>
          <w:rFonts w:ascii="Times New Roman" w:eastAsia="Times New Roman" w:hAnsi="Times New Roman" w:cs="Times New Roman"/>
          <w:bCs/>
          <w:sz w:val="28"/>
          <w:szCs w:val="28"/>
          <w:lang w:eastAsia="lv-LV"/>
        </w:rPr>
      </w:pPr>
      <w:r w:rsidRPr="00BF7EF7">
        <w:rPr>
          <w:rFonts w:ascii="Times New Roman" w:hAnsi="Times New Roman" w:cs="Times New Roman"/>
          <w:sz w:val="28"/>
          <w:szCs w:val="28"/>
        </w:rPr>
        <w:t xml:space="preserve"> </w:t>
      </w:r>
      <w:r w:rsidRPr="00BF7EF7">
        <w:rPr>
          <w:rFonts w:ascii="Times New Roman" w:hAnsi="Times New Roman" w:cs="Times New Roman"/>
          <w:sz w:val="28"/>
          <w:szCs w:val="28"/>
        </w:rPr>
        <w:tab/>
      </w:r>
      <w:r w:rsidR="0037587B" w:rsidRPr="00BF7EF7">
        <w:rPr>
          <w:rFonts w:ascii="Times New Roman" w:hAnsi="Times New Roman" w:cs="Times New Roman"/>
          <w:sz w:val="28"/>
          <w:szCs w:val="28"/>
        </w:rPr>
        <w:t>2019.gada 15.maij</w:t>
      </w:r>
      <w:r w:rsidR="003266FE" w:rsidRPr="00BF7EF7">
        <w:rPr>
          <w:rFonts w:ascii="Times New Roman" w:hAnsi="Times New Roman" w:cs="Times New Roman"/>
          <w:sz w:val="28"/>
          <w:szCs w:val="28"/>
        </w:rPr>
        <w:t>ā</w:t>
      </w:r>
      <w:r w:rsidR="0037587B" w:rsidRPr="00BF7EF7">
        <w:rPr>
          <w:rFonts w:ascii="Times New Roman" w:hAnsi="Times New Roman" w:cs="Times New Roman"/>
          <w:sz w:val="28"/>
          <w:szCs w:val="28"/>
        </w:rPr>
        <w:t xml:space="preserve"> L</w:t>
      </w:r>
      <w:r w:rsidR="008323E9" w:rsidRPr="00BF7EF7">
        <w:rPr>
          <w:rFonts w:ascii="Times New Roman" w:hAnsi="Times New Roman" w:cs="Times New Roman"/>
          <w:sz w:val="28"/>
          <w:szCs w:val="28"/>
        </w:rPr>
        <w:t>abklājības ministrija</w:t>
      </w:r>
      <w:r w:rsidR="007360B1" w:rsidRPr="00BF7EF7">
        <w:rPr>
          <w:rFonts w:ascii="Times New Roman" w:hAnsi="Times New Roman" w:cs="Times New Roman"/>
          <w:sz w:val="28"/>
          <w:szCs w:val="28"/>
        </w:rPr>
        <w:t>s</w:t>
      </w:r>
      <w:r w:rsidR="008323E9" w:rsidRPr="00BF7EF7">
        <w:rPr>
          <w:rFonts w:ascii="Times New Roman" w:hAnsi="Times New Roman" w:cs="Times New Roman"/>
          <w:sz w:val="28"/>
          <w:szCs w:val="28"/>
        </w:rPr>
        <w:t xml:space="preserve"> </w:t>
      </w:r>
      <w:r w:rsidR="0037587B" w:rsidRPr="00BF7EF7">
        <w:rPr>
          <w:rFonts w:ascii="Times New Roman" w:hAnsi="Times New Roman" w:cs="Times New Roman"/>
          <w:sz w:val="28"/>
          <w:szCs w:val="28"/>
        </w:rPr>
        <w:t xml:space="preserve">un Latvijas </w:t>
      </w:r>
      <w:r w:rsidR="007360B1" w:rsidRPr="00BF7EF7">
        <w:rPr>
          <w:rFonts w:ascii="Times New Roman" w:hAnsi="Times New Roman" w:cs="Times New Roman"/>
          <w:sz w:val="28"/>
          <w:szCs w:val="28"/>
        </w:rPr>
        <w:t>P</w:t>
      </w:r>
      <w:r w:rsidR="0037587B" w:rsidRPr="00BF7EF7">
        <w:rPr>
          <w:rFonts w:ascii="Times New Roman" w:hAnsi="Times New Roman" w:cs="Times New Roman"/>
          <w:sz w:val="28"/>
          <w:szCs w:val="28"/>
        </w:rPr>
        <w:t xml:space="preserve">ašvaldību savienības </w:t>
      </w:r>
      <w:r w:rsidR="003266FE" w:rsidRPr="00BF7EF7">
        <w:rPr>
          <w:rFonts w:ascii="Times New Roman" w:hAnsi="Times New Roman" w:cs="Times New Roman"/>
          <w:sz w:val="28"/>
          <w:szCs w:val="28"/>
        </w:rPr>
        <w:t xml:space="preserve">ikgadējo </w:t>
      </w:r>
      <w:r w:rsidR="0037587B" w:rsidRPr="00BF7EF7">
        <w:rPr>
          <w:rFonts w:ascii="Times New Roman" w:hAnsi="Times New Roman" w:cs="Times New Roman"/>
          <w:sz w:val="28"/>
          <w:szCs w:val="28"/>
        </w:rPr>
        <w:t>sarunu laikā, klātesot tiesībsargam, tika panākta kon</w:t>
      </w:r>
      <w:r w:rsidR="007360B1" w:rsidRPr="00BF7EF7">
        <w:rPr>
          <w:rFonts w:ascii="Times New Roman" w:hAnsi="Times New Roman" w:cs="Times New Roman"/>
          <w:sz w:val="28"/>
          <w:szCs w:val="28"/>
        </w:rPr>
        <w:t>c</w:t>
      </w:r>
      <w:r w:rsidR="0037587B" w:rsidRPr="00BF7EF7">
        <w:rPr>
          <w:rFonts w:ascii="Times New Roman" w:hAnsi="Times New Roman" w:cs="Times New Roman"/>
          <w:sz w:val="28"/>
          <w:szCs w:val="28"/>
        </w:rPr>
        <w:t xml:space="preserve">eptuāla vienošanās </w:t>
      </w:r>
      <w:r w:rsidRPr="00BF7EF7">
        <w:rPr>
          <w:rFonts w:ascii="Times New Roman" w:hAnsi="Times New Roman" w:cs="Times New Roman"/>
          <w:sz w:val="28"/>
          <w:szCs w:val="28"/>
        </w:rPr>
        <w:t>pa</w:t>
      </w:r>
      <w:r w:rsidR="0037587B" w:rsidRPr="00BF7EF7">
        <w:rPr>
          <w:rFonts w:ascii="Times New Roman" w:hAnsi="Times New Roman" w:cs="Times New Roman"/>
          <w:sz w:val="28"/>
          <w:szCs w:val="28"/>
        </w:rPr>
        <w:t xml:space="preserve">r </w:t>
      </w:r>
      <w:r w:rsidR="008323E9" w:rsidRPr="00BF7EF7">
        <w:rPr>
          <w:rFonts w:ascii="Times New Roman" w:hAnsi="Times New Roman" w:cs="Times New Roman"/>
          <w:sz w:val="28"/>
          <w:szCs w:val="28"/>
        </w:rPr>
        <w:t>P</w:t>
      </w:r>
      <w:r w:rsidR="0037587B" w:rsidRPr="00BF7EF7">
        <w:rPr>
          <w:rFonts w:ascii="Times New Roman" w:hAnsi="Times New Roman" w:cs="Times New Roman"/>
          <w:sz w:val="28"/>
          <w:szCs w:val="28"/>
        </w:rPr>
        <w:t xml:space="preserve">lāna </w:t>
      </w:r>
      <w:r w:rsidRPr="00BF7EF7">
        <w:rPr>
          <w:rFonts w:ascii="Times New Roman" w:hAnsi="Times New Roman" w:cs="Times New Roman"/>
          <w:sz w:val="28"/>
          <w:szCs w:val="28"/>
        </w:rPr>
        <w:t>projektā</w:t>
      </w:r>
      <w:r w:rsidR="0037587B" w:rsidRPr="00BF7EF7">
        <w:rPr>
          <w:rFonts w:ascii="Times New Roman" w:hAnsi="Times New Roman" w:cs="Times New Roman"/>
          <w:sz w:val="28"/>
          <w:szCs w:val="28"/>
        </w:rPr>
        <w:t xml:space="preserve"> iekļautajiem pasākumiem</w:t>
      </w:r>
      <w:r w:rsidR="008323E9" w:rsidRPr="00BF7EF7">
        <w:rPr>
          <w:rFonts w:ascii="Times New Roman" w:hAnsi="Times New Roman" w:cs="Times New Roman"/>
          <w:sz w:val="28"/>
          <w:szCs w:val="28"/>
        </w:rPr>
        <w:t xml:space="preserve"> un to secīgu ieviešanu</w:t>
      </w:r>
      <w:r w:rsidR="003266FE" w:rsidRPr="00BF7EF7">
        <w:rPr>
          <w:rFonts w:ascii="Times New Roman" w:hAnsi="Times New Roman" w:cs="Times New Roman"/>
          <w:sz w:val="28"/>
          <w:szCs w:val="28"/>
        </w:rPr>
        <w:t>.</w:t>
      </w:r>
      <w:r w:rsidR="008323E9" w:rsidRPr="00BF7EF7">
        <w:rPr>
          <w:rFonts w:ascii="Times New Roman" w:hAnsi="Times New Roman" w:cs="Times New Roman"/>
          <w:sz w:val="28"/>
          <w:szCs w:val="28"/>
        </w:rPr>
        <w:t xml:space="preserve"> </w:t>
      </w:r>
      <w:r w:rsidR="003266FE" w:rsidRPr="00BF7EF7">
        <w:rPr>
          <w:rFonts w:ascii="Times New Roman" w:hAnsi="Times New Roman" w:cs="Times New Roman"/>
          <w:sz w:val="28"/>
          <w:szCs w:val="28"/>
        </w:rPr>
        <w:t xml:space="preserve">Plāna projektā </w:t>
      </w:r>
      <w:r w:rsidR="008323E9" w:rsidRPr="00BF7EF7">
        <w:rPr>
          <w:rFonts w:ascii="Times New Roman" w:hAnsi="Times New Roman" w:cs="Times New Roman"/>
          <w:sz w:val="28"/>
          <w:szCs w:val="28"/>
        </w:rPr>
        <w:t xml:space="preserve">2020.gadā </w:t>
      </w:r>
      <w:r w:rsidR="003266FE" w:rsidRPr="00BF7EF7">
        <w:rPr>
          <w:rFonts w:ascii="Times New Roman" w:hAnsi="Times New Roman" w:cs="Times New Roman"/>
          <w:sz w:val="28"/>
          <w:szCs w:val="28"/>
        </w:rPr>
        <w:t>paredzēts</w:t>
      </w:r>
      <w:r w:rsidR="003266FE" w:rsidRPr="00BF7EF7" w:rsidDel="003266FE">
        <w:rPr>
          <w:rFonts w:ascii="Times New Roman" w:hAnsi="Times New Roman" w:cs="Times New Roman"/>
          <w:sz w:val="28"/>
          <w:szCs w:val="28"/>
        </w:rPr>
        <w:t xml:space="preserve"> </w:t>
      </w:r>
      <w:r w:rsidR="008323E9" w:rsidRPr="00BF7EF7">
        <w:rPr>
          <w:rFonts w:ascii="Times New Roman" w:hAnsi="Times New Roman" w:cs="Times New Roman"/>
          <w:sz w:val="28"/>
          <w:szCs w:val="28"/>
        </w:rPr>
        <w:t xml:space="preserve">valsts budžeta </w:t>
      </w:r>
      <w:r w:rsidR="003266FE" w:rsidRPr="00BF7EF7">
        <w:rPr>
          <w:rFonts w:ascii="Times New Roman" w:hAnsi="Times New Roman" w:cs="Times New Roman"/>
          <w:sz w:val="28"/>
          <w:szCs w:val="28"/>
        </w:rPr>
        <w:t xml:space="preserve">līdzekļu </w:t>
      </w:r>
      <w:r w:rsidR="008323E9" w:rsidRPr="00BF7EF7">
        <w:rPr>
          <w:rFonts w:ascii="Times New Roman" w:hAnsi="Times New Roman" w:cs="Times New Roman"/>
          <w:sz w:val="28"/>
          <w:szCs w:val="28"/>
        </w:rPr>
        <w:t>ieguldījum</w:t>
      </w:r>
      <w:r w:rsidR="003266FE" w:rsidRPr="00BF7EF7">
        <w:rPr>
          <w:rFonts w:ascii="Times New Roman" w:hAnsi="Times New Roman" w:cs="Times New Roman"/>
          <w:sz w:val="28"/>
          <w:szCs w:val="28"/>
        </w:rPr>
        <w:t>s</w:t>
      </w:r>
      <w:r w:rsidR="008323E9" w:rsidRPr="00BF7EF7">
        <w:rPr>
          <w:rFonts w:ascii="Times New Roman" w:hAnsi="Times New Roman" w:cs="Times New Roman"/>
          <w:sz w:val="28"/>
          <w:szCs w:val="28"/>
        </w:rPr>
        <w:t xml:space="preserve"> materiālās situācijas uzlabošanā iedzīvotājiem ar viszemākajiem ienākumiem, savukārt 2021.gadā paredz</w:t>
      </w:r>
      <w:r w:rsidR="003266FE" w:rsidRPr="00BF7EF7">
        <w:rPr>
          <w:rFonts w:ascii="Times New Roman" w:hAnsi="Times New Roman" w:cs="Times New Roman"/>
          <w:sz w:val="28"/>
          <w:szCs w:val="28"/>
        </w:rPr>
        <w:t>ēts</w:t>
      </w:r>
      <w:r w:rsidR="00DC0635">
        <w:rPr>
          <w:rFonts w:ascii="Times New Roman" w:hAnsi="Times New Roman" w:cs="Times New Roman"/>
          <w:sz w:val="28"/>
          <w:szCs w:val="28"/>
        </w:rPr>
        <w:t xml:space="preserve"> arī</w:t>
      </w:r>
      <w:r w:rsidR="008323E9" w:rsidRPr="00BF7EF7">
        <w:rPr>
          <w:rFonts w:ascii="Times New Roman" w:hAnsi="Times New Roman" w:cs="Times New Roman"/>
          <w:sz w:val="28"/>
          <w:szCs w:val="28"/>
        </w:rPr>
        <w:t xml:space="preserve"> </w:t>
      </w:r>
      <w:r w:rsidR="003266FE" w:rsidRPr="00BF7EF7">
        <w:rPr>
          <w:rFonts w:ascii="Times New Roman" w:hAnsi="Times New Roman" w:cs="Times New Roman"/>
          <w:sz w:val="28"/>
          <w:szCs w:val="28"/>
        </w:rPr>
        <w:t>pašvaldību</w:t>
      </w:r>
      <w:r w:rsidR="008323E9" w:rsidRPr="00BF7EF7">
        <w:rPr>
          <w:rFonts w:ascii="Times New Roman" w:hAnsi="Times New Roman" w:cs="Times New Roman"/>
          <w:sz w:val="28"/>
          <w:szCs w:val="28"/>
        </w:rPr>
        <w:t xml:space="preserve"> budžet</w:t>
      </w:r>
      <w:r w:rsidR="003266FE" w:rsidRPr="00BF7EF7">
        <w:rPr>
          <w:rFonts w:ascii="Times New Roman" w:hAnsi="Times New Roman" w:cs="Times New Roman"/>
          <w:sz w:val="28"/>
          <w:szCs w:val="28"/>
        </w:rPr>
        <w:t>a līdzekļu</w:t>
      </w:r>
      <w:r w:rsidR="008323E9" w:rsidRPr="00BF7EF7">
        <w:rPr>
          <w:rFonts w:ascii="Times New Roman" w:hAnsi="Times New Roman" w:cs="Times New Roman"/>
          <w:sz w:val="28"/>
          <w:szCs w:val="28"/>
        </w:rPr>
        <w:t xml:space="preserve"> ieguldījum</w:t>
      </w:r>
      <w:r w:rsidR="003266FE" w:rsidRPr="00BF7EF7">
        <w:rPr>
          <w:rFonts w:ascii="Times New Roman" w:hAnsi="Times New Roman" w:cs="Times New Roman"/>
          <w:sz w:val="28"/>
          <w:szCs w:val="28"/>
        </w:rPr>
        <w:t>s</w:t>
      </w:r>
      <w:r w:rsidR="008323E9" w:rsidRPr="00BF7EF7">
        <w:rPr>
          <w:rFonts w:ascii="Times New Roman" w:hAnsi="Times New Roman" w:cs="Times New Roman"/>
          <w:sz w:val="28"/>
          <w:szCs w:val="28"/>
        </w:rPr>
        <w:t xml:space="preserve">. </w:t>
      </w:r>
      <w:r w:rsidR="00132C0B">
        <w:rPr>
          <w:rFonts w:ascii="Times New Roman" w:hAnsi="Times New Roman" w:cs="Times New Roman"/>
          <w:sz w:val="28"/>
          <w:szCs w:val="28"/>
        </w:rPr>
        <w:t>Ņemot vērā, ka Sociālo pakalpojumu un</w:t>
      </w:r>
      <w:r w:rsidR="00E60BE8">
        <w:rPr>
          <w:rFonts w:ascii="Times New Roman" w:hAnsi="Times New Roman" w:cs="Times New Roman"/>
          <w:sz w:val="28"/>
          <w:szCs w:val="28"/>
        </w:rPr>
        <w:t xml:space="preserve"> </w:t>
      </w:r>
      <w:r w:rsidR="00E60BE8" w:rsidRPr="00E60BE8">
        <w:rPr>
          <w:rFonts w:ascii="Times New Roman" w:hAnsi="Times New Roman" w:cs="Times New Roman"/>
          <w:sz w:val="28"/>
          <w:szCs w:val="28"/>
        </w:rPr>
        <w:t>sociālās palīdzības likum</w:t>
      </w:r>
      <w:r w:rsidR="00E60BE8">
        <w:rPr>
          <w:rFonts w:ascii="Times New Roman" w:hAnsi="Times New Roman" w:cs="Times New Roman"/>
          <w:sz w:val="28"/>
          <w:szCs w:val="28"/>
        </w:rPr>
        <w:t>a</w:t>
      </w:r>
      <w:r w:rsidR="00E60BE8" w:rsidRPr="00E60BE8">
        <w:rPr>
          <w:rFonts w:ascii="Times New Roman" w:hAnsi="Times New Roman" w:cs="Times New Roman"/>
          <w:sz w:val="28"/>
          <w:szCs w:val="28"/>
        </w:rPr>
        <w:t xml:space="preserve"> 36.</w:t>
      </w:r>
      <w:r w:rsidR="00E60BE8">
        <w:rPr>
          <w:rFonts w:ascii="Times New Roman" w:hAnsi="Times New Roman" w:cs="Times New Roman"/>
          <w:sz w:val="28"/>
          <w:szCs w:val="28"/>
        </w:rPr>
        <w:t xml:space="preserve">panta </w:t>
      </w:r>
      <w:r w:rsidR="00E60BE8" w:rsidRPr="00E60BE8">
        <w:rPr>
          <w:rFonts w:ascii="Times New Roman" w:hAnsi="Times New Roman" w:cs="Times New Roman"/>
          <w:sz w:val="28"/>
          <w:szCs w:val="28"/>
        </w:rPr>
        <w:t>pirmajā daļā noteikts, ka GMI</w:t>
      </w:r>
      <w:r w:rsidR="00935BA2" w:rsidRPr="00E60BE8">
        <w:rPr>
          <w:rFonts w:ascii="Times New Roman" w:hAnsi="Times New Roman" w:cs="Times New Roman"/>
          <w:sz w:val="28"/>
          <w:szCs w:val="28"/>
        </w:rPr>
        <w:t xml:space="preserve"> līmeni nosaka un katru gadu saistībā ar gadskārtējā valsts budžeta likuma projektu pārskata Ministru kabinets</w:t>
      </w:r>
      <w:r w:rsidR="00E60BE8" w:rsidRPr="00E60BE8">
        <w:rPr>
          <w:rFonts w:ascii="Times New Roman" w:hAnsi="Times New Roman" w:cs="Times New Roman"/>
          <w:sz w:val="28"/>
          <w:szCs w:val="28"/>
        </w:rPr>
        <w:t xml:space="preserve">, </w:t>
      </w:r>
      <w:r w:rsidR="00E60BE8">
        <w:rPr>
          <w:rFonts w:ascii="Times New Roman" w:hAnsi="Times New Roman" w:cs="Times New Roman"/>
          <w:sz w:val="28"/>
          <w:szCs w:val="28"/>
        </w:rPr>
        <w:t>p</w:t>
      </w:r>
      <w:r w:rsidR="00E60BE8" w:rsidRPr="00BF7EF7">
        <w:rPr>
          <w:rFonts w:ascii="Times New Roman" w:hAnsi="Times New Roman" w:cs="Times New Roman"/>
          <w:sz w:val="28"/>
          <w:szCs w:val="28"/>
        </w:rPr>
        <w:t xml:space="preserve">apildus ārpus Plāna projektā paredzētajiem pasākumiem Labklājības ministrijas un Latvijas Pašvaldību savienības sarunās tika panākta vienošanās, ka no 2020.gada 1.janvāra GMI līmenis tiks paaugstināts no līdzšinējiem 53 </w:t>
      </w:r>
      <w:proofErr w:type="spellStart"/>
      <w:r w:rsidR="00E60BE8" w:rsidRPr="00BF7EF7">
        <w:rPr>
          <w:rFonts w:ascii="Times New Roman" w:hAnsi="Times New Roman" w:cs="Times New Roman"/>
          <w:i/>
          <w:sz w:val="28"/>
          <w:szCs w:val="28"/>
        </w:rPr>
        <w:t>euro</w:t>
      </w:r>
      <w:proofErr w:type="spellEnd"/>
      <w:r w:rsidR="00E60BE8" w:rsidRPr="00BF7EF7">
        <w:rPr>
          <w:rFonts w:ascii="Times New Roman" w:hAnsi="Times New Roman" w:cs="Times New Roman"/>
          <w:sz w:val="28"/>
          <w:szCs w:val="28"/>
        </w:rPr>
        <w:t xml:space="preserve"> līdz 64 </w:t>
      </w:r>
      <w:proofErr w:type="spellStart"/>
      <w:r w:rsidR="00E60BE8" w:rsidRPr="00BF7EF7">
        <w:rPr>
          <w:rFonts w:ascii="Times New Roman" w:hAnsi="Times New Roman" w:cs="Times New Roman"/>
          <w:i/>
          <w:sz w:val="28"/>
          <w:szCs w:val="28"/>
        </w:rPr>
        <w:t>euro</w:t>
      </w:r>
      <w:proofErr w:type="spellEnd"/>
      <w:r w:rsidR="00E60BE8" w:rsidRPr="00BF7EF7">
        <w:rPr>
          <w:rFonts w:ascii="Times New Roman" w:hAnsi="Times New Roman" w:cs="Times New Roman"/>
          <w:sz w:val="28"/>
          <w:szCs w:val="28"/>
        </w:rPr>
        <w:t xml:space="preserve"> uz vienu personu mājsaimniecībā, nepiemērojot ekvivalences skalu. Lai nodrošinātu šīs izmaiņas, tiks veikti grozījumi Ministru kabineta 2012.gada 18.decembra noteikumos Nr.913 “</w:t>
      </w:r>
      <w:r w:rsidR="00E60BE8" w:rsidRPr="00BF7EF7">
        <w:rPr>
          <w:rFonts w:ascii="Times New Roman" w:eastAsia="Times New Roman" w:hAnsi="Times New Roman" w:cs="Times New Roman"/>
          <w:bCs/>
          <w:sz w:val="28"/>
          <w:szCs w:val="28"/>
          <w:lang w:eastAsia="lv-LV"/>
        </w:rPr>
        <w:t>Noteikumi par garantēto minimālo ienākumu līmeni”.</w:t>
      </w:r>
    </w:p>
    <w:p w14:paraId="6350BF31" w14:textId="5720BE4D" w:rsidR="00FE3943" w:rsidRPr="00BF7EF7" w:rsidRDefault="00FE3943" w:rsidP="00C6614E">
      <w:pPr>
        <w:spacing w:after="0" w:line="240" w:lineRule="auto"/>
        <w:ind w:firstLine="720"/>
        <w:jc w:val="both"/>
        <w:rPr>
          <w:rFonts w:ascii="Times New Roman" w:eastAsia="Times New Roman" w:hAnsi="Times New Roman" w:cs="Times New Roman"/>
          <w:sz w:val="28"/>
          <w:szCs w:val="28"/>
          <w:lang w:eastAsia="lv-LV"/>
        </w:rPr>
      </w:pPr>
      <w:r w:rsidRPr="00BF7EF7">
        <w:rPr>
          <w:rFonts w:ascii="Times New Roman" w:eastAsia="Times New Roman" w:hAnsi="Times New Roman" w:cs="Times New Roman"/>
          <w:sz w:val="28"/>
          <w:szCs w:val="28"/>
          <w:lang w:eastAsia="lv-LV"/>
        </w:rPr>
        <w:t>Vienlaikus jāņem vērā, ka</w:t>
      </w:r>
      <w:r w:rsidR="008323E9" w:rsidRPr="00BF7EF7">
        <w:rPr>
          <w:rFonts w:ascii="Times New Roman" w:eastAsia="Times New Roman" w:hAnsi="Times New Roman" w:cs="Times New Roman"/>
          <w:sz w:val="28"/>
          <w:szCs w:val="28"/>
          <w:lang w:eastAsia="lv-LV"/>
        </w:rPr>
        <w:t xml:space="preserve">, </w:t>
      </w:r>
      <w:r w:rsidRPr="00BF7EF7">
        <w:rPr>
          <w:rFonts w:ascii="Times New Roman" w:eastAsia="Times New Roman" w:hAnsi="Times New Roman" w:cs="Times New Roman"/>
          <w:sz w:val="28"/>
          <w:szCs w:val="28"/>
          <w:lang w:eastAsia="lv-LV"/>
        </w:rPr>
        <w:t>palielinot valsts un pašvaldību sniegto atbalstu</w:t>
      </w:r>
      <w:r w:rsidR="00755641" w:rsidRPr="00BF7EF7">
        <w:rPr>
          <w:rFonts w:ascii="Times New Roman" w:eastAsia="Times New Roman" w:hAnsi="Times New Roman" w:cs="Times New Roman"/>
          <w:sz w:val="28"/>
          <w:szCs w:val="28"/>
          <w:lang w:eastAsia="lv-LV"/>
        </w:rPr>
        <w:t xml:space="preserve"> </w:t>
      </w:r>
      <w:r w:rsidRPr="00BF7EF7">
        <w:rPr>
          <w:rFonts w:ascii="Times New Roman" w:eastAsia="Times New Roman" w:hAnsi="Times New Roman" w:cs="Times New Roman"/>
          <w:sz w:val="28"/>
          <w:szCs w:val="28"/>
          <w:lang w:eastAsia="lv-LV"/>
        </w:rPr>
        <w:t>nabadzības un ienākumu nevienlīdzības riskiem visvairāk pakļautajām sabiedrības grupām, tas ir nosakāms</w:t>
      </w:r>
      <w:r w:rsidR="00755641" w:rsidRPr="00BF7EF7">
        <w:rPr>
          <w:rFonts w:ascii="Times New Roman" w:eastAsia="Times New Roman" w:hAnsi="Times New Roman" w:cs="Times New Roman"/>
          <w:sz w:val="28"/>
          <w:szCs w:val="28"/>
          <w:lang w:eastAsia="lv-LV"/>
        </w:rPr>
        <w:t xml:space="preserve"> </w:t>
      </w:r>
      <w:r w:rsidRPr="00BF7EF7">
        <w:rPr>
          <w:rFonts w:ascii="Times New Roman" w:eastAsia="Times New Roman" w:hAnsi="Times New Roman" w:cs="Times New Roman"/>
          <w:sz w:val="28"/>
          <w:szCs w:val="28"/>
          <w:lang w:eastAsia="lv-LV"/>
        </w:rPr>
        <w:t>atbilstoši valsts</w:t>
      </w:r>
      <w:r w:rsidR="00755641" w:rsidRPr="00BF7EF7">
        <w:rPr>
          <w:rFonts w:ascii="Times New Roman" w:eastAsia="Times New Roman" w:hAnsi="Times New Roman" w:cs="Times New Roman"/>
          <w:sz w:val="28"/>
          <w:szCs w:val="28"/>
          <w:lang w:eastAsia="lv-LV"/>
        </w:rPr>
        <w:t xml:space="preserve"> </w:t>
      </w:r>
      <w:r w:rsidRPr="00BF7EF7">
        <w:rPr>
          <w:rFonts w:ascii="Times New Roman" w:eastAsia="Times New Roman" w:hAnsi="Times New Roman" w:cs="Times New Roman"/>
          <w:sz w:val="28"/>
          <w:szCs w:val="28"/>
          <w:lang w:eastAsia="lv-LV"/>
        </w:rPr>
        <w:t>un pašvaldību finansiālajām iespējām un samērīgi ar citu iedzīvotāju grupu situāciju un interesēm, izvērtējot esošos sociālekonomiskos apstākļus un</w:t>
      </w:r>
      <w:r w:rsidR="00755641" w:rsidRPr="00BF7EF7">
        <w:rPr>
          <w:rFonts w:ascii="Times New Roman" w:eastAsia="Times New Roman" w:hAnsi="Times New Roman" w:cs="Times New Roman"/>
          <w:sz w:val="28"/>
          <w:szCs w:val="28"/>
          <w:lang w:eastAsia="lv-LV"/>
        </w:rPr>
        <w:t xml:space="preserve"> </w:t>
      </w:r>
      <w:r w:rsidRPr="00BF7EF7">
        <w:rPr>
          <w:rFonts w:ascii="Times New Roman" w:eastAsia="Times New Roman" w:hAnsi="Times New Roman" w:cs="Times New Roman"/>
          <w:sz w:val="28"/>
          <w:szCs w:val="28"/>
          <w:lang w:eastAsia="lv-LV"/>
        </w:rPr>
        <w:t>ieviešamo atbalsta pasākumu ietekmi uz valsts ekonomiku kopumā, saglabājot iedzīvotāju motivētu ies</w:t>
      </w:r>
      <w:r w:rsidR="00EB2768">
        <w:rPr>
          <w:rFonts w:ascii="Times New Roman" w:eastAsia="Times New Roman" w:hAnsi="Times New Roman" w:cs="Times New Roman"/>
          <w:sz w:val="28"/>
          <w:szCs w:val="28"/>
          <w:lang w:eastAsia="lv-LV"/>
        </w:rPr>
        <w:t>a</w:t>
      </w:r>
      <w:r w:rsidRPr="00BF7EF7">
        <w:rPr>
          <w:rFonts w:ascii="Times New Roman" w:eastAsia="Times New Roman" w:hAnsi="Times New Roman" w:cs="Times New Roman"/>
          <w:sz w:val="28"/>
          <w:szCs w:val="28"/>
          <w:lang w:eastAsia="lv-LV"/>
        </w:rPr>
        <w:t>isti darba tirgū, ar mērķi gūt pastāvīgus un pa</w:t>
      </w:r>
      <w:r w:rsidR="00EB2768">
        <w:rPr>
          <w:rFonts w:ascii="Times New Roman" w:eastAsia="Times New Roman" w:hAnsi="Times New Roman" w:cs="Times New Roman"/>
          <w:sz w:val="28"/>
          <w:szCs w:val="28"/>
          <w:lang w:eastAsia="lv-LV"/>
        </w:rPr>
        <w:t>ts</w:t>
      </w:r>
      <w:r w:rsidR="00924B68">
        <w:rPr>
          <w:rFonts w:ascii="Times New Roman" w:eastAsia="Times New Roman" w:hAnsi="Times New Roman" w:cs="Times New Roman"/>
          <w:sz w:val="28"/>
          <w:szCs w:val="28"/>
          <w:lang w:eastAsia="lv-LV"/>
        </w:rPr>
        <w:t>t</w:t>
      </w:r>
      <w:r w:rsidRPr="00BF7EF7">
        <w:rPr>
          <w:rFonts w:ascii="Times New Roman" w:eastAsia="Times New Roman" w:hAnsi="Times New Roman" w:cs="Times New Roman"/>
          <w:sz w:val="28"/>
          <w:szCs w:val="28"/>
          <w:lang w:eastAsia="lv-LV"/>
        </w:rPr>
        <w:t>āvīgus ienākumus, tādējādi mazinot atkarību no valsts un pašvaldību garantētajiem pabalstiem. </w:t>
      </w:r>
    </w:p>
    <w:p w14:paraId="4D32092C" w14:textId="3A17076F" w:rsidR="00E96085" w:rsidRPr="00BF7EF7" w:rsidRDefault="00E96085" w:rsidP="008323E9">
      <w:pPr>
        <w:spacing w:after="0" w:line="240" w:lineRule="auto"/>
        <w:jc w:val="both"/>
        <w:rPr>
          <w:rFonts w:ascii="Times New Roman" w:hAnsi="Times New Roman" w:cs="Times New Roman"/>
          <w:sz w:val="28"/>
          <w:szCs w:val="28"/>
        </w:rPr>
      </w:pPr>
    </w:p>
    <w:p w14:paraId="20850332" w14:textId="29D84EC9" w:rsidR="008323E9" w:rsidRPr="00BF7EF7" w:rsidRDefault="008323E9" w:rsidP="008323E9">
      <w:pPr>
        <w:spacing w:after="0" w:line="240" w:lineRule="auto"/>
        <w:jc w:val="both"/>
        <w:rPr>
          <w:rFonts w:ascii="Times New Roman" w:hAnsi="Times New Roman" w:cs="Times New Roman"/>
          <w:sz w:val="28"/>
          <w:szCs w:val="28"/>
        </w:rPr>
      </w:pPr>
    </w:p>
    <w:p w14:paraId="6A5342A5" w14:textId="46680AF5" w:rsidR="008323E9" w:rsidRPr="00BF7EF7" w:rsidRDefault="008323E9" w:rsidP="008323E9">
      <w:pPr>
        <w:spacing w:after="0" w:line="240" w:lineRule="auto"/>
        <w:jc w:val="both"/>
        <w:rPr>
          <w:rFonts w:ascii="Times New Roman" w:hAnsi="Times New Roman" w:cs="Times New Roman"/>
          <w:sz w:val="28"/>
          <w:szCs w:val="28"/>
        </w:rPr>
      </w:pPr>
      <w:r w:rsidRPr="00BF7EF7">
        <w:rPr>
          <w:rFonts w:ascii="Times New Roman" w:hAnsi="Times New Roman" w:cs="Times New Roman"/>
          <w:sz w:val="28"/>
          <w:szCs w:val="28"/>
        </w:rPr>
        <w:t xml:space="preserve">Ministru prezidents </w:t>
      </w:r>
      <w:r w:rsidRPr="00BF7EF7">
        <w:rPr>
          <w:rFonts w:ascii="Times New Roman" w:hAnsi="Times New Roman" w:cs="Times New Roman"/>
          <w:sz w:val="28"/>
          <w:szCs w:val="28"/>
        </w:rPr>
        <w:tab/>
      </w:r>
      <w:r w:rsidRPr="00BF7EF7">
        <w:rPr>
          <w:rFonts w:ascii="Times New Roman" w:hAnsi="Times New Roman" w:cs="Times New Roman"/>
          <w:sz w:val="28"/>
          <w:szCs w:val="28"/>
        </w:rPr>
        <w:tab/>
      </w:r>
      <w:r w:rsidRPr="00BF7EF7">
        <w:rPr>
          <w:rFonts w:ascii="Times New Roman" w:hAnsi="Times New Roman" w:cs="Times New Roman"/>
          <w:sz w:val="28"/>
          <w:szCs w:val="28"/>
        </w:rPr>
        <w:tab/>
      </w:r>
      <w:r w:rsidRPr="00BF7EF7">
        <w:rPr>
          <w:rFonts w:ascii="Times New Roman" w:hAnsi="Times New Roman" w:cs="Times New Roman"/>
          <w:sz w:val="28"/>
          <w:szCs w:val="28"/>
        </w:rPr>
        <w:tab/>
      </w:r>
      <w:r w:rsidRPr="00BF7EF7">
        <w:rPr>
          <w:rFonts w:ascii="Times New Roman" w:hAnsi="Times New Roman" w:cs="Times New Roman"/>
          <w:sz w:val="28"/>
          <w:szCs w:val="28"/>
        </w:rPr>
        <w:tab/>
      </w:r>
      <w:r w:rsidRPr="00BF7EF7">
        <w:rPr>
          <w:rFonts w:ascii="Times New Roman" w:hAnsi="Times New Roman" w:cs="Times New Roman"/>
          <w:sz w:val="28"/>
          <w:szCs w:val="28"/>
        </w:rPr>
        <w:tab/>
      </w:r>
      <w:proofErr w:type="spellStart"/>
      <w:r w:rsidRPr="00BF7EF7">
        <w:rPr>
          <w:rFonts w:ascii="Times New Roman" w:hAnsi="Times New Roman" w:cs="Times New Roman"/>
          <w:sz w:val="28"/>
          <w:szCs w:val="28"/>
        </w:rPr>
        <w:t>A.K.Kariņš</w:t>
      </w:r>
      <w:proofErr w:type="spellEnd"/>
    </w:p>
    <w:p w14:paraId="43DA2039" w14:textId="732E2339" w:rsidR="00C6614E" w:rsidRDefault="00C6614E" w:rsidP="008323E9">
      <w:pPr>
        <w:spacing w:after="0" w:line="240" w:lineRule="auto"/>
        <w:jc w:val="both"/>
        <w:rPr>
          <w:rFonts w:ascii="Times New Roman" w:hAnsi="Times New Roman" w:cs="Times New Roman"/>
          <w:sz w:val="28"/>
          <w:szCs w:val="28"/>
        </w:rPr>
      </w:pPr>
    </w:p>
    <w:p w14:paraId="4C0A3253" w14:textId="3E39744B" w:rsidR="003F2579" w:rsidRDefault="003F2579" w:rsidP="008323E9">
      <w:pPr>
        <w:spacing w:after="0" w:line="240" w:lineRule="auto"/>
        <w:jc w:val="both"/>
        <w:rPr>
          <w:rFonts w:ascii="Times New Roman" w:hAnsi="Times New Roman" w:cs="Times New Roman"/>
          <w:sz w:val="28"/>
          <w:szCs w:val="28"/>
        </w:rPr>
      </w:pPr>
    </w:p>
    <w:p w14:paraId="3D2F286E" w14:textId="552ECCDD" w:rsidR="003F2579" w:rsidRDefault="003F2579" w:rsidP="008323E9">
      <w:pPr>
        <w:spacing w:after="0" w:line="240" w:lineRule="auto"/>
        <w:jc w:val="both"/>
        <w:rPr>
          <w:rFonts w:ascii="Times New Roman" w:hAnsi="Times New Roman" w:cs="Times New Roman"/>
          <w:sz w:val="28"/>
          <w:szCs w:val="28"/>
        </w:rPr>
      </w:pPr>
    </w:p>
    <w:p w14:paraId="7F76305E" w14:textId="77777777" w:rsidR="003F2579" w:rsidRPr="00BF7EF7" w:rsidRDefault="003F2579" w:rsidP="008323E9">
      <w:pPr>
        <w:spacing w:after="0" w:line="240" w:lineRule="auto"/>
        <w:jc w:val="both"/>
        <w:rPr>
          <w:rFonts w:ascii="Times New Roman" w:hAnsi="Times New Roman" w:cs="Times New Roman"/>
          <w:sz w:val="28"/>
          <w:szCs w:val="28"/>
        </w:rPr>
      </w:pPr>
    </w:p>
    <w:p w14:paraId="1FA8DB53" w14:textId="70D69564" w:rsidR="00C6614E" w:rsidRPr="00BF7EF7" w:rsidRDefault="00C6614E" w:rsidP="00C6614E">
      <w:pPr>
        <w:spacing w:after="0"/>
        <w:jc w:val="both"/>
        <w:rPr>
          <w:rFonts w:ascii="Times New Roman" w:eastAsia="Times New Roman" w:hAnsi="Times New Roman" w:cs="Times New Roman"/>
          <w:sz w:val="28"/>
          <w:szCs w:val="28"/>
        </w:rPr>
      </w:pPr>
      <w:r w:rsidRPr="00BF7EF7">
        <w:rPr>
          <w:rFonts w:ascii="Times New Roman" w:eastAsia="Times New Roman" w:hAnsi="Times New Roman" w:cs="Times New Roman"/>
          <w:sz w:val="28"/>
          <w:szCs w:val="28"/>
        </w:rPr>
        <w:t xml:space="preserve">Iesniedzējs: labklājības ministre </w:t>
      </w:r>
      <w:r w:rsidRPr="00BF7EF7">
        <w:rPr>
          <w:rFonts w:ascii="Times New Roman" w:eastAsia="Times New Roman" w:hAnsi="Times New Roman" w:cs="Times New Roman"/>
          <w:sz w:val="28"/>
          <w:szCs w:val="28"/>
        </w:rPr>
        <w:tab/>
      </w:r>
      <w:r w:rsidRPr="00BF7EF7">
        <w:rPr>
          <w:rFonts w:ascii="Times New Roman" w:eastAsia="Times New Roman" w:hAnsi="Times New Roman" w:cs="Times New Roman"/>
          <w:sz w:val="28"/>
          <w:szCs w:val="28"/>
        </w:rPr>
        <w:tab/>
      </w:r>
      <w:r w:rsidRPr="00BF7EF7">
        <w:rPr>
          <w:rFonts w:ascii="Times New Roman" w:eastAsia="Times New Roman" w:hAnsi="Times New Roman" w:cs="Times New Roman"/>
          <w:sz w:val="28"/>
          <w:szCs w:val="28"/>
        </w:rPr>
        <w:tab/>
      </w:r>
      <w:r w:rsidRPr="00BF7EF7">
        <w:rPr>
          <w:rFonts w:ascii="Times New Roman" w:eastAsia="Times New Roman" w:hAnsi="Times New Roman" w:cs="Times New Roman"/>
          <w:sz w:val="28"/>
          <w:szCs w:val="28"/>
        </w:rPr>
        <w:tab/>
      </w:r>
      <w:proofErr w:type="spellStart"/>
      <w:r w:rsidRPr="00BF7EF7">
        <w:rPr>
          <w:rFonts w:ascii="Times New Roman" w:eastAsia="Times New Roman" w:hAnsi="Times New Roman" w:cs="Times New Roman"/>
          <w:sz w:val="28"/>
          <w:szCs w:val="28"/>
        </w:rPr>
        <w:t>R.Petraviča</w:t>
      </w:r>
      <w:proofErr w:type="spellEnd"/>
    </w:p>
    <w:p w14:paraId="51400266" w14:textId="77777777" w:rsidR="00C6614E" w:rsidRPr="00BF7EF7" w:rsidRDefault="00C6614E" w:rsidP="008323E9">
      <w:pPr>
        <w:spacing w:after="0" w:line="240" w:lineRule="auto"/>
        <w:jc w:val="both"/>
        <w:rPr>
          <w:rFonts w:ascii="Times New Roman" w:hAnsi="Times New Roman" w:cs="Times New Roman"/>
          <w:sz w:val="28"/>
          <w:szCs w:val="28"/>
        </w:rPr>
      </w:pPr>
    </w:p>
    <w:sectPr w:rsidR="00C6614E" w:rsidRPr="00BF7EF7" w:rsidSect="00615749">
      <w:headerReference w:type="default" r:id="rId8"/>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32A92" w14:textId="77777777" w:rsidR="001C550F" w:rsidRDefault="001C550F" w:rsidP="00FD5AFA">
      <w:pPr>
        <w:spacing w:after="0" w:line="240" w:lineRule="auto"/>
      </w:pPr>
      <w:r>
        <w:separator/>
      </w:r>
    </w:p>
  </w:endnote>
  <w:endnote w:type="continuationSeparator" w:id="0">
    <w:p w14:paraId="6581FC77" w14:textId="77777777" w:rsidR="001C550F" w:rsidRDefault="001C550F" w:rsidP="00FD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7D52A" w14:textId="77777777" w:rsidR="001C550F" w:rsidRDefault="001C550F" w:rsidP="00FD5AFA">
      <w:pPr>
        <w:spacing w:after="0" w:line="240" w:lineRule="auto"/>
      </w:pPr>
      <w:r>
        <w:separator/>
      </w:r>
    </w:p>
  </w:footnote>
  <w:footnote w:type="continuationSeparator" w:id="0">
    <w:p w14:paraId="2652663E" w14:textId="77777777" w:rsidR="001C550F" w:rsidRDefault="001C550F" w:rsidP="00FD5AFA">
      <w:pPr>
        <w:spacing w:after="0" w:line="240" w:lineRule="auto"/>
      </w:pPr>
      <w:r>
        <w:continuationSeparator/>
      </w:r>
    </w:p>
  </w:footnote>
  <w:footnote w:id="1">
    <w:p w14:paraId="4548162D" w14:textId="77777777" w:rsidR="006D5BA6" w:rsidRPr="00075EE4" w:rsidRDefault="006D5BA6" w:rsidP="004D6F08">
      <w:pPr>
        <w:spacing w:after="0" w:line="240" w:lineRule="auto"/>
        <w:rPr>
          <w:rFonts w:ascii="Times New Roman" w:hAnsi="Times New Roman" w:cs="Times New Roman"/>
          <w:sz w:val="16"/>
          <w:szCs w:val="16"/>
        </w:rPr>
      </w:pPr>
      <w:r w:rsidRPr="00075EE4">
        <w:rPr>
          <w:rStyle w:val="FootnoteReference"/>
          <w:rFonts w:ascii="Times New Roman" w:hAnsi="Times New Roman" w:cs="Times New Roman"/>
          <w:sz w:val="16"/>
          <w:szCs w:val="16"/>
        </w:rPr>
        <w:footnoteRef/>
      </w:r>
      <w:r w:rsidRPr="00075EE4">
        <w:rPr>
          <w:rFonts w:ascii="Times New Roman" w:hAnsi="Times New Roman" w:cs="Times New Roman"/>
          <w:sz w:val="16"/>
          <w:szCs w:val="16"/>
        </w:rPr>
        <w:t xml:space="preserve"> Mediānas ienākumus mēra CSP, pamatojoties uz apsekojumiem. Mediāna ir statistikas rādītājs, kas raksturo novērojumu, kas sagrupēti no zemākās vērtības līdz augstākajai, centra vērtību (sadalījuma viduspunktu). Tādējādi ienākumu mediāna nozīmē ienākumu, kas sagrupēti no zemākajiem līdz augstākajiem, viduspunktu (nevis vidējos ienākumus). </w:t>
      </w:r>
    </w:p>
  </w:footnote>
  <w:footnote w:id="2">
    <w:p w14:paraId="2D19504B" w14:textId="414F6049" w:rsidR="00755641" w:rsidRPr="00075EE4" w:rsidRDefault="00755641" w:rsidP="004D6F08">
      <w:pPr>
        <w:pStyle w:val="FootnoteText"/>
        <w:rPr>
          <w:rFonts w:ascii="Times New Roman" w:hAnsi="Times New Roman" w:cs="Times New Roman"/>
          <w:sz w:val="16"/>
          <w:szCs w:val="16"/>
        </w:rPr>
      </w:pPr>
      <w:r w:rsidRPr="00075EE4">
        <w:rPr>
          <w:rStyle w:val="FootnoteReference"/>
          <w:rFonts w:ascii="Times New Roman" w:hAnsi="Times New Roman" w:cs="Times New Roman"/>
          <w:sz w:val="16"/>
          <w:szCs w:val="16"/>
        </w:rPr>
        <w:footnoteRef/>
      </w:r>
      <w:r w:rsidRPr="00075EE4">
        <w:rPr>
          <w:rFonts w:ascii="Times New Roman" w:hAnsi="Times New Roman" w:cs="Times New Roman"/>
          <w:sz w:val="16"/>
          <w:szCs w:val="16"/>
        </w:rPr>
        <w:t xml:space="preserve"> </w:t>
      </w:r>
      <w:r w:rsidRPr="00075EE4">
        <w:rPr>
          <w:rFonts w:ascii="Times New Roman" w:hAnsi="Times New Roman" w:cs="Times New Roman"/>
          <w:sz w:val="16"/>
          <w:szCs w:val="16"/>
        </w:rPr>
        <w:t>CSP. IIG040. Mājsaimniecību rīcībā esošie ienākumi (</w:t>
      </w:r>
      <w:proofErr w:type="spellStart"/>
      <w:r w:rsidRPr="00075EE4">
        <w:rPr>
          <w:rFonts w:ascii="Times New Roman" w:hAnsi="Times New Roman" w:cs="Times New Roman"/>
          <w:i/>
          <w:sz w:val="16"/>
          <w:szCs w:val="16"/>
        </w:rPr>
        <w:t>euro</w:t>
      </w:r>
      <w:proofErr w:type="spellEnd"/>
      <w:r w:rsidRPr="00075EE4">
        <w:rPr>
          <w:rFonts w:ascii="Times New Roman" w:hAnsi="Times New Roman" w:cs="Times New Roman"/>
          <w:sz w:val="16"/>
          <w:szCs w:val="16"/>
        </w:rPr>
        <w:t xml:space="preserve">, mēnesī), </w:t>
      </w:r>
      <w:hyperlink r:id="rId1" w:history="1">
        <w:r w:rsidR="00CE5D0E" w:rsidRPr="00AC7B69">
          <w:rPr>
            <w:rStyle w:val="Hyperlink"/>
            <w:rFonts w:ascii="Times New Roman" w:hAnsi="Times New Roman" w:cs="Times New Roman"/>
            <w:sz w:val="16"/>
            <w:szCs w:val="16"/>
          </w:rPr>
          <w:t>http://data1.csb.gov.lv/pxweb/lv/sociala/sociala__mb__ienakumi/IIG040.px/</w:t>
        </w:r>
      </w:hyperlink>
    </w:p>
  </w:footnote>
  <w:footnote w:id="3">
    <w:p w14:paraId="59682732" w14:textId="16E12CB6" w:rsidR="00C6614E" w:rsidRPr="00075EE4" w:rsidRDefault="00C6614E" w:rsidP="00075EE4">
      <w:pPr>
        <w:shd w:val="clear" w:color="auto" w:fill="FFFFFF" w:themeFill="background1"/>
        <w:spacing w:after="0" w:line="240" w:lineRule="auto"/>
        <w:jc w:val="both"/>
        <w:outlineLvl w:val="0"/>
        <w:rPr>
          <w:rFonts w:ascii="Times New Roman" w:eastAsia="Times New Roman" w:hAnsi="Times New Roman" w:cs="Times New Roman"/>
          <w:bCs/>
          <w:kern w:val="36"/>
          <w:sz w:val="16"/>
          <w:szCs w:val="16"/>
          <w:lang w:eastAsia="lv-LV"/>
        </w:rPr>
      </w:pPr>
      <w:r w:rsidRPr="00075EE4">
        <w:rPr>
          <w:rStyle w:val="FootnoteReference"/>
          <w:rFonts w:ascii="Times New Roman" w:hAnsi="Times New Roman" w:cs="Times New Roman"/>
          <w:sz w:val="16"/>
          <w:szCs w:val="16"/>
        </w:rPr>
        <w:footnoteRef/>
      </w:r>
      <w:r w:rsidRPr="00075EE4">
        <w:rPr>
          <w:rFonts w:ascii="Times New Roman" w:hAnsi="Times New Roman" w:cs="Times New Roman"/>
          <w:sz w:val="16"/>
          <w:szCs w:val="16"/>
        </w:rPr>
        <w:t xml:space="preserve"> </w:t>
      </w:r>
      <w:proofErr w:type="spellStart"/>
      <w:r w:rsidR="00DD5398" w:rsidRPr="00075EE4">
        <w:rPr>
          <w:rFonts w:ascii="Times New Roman" w:eastAsia="Times New Roman" w:hAnsi="Times New Roman" w:cs="Times New Roman"/>
          <w:bCs/>
          <w:kern w:val="36"/>
          <w:sz w:val="16"/>
          <w:szCs w:val="16"/>
          <w:lang w:eastAsia="lv-LV"/>
        </w:rPr>
        <w:t>The</w:t>
      </w:r>
      <w:proofErr w:type="spellEnd"/>
      <w:r w:rsidR="00DD5398" w:rsidRPr="00075EE4">
        <w:rPr>
          <w:rFonts w:ascii="Times New Roman" w:eastAsia="Times New Roman" w:hAnsi="Times New Roman" w:cs="Times New Roman"/>
          <w:bCs/>
          <w:kern w:val="36"/>
          <w:sz w:val="16"/>
          <w:szCs w:val="16"/>
          <w:lang w:eastAsia="lv-LV"/>
        </w:rPr>
        <w:t xml:space="preserve"> </w:t>
      </w:r>
      <w:proofErr w:type="spellStart"/>
      <w:r w:rsidR="00DD5398" w:rsidRPr="00075EE4">
        <w:rPr>
          <w:rFonts w:ascii="Times New Roman" w:eastAsia="Times New Roman" w:hAnsi="Times New Roman" w:cs="Times New Roman"/>
          <w:bCs/>
          <w:kern w:val="36"/>
          <w:sz w:val="16"/>
          <w:szCs w:val="16"/>
          <w:lang w:eastAsia="lv-LV"/>
        </w:rPr>
        <w:t>Effect</w:t>
      </w:r>
      <w:proofErr w:type="spellEnd"/>
      <w:r w:rsidR="00DD5398" w:rsidRPr="00075EE4">
        <w:rPr>
          <w:rFonts w:ascii="Times New Roman" w:eastAsia="Times New Roman" w:hAnsi="Times New Roman" w:cs="Times New Roman"/>
          <w:bCs/>
          <w:kern w:val="36"/>
          <w:sz w:val="16"/>
          <w:szCs w:val="16"/>
          <w:lang w:eastAsia="lv-LV"/>
        </w:rPr>
        <w:t xml:space="preserve"> </w:t>
      </w:r>
      <w:proofErr w:type="spellStart"/>
      <w:r w:rsidR="00DD5398" w:rsidRPr="00075EE4">
        <w:rPr>
          <w:rFonts w:ascii="Times New Roman" w:eastAsia="Times New Roman" w:hAnsi="Times New Roman" w:cs="Times New Roman"/>
          <w:bCs/>
          <w:kern w:val="36"/>
          <w:sz w:val="16"/>
          <w:szCs w:val="16"/>
          <w:lang w:eastAsia="lv-LV"/>
        </w:rPr>
        <w:t>of</w:t>
      </w:r>
      <w:proofErr w:type="spellEnd"/>
      <w:r w:rsidR="00DD5398" w:rsidRPr="00075EE4">
        <w:rPr>
          <w:rFonts w:ascii="Times New Roman" w:eastAsia="Times New Roman" w:hAnsi="Times New Roman" w:cs="Times New Roman"/>
          <w:bCs/>
          <w:kern w:val="36"/>
          <w:sz w:val="16"/>
          <w:szCs w:val="16"/>
          <w:lang w:eastAsia="lv-LV"/>
        </w:rPr>
        <w:t xml:space="preserve"> </w:t>
      </w:r>
      <w:proofErr w:type="spellStart"/>
      <w:r w:rsidR="00DD5398" w:rsidRPr="00075EE4">
        <w:rPr>
          <w:rFonts w:ascii="Times New Roman" w:eastAsia="Times New Roman" w:hAnsi="Times New Roman" w:cs="Times New Roman"/>
          <w:bCs/>
          <w:kern w:val="36"/>
          <w:sz w:val="16"/>
          <w:szCs w:val="16"/>
          <w:lang w:eastAsia="lv-LV"/>
        </w:rPr>
        <w:t>Taxes</w:t>
      </w:r>
      <w:proofErr w:type="spellEnd"/>
      <w:r w:rsidR="00DD5398" w:rsidRPr="00075EE4">
        <w:rPr>
          <w:rFonts w:ascii="Times New Roman" w:eastAsia="Times New Roman" w:hAnsi="Times New Roman" w:cs="Times New Roman"/>
          <w:bCs/>
          <w:kern w:val="36"/>
          <w:sz w:val="16"/>
          <w:szCs w:val="16"/>
          <w:lang w:eastAsia="lv-LV"/>
        </w:rPr>
        <w:t xml:space="preserve"> </w:t>
      </w:r>
      <w:proofErr w:type="spellStart"/>
      <w:r w:rsidR="00DD5398" w:rsidRPr="00075EE4">
        <w:rPr>
          <w:rFonts w:ascii="Times New Roman" w:eastAsia="Times New Roman" w:hAnsi="Times New Roman" w:cs="Times New Roman"/>
          <w:bCs/>
          <w:kern w:val="36"/>
          <w:sz w:val="16"/>
          <w:szCs w:val="16"/>
          <w:lang w:eastAsia="lv-LV"/>
        </w:rPr>
        <w:t>and</w:t>
      </w:r>
      <w:proofErr w:type="spellEnd"/>
      <w:r w:rsidR="00DD5398" w:rsidRPr="00075EE4">
        <w:rPr>
          <w:rFonts w:ascii="Times New Roman" w:eastAsia="Times New Roman" w:hAnsi="Times New Roman" w:cs="Times New Roman"/>
          <w:bCs/>
          <w:kern w:val="36"/>
          <w:sz w:val="16"/>
          <w:szCs w:val="16"/>
          <w:lang w:eastAsia="lv-LV"/>
        </w:rPr>
        <w:t xml:space="preserve"> </w:t>
      </w:r>
      <w:proofErr w:type="spellStart"/>
      <w:r w:rsidR="00DD5398" w:rsidRPr="00075EE4">
        <w:rPr>
          <w:rFonts w:ascii="Times New Roman" w:eastAsia="Times New Roman" w:hAnsi="Times New Roman" w:cs="Times New Roman"/>
          <w:bCs/>
          <w:kern w:val="36"/>
          <w:sz w:val="16"/>
          <w:szCs w:val="16"/>
          <w:lang w:eastAsia="lv-LV"/>
        </w:rPr>
        <w:t>Benefits</w:t>
      </w:r>
      <w:proofErr w:type="spellEnd"/>
      <w:r w:rsidR="00DD5398" w:rsidRPr="00075EE4">
        <w:rPr>
          <w:rFonts w:ascii="Times New Roman" w:eastAsia="Times New Roman" w:hAnsi="Times New Roman" w:cs="Times New Roman"/>
          <w:bCs/>
          <w:kern w:val="36"/>
          <w:sz w:val="16"/>
          <w:szCs w:val="16"/>
          <w:lang w:eastAsia="lv-LV"/>
        </w:rPr>
        <w:t xml:space="preserve"> </w:t>
      </w:r>
      <w:proofErr w:type="spellStart"/>
      <w:r w:rsidR="00DD5398" w:rsidRPr="00075EE4">
        <w:rPr>
          <w:rFonts w:ascii="Times New Roman" w:eastAsia="Times New Roman" w:hAnsi="Times New Roman" w:cs="Times New Roman"/>
          <w:bCs/>
          <w:kern w:val="36"/>
          <w:sz w:val="16"/>
          <w:szCs w:val="16"/>
          <w:lang w:eastAsia="lv-LV"/>
        </w:rPr>
        <w:t>Reforms</w:t>
      </w:r>
      <w:proofErr w:type="spellEnd"/>
      <w:r w:rsidR="00DD5398" w:rsidRPr="00075EE4">
        <w:rPr>
          <w:rFonts w:ascii="Times New Roman" w:eastAsia="Times New Roman" w:hAnsi="Times New Roman" w:cs="Times New Roman"/>
          <w:bCs/>
          <w:kern w:val="36"/>
          <w:sz w:val="16"/>
          <w:szCs w:val="16"/>
          <w:lang w:eastAsia="lv-LV"/>
        </w:rPr>
        <w:t xml:space="preserve"> </w:t>
      </w:r>
      <w:proofErr w:type="spellStart"/>
      <w:r w:rsidR="00DD5398" w:rsidRPr="00075EE4">
        <w:rPr>
          <w:rFonts w:ascii="Times New Roman" w:eastAsia="Times New Roman" w:hAnsi="Times New Roman" w:cs="Times New Roman"/>
          <w:bCs/>
          <w:kern w:val="36"/>
          <w:sz w:val="16"/>
          <w:szCs w:val="16"/>
          <w:lang w:eastAsia="lv-LV"/>
        </w:rPr>
        <w:t>on</w:t>
      </w:r>
      <w:proofErr w:type="spellEnd"/>
      <w:r w:rsidR="00DD5398" w:rsidRPr="00075EE4">
        <w:rPr>
          <w:rFonts w:ascii="Times New Roman" w:eastAsia="Times New Roman" w:hAnsi="Times New Roman" w:cs="Times New Roman"/>
          <w:bCs/>
          <w:kern w:val="36"/>
          <w:sz w:val="16"/>
          <w:szCs w:val="16"/>
          <w:lang w:eastAsia="lv-LV"/>
        </w:rPr>
        <w:t xml:space="preserve"> </w:t>
      </w:r>
      <w:proofErr w:type="spellStart"/>
      <w:r w:rsidR="00DD5398" w:rsidRPr="00075EE4">
        <w:rPr>
          <w:rFonts w:ascii="Times New Roman" w:eastAsia="Times New Roman" w:hAnsi="Times New Roman" w:cs="Times New Roman"/>
          <w:bCs/>
          <w:kern w:val="36"/>
          <w:sz w:val="16"/>
          <w:szCs w:val="16"/>
          <w:lang w:eastAsia="lv-LV"/>
        </w:rPr>
        <w:t>Poverty</w:t>
      </w:r>
      <w:proofErr w:type="spellEnd"/>
      <w:r w:rsidR="00DD5398" w:rsidRPr="00075EE4">
        <w:rPr>
          <w:rFonts w:ascii="Times New Roman" w:eastAsia="Times New Roman" w:hAnsi="Times New Roman" w:cs="Times New Roman"/>
          <w:bCs/>
          <w:kern w:val="36"/>
          <w:sz w:val="16"/>
          <w:szCs w:val="16"/>
          <w:lang w:eastAsia="lv-LV"/>
        </w:rPr>
        <w:t xml:space="preserve"> </w:t>
      </w:r>
      <w:proofErr w:type="spellStart"/>
      <w:r w:rsidR="00DD5398" w:rsidRPr="00075EE4">
        <w:rPr>
          <w:rFonts w:ascii="Times New Roman" w:eastAsia="Times New Roman" w:hAnsi="Times New Roman" w:cs="Times New Roman"/>
          <w:bCs/>
          <w:kern w:val="36"/>
          <w:sz w:val="16"/>
          <w:szCs w:val="16"/>
          <w:lang w:eastAsia="lv-LV"/>
        </w:rPr>
        <w:t>and</w:t>
      </w:r>
      <w:proofErr w:type="spellEnd"/>
      <w:r w:rsidR="00DD5398" w:rsidRPr="00075EE4">
        <w:rPr>
          <w:rFonts w:ascii="Times New Roman" w:eastAsia="Times New Roman" w:hAnsi="Times New Roman" w:cs="Times New Roman"/>
          <w:bCs/>
          <w:kern w:val="36"/>
          <w:sz w:val="16"/>
          <w:szCs w:val="16"/>
          <w:lang w:eastAsia="lv-LV"/>
        </w:rPr>
        <w:t xml:space="preserve"> </w:t>
      </w:r>
      <w:proofErr w:type="spellStart"/>
      <w:r w:rsidR="00DD5398" w:rsidRPr="00075EE4">
        <w:rPr>
          <w:rFonts w:ascii="Times New Roman" w:eastAsia="Times New Roman" w:hAnsi="Times New Roman" w:cs="Times New Roman"/>
          <w:bCs/>
          <w:kern w:val="36"/>
          <w:sz w:val="16"/>
          <w:szCs w:val="16"/>
          <w:lang w:eastAsia="lv-LV"/>
        </w:rPr>
        <w:t>Inequality</w:t>
      </w:r>
      <w:proofErr w:type="spellEnd"/>
      <w:r w:rsidR="00DD5398" w:rsidRPr="00075EE4">
        <w:rPr>
          <w:rFonts w:ascii="Times New Roman" w:eastAsia="Times New Roman" w:hAnsi="Times New Roman" w:cs="Times New Roman"/>
          <w:bCs/>
          <w:kern w:val="36"/>
          <w:sz w:val="16"/>
          <w:szCs w:val="16"/>
          <w:lang w:eastAsia="lv-LV"/>
        </w:rPr>
        <w:t xml:space="preserve"> </w:t>
      </w:r>
      <w:proofErr w:type="spellStart"/>
      <w:r w:rsidR="00DD5398" w:rsidRPr="00075EE4">
        <w:rPr>
          <w:rFonts w:ascii="Times New Roman" w:eastAsia="Times New Roman" w:hAnsi="Times New Roman" w:cs="Times New Roman"/>
          <w:bCs/>
          <w:kern w:val="36"/>
          <w:sz w:val="16"/>
          <w:szCs w:val="16"/>
          <w:lang w:eastAsia="lv-LV"/>
        </w:rPr>
        <w:t>in</w:t>
      </w:r>
      <w:proofErr w:type="spellEnd"/>
      <w:r w:rsidR="00DD5398" w:rsidRPr="00075EE4">
        <w:rPr>
          <w:rFonts w:ascii="Times New Roman" w:eastAsia="Times New Roman" w:hAnsi="Times New Roman" w:cs="Times New Roman"/>
          <w:bCs/>
          <w:kern w:val="36"/>
          <w:sz w:val="16"/>
          <w:szCs w:val="16"/>
          <w:lang w:eastAsia="lv-LV"/>
        </w:rPr>
        <w:t xml:space="preserve"> </w:t>
      </w:r>
      <w:proofErr w:type="spellStart"/>
      <w:r w:rsidR="00DD5398" w:rsidRPr="00075EE4">
        <w:rPr>
          <w:rFonts w:ascii="Times New Roman" w:eastAsia="Times New Roman" w:hAnsi="Times New Roman" w:cs="Times New Roman"/>
          <w:bCs/>
          <w:kern w:val="36"/>
          <w:sz w:val="16"/>
          <w:szCs w:val="16"/>
          <w:lang w:eastAsia="lv-LV"/>
        </w:rPr>
        <w:t>Latvia</w:t>
      </w:r>
      <w:proofErr w:type="spellEnd"/>
      <w:r w:rsidR="00DD5398" w:rsidRPr="00075EE4">
        <w:rPr>
          <w:rFonts w:ascii="Times New Roman" w:eastAsia="Times New Roman" w:hAnsi="Times New Roman" w:cs="Times New Roman"/>
          <w:bCs/>
          <w:kern w:val="36"/>
          <w:sz w:val="16"/>
          <w:szCs w:val="16"/>
          <w:lang w:eastAsia="lv-LV"/>
        </w:rPr>
        <w:t xml:space="preserve">: </w:t>
      </w:r>
      <w:hyperlink r:id="rId2" w:history="1">
        <w:r w:rsidRPr="00075EE4">
          <w:rPr>
            <w:rStyle w:val="Hyperlink"/>
            <w:rFonts w:ascii="Times New Roman" w:hAnsi="Times New Roman" w:cs="Times New Roman"/>
            <w:sz w:val="16"/>
            <w:szCs w:val="16"/>
          </w:rPr>
          <w:t>https://ec.europa.eu/info/publications/economy-finance/effect-taxes-and-benefits-reforms-poverty-and-inequality-latvia_en</w:t>
        </w:r>
      </w:hyperlink>
    </w:p>
  </w:footnote>
  <w:footnote w:id="4">
    <w:p w14:paraId="5F4C3B9F" w14:textId="77777777" w:rsidR="0047321D" w:rsidRPr="00075EE4" w:rsidRDefault="0047321D" w:rsidP="00075EE4">
      <w:pPr>
        <w:pStyle w:val="FootnoteText"/>
        <w:jc w:val="both"/>
        <w:rPr>
          <w:rFonts w:ascii="Times New Roman" w:hAnsi="Times New Roman" w:cs="Times New Roman"/>
          <w:sz w:val="16"/>
          <w:szCs w:val="16"/>
        </w:rPr>
      </w:pPr>
      <w:r w:rsidRPr="00075EE4">
        <w:rPr>
          <w:rStyle w:val="FootnoteReference"/>
          <w:rFonts w:ascii="Times New Roman" w:hAnsi="Times New Roman" w:cs="Times New Roman"/>
          <w:sz w:val="16"/>
          <w:szCs w:val="16"/>
        </w:rPr>
        <w:footnoteRef/>
      </w:r>
      <w:r w:rsidRPr="00075EE4">
        <w:rPr>
          <w:rFonts w:ascii="Times New Roman" w:hAnsi="Times New Roman" w:cs="Times New Roman"/>
          <w:sz w:val="16"/>
          <w:szCs w:val="16"/>
        </w:rPr>
        <w:t xml:space="preserve"> </w:t>
      </w:r>
      <w:r w:rsidRPr="00075EE4">
        <w:rPr>
          <w:rFonts w:ascii="Times New Roman" w:hAnsi="Times New Roman" w:cs="Times New Roman"/>
          <w:sz w:val="16"/>
          <w:szCs w:val="16"/>
        </w:rPr>
        <w:t xml:space="preserve">Plāna projekts pieejams: </w:t>
      </w:r>
      <w:hyperlink r:id="rId3" w:history="1">
        <w:r w:rsidRPr="00075EE4">
          <w:rPr>
            <w:rStyle w:val="Hyperlink"/>
            <w:rFonts w:ascii="Times New Roman" w:hAnsi="Times New Roman" w:cs="Times New Roman"/>
            <w:sz w:val="16"/>
            <w:szCs w:val="16"/>
          </w:rPr>
          <w:t>http://tap.mk.gov.lv/lv/mk/tap/?pid=40472799</w:t>
        </w:r>
      </w:hyperlink>
    </w:p>
  </w:footnote>
  <w:footnote w:id="5">
    <w:p w14:paraId="0A981D0E" w14:textId="78F3D7A2" w:rsidR="00FE3943" w:rsidRPr="00075EE4" w:rsidRDefault="00FE3943" w:rsidP="00075EE4">
      <w:pPr>
        <w:pStyle w:val="FootnoteText"/>
        <w:jc w:val="both"/>
        <w:rPr>
          <w:rFonts w:ascii="Times New Roman" w:eastAsia="Calibri" w:hAnsi="Times New Roman" w:cs="Times New Roman"/>
          <w:lang w:eastAsia="lv-LV"/>
        </w:rPr>
      </w:pPr>
      <w:r w:rsidRPr="00075EE4">
        <w:rPr>
          <w:rStyle w:val="FootnoteReference"/>
          <w:rFonts w:ascii="Times New Roman" w:hAnsi="Times New Roman" w:cs="Times New Roman"/>
          <w:sz w:val="16"/>
          <w:szCs w:val="16"/>
        </w:rPr>
        <w:footnoteRef/>
      </w:r>
      <w:r w:rsidRPr="00075EE4">
        <w:rPr>
          <w:rFonts w:ascii="Times New Roman" w:hAnsi="Times New Roman" w:cs="Times New Roman"/>
          <w:sz w:val="16"/>
          <w:szCs w:val="16"/>
        </w:rPr>
        <w:t xml:space="preserve"> </w:t>
      </w:r>
      <w:r w:rsidR="004456E5" w:rsidRPr="00075EE4">
        <w:rPr>
          <w:rFonts w:ascii="Times New Roman" w:hAnsi="Times New Roman" w:cs="Times New Roman"/>
          <w:sz w:val="16"/>
          <w:szCs w:val="16"/>
        </w:rPr>
        <w:t>Pēc CSP sniegtajiem datiem m</w:t>
      </w:r>
      <w:r w:rsidRPr="00075EE4">
        <w:rPr>
          <w:rFonts w:ascii="Times New Roman" w:hAnsi="Times New Roman" w:cs="Times New Roman"/>
          <w:color w:val="000000"/>
          <w:sz w:val="16"/>
          <w:szCs w:val="16"/>
          <w:shd w:val="clear" w:color="auto" w:fill="FFFFFF"/>
        </w:rPr>
        <w:t xml:space="preserve">ediāna 2017.gadā bija 494,05 </w:t>
      </w:r>
      <w:proofErr w:type="spellStart"/>
      <w:r w:rsidR="004456E5" w:rsidRPr="00075EE4">
        <w:rPr>
          <w:rFonts w:ascii="Times New Roman" w:hAnsi="Times New Roman" w:cs="Times New Roman"/>
          <w:i/>
          <w:color w:val="000000"/>
          <w:sz w:val="16"/>
          <w:szCs w:val="16"/>
          <w:shd w:val="clear" w:color="auto" w:fill="FFFFFF"/>
        </w:rPr>
        <w:t>euro</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860319"/>
      <w:docPartObj>
        <w:docPartGallery w:val="Page Numbers (Top of Page)"/>
        <w:docPartUnique/>
      </w:docPartObj>
    </w:sdtPr>
    <w:sdtEndPr>
      <w:rPr>
        <w:noProof/>
      </w:rPr>
    </w:sdtEndPr>
    <w:sdtContent>
      <w:p w14:paraId="65B28D4D" w14:textId="1B519969" w:rsidR="009E09E8" w:rsidRDefault="009E09E8">
        <w:pPr>
          <w:pStyle w:val="Header"/>
          <w:jc w:val="center"/>
        </w:pPr>
        <w:r>
          <w:fldChar w:fldCharType="begin"/>
        </w:r>
        <w:r>
          <w:instrText xml:space="preserve"> PAGE   \* MERGEFORMAT </w:instrText>
        </w:r>
        <w:r>
          <w:fldChar w:fldCharType="separate"/>
        </w:r>
        <w:r w:rsidR="00590333">
          <w:rPr>
            <w:noProof/>
          </w:rPr>
          <w:t>3</w:t>
        </w:r>
        <w:r>
          <w:rPr>
            <w:noProof/>
          </w:rPr>
          <w:fldChar w:fldCharType="end"/>
        </w:r>
      </w:p>
    </w:sdtContent>
  </w:sdt>
  <w:p w14:paraId="09FC0FA4" w14:textId="77777777" w:rsidR="009E09E8" w:rsidRDefault="009E0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4984"/>
    <w:multiLevelType w:val="hybridMultilevel"/>
    <w:tmpl w:val="12F255B2"/>
    <w:lvl w:ilvl="0" w:tplc="9392BB96">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FA"/>
    <w:rsid w:val="00075EE4"/>
    <w:rsid w:val="0009468C"/>
    <w:rsid w:val="000A76BD"/>
    <w:rsid w:val="000D26CE"/>
    <w:rsid w:val="0011484B"/>
    <w:rsid w:val="001172E7"/>
    <w:rsid w:val="00132C0B"/>
    <w:rsid w:val="00146450"/>
    <w:rsid w:val="00146B1F"/>
    <w:rsid w:val="001552C0"/>
    <w:rsid w:val="0016743B"/>
    <w:rsid w:val="00197083"/>
    <w:rsid w:val="001C550F"/>
    <w:rsid w:val="001E4FC8"/>
    <w:rsid w:val="002105F9"/>
    <w:rsid w:val="00276911"/>
    <w:rsid w:val="00290CFA"/>
    <w:rsid w:val="0029200A"/>
    <w:rsid w:val="0029252D"/>
    <w:rsid w:val="00294305"/>
    <w:rsid w:val="002A17E1"/>
    <w:rsid w:val="002C5C40"/>
    <w:rsid w:val="003266FE"/>
    <w:rsid w:val="00344A17"/>
    <w:rsid w:val="0036089B"/>
    <w:rsid w:val="0037587B"/>
    <w:rsid w:val="003A5A5B"/>
    <w:rsid w:val="003B6217"/>
    <w:rsid w:val="003C390E"/>
    <w:rsid w:val="003F2579"/>
    <w:rsid w:val="00405209"/>
    <w:rsid w:val="00437E12"/>
    <w:rsid w:val="004456E5"/>
    <w:rsid w:val="0047321D"/>
    <w:rsid w:val="004D6F08"/>
    <w:rsid w:val="004F3352"/>
    <w:rsid w:val="0055591A"/>
    <w:rsid w:val="00590333"/>
    <w:rsid w:val="005F248F"/>
    <w:rsid w:val="00615749"/>
    <w:rsid w:val="00624231"/>
    <w:rsid w:val="006522CD"/>
    <w:rsid w:val="006C319B"/>
    <w:rsid w:val="006D5BA6"/>
    <w:rsid w:val="006D700B"/>
    <w:rsid w:val="006F6C1D"/>
    <w:rsid w:val="007134CD"/>
    <w:rsid w:val="00716E12"/>
    <w:rsid w:val="00724031"/>
    <w:rsid w:val="007360B1"/>
    <w:rsid w:val="00737B8C"/>
    <w:rsid w:val="00755641"/>
    <w:rsid w:val="00756FB8"/>
    <w:rsid w:val="00763869"/>
    <w:rsid w:val="007B577C"/>
    <w:rsid w:val="007F4703"/>
    <w:rsid w:val="008168EF"/>
    <w:rsid w:val="00820C43"/>
    <w:rsid w:val="00826F1B"/>
    <w:rsid w:val="008323E9"/>
    <w:rsid w:val="0084384C"/>
    <w:rsid w:val="00852ACD"/>
    <w:rsid w:val="00874860"/>
    <w:rsid w:val="00896308"/>
    <w:rsid w:val="008A3E00"/>
    <w:rsid w:val="008D151F"/>
    <w:rsid w:val="008F0156"/>
    <w:rsid w:val="008F7023"/>
    <w:rsid w:val="00924B68"/>
    <w:rsid w:val="00935BA2"/>
    <w:rsid w:val="00935F66"/>
    <w:rsid w:val="00952AEE"/>
    <w:rsid w:val="009A5A30"/>
    <w:rsid w:val="009B20AD"/>
    <w:rsid w:val="009B4E1F"/>
    <w:rsid w:val="009D3B1F"/>
    <w:rsid w:val="009E09E8"/>
    <w:rsid w:val="009E12F9"/>
    <w:rsid w:val="00A05028"/>
    <w:rsid w:val="00A15122"/>
    <w:rsid w:val="00AD3E46"/>
    <w:rsid w:val="00AE056D"/>
    <w:rsid w:val="00B11584"/>
    <w:rsid w:val="00B519FB"/>
    <w:rsid w:val="00B84003"/>
    <w:rsid w:val="00B90A8D"/>
    <w:rsid w:val="00B94E5C"/>
    <w:rsid w:val="00BA4428"/>
    <w:rsid w:val="00BA65CB"/>
    <w:rsid w:val="00BA700E"/>
    <w:rsid w:val="00BB458A"/>
    <w:rsid w:val="00BC1BB0"/>
    <w:rsid w:val="00BF7EF7"/>
    <w:rsid w:val="00C30DB0"/>
    <w:rsid w:val="00C466DF"/>
    <w:rsid w:val="00C6614E"/>
    <w:rsid w:val="00C81C3E"/>
    <w:rsid w:val="00C82067"/>
    <w:rsid w:val="00C94DDD"/>
    <w:rsid w:val="00CA0115"/>
    <w:rsid w:val="00CE5D0E"/>
    <w:rsid w:val="00D040C3"/>
    <w:rsid w:val="00D34838"/>
    <w:rsid w:val="00D66EFE"/>
    <w:rsid w:val="00D74E6B"/>
    <w:rsid w:val="00D85D6C"/>
    <w:rsid w:val="00DC0635"/>
    <w:rsid w:val="00DC7199"/>
    <w:rsid w:val="00DD1E06"/>
    <w:rsid w:val="00DD5398"/>
    <w:rsid w:val="00DF1AAA"/>
    <w:rsid w:val="00DF1FCB"/>
    <w:rsid w:val="00E172D5"/>
    <w:rsid w:val="00E346D4"/>
    <w:rsid w:val="00E4294C"/>
    <w:rsid w:val="00E60BE8"/>
    <w:rsid w:val="00E70516"/>
    <w:rsid w:val="00E85839"/>
    <w:rsid w:val="00E96085"/>
    <w:rsid w:val="00EA2F68"/>
    <w:rsid w:val="00EB1E4C"/>
    <w:rsid w:val="00EB2768"/>
    <w:rsid w:val="00EF15B2"/>
    <w:rsid w:val="00EF561D"/>
    <w:rsid w:val="00F11BBC"/>
    <w:rsid w:val="00F21079"/>
    <w:rsid w:val="00F45A13"/>
    <w:rsid w:val="00F52F49"/>
    <w:rsid w:val="00F56D45"/>
    <w:rsid w:val="00FA6216"/>
    <w:rsid w:val="00FC0E5E"/>
    <w:rsid w:val="00FD282D"/>
    <w:rsid w:val="00FD5AFA"/>
    <w:rsid w:val="00FE22ED"/>
    <w:rsid w:val="00FE3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0B9B"/>
  <w15:docId w15:val="{4A789CC2-BB1D-4E3A-89CD-D4E6B3DD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AFA"/>
    <w:rPr>
      <w:color w:val="0000FF"/>
      <w:u w:val="single"/>
    </w:rPr>
  </w:style>
  <w:style w:type="paragraph" w:styleId="NormalWeb">
    <w:name w:val="Normal (Web)"/>
    <w:basedOn w:val="Normal"/>
    <w:uiPriority w:val="99"/>
    <w:semiHidden/>
    <w:unhideWhenUsed/>
    <w:rsid w:val="00FD5A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unhideWhenUsed/>
    <w:qFormat/>
    <w:rsid w:val="00FD5AFA"/>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rsid w:val="00FD5AFA"/>
    <w:rPr>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FD5AFA"/>
    <w:rPr>
      <w:vertAlign w:val="superscript"/>
    </w:rPr>
  </w:style>
  <w:style w:type="paragraph" w:styleId="Header">
    <w:name w:val="header"/>
    <w:basedOn w:val="Normal"/>
    <w:link w:val="HeaderChar"/>
    <w:uiPriority w:val="99"/>
    <w:unhideWhenUsed/>
    <w:rsid w:val="00FE39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3943"/>
  </w:style>
  <w:style w:type="paragraph" w:styleId="Footer">
    <w:name w:val="footer"/>
    <w:basedOn w:val="Normal"/>
    <w:link w:val="FooterChar"/>
    <w:uiPriority w:val="99"/>
    <w:unhideWhenUsed/>
    <w:rsid w:val="00FE39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3943"/>
  </w:style>
  <w:style w:type="paragraph" w:customStyle="1" w:styleId="CharCharCharChar">
    <w:name w:val="Char Char Char Char"/>
    <w:aliases w:val="Char2"/>
    <w:basedOn w:val="Normal"/>
    <w:next w:val="Normal"/>
    <w:link w:val="FootnoteReference"/>
    <w:uiPriority w:val="99"/>
    <w:rsid w:val="00FE3943"/>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7B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77C"/>
    <w:rPr>
      <w:rFonts w:ascii="Segoe UI" w:hAnsi="Segoe UI" w:cs="Segoe UI"/>
      <w:sz w:val="18"/>
      <w:szCs w:val="18"/>
    </w:rPr>
  </w:style>
  <w:style w:type="character" w:styleId="CommentReference">
    <w:name w:val="annotation reference"/>
    <w:basedOn w:val="DefaultParagraphFont"/>
    <w:uiPriority w:val="99"/>
    <w:semiHidden/>
    <w:unhideWhenUsed/>
    <w:rsid w:val="007F4703"/>
    <w:rPr>
      <w:sz w:val="16"/>
      <w:szCs w:val="16"/>
    </w:rPr>
  </w:style>
  <w:style w:type="paragraph" w:styleId="CommentText">
    <w:name w:val="annotation text"/>
    <w:basedOn w:val="Normal"/>
    <w:link w:val="CommentTextChar"/>
    <w:uiPriority w:val="99"/>
    <w:semiHidden/>
    <w:unhideWhenUsed/>
    <w:rsid w:val="007F4703"/>
    <w:pPr>
      <w:spacing w:line="240" w:lineRule="auto"/>
    </w:pPr>
    <w:rPr>
      <w:sz w:val="20"/>
      <w:szCs w:val="20"/>
    </w:rPr>
  </w:style>
  <w:style w:type="character" w:customStyle="1" w:styleId="CommentTextChar">
    <w:name w:val="Comment Text Char"/>
    <w:basedOn w:val="DefaultParagraphFont"/>
    <w:link w:val="CommentText"/>
    <w:uiPriority w:val="99"/>
    <w:semiHidden/>
    <w:rsid w:val="007F4703"/>
    <w:rPr>
      <w:sz w:val="20"/>
      <w:szCs w:val="20"/>
    </w:rPr>
  </w:style>
  <w:style w:type="paragraph" w:styleId="CommentSubject">
    <w:name w:val="annotation subject"/>
    <w:basedOn w:val="CommentText"/>
    <w:next w:val="CommentText"/>
    <w:link w:val="CommentSubjectChar"/>
    <w:uiPriority w:val="99"/>
    <w:semiHidden/>
    <w:unhideWhenUsed/>
    <w:rsid w:val="007F4703"/>
    <w:rPr>
      <w:b/>
      <w:bCs/>
    </w:rPr>
  </w:style>
  <w:style w:type="character" w:customStyle="1" w:styleId="CommentSubjectChar">
    <w:name w:val="Comment Subject Char"/>
    <w:basedOn w:val="CommentTextChar"/>
    <w:link w:val="CommentSubject"/>
    <w:uiPriority w:val="99"/>
    <w:semiHidden/>
    <w:rsid w:val="007F4703"/>
    <w:rPr>
      <w:b/>
      <w:bCs/>
      <w:sz w:val="20"/>
      <w:szCs w:val="20"/>
    </w:rPr>
  </w:style>
  <w:style w:type="character" w:customStyle="1" w:styleId="hps">
    <w:name w:val="hps"/>
    <w:uiPriority w:val="99"/>
    <w:rsid w:val="001552C0"/>
  </w:style>
  <w:style w:type="paragraph" w:customStyle="1" w:styleId="Default">
    <w:name w:val="Default"/>
    <w:uiPriority w:val="99"/>
    <w:rsid w:val="00D040C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uiPriority w:val="59"/>
    <w:unhideWhenUsed/>
    <w:rsid w:val="0034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0115"/>
    <w:rPr>
      <w:color w:val="605E5C"/>
      <w:shd w:val="clear" w:color="auto" w:fill="E1DFDD"/>
    </w:rPr>
  </w:style>
  <w:style w:type="character" w:styleId="FollowedHyperlink">
    <w:name w:val="FollowedHyperlink"/>
    <w:basedOn w:val="DefaultParagraphFont"/>
    <w:uiPriority w:val="99"/>
    <w:semiHidden/>
    <w:unhideWhenUsed/>
    <w:rsid w:val="00DD5398"/>
    <w:rPr>
      <w:color w:val="800080" w:themeColor="followedHyperlink"/>
      <w:u w:val="single"/>
    </w:rPr>
  </w:style>
  <w:style w:type="character" w:styleId="UnresolvedMention">
    <w:name w:val="Unresolved Mention"/>
    <w:basedOn w:val="DefaultParagraphFont"/>
    <w:uiPriority w:val="99"/>
    <w:semiHidden/>
    <w:unhideWhenUsed/>
    <w:rsid w:val="00CE5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100">
      <w:bodyDiv w:val="1"/>
      <w:marLeft w:val="0"/>
      <w:marRight w:val="0"/>
      <w:marTop w:val="0"/>
      <w:marBottom w:val="0"/>
      <w:divBdr>
        <w:top w:val="none" w:sz="0" w:space="0" w:color="auto"/>
        <w:left w:val="none" w:sz="0" w:space="0" w:color="auto"/>
        <w:bottom w:val="none" w:sz="0" w:space="0" w:color="auto"/>
        <w:right w:val="none" w:sz="0" w:space="0" w:color="auto"/>
      </w:divBdr>
    </w:div>
    <w:div w:id="627509109">
      <w:bodyDiv w:val="1"/>
      <w:marLeft w:val="0"/>
      <w:marRight w:val="0"/>
      <w:marTop w:val="0"/>
      <w:marBottom w:val="0"/>
      <w:divBdr>
        <w:top w:val="none" w:sz="0" w:space="0" w:color="auto"/>
        <w:left w:val="none" w:sz="0" w:space="0" w:color="auto"/>
        <w:bottom w:val="none" w:sz="0" w:space="0" w:color="auto"/>
        <w:right w:val="none" w:sz="0" w:space="0" w:color="auto"/>
      </w:divBdr>
    </w:div>
    <w:div w:id="688947023">
      <w:bodyDiv w:val="1"/>
      <w:marLeft w:val="0"/>
      <w:marRight w:val="0"/>
      <w:marTop w:val="0"/>
      <w:marBottom w:val="0"/>
      <w:divBdr>
        <w:top w:val="none" w:sz="0" w:space="0" w:color="auto"/>
        <w:left w:val="none" w:sz="0" w:space="0" w:color="auto"/>
        <w:bottom w:val="none" w:sz="0" w:space="0" w:color="auto"/>
        <w:right w:val="none" w:sz="0" w:space="0" w:color="auto"/>
      </w:divBdr>
    </w:div>
    <w:div w:id="816610979">
      <w:bodyDiv w:val="1"/>
      <w:marLeft w:val="0"/>
      <w:marRight w:val="0"/>
      <w:marTop w:val="0"/>
      <w:marBottom w:val="0"/>
      <w:divBdr>
        <w:top w:val="none" w:sz="0" w:space="0" w:color="auto"/>
        <w:left w:val="none" w:sz="0" w:space="0" w:color="auto"/>
        <w:bottom w:val="none" w:sz="0" w:space="0" w:color="auto"/>
        <w:right w:val="none" w:sz="0" w:space="0" w:color="auto"/>
      </w:divBdr>
    </w:div>
    <w:div w:id="1263296896">
      <w:bodyDiv w:val="1"/>
      <w:marLeft w:val="0"/>
      <w:marRight w:val="0"/>
      <w:marTop w:val="0"/>
      <w:marBottom w:val="0"/>
      <w:divBdr>
        <w:top w:val="none" w:sz="0" w:space="0" w:color="auto"/>
        <w:left w:val="none" w:sz="0" w:space="0" w:color="auto"/>
        <w:bottom w:val="none" w:sz="0" w:space="0" w:color="auto"/>
        <w:right w:val="none" w:sz="0" w:space="0" w:color="auto"/>
      </w:divBdr>
      <w:divsChild>
        <w:div w:id="292174224">
          <w:marLeft w:val="0"/>
          <w:marRight w:val="0"/>
          <w:marTop w:val="480"/>
          <w:marBottom w:val="240"/>
          <w:divBdr>
            <w:top w:val="none" w:sz="0" w:space="0" w:color="auto"/>
            <w:left w:val="none" w:sz="0" w:space="0" w:color="auto"/>
            <w:bottom w:val="none" w:sz="0" w:space="0" w:color="auto"/>
            <w:right w:val="none" w:sz="0" w:space="0" w:color="auto"/>
          </w:divBdr>
        </w:div>
        <w:div w:id="1574655618">
          <w:marLeft w:val="0"/>
          <w:marRight w:val="0"/>
          <w:marTop w:val="0"/>
          <w:marBottom w:val="567"/>
          <w:divBdr>
            <w:top w:val="none" w:sz="0" w:space="0" w:color="auto"/>
            <w:left w:val="none" w:sz="0" w:space="0" w:color="auto"/>
            <w:bottom w:val="none" w:sz="0" w:space="0" w:color="auto"/>
            <w:right w:val="none" w:sz="0" w:space="0" w:color="auto"/>
          </w:divBdr>
        </w:div>
      </w:divsChild>
    </w:div>
    <w:div w:id="1290159970">
      <w:bodyDiv w:val="1"/>
      <w:marLeft w:val="0"/>
      <w:marRight w:val="0"/>
      <w:marTop w:val="0"/>
      <w:marBottom w:val="0"/>
      <w:divBdr>
        <w:top w:val="none" w:sz="0" w:space="0" w:color="auto"/>
        <w:left w:val="none" w:sz="0" w:space="0" w:color="auto"/>
        <w:bottom w:val="none" w:sz="0" w:space="0" w:color="auto"/>
        <w:right w:val="none" w:sz="0" w:space="0" w:color="auto"/>
      </w:divBdr>
    </w:div>
    <w:div w:id="1779638011">
      <w:bodyDiv w:val="1"/>
      <w:marLeft w:val="0"/>
      <w:marRight w:val="0"/>
      <w:marTop w:val="0"/>
      <w:marBottom w:val="0"/>
      <w:divBdr>
        <w:top w:val="none" w:sz="0" w:space="0" w:color="auto"/>
        <w:left w:val="none" w:sz="0" w:space="0" w:color="auto"/>
        <w:bottom w:val="none" w:sz="0" w:space="0" w:color="auto"/>
        <w:right w:val="none" w:sz="0" w:space="0" w:color="auto"/>
      </w:divBdr>
    </w:div>
    <w:div w:id="2034453145">
      <w:bodyDiv w:val="1"/>
      <w:marLeft w:val="0"/>
      <w:marRight w:val="0"/>
      <w:marTop w:val="0"/>
      <w:marBottom w:val="0"/>
      <w:divBdr>
        <w:top w:val="none" w:sz="0" w:space="0" w:color="auto"/>
        <w:left w:val="none" w:sz="0" w:space="0" w:color="auto"/>
        <w:bottom w:val="none" w:sz="0" w:space="0" w:color="auto"/>
        <w:right w:val="none" w:sz="0" w:space="0" w:color="auto"/>
      </w:divBdr>
      <w:divsChild>
        <w:div w:id="494106715">
          <w:marLeft w:val="0"/>
          <w:marRight w:val="0"/>
          <w:marTop w:val="0"/>
          <w:marBottom w:val="0"/>
          <w:divBdr>
            <w:top w:val="none" w:sz="0" w:space="0" w:color="auto"/>
            <w:left w:val="none" w:sz="0" w:space="0" w:color="auto"/>
            <w:bottom w:val="none" w:sz="0" w:space="0" w:color="auto"/>
            <w:right w:val="none" w:sz="0" w:space="0" w:color="auto"/>
          </w:divBdr>
          <w:divsChild>
            <w:div w:id="19693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72799" TargetMode="External"/><Relationship Id="rId2" Type="http://schemas.openxmlformats.org/officeDocument/2006/relationships/hyperlink" Target="https://ec.europa.eu/info/publications/economy-finance/effect-taxes-and-benefits-reforms-poverty-and-inequality-latvia_en" TargetMode="External"/><Relationship Id="rId1" Type="http://schemas.openxmlformats.org/officeDocument/2006/relationships/hyperlink" Target="http://data1.csb.gov.lv/pxweb/lv/sociala/sociala__mb__ienakumi/IIG040.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0171-B0CF-4BFF-B374-00439FE6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9133</Words>
  <Characters>5206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Atbildes projekts Ministru prezidentam</vt:lpstr>
    </vt:vector>
  </TitlesOfParts>
  <Company>LM</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projekts Ministru prezidentam</dc:title>
  <dc:creator>Aiga Lukašenoka</dc:creator>
  <dc:description>Aiga.Lukasenoka@lm.gov.lv_x000d_
67021691</dc:description>
  <cp:lastModifiedBy>Aiga Lukasenoka</cp:lastModifiedBy>
  <cp:revision>3</cp:revision>
  <cp:lastPrinted>2019-05-28T09:10:00Z</cp:lastPrinted>
  <dcterms:created xsi:type="dcterms:W3CDTF">2019-05-28T09:34:00Z</dcterms:created>
  <dcterms:modified xsi:type="dcterms:W3CDTF">2019-05-28T09:34:00Z</dcterms:modified>
</cp:coreProperties>
</file>