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2D01" w:rsidR="007116C7" w:rsidP="00863627" w:rsidRDefault="007116C7" w14:paraId="49D61714" w14:textId="77777777">
      <w:pPr>
        <w:pStyle w:val="naisnod"/>
        <w:spacing w:before="0" w:after="0"/>
      </w:pPr>
      <w:r w:rsidRPr="00022D01">
        <w:t>Izziņa par atzinumos sniegtajiem iebildumiem</w:t>
      </w:r>
    </w:p>
    <w:p w:rsidRPr="00022D01" w:rsidR="007116C7" w:rsidP="00DB7395" w:rsidRDefault="007116C7" w14:paraId="354028B7"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22D01" w:rsidR="007116C7" w14:paraId="790B85B0" w14:textId="77777777">
        <w:trPr>
          <w:jc w:val="center"/>
        </w:trPr>
        <w:tc>
          <w:tcPr>
            <w:tcW w:w="10188" w:type="dxa"/>
            <w:tcBorders>
              <w:bottom w:val="single" w:color="000000" w:sz="6" w:space="0"/>
            </w:tcBorders>
          </w:tcPr>
          <w:p w:rsidRPr="00022D01" w:rsidR="007116C7" w:rsidP="00334F51" w:rsidRDefault="006E790C" w14:paraId="7966D523" w14:textId="21FF7A57">
            <w:pPr>
              <w:pStyle w:val="Parastais"/>
              <w:jc w:val="center"/>
            </w:pPr>
            <w:r>
              <w:t>Ministru kabineta noteikumu</w:t>
            </w:r>
            <w:r w:rsidRPr="006E790C">
              <w:t xml:space="preserve"> </w:t>
            </w:r>
            <w:r w:rsidRPr="006E790C" w:rsidR="00A701F4">
              <w:t>projekt</w:t>
            </w:r>
            <w:r w:rsidR="00A701F4">
              <w:t>s</w:t>
            </w:r>
            <w:r w:rsidRPr="006E790C" w:rsidR="00A701F4">
              <w:t xml:space="preserve"> </w:t>
            </w:r>
            <w:r w:rsidRPr="006E790C">
              <w:t>"Grozījum</w:t>
            </w:r>
            <w:r w:rsidR="00A701F4">
              <w:t>i</w:t>
            </w:r>
            <w:r w:rsidRPr="006E790C">
              <w:t xml:space="preserve"> Ministru kabineta 2012.</w:t>
            </w:r>
            <w:r w:rsidR="00462B6B">
              <w:t> </w:t>
            </w:r>
            <w:r w:rsidRPr="006E790C">
              <w:t>gada 11.</w:t>
            </w:r>
            <w:r w:rsidR="00462B6B">
              <w:t> </w:t>
            </w:r>
            <w:r w:rsidRPr="006E790C">
              <w:t>decembra noteikumos Nr.</w:t>
            </w:r>
            <w:r w:rsidR="00462B6B">
              <w:t> </w:t>
            </w:r>
            <w:r w:rsidRPr="006E790C">
              <w:t>867 "Kārtība, kādā nosakāms maksimāli pieļaujamais valsts budžeta izdevumu kopapjoms un maksimāli pieļaujamais valsts budžeta izdevumu kopējais apjoms katrai ministrijai un citām centrālajām valsts iestādēm vidējam termiņam"" (VSS-923)</w:t>
            </w:r>
          </w:p>
        </w:tc>
      </w:tr>
    </w:tbl>
    <w:p w:rsidRPr="00712B66" w:rsidR="007B4C0F" w:rsidP="00DB7395" w:rsidRDefault="007B4C0F" w14:paraId="4A14B962" w14:textId="77777777">
      <w:pPr>
        <w:pStyle w:val="naisf"/>
        <w:spacing w:before="0" w:after="0"/>
        <w:ind w:firstLine="720"/>
      </w:pPr>
    </w:p>
    <w:p w:rsidR="007B4C0F" w:rsidP="00863627" w:rsidRDefault="008601B6" w14:paraId="1818B59A" w14:textId="77777777">
      <w:pPr>
        <w:pStyle w:val="naisf"/>
        <w:spacing w:before="0" w:after="0"/>
        <w:ind w:firstLine="0"/>
        <w:jc w:val="center"/>
        <w:rPr>
          <w:b/>
        </w:rPr>
      </w:pPr>
      <w:r>
        <w:rPr>
          <w:b/>
        </w:rPr>
        <w:t>I. </w:t>
      </w:r>
      <w:r w:rsidRPr="00712B66" w:rsidR="007B4C0F">
        <w:rPr>
          <w:b/>
        </w:rPr>
        <w:t xml:space="preserve">Jautājumi, par kuriem saskaņošanā </w:t>
      </w:r>
      <w:r w:rsidRPr="00712B66" w:rsidR="00134188">
        <w:rPr>
          <w:b/>
        </w:rPr>
        <w:t xml:space="preserve">vienošanās </w:t>
      </w:r>
      <w:r w:rsidRPr="00712B66" w:rsidR="007B4C0F">
        <w:rPr>
          <w:b/>
        </w:rPr>
        <w:t>nav panākta</w:t>
      </w:r>
    </w:p>
    <w:p w:rsidRPr="00712B66" w:rsidR="008601B6" w:rsidP="008601B6" w:rsidRDefault="008601B6" w14:paraId="06FB95FD"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5F4BFD" w:rsidTr="0048022C" w14:paraId="2D02A416"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7CB5B17F" w14:textId="77777777">
            <w:pPr>
              <w:pStyle w:val="naisc"/>
              <w:spacing w:before="0" w:after="0"/>
            </w:pPr>
            <w:r w:rsidRPr="00712B66">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16743E1"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51A3FA8F"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AD02867"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3EAAB2D6"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359B9728" w14:textId="77777777">
            <w:pPr>
              <w:pStyle w:val="Parastais"/>
              <w:jc w:val="center"/>
            </w:pPr>
            <w:r w:rsidRPr="00712B66">
              <w:t>Projekta attiecīgā punkta (panta) galīgā redakcija</w:t>
            </w:r>
          </w:p>
        </w:tc>
      </w:tr>
      <w:tr w:rsidRPr="008A36C9" w:rsidR="005F4BFD" w:rsidTr="0048022C" w14:paraId="64CBD2C6" w14:textId="77777777">
        <w:tc>
          <w:tcPr>
            <w:tcW w:w="709" w:type="dxa"/>
            <w:tcBorders>
              <w:top w:val="single" w:color="000000" w:sz="6" w:space="0"/>
              <w:left w:val="single" w:color="000000" w:sz="6" w:space="0"/>
              <w:bottom w:val="single" w:color="000000" w:sz="6" w:space="0"/>
              <w:right w:val="single" w:color="000000" w:sz="6" w:space="0"/>
            </w:tcBorders>
          </w:tcPr>
          <w:p w:rsidRPr="008A36C9" w:rsidR="005F4BFD" w:rsidP="0048022C" w:rsidRDefault="008A36C9" w14:paraId="595DAF91" w14:textId="77777777">
            <w:pPr>
              <w:pStyle w:val="naisc"/>
              <w:spacing w:before="0" w:after="0"/>
              <w:rPr>
                <w:sz w:val="20"/>
                <w:szCs w:val="20"/>
              </w:rPr>
            </w:pPr>
            <w:r w:rsidRPr="008A36C9">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A2523C4" w14:textId="77777777">
            <w:pPr>
              <w:pStyle w:val="naisc"/>
              <w:spacing w:before="0" w:after="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DDA0B16" w14:textId="77777777">
            <w:pPr>
              <w:pStyle w:val="naisc"/>
              <w:spacing w:before="0" w:after="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30E858FC" w14:textId="77777777">
            <w:pPr>
              <w:pStyle w:val="naisc"/>
              <w:spacing w:before="0" w:after="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48022C" w:rsidRDefault="008A36C9" w14:paraId="5CAA771D"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48022C" w:rsidRDefault="008A36C9" w14:paraId="12A87CE3" w14:textId="77777777">
            <w:pPr>
              <w:pStyle w:val="Parastais"/>
              <w:jc w:val="center"/>
              <w:rPr>
                <w:sz w:val="20"/>
                <w:szCs w:val="20"/>
              </w:rPr>
            </w:pPr>
            <w:r w:rsidRPr="008A36C9">
              <w:rPr>
                <w:sz w:val="20"/>
                <w:szCs w:val="20"/>
              </w:rPr>
              <w:t>6</w:t>
            </w:r>
          </w:p>
        </w:tc>
      </w:tr>
      <w:tr w:rsidRPr="00712B66" w:rsidR="005F4BFD" w:rsidTr="0048022C" w14:paraId="265F3552" w14:textId="77777777">
        <w:tc>
          <w:tcPr>
            <w:tcW w:w="709" w:type="dxa"/>
            <w:tcBorders>
              <w:left w:val="single" w:color="000000" w:sz="6" w:space="0"/>
              <w:bottom w:val="single" w:color="auto" w:sz="4" w:space="0"/>
              <w:right w:val="single" w:color="000000" w:sz="6" w:space="0"/>
            </w:tcBorders>
          </w:tcPr>
          <w:p w:rsidRPr="00712B66" w:rsidR="005F4BFD" w:rsidP="00863627" w:rsidRDefault="005F4BFD" w14:paraId="7A61EC9D" w14:textId="77777777">
            <w:pPr>
              <w:pStyle w:val="naisc"/>
              <w:spacing w:before="0" w:after="0"/>
              <w:ind w:firstLine="720"/>
              <w:jc w:val="both"/>
            </w:pPr>
          </w:p>
        </w:tc>
        <w:tc>
          <w:tcPr>
            <w:tcW w:w="2977" w:type="dxa"/>
            <w:tcBorders>
              <w:left w:val="single" w:color="000000" w:sz="6" w:space="0"/>
              <w:bottom w:val="single" w:color="auto" w:sz="4" w:space="0"/>
              <w:right w:val="single" w:color="000000" w:sz="6" w:space="0"/>
            </w:tcBorders>
          </w:tcPr>
          <w:p w:rsidRPr="00712B66" w:rsidR="005F4BFD" w:rsidP="00863627" w:rsidRDefault="005F4BFD" w14:paraId="19BF3873" w14:textId="77777777">
            <w:pPr>
              <w:pStyle w:val="naisc"/>
              <w:spacing w:before="0" w:after="0"/>
              <w:ind w:firstLine="720"/>
              <w:jc w:val="both"/>
            </w:pPr>
          </w:p>
        </w:tc>
        <w:tc>
          <w:tcPr>
            <w:tcW w:w="3118" w:type="dxa"/>
            <w:tcBorders>
              <w:left w:val="single" w:color="000000" w:sz="6" w:space="0"/>
              <w:bottom w:val="single" w:color="auto" w:sz="4" w:space="0"/>
              <w:right w:val="single" w:color="000000" w:sz="6" w:space="0"/>
            </w:tcBorders>
          </w:tcPr>
          <w:p w:rsidRPr="00423F65" w:rsidR="005F4BFD" w:rsidP="00863627" w:rsidRDefault="005F4BFD" w14:paraId="57E55F87" w14:textId="77777777">
            <w:pPr>
              <w:pStyle w:val="naisc"/>
              <w:spacing w:before="0" w:after="0"/>
              <w:ind w:firstLine="720"/>
              <w:jc w:val="both"/>
              <w:rPr>
                <w:b/>
              </w:rPr>
            </w:pPr>
          </w:p>
        </w:tc>
        <w:tc>
          <w:tcPr>
            <w:tcW w:w="2977" w:type="dxa"/>
            <w:tcBorders>
              <w:left w:val="single" w:color="000000" w:sz="6" w:space="0"/>
              <w:bottom w:val="single" w:color="auto" w:sz="4" w:space="0"/>
              <w:right w:val="single" w:color="000000" w:sz="6" w:space="0"/>
            </w:tcBorders>
          </w:tcPr>
          <w:p w:rsidRPr="00423F65" w:rsidR="005F4BFD" w:rsidP="00863627" w:rsidRDefault="005F4BFD" w14:paraId="158EB063" w14:textId="77777777">
            <w:pPr>
              <w:pStyle w:val="naisc"/>
              <w:spacing w:before="0" w:after="0"/>
              <w:ind w:firstLine="720"/>
              <w:jc w:val="both"/>
              <w:rPr>
                <w:b/>
              </w:rPr>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863627" w:rsidRDefault="005F4BFD" w14:paraId="1E11807C" w14:textId="77777777">
            <w:pPr>
              <w:pStyle w:val="Parastais"/>
              <w:jc w:val="both"/>
            </w:pPr>
          </w:p>
        </w:tc>
        <w:tc>
          <w:tcPr>
            <w:tcW w:w="1920" w:type="dxa"/>
            <w:tcBorders>
              <w:top w:val="single" w:color="auto" w:sz="4" w:space="0"/>
              <w:left w:val="single" w:color="auto" w:sz="4" w:space="0"/>
              <w:bottom w:val="single" w:color="auto" w:sz="4" w:space="0"/>
            </w:tcBorders>
          </w:tcPr>
          <w:p w:rsidRPr="00712B66" w:rsidR="005F4BFD" w:rsidP="00863627" w:rsidRDefault="005F4BFD" w14:paraId="207AE991" w14:textId="77777777">
            <w:pPr>
              <w:pStyle w:val="Parastais"/>
              <w:jc w:val="both"/>
            </w:pPr>
          </w:p>
        </w:tc>
      </w:tr>
    </w:tbl>
    <w:p w:rsidRPr="00712B66" w:rsidR="007B4C0F" w:rsidP="007B4C0F" w:rsidRDefault="007B4C0F" w14:paraId="2D8D55DE" w14:textId="77777777">
      <w:pPr>
        <w:pStyle w:val="naisf"/>
        <w:spacing w:before="0" w:after="0"/>
        <w:ind w:firstLine="0"/>
      </w:pPr>
    </w:p>
    <w:p w:rsidRPr="00712B66" w:rsidR="005D67F7" w:rsidP="005D67F7" w:rsidRDefault="005D67F7" w14:paraId="2223FFA4"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5A12EFD2" w14:textId="77777777">
      <w:pPr>
        <w:pStyle w:val="naisf"/>
        <w:spacing w:before="0" w:after="0"/>
        <w:ind w:firstLine="0"/>
        <w:rPr>
          <w:b/>
        </w:rPr>
      </w:pPr>
    </w:p>
    <w:tbl>
      <w:tblPr>
        <w:tblW w:w="12090" w:type="dxa"/>
        <w:tblLook w:val="00A0" w:firstRow="1" w:lastRow="0" w:firstColumn="1" w:lastColumn="0" w:noHBand="0" w:noVBand="0"/>
      </w:tblPr>
      <w:tblGrid>
        <w:gridCol w:w="6345"/>
        <w:gridCol w:w="363"/>
        <w:gridCol w:w="346"/>
        <w:gridCol w:w="5036"/>
      </w:tblGrid>
      <w:tr w:rsidRPr="00712B66" w:rsidR="007B4C0F" w:rsidTr="00A733B4" w14:paraId="6EE4DD7C" w14:textId="77777777">
        <w:tc>
          <w:tcPr>
            <w:tcW w:w="6345" w:type="dxa"/>
          </w:tcPr>
          <w:p w:rsidRPr="00712B66" w:rsidR="007B4C0F" w:rsidP="005D67F7" w:rsidRDefault="005D67F7" w14:paraId="238742CD" w14:textId="77777777">
            <w:pPr>
              <w:pStyle w:val="naisf"/>
              <w:spacing w:before="0" w:after="0"/>
              <w:ind w:firstLine="0"/>
            </w:pPr>
            <w:r w:rsidRPr="00712B66">
              <w:t>D</w:t>
            </w:r>
            <w:r w:rsidRPr="00712B66" w:rsidR="007B4C0F">
              <w:t>atums</w:t>
            </w:r>
          </w:p>
        </w:tc>
        <w:tc>
          <w:tcPr>
            <w:tcW w:w="5745" w:type="dxa"/>
            <w:gridSpan w:val="3"/>
            <w:tcBorders>
              <w:bottom w:val="single" w:color="auto" w:sz="4" w:space="0"/>
            </w:tcBorders>
          </w:tcPr>
          <w:p w:rsidRPr="00712B66" w:rsidR="007B4C0F" w:rsidP="0036160E" w:rsidRDefault="00A733B4" w14:paraId="171A8173" w14:textId="77777777">
            <w:pPr>
              <w:pStyle w:val="ParastaisWeb"/>
              <w:spacing w:before="0" w:beforeAutospacing="0" w:after="0" w:afterAutospacing="0"/>
              <w:ind w:firstLine="720"/>
            </w:pPr>
            <w:r>
              <w:t>2019. gada 24. janvārī</w:t>
            </w:r>
          </w:p>
        </w:tc>
      </w:tr>
      <w:tr w:rsidRPr="00712B66" w:rsidR="003C27A2" w:rsidTr="00A733B4" w14:paraId="1C5B0F82" w14:textId="77777777">
        <w:tc>
          <w:tcPr>
            <w:tcW w:w="6345" w:type="dxa"/>
          </w:tcPr>
          <w:p w:rsidRPr="00712B66" w:rsidR="003C27A2" w:rsidP="007B4C0F" w:rsidRDefault="003C27A2" w14:paraId="5D11CD8A" w14:textId="77777777">
            <w:pPr>
              <w:pStyle w:val="naisf"/>
              <w:spacing w:before="0" w:after="0"/>
              <w:ind w:firstLine="0"/>
            </w:pPr>
          </w:p>
        </w:tc>
        <w:tc>
          <w:tcPr>
            <w:tcW w:w="5745" w:type="dxa"/>
            <w:gridSpan w:val="3"/>
            <w:tcBorders>
              <w:top w:val="single" w:color="auto" w:sz="4" w:space="0"/>
            </w:tcBorders>
          </w:tcPr>
          <w:p w:rsidRPr="00712B66" w:rsidR="003C27A2" w:rsidP="0036160E" w:rsidRDefault="003C27A2" w14:paraId="0F070BC4" w14:textId="77777777">
            <w:pPr>
              <w:pStyle w:val="ParastaisWeb"/>
              <w:spacing w:before="0" w:beforeAutospacing="0" w:after="0" w:afterAutospacing="0"/>
              <w:ind w:firstLine="720"/>
            </w:pPr>
          </w:p>
        </w:tc>
      </w:tr>
      <w:tr w:rsidRPr="00712B66" w:rsidR="007B4C0F" w:rsidTr="00A733B4" w14:paraId="07525A21" w14:textId="77777777">
        <w:tc>
          <w:tcPr>
            <w:tcW w:w="6345" w:type="dxa"/>
          </w:tcPr>
          <w:p w:rsidR="007B4C0F" w:rsidP="003C27A2" w:rsidRDefault="00365CC0" w14:paraId="6C6EB5A1" w14:textId="77777777">
            <w:pPr>
              <w:pStyle w:val="naiskr"/>
              <w:spacing w:before="0" w:after="0"/>
            </w:pPr>
            <w:r>
              <w:t>Saskaņošanas d</w:t>
            </w:r>
            <w:r w:rsidRPr="00712B66">
              <w:t>alībnieki</w:t>
            </w:r>
          </w:p>
          <w:p w:rsidRPr="00712B66" w:rsidR="00286C8D" w:rsidP="003C27A2" w:rsidRDefault="00286C8D" w14:paraId="6E3AE5A9" w14:textId="77777777">
            <w:pPr>
              <w:pStyle w:val="naiskr"/>
              <w:spacing w:before="0" w:after="0"/>
            </w:pPr>
          </w:p>
        </w:tc>
        <w:tc>
          <w:tcPr>
            <w:tcW w:w="5745" w:type="dxa"/>
            <w:gridSpan w:val="3"/>
          </w:tcPr>
          <w:p w:rsidRPr="00712B66" w:rsidR="007B4C0F" w:rsidP="0036160E" w:rsidRDefault="00286C8D" w14:paraId="64896E1E" w14:textId="77777777">
            <w:pPr>
              <w:pStyle w:val="ParastaisWeb"/>
              <w:spacing w:before="0" w:beforeAutospacing="0" w:after="0" w:afterAutospacing="0"/>
              <w:ind w:firstLine="720"/>
            </w:pPr>
            <w:r>
              <w:t>Finanšu ministrija</w:t>
            </w:r>
          </w:p>
        </w:tc>
      </w:tr>
      <w:tr w:rsidRPr="00712B66" w:rsidR="007B4C0F" w:rsidTr="00A733B4" w14:paraId="02D5C9A7" w14:textId="77777777">
        <w:trPr>
          <w:trHeight w:val="285"/>
        </w:trPr>
        <w:tc>
          <w:tcPr>
            <w:tcW w:w="6708" w:type="dxa"/>
            <w:gridSpan w:val="2"/>
          </w:tcPr>
          <w:p w:rsidR="007B4C0F" w:rsidP="000D0AED" w:rsidRDefault="00365CC0" w14:paraId="7D5866AC"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p w:rsidRPr="00712B66" w:rsidR="00286C8D" w:rsidP="000D0AED" w:rsidRDefault="00286C8D" w14:paraId="4367C7A6" w14:textId="77777777">
            <w:pPr>
              <w:pStyle w:val="naiskr"/>
              <w:spacing w:before="0" w:after="0"/>
            </w:pPr>
          </w:p>
        </w:tc>
        <w:tc>
          <w:tcPr>
            <w:tcW w:w="346" w:type="dxa"/>
          </w:tcPr>
          <w:p w:rsidRPr="00712B66" w:rsidR="007B4C0F" w:rsidP="0036160E" w:rsidRDefault="007B4C0F" w14:paraId="7F630C2F" w14:textId="77777777">
            <w:pPr>
              <w:pStyle w:val="naiskr"/>
              <w:spacing w:before="0" w:after="0"/>
              <w:ind w:firstLine="720"/>
            </w:pPr>
          </w:p>
        </w:tc>
        <w:tc>
          <w:tcPr>
            <w:tcW w:w="5034" w:type="dxa"/>
          </w:tcPr>
          <w:p w:rsidRPr="00712B66" w:rsidR="007B4C0F" w:rsidP="0036160E" w:rsidRDefault="00286C8D" w14:paraId="15D761F6" w14:textId="77777777">
            <w:pPr>
              <w:pStyle w:val="naiskr"/>
              <w:spacing w:before="0" w:after="0"/>
              <w:ind w:firstLine="12"/>
            </w:pPr>
            <w:r>
              <w:t>Finanšu ministrija</w:t>
            </w:r>
          </w:p>
        </w:tc>
      </w:tr>
      <w:tr w:rsidRPr="00712B66" w:rsidR="007B4C0F" w:rsidTr="00A733B4" w14:paraId="7D818C77" w14:textId="77777777">
        <w:tc>
          <w:tcPr>
            <w:tcW w:w="6708" w:type="dxa"/>
            <w:gridSpan w:val="2"/>
          </w:tcPr>
          <w:p w:rsidRPr="00712B66" w:rsidR="007B4C0F" w:rsidP="0036160E" w:rsidRDefault="007B4C0F" w14:paraId="5EA5B062"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382" w:type="dxa"/>
            <w:gridSpan w:val="2"/>
          </w:tcPr>
          <w:p w:rsidRPr="00712B66" w:rsidR="007B4C0F" w:rsidP="0036160E" w:rsidRDefault="00A701F4" w14:paraId="156C7999" w14:textId="77777777">
            <w:pPr>
              <w:pStyle w:val="naiskr"/>
              <w:spacing w:before="0" w:after="0"/>
              <w:ind w:firstLine="720"/>
            </w:pPr>
            <w:r>
              <w:t>Nav.</w:t>
            </w:r>
          </w:p>
        </w:tc>
      </w:tr>
      <w:tr w:rsidRPr="00712B66" w:rsidR="007B4C0F" w:rsidTr="00A733B4" w14:paraId="432B87C1" w14:textId="77777777">
        <w:tc>
          <w:tcPr>
            <w:tcW w:w="6708" w:type="dxa"/>
            <w:gridSpan w:val="2"/>
          </w:tcPr>
          <w:p w:rsidRPr="00712B66" w:rsidR="007B4C0F" w:rsidP="0036160E" w:rsidRDefault="007B4C0F" w14:paraId="6DF69FAC" w14:textId="77777777">
            <w:pPr>
              <w:pStyle w:val="naiskr"/>
              <w:spacing w:before="0" w:after="0"/>
              <w:ind w:firstLine="720"/>
            </w:pPr>
            <w:r w:rsidRPr="00712B66">
              <w:t>  </w:t>
            </w:r>
          </w:p>
        </w:tc>
        <w:tc>
          <w:tcPr>
            <w:tcW w:w="5382" w:type="dxa"/>
            <w:gridSpan w:val="2"/>
            <w:tcBorders>
              <w:top w:val="single" w:color="000000" w:sz="6" w:space="0"/>
              <w:bottom w:val="single" w:color="000000" w:sz="6" w:space="0"/>
            </w:tcBorders>
          </w:tcPr>
          <w:p w:rsidRPr="00712B66" w:rsidR="007B4C0F" w:rsidP="0036160E" w:rsidRDefault="007B4C0F" w14:paraId="29587FCC" w14:textId="77777777">
            <w:pPr>
              <w:pStyle w:val="naiskr"/>
              <w:spacing w:before="0" w:after="0"/>
              <w:ind w:firstLine="720"/>
            </w:pPr>
          </w:p>
        </w:tc>
      </w:tr>
    </w:tbl>
    <w:p w:rsidR="008601B6" w:rsidP="00184479" w:rsidRDefault="008601B6" w14:paraId="7803DE5D" w14:textId="77777777">
      <w:pPr>
        <w:pStyle w:val="naisf"/>
        <w:spacing w:before="0" w:after="0"/>
        <w:ind w:firstLine="0"/>
        <w:jc w:val="center"/>
        <w:rPr>
          <w:b/>
        </w:rPr>
      </w:pPr>
    </w:p>
    <w:p w:rsidR="007B4C0F" w:rsidP="00184479" w:rsidRDefault="007B4C0F" w14:paraId="47767B2A" w14:textId="77777777">
      <w:pPr>
        <w:pStyle w:val="naisf"/>
        <w:spacing w:before="0" w:after="0"/>
        <w:ind w:firstLine="0"/>
        <w:jc w:val="center"/>
        <w:rPr>
          <w:b/>
        </w:rPr>
      </w:pPr>
      <w:r w:rsidRPr="00712B66">
        <w:rPr>
          <w:b/>
        </w:rPr>
        <w:lastRenderedPageBreak/>
        <w:t>II. </w:t>
      </w:r>
      <w:r w:rsidRPr="00712B66" w:rsidR="00134188">
        <w:rPr>
          <w:b/>
        </w:rPr>
        <w:t>Jautājumi, par kuriem saskaņošanā vienošan</w:t>
      </w:r>
      <w:r w:rsidR="00144622">
        <w:rPr>
          <w:b/>
        </w:rPr>
        <w:t>ā</w:t>
      </w:r>
      <w:r w:rsidRPr="00712B66" w:rsidR="00134188">
        <w:rPr>
          <w:b/>
        </w:rPr>
        <w:t>s ir panākta</w:t>
      </w:r>
    </w:p>
    <w:p w:rsidRPr="00712B66" w:rsidR="008601B6" w:rsidP="00184479" w:rsidRDefault="008601B6" w14:paraId="275FCAF5"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1311"/>
        <w:gridCol w:w="3544"/>
      </w:tblGrid>
      <w:tr w:rsidRPr="00712B66" w:rsidR="00134188" w:rsidTr="009E5679" w14:paraId="559C7BD8"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0F9E489" w14:textId="77777777">
            <w:pPr>
              <w:pStyle w:val="naisc"/>
              <w:spacing w:before="0" w:after="0"/>
            </w:pPr>
            <w:r w:rsidRPr="00712B66">
              <w:t>Nr. p.k.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DC112D8"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62FCAF59"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2DFE318"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544" w:type="dxa"/>
            <w:tcBorders>
              <w:top w:val="single" w:color="auto" w:sz="4" w:space="0"/>
              <w:left w:val="single" w:color="auto" w:sz="4" w:space="0"/>
              <w:bottom w:val="single" w:color="auto" w:sz="4" w:space="0"/>
            </w:tcBorders>
            <w:vAlign w:val="center"/>
          </w:tcPr>
          <w:p w:rsidRPr="00712B66" w:rsidR="00134188" w:rsidP="009623BC" w:rsidRDefault="00134188" w14:paraId="3217C991" w14:textId="77777777">
            <w:pPr>
              <w:pStyle w:val="Parastais"/>
              <w:jc w:val="center"/>
            </w:pPr>
            <w:r w:rsidRPr="00712B66">
              <w:t>Projekta attiecīgā punkta (panta) galīgā redakcija</w:t>
            </w:r>
          </w:p>
        </w:tc>
      </w:tr>
      <w:tr w:rsidRPr="003B71E0" w:rsidR="00134188" w:rsidTr="009E5679" w14:paraId="55A0592C"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6F47E1D6" w14:textId="77777777">
            <w:pPr>
              <w:pStyle w:val="naisc"/>
              <w:spacing w:before="0" w:after="0"/>
              <w:rPr>
                <w:sz w:val="20"/>
                <w:szCs w:val="20"/>
              </w:rPr>
            </w:pPr>
            <w:r w:rsidRPr="003B71E0">
              <w:rPr>
                <w:sz w:val="20"/>
                <w:szCs w:val="20"/>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33AFBCD0" w14:textId="77777777">
            <w:pPr>
              <w:pStyle w:val="naisc"/>
              <w:spacing w:before="0" w:after="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77EB4AF4" w14:textId="77777777">
            <w:pPr>
              <w:pStyle w:val="naisc"/>
              <w:spacing w:before="0" w:after="0"/>
              <w:rPr>
                <w:sz w:val="20"/>
                <w:szCs w:val="20"/>
              </w:rPr>
            </w:pPr>
            <w:r w:rsidRPr="003B71E0">
              <w:rPr>
                <w:sz w:val="20"/>
                <w:szCs w:val="20"/>
              </w:rPr>
              <w:t>3</w:t>
            </w:r>
          </w:p>
        </w:tc>
        <w:tc>
          <w:tcPr>
            <w:tcW w:w="2410"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18A77937" w14:textId="77777777">
            <w:pPr>
              <w:pStyle w:val="naisc"/>
              <w:spacing w:before="0" w:after="0"/>
              <w:rPr>
                <w:sz w:val="20"/>
                <w:szCs w:val="20"/>
              </w:rPr>
            </w:pPr>
            <w:r w:rsidRPr="003B71E0">
              <w:rPr>
                <w:sz w:val="20"/>
                <w:szCs w:val="20"/>
              </w:rPr>
              <w:t>4</w:t>
            </w:r>
          </w:p>
        </w:tc>
        <w:tc>
          <w:tcPr>
            <w:tcW w:w="3544" w:type="dxa"/>
            <w:tcBorders>
              <w:top w:val="single" w:color="auto" w:sz="4" w:space="0"/>
              <w:left w:val="single" w:color="auto" w:sz="4" w:space="0"/>
              <w:bottom w:val="single" w:color="auto" w:sz="4" w:space="0"/>
            </w:tcBorders>
          </w:tcPr>
          <w:p w:rsidRPr="003B71E0" w:rsidR="00134188" w:rsidP="003B71E0" w:rsidRDefault="003B71E0" w14:paraId="6BE1EF25" w14:textId="77777777">
            <w:pPr>
              <w:pStyle w:val="Parastais"/>
              <w:jc w:val="center"/>
              <w:rPr>
                <w:sz w:val="20"/>
                <w:szCs w:val="20"/>
              </w:rPr>
            </w:pPr>
            <w:r w:rsidRPr="003B71E0">
              <w:rPr>
                <w:sz w:val="20"/>
                <w:szCs w:val="20"/>
              </w:rPr>
              <w:t>5</w:t>
            </w:r>
          </w:p>
        </w:tc>
      </w:tr>
      <w:tr w:rsidRPr="00875E63" w:rsidR="00423F65" w:rsidTr="009E5679" w14:paraId="24030254" w14:textId="77777777">
        <w:tc>
          <w:tcPr>
            <w:tcW w:w="708" w:type="dxa"/>
            <w:tcBorders>
              <w:left w:val="single" w:color="000000" w:sz="6" w:space="0"/>
              <w:bottom w:val="single" w:color="auto" w:sz="4" w:space="0"/>
              <w:right w:val="single" w:color="000000" w:sz="6" w:space="0"/>
            </w:tcBorders>
          </w:tcPr>
          <w:p w:rsidRPr="00875E63" w:rsidR="00A733B4" w:rsidP="00A733B4" w:rsidRDefault="00423F65" w14:paraId="0389DB35" w14:textId="77777777">
            <w:pPr>
              <w:pStyle w:val="naisc"/>
              <w:spacing w:before="0" w:after="0"/>
              <w:ind w:firstLine="720"/>
            </w:pPr>
            <w:r w:rsidRPr="00875E63">
              <w:t>1</w:t>
            </w:r>
            <w:r w:rsidRPr="00875E63" w:rsidR="00A733B4">
              <w:t>1.</w:t>
            </w:r>
          </w:p>
        </w:tc>
        <w:tc>
          <w:tcPr>
            <w:tcW w:w="3086" w:type="dxa"/>
            <w:gridSpan w:val="2"/>
            <w:tcBorders>
              <w:left w:val="single" w:color="000000" w:sz="6" w:space="0"/>
              <w:bottom w:val="single" w:color="auto" w:sz="4" w:space="0"/>
              <w:right w:val="single" w:color="000000" w:sz="6" w:space="0"/>
            </w:tcBorders>
          </w:tcPr>
          <w:p w:rsidRPr="00875E63" w:rsidR="0095158E" w:rsidP="0095158E" w:rsidRDefault="00423F65" w14:paraId="5AAB3B25" w14:textId="165B6564">
            <w:pPr>
              <w:pStyle w:val="naisc"/>
              <w:ind w:firstLine="720"/>
              <w:jc w:val="both"/>
            </w:pPr>
            <w:r w:rsidRPr="00875E63">
              <w:t xml:space="preserve">Anotācijas </w:t>
            </w:r>
            <w:r w:rsidR="00A701F4">
              <w:t xml:space="preserve">I sadaļas </w:t>
            </w:r>
            <w:r w:rsidRPr="00875E63">
              <w:t>2.</w:t>
            </w:r>
            <w:r w:rsidR="00A701F4">
              <w:t> </w:t>
            </w:r>
            <w:r w:rsidRPr="00875E63">
              <w:t>punkt</w:t>
            </w:r>
            <w:r w:rsidR="00A701F4">
              <w:t>s</w:t>
            </w:r>
            <w:r w:rsidR="003E0D62">
              <w:t>:</w:t>
            </w:r>
            <w:r w:rsidRPr="00875E63">
              <w:t xml:space="preserve"> </w:t>
            </w:r>
            <w:r w:rsidR="00A701F4">
              <w:t>"</w:t>
            </w:r>
            <w:r w:rsidRPr="00875E63" w:rsidR="0095158E">
              <w:t>Likum</w:t>
            </w:r>
            <w:r w:rsidR="003E0D62">
              <w:t>s</w:t>
            </w:r>
            <w:r w:rsidRPr="00875E63" w:rsidR="0095158E">
              <w:t xml:space="preserve"> par budžetu un finanšu vadību paredz tiesības ministrijām un citām centrālajām valsts iestādēm iesniegt vidēja termiņa budžeta ietvara likuma projekta un gadskārtējā valsts budžeta likuma projektu, nevis Ministru kabineta padotībā esošai iestādei. Līdz ar to, līdz datu regulas un Fizisko personu datu apstrādes likuma spēkā stāšanās brīdim, inspekcija kā Tieslietu ministrijas padotības iestāde priekšlikumus vidēja termiņa budžeta ietvara likuma projektam un gadskārtējā </w:t>
            </w:r>
            <w:bookmarkStart w:name="_GoBack" w:id="0"/>
            <w:bookmarkEnd w:id="0"/>
            <w:r w:rsidRPr="00875E63" w:rsidR="0095158E">
              <w:t xml:space="preserve">valsts budžeta likuma </w:t>
            </w:r>
            <w:r w:rsidRPr="00875E63" w:rsidR="0095158E">
              <w:lastRenderedPageBreak/>
              <w:t>projektam iesniedza Tieslietu ministrijai.</w:t>
            </w:r>
          </w:p>
          <w:p w:rsidRPr="00875E63" w:rsidR="00423F65" w:rsidP="0095158E" w:rsidRDefault="0095158E" w14:paraId="7608F1CD" w14:textId="4B4D7509">
            <w:pPr>
              <w:pStyle w:val="naisc"/>
              <w:spacing w:before="0" w:after="0"/>
              <w:ind w:firstLine="720"/>
              <w:jc w:val="both"/>
            </w:pPr>
            <w:r w:rsidRPr="00875E63">
              <w:t>Inspekcijai ir tiesības iesniegt tikai priekšlikumus vidēja termiņa budžeta ietvara likuma projektam un gadskārtējā valsts budžeta likuma projektam, nevis vidēja termiņa budžeta ietvara likuma projektu un gadskārtējā valsts budžeta likuma projektu izskatīšanai Ministru kabineta sēdē ar tieslietu ministra starpniecību, tādējādi inspekcijai nav deleģētas tiesības iesniegt minētos projektus.</w:t>
            </w:r>
            <w:r w:rsidR="00A701F4">
              <w:t>"</w:t>
            </w:r>
          </w:p>
        </w:tc>
        <w:tc>
          <w:tcPr>
            <w:tcW w:w="4394" w:type="dxa"/>
            <w:tcBorders>
              <w:left w:val="single" w:color="000000" w:sz="6" w:space="0"/>
              <w:bottom w:val="single" w:color="auto" w:sz="4" w:space="0"/>
              <w:right w:val="single" w:color="000000" w:sz="6" w:space="0"/>
            </w:tcBorders>
          </w:tcPr>
          <w:p w:rsidRPr="00875E63" w:rsidR="000F0524" w:rsidP="000F0524" w:rsidRDefault="00423F65" w14:paraId="50312CDF" w14:textId="77777777">
            <w:pPr>
              <w:pStyle w:val="Parastais"/>
              <w:ind w:firstLine="720"/>
              <w:jc w:val="both"/>
            </w:pPr>
            <w:r w:rsidRPr="00875E63">
              <w:rPr>
                <w:b/>
              </w:rPr>
              <w:lastRenderedPageBreak/>
              <w:t xml:space="preserve">Finanšu ministrija </w:t>
            </w:r>
            <w:r w:rsidR="00462B6B">
              <w:t>(</w:t>
            </w:r>
            <w:r w:rsidRPr="00462B6B" w:rsidR="00462B6B">
              <w:t>12.09.2018</w:t>
            </w:r>
            <w:r w:rsidR="00462B6B">
              <w:t xml:space="preserve">. atzinums Nr. </w:t>
            </w:r>
            <w:r w:rsidRPr="00462B6B" w:rsidR="00462B6B">
              <w:t>A/12-22-1/4290</w:t>
            </w:r>
            <w:r w:rsidR="00462B6B">
              <w:t>) a</w:t>
            </w:r>
            <w:r w:rsidRPr="00875E63" w:rsidR="000F0524">
              <w:t>notācijas I.</w:t>
            </w:r>
            <w:r w:rsidR="00462B6B">
              <w:t> </w:t>
            </w:r>
            <w:r w:rsidRPr="00875E63" w:rsidR="000F0524">
              <w:t>sadaļas “Tiesību akta projekta izstrādes nepieciešamība” 2.</w:t>
            </w:r>
            <w:r w:rsidR="00462B6B">
              <w:t> </w:t>
            </w:r>
            <w:r w:rsidRPr="00875E63" w:rsidR="000F0524">
              <w:t xml:space="preserve">punktā “Pašreizējā situācija un problēmas, kuru risināšanai tiesību akta projekts ir izstrādāts, tiesiskā regulējuma mērķis un būtība” iekļauta 4. un 5. rindkopa: </w:t>
            </w:r>
          </w:p>
          <w:p w:rsidRPr="00875E63" w:rsidR="000F0524" w:rsidP="000F0524" w:rsidRDefault="000F0524" w14:paraId="09935A54" w14:textId="77777777">
            <w:pPr>
              <w:pStyle w:val="Parastais"/>
              <w:ind w:firstLine="720"/>
              <w:jc w:val="both"/>
            </w:pPr>
            <w:r w:rsidRPr="00875E63">
              <w:t xml:space="preserve">“Likuma par budžetu un finanšu vadību paredz tiesības ministrijām un citām centrālajām valsts iestādēm iesniegt vidēja termiņa budžeta ietvara likuma projekta un gadskārtējā valsts budžeta likuma projektu, nevis Ministru kabineta padotībā esošai iestādei. Līdz ar to, līdz datu regulas un Fizisko personu datu apstrādes likuma spēkā stāšanās brīdim, inspekcija kā Tieslietu ministrijas padotības iestāde priekšlikumus vidēja termiņa budžeta ietvara likuma projektam un gadskārtējā valsts budžeta likuma projektam iesniedza Tieslietu ministrija. Inspekcijai ir tiesības </w:t>
            </w:r>
            <w:r w:rsidRPr="00875E63">
              <w:lastRenderedPageBreak/>
              <w:t>iesniegt tikai priekšlikumus vidēja termiņa budžeta ietvara likuma projektam un gadskārtējā valsts budžeta likuma projektam, nevis vidēja termiņa budžeta ietvara likuma projektu un gadskārtējā valsts budžeta likuma projektu izskatīšanai Ministru kabineta sēdē ar tieslietu ministra starpniecību, tādējādi inspekcijai nav deleģētas tiesības iesniegt minētos projektus,”</w:t>
            </w:r>
          </w:p>
          <w:p w:rsidRPr="00875E63" w:rsidR="00A733B4" w:rsidP="00A733B4" w:rsidRDefault="000F0524" w14:paraId="74FD10E5" w14:textId="0DCDF6CD">
            <w:pPr>
              <w:pStyle w:val="naisc"/>
              <w:spacing w:before="0" w:after="0"/>
              <w:ind w:firstLine="720"/>
              <w:jc w:val="both"/>
            </w:pPr>
            <w:r w:rsidRPr="00875E63">
              <w:t>Šī argumentācija nav saprotama un tādējādi neatspoguļo tiesību akta projekta patieso mērķi un būtību, t.i., nodrošināt Fizisko personu datu apstrādes likuma 3.</w:t>
            </w:r>
            <w:r w:rsidR="007E10A4">
              <w:t> </w:t>
            </w:r>
            <w:r w:rsidRPr="00875E63">
              <w:t xml:space="preserve">panta </w:t>
            </w:r>
            <w:r w:rsidRPr="00875E63" w:rsidR="005E1B27">
              <w:t>trešajā daļā</w:t>
            </w:r>
            <w:r w:rsidRPr="00875E63">
              <w:t xml:space="preserve"> noteikto – Datu valsts inspekcija savā darbībā ir neatkarīga un Vispārīgās datu aizsardzības regulas 52.</w:t>
            </w:r>
            <w:r w:rsidR="007E10A4">
              <w:t> </w:t>
            </w:r>
            <w:r w:rsidRPr="00875E63">
              <w:t>panta 6.</w:t>
            </w:r>
            <w:r w:rsidR="007E10A4">
              <w:t> </w:t>
            </w:r>
            <w:r w:rsidRPr="00875E63">
              <w:t xml:space="preserve">punktā noteikto. Vēršam uzmanību, ka arī pēc noteikumu projekta spēkā stāšanās Datu valsts inspekcijai valsts budžeta sagatavošanas procesā būs tiesības iesniegt priekšlikumus prioritāriem pasākumiem vidēja termiņa budžeta ietvara likuma projektam un gadskārtējā valsts budžeta likuma projektam, nevis vidēja termiņa budžeta ietvara likuma projektu un gadskārtējā valsts budžeta likuma projektu izskatīšanai Ministru kabineta sēdē (to veic Finanšu ministrija). Ņemot vērā iepriekš minēto, lūdzam precizēt minētās rindkopas. </w:t>
            </w:r>
          </w:p>
        </w:tc>
        <w:tc>
          <w:tcPr>
            <w:tcW w:w="2410" w:type="dxa"/>
            <w:gridSpan w:val="2"/>
            <w:tcBorders>
              <w:left w:val="single" w:color="000000" w:sz="6" w:space="0"/>
              <w:bottom w:val="single" w:color="auto" w:sz="4" w:space="0"/>
              <w:right w:val="single" w:color="000000" w:sz="6" w:space="0"/>
            </w:tcBorders>
          </w:tcPr>
          <w:p w:rsidRPr="00875E63" w:rsidR="00423F65" w:rsidP="00423F65" w:rsidRDefault="00423F65" w14:paraId="2B7E0CDD" w14:textId="77777777">
            <w:pPr>
              <w:pStyle w:val="naisc"/>
              <w:spacing w:before="0" w:after="0"/>
              <w:ind w:firstLine="720"/>
              <w:jc w:val="both"/>
              <w:rPr>
                <w:b/>
              </w:rPr>
            </w:pPr>
            <w:r w:rsidRPr="00875E63">
              <w:rPr>
                <w:b/>
              </w:rPr>
              <w:lastRenderedPageBreak/>
              <w:t>Ņemts vērā.</w:t>
            </w:r>
          </w:p>
        </w:tc>
        <w:tc>
          <w:tcPr>
            <w:tcW w:w="3544" w:type="dxa"/>
            <w:tcBorders>
              <w:top w:val="single" w:color="auto" w:sz="4" w:space="0"/>
              <w:left w:val="single" w:color="auto" w:sz="4" w:space="0"/>
              <w:bottom w:val="single" w:color="auto" w:sz="4" w:space="0"/>
            </w:tcBorders>
          </w:tcPr>
          <w:p w:rsidRPr="00875E63" w:rsidR="00423F65" w:rsidP="00423F65" w:rsidRDefault="0038626F" w14:paraId="1DC054E0" w14:textId="24035319">
            <w:pPr>
              <w:pStyle w:val="Parastais"/>
              <w:jc w:val="both"/>
            </w:pPr>
            <w:r w:rsidRPr="00875E63">
              <w:rPr>
                <w:b/>
              </w:rPr>
              <w:t>P</w:t>
            </w:r>
            <w:r w:rsidRPr="00875E63" w:rsidR="000F0524">
              <w:rPr>
                <w:b/>
              </w:rPr>
              <w:t>recizēt</w:t>
            </w:r>
            <w:r w:rsidRPr="00875E63">
              <w:rPr>
                <w:b/>
              </w:rPr>
              <w:t xml:space="preserve">s anotācijas </w:t>
            </w:r>
            <w:r w:rsidRPr="00875E63" w:rsidR="00E56824">
              <w:rPr>
                <w:b/>
              </w:rPr>
              <w:t>I</w:t>
            </w:r>
            <w:r w:rsidR="00A701F4">
              <w:rPr>
                <w:b/>
              </w:rPr>
              <w:t> </w:t>
            </w:r>
            <w:r w:rsidRPr="00875E63">
              <w:rPr>
                <w:b/>
              </w:rPr>
              <w:t xml:space="preserve">sadaļas </w:t>
            </w:r>
            <w:r w:rsidRPr="00875E63" w:rsidR="00E56824">
              <w:rPr>
                <w:b/>
              </w:rPr>
              <w:t>2</w:t>
            </w:r>
            <w:r w:rsidRPr="00875E63">
              <w:rPr>
                <w:b/>
              </w:rPr>
              <w:t>.</w:t>
            </w:r>
            <w:r w:rsidR="00A701F4">
              <w:rPr>
                <w:b/>
              </w:rPr>
              <w:t> </w:t>
            </w:r>
            <w:r w:rsidRPr="00875E63">
              <w:rPr>
                <w:b/>
              </w:rPr>
              <w:t>punkts</w:t>
            </w:r>
            <w:r w:rsidRPr="00875E63" w:rsidR="000F0524">
              <w:rPr>
                <w:b/>
              </w:rPr>
              <w:t xml:space="preserve">. </w:t>
            </w:r>
          </w:p>
          <w:p w:rsidRPr="00875E63" w:rsidR="000F0524" w:rsidP="000F0524" w:rsidRDefault="000F0524" w14:paraId="7684E000" w14:textId="77777777">
            <w:pPr>
              <w:pStyle w:val="Parastais"/>
              <w:jc w:val="both"/>
            </w:pPr>
          </w:p>
          <w:p w:rsidRPr="00875E63" w:rsidR="009E5679" w:rsidP="0095158E" w:rsidRDefault="009E5679" w14:paraId="62925CE7" w14:textId="77777777">
            <w:pPr>
              <w:pStyle w:val="Parastais"/>
              <w:jc w:val="both"/>
            </w:pPr>
          </w:p>
        </w:tc>
      </w:tr>
      <w:tr w:rsidRPr="00875E63" w:rsidR="00A733B4" w:rsidTr="00A733B4" w14:paraId="1F9F4F2C" w14:textId="77777777">
        <w:tc>
          <w:tcPr>
            <w:tcW w:w="708" w:type="dxa"/>
            <w:tcBorders>
              <w:left w:val="single" w:color="000000" w:sz="6" w:space="0"/>
              <w:bottom w:val="single" w:color="auto" w:sz="4" w:space="0"/>
              <w:right w:val="single" w:color="000000" w:sz="6" w:space="0"/>
            </w:tcBorders>
          </w:tcPr>
          <w:p w:rsidRPr="00875E63" w:rsidR="00A733B4" w:rsidP="00A733B4" w:rsidRDefault="00A733B4" w14:paraId="227D2663" w14:textId="77777777">
            <w:pPr>
              <w:pStyle w:val="naisc"/>
              <w:spacing w:before="0" w:after="0"/>
              <w:ind w:firstLine="720"/>
            </w:pPr>
            <w:r w:rsidRPr="00875E63">
              <w:t>22.</w:t>
            </w:r>
          </w:p>
        </w:tc>
        <w:tc>
          <w:tcPr>
            <w:tcW w:w="3086" w:type="dxa"/>
            <w:gridSpan w:val="2"/>
            <w:tcBorders>
              <w:left w:val="single" w:color="000000" w:sz="6" w:space="0"/>
              <w:bottom w:val="single" w:color="auto" w:sz="4" w:space="0"/>
              <w:right w:val="single" w:color="000000" w:sz="6" w:space="0"/>
            </w:tcBorders>
          </w:tcPr>
          <w:p w:rsidRPr="00875E63" w:rsidR="00A733B4" w:rsidP="00A733B4" w:rsidRDefault="00A733B4" w14:paraId="36365D96" w14:textId="77777777">
            <w:pPr>
              <w:pStyle w:val="naisc"/>
              <w:ind w:firstLine="720"/>
              <w:jc w:val="left"/>
            </w:pPr>
            <w:r w:rsidRPr="00875E63">
              <w:t>Nav attiecināms</w:t>
            </w:r>
            <w:r w:rsidR="00462B6B">
              <w:t>.</w:t>
            </w:r>
          </w:p>
        </w:tc>
        <w:tc>
          <w:tcPr>
            <w:tcW w:w="4394" w:type="dxa"/>
            <w:tcBorders>
              <w:left w:val="single" w:color="000000" w:sz="6" w:space="0"/>
              <w:bottom w:val="single" w:color="auto" w:sz="4" w:space="0"/>
              <w:right w:val="single" w:color="000000" w:sz="6" w:space="0"/>
            </w:tcBorders>
          </w:tcPr>
          <w:p w:rsidRPr="00875E63" w:rsidR="00A733B4" w:rsidP="00A733B4" w:rsidRDefault="00462B6B" w14:paraId="5EB1111E" w14:textId="28650DBE">
            <w:pPr>
              <w:pStyle w:val="Parastais"/>
              <w:ind w:firstLine="720"/>
              <w:jc w:val="both"/>
            </w:pPr>
            <w:r>
              <w:rPr>
                <w:b/>
              </w:rPr>
              <w:t xml:space="preserve">Finanšu ministrija </w:t>
            </w:r>
            <w:r>
              <w:t xml:space="preserve">(30.01.2019. atzinums </w:t>
            </w:r>
            <w:r w:rsidRPr="00462B6B">
              <w:t>Nr. 12/A-22-1/474</w:t>
            </w:r>
            <w:r>
              <w:t xml:space="preserve">) atbalsta </w:t>
            </w:r>
            <w:r w:rsidRPr="00875E63" w:rsidR="00A733B4">
              <w:lastRenderedPageBreak/>
              <w:t>projekta tālāku virzību bez iebildumiem, vienlaikus izsakot priekšlikumu papildināt projektu ar nepieciešamajiem grozījumiem Ministru kabineta 2012.</w:t>
            </w:r>
            <w:r w:rsidR="007E10A4">
              <w:t> </w:t>
            </w:r>
            <w:r w:rsidRPr="00875E63" w:rsidR="00A733B4">
              <w:t>gada 11.</w:t>
            </w:r>
            <w:r w:rsidR="007E10A4">
              <w:t> </w:t>
            </w:r>
            <w:r w:rsidRPr="00875E63" w:rsidR="00A733B4">
              <w:t>decembra noteikumu Nr. 867 "Kārtība, kādā nosakāms maksimāli pieļaujamais valsts budžeta izdevumu kopapjoms un maksimāli pieļaujamais valsts budžeta izdevumu kopējais apjoms katrai ministrijai un citām centrālajām valsts iestādēm vidējam termiņam" 26.4.</w:t>
            </w:r>
            <w:r w:rsidR="007E10A4">
              <w:t> </w:t>
            </w:r>
            <w:r w:rsidRPr="00875E63" w:rsidR="00A733B4">
              <w:t>apakšpunktā un 28.</w:t>
            </w:r>
            <w:r w:rsidR="007E10A4">
              <w:t> </w:t>
            </w:r>
            <w:r w:rsidRPr="00875E63" w:rsidR="00A733B4">
              <w:t>punktā un papildināt anotāciju ar atbilstīgu informāciju, ņemot vērā, ka ar 2019.</w:t>
            </w:r>
            <w:r w:rsidR="007E10A4">
              <w:t> </w:t>
            </w:r>
            <w:r w:rsidRPr="00875E63" w:rsidR="00A733B4">
              <w:t>gada 1.</w:t>
            </w:r>
            <w:r w:rsidR="007E10A4">
              <w:t> </w:t>
            </w:r>
            <w:r w:rsidRPr="00875E63" w:rsidR="00A733B4">
              <w:t xml:space="preserve">jūniju zemesgrāmatu nodaļu tiesneši tiks integrēti rajona (pilsētas) tiesas sastāvā, un zemesgrāmatu nodaļas, kā patstāvīgas rajona (pilsētas) tiesas struktūrvienības, tiks likvidētas. </w:t>
            </w:r>
          </w:p>
          <w:p w:rsidRPr="00875E63" w:rsidR="00A733B4" w:rsidP="00A733B4" w:rsidRDefault="00A733B4" w14:paraId="49EA8CA1" w14:textId="02883663">
            <w:pPr>
              <w:pStyle w:val="Parastais"/>
              <w:ind w:firstLine="720"/>
              <w:jc w:val="both"/>
            </w:pPr>
            <w:r w:rsidRPr="00875E63">
              <w:t>2018.</w:t>
            </w:r>
            <w:r w:rsidR="007E10A4">
              <w:t> </w:t>
            </w:r>
            <w:r w:rsidRPr="00875E63">
              <w:t>gada 25.</w:t>
            </w:r>
            <w:r w:rsidR="007E10A4">
              <w:t> </w:t>
            </w:r>
            <w:r w:rsidRPr="00875E63">
              <w:t>oktobrī tika pieņemts likums "Grozījumi likumā "Par tiesu varu"", atbilstoši kuram no 2019.</w:t>
            </w:r>
            <w:r w:rsidR="007E10A4">
              <w:t> </w:t>
            </w:r>
            <w:r w:rsidRPr="00875E63">
              <w:t>gada 1.</w:t>
            </w:r>
            <w:r w:rsidR="007E10A4">
              <w:t> </w:t>
            </w:r>
            <w:r w:rsidRPr="00875E63">
              <w:t>jūnija tiks īstenota zemesgrāmatu nodaļu tiesnešu integrācijas reforma, tādējādi lūdzam noteikumu noslēguma jautājumos paredzēt arī pārejas kārtību.</w:t>
            </w:r>
          </w:p>
        </w:tc>
        <w:tc>
          <w:tcPr>
            <w:tcW w:w="2410" w:type="dxa"/>
            <w:gridSpan w:val="2"/>
            <w:tcBorders>
              <w:left w:val="single" w:color="000000" w:sz="6" w:space="0"/>
              <w:bottom w:val="single" w:color="auto" w:sz="4" w:space="0"/>
              <w:right w:val="single" w:color="000000" w:sz="6" w:space="0"/>
            </w:tcBorders>
          </w:tcPr>
          <w:p w:rsidRPr="00875E63" w:rsidR="00A733B4" w:rsidP="00423F65" w:rsidRDefault="00A733B4" w14:paraId="4621E96F" w14:textId="77777777">
            <w:pPr>
              <w:pStyle w:val="naisc"/>
              <w:spacing w:before="0" w:after="0"/>
              <w:ind w:firstLine="720"/>
              <w:jc w:val="both"/>
              <w:rPr>
                <w:b/>
              </w:rPr>
            </w:pPr>
            <w:r w:rsidRPr="00875E63">
              <w:rPr>
                <w:b/>
              </w:rPr>
              <w:lastRenderedPageBreak/>
              <w:t>Ņemts vērā.</w:t>
            </w:r>
          </w:p>
        </w:tc>
        <w:tc>
          <w:tcPr>
            <w:tcW w:w="3544" w:type="dxa"/>
            <w:tcBorders>
              <w:top w:val="single" w:color="auto" w:sz="4" w:space="0"/>
              <w:left w:val="single" w:color="auto" w:sz="4" w:space="0"/>
              <w:bottom w:val="single" w:color="auto" w:sz="4" w:space="0"/>
            </w:tcBorders>
          </w:tcPr>
          <w:p w:rsidRPr="00462B6B" w:rsidR="00A733B4" w:rsidP="00423F65" w:rsidRDefault="00A733B4" w14:paraId="1E052536" w14:textId="2E97A672">
            <w:pPr>
              <w:pStyle w:val="Parastais"/>
              <w:jc w:val="both"/>
              <w:rPr>
                <w:b/>
              </w:rPr>
            </w:pPr>
            <w:r w:rsidRPr="00462B6B">
              <w:rPr>
                <w:b/>
              </w:rPr>
              <w:t xml:space="preserve">Noteikumu projekts papildināts ar </w:t>
            </w:r>
            <w:r w:rsidR="00334F51">
              <w:rPr>
                <w:b/>
              </w:rPr>
              <w:t>2</w:t>
            </w:r>
            <w:r w:rsidRPr="00462B6B">
              <w:rPr>
                <w:b/>
              </w:rPr>
              <w:t>.</w:t>
            </w:r>
            <w:r w:rsidR="00A701F4">
              <w:rPr>
                <w:b/>
              </w:rPr>
              <w:t> </w:t>
            </w:r>
            <w:r w:rsidRPr="00462B6B">
              <w:rPr>
                <w:b/>
              </w:rPr>
              <w:t xml:space="preserve">punktu: </w:t>
            </w:r>
          </w:p>
          <w:p w:rsidR="00A733B4" w:rsidP="00423F65" w:rsidRDefault="00334F51" w14:paraId="0487EEF3" w14:textId="12CC4B59">
            <w:pPr>
              <w:pStyle w:val="Parastais"/>
              <w:jc w:val="both"/>
            </w:pPr>
            <w:r w:rsidRPr="00334F51">
              <w:lastRenderedPageBreak/>
              <w:t>Svītrot 26.4. apakšpunktā vārdus</w:t>
            </w:r>
            <w:r>
              <w:t xml:space="preserve"> </w:t>
            </w:r>
            <w:r w:rsidRPr="00334F51">
              <w:t>"zemesgrāmatu nodaļu".</w:t>
            </w:r>
          </w:p>
          <w:p w:rsidRPr="00875E63" w:rsidR="00334F51" w:rsidP="00423F65" w:rsidRDefault="00334F51" w14:paraId="0F33AF04" w14:textId="77777777">
            <w:pPr>
              <w:pStyle w:val="Parastais"/>
              <w:jc w:val="both"/>
            </w:pPr>
          </w:p>
          <w:p w:rsidRPr="00462B6B" w:rsidR="00A733B4" w:rsidP="00423F65" w:rsidRDefault="00A733B4" w14:paraId="6DE69C5E" w14:textId="6A3C21FD">
            <w:pPr>
              <w:pStyle w:val="Parastais"/>
              <w:jc w:val="both"/>
              <w:rPr>
                <w:b/>
              </w:rPr>
            </w:pPr>
            <w:r w:rsidRPr="00462B6B">
              <w:rPr>
                <w:b/>
              </w:rPr>
              <w:t xml:space="preserve">Noteikumu projekts papildināts ar </w:t>
            </w:r>
            <w:r w:rsidR="00334F51">
              <w:rPr>
                <w:b/>
              </w:rPr>
              <w:t>4</w:t>
            </w:r>
            <w:r w:rsidRPr="00462B6B">
              <w:rPr>
                <w:b/>
              </w:rPr>
              <w:t>.</w:t>
            </w:r>
            <w:r w:rsidR="00462B6B">
              <w:rPr>
                <w:b/>
              </w:rPr>
              <w:t> </w:t>
            </w:r>
            <w:r w:rsidRPr="00462B6B">
              <w:rPr>
                <w:b/>
              </w:rPr>
              <w:t>punktu:</w:t>
            </w:r>
          </w:p>
          <w:p w:rsidR="00A733B4" w:rsidP="00423F65" w:rsidRDefault="00334F51" w14:paraId="66949DE8" w14:textId="75978F75">
            <w:pPr>
              <w:pStyle w:val="Parastais"/>
              <w:jc w:val="both"/>
            </w:pPr>
            <w:r w:rsidRPr="00334F51">
              <w:t>Svītrot 28. punktā vārdus "zemesgrāmatu nodaļu".</w:t>
            </w:r>
          </w:p>
          <w:p w:rsidR="00334F51" w:rsidP="00423F65" w:rsidRDefault="00334F51" w14:paraId="526773D7" w14:textId="65D3CE27">
            <w:pPr>
              <w:pStyle w:val="Parastais"/>
              <w:jc w:val="both"/>
            </w:pPr>
          </w:p>
          <w:p w:rsidR="00334F51" w:rsidP="00334F51" w:rsidRDefault="00334F51" w14:paraId="0053DB39" w14:textId="77777777">
            <w:pPr>
              <w:pStyle w:val="Parastais"/>
              <w:jc w:val="both"/>
              <w:rPr>
                <w:b/>
              </w:rPr>
            </w:pPr>
            <w:r>
              <w:rPr>
                <w:b/>
              </w:rPr>
              <w:t>Noteikumu projekts papildināts ar 8. punktu:</w:t>
            </w:r>
          </w:p>
          <w:p w:rsidR="00334F51" w:rsidP="00334F51" w:rsidRDefault="00334F51" w14:paraId="5E55CD2D" w14:textId="141A42FD">
            <w:pPr>
              <w:pStyle w:val="Parastais"/>
              <w:jc w:val="both"/>
            </w:pPr>
            <w:r>
              <w:t>Papildināt noteikumus ar 51. punktu šādā redakcijā:</w:t>
            </w:r>
          </w:p>
          <w:p w:rsidR="00334F51" w:rsidP="00334F51" w:rsidRDefault="00334F51" w14:paraId="0998A036" w14:textId="5C89284D">
            <w:pPr>
              <w:pStyle w:val="Parastais"/>
              <w:jc w:val="both"/>
            </w:pPr>
            <w:r>
              <w:t>"51. Grozījumi šo noteikumu 26.4.</w:t>
            </w:r>
            <w:r w:rsidR="005E1B27">
              <w:t> </w:t>
            </w:r>
            <w:r>
              <w:t>apakšpunktā un 28. punktā par vārdu "zemesgrāmatu nodaļu" svītrošanu stājas spēkā 2019. gada 1. jūnijā."</w:t>
            </w:r>
          </w:p>
          <w:p w:rsidRPr="00875E63" w:rsidR="00334F51" w:rsidP="00423F65" w:rsidRDefault="00334F51" w14:paraId="06CE9D03" w14:textId="77777777">
            <w:pPr>
              <w:pStyle w:val="Parastais"/>
              <w:jc w:val="both"/>
            </w:pPr>
          </w:p>
          <w:p w:rsidRPr="00462B6B" w:rsidR="00A733B4" w:rsidP="00A733B4" w:rsidRDefault="00A733B4" w14:paraId="6E7ACD8E" w14:textId="0AD93E61">
            <w:pPr>
              <w:pStyle w:val="Parastais"/>
              <w:jc w:val="both"/>
              <w:rPr>
                <w:b/>
              </w:rPr>
            </w:pPr>
            <w:r w:rsidRPr="00462B6B">
              <w:rPr>
                <w:b/>
              </w:rPr>
              <w:t>Precizēts anotācijas I</w:t>
            </w:r>
            <w:r w:rsidR="00A701F4">
              <w:rPr>
                <w:b/>
              </w:rPr>
              <w:t> </w:t>
            </w:r>
            <w:r w:rsidRPr="00462B6B">
              <w:rPr>
                <w:b/>
              </w:rPr>
              <w:t>sadaļas 2.</w:t>
            </w:r>
            <w:r w:rsidR="00462B6B">
              <w:rPr>
                <w:b/>
              </w:rPr>
              <w:t> </w:t>
            </w:r>
            <w:r w:rsidRPr="00462B6B">
              <w:rPr>
                <w:b/>
              </w:rPr>
              <w:t xml:space="preserve">punkts: </w:t>
            </w:r>
          </w:p>
          <w:p w:rsidRPr="00875E63" w:rsidR="00A733B4" w:rsidP="00A733B4" w:rsidRDefault="00A733B4" w14:paraId="782CBF96" w14:textId="5FC69CEC">
            <w:pPr>
              <w:pStyle w:val="Parastais"/>
              <w:jc w:val="both"/>
            </w:pPr>
            <w:r w:rsidRPr="00875E63">
              <w:t>Saeima 2018.</w:t>
            </w:r>
            <w:r w:rsidR="00A701F4">
              <w:t> </w:t>
            </w:r>
            <w:r w:rsidRPr="00875E63">
              <w:t>gada 25.</w:t>
            </w:r>
            <w:r w:rsidR="00A701F4">
              <w:t> </w:t>
            </w:r>
            <w:r w:rsidRPr="00875E63">
              <w:t xml:space="preserve">oktobrī pieņēma likumu </w:t>
            </w:r>
            <w:r w:rsidR="00A701F4">
              <w:t>"</w:t>
            </w:r>
            <w:r w:rsidRPr="00875E63">
              <w:t xml:space="preserve">Grozījumi likumā </w:t>
            </w:r>
            <w:r w:rsidR="00A701F4">
              <w:t>"</w:t>
            </w:r>
            <w:r w:rsidRPr="00875E63">
              <w:t>Par tiesu varu</w:t>
            </w:r>
            <w:r w:rsidR="00A701F4">
              <w:t>""</w:t>
            </w:r>
            <w:r w:rsidRPr="00875E63">
              <w:t xml:space="preserve"> (Nr.</w:t>
            </w:r>
            <w:r w:rsidR="00A701F4">
              <w:t> </w:t>
            </w:r>
            <w:r w:rsidRPr="00875E63">
              <w:t>1310/Lp12), ar kuru no 2019.</w:t>
            </w:r>
            <w:r w:rsidR="00A701F4">
              <w:t> </w:t>
            </w:r>
            <w:r w:rsidRPr="00875E63">
              <w:t>gada 1.</w:t>
            </w:r>
            <w:r w:rsidR="00A701F4">
              <w:t> </w:t>
            </w:r>
            <w:r w:rsidRPr="00875E63">
              <w:t>jūnija tiek īstenota zemesgrāmatu nodaļu tiesnešu integrācijas reforma. Tādējādi ar 2019.</w:t>
            </w:r>
            <w:r w:rsidR="00A701F4">
              <w:t> </w:t>
            </w:r>
            <w:r w:rsidRPr="00875E63">
              <w:t>gada</w:t>
            </w:r>
            <w:r w:rsidR="007E10A4">
              <w:t xml:space="preserve"> </w:t>
            </w:r>
            <w:r w:rsidRPr="00875E63">
              <w:t>1.</w:t>
            </w:r>
            <w:r w:rsidR="00A701F4">
              <w:t> </w:t>
            </w:r>
            <w:r w:rsidRPr="00875E63">
              <w:t xml:space="preserve">jūniju zemesgrāmatu nodaļu tiesneši tiks integrēti rajona (pilsētas) tiesas sastāvā un zemesgrāmatu nodaļas kā patstāvīgas rajona (pilsētas) </w:t>
            </w:r>
            <w:r w:rsidRPr="00875E63">
              <w:lastRenderedPageBreak/>
              <w:t>tiesas struktūrvienības tiks likvidētas. Attiecīgi no Ministru kabineta noteikumiem svītrojamas norādes par zemesgrāmatu nodaļu kā patstāvīgu rajona (pilsētas) tiesas struktūrvienību. Saskaņā ar atbalstītām likuma izmaiņām turpmāk tiesību nostiprināšana būs piekritīga rajona (pilsētas) tiesai. Tādējādi priekšlikumi par prioritāriem pasākumiem attiecīgās funkcijas nodrošināšanai turpmāk būs iekļaujami rajonu (pilsētu) tiesu priekšlikumos par prioritāriem pasākumiem.</w:t>
            </w:r>
          </w:p>
          <w:p w:rsidRPr="00875E63" w:rsidR="00A733B4" w:rsidP="00423F65" w:rsidRDefault="00A733B4" w14:paraId="67BED932" w14:textId="77777777">
            <w:pPr>
              <w:pStyle w:val="Parastais"/>
              <w:jc w:val="both"/>
            </w:pPr>
          </w:p>
        </w:tc>
      </w:tr>
      <w:tr w:rsidRPr="00712B66" w:rsidR="007116C7" w:rsidTr="0048022C" w14:paraId="569A8844"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00D92D47" w:rsidP="00E74517" w:rsidRDefault="00D92D47" w14:paraId="3DAD1610" w14:textId="77777777">
            <w:pPr>
              <w:pStyle w:val="naiskr"/>
              <w:spacing w:before="0" w:after="0"/>
            </w:pPr>
          </w:p>
          <w:p w:rsidRPr="00712B66" w:rsidR="00446832" w:rsidP="00E74517" w:rsidRDefault="00446832" w14:paraId="34343DCD" w14:textId="77777777">
            <w:pPr>
              <w:pStyle w:val="naiskr"/>
              <w:spacing w:before="0" w:after="0"/>
            </w:pPr>
          </w:p>
          <w:p w:rsidRPr="00712B66" w:rsidR="007116C7" w:rsidP="00E74517" w:rsidRDefault="007116C7" w14:paraId="5333C115" w14:textId="77777777">
            <w:pPr>
              <w:pStyle w:val="naiskr"/>
              <w:spacing w:before="0" w:after="0"/>
            </w:pPr>
            <w:r w:rsidRPr="00712B66">
              <w:t>Atbildīgā amatpersona</w:t>
            </w:r>
          </w:p>
        </w:tc>
        <w:tc>
          <w:tcPr>
            <w:tcW w:w="6179" w:type="dxa"/>
            <w:gridSpan w:val="3"/>
          </w:tcPr>
          <w:p w:rsidRPr="00712B66" w:rsidR="007116C7" w:rsidP="00DB7395" w:rsidRDefault="007116C7" w14:paraId="038313C8" w14:textId="77777777">
            <w:pPr>
              <w:pStyle w:val="naiskr"/>
              <w:spacing w:before="0" w:after="0"/>
              <w:ind w:firstLine="720"/>
            </w:pPr>
          </w:p>
        </w:tc>
      </w:tr>
      <w:tr w:rsidRPr="00712B66" w:rsidR="007116C7" w:rsidTr="0048022C" w14:paraId="48F13DDD"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712B66" w:rsidR="007116C7" w:rsidP="00DB7395" w:rsidRDefault="007116C7" w14:paraId="016A83C8" w14:textId="77777777">
            <w:pPr>
              <w:pStyle w:val="naiskr"/>
              <w:spacing w:before="0" w:after="0"/>
              <w:ind w:firstLine="720"/>
            </w:pPr>
          </w:p>
        </w:tc>
        <w:tc>
          <w:tcPr>
            <w:tcW w:w="6179" w:type="dxa"/>
            <w:gridSpan w:val="3"/>
            <w:tcBorders>
              <w:top w:val="single" w:color="000000" w:sz="6" w:space="0"/>
            </w:tcBorders>
          </w:tcPr>
          <w:p w:rsidRPr="00712B66" w:rsidR="007116C7" w:rsidP="008655A2" w:rsidRDefault="007116C7" w14:paraId="6E4E326C" w14:textId="77777777">
            <w:pPr>
              <w:pStyle w:val="naisc"/>
              <w:spacing w:before="0" w:after="0"/>
              <w:ind w:firstLine="720"/>
            </w:pPr>
            <w:r w:rsidRPr="00712B66">
              <w:t>(paraksts)</w:t>
            </w:r>
          </w:p>
        </w:tc>
      </w:tr>
    </w:tbl>
    <w:p w:rsidRPr="00712B66" w:rsidR="003B71E0" w:rsidP="00DB7395" w:rsidRDefault="003B71E0" w14:paraId="69DF2A90" w14:textId="77777777">
      <w:pPr>
        <w:pStyle w:val="naisf"/>
        <w:spacing w:before="0" w:after="0"/>
        <w:ind w:firstLine="720"/>
      </w:pPr>
    </w:p>
    <w:p w:rsidR="002B507B" w:rsidP="002B507B" w:rsidRDefault="002B507B" w14:paraId="3170CA01" w14:textId="77777777">
      <w:pPr>
        <w:pStyle w:val="StyleRight"/>
        <w:spacing w:after="0"/>
        <w:ind w:firstLine="0"/>
        <w:jc w:val="both"/>
        <w:rPr>
          <w:sz w:val="22"/>
          <w:szCs w:val="22"/>
        </w:rPr>
      </w:pPr>
      <w:r>
        <w:rPr>
          <w:sz w:val="22"/>
          <w:szCs w:val="22"/>
        </w:rPr>
        <w:t>O.Zeile</w:t>
      </w:r>
    </w:p>
    <w:p w:rsidR="002B507B" w:rsidP="002B507B" w:rsidRDefault="002B507B" w14:paraId="4F024D39" w14:textId="77777777">
      <w:pPr>
        <w:pStyle w:val="StyleRight"/>
        <w:spacing w:after="0"/>
        <w:ind w:firstLine="0"/>
        <w:jc w:val="both"/>
        <w:rPr>
          <w:sz w:val="22"/>
          <w:szCs w:val="22"/>
        </w:rPr>
      </w:pPr>
      <w:r>
        <w:rPr>
          <w:sz w:val="22"/>
          <w:szCs w:val="22"/>
        </w:rPr>
        <w:t>Tieslietu ministrijas</w:t>
      </w:r>
    </w:p>
    <w:p w:rsidR="002B507B" w:rsidP="002B507B" w:rsidRDefault="002B507B" w14:paraId="26595AC7" w14:textId="77777777">
      <w:pPr>
        <w:pStyle w:val="StyleRight"/>
        <w:spacing w:after="0"/>
        <w:ind w:firstLine="0"/>
        <w:jc w:val="both"/>
        <w:rPr>
          <w:sz w:val="22"/>
          <w:szCs w:val="22"/>
        </w:rPr>
      </w:pPr>
      <w:r>
        <w:rPr>
          <w:sz w:val="22"/>
          <w:szCs w:val="22"/>
        </w:rPr>
        <w:t>Nozaru politikas departamenta direktore</w:t>
      </w:r>
    </w:p>
    <w:p w:rsidR="002B507B" w:rsidP="002B507B" w:rsidRDefault="002B507B" w14:paraId="4CFC3A51" w14:textId="77777777">
      <w:pPr>
        <w:pStyle w:val="StyleRight"/>
        <w:spacing w:after="0"/>
        <w:ind w:firstLine="0"/>
        <w:jc w:val="both"/>
        <w:rPr>
          <w:sz w:val="22"/>
          <w:szCs w:val="22"/>
        </w:rPr>
      </w:pPr>
      <w:r>
        <w:rPr>
          <w:sz w:val="22"/>
          <w:szCs w:val="22"/>
        </w:rPr>
        <w:t>Tālrunis: 67046134, fakss: 67046121</w:t>
      </w:r>
    </w:p>
    <w:p w:rsidR="007B0674" w:rsidP="002B507B" w:rsidRDefault="002B507B" w14:paraId="03560DD8" w14:textId="77777777">
      <w:pPr>
        <w:pStyle w:val="naisf"/>
        <w:tabs>
          <w:tab w:val="left" w:pos="6840"/>
        </w:tabs>
        <w:spacing w:before="0" w:after="0"/>
        <w:ind w:firstLine="0"/>
        <w:rPr>
          <w:sz w:val="28"/>
          <w:szCs w:val="28"/>
        </w:rPr>
      </w:pPr>
      <w:r>
        <w:rPr>
          <w:sz w:val="22"/>
          <w:szCs w:val="22"/>
        </w:rPr>
        <w:t>E-pasts: Olga.Zeile@tm.gov.lv</w:t>
      </w:r>
    </w:p>
    <w:sectPr w:rsidR="007B0674" w:rsidSect="00A701F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26B5" w14:textId="77777777" w:rsidR="00094F25" w:rsidRDefault="00094F25">
      <w:pPr>
        <w:pStyle w:val="Parastais"/>
      </w:pPr>
      <w:r>
        <w:separator/>
      </w:r>
    </w:p>
  </w:endnote>
  <w:endnote w:type="continuationSeparator" w:id="0">
    <w:p w14:paraId="0EAB6CE0" w14:textId="77777777" w:rsidR="00094F25" w:rsidRDefault="00094F2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6077" w14:textId="77777777" w:rsidR="008601B6" w:rsidRDefault="008601B6" w:rsidP="008601B6">
    <w:pPr>
      <w:pStyle w:val="Parastais"/>
      <w:rPr>
        <w:sz w:val="22"/>
        <w:szCs w:val="22"/>
      </w:rPr>
    </w:pPr>
  </w:p>
  <w:p w14:paraId="52939F8E" w14:textId="55DD94FB" w:rsidR="00AB3D34" w:rsidRPr="004A5B15" w:rsidRDefault="00875E63" w:rsidP="00875E63">
    <w:pPr>
      <w:pStyle w:val="Parastais"/>
      <w:rPr>
        <w:sz w:val="20"/>
        <w:szCs w:val="20"/>
      </w:rPr>
    </w:pPr>
    <w:r w:rsidRPr="00875E63">
      <w:rPr>
        <w:sz w:val="20"/>
        <w:szCs w:val="20"/>
      </w:rPr>
      <w:t>TMIzz_</w:t>
    </w:r>
    <w:r w:rsidR="00486ECA">
      <w:rPr>
        <w:sz w:val="20"/>
        <w:szCs w:val="20"/>
      </w:rPr>
      <w:t>30</w:t>
    </w:r>
    <w:r w:rsidRPr="00875E63">
      <w:rPr>
        <w:sz w:val="20"/>
        <w:szCs w:val="20"/>
      </w:rPr>
      <w:t>0419_groz867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2BF3" w14:textId="3917E35C" w:rsidR="00AB3D34" w:rsidRPr="004A5B15" w:rsidRDefault="008601B6"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A701F4">
      <w:rPr>
        <w:noProof/>
        <w:sz w:val="20"/>
        <w:szCs w:val="20"/>
      </w:rPr>
      <w:t>TMIzz_</w:t>
    </w:r>
    <w:r w:rsidR="00486ECA">
      <w:rPr>
        <w:noProof/>
        <w:sz w:val="20"/>
        <w:szCs w:val="20"/>
      </w:rPr>
      <w:t>30</w:t>
    </w:r>
    <w:r w:rsidR="00A701F4">
      <w:rPr>
        <w:noProof/>
        <w:sz w:val="20"/>
        <w:szCs w:val="20"/>
      </w:rPr>
      <w:t>0419_groz867</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6FC5" w14:textId="77777777" w:rsidR="00094F25" w:rsidRDefault="00094F25">
      <w:pPr>
        <w:pStyle w:val="Parastais"/>
      </w:pPr>
      <w:r>
        <w:separator/>
      </w:r>
    </w:p>
  </w:footnote>
  <w:footnote w:type="continuationSeparator" w:id="0">
    <w:p w14:paraId="35961F04" w14:textId="77777777" w:rsidR="00094F25" w:rsidRDefault="00094F2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02C0C1D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37D91D3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06121C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RDefault="00AB3D34" w14:paraId="195A6E9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9B5"/>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F25"/>
    <w:rsid w:val="000958A2"/>
    <w:rsid w:val="00095FB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24"/>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8DC"/>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6C8D"/>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07B"/>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4F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26F"/>
    <w:rsid w:val="00386D57"/>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D62"/>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3F65"/>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B6B"/>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86ECA"/>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3EBE"/>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27"/>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03E"/>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2F09"/>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E790C"/>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DA4"/>
    <w:rsid w:val="00756551"/>
    <w:rsid w:val="00757769"/>
    <w:rsid w:val="0076067E"/>
    <w:rsid w:val="00761BFD"/>
    <w:rsid w:val="00761D5C"/>
    <w:rsid w:val="00761FE5"/>
    <w:rsid w:val="00762476"/>
    <w:rsid w:val="00762A18"/>
    <w:rsid w:val="00763AE2"/>
    <w:rsid w:val="0076467D"/>
    <w:rsid w:val="00765CC5"/>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0A4"/>
    <w:rsid w:val="007E16E2"/>
    <w:rsid w:val="007E1737"/>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1FE"/>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5E63"/>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58E"/>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5679"/>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2F4D"/>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A9E"/>
    <w:rsid w:val="00A65EA0"/>
    <w:rsid w:val="00A66180"/>
    <w:rsid w:val="00A66517"/>
    <w:rsid w:val="00A67B0E"/>
    <w:rsid w:val="00A701F4"/>
    <w:rsid w:val="00A718EF"/>
    <w:rsid w:val="00A72134"/>
    <w:rsid w:val="00A726A8"/>
    <w:rsid w:val="00A72951"/>
    <w:rsid w:val="00A733B4"/>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1FB8"/>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BB2"/>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B45"/>
    <w:rsid w:val="00D43C68"/>
    <w:rsid w:val="00D444B2"/>
    <w:rsid w:val="00D453E4"/>
    <w:rsid w:val="00D47226"/>
    <w:rsid w:val="00D47C07"/>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824"/>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94D"/>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D00"/>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D1BDFF0"/>
  <w15:chartTrackingRefBased/>
  <w15:docId w15:val="{3C05F496-EDEE-40BD-812A-27B385C8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styleId="Neatrisintapieminana">
    <w:name w:val="Unresolved Mention"/>
    <w:uiPriority w:val="99"/>
    <w:semiHidden/>
    <w:unhideWhenUsed/>
    <w:rsid w:val="000F0524"/>
    <w:rPr>
      <w:color w:val="605E5C"/>
      <w:shd w:val="clear" w:color="auto" w:fill="E1DFDD"/>
    </w:rPr>
  </w:style>
  <w:style w:type="paragraph" w:customStyle="1" w:styleId="StyleRight">
    <w:name w:val="Style Right"/>
    <w:basedOn w:val="Parastais"/>
    <w:rsid w:val="002B507B"/>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83230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C374-6B4B-4464-BED9-8671221E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923</Words>
  <Characters>6561</Characters>
  <Application>Microsoft Office Word</Application>
  <DocSecurity>0</DocSecurity>
  <Lines>54</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MK noteikumu projekts "Ministru kabineta kārtības rullis"</vt:lpstr>
    </vt:vector>
  </TitlesOfParts>
  <Company>Tieslietu ministrija</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Štrassere</dc:creator>
  <cp:keywords/>
  <dc:description>67036739; Ilze.Strassere@tm.gov.lv</dc:description>
  <cp:lastModifiedBy>Ilze Štrassere</cp:lastModifiedBy>
  <cp:revision>12</cp:revision>
  <cp:lastPrinted>2012-01-18T09:50:00Z</cp:lastPrinted>
  <dcterms:created xsi:type="dcterms:W3CDTF">2019-04-26T10:09:00Z</dcterms:created>
  <dcterms:modified xsi:type="dcterms:W3CDTF">2019-04-30T06:12:00Z</dcterms:modified>
</cp:coreProperties>
</file>