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4B61" w:rsidR="00B36C97" w:rsidP="005C4B61" w:rsidRDefault="00B36C97" w14:paraId="0E7FEEC7" w14:textId="69C58CB0">
      <w:pPr>
        <w:jc w:val="right"/>
        <w:rPr>
          <w:i/>
          <w:szCs w:val="24"/>
        </w:rPr>
      </w:pPr>
      <w:bookmarkStart w:name="_GoBack" w:id="0"/>
      <w:bookmarkEnd w:id="0"/>
      <w:r>
        <w:rPr>
          <w:i/>
          <w:szCs w:val="24"/>
        </w:rPr>
        <w:t>Projekts</w:t>
      </w:r>
    </w:p>
    <w:p w:rsidR="00B36C97" w:rsidP="00B36C97" w:rsidRDefault="00B36C97" w14:paraId="33B001A4" w14:textId="77777777">
      <w:pPr>
        <w:rPr>
          <w:szCs w:val="24"/>
        </w:rPr>
      </w:pPr>
    </w:p>
    <w:p w:rsidRPr="001E2679" w:rsidR="004D4472" w:rsidRDefault="004D4472" w14:paraId="0AC51EB0" w14:textId="304252B2">
      <w:pPr>
        <w:rPr>
          <w:szCs w:val="24"/>
        </w:rPr>
      </w:pPr>
      <w:r w:rsidRPr="001E2679">
        <w:rPr>
          <w:szCs w:val="24"/>
        </w:rPr>
        <w:t xml:space="preserve">Uz </w:t>
      </w:r>
      <w:r w:rsidR="00552440">
        <w:rPr>
          <w:szCs w:val="24"/>
        </w:rPr>
        <w:t>29</w:t>
      </w:r>
      <w:r w:rsidRPr="001E2679">
        <w:rPr>
          <w:szCs w:val="24"/>
        </w:rPr>
        <w:t>.</w:t>
      </w:r>
      <w:r w:rsidR="005F00B4">
        <w:rPr>
          <w:szCs w:val="24"/>
        </w:rPr>
        <w:t>10</w:t>
      </w:r>
      <w:r w:rsidRPr="001E2679">
        <w:rPr>
          <w:szCs w:val="24"/>
        </w:rPr>
        <w:t>.201</w:t>
      </w:r>
      <w:r w:rsidR="005F00B4">
        <w:rPr>
          <w:szCs w:val="24"/>
        </w:rPr>
        <w:t>8</w:t>
      </w:r>
      <w:r w:rsidRPr="001E2679">
        <w:rPr>
          <w:szCs w:val="24"/>
        </w:rPr>
        <w:t xml:space="preserve">. </w:t>
      </w:r>
      <w:r w:rsidR="0024247B">
        <w:rPr>
          <w:szCs w:val="24"/>
        </w:rPr>
        <w:t>Nr.</w:t>
      </w:r>
      <w:r w:rsidR="00910039">
        <w:rPr>
          <w:szCs w:val="24"/>
        </w:rPr>
        <w:t> </w:t>
      </w:r>
      <w:r w:rsidR="00010588">
        <w:rPr>
          <w:szCs w:val="24"/>
        </w:rPr>
        <w:t>6-6/29</w:t>
      </w:r>
    </w:p>
    <w:p w:rsidR="00B36C97" w:rsidRDefault="00B36C97" w14:paraId="27119A08" w14:textId="77777777">
      <w:pPr>
        <w:jc w:val="right"/>
        <w:rPr>
          <w:b/>
          <w:szCs w:val="24"/>
        </w:rPr>
      </w:pPr>
    </w:p>
    <w:p w:rsidRPr="0080292A" w:rsidR="0024247B" w:rsidRDefault="005F00B4" w14:paraId="6904F79F" w14:textId="5AB32EA7">
      <w:pPr>
        <w:jc w:val="right"/>
        <w:rPr>
          <w:b/>
          <w:szCs w:val="24"/>
        </w:rPr>
      </w:pPr>
      <w:r w:rsidRPr="0080292A">
        <w:rPr>
          <w:b/>
          <w:szCs w:val="24"/>
        </w:rPr>
        <w:t>Latvijas Republikas tiesībsargam</w:t>
      </w:r>
    </w:p>
    <w:p w:rsidR="005F00B4" w:rsidRDefault="005F00B4" w14:paraId="00760239" w14:textId="35109FB6">
      <w:pPr>
        <w:jc w:val="right"/>
        <w:rPr>
          <w:szCs w:val="24"/>
        </w:rPr>
      </w:pPr>
    </w:p>
    <w:p w:rsidR="00065DF4" w:rsidRDefault="00065DF4" w14:paraId="3ED79CF7" w14:textId="77777777">
      <w:pPr>
        <w:rPr>
          <w:i/>
          <w:szCs w:val="24"/>
        </w:rPr>
      </w:pPr>
      <w:r w:rsidRPr="00065DF4">
        <w:rPr>
          <w:i/>
          <w:szCs w:val="24"/>
        </w:rPr>
        <w:t xml:space="preserve">Par Latvijas Republikas tiesībsarga </w:t>
      </w:r>
    </w:p>
    <w:p w:rsidR="00065DF4" w:rsidRDefault="00065DF4" w14:paraId="4AAC0CEC" w14:textId="77777777">
      <w:pPr>
        <w:rPr>
          <w:i/>
          <w:szCs w:val="24"/>
        </w:rPr>
      </w:pPr>
      <w:r w:rsidRPr="00065DF4">
        <w:rPr>
          <w:i/>
          <w:szCs w:val="24"/>
        </w:rPr>
        <w:t xml:space="preserve">2018. gada 29. oktobra atzinumu </w:t>
      </w:r>
    </w:p>
    <w:p w:rsidR="004D4472" w:rsidRDefault="00065DF4" w14:paraId="1042DB5D" w14:textId="45788496">
      <w:pPr>
        <w:rPr>
          <w:i/>
          <w:szCs w:val="24"/>
        </w:rPr>
      </w:pPr>
      <w:r w:rsidRPr="00065DF4">
        <w:rPr>
          <w:i/>
          <w:szCs w:val="24"/>
        </w:rPr>
        <w:t>un rekomendācijām</w:t>
      </w:r>
    </w:p>
    <w:p w:rsidRPr="001E2679" w:rsidR="00065DF4" w:rsidRDefault="00065DF4" w14:paraId="3B8359F1" w14:textId="77777777">
      <w:pPr>
        <w:rPr>
          <w:szCs w:val="24"/>
        </w:rPr>
      </w:pPr>
    </w:p>
    <w:p w:rsidR="00A2140C" w:rsidP="00910039" w:rsidRDefault="00DD7E58" w14:paraId="52DBFB7F" w14:textId="2E8BE2D6">
      <w:pPr>
        <w:ind w:firstLine="720"/>
        <w:rPr>
          <w:szCs w:val="24"/>
        </w:rPr>
      </w:pPr>
      <w:r>
        <w:rPr>
          <w:szCs w:val="24"/>
        </w:rPr>
        <w:t>Ministru kabinetā</w:t>
      </w:r>
      <w:r w:rsidRPr="001E2679" w:rsidR="004D4472">
        <w:rPr>
          <w:szCs w:val="24"/>
        </w:rPr>
        <w:t xml:space="preserve"> 201</w:t>
      </w:r>
      <w:r w:rsidR="00010588">
        <w:rPr>
          <w:szCs w:val="24"/>
        </w:rPr>
        <w:t>8</w:t>
      </w:r>
      <w:r w:rsidRPr="001E2679" w:rsidR="004D4472">
        <w:rPr>
          <w:szCs w:val="24"/>
        </w:rPr>
        <w:t>.</w:t>
      </w:r>
      <w:r w:rsidR="00821801">
        <w:rPr>
          <w:szCs w:val="24"/>
        </w:rPr>
        <w:t> </w:t>
      </w:r>
      <w:r w:rsidRPr="001E2679" w:rsidR="004D4472">
        <w:rPr>
          <w:szCs w:val="24"/>
        </w:rPr>
        <w:t xml:space="preserve">gada </w:t>
      </w:r>
      <w:r w:rsidR="00C701BF">
        <w:rPr>
          <w:szCs w:val="24"/>
        </w:rPr>
        <w:t>1</w:t>
      </w:r>
      <w:r w:rsidRPr="001E2679" w:rsidR="004D4472">
        <w:rPr>
          <w:szCs w:val="24"/>
        </w:rPr>
        <w:t>.</w:t>
      </w:r>
      <w:r w:rsidR="00821801">
        <w:rPr>
          <w:szCs w:val="24"/>
        </w:rPr>
        <w:t> </w:t>
      </w:r>
      <w:r w:rsidR="00010588">
        <w:rPr>
          <w:szCs w:val="24"/>
        </w:rPr>
        <w:t>novembrī</w:t>
      </w:r>
      <w:r w:rsidRPr="001E2679" w:rsidR="004D4472">
        <w:rPr>
          <w:szCs w:val="24"/>
        </w:rPr>
        <w:t xml:space="preserve"> saņemts </w:t>
      </w:r>
      <w:r w:rsidR="00010588">
        <w:rPr>
          <w:szCs w:val="24"/>
        </w:rPr>
        <w:t>Latvijas Republikas tiesībsarga (turpmāk</w:t>
      </w:r>
      <w:r w:rsidR="005C4B61">
        <w:rPr>
          <w:szCs w:val="24"/>
        </w:rPr>
        <w:t xml:space="preserve"> </w:t>
      </w:r>
      <w:r w:rsidR="00235C89">
        <w:rPr>
          <w:szCs w:val="24"/>
        </w:rPr>
        <w:t> </w:t>
      </w:r>
      <w:r w:rsidR="00010588">
        <w:rPr>
          <w:szCs w:val="24"/>
        </w:rPr>
        <w:t>– tiesībsargs) atzinums lietā Nr.</w:t>
      </w:r>
      <w:r w:rsidR="00821801">
        <w:rPr>
          <w:szCs w:val="24"/>
        </w:rPr>
        <w:t> </w:t>
      </w:r>
      <w:r w:rsidR="00010588">
        <w:rPr>
          <w:szCs w:val="24"/>
        </w:rPr>
        <w:t xml:space="preserve">2018-38-26G </w:t>
      </w:r>
      <w:r w:rsidR="006A78FB">
        <w:rPr>
          <w:szCs w:val="24"/>
        </w:rPr>
        <w:t>(turpmāk</w:t>
      </w:r>
      <w:r w:rsidR="00A2140C">
        <w:rPr>
          <w:szCs w:val="24"/>
        </w:rPr>
        <w:t> </w:t>
      </w:r>
      <w:r w:rsidR="006A78FB">
        <w:rPr>
          <w:szCs w:val="24"/>
        </w:rPr>
        <w:t xml:space="preserve">– </w:t>
      </w:r>
      <w:r w:rsidR="00C100DC">
        <w:rPr>
          <w:szCs w:val="24"/>
        </w:rPr>
        <w:t>A</w:t>
      </w:r>
      <w:r w:rsidR="006A78FB">
        <w:rPr>
          <w:szCs w:val="24"/>
        </w:rPr>
        <w:t xml:space="preserve">tzinums) </w:t>
      </w:r>
      <w:r w:rsidR="00010588">
        <w:rPr>
          <w:szCs w:val="24"/>
        </w:rPr>
        <w:t>ar rekomendācijām valstij īstenot pozitīvo pienākumu paredzēt juridisku ietvaru dažādu ģimenes formu atzīšanai, pārskatīt normatīvo regulējumu, veidojot vienotu izpratni par ģimenes jēdzienu un aizsardzību</w:t>
      </w:r>
      <w:r w:rsidR="008E6A66">
        <w:rPr>
          <w:szCs w:val="24"/>
        </w:rPr>
        <w:t>,</w:t>
      </w:r>
      <w:r w:rsidR="00010588">
        <w:rPr>
          <w:szCs w:val="24"/>
        </w:rPr>
        <w:t xml:space="preserve"> un izdarīt grozījumus Ministru kabineta </w:t>
      </w:r>
      <w:r w:rsidR="00A2140C">
        <w:rPr>
          <w:szCs w:val="24"/>
        </w:rPr>
        <w:t>2009</w:t>
      </w:r>
      <w:r w:rsidR="009B5F93">
        <w:rPr>
          <w:szCs w:val="24"/>
        </w:rPr>
        <w:t>.</w:t>
      </w:r>
      <w:r w:rsidR="00821801">
        <w:rPr>
          <w:szCs w:val="24"/>
        </w:rPr>
        <w:t> </w:t>
      </w:r>
      <w:r w:rsidR="009B5F93">
        <w:rPr>
          <w:szCs w:val="24"/>
        </w:rPr>
        <w:t xml:space="preserve">gada </w:t>
      </w:r>
      <w:r w:rsidR="00A2140C">
        <w:rPr>
          <w:szCs w:val="24"/>
        </w:rPr>
        <w:t>27. oktobra</w:t>
      </w:r>
      <w:r w:rsidR="00010588">
        <w:rPr>
          <w:szCs w:val="24"/>
        </w:rPr>
        <w:t xml:space="preserve"> noteikumu Nr.</w:t>
      </w:r>
      <w:r w:rsidR="00821801">
        <w:rPr>
          <w:szCs w:val="24"/>
        </w:rPr>
        <w:t> </w:t>
      </w:r>
      <w:r w:rsidR="00010588">
        <w:rPr>
          <w:szCs w:val="24"/>
        </w:rPr>
        <w:t xml:space="preserve">1250 </w:t>
      </w:r>
      <w:r w:rsidR="00871CA8">
        <w:rPr>
          <w:szCs w:val="24"/>
        </w:rPr>
        <w:t>"</w:t>
      </w:r>
      <w:r w:rsidR="00010588">
        <w:rPr>
          <w:szCs w:val="24"/>
        </w:rPr>
        <w:t>Noteikumi par valsts nodevu par īpašuma tiesību un ķīlas tiesību nostiprināšanu zemesgrāmatā</w:t>
      </w:r>
      <w:r w:rsidR="00871CA8">
        <w:rPr>
          <w:szCs w:val="24"/>
        </w:rPr>
        <w:t>"</w:t>
      </w:r>
      <w:r w:rsidR="00010588">
        <w:rPr>
          <w:szCs w:val="24"/>
        </w:rPr>
        <w:t xml:space="preserve"> (turpmāk</w:t>
      </w:r>
      <w:r w:rsidR="00A2140C">
        <w:rPr>
          <w:szCs w:val="24"/>
        </w:rPr>
        <w:t> </w:t>
      </w:r>
      <w:r w:rsidR="00010588">
        <w:rPr>
          <w:szCs w:val="24"/>
        </w:rPr>
        <w:t xml:space="preserve">– </w:t>
      </w:r>
      <w:r w:rsidR="00871CA8">
        <w:rPr>
          <w:szCs w:val="24"/>
        </w:rPr>
        <w:t>N</w:t>
      </w:r>
      <w:r w:rsidR="00010588">
        <w:rPr>
          <w:szCs w:val="24"/>
        </w:rPr>
        <w:t>oteikumi) 13.</w:t>
      </w:r>
      <w:r w:rsidR="00821801">
        <w:rPr>
          <w:szCs w:val="24"/>
        </w:rPr>
        <w:t> </w:t>
      </w:r>
      <w:r w:rsidR="00010588">
        <w:rPr>
          <w:szCs w:val="24"/>
        </w:rPr>
        <w:t>punktā, paredzot dažādu ģimenes formu atzīšanu.</w:t>
      </w:r>
      <w:r w:rsidR="00C701BF">
        <w:rPr>
          <w:szCs w:val="24"/>
        </w:rPr>
        <w:t xml:space="preserve"> </w:t>
      </w:r>
    </w:p>
    <w:p w:rsidR="00A73E19" w:rsidP="005C4B61" w:rsidRDefault="00C701BF" w14:paraId="38EEF34A" w14:textId="65F0683E">
      <w:pPr>
        <w:ind w:firstLine="720"/>
        <w:rPr>
          <w:szCs w:val="24"/>
        </w:rPr>
      </w:pPr>
      <w:r>
        <w:rPr>
          <w:szCs w:val="24"/>
        </w:rPr>
        <w:t>Ievērojot minēto, Atzinums tika nosūtīts Tieslietu ministrijai (turpmāk – ministrija) tajā sniegtās informācijas un rekomendāciju izvērtēšanai</w:t>
      </w:r>
      <w:r w:rsidR="00210662">
        <w:rPr>
          <w:szCs w:val="24"/>
        </w:rPr>
        <w:t>. Ministrija sagatavoja atbildes projektu, saskaņojot to ar Labklājības ministriju un Finanšu ministriju.</w:t>
      </w:r>
    </w:p>
    <w:p w:rsidRPr="004C42BE" w:rsidR="007B691A" w:rsidP="005C4B61" w:rsidRDefault="007B691A" w14:paraId="291835A6" w14:textId="3A5F177B">
      <w:pPr>
        <w:ind w:firstLine="720"/>
        <w:rPr>
          <w:szCs w:val="24"/>
        </w:rPr>
      </w:pPr>
      <w:r w:rsidRPr="004C42BE">
        <w:rPr>
          <w:bCs/>
          <w:szCs w:val="24"/>
        </w:rPr>
        <w:t>Saskaņā ar Latvijas Republikas Satversmes (turpmāk – Satversme) 110.</w:t>
      </w:r>
      <w:r w:rsidR="00821801">
        <w:rPr>
          <w:bCs/>
          <w:szCs w:val="24"/>
        </w:rPr>
        <w:t> </w:t>
      </w:r>
      <w:r w:rsidRPr="004C42BE">
        <w:rPr>
          <w:szCs w:val="24"/>
        </w:rPr>
        <w:t>pantā noteikto valsts aizsargā un atbalsta laulību – savienību starp vīrieti un sievieti, ģimeni, vecāku un bērna tiesības. Laulībai kā savienībai starp vīrieti un sievieti konstitucionālā līmenī tiek piešķirts īpašs statuss un aizsardzība, tādējādi nostiprinot principu, ka ir pieļaujama atšķirīga attieksme pret dažādiem personu savienības veidiem, raugoties no tā, vai personu savienība atbilst Satversmē minētajai laulības izpratnei vai neatbilst.</w:t>
      </w:r>
      <w:r w:rsidRPr="004C42BE">
        <w:rPr>
          <w:bCs/>
          <w:szCs w:val="24"/>
        </w:rPr>
        <w:t xml:space="preserve"> Laulībai kā savienībai starp vīrieti un sievieti ir konstitucionāla vērtība, un </w:t>
      </w:r>
      <w:r w:rsidRPr="004C42BE">
        <w:rPr>
          <w:szCs w:val="24"/>
        </w:rPr>
        <w:t>Satversmes 110.</w:t>
      </w:r>
      <w:r w:rsidR="00821801">
        <w:rPr>
          <w:szCs w:val="24"/>
        </w:rPr>
        <w:t> </w:t>
      </w:r>
      <w:r w:rsidRPr="004C42BE">
        <w:rPr>
          <w:szCs w:val="24"/>
        </w:rPr>
        <w:t>pantā noteiktā laulības jēdziena saturs izriet no Civillikuma Ģimenes tiesību daļas normām</w:t>
      </w:r>
      <w:r w:rsidRPr="004C42BE">
        <w:rPr>
          <w:szCs w:val="24"/>
          <w:vertAlign w:val="superscript"/>
        </w:rPr>
        <w:footnoteReference w:id="1"/>
      </w:r>
      <w:r w:rsidRPr="004C42BE">
        <w:rPr>
          <w:i/>
          <w:szCs w:val="24"/>
        </w:rPr>
        <w:t xml:space="preserve">. </w:t>
      </w:r>
      <w:bookmarkStart w:name="_Hlk534973853" w:id="2"/>
      <w:r w:rsidRPr="004C42BE">
        <w:rPr>
          <w:szCs w:val="24"/>
        </w:rPr>
        <w:t xml:space="preserve">Atbilstoši Civillikuma noteikumiem laulība ir divu pretēja dzimuma personu līgums par kopdzīvi. Lai šāds līgums iegūtu tiesisku spēku, Civillikumā noteikti tā noslēgšanas nosacījumi, šāda līguma publiski tiesiskās sekas un nozīme. </w:t>
      </w:r>
      <w:bookmarkEnd w:id="2"/>
    </w:p>
    <w:p w:rsidRPr="004C42BE" w:rsidR="007B691A" w:rsidP="005C4B61" w:rsidRDefault="007B691A" w14:paraId="3F772CC3" w14:textId="5AD1BF87">
      <w:pPr>
        <w:ind w:firstLine="720"/>
        <w:rPr>
          <w:bCs/>
          <w:szCs w:val="24"/>
        </w:rPr>
      </w:pPr>
      <w:r w:rsidRPr="004C42BE">
        <w:rPr>
          <w:szCs w:val="24"/>
        </w:rPr>
        <w:t>Vienlaikus Satversmes 96.</w:t>
      </w:r>
      <w:r w:rsidR="00821801">
        <w:rPr>
          <w:szCs w:val="24"/>
        </w:rPr>
        <w:t> </w:t>
      </w:r>
      <w:r w:rsidRPr="004C42BE">
        <w:rPr>
          <w:szCs w:val="24"/>
        </w:rPr>
        <w:t xml:space="preserve">pantā garantētās tiesības uz privātās dzīves neaizskaramību nozīmē, ka Latvijā ikviens var brīvi veidot savu privāto dzīvi pēc saviem ieskatiem. Līdz ar to ikviena pilngadīga persona var brīvi veidot kopdzīvi ar vienu vai vairākām pretējā vai sava dzimuma personām, un </w:t>
      </w:r>
      <w:r w:rsidRPr="004C42BE">
        <w:rPr>
          <w:bCs/>
          <w:szCs w:val="24"/>
        </w:rPr>
        <w:t>tas neliedz jebkurai personai Latvijā brīvi veidot privātu savienību ar citu personu, neatkarīgi no tā, vai tā ir laulība vai arī cita veida savienība.</w:t>
      </w:r>
    </w:p>
    <w:p w:rsidRPr="00790E57" w:rsidR="00337262" w:rsidP="005C4B61" w:rsidRDefault="007B691A" w14:paraId="5DA869C0" w14:textId="348943E1">
      <w:pPr>
        <w:ind w:firstLine="720"/>
        <w:rPr>
          <w:bCs/>
          <w:szCs w:val="24"/>
        </w:rPr>
      </w:pPr>
      <w:r w:rsidRPr="004C42BE">
        <w:rPr>
          <w:szCs w:val="24"/>
        </w:rPr>
        <w:t>Laulības vai partnerattiecību noslēgšanas jautājumi netiek regulēti Eiropas Savienības līmenī. Tiesības stāties laulībā un tiesības veidot ģimeni tiek garantētas saskaņā ar valsts tiesību aktiem, kas nosaka šo tiesību izmantošanu</w:t>
      </w:r>
      <w:r w:rsidRPr="004C42BE">
        <w:rPr>
          <w:rStyle w:val="Vresatsauce"/>
          <w:szCs w:val="24"/>
        </w:rPr>
        <w:footnoteReference w:id="2"/>
      </w:r>
      <w:r w:rsidRPr="004C42BE">
        <w:rPr>
          <w:szCs w:val="24"/>
        </w:rPr>
        <w:t xml:space="preserve">. </w:t>
      </w:r>
      <w:r>
        <w:rPr>
          <w:szCs w:val="24"/>
        </w:rPr>
        <w:t>Eiropas Savienības Pamattiesību hartas 9.</w:t>
      </w:r>
      <w:r w:rsidR="002B71C5">
        <w:rPr>
          <w:szCs w:val="24"/>
        </w:rPr>
        <w:t> </w:t>
      </w:r>
      <w:r>
        <w:rPr>
          <w:szCs w:val="24"/>
        </w:rPr>
        <w:t>panta skaidrojumos ir uzsvērts, ka personu, kas var stāties laulībā, dzimums nav minēts ar nodomu, proti, lai šīs tiesības varētu attiecināt arī uz valstīm, kas par ģimenes dibināšanas pamatu atzīst ne tikai laulību, bet arī citus pasākumus. Tādējādi šī norma ne aizliedz, ne arī uzliek pienākumu piešķirt laulības statusu viena dzimuma cilvēku savienībai</w:t>
      </w:r>
      <w:r>
        <w:rPr>
          <w:rStyle w:val="Vresatsauce"/>
          <w:szCs w:val="24"/>
        </w:rPr>
        <w:footnoteReference w:id="3"/>
      </w:r>
      <w:r>
        <w:rPr>
          <w:szCs w:val="24"/>
        </w:rPr>
        <w:t>.</w:t>
      </w:r>
      <w:r w:rsidR="00DF1708">
        <w:rPr>
          <w:szCs w:val="24"/>
        </w:rPr>
        <w:t xml:space="preserve"> </w:t>
      </w:r>
      <w:r w:rsidRPr="004C42BE">
        <w:rPr>
          <w:szCs w:val="24"/>
        </w:rPr>
        <w:t>Līdz ar to katras valsts tiesību sistēmā var pastāvēt būtiskas atšķirības šī jautājuma regulējumā</w:t>
      </w:r>
      <w:r w:rsidR="00337262">
        <w:rPr>
          <w:szCs w:val="24"/>
        </w:rPr>
        <w:t xml:space="preserve"> un</w:t>
      </w:r>
      <w:r w:rsidRPr="004C42BE">
        <w:rPr>
          <w:szCs w:val="24"/>
        </w:rPr>
        <w:t xml:space="preserve"> </w:t>
      </w:r>
      <w:r w:rsidR="00337262">
        <w:rPr>
          <w:szCs w:val="24"/>
        </w:rPr>
        <w:t>k</w:t>
      </w:r>
      <w:r w:rsidRPr="004C42BE">
        <w:rPr>
          <w:szCs w:val="24"/>
        </w:rPr>
        <w:t xml:space="preserve">atrai valstij ir tiesības veidot tādu ģimenes tiesību regulējuma modeli, kāds atbilst tās vēsturiskajai attīstībai un kultūras vērtībām. </w:t>
      </w:r>
      <w:r w:rsidRPr="00790E57" w:rsidR="00337262">
        <w:rPr>
          <w:bCs/>
          <w:szCs w:val="24"/>
        </w:rPr>
        <w:t>Civillikuma 32.</w:t>
      </w:r>
      <w:r w:rsidR="00337262">
        <w:rPr>
          <w:bCs/>
          <w:szCs w:val="24"/>
        </w:rPr>
        <w:t> </w:t>
      </w:r>
      <w:r w:rsidRPr="00790E57" w:rsidR="00337262">
        <w:rPr>
          <w:bCs/>
          <w:szCs w:val="24"/>
        </w:rPr>
        <w:t>-</w:t>
      </w:r>
      <w:r w:rsidR="00337262">
        <w:rPr>
          <w:bCs/>
          <w:szCs w:val="24"/>
        </w:rPr>
        <w:t> </w:t>
      </w:r>
      <w:r w:rsidRPr="00790E57" w:rsidR="00337262">
        <w:rPr>
          <w:bCs/>
          <w:szCs w:val="24"/>
        </w:rPr>
        <w:t>38.</w:t>
      </w:r>
      <w:r w:rsidR="00337262">
        <w:rPr>
          <w:bCs/>
          <w:szCs w:val="24"/>
        </w:rPr>
        <w:t> </w:t>
      </w:r>
      <w:r w:rsidRPr="00790E57" w:rsidR="00337262">
        <w:rPr>
          <w:bCs/>
          <w:szCs w:val="24"/>
        </w:rPr>
        <w:t xml:space="preserve">pantā noteikti vairāki šķēršļi laulības slēgšanai, tostarp, </w:t>
      </w:r>
      <w:r w:rsidRPr="00790E57" w:rsidR="00337262">
        <w:rPr>
          <w:bCs/>
          <w:szCs w:val="24"/>
        </w:rPr>
        <w:lastRenderedPageBreak/>
        <w:t xml:space="preserve">Civillikums aizliedz jaunu laulību personai, kas jau atrodas laulībā, kā arī laulību starp radiniekiem un starp viena dzimuma personām. </w:t>
      </w:r>
      <w:r w:rsidR="00337262">
        <w:rPr>
          <w:szCs w:val="24"/>
        </w:rPr>
        <w:t xml:space="preserve">Civillikumā noteiktie aizliegumi ir skaidri un nepārprotami, kurus nevar interpretēt </w:t>
      </w:r>
      <w:r w:rsidRPr="001148D4" w:rsidR="00337262">
        <w:rPr>
          <w:szCs w:val="24"/>
        </w:rPr>
        <w:t xml:space="preserve">pretēji tiesiskuma </w:t>
      </w:r>
      <w:r w:rsidR="00337262">
        <w:rPr>
          <w:szCs w:val="24"/>
        </w:rPr>
        <w:t xml:space="preserve">principam. Turklāt šīs normas pilnībā atbilst Satversmes 110. pantam un nepārkāpj nevienu no </w:t>
      </w:r>
      <w:r w:rsidRPr="00AD62EA" w:rsidR="00AD62EA">
        <w:rPr>
          <w:szCs w:val="24"/>
        </w:rPr>
        <w:t>Cilvēka tiesību un pamatbrīvību aizsardzības konvencijas (turpmāk – Konvencija)</w:t>
      </w:r>
      <w:r w:rsidR="00337262">
        <w:rPr>
          <w:szCs w:val="24"/>
        </w:rPr>
        <w:t xml:space="preserve"> vai citu Latvijai saistošu starptautisko līgumu normām. </w:t>
      </w:r>
    </w:p>
    <w:p w:rsidRPr="00656519" w:rsidR="004E788A" w:rsidP="005C4B61" w:rsidRDefault="003F1CF8" w14:paraId="4CD4E5CD" w14:textId="7BF08687">
      <w:pPr>
        <w:ind w:firstLine="720"/>
        <w:rPr>
          <w:szCs w:val="24"/>
        </w:rPr>
      </w:pPr>
      <w:r>
        <w:rPr>
          <w:szCs w:val="24"/>
        </w:rPr>
        <w:t xml:space="preserve">Līdz ar to </w:t>
      </w:r>
      <w:r w:rsidRPr="004C42BE" w:rsidR="007B691A">
        <w:rPr>
          <w:szCs w:val="24"/>
        </w:rPr>
        <w:t>Latvijas tiesību sistēmā nepastāv viendzimuma laulības tiesību institūts, proti, Latvijas tiesību aktos nav paredzētas tiesības slēgt viendzimuma laulību, tāpat nav paredzētas tiesības reģistrēt viena vai dažādu dzimumu partnerattiecības. Turklāt no Eiropas Cilvēktiesību tiesas (turpmāk</w:t>
      </w:r>
      <w:r w:rsidR="00E63DE6">
        <w:rPr>
          <w:szCs w:val="24"/>
        </w:rPr>
        <w:t> </w:t>
      </w:r>
      <w:r w:rsidRPr="004C42BE" w:rsidR="007B691A">
        <w:rPr>
          <w:szCs w:val="24"/>
        </w:rPr>
        <w:t xml:space="preserve">– ECT) judikatūras neizriet, ka šis fakts radītu </w:t>
      </w:r>
      <w:bookmarkStart w:name="_Hlk6318446" w:id="3"/>
      <w:r w:rsidRPr="004C42BE" w:rsidR="007B691A">
        <w:rPr>
          <w:szCs w:val="24"/>
        </w:rPr>
        <w:t>Konvencija</w:t>
      </w:r>
      <w:bookmarkEnd w:id="3"/>
      <w:r w:rsidR="00D85D0C">
        <w:rPr>
          <w:szCs w:val="24"/>
        </w:rPr>
        <w:t>s</w:t>
      </w:r>
      <w:r w:rsidRPr="004C42BE" w:rsidR="007B691A">
        <w:rPr>
          <w:szCs w:val="24"/>
        </w:rPr>
        <w:t xml:space="preserve"> pārkāpumu un ka visām dalībvalstīm būtu vispārējs pienākums ieviest savās tiesību sistēmās šādus institūtus. Piemēram, ECT 2010.</w:t>
      </w:r>
      <w:r w:rsidR="002B71C5">
        <w:rPr>
          <w:szCs w:val="24"/>
        </w:rPr>
        <w:t> </w:t>
      </w:r>
      <w:r w:rsidRPr="004C42BE" w:rsidR="007B691A">
        <w:rPr>
          <w:szCs w:val="24"/>
        </w:rPr>
        <w:t>gada 24.</w:t>
      </w:r>
      <w:r w:rsidR="002B71C5">
        <w:rPr>
          <w:szCs w:val="24"/>
        </w:rPr>
        <w:t> </w:t>
      </w:r>
      <w:r w:rsidRPr="004C42BE" w:rsidR="007B691A">
        <w:rPr>
          <w:szCs w:val="24"/>
        </w:rPr>
        <w:t xml:space="preserve">jūnija spriedumā lietā </w:t>
      </w:r>
      <w:proofErr w:type="spellStart"/>
      <w:r w:rsidRPr="00B61B98" w:rsidR="007B691A">
        <w:rPr>
          <w:i/>
          <w:szCs w:val="24"/>
        </w:rPr>
        <w:t>Schalk</w:t>
      </w:r>
      <w:proofErr w:type="spellEnd"/>
      <w:r w:rsidRPr="00B61B98" w:rsidR="007B691A">
        <w:rPr>
          <w:i/>
          <w:szCs w:val="24"/>
        </w:rPr>
        <w:t xml:space="preserve"> </w:t>
      </w:r>
      <w:proofErr w:type="spellStart"/>
      <w:r w:rsidRPr="00B61B98" w:rsidR="007B691A">
        <w:rPr>
          <w:i/>
          <w:szCs w:val="24"/>
        </w:rPr>
        <w:t>and</w:t>
      </w:r>
      <w:proofErr w:type="spellEnd"/>
      <w:r w:rsidRPr="00B61B98" w:rsidR="007B691A">
        <w:rPr>
          <w:i/>
          <w:szCs w:val="24"/>
        </w:rPr>
        <w:t xml:space="preserve"> </w:t>
      </w:r>
      <w:proofErr w:type="spellStart"/>
      <w:r w:rsidRPr="00B61B98" w:rsidR="007B691A">
        <w:rPr>
          <w:i/>
          <w:szCs w:val="24"/>
        </w:rPr>
        <w:t>Kopf</w:t>
      </w:r>
      <w:proofErr w:type="spellEnd"/>
      <w:r w:rsidRPr="00B61B98" w:rsidR="007B691A">
        <w:rPr>
          <w:i/>
          <w:szCs w:val="24"/>
        </w:rPr>
        <w:t xml:space="preserve"> v. </w:t>
      </w:r>
      <w:proofErr w:type="spellStart"/>
      <w:r w:rsidRPr="00B61B98" w:rsidR="007B691A">
        <w:rPr>
          <w:i/>
          <w:szCs w:val="24"/>
        </w:rPr>
        <w:t>Austria</w:t>
      </w:r>
      <w:proofErr w:type="spellEnd"/>
      <w:r w:rsidRPr="004C42BE" w:rsidR="007B691A">
        <w:rPr>
          <w:szCs w:val="24"/>
        </w:rPr>
        <w:t xml:space="preserve"> (lieta Nr.</w:t>
      </w:r>
      <w:r w:rsidR="002B71C5">
        <w:rPr>
          <w:szCs w:val="24"/>
        </w:rPr>
        <w:t> </w:t>
      </w:r>
      <w:r w:rsidRPr="004C42BE" w:rsidR="007B691A">
        <w:rPr>
          <w:szCs w:val="24"/>
        </w:rPr>
        <w:t>30141/04) secinājusi, ka Konvencijas 12.</w:t>
      </w:r>
      <w:r w:rsidR="002B71C5">
        <w:rPr>
          <w:szCs w:val="24"/>
        </w:rPr>
        <w:t> </w:t>
      </w:r>
      <w:r w:rsidRPr="004C42BE" w:rsidR="007B691A">
        <w:rPr>
          <w:szCs w:val="24"/>
        </w:rPr>
        <w:t>pantā</w:t>
      </w:r>
      <w:r w:rsidRPr="004C42BE" w:rsidR="007B691A">
        <w:rPr>
          <w:rStyle w:val="Vresatsauce"/>
          <w:szCs w:val="24"/>
        </w:rPr>
        <w:footnoteReference w:id="4"/>
      </w:r>
      <w:r w:rsidRPr="004C42BE" w:rsidR="007B691A">
        <w:rPr>
          <w:szCs w:val="24"/>
        </w:rPr>
        <w:t xml:space="preserve"> noteiktais atstāj valstīm tiesības izlemt, vai atļaut laulāties vien</w:t>
      </w:r>
      <w:r w:rsidR="007B691A">
        <w:rPr>
          <w:szCs w:val="24"/>
        </w:rPr>
        <w:t xml:space="preserve">a </w:t>
      </w:r>
      <w:r w:rsidRPr="004C42BE" w:rsidR="007B691A">
        <w:rPr>
          <w:szCs w:val="24"/>
        </w:rPr>
        <w:t>dzimuma partneriem, norādot, ka valstu valdības ir labvēlīgākā stāvoklī, lai izvērtētu sabiedrības vajadzības šajā jomā un reaģētu uz šīm vajadzībām, ņemot vērā, ka laulāto attiecības pamatojas uz dziļiem sociālajiem un kultūras priekšstatiem, kas dažādās sabiedrībās būtiski atšķiras</w:t>
      </w:r>
      <w:r w:rsidRPr="004C42BE" w:rsidR="007B691A">
        <w:rPr>
          <w:rStyle w:val="Vresatsauce"/>
          <w:szCs w:val="24"/>
        </w:rPr>
        <w:footnoteReference w:id="5"/>
      </w:r>
      <w:r w:rsidRPr="004C42BE" w:rsidR="007B691A">
        <w:rPr>
          <w:szCs w:val="24"/>
        </w:rPr>
        <w:t>.</w:t>
      </w:r>
      <w:r w:rsidR="005E0688">
        <w:rPr>
          <w:szCs w:val="24"/>
        </w:rPr>
        <w:t xml:space="preserve"> </w:t>
      </w:r>
      <w:r w:rsidRPr="00656519" w:rsidR="005D1762">
        <w:rPr>
          <w:szCs w:val="24"/>
        </w:rPr>
        <w:t xml:space="preserve">Attiecībā uz valsts pienākumu paredzēt </w:t>
      </w:r>
      <w:r w:rsidRPr="00656519" w:rsidR="008E6A66">
        <w:rPr>
          <w:szCs w:val="24"/>
        </w:rPr>
        <w:t>juridisku ietvaru dažādu ģimenes formu atzīšanai</w:t>
      </w:r>
      <w:r w:rsidR="002B71C5">
        <w:rPr>
          <w:szCs w:val="24"/>
        </w:rPr>
        <w:t>,</w:t>
      </w:r>
      <w:r w:rsidRPr="00656519" w:rsidR="008E6A66">
        <w:rPr>
          <w:szCs w:val="24"/>
        </w:rPr>
        <w:t xml:space="preserve"> </w:t>
      </w:r>
      <w:r w:rsidR="002B71C5">
        <w:rPr>
          <w:szCs w:val="24"/>
        </w:rPr>
        <w:t>j</w:t>
      </w:r>
      <w:r w:rsidRPr="00656519" w:rsidR="008E6A66">
        <w:rPr>
          <w:szCs w:val="24"/>
        </w:rPr>
        <w:t xml:space="preserve">autājums, uz kuru ir jāatbild konkrētajā gadījumā, vai no </w:t>
      </w:r>
      <w:r w:rsidR="002B71C5">
        <w:rPr>
          <w:szCs w:val="24"/>
        </w:rPr>
        <w:t>K</w:t>
      </w:r>
      <w:r w:rsidRPr="00656519" w:rsidR="001B0775">
        <w:rPr>
          <w:szCs w:val="24"/>
        </w:rPr>
        <w:t xml:space="preserve">onvencijas </w:t>
      </w:r>
      <w:r w:rsidRPr="00656519" w:rsidR="008E6A66">
        <w:rPr>
          <w:szCs w:val="24"/>
        </w:rPr>
        <w:t>8.</w:t>
      </w:r>
      <w:r w:rsidR="002B71C5">
        <w:rPr>
          <w:szCs w:val="24"/>
        </w:rPr>
        <w:t> </w:t>
      </w:r>
      <w:r w:rsidRPr="00656519" w:rsidR="008E6A66">
        <w:rPr>
          <w:szCs w:val="24"/>
        </w:rPr>
        <w:t>panta Latvijai izriet pienākums ieviest savā tiesību sistēmā jaunu kopdzīves tiesisko regulējumu un vai, to nedarot, Latvija ir pārkāpusi šajā pantā noteikto pienākumu.</w:t>
      </w:r>
    </w:p>
    <w:p w:rsidR="00E81B5F" w:rsidP="005C4B61" w:rsidRDefault="00E81B5F" w14:paraId="381F670A" w14:textId="5D68438E">
      <w:pPr>
        <w:ind w:firstLine="720"/>
        <w:rPr>
          <w:szCs w:val="24"/>
        </w:rPr>
      </w:pPr>
      <w:r w:rsidRPr="00227092">
        <w:rPr>
          <w:szCs w:val="24"/>
        </w:rPr>
        <w:t>Pirms atbildēt uz šo jautājumu, vērš</w:t>
      </w:r>
      <w:r w:rsidRPr="00227092" w:rsidR="00456251">
        <w:rPr>
          <w:szCs w:val="24"/>
        </w:rPr>
        <w:t>am</w:t>
      </w:r>
      <w:r w:rsidRPr="00227092">
        <w:rPr>
          <w:szCs w:val="24"/>
        </w:rPr>
        <w:t xml:space="preserve"> uzmanību, ka </w:t>
      </w:r>
      <w:r w:rsidRPr="00227092" w:rsidR="00F855A7">
        <w:rPr>
          <w:szCs w:val="24"/>
        </w:rPr>
        <w:t xml:space="preserve">ne </w:t>
      </w:r>
      <w:r w:rsidRPr="00227092" w:rsidR="00AE77DD">
        <w:rPr>
          <w:szCs w:val="24"/>
        </w:rPr>
        <w:t>Ministru kabineta 2017.</w:t>
      </w:r>
      <w:r w:rsidRPr="00227092" w:rsidR="00855E0F">
        <w:rPr>
          <w:szCs w:val="24"/>
        </w:rPr>
        <w:t> </w:t>
      </w:r>
      <w:r w:rsidRPr="00227092" w:rsidR="00AE77DD">
        <w:rPr>
          <w:szCs w:val="24"/>
        </w:rPr>
        <w:t>gada 16.</w:t>
      </w:r>
      <w:r w:rsidRPr="00D51EC1" w:rsidR="00855E0F">
        <w:rPr>
          <w:szCs w:val="24"/>
        </w:rPr>
        <w:t> </w:t>
      </w:r>
      <w:r w:rsidRPr="00D51EC1" w:rsidR="00AE77DD">
        <w:rPr>
          <w:szCs w:val="24"/>
        </w:rPr>
        <w:t>augusta noteikumi Nr.</w:t>
      </w:r>
      <w:r w:rsidRPr="007F4D0E" w:rsidR="00855E0F">
        <w:rPr>
          <w:szCs w:val="24"/>
        </w:rPr>
        <w:t> </w:t>
      </w:r>
      <w:r w:rsidRPr="007F4D0E" w:rsidR="00AE77DD">
        <w:rPr>
          <w:szCs w:val="24"/>
        </w:rPr>
        <w:t>474 "Tieslietu ministrijas nolikums"</w:t>
      </w:r>
      <w:r w:rsidRPr="0090461A" w:rsidR="00F855A7">
        <w:rPr>
          <w:szCs w:val="24"/>
        </w:rPr>
        <w:t>, ne Ministru kabineta 2003.</w:t>
      </w:r>
      <w:r w:rsidR="00227092">
        <w:rPr>
          <w:szCs w:val="24"/>
        </w:rPr>
        <w:t> </w:t>
      </w:r>
      <w:r w:rsidRPr="00227092" w:rsidR="00F855A7">
        <w:rPr>
          <w:szCs w:val="24"/>
        </w:rPr>
        <w:t>gada 29.</w:t>
      </w:r>
      <w:r w:rsidR="00227092">
        <w:rPr>
          <w:szCs w:val="24"/>
        </w:rPr>
        <w:t> </w:t>
      </w:r>
      <w:r w:rsidRPr="00227092" w:rsidR="00F855A7">
        <w:rPr>
          <w:szCs w:val="24"/>
        </w:rPr>
        <w:t>aprīļa noteikumi Nr.</w:t>
      </w:r>
      <w:r w:rsidR="00227092">
        <w:rPr>
          <w:szCs w:val="24"/>
        </w:rPr>
        <w:t> </w:t>
      </w:r>
      <w:r w:rsidRPr="00227092" w:rsidR="00F855A7">
        <w:rPr>
          <w:szCs w:val="24"/>
        </w:rPr>
        <w:t xml:space="preserve">239 "Finanšu ministrijas nolikums", ne </w:t>
      </w:r>
      <w:r w:rsidR="00227092">
        <w:rPr>
          <w:szCs w:val="24"/>
        </w:rPr>
        <w:t xml:space="preserve">Ministru kabineta </w:t>
      </w:r>
      <w:r w:rsidRPr="00227092" w:rsidR="00F855A7">
        <w:rPr>
          <w:szCs w:val="24"/>
        </w:rPr>
        <w:t>2004.</w:t>
      </w:r>
      <w:r w:rsidR="00227092">
        <w:rPr>
          <w:szCs w:val="24"/>
        </w:rPr>
        <w:t> </w:t>
      </w:r>
      <w:r w:rsidRPr="00227092" w:rsidR="00F855A7">
        <w:rPr>
          <w:szCs w:val="24"/>
        </w:rPr>
        <w:t>gada 27.</w:t>
      </w:r>
      <w:r w:rsidR="00227092">
        <w:rPr>
          <w:szCs w:val="24"/>
        </w:rPr>
        <w:t> </w:t>
      </w:r>
      <w:r w:rsidRPr="00227092" w:rsidR="00F855A7">
        <w:rPr>
          <w:szCs w:val="24"/>
        </w:rPr>
        <w:t>janvāra noteikumi Nr.</w:t>
      </w:r>
      <w:r w:rsidR="00227092">
        <w:rPr>
          <w:szCs w:val="24"/>
        </w:rPr>
        <w:t> </w:t>
      </w:r>
      <w:r w:rsidRPr="00227092" w:rsidR="00F855A7">
        <w:rPr>
          <w:szCs w:val="24"/>
        </w:rPr>
        <w:t>49 "Labklājības ministrijas nolikums"</w:t>
      </w:r>
      <w:r w:rsidRPr="00227092" w:rsidR="00AE77DD">
        <w:rPr>
          <w:szCs w:val="24"/>
        </w:rPr>
        <w:t xml:space="preserve"> nepiešķir ministrij</w:t>
      </w:r>
      <w:r w:rsidRPr="00227092" w:rsidR="00456251">
        <w:rPr>
          <w:szCs w:val="24"/>
        </w:rPr>
        <w:t>ām</w:t>
      </w:r>
      <w:r w:rsidRPr="00227092" w:rsidR="00AE77DD">
        <w:rPr>
          <w:szCs w:val="24"/>
        </w:rPr>
        <w:t xml:space="preserve"> tiesības </w:t>
      </w:r>
      <w:r w:rsidRPr="00227092" w:rsidR="00AE77DD">
        <w:rPr>
          <w:rFonts w:eastAsia="Times New Roman"/>
          <w:iCs/>
          <w:szCs w:val="24"/>
          <w:lang w:eastAsia="lv-LV"/>
        </w:rPr>
        <w:t xml:space="preserve">sniegt saistošus skaidrojumus par Konvencijas </w:t>
      </w:r>
      <w:r w:rsidRPr="00227092" w:rsidR="006A78FB">
        <w:rPr>
          <w:rFonts w:eastAsia="Times New Roman"/>
          <w:iCs/>
          <w:szCs w:val="24"/>
          <w:lang w:eastAsia="lv-LV"/>
        </w:rPr>
        <w:t xml:space="preserve">piemērošanu </w:t>
      </w:r>
      <w:r w:rsidRPr="00227092" w:rsidR="00AE77DD">
        <w:rPr>
          <w:rFonts w:eastAsia="Times New Roman"/>
          <w:iCs/>
          <w:szCs w:val="24"/>
          <w:lang w:eastAsia="lv-LV"/>
        </w:rPr>
        <w:t xml:space="preserve">un </w:t>
      </w:r>
      <w:r w:rsidRPr="00227092" w:rsidR="006A78FB">
        <w:rPr>
          <w:rFonts w:eastAsia="Times New Roman"/>
          <w:iCs/>
          <w:szCs w:val="24"/>
          <w:lang w:eastAsia="lv-LV"/>
        </w:rPr>
        <w:t>ECT</w:t>
      </w:r>
      <w:r w:rsidRPr="00227092" w:rsidR="00AE77DD">
        <w:rPr>
          <w:rFonts w:eastAsia="Times New Roman"/>
          <w:iCs/>
          <w:szCs w:val="24"/>
          <w:lang w:eastAsia="lv-LV"/>
        </w:rPr>
        <w:t xml:space="preserve"> judikat</w:t>
      </w:r>
      <w:r w:rsidRPr="00D51EC1" w:rsidR="00AE77DD">
        <w:rPr>
          <w:rFonts w:eastAsia="Times New Roman"/>
          <w:iCs/>
          <w:szCs w:val="24"/>
          <w:lang w:eastAsia="lv-LV"/>
        </w:rPr>
        <w:t xml:space="preserve">ūras saturu. Līdz ar to </w:t>
      </w:r>
      <w:r w:rsidRPr="00D51EC1" w:rsidR="00456251">
        <w:rPr>
          <w:rFonts w:eastAsia="Times New Roman"/>
          <w:iCs/>
          <w:szCs w:val="24"/>
          <w:lang w:eastAsia="lv-LV"/>
        </w:rPr>
        <w:t>iespējams</w:t>
      </w:r>
      <w:r w:rsidRPr="007F4D0E" w:rsidR="00AE77DD">
        <w:rPr>
          <w:rFonts w:eastAsia="Times New Roman"/>
          <w:iCs/>
          <w:szCs w:val="24"/>
          <w:lang w:eastAsia="lv-LV"/>
        </w:rPr>
        <w:t xml:space="preserve"> paust </w:t>
      </w:r>
      <w:r w:rsidRPr="007F4D0E" w:rsidR="00456251">
        <w:rPr>
          <w:rFonts w:eastAsia="Times New Roman"/>
          <w:iCs/>
          <w:szCs w:val="24"/>
          <w:lang w:eastAsia="lv-LV"/>
        </w:rPr>
        <w:t>iestāžu</w:t>
      </w:r>
      <w:r w:rsidRPr="0090461A" w:rsidR="00AE77DD">
        <w:rPr>
          <w:rFonts w:eastAsia="Times New Roman"/>
          <w:iCs/>
          <w:szCs w:val="24"/>
          <w:lang w:eastAsia="lv-LV"/>
        </w:rPr>
        <w:t xml:space="preserve"> viedokli par atziņām, kas ietvertas ECT judikatūrā</w:t>
      </w:r>
      <w:r w:rsidRPr="00227092" w:rsidR="002A4145">
        <w:rPr>
          <w:rFonts w:eastAsia="Times New Roman"/>
          <w:iCs/>
          <w:szCs w:val="24"/>
          <w:lang w:eastAsia="lv-LV"/>
        </w:rPr>
        <w:t>.</w:t>
      </w:r>
    </w:p>
    <w:p w:rsidR="008E6A66" w:rsidP="005C4B61" w:rsidRDefault="00151F2F" w14:paraId="01A69C66" w14:textId="2FBA284E">
      <w:pPr>
        <w:ind w:firstLine="720"/>
        <w:rPr>
          <w:szCs w:val="24"/>
        </w:rPr>
      </w:pPr>
      <w:r>
        <w:rPr>
          <w:szCs w:val="24"/>
        </w:rPr>
        <w:t>A</w:t>
      </w:r>
      <w:r w:rsidR="006A78FB">
        <w:rPr>
          <w:szCs w:val="24"/>
        </w:rPr>
        <w:t xml:space="preserve">tzinums </w:t>
      </w:r>
      <w:r w:rsidR="00AE77DD">
        <w:rPr>
          <w:szCs w:val="24"/>
        </w:rPr>
        <w:t>pamato</w:t>
      </w:r>
      <w:r w:rsidR="006A78FB">
        <w:rPr>
          <w:szCs w:val="24"/>
        </w:rPr>
        <w:t>t</w:t>
      </w:r>
      <w:r w:rsidR="00AE77DD">
        <w:rPr>
          <w:szCs w:val="24"/>
        </w:rPr>
        <w:t xml:space="preserve">s galvenokārt </w:t>
      </w:r>
      <w:r w:rsidR="00AC4045">
        <w:rPr>
          <w:szCs w:val="24"/>
        </w:rPr>
        <w:t>ar</w:t>
      </w:r>
      <w:r w:rsidR="00AE77DD">
        <w:rPr>
          <w:szCs w:val="24"/>
        </w:rPr>
        <w:t xml:space="preserve"> </w:t>
      </w:r>
      <w:r w:rsidR="006A78FB">
        <w:rPr>
          <w:szCs w:val="24"/>
        </w:rPr>
        <w:t>E</w:t>
      </w:r>
      <w:r w:rsidR="00AE77DD">
        <w:rPr>
          <w:szCs w:val="24"/>
        </w:rPr>
        <w:t>CT 2015.</w:t>
      </w:r>
      <w:r w:rsidR="004E0A12">
        <w:rPr>
          <w:szCs w:val="24"/>
        </w:rPr>
        <w:t> </w:t>
      </w:r>
      <w:r w:rsidR="00AE77DD">
        <w:rPr>
          <w:szCs w:val="24"/>
        </w:rPr>
        <w:t>gada 21.</w:t>
      </w:r>
      <w:r w:rsidR="004E0A12">
        <w:rPr>
          <w:szCs w:val="24"/>
        </w:rPr>
        <w:t> </w:t>
      </w:r>
      <w:r w:rsidR="00AE77DD">
        <w:rPr>
          <w:szCs w:val="24"/>
        </w:rPr>
        <w:t>jūlija spriedum</w:t>
      </w:r>
      <w:r w:rsidR="006A78FB">
        <w:rPr>
          <w:szCs w:val="24"/>
        </w:rPr>
        <w:t>ā</w:t>
      </w:r>
      <w:r w:rsidR="00AE77DD">
        <w:rPr>
          <w:szCs w:val="24"/>
        </w:rPr>
        <w:t xml:space="preserve"> lietā </w:t>
      </w:r>
      <w:proofErr w:type="spellStart"/>
      <w:r w:rsidRPr="002D2AB7" w:rsidR="00AE77DD">
        <w:rPr>
          <w:i/>
          <w:szCs w:val="24"/>
        </w:rPr>
        <w:t>Oliari</w:t>
      </w:r>
      <w:proofErr w:type="spellEnd"/>
      <w:r w:rsidRPr="002D2AB7" w:rsidR="002D2AB7">
        <w:rPr>
          <w:i/>
          <w:szCs w:val="24"/>
        </w:rPr>
        <w:t xml:space="preserve"> </w:t>
      </w:r>
      <w:proofErr w:type="spellStart"/>
      <w:r w:rsidRPr="002D2AB7" w:rsidR="00AE77DD">
        <w:rPr>
          <w:i/>
          <w:szCs w:val="24"/>
        </w:rPr>
        <w:t>and</w:t>
      </w:r>
      <w:proofErr w:type="spellEnd"/>
      <w:r w:rsidRPr="002D2AB7" w:rsidR="00AE77DD">
        <w:rPr>
          <w:i/>
          <w:szCs w:val="24"/>
        </w:rPr>
        <w:t xml:space="preserve"> </w:t>
      </w:r>
      <w:proofErr w:type="spellStart"/>
      <w:r w:rsidRPr="002D2AB7" w:rsidR="00AE77DD">
        <w:rPr>
          <w:i/>
          <w:szCs w:val="24"/>
        </w:rPr>
        <w:t>Others</w:t>
      </w:r>
      <w:proofErr w:type="spellEnd"/>
      <w:r w:rsidRPr="002D2AB7" w:rsidR="00AE77DD">
        <w:rPr>
          <w:i/>
          <w:szCs w:val="24"/>
        </w:rPr>
        <w:t xml:space="preserve"> v.</w:t>
      </w:r>
      <w:r w:rsidR="00D50FC6">
        <w:rPr>
          <w:i/>
          <w:szCs w:val="24"/>
        </w:rPr>
        <w:t xml:space="preserve"> </w:t>
      </w:r>
      <w:proofErr w:type="spellStart"/>
      <w:r w:rsidRPr="002D2AB7" w:rsidR="00AE77DD">
        <w:rPr>
          <w:i/>
          <w:szCs w:val="24"/>
        </w:rPr>
        <w:t>Italy</w:t>
      </w:r>
      <w:proofErr w:type="spellEnd"/>
      <w:r w:rsidR="00AE77DD">
        <w:rPr>
          <w:szCs w:val="24"/>
        </w:rPr>
        <w:t xml:space="preserve"> pau</w:t>
      </w:r>
      <w:r w:rsidR="006A78FB">
        <w:rPr>
          <w:szCs w:val="24"/>
        </w:rPr>
        <w:t>sto</w:t>
      </w:r>
      <w:r w:rsidR="00AE77DD">
        <w:rPr>
          <w:szCs w:val="24"/>
        </w:rPr>
        <w:t xml:space="preserve"> viedokli, ka no laulības atšķirīgu savienību atzīšanas trūkums uzskatāms par Konvencijas 8.</w:t>
      </w:r>
      <w:r w:rsidR="003B59C0">
        <w:rPr>
          <w:szCs w:val="24"/>
        </w:rPr>
        <w:t> </w:t>
      </w:r>
      <w:r w:rsidR="00AE77DD">
        <w:rPr>
          <w:szCs w:val="24"/>
        </w:rPr>
        <w:t xml:space="preserve">panta pārkāpumu. </w:t>
      </w:r>
      <w:r w:rsidR="00456251">
        <w:rPr>
          <w:szCs w:val="24"/>
        </w:rPr>
        <w:t>Š</w:t>
      </w:r>
      <w:r w:rsidR="00AE77DD">
        <w:rPr>
          <w:szCs w:val="24"/>
        </w:rPr>
        <w:t>āds apgalvojum</w:t>
      </w:r>
      <w:r w:rsidR="00227092">
        <w:rPr>
          <w:szCs w:val="24"/>
        </w:rPr>
        <w:t>s</w:t>
      </w:r>
      <w:r w:rsidR="00AE77DD">
        <w:rPr>
          <w:szCs w:val="24"/>
        </w:rPr>
        <w:t xml:space="preserve"> nav patiess, jo ECT nekad nav izdarījusi vispārīgu un uz visām valstīm vienādi attiecināmu secinājumu.</w:t>
      </w:r>
      <w:r w:rsidR="00C82EAE">
        <w:rPr>
          <w:szCs w:val="24"/>
        </w:rPr>
        <w:t xml:space="preserve"> </w:t>
      </w:r>
    </w:p>
    <w:p w:rsidR="007F0ED0" w:rsidP="005C4B61" w:rsidRDefault="007F0ED0" w14:paraId="790B643A" w14:textId="54CCC0D1">
      <w:pPr>
        <w:ind w:firstLine="720"/>
        <w:rPr>
          <w:szCs w:val="24"/>
        </w:rPr>
      </w:pPr>
      <w:r>
        <w:rPr>
          <w:szCs w:val="24"/>
        </w:rPr>
        <w:t xml:space="preserve">Līdzpieteicēju pieteikumā </w:t>
      </w:r>
      <w:r w:rsidR="009835E4">
        <w:rPr>
          <w:szCs w:val="24"/>
        </w:rPr>
        <w:t>A</w:t>
      </w:r>
      <w:r w:rsidR="0072153F">
        <w:rPr>
          <w:szCs w:val="24"/>
        </w:rPr>
        <w:t>tzinumā</w:t>
      </w:r>
      <w:r>
        <w:rPr>
          <w:szCs w:val="24"/>
        </w:rPr>
        <w:t xml:space="preserve"> un iepriekš </w:t>
      </w:r>
      <w:r w:rsidR="0072153F">
        <w:rPr>
          <w:szCs w:val="24"/>
        </w:rPr>
        <w:t>ša</w:t>
      </w:r>
      <w:r>
        <w:rPr>
          <w:szCs w:val="24"/>
        </w:rPr>
        <w:t xml:space="preserve">jā vēstulē minētajā lietā </w:t>
      </w:r>
      <w:proofErr w:type="spellStart"/>
      <w:r w:rsidRPr="002D2AB7">
        <w:rPr>
          <w:i/>
          <w:szCs w:val="24"/>
        </w:rPr>
        <w:t>Oliari</w:t>
      </w:r>
      <w:proofErr w:type="spellEnd"/>
      <w:r w:rsidRPr="002D2AB7">
        <w:rPr>
          <w:i/>
          <w:szCs w:val="24"/>
        </w:rPr>
        <w:t xml:space="preserve"> </w:t>
      </w:r>
      <w:proofErr w:type="spellStart"/>
      <w:r w:rsidRPr="002D2AB7">
        <w:rPr>
          <w:i/>
          <w:szCs w:val="24"/>
        </w:rPr>
        <w:t>and</w:t>
      </w:r>
      <w:proofErr w:type="spellEnd"/>
      <w:r w:rsidRPr="002D2AB7">
        <w:rPr>
          <w:i/>
          <w:szCs w:val="24"/>
        </w:rPr>
        <w:t xml:space="preserve"> </w:t>
      </w:r>
      <w:proofErr w:type="spellStart"/>
      <w:r w:rsidRPr="002D2AB7">
        <w:rPr>
          <w:i/>
          <w:szCs w:val="24"/>
        </w:rPr>
        <w:t>Others</w:t>
      </w:r>
      <w:proofErr w:type="spellEnd"/>
      <w:r w:rsidRPr="002D2AB7">
        <w:rPr>
          <w:i/>
          <w:szCs w:val="24"/>
        </w:rPr>
        <w:t xml:space="preserve"> v.</w:t>
      </w:r>
      <w:r w:rsidR="002D2AB7">
        <w:rPr>
          <w:i/>
          <w:szCs w:val="24"/>
        </w:rPr>
        <w:t xml:space="preserve"> </w:t>
      </w:r>
      <w:proofErr w:type="spellStart"/>
      <w:r w:rsidRPr="002D2AB7">
        <w:rPr>
          <w:i/>
          <w:szCs w:val="24"/>
        </w:rPr>
        <w:t>Italy</w:t>
      </w:r>
      <w:proofErr w:type="spellEnd"/>
      <w:r>
        <w:rPr>
          <w:szCs w:val="24"/>
        </w:rPr>
        <w:t xml:space="preserve"> ECT konstatēja Konvencijas 8.</w:t>
      </w:r>
      <w:r w:rsidR="003B59C0">
        <w:rPr>
          <w:szCs w:val="24"/>
        </w:rPr>
        <w:t> </w:t>
      </w:r>
      <w:r>
        <w:rPr>
          <w:szCs w:val="24"/>
        </w:rPr>
        <w:t>panta pārkāpumu</w:t>
      </w:r>
      <w:r w:rsidR="00C16C45">
        <w:rPr>
          <w:szCs w:val="24"/>
        </w:rPr>
        <w:t xml:space="preserve"> viendzimuma pāru kopdzīves regulējuma trūkuma dēļ Itālijā. Taču no minētā lēmuma nebūt neizriet, ka arī Latvija ir pārkāpusi Konvencijas 8.</w:t>
      </w:r>
      <w:r w:rsidR="003B59C0">
        <w:rPr>
          <w:szCs w:val="24"/>
        </w:rPr>
        <w:t> </w:t>
      </w:r>
      <w:r w:rsidR="00C16C45">
        <w:rPr>
          <w:szCs w:val="24"/>
        </w:rPr>
        <w:t xml:space="preserve">pantu. </w:t>
      </w:r>
      <w:r w:rsidR="00440C60">
        <w:rPr>
          <w:szCs w:val="24"/>
        </w:rPr>
        <w:t>V</w:t>
      </w:r>
      <w:r w:rsidR="006A7EB5">
        <w:rPr>
          <w:szCs w:val="24"/>
        </w:rPr>
        <w:t>ēla</w:t>
      </w:r>
      <w:r w:rsidR="00440C60">
        <w:rPr>
          <w:szCs w:val="24"/>
        </w:rPr>
        <w:t>mie</w:t>
      </w:r>
      <w:r w:rsidR="006A7EB5">
        <w:rPr>
          <w:szCs w:val="24"/>
        </w:rPr>
        <w:t xml:space="preserve">s atgādināt, ka </w:t>
      </w:r>
      <w:r w:rsidR="004D03D3">
        <w:rPr>
          <w:szCs w:val="24"/>
        </w:rPr>
        <w:t xml:space="preserve">ECT spriedumiem nepiemīt </w:t>
      </w:r>
      <w:proofErr w:type="spellStart"/>
      <w:r w:rsidRPr="002D2AB7" w:rsidR="004D03D3">
        <w:rPr>
          <w:i/>
          <w:szCs w:val="24"/>
        </w:rPr>
        <w:t>ergo</w:t>
      </w:r>
      <w:proofErr w:type="spellEnd"/>
      <w:r w:rsidRPr="002D2AB7" w:rsidR="004D03D3">
        <w:rPr>
          <w:i/>
          <w:szCs w:val="24"/>
        </w:rPr>
        <w:t xml:space="preserve"> </w:t>
      </w:r>
      <w:proofErr w:type="spellStart"/>
      <w:r w:rsidRPr="002D2AB7" w:rsidR="004D03D3">
        <w:rPr>
          <w:i/>
          <w:szCs w:val="24"/>
        </w:rPr>
        <w:t>omnes</w:t>
      </w:r>
      <w:proofErr w:type="spellEnd"/>
      <w:r w:rsidR="004D03D3">
        <w:rPr>
          <w:szCs w:val="24"/>
        </w:rPr>
        <w:t xml:space="preserve"> </w:t>
      </w:r>
      <w:r w:rsidR="00B61B98">
        <w:rPr>
          <w:szCs w:val="24"/>
        </w:rPr>
        <w:t xml:space="preserve">tiesību principa </w:t>
      </w:r>
      <w:r w:rsidR="004D03D3">
        <w:rPr>
          <w:szCs w:val="24"/>
        </w:rPr>
        <w:t>spēks</w:t>
      </w:r>
      <w:r w:rsidR="00B61B98">
        <w:rPr>
          <w:szCs w:val="24"/>
        </w:rPr>
        <w:t xml:space="preserve"> un tas nav attiecināms uz ikvienu valsti, situāciju vai indivīdu</w:t>
      </w:r>
      <w:r w:rsidR="004D03D3">
        <w:rPr>
          <w:szCs w:val="24"/>
        </w:rPr>
        <w:t>. Saskaņā ar Konvencijas 46.</w:t>
      </w:r>
      <w:r w:rsidR="003B59C0">
        <w:rPr>
          <w:szCs w:val="24"/>
        </w:rPr>
        <w:t> </w:t>
      </w:r>
      <w:r w:rsidR="004D03D3">
        <w:rPr>
          <w:szCs w:val="24"/>
        </w:rPr>
        <w:t>pantu ECT spriedums konkrētajā lietā ir tiesiski saistošs tikai tai valstij, pret kuru tas ir taisīts</w:t>
      </w:r>
      <w:r w:rsidR="004C75CA">
        <w:rPr>
          <w:szCs w:val="24"/>
        </w:rPr>
        <w:t>, t.i., kas šajā lietā ir atbildētāja</w:t>
      </w:r>
      <w:r w:rsidR="004C75CA">
        <w:rPr>
          <w:rStyle w:val="Vresatsauce"/>
          <w:szCs w:val="24"/>
        </w:rPr>
        <w:footnoteReference w:id="6"/>
      </w:r>
      <w:r w:rsidR="004D03D3">
        <w:rPr>
          <w:szCs w:val="24"/>
        </w:rPr>
        <w:t>.</w:t>
      </w:r>
      <w:r w:rsidR="002D2AB7">
        <w:rPr>
          <w:szCs w:val="24"/>
        </w:rPr>
        <w:t xml:space="preserve"> </w:t>
      </w:r>
      <w:r w:rsidR="005314FA">
        <w:rPr>
          <w:szCs w:val="24"/>
        </w:rPr>
        <w:t>Līdz ar to ECT spriedumā izteiktie secinājumi attiecībā uz vienu konkrētu Konvencijas dalībvalsti nevar būt par pamatu, lai automātiski apgalvotu, ka pastāv Konvencijas pārkāpums citā valstī, it īpaši, ja tajā pastāvošie apstākļi ir būtiski atšķirīgi.</w:t>
      </w:r>
    </w:p>
    <w:p w:rsidR="005314FA" w:rsidP="005C4B61" w:rsidRDefault="008551C6" w14:paraId="2AE00812" w14:textId="2E98117B">
      <w:pPr>
        <w:ind w:firstLine="720"/>
        <w:rPr>
          <w:szCs w:val="24"/>
        </w:rPr>
      </w:pPr>
      <w:r>
        <w:rPr>
          <w:szCs w:val="24"/>
        </w:rPr>
        <w:t xml:space="preserve">ECT spriedumā lietā </w:t>
      </w:r>
      <w:bookmarkStart w:name="_Hlk534889462" w:id="5"/>
      <w:proofErr w:type="spellStart"/>
      <w:r w:rsidRPr="002D2AB7">
        <w:rPr>
          <w:i/>
          <w:szCs w:val="24"/>
        </w:rPr>
        <w:t>Oliari</w:t>
      </w:r>
      <w:proofErr w:type="spellEnd"/>
      <w:r w:rsidRPr="002D2AB7">
        <w:rPr>
          <w:i/>
          <w:szCs w:val="24"/>
        </w:rPr>
        <w:t xml:space="preserve"> </w:t>
      </w:r>
      <w:proofErr w:type="spellStart"/>
      <w:r w:rsidRPr="002D2AB7">
        <w:rPr>
          <w:i/>
          <w:szCs w:val="24"/>
        </w:rPr>
        <w:t>and</w:t>
      </w:r>
      <w:proofErr w:type="spellEnd"/>
      <w:r w:rsidRPr="002D2AB7">
        <w:rPr>
          <w:i/>
          <w:szCs w:val="24"/>
        </w:rPr>
        <w:t xml:space="preserve"> </w:t>
      </w:r>
      <w:proofErr w:type="spellStart"/>
      <w:r w:rsidRPr="002D2AB7">
        <w:rPr>
          <w:i/>
          <w:szCs w:val="24"/>
        </w:rPr>
        <w:t>Others</w:t>
      </w:r>
      <w:proofErr w:type="spellEnd"/>
      <w:r w:rsidRPr="002D2AB7">
        <w:rPr>
          <w:i/>
          <w:szCs w:val="24"/>
        </w:rPr>
        <w:t xml:space="preserve"> v.</w:t>
      </w:r>
      <w:r>
        <w:rPr>
          <w:i/>
          <w:szCs w:val="24"/>
        </w:rPr>
        <w:t xml:space="preserve"> </w:t>
      </w:r>
      <w:proofErr w:type="spellStart"/>
      <w:r w:rsidRPr="002D2AB7">
        <w:rPr>
          <w:i/>
          <w:szCs w:val="24"/>
        </w:rPr>
        <w:t>Italy</w:t>
      </w:r>
      <w:proofErr w:type="spellEnd"/>
      <w:r>
        <w:rPr>
          <w:i/>
          <w:szCs w:val="24"/>
        </w:rPr>
        <w:t xml:space="preserve"> </w:t>
      </w:r>
      <w:bookmarkEnd w:id="5"/>
      <w:r w:rsidRPr="008551C6">
        <w:rPr>
          <w:szCs w:val="24"/>
        </w:rPr>
        <w:t>ir norādījusi, ka jēdzie</w:t>
      </w:r>
      <w:r>
        <w:rPr>
          <w:szCs w:val="24"/>
        </w:rPr>
        <w:t>n</w:t>
      </w:r>
      <w:r w:rsidRPr="008551C6">
        <w:rPr>
          <w:szCs w:val="24"/>
        </w:rPr>
        <w:t xml:space="preserve">s </w:t>
      </w:r>
      <w:r w:rsidR="00855E0F">
        <w:rPr>
          <w:szCs w:val="24"/>
        </w:rPr>
        <w:t>"</w:t>
      </w:r>
      <w:r w:rsidRPr="008551C6">
        <w:rPr>
          <w:szCs w:val="24"/>
        </w:rPr>
        <w:t>aizsargāt</w:t>
      </w:r>
      <w:r w:rsidR="00855E0F">
        <w:rPr>
          <w:szCs w:val="24"/>
        </w:rPr>
        <w:t>"</w:t>
      </w:r>
      <w:r>
        <w:rPr>
          <w:szCs w:val="24"/>
        </w:rPr>
        <w:t xml:space="preserve"> </w:t>
      </w:r>
      <w:r w:rsidRPr="008551C6">
        <w:rPr>
          <w:szCs w:val="24"/>
        </w:rPr>
        <w:t>nav skaidri noteikts, jo īpaši attiecībā uz pozitīviem</w:t>
      </w:r>
      <w:r>
        <w:rPr>
          <w:szCs w:val="24"/>
        </w:rPr>
        <w:t xml:space="preserve"> valsts pienākumiem</w:t>
      </w:r>
      <w:r w:rsidR="0015058B">
        <w:rPr>
          <w:szCs w:val="24"/>
        </w:rPr>
        <w:t>.</w:t>
      </w:r>
      <w:r>
        <w:rPr>
          <w:szCs w:val="24"/>
        </w:rPr>
        <w:t xml:space="preserve"> </w:t>
      </w:r>
      <w:r w:rsidR="0015058B">
        <w:rPr>
          <w:szCs w:val="24"/>
        </w:rPr>
        <w:t>Ņ</w:t>
      </w:r>
      <w:r>
        <w:rPr>
          <w:szCs w:val="24"/>
        </w:rPr>
        <w:t>emot vērā atšķirīgo valstu praksi un situācijas, kas pastāv dažādās Konvencijas dalībvalstīs, minētā jēdzien</w:t>
      </w:r>
      <w:r w:rsidR="005B23CB">
        <w:rPr>
          <w:szCs w:val="24"/>
        </w:rPr>
        <w:t>a</w:t>
      </w:r>
      <w:r>
        <w:rPr>
          <w:szCs w:val="24"/>
        </w:rPr>
        <w:t xml:space="preserve"> saturs </w:t>
      </w:r>
      <w:r>
        <w:rPr>
          <w:szCs w:val="24"/>
        </w:rPr>
        <w:lastRenderedPageBreak/>
        <w:t>var būt atšķirīgs no gadījuma uz gadījumu</w:t>
      </w:r>
      <w:r>
        <w:rPr>
          <w:rStyle w:val="Vresatsauce"/>
          <w:szCs w:val="24"/>
        </w:rPr>
        <w:footnoteReference w:id="7"/>
      </w:r>
      <w:r>
        <w:rPr>
          <w:szCs w:val="24"/>
        </w:rPr>
        <w:t>.</w:t>
      </w:r>
      <w:r w:rsidR="00C71510">
        <w:rPr>
          <w:szCs w:val="24"/>
        </w:rPr>
        <w:t xml:space="preserve"> </w:t>
      </w:r>
      <w:r w:rsidR="00440C60">
        <w:rPr>
          <w:szCs w:val="24"/>
        </w:rPr>
        <w:t>Ļ</w:t>
      </w:r>
      <w:r w:rsidR="004411FD">
        <w:rPr>
          <w:szCs w:val="24"/>
        </w:rPr>
        <w:t>oti svarīgs ir ECT norādītais, ka, piemērojot Konvencijas 8.</w:t>
      </w:r>
      <w:r w:rsidR="003B59C0">
        <w:rPr>
          <w:szCs w:val="24"/>
        </w:rPr>
        <w:t> </w:t>
      </w:r>
      <w:r w:rsidR="004411FD">
        <w:rPr>
          <w:szCs w:val="24"/>
        </w:rPr>
        <w:t xml:space="preserve">pantu, dalībvalstīm ir rīcības brīvība un, nosakot šīs rīcības brīvības robežas, ir jāņem vērā vairāki nosacījumi. Turklāt ECT </w:t>
      </w:r>
      <w:r w:rsidR="00247D10">
        <w:rPr>
          <w:szCs w:val="24"/>
        </w:rPr>
        <w:t xml:space="preserve">ir </w:t>
      </w:r>
      <w:r w:rsidR="004411FD">
        <w:rPr>
          <w:szCs w:val="24"/>
        </w:rPr>
        <w:t xml:space="preserve">uzsvērusi, ka </w:t>
      </w:r>
      <w:r w:rsidR="00247D10">
        <w:rPr>
          <w:szCs w:val="24"/>
        </w:rPr>
        <w:t>jautājumos, kur nav vienprātības Eiropas Padomes dalībvalstu vidū vai nu attiecībā uz aizsargājamās</w:t>
      </w:r>
      <w:r w:rsidR="00CA5C58">
        <w:rPr>
          <w:szCs w:val="24"/>
        </w:rPr>
        <w:t xml:space="preserve"> tiesības</w:t>
      </w:r>
      <w:r w:rsidR="00385A8D">
        <w:rPr>
          <w:szCs w:val="24"/>
        </w:rPr>
        <w:t>,</w:t>
      </w:r>
      <w:r w:rsidR="00CA5C58">
        <w:rPr>
          <w:szCs w:val="24"/>
        </w:rPr>
        <w:t xml:space="preserve"> vai intereses nozīmīgumu vai līdzekļiem, kuri būtu vislabāk piemēroti, lai šo tiesību vai interesi aizsargātu, jo īpaši, kur tiek skarti būtiski morāli vai ētiski jautājumi, rīcības brīvības robežas var būt plašākas nekā citos gadījumos</w:t>
      </w:r>
      <w:r w:rsidR="00CA5C58">
        <w:rPr>
          <w:rStyle w:val="Vresatsauce"/>
          <w:szCs w:val="24"/>
        </w:rPr>
        <w:footnoteReference w:id="8"/>
      </w:r>
      <w:r w:rsidR="00CA5C58">
        <w:rPr>
          <w:szCs w:val="24"/>
        </w:rPr>
        <w:t>.</w:t>
      </w:r>
      <w:r w:rsidR="00385A8D">
        <w:rPr>
          <w:szCs w:val="24"/>
        </w:rPr>
        <w:t xml:space="preserve"> Līdz ar to secināms, ka Latvijai</w:t>
      </w:r>
      <w:r w:rsidR="00C34FA7">
        <w:rPr>
          <w:szCs w:val="24"/>
        </w:rPr>
        <w:t xml:space="preserve">, regulējot šo jomu, ir rīcības brīvība izvēlēties tādus tiesiskus mehānismus, kas atbilst Latvijas tiesību sistēmai un sabiedrībā pastāvošajām ētikas un morāles vērtībām. </w:t>
      </w:r>
    </w:p>
    <w:p w:rsidR="0005514A" w:rsidP="005C4B61" w:rsidRDefault="0005514A" w14:paraId="06C4C532" w14:textId="6D6FCCA9">
      <w:pPr>
        <w:ind w:firstLine="720"/>
        <w:rPr>
          <w:szCs w:val="24"/>
        </w:rPr>
      </w:pPr>
      <w:r>
        <w:rPr>
          <w:szCs w:val="24"/>
        </w:rPr>
        <w:t xml:space="preserve">Spriedumā </w:t>
      </w:r>
      <w:proofErr w:type="spellStart"/>
      <w:r w:rsidRPr="002D2AB7">
        <w:rPr>
          <w:i/>
          <w:szCs w:val="24"/>
        </w:rPr>
        <w:t>Oliari</w:t>
      </w:r>
      <w:proofErr w:type="spellEnd"/>
      <w:r w:rsidRPr="002D2AB7">
        <w:rPr>
          <w:i/>
          <w:szCs w:val="24"/>
        </w:rPr>
        <w:t xml:space="preserve"> </w:t>
      </w:r>
      <w:proofErr w:type="spellStart"/>
      <w:r w:rsidRPr="002D2AB7">
        <w:rPr>
          <w:i/>
          <w:szCs w:val="24"/>
        </w:rPr>
        <w:t>and</w:t>
      </w:r>
      <w:proofErr w:type="spellEnd"/>
      <w:r w:rsidRPr="002D2AB7">
        <w:rPr>
          <w:i/>
          <w:szCs w:val="24"/>
        </w:rPr>
        <w:t xml:space="preserve"> </w:t>
      </w:r>
      <w:proofErr w:type="spellStart"/>
      <w:r w:rsidRPr="002D2AB7">
        <w:rPr>
          <w:i/>
          <w:szCs w:val="24"/>
        </w:rPr>
        <w:t>Others</w:t>
      </w:r>
      <w:proofErr w:type="spellEnd"/>
      <w:r w:rsidRPr="002D2AB7">
        <w:rPr>
          <w:i/>
          <w:szCs w:val="24"/>
        </w:rPr>
        <w:t xml:space="preserve"> v.</w:t>
      </w:r>
      <w:r>
        <w:rPr>
          <w:i/>
          <w:szCs w:val="24"/>
        </w:rPr>
        <w:t xml:space="preserve"> </w:t>
      </w:r>
      <w:proofErr w:type="spellStart"/>
      <w:r w:rsidRPr="002D2AB7">
        <w:rPr>
          <w:i/>
          <w:szCs w:val="24"/>
        </w:rPr>
        <w:t>Italy</w:t>
      </w:r>
      <w:proofErr w:type="spellEnd"/>
      <w:r>
        <w:rPr>
          <w:i/>
          <w:szCs w:val="24"/>
        </w:rPr>
        <w:t xml:space="preserve"> </w:t>
      </w:r>
      <w:r w:rsidRPr="0005514A">
        <w:rPr>
          <w:szCs w:val="24"/>
        </w:rPr>
        <w:t>ECT konstatēja K</w:t>
      </w:r>
      <w:r>
        <w:rPr>
          <w:szCs w:val="24"/>
        </w:rPr>
        <w:t>o</w:t>
      </w:r>
      <w:r w:rsidRPr="0005514A">
        <w:rPr>
          <w:szCs w:val="24"/>
        </w:rPr>
        <w:t>nvencijas 8.</w:t>
      </w:r>
      <w:r w:rsidR="008349F0">
        <w:rPr>
          <w:szCs w:val="24"/>
        </w:rPr>
        <w:t> </w:t>
      </w:r>
      <w:r w:rsidRPr="0005514A">
        <w:rPr>
          <w:szCs w:val="24"/>
        </w:rPr>
        <w:t>panta pārkāpumu</w:t>
      </w:r>
      <w:r w:rsidR="00E04279">
        <w:rPr>
          <w:szCs w:val="24"/>
        </w:rPr>
        <w:t>, uzsv</w:t>
      </w:r>
      <w:r w:rsidR="004B5773">
        <w:rPr>
          <w:szCs w:val="24"/>
        </w:rPr>
        <w:t>erot</w:t>
      </w:r>
      <w:r w:rsidR="00E04279">
        <w:rPr>
          <w:szCs w:val="24"/>
        </w:rPr>
        <w:t xml:space="preserve"> </w:t>
      </w:r>
      <w:r w:rsidR="00415482">
        <w:rPr>
          <w:szCs w:val="24"/>
        </w:rPr>
        <w:t>šād</w:t>
      </w:r>
      <w:r w:rsidR="004B5773">
        <w:rPr>
          <w:szCs w:val="24"/>
        </w:rPr>
        <w:t>us</w:t>
      </w:r>
      <w:r w:rsidR="00415482">
        <w:rPr>
          <w:szCs w:val="24"/>
        </w:rPr>
        <w:t xml:space="preserve"> Itālijas gadījumā vienlaicīgi pastāvoš</w:t>
      </w:r>
      <w:r w:rsidR="004B5773">
        <w:rPr>
          <w:szCs w:val="24"/>
        </w:rPr>
        <w:t>us</w:t>
      </w:r>
      <w:r w:rsidR="00415482">
        <w:rPr>
          <w:szCs w:val="24"/>
        </w:rPr>
        <w:t xml:space="preserve"> apstākļ</w:t>
      </w:r>
      <w:r w:rsidR="004B5773">
        <w:rPr>
          <w:szCs w:val="24"/>
        </w:rPr>
        <w:t>us</w:t>
      </w:r>
      <w:r w:rsidR="00415482">
        <w:rPr>
          <w:szCs w:val="24"/>
        </w:rPr>
        <w:t xml:space="preserve">: Itālijas Konstitucionālā tiesa jau iepriekš bija atzinusi, ka ir nepieciešama </w:t>
      </w:r>
      <w:r w:rsidR="004B5773">
        <w:rPr>
          <w:szCs w:val="24"/>
        </w:rPr>
        <w:t xml:space="preserve">Itālijas likumdevēja rīcība, lai atzītu </w:t>
      </w:r>
      <w:r w:rsidR="00415482">
        <w:rPr>
          <w:szCs w:val="24"/>
        </w:rPr>
        <w:t>viena dzimuma pāru tiesisk</w:t>
      </w:r>
      <w:r w:rsidR="004B5773">
        <w:rPr>
          <w:szCs w:val="24"/>
        </w:rPr>
        <w:t>ās</w:t>
      </w:r>
      <w:r w:rsidR="00415482">
        <w:rPr>
          <w:szCs w:val="24"/>
        </w:rPr>
        <w:t xml:space="preserve"> attiecīb</w:t>
      </w:r>
      <w:r w:rsidR="004B5773">
        <w:rPr>
          <w:szCs w:val="24"/>
        </w:rPr>
        <w:t>as</w:t>
      </w:r>
      <w:r w:rsidR="00415482">
        <w:rPr>
          <w:szCs w:val="24"/>
        </w:rPr>
        <w:t xml:space="preserve"> (likumdevējs nebija izpildījis </w:t>
      </w:r>
      <w:r w:rsidR="004B5773">
        <w:rPr>
          <w:szCs w:val="24"/>
        </w:rPr>
        <w:t xml:space="preserve">Itālijas </w:t>
      </w:r>
      <w:r w:rsidR="00415482">
        <w:rPr>
          <w:szCs w:val="24"/>
        </w:rPr>
        <w:t>Konstitucionālās tiesas doto uzdevumu</w:t>
      </w:r>
      <w:r w:rsidR="004B5773">
        <w:rPr>
          <w:szCs w:val="24"/>
        </w:rPr>
        <w:t>)</w:t>
      </w:r>
      <w:r w:rsidR="00415482">
        <w:rPr>
          <w:szCs w:val="24"/>
        </w:rPr>
        <w:t xml:space="preserve">; dažādas Itālijas tiesu varas instances </w:t>
      </w:r>
      <w:r w:rsidR="00384CB1">
        <w:rPr>
          <w:szCs w:val="24"/>
        </w:rPr>
        <w:t xml:space="preserve">bija nonākušas pie līdzīgiem secinājumiem kā </w:t>
      </w:r>
      <w:r w:rsidR="004B5773">
        <w:rPr>
          <w:szCs w:val="24"/>
        </w:rPr>
        <w:t xml:space="preserve">Itālijas </w:t>
      </w:r>
      <w:r w:rsidR="00384CB1">
        <w:rPr>
          <w:szCs w:val="24"/>
        </w:rPr>
        <w:t>Konstitucionālā tiesa; saskaņā ar sabiedrības aptaujām lielā daļā Itālijas sabiedrības bija vērojams atbalsts viena dzimuma pāru tiesisko attiecību atzīšanai</w:t>
      </w:r>
      <w:r w:rsidR="00384CB1">
        <w:rPr>
          <w:rStyle w:val="Vresatsauce"/>
          <w:szCs w:val="24"/>
        </w:rPr>
        <w:footnoteReference w:id="9"/>
      </w:r>
      <w:r w:rsidR="00384CB1">
        <w:rPr>
          <w:szCs w:val="24"/>
        </w:rPr>
        <w:t>.</w:t>
      </w:r>
      <w:r w:rsidR="00A3132F">
        <w:rPr>
          <w:szCs w:val="24"/>
        </w:rPr>
        <w:t xml:space="preserve"> Tieši minēto trīs apstākļu kumulatīva </w:t>
      </w:r>
      <w:r w:rsidR="008349F0">
        <w:rPr>
          <w:szCs w:val="24"/>
        </w:rPr>
        <w:t>esība</w:t>
      </w:r>
      <w:r w:rsidR="00A3132F">
        <w:rPr>
          <w:szCs w:val="24"/>
        </w:rPr>
        <w:t xml:space="preserve"> bija par pamatu ECT secinājumam, ka Itālija ir pārkāpusi Konvencijas 8.</w:t>
      </w:r>
      <w:r w:rsidR="008349F0">
        <w:rPr>
          <w:szCs w:val="24"/>
        </w:rPr>
        <w:t> </w:t>
      </w:r>
      <w:r w:rsidR="00A3132F">
        <w:rPr>
          <w:szCs w:val="24"/>
        </w:rPr>
        <w:t>pant</w:t>
      </w:r>
      <w:r w:rsidR="00613A89">
        <w:rPr>
          <w:szCs w:val="24"/>
        </w:rPr>
        <w:t>ā noteiktās rīcības brīvības robežas</w:t>
      </w:r>
      <w:r w:rsidR="009462FF">
        <w:rPr>
          <w:szCs w:val="24"/>
        </w:rPr>
        <w:t xml:space="preserve"> un nav izpildījusi no Konvencijas 8.</w:t>
      </w:r>
      <w:r w:rsidR="008349F0">
        <w:rPr>
          <w:szCs w:val="24"/>
        </w:rPr>
        <w:t> </w:t>
      </w:r>
      <w:r w:rsidR="009462FF">
        <w:rPr>
          <w:szCs w:val="24"/>
        </w:rPr>
        <w:t>panta izrietošo pozitīvo pienākumu atzīt un aizsargāt viendzimuma pāru tiesiskās attiecības</w:t>
      </w:r>
      <w:r w:rsidR="0069259F">
        <w:rPr>
          <w:rStyle w:val="Vresatsauce"/>
          <w:szCs w:val="24"/>
        </w:rPr>
        <w:footnoteReference w:id="10"/>
      </w:r>
      <w:r w:rsidR="009462FF">
        <w:rPr>
          <w:szCs w:val="24"/>
        </w:rPr>
        <w:t>.</w:t>
      </w:r>
      <w:r w:rsidR="00857114">
        <w:rPr>
          <w:szCs w:val="24"/>
        </w:rPr>
        <w:t xml:space="preserve"> </w:t>
      </w:r>
      <w:r w:rsidR="004B5773">
        <w:rPr>
          <w:szCs w:val="24"/>
        </w:rPr>
        <w:t>Līdz ar to aicin</w:t>
      </w:r>
      <w:r w:rsidR="00440C60">
        <w:rPr>
          <w:szCs w:val="24"/>
        </w:rPr>
        <w:t>ām</w:t>
      </w:r>
      <w:r w:rsidR="00857114">
        <w:rPr>
          <w:szCs w:val="24"/>
        </w:rPr>
        <w:t xml:space="preserve"> pievērst īpašu uzmanību atsevišķajām piekrītošajām domām, kuras ECT spriedumam </w:t>
      </w:r>
      <w:r w:rsidR="00700948">
        <w:rPr>
          <w:szCs w:val="24"/>
        </w:rPr>
        <w:t xml:space="preserve">lietā </w:t>
      </w:r>
      <w:bookmarkStart w:name="_Hlk2670367" w:id="7"/>
      <w:proofErr w:type="spellStart"/>
      <w:r w:rsidRPr="002D2AB7" w:rsidR="00700948">
        <w:rPr>
          <w:i/>
          <w:szCs w:val="24"/>
        </w:rPr>
        <w:t>Oliari</w:t>
      </w:r>
      <w:proofErr w:type="spellEnd"/>
      <w:r w:rsidRPr="002D2AB7" w:rsidR="00700948">
        <w:rPr>
          <w:i/>
          <w:szCs w:val="24"/>
        </w:rPr>
        <w:t xml:space="preserve"> </w:t>
      </w:r>
      <w:proofErr w:type="spellStart"/>
      <w:r w:rsidRPr="002D2AB7" w:rsidR="00700948">
        <w:rPr>
          <w:i/>
          <w:szCs w:val="24"/>
        </w:rPr>
        <w:t>and</w:t>
      </w:r>
      <w:proofErr w:type="spellEnd"/>
      <w:r w:rsidRPr="002D2AB7" w:rsidR="00700948">
        <w:rPr>
          <w:i/>
          <w:szCs w:val="24"/>
        </w:rPr>
        <w:t xml:space="preserve"> </w:t>
      </w:r>
      <w:proofErr w:type="spellStart"/>
      <w:r w:rsidRPr="002D2AB7" w:rsidR="00700948">
        <w:rPr>
          <w:i/>
          <w:szCs w:val="24"/>
        </w:rPr>
        <w:t>Others</w:t>
      </w:r>
      <w:proofErr w:type="spellEnd"/>
      <w:r w:rsidRPr="002D2AB7" w:rsidR="00700948">
        <w:rPr>
          <w:i/>
          <w:szCs w:val="24"/>
        </w:rPr>
        <w:t xml:space="preserve"> v.</w:t>
      </w:r>
      <w:r w:rsidR="00700948">
        <w:rPr>
          <w:i/>
          <w:szCs w:val="24"/>
        </w:rPr>
        <w:t xml:space="preserve"> </w:t>
      </w:r>
      <w:proofErr w:type="spellStart"/>
      <w:r w:rsidRPr="002D2AB7" w:rsidR="00700948">
        <w:rPr>
          <w:i/>
          <w:szCs w:val="24"/>
        </w:rPr>
        <w:t>Italy</w:t>
      </w:r>
      <w:bookmarkEnd w:id="7"/>
      <w:proofErr w:type="spellEnd"/>
      <w:r w:rsidR="00700948">
        <w:rPr>
          <w:i/>
          <w:szCs w:val="24"/>
        </w:rPr>
        <w:t xml:space="preserve"> </w:t>
      </w:r>
      <w:r w:rsidR="00857114">
        <w:rPr>
          <w:szCs w:val="24"/>
        </w:rPr>
        <w:t xml:space="preserve">pievienojuši trīs no septiņiem konkrētās palātas tiesnešiem (tiesneši </w:t>
      </w:r>
      <w:proofErr w:type="spellStart"/>
      <w:r w:rsidR="00857114">
        <w:rPr>
          <w:szCs w:val="24"/>
        </w:rPr>
        <w:t>Mahonijs</w:t>
      </w:r>
      <w:proofErr w:type="spellEnd"/>
      <w:r w:rsidR="00857114">
        <w:rPr>
          <w:szCs w:val="24"/>
        </w:rPr>
        <w:t xml:space="preserve">, </w:t>
      </w:r>
      <w:proofErr w:type="spellStart"/>
      <w:r w:rsidR="00857114">
        <w:rPr>
          <w:szCs w:val="24"/>
        </w:rPr>
        <w:t>Cocorija</w:t>
      </w:r>
      <w:proofErr w:type="spellEnd"/>
      <w:r w:rsidR="00857114">
        <w:rPr>
          <w:szCs w:val="24"/>
        </w:rPr>
        <w:t xml:space="preserve"> un </w:t>
      </w:r>
      <w:proofErr w:type="spellStart"/>
      <w:r w:rsidR="00857114">
        <w:rPr>
          <w:szCs w:val="24"/>
        </w:rPr>
        <w:t>Vehabovičs</w:t>
      </w:r>
      <w:proofErr w:type="spellEnd"/>
      <w:r w:rsidR="00857114">
        <w:rPr>
          <w:szCs w:val="24"/>
        </w:rPr>
        <w:t>) un kas palīdz labāk izprast sprieduma motivāciju</w:t>
      </w:r>
      <w:r w:rsidR="009D7AE4">
        <w:rPr>
          <w:rStyle w:val="Vresatsauce"/>
          <w:szCs w:val="24"/>
        </w:rPr>
        <w:footnoteReference w:id="11"/>
      </w:r>
      <w:r w:rsidR="009D7AE4">
        <w:rPr>
          <w:szCs w:val="24"/>
        </w:rPr>
        <w:t>.</w:t>
      </w:r>
      <w:r w:rsidR="00AB68DA">
        <w:rPr>
          <w:szCs w:val="24"/>
        </w:rPr>
        <w:t xml:space="preserve"> Turklāt minētās ECT sprieduma atziņas Itālijas valdība netieši apstiprināja, jo izvēlējās neprasīt šā sprieduma pārskatīšanu ECT Lielajā palātā saskaņā ar Konvencijas 43.</w:t>
      </w:r>
      <w:r w:rsidR="008349F0">
        <w:rPr>
          <w:szCs w:val="24"/>
        </w:rPr>
        <w:t> </w:t>
      </w:r>
      <w:r w:rsidR="00AB68DA">
        <w:rPr>
          <w:szCs w:val="24"/>
        </w:rPr>
        <w:t>pantu.</w:t>
      </w:r>
    </w:p>
    <w:p w:rsidR="008A2F14" w:rsidP="005C4B61" w:rsidRDefault="001D7283" w14:paraId="74EB1B2C" w14:textId="750B700B">
      <w:pPr>
        <w:ind w:firstLine="720"/>
        <w:rPr>
          <w:szCs w:val="24"/>
        </w:rPr>
      </w:pPr>
      <w:r>
        <w:rPr>
          <w:szCs w:val="24"/>
        </w:rPr>
        <w:t>Tātad ECT secinājums par Konvencijas 8.</w:t>
      </w:r>
      <w:r w:rsidR="008349F0">
        <w:rPr>
          <w:szCs w:val="24"/>
        </w:rPr>
        <w:t> </w:t>
      </w:r>
      <w:r>
        <w:rPr>
          <w:szCs w:val="24"/>
        </w:rPr>
        <w:t xml:space="preserve">panta pārkāpumu lietā </w:t>
      </w:r>
      <w:r w:rsidR="008349F0">
        <w:rPr>
          <w:szCs w:val="24"/>
        </w:rPr>
        <w:t xml:space="preserve">tika </w:t>
      </w:r>
      <w:r>
        <w:rPr>
          <w:szCs w:val="24"/>
        </w:rPr>
        <w:t>pamato</w:t>
      </w:r>
      <w:r w:rsidR="008349F0">
        <w:rPr>
          <w:szCs w:val="24"/>
        </w:rPr>
        <w:t>t</w:t>
      </w:r>
      <w:r>
        <w:rPr>
          <w:szCs w:val="24"/>
        </w:rPr>
        <w:t xml:space="preserve">s </w:t>
      </w:r>
      <w:r w:rsidR="008349F0">
        <w:rPr>
          <w:szCs w:val="24"/>
        </w:rPr>
        <w:t>ar</w:t>
      </w:r>
      <w:r>
        <w:rPr>
          <w:szCs w:val="24"/>
        </w:rPr>
        <w:t xml:space="preserve"> Itālij</w:t>
      </w:r>
      <w:r w:rsidR="008349F0">
        <w:rPr>
          <w:szCs w:val="24"/>
        </w:rPr>
        <w:t>ā pastāvošo</w:t>
      </w:r>
      <w:r>
        <w:rPr>
          <w:szCs w:val="24"/>
        </w:rPr>
        <w:t xml:space="preserve"> situāciju un</w:t>
      </w:r>
      <w:r w:rsidR="008349F0">
        <w:rPr>
          <w:szCs w:val="24"/>
        </w:rPr>
        <w:t xml:space="preserve"> </w:t>
      </w:r>
      <w:r w:rsidR="003F41ED">
        <w:rPr>
          <w:szCs w:val="24"/>
        </w:rPr>
        <w:t xml:space="preserve">bija konkrēti tai </w:t>
      </w:r>
      <w:r w:rsidRPr="003F41ED" w:rsidR="003F41ED">
        <w:rPr>
          <w:szCs w:val="24"/>
        </w:rPr>
        <w:t>piemērots</w:t>
      </w:r>
      <w:r w:rsidR="003F41ED">
        <w:rPr>
          <w:szCs w:val="24"/>
        </w:rPr>
        <w:t>.</w:t>
      </w:r>
      <w:r w:rsidRPr="003F41ED" w:rsidR="003F41ED">
        <w:rPr>
          <w:szCs w:val="24"/>
        </w:rPr>
        <w:t xml:space="preserve"> </w:t>
      </w:r>
      <w:r>
        <w:rPr>
          <w:szCs w:val="24"/>
        </w:rPr>
        <w:t xml:space="preserve">Savukārt Latvijā neviens no trijiem ECT </w:t>
      </w:r>
      <w:r w:rsidR="008D6007">
        <w:rPr>
          <w:szCs w:val="24"/>
        </w:rPr>
        <w:t xml:space="preserve">lietā </w:t>
      </w:r>
      <w:proofErr w:type="spellStart"/>
      <w:r w:rsidRPr="002D2AB7" w:rsidR="008D6007">
        <w:rPr>
          <w:i/>
          <w:szCs w:val="24"/>
        </w:rPr>
        <w:t>Oliari</w:t>
      </w:r>
      <w:proofErr w:type="spellEnd"/>
      <w:r w:rsidRPr="002D2AB7" w:rsidR="008D6007">
        <w:rPr>
          <w:i/>
          <w:szCs w:val="24"/>
        </w:rPr>
        <w:t xml:space="preserve"> </w:t>
      </w:r>
      <w:proofErr w:type="spellStart"/>
      <w:r w:rsidRPr="002D2AB7" w:rsidR="008D6007">
        <w:rPr>
          <w:i/>
          <w:szCs w:val="24"/>
        </w:rPr>
        <w:t>and</w:t>
      </w:r>
      <w:proofErr w:type="spellEnd"/>
      <w:r w:rsidRPr="002D2AB7" w:rsidR="008D6007">
        <w:rPr>
          <w:i/>
          <w:szCs w:val="24"/>
        </w:rPr>
        <w:t xml:space="preserve"> </w:t>
      </w:r>
      <w:proofErr w:type="spellStart"/>
      <w:r w:rsidRPr="002D2AB7" w:rsidR="008D6007">
        <w:rPr>
          <w:i/>
          <w:szCs w:val="24"/>
        </w:rPr>
        <w:t>Others</w:t>
      </w:r>
      <w:proofErr w:type="spellEnd"/>
      <w:r w:rsidRPr="002D2AB7" w:rsidR="008D6007">
        <w:rPr>
          <w:i/>
          <w:szCs w:val="24"/>
        </w:rPr>
        <w:t xml:space="preserve"> v.</w:t>
      </w:r>
      <w:r w:rsidR="008D6007">
        <w:rPr>
          <w:i/>
          <w:szCs w:val="24"/>
        </w:rPr>
        <w:t xml:space="preserve"> </w:t>
      </w:r>
      <w:proofErr w:type="spellStart"/>
      <w:r w:rsidRPr="002D2AB7" w:rsidR="008D6007">
        <w:rPr>
          <w:i/>
          <w:szCs w:val="24"/>
        </w:rPr>
        <w:t>Italy</w:t>
      </w:r>
      <w:proofErr w:type="spellEnd"/>
      <w:r w:rsidR="008D6007">
        <w:rPr>
          <w:szCs w:val="24"/>
        </w:rPr>
        <w:t xml:space="preserve"> </w:t>
      </w:r>
      <w:r>
        <w:rPr>
          <w:szCs w:val="24"/>
        </w:rPr>
        <w:t xml:space="preserve">konstatētajiem apstākļiem nepastāv. Latvijas situācija šajā ziņā nav līdzīga Itālijas situācijai. Līdz ar to nav pamata domāt, ka šajā gadījumā </w:t>
      </w:r>
      <w:r w:rsidR="009D4BA0">
        <w:rPr>
          <w:szCs w:val="24"/>
        </w:rPr>
        <w:t xml:space="preserve">Latvijā </w:t>
      </w:r>
      <w:r>
        <w:rPr>
          <w:szCs w:val="24"/>
        </w:rPr>
        <w:t>varētu pastāvēt Konvencijas 8.</w:t>
      </w:r>
      <w:r w:rsidR="008D6007">
        <w:rPr>
          <w:szCs w:val="24"/>
        </w:rPr>
        <w:t> </w:t>
      </w:r>
      <w:r>
        <w:rPr>
          <w:szCs w:val="24"/>
        </w:rPr>
        <w:t>panta pārkāpums. Situācija Latvijā nepārkāpj ne citas Latvijai saistošas starptautisko tiesību normas, ne arī Eiropas Savienības tiesību normas</w:t>
      </w:r>
      <w:r w:rsidR="00715C15">
        <w:rPr>
          <w:szCs w:val="24"/>
        </w:rPr>
        <w:t>,</w:t>
      </w:r>
      <w:r>
        <w:rPr>
          <w:szCs w:val="24"/>
        </w:rPr>
        <w:t xml:space="preserve"> kas šo jomu reglamentē.</w:t>
      </w:r>
    </w:p>
    <w:p w:rsidRPr="00497701" w:rsidR="008A2F14" w:rsidP="005C4B61" w:rsidRDefault="00267C95" w14:paraId="4FF28DCF" w14:textId="3E4EC157">
      <w:pPr>
        <w:ind w:firstLine="720"/>
        <w:rPr>
          <w:szCs w:val="24"/>
        </w:rPr>
      </w:pPr>
      <w:r>
        <w:rPr>
          <w:szCs w:val="24"/>
        </w:rPr>
        <w:t xml:space="preserve">Lietā </w:t>
      </w:r>
      <w:proofErr w:type="spellStart"/>
      <w:r w:rsidRPr="00497701" w:rsidR="008A2F14">
        <w:rPr>
          <w:i/>
          <w:szCs w:val="24"/>
        </w:rPr>
        <w:t>Vallianatos</w:t>
      </w:r>
      <w:proofErr w:type="spellEnd"/>
      <w:r w:rsidRPr="00497701" w:rsidR="008A2F14">
        <w:rPr>
          <w:i/>
          <w:szCs w:val="24"/>
        </w:rPr>
        <w:t xml:space="preserve"> </w:t>
      </w:r>
      <w:proofErr w:type="spellStart"/>
      <w:r w:rsidRPr="00497701" w:rsidR="008A2F14">
        <w:rPr>
          <w:i/>
          <w:szCs w:val="24"/>
        </w:rPr>
        <w:t>and</w:t>
      </w:r>
      <w:proofErr w:type="spellEnd"/>
      <w:r w:rsidRPr="00497701" w:rsidR="008A2F14">
        <w:rPr>
          <w:i/>
          <w:szCs w:val="24"/>
        </w:rPr>
        <w:t xml:space="preserve"> </w:t>
      </w:r>
      <w:proofErr w:type="spellStart"/>
      <w:r w:rsidRPr="00497701" w:rsidR="008A2F14">
        <w:rPr>
          <w:i/>
          <w:szCs w:val="24"/>
        </w:rPr>
        <w:t>Others</w:t>
      </w:r>
      <w:proofErr w:type="spellEnd"/>
      <w:r w:rsidRPr="00497701" w:rsidR="008A2F14">
        <w:rPr>
          <w:i/>
          <w:szCs w:val="24"/>
        </w:rPr>
        <w:t xml:space="preserve"> v. </w:t>
      </w:r>
      <w:proofErr w:type="spellStart"/>
      <w:r w:rsidRPr="00497701" w:rsidR="008A2F14">
        <w:rPr>
          <w:i/>
          <w:szCs w:val="24"/>
        </w:rPr>
        <w:t>Greece</w:t>
      </w:r>
      <w:proofErr w:type="spellEnd"/>
      <w:r w:rsidRPr="00497701" w:rsidR="008A2F14">
        <w:rPr>
          <w:szCs w:val="24"/>
        </w:rPr>
        <w:t xml:space="preserve">, </w:t>
      </w:r>
      <w:r w:rsidRPr="00497701" w:rsidR="000855C6">
        <w:rPr>
          <w:szCs w:val="24"/>
        </w:rPr>
        <w:t xml:space="preserve">uz kuru dota atsauce arī Atzinumā, </w:t>
      </w:r>
      <w:r w:rsidRPr="00497701" w:rsidR="008A2F14">
        <w:rPr>
          <w:szCs w:val="24"/>
        </w:rPr>
        <w:t>ECT konstatēja Konvencijas 14. panta (diskriminācijas aizliegums) pārkāpumu saistībā ar 8. pantu tādēļ, ka Grieķijas likums bija ieviesis reģistrēto partnerattiecību institūtu tikai dažādu dzimumu, bet ne viendzimuma pāriem un tādēļ ka Grieķijas valdības iesniegtie argumenti par labu šādai atšķirīgai tiesiskai attieksmei nebija pārliecinājuši ECT par tās nepieciešamību un samērīgumu</w:t>
      </w:r>
      <w:r w:rsidRPr="00497701" w:rsidR="008A2F14">
        <w:rPr>
          <w:rStyle w:val="Vresatsauce"/>
          <w:szCs w:val="24"/>
        </w:rPr>
        <w:footnoteReference w:id="12"/>
      </w:r>
      <w:r w:rsidRPr="00497701" w:rsidR="008A2F14">
        <w:rPr>
          <w:szCs w:val="24"/>
        </w:rPr>
        <w:t>. Taču vienlaikus ECT atteicās izskatīt jautājumu par to, vai valstij ir vispārējs pienākums ieviest šādu tiesisku regulējumu</w:t>
      </w:r>
      <w:r w:rsidRPr="00497701" w:rsidR="008A2F14">
        <w:rPr>
          <w:rStyle w:val="Vresatsauce"/>
          <w:szCs w:val="24"/>
        </w:rPr>
        <w:footnoteReference w:id="13"/>
      </w:r>
      <w:r w:rsidRPr="00497701" w:rsidR="008A2F14">
        <w:rPr>
          <w:szCs w:val="24"/>
        </w:rPr>
        <w:t>.</w:t>
      </w:r>
    </w:p>
    <w:p w:rsidR="00717D71" w:rsidP="005C4B61" w:rsidRDefault="00717D71" w14:paraId="4EF4AB2B" w14:textId="465FAE70">
      <w:pPr>
        <w:ind w:firstLine="720"/>
        <w:rPr>
          <w:szCs w:val="24"/>
        </w:rPr>
      </w:pPr>
      <w:r w:rsidRPr="00497701">
        <w:rPr>
          <w:szCs w:val="24"/>
        </w:rPr>
        <w:t>Arī Satversmes tiesa 2017.</w:t>
      </w:r>
      <w:r w:rsidRPr="00497701" w:rsidR="00ED29D2">
        <w:rPr>
          <w:szCs w:val="24"/>
        </w:rPr>
        <w:t> </w:t>
      </w:r>
      <w:r w:rsidRPr="00497701">
        <w:rPr>
          <w:szCs w:val="24"/>
        </w:rPr>
        <w:t>gada 2.</w:t>
      </w:r>
      <w:r w:rsidRPr="00497701" w:rsidR="00ED29D2">
        <w:rPr>
          <w:szCs w:val="24"/>
        </w:rPr>
        <w:t> </w:t>
      </w:r>
      <w:r w:rsidRPr="00497701">
        <w:rPr>
          <w:szCs w:val="24"/>
        </w:rPr>
        <w:t>februāra lēmumā ir atzinusi, ka ECT izspriestajās lietās ir bijuši papildu faktori, kas ļāvuši tiesai secināt, ka konkrētajā gadījumā valstij ir radies pienākums nodrošināt viendzimuma partnerattiecību juridisku reģistrāciju</w:t>
      </w:r>
      <w:r w:rsidRPr="00497701">
        <w:rPr>
          <w:rStyle w:val="Vresatsauce"/>
          <w:szCs w:val="24"/>
        </w:rPr>
        <w:footnoteReference w:id="14"/>
      </w:r>
      <w:r w:rsidRPr="00497701">
        <w:rPr>
          <w:szCs w:val="24"/>
        </w:rPr>
        <w:t>.</w:t>
      </w:r>
    </w:p>
    <w:p w:rsidR="001F57C0" w:rsidP="005C4B61" w:rsidRDefault="00C37987" w14:paraId="64D61C4C" w14:textId="351061F0">
      <w:pPr>
        <w:ind w:firstLine="720"/>
        <w:rPr>
          <w:szCs w:val="24"/>
        </w:rPr>
      </w:pPr>
      <w:bookmarkStart w:name="_Hlk247239" w:id="9"/>
      <w:r>
        <w:rPr>
          <w:szCs w:val="24"/>
        </w:rPr>
        <w:lastRenderedPageBreak/>
        <w:t>P</w:t>
      </w:r>
      <w:r w:rsidR="008A2F14">
        <w:rPr>
          <w:szCs w:val="24"/>
        </w:rPr>
        <w:t>apild</w:t>
      </w:r>
      <w:r w:rsidR="004B4C71">
        <w:rPr>
          <w:szCs w:val="24"/>
        </w:rPr>
        <w:t>us vēla</w:t>
      </w:r>
      <w:r>
        <w:rPr>
          <w:szCs w:val="24"/>
        </w:rPr>
        <w:t>mie</w:t>
      </w:r>
      <w:r w:rsidR="004B4C71">
        <w:rPr>
          <w:szCs w:val="24"/>
        </w:rPr>
        <w:t xml:space="preserve">s </w:t>
      </w:r>
      <w:r w:rsidR="00713E46">
        <w:rPr>
          <w:szCs w:val="24"/>
        </w:rPr>
        <w:t>norād</w:t>
      </w:r>
      <w:r w:rsidR="0044657E">
        <w:rPr>
          <w:szCs w:val="24"/>
        </w:rPr>
        <w:t>īt</w:t>
      </w:r>
      <w:r w:rsidR="00713E46">
        <w:rPr>
          <w:szCs w:val="24"/>
        </w:rPr>
        <w:t xml:space="preserve">, ka </w:t>
      </w:r>
      <w:r w:rsidRPr="00042F40" w:rsidR="00D2561B">
        <w:t>2018.</w:t>
      </w:r>
      <w:r w:rsidR="00713E46">
        <w:t> </w:t>
      </w:r>
      <w:r w:rsidRPr="00042F40" w:rsidR="00D2561B">
        <w:t>gada 15.</w:t>
      </w:r>
      <w:r w:rsidR="00713E46">
        <w:t> </w:t>
      </w:r>
      <w:r w:rsidRPr="00042F40" w:rsidR="00D2561B">
        <w:t xml:space="preserve">janvārī Saeimā tika iesniegts </w:t>
      </w:r>
      <w:r w:rsidRPr="00042F40" w:rsidR="00D2561B">
        <w:rPr>
          <w:szCs w:val="24"/>
        </w:rPr>
        <w:t xml:space="preserve">kolektīvais likumdošanas priekšlikums </w:t>
      </w:r>
      <w:r w:rsidR="002F5079">
        <w:rPr>
          <w:szCs w:val="24"/>
        </w:rPr>
        <w:t>"</w:t>
      </w:r>
      <w:r w:rsidRPr="00042F40" w:rsidR="00D2561B">
        <w:rPr>
          <w:szCs w:val="24"/>
        </w:rPr>
        <w:t>Par Kopdzīves likuma pieņemšanu Latvijā</w:t>
      </w:r>
      <w:r w:rsidR="002F5079">
        <w:rPr>
          <w:szCs w:val="24"/>
        </w:rPr>
        <w:t>"</w:t>
      </w:r>
      <w:r w:rsidRPr="00042F40" w:rsidR="00D2561B">
        <w:rPr>
          <w:szCs w:val="24"/>
        </w:rPr>
        <w:t>, aicinot ar likumu noteikt vienlīdzīgas tiesības laulātiem un nelaulātiem pāriem (10</w:t>
      </w:r>
      <w:r w:rsidR="003B1A1D">
        <w:rPr>
          <w:szCs w:val="24"/>
        </w:rPr>
        <w:t> </w:t>
      </w:r>
      <w:r w:rsidRPr="00042F40" w:rsidR="00D2561B">
        <w:rPr>
          <w:szCs w:val="24"/>
        </w:rPr>
        <w:t xml:space="preserve">276 paraksti). </w:t>
      </w:r>
      <w:r w:rsidRPr="00042F40" w:rsidR="00D2561B">
        <w:t xml:space="preserve">Minētā likumprojekta sākotnējās izvērtēšanas sēdē </w:t>
      </w:r>
      <w:r w:rsidRPr="00042F40" w:rsidR="00FD1286">
        <w:rPr>
          <w:szCs w:val="24"/>
        </w:rPr>
        <w:t>Saeimas Mandātu, ētikas un iesniegumu komisij</w:t>
      </w:r>
      <w:r w:rsidRPr="00042F40" w:rsidR="00D2561B">
        <w:t>ā</w:t>
      </w:r>
      <w:r w:rsidRPr="00042F40" w:rsidR="00FD1286">
        <w:rPr>
          <w:szCs w:val="24"/>
        </w:rPr>
        <w:t xml:space="preserve"> </w:t>
      </w:r>
      <w:r w:rsidR="00AC4045">
        <w:rPr>
          <w:szCs w:val="24"/>
        </w:rPr>
        <w:t>(turpmāk</w:t>
      </w:r>
      <w:r w:rsidR="003B1A1D">
        <w:rPr>
          <w:szCs w:val="24"/>
        </w:rPr>
        <w:t> </w:t>
      </w:r>
      <w:r w:rsidR="00AC4045">
        <w:rPr>
          <w:szCs w:val="24"/>
        </w:rPr>
        <w:t xml:space="preserve">– </w:t>
      </w:r>
      <w:r w:rsidR="00855E0F">
        <w:rPr>
          <w:szCs w:val="24"/>
        </w:rPr>
        <w:t>K</w:t>
      </w:r>
      <w:r w:rsidR="00AC4045">
        <w:rPr>
          <w:szCs w:val="24"/>
        </w:rPr>
        <w:t xml:space="preserve">omisija) </w:t>
      </w:r>
      <w:r w:rsidRPr="00042F40" w:rsidR="00D2561B">
        <w:t>2018.</w:t>
      </w:r>
      <w:r w:rsidR="00713E46">
        <w:t> </w:t>
      </w:r>
      <w:r w:rsidRPr="00042F40" w:rsidR="00D2561B">
        <w:t>gada 3</w:t>
      </w:r>
      <w:r w:rsidR="002F5079">
        <w:t>1</w:t>
      </w:r>
      <w:r w:rsidRPr="00042F40" w:rsidR="00D2561B">
        <w:t>.</w:t>
      </w:r>
      <w:r w:rsidR="00713E46">
        <w:t> </w:t>
      </w:r>
      <w:r w:rsidRPr="00042F40" w:rsidR="00D2561B">
        <w:t xml:space="preserve">janvārī tika nolemts iesniegumu turpināt izvērtēt </w:t>
      </w:r>
      <w:r w:rsidR="002230C0">
        <w:t>K</w:t>
      </w:r>
      <w:r w:rsidRPr="00042F40" w:rsidR="00D2561B">
        <w:t xml:space="preserve">omisijā. Savukārt </w:t>
      </w:r>
      <w:r w:rsidRPr="00042F40" w:rsidR="00FD1286">
        <w:rPr>
          <w:szCs w:val="24"/>
        </w:rPr>
        <w:t>2018.</w:t>
      </w:r>
      <w:r w:rsidR="00713E46">
        <w:rPr>
          <w:szCs w:val="24"/>
        </w:rPr>
        <w:t> </w:t>
      </w:r>
      <w:r w:rsidRPr="00042F40" w:rsidR="00FD1286">
        <w:rPr>
          <w:szCs w:val="24"/>
        </w:rPr>
        <w:t>gada 7.</w:t>
      </w:r>
      <w:r w:rsidR="00713E46">
        <w:rPr>
          <w:szCs w:val="24"/>
        </w:rPr>
        <w:t> </w:t>
      </w:r>
      <w:r w:rsidRPr="00042F40" w:rsidR="00FD1286">
        <w:rPr>
          <w:szCs w:val="24"/>
        </w:rPr>
        <w:t>mart</w:t>
      </w:r>
      <w:r w:rsidRPr="00042F40" w:rsidR="00D2561B">
        <w:t xml:space="preserve">a sēdē </w:t>
      </w:r>
      <w:r w:rsidR="003B1A1D">
        <w:rPr>
          <w:rFonts w:eastAsia="Times New Roman"/>
          <w:szCs w:val="24"/>
          <w:lang w:eastAsia="lv-LV"/>
        </w:rPr>
        <w:t>K</w:t>
      </w:r>
      <w:r w:rsidRPr="000A6F70" w:rsidR="00D2561B">
        <w:rPr>
          <w:rFonts w:eastAsia="Times New Roman"/>
          <w:szCs w:val="24"/>
          <w:lang w:eastAsia="lv-LV"/>
        </w:rPr>
        <w:t>omisija ar balsu vairākumu atbalstīja sagatavoto </w:t>
      </w:r>
      <w:hyperlink w:history="1" r:id="rId8">
        <w:r w:rsidRPr="000A6F70" w:rsidR="00D2561B">
          <w:rPr>
            <w:rFonts w:eastAsia="Times New Roman"/>
            <w:szCs w:val="24"/>
            <w:lang w:eastAsia="lv-LV"/>
          </w:rPr>
          <w:t>Saeimas lēmuma projektu</w:t>
        </w:r>
      </w:hyperlink>
      <w:hyperlink w:history="1" r:id="rId9">
        <w:r w:rsidRPr="000A6F70" w:rsidR="00D2561B">
          <w:rPr>
            <w:rFonts w:eastAsia="Times New Roman"/>
            <w:szCs w:val="24"/>
            <w:lang w:eastAsia="lv-LV"/>
          </w:rPr>
          <w:t> </w:t>
        </w:r>
      </w:hyperlink>
      <w:r w:rsidRPr="000A6F70" w:rsidR="00D2561B">
        <w:rPr>
          <w:rFonts w:eastAsia="Times New Roman"/>
          <w:szCs w:val="24"/>
          <w:lang w:eastAsia="lv-LV"/>
        </w:rPr>
        <w:t>par iesnieguma noraidīšanu un nolēma virzīt to izskatīšanai Saeimas 2018.</w:t>
      </w:r>
      <w:r w:rsidR="00713E46">
        <w:rPr>
          <w:rFonts w:eastAsia="Times New Roman"/>
          <w:szCs w:val="24"/>
          <w:lang w:eastAsia="lv-LV"/>
        </w:rPr>
        <w:t> </w:t>
      </w:r>
      <w:r w:rsidRPr="000A6F70" w:rsidR="00D2561B">
        <w:rPr>
          <w:rFonts w:eastAsia="Times New Roman"/>
          <w:szCs w:val="24"/>
          <w:lang w:eastAsia="lv-LV"/>
        </w:rPr>
        <w:t>gada 15.</w:t>
      </w:r>
      <w:r w:rsidR="008C256B">
        <w:rPr>
          <w:rFonts w:eastAsia="Times New Roman"/>
          <w:szCs w:val="24"/>
          <w:lang w:eastAsia="lv-LV"/>
        </w:rPr>
        <w:t> </w:t>
      </w:r>
      <w:r w:rsidRPr="000A6F70" w:rsidR="00D2561B">
        <w:rPr>
          <w:rFonts w:eastAsia="Times New Roman"/>
          <w:szCs w:val="24"/>
          <w:lang w:eastAsia="lv-LV"/>
        </w:rPr>
        <w:t>marta sēdē</w:t>
      </w:r>
      <w:r w:rsidR="009D555E">
        <w:rPr>
          <w:rStyle w:val="Vresatsauce"/>
          <w:rFonts w:eastAsia="Times New Roman"/>
          <w:szCs w:val="24"/>
          <w:lang w:eastAsia="lv-LV"/>
        </w:rPr>
        <w:footnoteReference w:id="15"/>
      </w:r>
      <w:r w:rsidR="009D555E">
        <w:rPr>
          <w:rFonts w:eastAsia="Times New Roman"/>
          <w:szCs w:val="24"/>
          <w:lang w:eastAsia="lv-LV"/>
        </w:rPr>
        <w:t xml:space="preserve">. Saeimas sēdē </w:t>
      </w:r>
      <w:r w:rsidR="00D02D56">
        <w:rPr>
          <w:rFonts w:eastAsia="Times New Roman"/>
          <w:szCs w:val="24"/>
          <w:lang w:eastAsia="lv-LV"/>
        </w:rPr>
        <w:t xml:space="preserve">bez debatēm </w:t>
      </w:r>
      <w:r w:rsidRPr="00042F40" w:rsidR="00042F40">
        <w:rPr>
          <w:rFonts w:eastAsia="Times New Roman"/>
          <w:szCs w:val="24"/>
          <w:lang w:eastAsia="lv-LV"/>
        </w:rPr>
        <w:t xml:space="preserve">ar balsu vairākumu </w:t>
      </w:r>
      <w:r w:rsidR="00801DA0">
        <w:rPr>
          <w:rFonts w:eastAsia="Times New Roman"/>
          <w:szCs w:val="24"/>
          <w:lang w:eastAsia="lv-LV"/>
        </w:rPr>
        <w:t xml:space="preserve">tika nolemts </w:t>
      </w:r>
      <w:r w:rsidRPr="00042F40" w:rsidR="00042F40">
        <w:rPr>
          <w:rFonts w:eastAsia="Times New Roman"/>
          <w:szCs w:val="24"/>
          <w:lang w:eastAsia="lv-LV"/>
        </w:rPr>
        <w:t xml:space="preserve">noraidīt </w:t>
      </w:r>
      <w:r w:rsidR="009D555E">
        <w:rPr>
          <w:rFonts w:eastAsia="Times New Roman"/>
          <w:szCs w:val="24"/>
          <w:lang w:eastAsia="lv-LV"/>
        </w:rPr>
        <w:t>šo likumdošanas priekšlikumu</w:t>
      </w:r>
      <w:r w:rsidRPr="00042F40" w:rsidR="00095912">
        <w:rPr>
          <w:rStyle w:val="Vresatsauce"/>
        </w:rPr>
        <w:footnoteReference w:id="16"/>
      </w:r>
      <w:r w:rsidRPr="00042F40" w:rsidR="00FD1286">
        <w:rPr>
          <w:szCs w:val="24"/>
        </w:rPr>
        <w:t>.</w:t>
      </w:r>
      <w:r w:rsidRPr="00042F40" w:rsidR="000A6F70">
        <w:rPr>
          <w:rFonts w:ascii="Tahoma" w:hAnsi="Tahoma" w:eastAsia="Times New Roman" w:cs="Tahoma"/>
          <w:sz w:val="17"/>
          <w:szCs w:val="17"/>
          <w:lang w:eastAsia="lv-LV"/>
        </w:rPr>
        <w:t xml:space="preserve"> </w:t>
      </w:r>
      <w:bookmarkStart w:name="_Hlk534962314" w:id="10"/>
      <w:r w:rsidRPr="00042F40" w:rsidR="00042F40">
        <w:rPr>
          <w:rFonts w:eastAsia="Times New Roman"/>
          <w:szCs w:val="24"/>
          <w:lang w:eastAsia="lv-LV"/>
        </w:rPr>
        <w:t xml:space="preserve">Līdz ar to </w:t>
      </w:r>
      <w:r w:rsidR="006625EF">
        <w:rPr>
          <w:rFonts w:eastAsia="Times New Roman"/>
          <w:szCs w:val="24"/>
          <w:lang w:eastAsia="lv-LV"/>
        </w:rPr>
        <w:t xml:space="preserve">Latvijas </w:t>
      </w:r>
      <w:r w:rsidRPr="00042F40" w:rsidR="00042F40">
        <w:rPr>
          <w:rFonts w:eastAsia="Times New Roman"/>
          <w:szCs w:val="24"/>
          <w:lang w:eastAsia="lv-LV"/>
        </w:rPr>
        <w:t xml:space="preserve">likumdevējs </w:t>
      </w:r>
      <w:r w:rsidR="00042F40">
        <w:rPr>
          <w:rFonts w:eastAsia="Times New Roman"/>
          <w:szCs w:val="24"/>
          <w:lang w:eastAsia="lv-LV"/>
        </w:rPr>
        <w:t>salīdzinoši nesen</w:t>
      </w:r>
      <w:r w:rsidR="00710763">
        <w:rPr>
          <w:rFonts w:eastAsia="Times New Roman"/>
          <w:szCs w:val="24"/>
          <w:lang w:eastAsia="lv-LV"/>
        </w:rPr>
        <w:t>, gan Saeimas iepriekšējā sasaukuma darbības laikā,</w:t>
      </w:r>
      <w:r w:rsidR="00042F40">
        <w:rPr>
          <w:rFonts w:eastAsia="Times New Roman"/>
          <w:szCs w:val="24"/>
          <w:lang w:eastAsia="lv-LV"/>
        </w:rPr>
        <w:t xml:space="preserve"> </w:t>
      </w:r>
      <w:r w:rsidRPr="00042F40" w:rsidR="00042F40">
        <w:rPr>
          <w:rFonts w:eastAsia="Times New Roman"/>
          <w:szCs w:val="24"/>
          <w:lang w:eastAsia="lv-LV"/>
        </w:rPr>
        <w:t>ir paudis</w:t>
      </w:r>
      <w:r w:rsidR="00042F40">
        <w:rPr>
          <w:rFonts w:ascii="Tahoma" w:hAnsi="Tahoma" w:eastAsia="Times New Roman" w:cs="Tahoma"/>
          <w:sz w:val="17"/>
          <w:szCs w:val="17"/>
          <w:lang w:eastAsia="lv-LV"/>
        </w:rPr>
        <w:t xml:space="preserve"> </w:t>
      </w:r>
      <w:r w:rsidRPr="00801DA0" w:rsidR="00801DA0">
        <w:rPr>
          <w:rFonts w:eastAsia="Times New Roman"/>
          <w:szCs w:val="24"/>
          <w:lang w:eastAsia="lv-LV"/>
        </w:rPr>
        <w:t>negatīvu</w:t>
      </w:r>
      <w:r w:rsidR="00801DA0">
        <w:rPr>
          <w:rFonts w:ascii="Tahoma" w:hAnsi="Tahoma" w:eastAsia="Times New Roman" w:cs="Tahoma"/>
          <w:sz w:val="17"/>
          <w:szCs w:val="17"/>
          <w:lang w:eastAsia="lv-LV"/>
        </w:rPr>
        <w:t xml:space="preserve"> </w:t>
      </w:r>
      <w:r w:rsidR="00801DA0">
        <w:rPr>
          <w:rFonts w:eastAsia="Times New Roman"/>
          <w:szCs w:val="24"/>
          <w:lang w:eastAsia="lv-LV"/>
        </w:rPr>
        <w:t>nostāju</w:t>
      </w:r>
      <w:r w:rsidR="00364063">
        <w:rPr>
          <w:rFonts w:eastAsia="Times New Roman"/>
          <w:szCs w:val="24"/>
          <w:lang w:eastAsia="lv-LV"/>
        </w:rPr>
        <w:t xml:space="preserve"> par reģistrētu partnerattiecību </w:t>
      </w:r>
      <w:r w:rsidR="00D85D6C">
        <w:rPr>
          <w:rFonts w:eastAsia="Times New Roman"/>
          <w:szCs w:val="24"/>
          <w:lang w:eastAsia="lv-LV"/>
        </w:rPr>
        <w:t>nostiprināšanu tiesību aktā</w:t>
      </w:r>
      <w:r w:rsidR="00364063">
        <w:rPr>
          <w:rFonts w:eastAsia="Times New Roman"/>
          <w:szCs w:val="24"/>
          <w:lang w:eastAsia="lv-LV"/>
        </w:rPr>
        <w:t>.</w:t>
      </w:r>
      <w:r w:rsidRPr="002A377A" w:rsidR="002A377A">
        <w:rPr>
          <w:szCs w:val="24"/>
        </w:rPr>
        <w:t xml:space="preserve"> </w:t>
      </w:r>
    </w:p>
    <w:p w:rsidRPr="00497701" w:rsidR="001F57C0" w:rsidP="005C4B61" w:rsidRDefault="002C4A74" w14:paraId="65284715" w14:textId="1A37CB1F">
      <w:pPr>
        <w:ind w:firstLine="720"/>
        <w:rPr>
          <w:szCs w:val="24"/>
        </w:rPr>
      </w:pPr>
      <w:bookmarkStart w:name="_Hlk3197421" w:id="11"/>
      <w:r w:rsidRPr="00497701">
        <w:rPr>
          <w:szCs w:val="24"/>
        </w:rPr>
        <w:t>Deklarācij</w:t>
      </w:r>
      <w:r w:rsidRPr="00497701" w:rsidR="00141C0A">
        <w:rPr>
          <w:szCs w:val="24"/>
        </w:rPr>
        <w:t>as</w:t>
      </w:r>
      <w:r w:rsidRPr="00497701">
        <w:rPr>
          <w:szCs w:val="24"/>
        </w:rPr>
        <w:t xml:space="preserve"> par </w:t>
      </w:r>
      <w:r w:rsidRPr="00497701" w:rsidR="00E964B3">
        <w:rPr>
          <w:szCs w:val="24"/>
        </w:rPr>
        <w:t xml:space="preserve">Saeimā </w:t>
      </w:r>
      <w:r w:rsidRPr="00497701" w:rsidR="00472630">
        <w:rPr>
          <w:szCs w:val="24"/>
        </w:rPr>
        <w:t>201</w:t>
      </w:r>
      <w:r w:rsidRPr="00497701" w:rsidR="00881000">
        <w:rPr>
          <w:szCs w:val="24"/>
        </w:rPr>
        <w:t>9</w:t>
      </w:r>
      <w:r w:rsidRPr="00497701" w:rsidR="00472630">
        <w:rPr>
          <w:szCs w:val="24"/>
        </w:rPr>
        <w:t>.</w:t>
      </w:r>
      <w:r w:rsidRPr="00497701" w:rsidR="00E964B3">
        <w:rPr>
          <w:szCs w:val="24"/>
        </w:rPr>
        <w:t> </w:t>
      </w:r>
      <w:r w:rsidRPr="00497701" w:rsidR="00472630">
        <w:rPr>
          <w:szCs w:val="24"/>
        </w:rPr>
        <w:t xml:space="preserve">gada </w:t>
      </w:r>
      <w:r w:rsidRPr="00497701" w:rsidR="00E964B3">
        <w:rPr>
          <w:szCs w:val="24"/>
        </w:rPr>
        <w:t>23.</w:t>
      </w:r>
      <w:r w:rsidR="003B1A1D">
        <w:rPr>
          <w:szCs w:val="24"/>
        </w:rPr>
        <w:t> </w:t>
      </w:r>
      <w:r w:rsidRPr="00497701" w:rsidR="00E964B3">
        <w:rPr>
          <w:szCs w:val="24"/>
        </w:rPr>
        <w:t xml:space="preserve">janvārī apstiprinātā </w:t>
      </w:r>
      <w:r w:rsidRPr="00497701">
        <w:rPr>
          <w:szCs w:val="24"/>
        </w:rPr>
        <w:t>Artura Krišjāņa Kariņa vadītā Ministru kabineta iecerēto darbību</w:t>
      </w:r>
      <w:bookmarkEnd w:id="11"/>
      <w:r w:rsidRPr="00497701">
        <w:rPr>
          <w:rStyle w:val="Vresatsauce"/>
          <w:szCs w:val="24"/>
        </w:rPr>
        <w:footnoteReference w:id="17"/>
      </w:r>
      <w:r w:rsidRPr="00497701">
        <w:rPr>
          <w:szCs w:val="24"/>
        </w:rPr>
        <w:t xml:space="preserve"> </w:t>
      </w:r>
      <w:r w:rsidRPr="00497701" w:rsidR="00A04A69">
        <w:rPr>
          <w:szCs w:val="24"/>
        </w:rPr>
        <w:t xml:space="preserve">II </w:t>
      </w:r>
      <w:r w:rsidRPr="00497701" w:rsidR="00141C0A">
        <w:rPr>
          <w:szCs w:val="24"/>
        </w:rPr>
        <w:t>sa</w:t>
      </w:r>
      <w:r w:rsidRPr="00497701" w:rsidR="00A04A69">
        <w:rPr>
          <w:szCs w:val="24"/>
        </w:rPr>
        <w:t xml:space="preserve">daļā "Latvijas cilvēki" </w:t>
      </w:r>
      <w:r w:rsidRPr="00497701" w:rsidR="00141C0A">
        <w:rPr>
          <w:szCs w:val="24"/>
        </w:rPr>
        <w:t>deklarēts, ka</w:t>
      </w:r>
      <w:r w:rsidRPr="00497701">
        <w:rPr>
          <w:szCs w:val="24"/>
        </w:rPr>
        <w:t xml:space="preserve"> </w:t>
      </w:r>
      <w:r w:rsidRPr="00497701" w:rsidR="00EB1D7A">
        <w:rPr>
          <w:szCs w:val="24"/>
        </w:rPr>
        <w:t>s</w:t>
      </w:r>
      <w:r w:rsidRPr="00497701" w:rsidR="00F54FE6">
        <w:rPr>
          <w:szCs w:val="24"/>
        </w:rPr>
        <w:t>abiedrības ilgtspējas pamatā ir ģimene.</w:t>
      </w:r>
      <w:r w:rsidRPr="00497701" w:rsidR="000E6020">
        <w:t xml:space="preserve"> </w:t>
      </w:r>
      <w:r w:rsidRPr="00497701" w:rsidR="00141C0A">
        <w:t>Akcentējot demogrāfijas politikas nozīmi, A.</w:t>
      </w:r>
      <w:r w:rsidR="003B1A1D">
        <w:t> </w:t>
      </w:r>
      <w:r w:rsidRPr="00497701" w:rsidR="00141C0A">
        <w:t>K.</w:t>
      </w:r>
      <w:r w:rsidR="003B1A1D">
        <w:t> </w:t>
      </w:r>
      <w:r w:rsidRPr="00497701" w:rsidR="00141C0A">
        <w:t xml:space="preserve">Kariņa valdība apņēmusies </w:t>
      </w:r>
      <w:r w:rsidRPr="00497701" w:rsidR="00EB0397">
        <w:rPr>
          <w:szCs w:val="24"/>
        </w:rPr>
        <w:t>g</w:t>
      </w:r>
      <w:r w:rsidRPr="00497701" w:rsidR="000E6020">
        <w:rPr>
          <w:szCs w:val="24"/>
        </w:rPr>
        <w:t>odinā</w:t>
      </w:r>
      <w:r w:rsidRPr="00497701" w:rsidR="00EB0397">
        <w:rPr>
          <w:szCs w:val="24"/>
        </w:rPr>
        <w:t>t</w:t>
      </w:r>
      <w:r w:rsidRPr="00497701" w:rsidR="000E6020">
        <w:rPr>
          <w:szCs w:val="24"/>
        </w:rPr>
        <w:t xml:space="preserve"> sabiedrībā ģimenes vērtības un veicinā</w:t>
      </w:r>
      <w:r w:rsidRPr="00497701" w:rsidR="00EB0397">
        <w:rPr>
          <w:szCs w:val="24"/>
        </w:rPr>
        <w:t>t</w:t>
      </w:r>
      <w:r w:rsidRPr="00497701" w:rsidR="000E6020">
        <w:rPr>
          <w:szCs w:val="24"/>
        </w:rPr>
        <w:t xml:space="preserve"> izpratni par atbildīgumu savstarpējās attiecībās, kā arī seksuālo un reproduktīvo veselību</w:t>
      </w:r>
      <w:r w:rsidRPr="00497701" w:rsidR="00EB0397">
        <w:rPr>
          <w:szCs w:val="24"/>
        </w:rPr>
        <w:t>; v</w:t>
      </w:r>
      <w:r w:rsidRPr="00497701" w:rsidR="000E6020">
        <w:rPr>
          <w:szCs w:val="24"/>
        </w:rPr>
        <w:t>eido</w:t>
      </w:r>
      <w:r w:rsidRPr="00497701" w:rsidR="00EB0397">
        <w:rPr>
          <w:szCs w:val="24"/>
        </w:rPr>
        <w:t>t</w:t>
      </w:r>
      <w:r w:rsidRPr="00497701" w:rsidR="000E6020">
        <w:rPr>
          <w:szCs w:val="24"/>
        </w:rPr>
        <w:t xml:space="preserve"> Latviju par ģimenēm ar bērniem draudzīgāko valsti un sabiedrību, tostarp īstenojot sadarbības platformas "Demogrāfisko lietu centrs" izstrādāto visaptverošo ilgtermiņa valsts atbalsta programmu ģimenēm ar bērniem</w:t>
      </w:r>
      <w:r w:rsidRPr="00497701" w:rsidR="00EB0397">
        <w:rPr>
          <w:szCs w:val="24"/>
        </w:rPr>
        <w:t>; ī</w:t>
      </w:r>
      <w:r w:rsidRPr="00497701" w:rsidR="000E6020">
        <w:rPr>
          <w:szCs w:val="24"/>
        </w:rPr>
        <w:t>stenojot atbilstošu politiku, nodrošinā</w:t>
      </w:r>
      <w:r w:rsidRPr="00497701" w:rsidR="00EB0397">
        <w:rPr>
          <w:szCs w:val="24"/>
        </w:rPr>
        <w:t>t</w:t>
      </w:r>
      <w:r w:rsidRPr="00497701" w:rsidR="000E6020">
        <w:rPr>
          <w:szCs w:val="24"/>
        </w:rPr>
        <w:t xml:space="preserve"> pienācīgu dzīves kvalitātes līmeni mazāk aizsargātām grupām – kuplām ģimenēm un viena vecāka ģimenēm.</w:t>
      </w:r>
      <w:r w:rsidRPr="00497701" w:rsidR="000C5F47">
        <w:rPr>
          <w:szCs w:val="24"/>
        </w:rPr>
        <w:t xml:space="preserve"> Līdz ar to no Deklarācijas par Ministru kabineta iecerēto darbību neizriet, ka A.</w:t>
      </w:r>
      <w:r w:rsidR="003B1A1D">
        <w:rPr>
          <w:szCs w:val="24"/>
        </w:rPr>
        <w:t> </w:t>
      </w:r>
      <w:r w:rsidRPr="00497701" w:rsidR="000C5F47">
        <w:rPr>
          <w:szCs w:val="24"/>
        </w:rPr>
        <w:t>K.</w:t>
      </w:r>
      <w:r w:rsidR="003B1A1D">
        <w:rPr>
          <w:szCs w:val="24"/>
        </w:rPr>
        <w:t> </w:t>
      </w:r>
      <w:r w:rsidRPr="00497701" w:rsidR="000C5F47">
        <w:rPr>
          <w:szCs w:val="24"/>
        </w:rPr>
        <w:t xml:space="preserve">Kariņa vadītā Ministru kabineta darbības prioritātes ir saistītas ar dažādu ģimenes formu juridisko ietvaru radīšanu. </w:t>
      </w:r>
    </w:p>
    <w:p w:rsidRPr="003F32D9" w:rsidR="00F54FE6" w:rsidP="005C4B61" w:rsidRDefault="003F32D9" w14:paraId="5FF58A8B" w14:textId="1A3247C6">
      <w:pPr>
        <w:ind w:firstLine="720"/>
        <w:rPr>
          <w:szCs w:val="24"/>
        </w:rPr>
      </w:pPr>
      <w:r w:rsidRPr="00497701">
        <w:rPr>
          <w:szCs w:val="24"/>
        </w:rPr>
        <w:t>Satversmes tiesa 2017. gada 2. februāra lēmumā</w:t>
      </w:r>
      <w:r w:rsidRPr="00497701">
        <w:rPr>
          <w:rStyle w:val="Vresatsauce"/>
          <w:szCs w:val="24"/>
        </w:rPr>
        <w:footnoteReference w:id="18"/>
      </w:r>
      <w:r w:rsidRPr="00497701">
        <w:rPr>
          <w:szCs w:val="24"/>
        </w:rPr>
        <w:t xml:space="preserve"> par atteikšanos ierosināt lietu, izskatot Administratīvās rajona tiesas pieteikumu par lietas ierosināšanu par Civilstāvokļa aktu reģistrācijas likuma 3.</w:t>
      </w:r>
      <w:r w:rsidR="003B1A1D">
        <w:rPr>
          <w:szCs w:val="24"/>
        </w:rPr>
        <w:t> </w:t>
      </w:r>
      <w:r w:rsidRPr="00497701">
        <w:rPr>
          <w:szCs w:val="24"/>
        </w:rPr>
        <w:t>panta pirmās daļas un Civillikuma 35.</w:t>
      </w:r>
      <w:r w:rsidR="003B1A1D">
        <w:rPr>
          <w:szCs w:val="24"/>
        </w:rPr>
        <w:t> </w:t>
      </w:r>
      <w:r w:rsidRPr="00497701">
        <w:rPr>
          <w:szCs w:val="24"/>
        </w:rPr>
        <w:t>panta otrās daļas, ciktāl šīs normas neparedz viendzimuma pāru attiecību reģistrāciju (laulību vai partnerattiecību reģistrāciju) un nenodrošina tiesības uz ģimenes dzīvi, atbilstību Satversmes 91., 96. un</w:t>
      </w:r>
      <w:r w:rsidRPr="00497701" w:rsidR="005327C6">
        <w:rPr>
          <w:szCs w:val="24"/>
        </w:rPr>
        <w:t> </w:t>
      </w:r>
      <w:r w:rsidRPr="00497701">
        <w:rPr>
          <w:szCs w:val="24"/>
        </w:rPr>
        <w:t>110.</w:t>
      </w:r>
      <w:r w:rsidRPr="00497701" w:rsidR="005327C6">
        <w:rPr>
          <w:szCs w:val="24"/>
        </w:rPr>
        <w:t> </w:t>
      </w:r>
      <w:r w:rsidRPr="00497701">
        <w:rPr>
          <w:szCs w:val="24"/>
        </w:rPr>
        <w:t xml:space="preserve"> pantam</w:t>
      </w:r>
      <w:r w:rsidRPr="00497701" w:rsidR="00AD0FE7">
        <w:rPr>
          <w:szCs w:val="24"/>
        </w:rPr>
        <w:t>,</w:t>
      </w:r>
      <w:r w:rsidRPr="00497701" w:rsidR="000D1202">
        <w:rPr>
          <w:szCs w:val="24"/>
        </w:rPr>
        <w:t xml:space="preserve"> ir norādījusi, ka t</w:t>
      </w:r>
      <w:r w:rsidRPr="00497701" w:rsidR="00DA2177">
        <w:rPr>
          <w:szCs w:val="24"/>
        </w:rPr>
        <w:t xml:space="preserve">as, kādā veidā ar tiesību normām tiek nodrošināta ģimenes aizsardzība, ir atkarīgs no </w:t>
      </w:r>
      <w:proofErr w:type="spellStart"/>
      <w:r w:rsidRPr="00497701" w:rsidR="00DA2177">
        <w:rPr>
          <w:szCs w:val="24"/>
        </w:rPr>
        <w:t>tiesībpolitiskas</w:t>
      </w:r>
      <w:proofErr w:type="spellEnd"/>
      <w:r w:rsidRPr="00497701" w:rsidR="00DA2177">
        <w:rPr>
          <w:szCs w:val="24"/>
        </w:rPr>
        <w:t xml:space="preserve"> izšķiršanās. Satversmes tiesa jau ir atzinusi, ka izšķiršanās par </w:t>
      </w:r>
      <w:proofErr w:type="spellStart"/>
      <w:r w:rsidRPr="00497701" w:rsidR="00DA2177">
        <w:rPr>
          <w:szCs w:val="24"/>
        </w:rPr>
        <w:t>tiesībpolitiskiem</w:t>
      </w:r>
      <w:proofErr w:type="spellEnd"/>
      <w:r w:rsidRPr="00497701" w:rsidR="00DA2177">
        <w:rPr>
          <w:szCs w:val="24"/>
        </w:rPr>
        <w:t xml:space="preserve"> jautājumiem pamatā ir demokrātiski leģitimēta likumdevēja uzdevums (sk., piemēram, Satversmes tiesas 2010.</w:t>
      </w:r>
      <w:r w:rsidR="00407F5F">
        <w:rPr>
          <w:szCs w:val="24"/>
        </w:rPr>
        <w:t> </w:t>
      </w:r>
      <w:r w:rsidRPr="00497701" w:rsidR="00DA2177">
        <w:rPr>
          <w:szCs w:val="24"/>
        </w:rPr>
        <w:t>gada 7.</w:t>
      </w:r>
      <w:r w:rsidR="00407F5F">
        <w:rPr>
          <w:szCs w:val="24"/>
        </w:rPr>
        <w:t> </w:t>
      </w:r>
      <w:r w:rsidRPr="00497701" w:rsidR="00DA2177">
        <w:rPr>
          <w:szCs w:val="24"/>
        </w:rPr>
        <w:t>oktobra sprieduma lietā Nr.</w:t>
      </w:r>
      <w:r w:rsidR="00407F5F">
        <w:rPr>
          <w:szCs w:val="24"/>
        </w:rPr>
        <w:t> </w:t>
      </w:r>
      <w:r w:rsidRPr="00497701" w:rsidR="00DA2177">
        <w:rPr>
          <w:szCs w:val="24"/>
        </w:rPr>
        <w:t>2010-01-01 12.3.</w:t>
      </w:r>
      <w:r w:rsidR="00407F5F">
        <w:rPr>
          <w:szCs w:val="24"/>
        </w:rPr>
        <w:t> </w:t>
      </w:r>
      <w:r w:rsidRPr="00497701" w:rsidR="00DA2177">
        <w:rPr>
          <w:szCs w:val="24"/>
        </w:rPr>
        <w:t>punktu)</w:t>
      </w:r>
      <w:r w:rsidRPr="00497701" w:rsidR="00DA2177">
        <w:rPr>
          <w:rStyle w:val="Vresatsauce"/>
          <w:szCs w:val="24"/>
        </w:rPr>
        <w:footnoteReference w:id="19"/>
      </w:r>
      <w:r w:rsidRPr="00497701" w:rsidR="00DA2177">
        <w:rPr>
          <w:szCs w:val="24"/>
        </w:rPr>
        <w:t>.</w:t>
      </w:r>
    </w:p>
    <w:p w:rsidR="002A377A" w:rsidP="005C4B61" w:rsidRDefault="002A377A" w14:paraId="6393D3B3" w14:textId="76FC29C7">
      <w:pPr>
        <w:ind w:firstLine="720"/>
        <w:rPr>
          <w:szCs w:val="24"/>
        </w:rPr>
      </w:pPr>
      <w:r>
        <w:rPr>
          <w:szCs w:val="24"/>
        </w:rPr>
        <w:t xml:space="preserve">Ievērojot </w:t>
      </w:r>
      <w:r w:rsidR="00661FA4">
        <w:rPr>
          <w:szCs w:val="24"/>
        </w:rPr>
        <w:t xml:space="preserve">iepriekš </w:t>
      </w:r>
      <w:r>
        <w:rPr>
          <w:szCs w:val="24"/>
        </w:rPr>
        <w:t xml:space="preserve">minēto, </w:t>
      </w:r>
      <w:r w:rsidR="00B92D3D">
        <w:rPr>
          <w:szCs w:val="24"/>
        </w:rPr>
        <w:t xml:space="preserve">gan heteroseksuālu, gan homoseksuālu </w:t>
      </w:r>
      <w:r>
        <w:rPr>
          <w:szCs w:val="24"/>
        </w:rPr>
        <w:t>reģistrētu partnerattiecību ieviešana vai neieviešana</w:t>
      </w:r>
      <w:r w:rsidR="00913994">
        <w:rPr>
          <w:szCs w:val="24"/>
        </w:rPr>
        <w:t xml:space="preserve"> </w:t>
      </w:r>
      <w:r>
        <w:rPr>
          <w:szCs w:val="24"/>
        </w:rPr>
        <w:t>ir politiskas izvēles jautājums, kas saskaņā ar demokrātiskas valsts iekārtas pamatā esošo varas dalīšanas principu ir likumdevēja prerogatīva.</w:t>
      </w:r>
    </w:p>
    <w:bookmarkEnd w:id="9"/>
    <w:bookmarkEnd w:id="10"/>
    <w:p w:rsidR="006361EF" w:rsidP="005C4B61" w:rsidRDefault="006361EF" w14:paraId="18002970" w14:textId="5A235E98">
      <w:pPr>
        <w:ind w:right="-2" w:firstLine="720"/>
        <w:rPr>
          <w:szCs w:val="24"/>
        </w:rPr>
      </w:pPr>
      <w:r>
        <w:rPr>
          <w:szCs w:val="24"/>
        </w:rPr>
        <w:t>Attiecībā uz rekomendāciju pārskatīt normatīvo regulējumu, veidojot vienotu izpratni par ģimenes jēdzienu un aizsardzību, vērš</w:t>
      </w:r>
      <w:r w:rsidR="00C37987">
        <w:rPr>
          <w:szCs w:val="24"/>
        </w:rPr>
        <w:t>am</w:t>
      </w:r>
      <w:r>
        <w:rPr>
          <w:szCs w:val="24"/>
        </w:rPr>
        <w:t xml:space="preserve"> uzmanību, ka Satversmes 110. pantā nostiprinātā ģimenes jēdziena interpretācija līdz šim norāda uz </w:t>
      </w:r>
      <w:r w:rsidR="003F1CF8">
        <w:rPr>
          <w:szCs w:val="24"/>
        </w:rPr>
        <w:t>tā</w:t>
      </w:r>
      <w:r>
        <w:rPr>
          <w:szCs w:val="24"/>
        </w:rPr>
        <w:t xml:space="preserve"> vienotu un stabilu izpratni, kam</w:t>
      </w:r>
      <w:r w:rsidR="00C37987">
        <w:rPr>
          <w:szCs w:val="24"/>
        </w:rPr>
        <w:t xml:space="preserve"> </w:t>
      </w:r>
      <w:r>
        <w:rPr>
          <w:szCs w:val="24"/>
        </w:rPr>
        <w:t xml:space="preserve">nav nepieciešama pārskatīšana. </w:t>
      </w:r>
      <w:r w:rsidRPr="00790E57" w:rsidR="00981A50">
        <w:rPr>
          <w:bCs/>
        </w:rPr>
        <w:t>Civillikuma 214.</w:t>
      </w:r>
      <w:r w:rsidR="00981A50">
        <w:rPr>
          <w:bCs/>
        </w:rPr>
        <w:t> </w:t>
      </w:r>
      <w:r w:rsidRPr="00790E57" w:rsidR="00981A50">
        <w:rPr>
          <w:bCs/>
        </w:rPr>
        <w:t>pantā noteikts, ka p</w:t>
      </w:r>
      <w:r w:rsidRPr="00790E57" w:rsidR="00981A50">
        <w:t xml:space="preserve">ie ģimenes šaurākā nozīmē pieder laulātie un viņu bērni, kamēr tie vēl atrodas nedalītā saimniecībā. </w:t>
      </w:r>
      <w:r w:rsidR="00981A50">
        <w:t>Tomēr ģ</w:t>
      </w:r>
      <w:r w:rsidRPr="00981A50">
        <w:t>imene</w:t>
      </w:r>
      <w:r w:rsidRPr="00981A50" w:rsidR="00981A50">
        <w:t>s</w:t>
      </w:r>
      <w:r w:rsidRPr="00981A50">
        <w:t xml:space="preserve"> </w:t>
      </w:r>
      <w:r w:rsidRPr="00981A50" w:rsidR="00981A50">
        <w:t>kā</w:t>
      </w:r>
      <w:r w:rsidRPr="00981A50">
        <w:t xml:space="preserve"> organizatoriska</w:t>
      </w:r>
      <w:r w:rsidR="00981A50">
        <w:t>s</w:t>
      </w:r>
      <w:r w:rsidRPr="00981A50">
        <w:t xml:space="preserve"> kopdzīves forma</w:t>
      </w:r>
      <w:r w:rsidR="00981A50">
        <w:t>s</w:t>
      </w:r>
      <w:r w:rsidRPr="00981A50">
        <w:t>, kas izveidojusies vēsturiski un pastāv kā cilvēku sabiedrības pamatšūniņa</w:t>
      </w:r>
      <w:r w:rsidR="00981A50">
        <w:t xml:space="preserve"> vai</w:t>
      </w:r>
      <w:r w:rsidRPr="00981A50">
        <w:t xml:space="preserve"> tuvu radinieku grupa</w:t>
      </w:r>
      <w:r w:rsidR="00981A50">
        <w:t>s</w:t>
      </w:r>
      <w:r w:rsidRPr="00981A50">
        <w:t>, kas parasti dzīvo kopā</w:t>
      </w:r>
      <w:r w:rsidR="00981A50">
        <w:t>, vērtība un šī jēdziena izpratne nostiprināta Latvijas tiesību aktos,</w:t>
      </w:r>
      <w:r w:rsidRPr="00981A50">
        <w:t xml:space="preserve"> </w:t>
      </w:r>
      <w:r w:rsidRPr="001B43C3" w:rsidR="00981A50">
        <w:rPr>
          <w:szCs w:val="24"/>
        </w:rPr>
        <w:t>attiecin</w:t>
      </w:r>
      <w:r w:rsidR="00981A50">
        <w:rPr>
          <w:szCs w:val="24"/>
        </w:rPr>
        <w:t xml:space="preserve">ot to ne tikai uz laulību, bet </w:t>
      </w:r>
      <w:r w:rsidR="00981A50">
        <w:rPr>
          <w:szCs w:val="24"/>
        </w:rPr>
        <w:lastRenderedPageBreak/>
        <w:t>vienlaikus arī</w:t>
      </w:r>
      <w:r w:rsidRPr="001B43C3" w:rsidR="00981A50">
        <w:rPr>
          <w:szCs w:val="24"/>
        </w:rPr>
        <w:t xml:space="preserve"> uz saikni starp </w:t>
      </w:r>
      <w:r w:rsidR="00981A50">
        <w:rPr>
          <w:szCs w:val="24"/>
        </w:rPr>
        <w:t xml:space="preserve">citiem </w:t>
      </w:r>
      <w:r w:rsidRPr="001B43C3" w:rsidR="00981A50">
        <w:rPr>
          <w:szCs w:val="24"/>
        </w:rPr>
        <w:t>tuviem ģimenes</w:t>
      </w:r>
      <w:r w:rsidR="00981A50">
        <w:rPr>
          <w:szCs w:val="24"/>
        </w:rPr>
        <w:t xml:space="preserve"> </w:t>
      </w:r>
      <w:r w:rsidRPr="001B43C3" w:rsidR="00981A50">
        <w:rPr>
          <w:szCs w:val="24"/>
        </w:rPr>
        <w:t xml:space="preserve">locekļiem, piemēram, </w:t>
      </w:r>
      <w:r w:rsidR="002075F4">
        <w:rPr>
          <w:szCs w:val="24"/>
        </w:rPr>
        <w:t xml:space="preserve">vienu no vecākiem un viņa bērnu, </w:t>
      </w:r>
      <w:r w:rsidRPr="001B43C3" w:rsidR="00981A50">
        <w:rPr>
          <w:szCs w:val="24"/>
        </w:rPr>
        <w:t xml:space="preserve">vecvecākiem un mazbērniem, </w:t>
      </w:r>
      <w:r w:rsidRPr="00981A50" w:rsidR="00981A50">
        <w:rPr>
          <w:szCs w:val="24"/>
        </w:rPr>
        <w:t>pieaugušajiem bērniem un viņu vecākiem.</w:t>
      </w:r>
      <w:r w:rsidR="00981A50">
        <w:rPr>
          <w:szCs w:val="24"/>
        </w:rPr>
        <w:t xml:space="preserve"> </w:t>
      </w:r>
      <w:r w:rsidRPr="00DD397A" w:rsidR="00DD397A">
        <w:rPr>
          <w:szCs w:val="24"/>
        </w:rPr>
        <w:t>Satversmes ievadā nostiprināts tas, ka ģimene ir saliedētas sabiedrības pamats un ka ikviens rūpējas par saviem tuviniekiem un sabiedrības kopējo labumu, izturoties atbildīgi pret citiem un nākamajām paaudzēm. Satversmes tiesa atzinusi, ka valstij ir jāaizsargā ikviena ģimene (sk., piemēram, Satversmes tiesas 2004.</w:t>
      </w:r>
      <w:r w:rsidR="00407F5F">
        <w:rPr>
          <w:szCs w:val="24"/>
        </w:rPr>
        <w:t> </w:t>
      </w:r>
      <w:r w:rsidRPr="00DD397A" w:rsidR="00DD397A">
        <w:rPr>
          <w:szCs w:val="24"/>
        </w:rPr>
        <w:t>gada 11.</w:t>
      </w:r>
      <w:r w:rsidR="00407F5F">
        <w:rPr>
          <w:szCs w:val="24"/>
        </w:rPr>
        <w:t> </w:t>
      </w:r>
      <w:r w:rsidRPr="00DD397A" w:rsidR="00DD397A">
        <w:rPr>
          <w:szCs w:val="24"/>
        </w:rPr>
        <w:t>oktobra sprieduma lietā Nr.</w:t>
      </w:r>
      <w:r w:rsidR="00407F5F">
        <w:rPr>
          <w:szCs w:val="24"/>
        </w:rPr>
        <w:t> </w:t>
      </w:r>
      <w:r w:rsidRPr="00DD397A" w:rsidR="00DD397A">
        <w:rPr>
          <w:szCs w:val="24"/>
        </w:rPr>
        <w:t>2004-02-0106 14.</w:t>
      </w:r>
      <w:r w:rsidR="00407F5F">
        <w:rPr>
          <w:szCs w:val="24"/>
        </w:rPr>
        <w:t> </w:t>
      </w:r>
      <w:r w:rsidRPr="00DD397A" w:rsidR="00DD397A">
        <w:rPr>
          <w:szCs w:val="24"/>
        </w:rPr>
        <w:t>punktu)</w:t>
      </w:r>
      <w:r w:rsidR="00DD397A">
        <w:rPr>
          <w:rStyle w:val="Vresatsauce"/>
          <w:szCs w:val="24"/>
        </w:rPr>
        <w:footnoteReference w:id="20"/>
      </w:r>
      <w:r w:rsidRPr="00DD397A" w:rsidR="00DD397A">
        <w:rPr>
          <w:szCs w:val="24"/>
        </w:rPr>
        <w:t>.</w:t>
      </w:r>
      <w:r w:rsidR="00DD397A">
        <w:rPr>
          <w:szCs w:val="24"/>
        </w:rPr>
        <w:t xml:space="preserve"> </w:t>
      </w:r>
      <w:r w:rsidR="00DF13CA">
        <w:rPr>
          <w:szCs w:val="24"/>
        </w:rPr>
        <w:t xml:space="preserve">Tā, piemēram, </w:t>
      </w:r>
      <w:r w:rsidRPr="00DF13CA" w:rsidR="00DF13CA">
        <w:rPr>
          <w:szCs w:val="24"/>
        </w:rPr>
        <w:t>Civillikuma</w:t>
      </w:r>
      <w:r w:rsidR="00B4286F">
        <w:rPr>
          <w:szCs w:val="24"/>
        </w:rPr>
        <w:t xml:space="preserve"> </w:t>
      </w:r>
      <w:r w:rsidRPr="00DF13CA" w:rsidR="00DF13CA">
        <w:rPr>
          <w:szCs w:val="24"/>
        </w:rPr>
        <w:t>188.</w:t>
      </w:r>
      <w:r w:rsidR="00407F5F">
        <w:rPr>
          <w:szCs w:val="24"/>
        </w:rPr>
        <w:t> </w:t>
      </w:r>
      <w:r w:rsidRPr="00DF13CA" w:rsidR="00DF13CA">
        <w:rPr>
          <w:szCs w:val="24"/>
        </w:rPr>
        <w:t>panta</w:t>
      </w:r>
      <w:r w:rsidR="00DF13CA">
        <w:rPr>
          <w:rStyle w:val="Vresatsauce"/>
          <w:szCs w:val="24"/>
        </w:rPr>
        <w:footnoteReference w:id="21"/>
      </w:r>
      <w:r w:rsidRPr="00DF13CA" w:rsidR="00DF13CA">
        <w:rPr>
          <w:szCs w:val="24"/>
        </w:rPr>
        <w:t xml:space="preserve"> pirmajā teikumā noteiktais pienākums uzturēt savus vecākus bērnam saglabājas visu mūžu neatkarīgi no tā, vai viņš dzīvo kopā ar vecākiem nedalītā mājsaimniecībā.</w:t>
      </w:r>
    </w:p>
    <w:p w:rsidR="003F1CF8" w:rsidP="005C4B61" w:rsidRDefault="003F1CF8" w14:paraId="2362956E" w14:textId="77777777">
      <w:pPr>
        <w:ind w:firstLine="720"/>
        <w:rPr>
          <w:szCs w:val="24"/>
        </w:rPr>
      </w:pPr>
      <w:r>
        <w:rPr>
          <w:bCs/>
          <w:szCs w:val="24"/>
        </w:rPr>
        <w:t>Vienlaikus valsts ir nodrošinājusi aizsardzību arī personām, kuras izvēlas nereģistrēt laulību vai veidot viendzimuma attiecības, aizsargājot konkrētajās tiesiskajās attiecībās mazāk aizsargātās personas tiesības. P</w:t>
      </w:r>
      <w:r>
        <w:rPr>
          <w:szCs w:val="24"/>
        </w:rPr>
        <w:t>iemēram, saskaņā ar Kriminālprocesa likuma</w:t>
      </w:r>
      <w:r>
        <w:rPr>
          <w:rStyle w:val="Vresatsauce"/>
          <w:szCs w:val="24"/>
        </w:rPr>
        <w:footnoteReference w:id="22"/>
      </w:r>
      <w:r>
        <w:rPr>
          <w:szCs w:val="24"/>
        </w:rPr>
        <w:t xml:space="preserve"> regulējumu arī viena dzimuma pāra savienības gadījumā personām ir garantētas tiesības neliecināt pret tuvinieku. Tuvinieki Kriminālprocesa likuma izpratnē ir </w:t>
      </w:r>
      <w:r w:rsidRPr="00192F5B">
        <w:t>personas pašas</w:t>
      </w:r>
      <w:r>
        <w:t>,</w:t>
      </w:r>
      <w:r w:rsidRPr="00192F5B">
        <w:t xml:space="preserve"> tās saderināt</w:t>
      </w:r>
      <w:r>
        <w:t>ais</w:t>
      </w:r>
      <w:r w:rsidRPr="00192F5B">
        <w:t>, laulāt</w:t>
      </w:r>
      <w:r>
        <w:t>ais</w:t>
      </w:r>
      <w:r w:rsidRPr="00192F5B">
        <w:t>, vecāk</w:t>
      </w:r>
      <w:r>
        <w:t>s</w:t>
      </w:r>
      <w:r w:rsidRPr="00192F5B">
        <w:t>, vecvecāk</w:t>
      </w:r>
      <w:r>
        <w:t>s</w:t>
      </w:r>
      <w:r w:rsidRPr="00192F5B">
        <w:t>, bērn</w:t>
      </w:r>
      <w:r>
        <w:t>s</w:t>
      </w:r>
      <w:r w:rsidRPr="00192F5B">
        <w:t>, mazbērn</w:t>
      </w:r>
      <w:r>
        <w:t>s</w:t>
      </w:r>
      <w:r w:rsidRPr="00192F5B">
        <w:t>, brā</w:t>
      </w:r>
      <w:r>
        <w:t>lis</w:t>
      </w:r>
      <w:r w:rsidRPr="00192F5B">
        <w:t xml:space="preserve"> un mās</w:t>
      </w:r>
      <w:r>
        <w:t>a</w:t>
      </w:r>
      <w:r w:rsidRPr="00192F5B">
        <w:t>, kā arī tā persona, ar kuru attiecīgā fiziskā persona dzīvo kopā un ar kuru tai ir kopīga (nedalīta) saimniecība</w:t>
      </w:r>
      <w:r>
        <w:rPr>
          <w:rStyle w:val="Vresatsauce"/>
        </w:rPr>
        <w:footnoteReference w:id="23"/>
      </w:r>
      <w:r>
        <w:t>.</w:t>
      </w:r>
      <w:r w:rsidRPr="00192F5B">
        <w:t xml:space="preserve"> </w:t>
      </w:r>
      <w:r>
        <w:rPr>
          <w:szCs w:val="24"/>
        </w:rPr>
        <w:t>Tāpat Civilprocesa likuma</w:t>
      </w:r>
      <w:r>
        <w:rPr>
          <w:rStyle w:val="Vresatsauce"/>
          <w:szCs w:val="24"/>
        </w:rPr>
        <w:footnoteReference w:id="24"/>
      </w:r>
      <w:r>
        <w:rPr>
          <w:szCs w:val="24"/>
        </w:rPr>
        <w:t xml:space="preserve"> regulējums par pagaidu aizsardzību pret vardarbību paredz, ka šo aizsardzības mehānismu var izmantot arī viena dzimuma pāri. Arī virknē citu normatīvo aktu ir noteikti dažādu personu kopdzīves formu aizsardzības mehānismi, respektējot personu, kas šīs savienības veido, tiesības uz privātās dzīves neaizskaramību. </w:t>
      </w:r>
    </w:p>
    <w:p w:rsidR="003F1CF8" w:rsidP="005C4B61" w:rsidRDefault="003F1CF8" w14:paraId="3F27FAEC" w14:textId="10EF2C68">
      <w:pPr>
        <w:ind w:right="-2" w:firstLine="720"/>
        <w:rPr>
          <w:bCs/>
          <w:szCs w:val="24"/>
        </w:rPr>
      </w:pPr>
      <w:r>
        <w:rPr>
          <w:bCs/>
          <w:szCs w:val="24"/>
        </w:rPr>
        <w:t xml:space="preserve">Atzinumā vairākkārt uzsvērts, </w:t>
      </w:r>
      <w:bookmarkStart w:name="_Hlk2675537" w:id="12"/>
      <w:r>
        <w:rPr>
          <w:bCs/>
          <w:szCs w:val="24"/>
        </w:rPr>
        <w:t>ka homoseksuāli pāri, kuri vēlas reģistrēt savas partnerattiecības, un heteroseksuāli pāri, kuri nevēlas reģistrēt savas partnerattiecības, nav uzskatāmi par vienlīdzīgā situācijā esošiem pāriem</w:t>
      </w:r>
      <w:bookmarkEnd w:id="12"/>
      <w:r>
        <w:rPr>
          <w:bCs/>
          <w:szCs w:val="24"/>
        </w:rPr>
        <w:t xml:space="preserve">. </w:t>
      </w:r>
      <w:r w:rsidR="00C37987">
        <w:rPr>
          <w:bCs/>
          <w:szCs w:val="24"/>
        </w:rPr>
        <w:t>K</w:t>
      </w:r>
      <w:r>
        <w:rPr>
          <w:bCs/>
          <w:szCs w:val="24"/>
        </w:rPr>
        <w:t>atras valsts tiesību sistēmā tiek noteiktas normas, kuras jāievēro, neraugoties uz atsevišķu indivīdu gribas vai vēlmes klātbūtni. Griba kā gana subjektīvs elements, t.i., p</w:t>
      </w:r>
      <w:r w:rsidRPr="001B55C3">
        <w:rPr>
          <w:bCs/>
          <w:szCs w:val="24"/>
        </w:rPr>
        <w:t>sihisku norišu kopums, k</w:t>
      </w:r>
      <w:r>
        <w:rPr>
          <w:bCs/>
          <w:szCs w:val="24"/>
        </w:rPr>
        <w:t>as</w:t>
      </w:r>
      <w:r w:rsidRPr="001B55C3">
        <w:rPr>
          <w:bCs/>
          <w:szCs w:val="24"/>
        </w:rPr>
        <w:t xml:space="preserve"> izpaužas motivētā, mērķtiecīgā, apzinātā darbībā, </w:t>
      </w:r>
      <w:r w:rsidRPr="008A0B2C">
        <w:rPr>
          <w:bCs/>
          <w:szCs w:val="24"/>
        </w:rPr>
        <w:t>galvenokārt ar emocijām saistīta, stipra vēlēšanās</w:t>
      </w:r>
      <w:r>
        <w:rPr>
          <w:bCs/>
          <w:szCs w:val="24"/>
        </w:rPr>
        <w:t>,</w:t>
      </w:r>
      <w:r w:rsidRPr="008A0B2C">
        <w:rPr>
          <w:bCs/>
          <w:szCs w:val="24"/>
        </w:rPr>
        <w:t xml:space="preserve"> </w:t>
      </w:r>
      <w:r>
        <w:rPr>
          <w:bCs/>
          <w:szCs w:val="24"/>
        </w:rPr>
        <w:t>ne vienmēr var sakrist ar attiecīgās valsts tiesību aktos noteiktajām vērtībām un pamatidejām. Nenoliedzami, ikvienam ir tiesības brīvi paust savu gribu un uzskatus</w:t>
      </w:r>
      <w:r w:rsidR="00EA1D4D">
        <w:rPr>
          <w:rStyle w:val="Vresatsauce"/>
          <w:bCs/>
          <w:szCs w:val="24"/>
        </w:rPr>
        <w:footnoteReference w:id="25"/>
      </w:r>
      <w:r>
        <w:rPr>
          <w:bCs/>
          <w:szCs w:val="24"/>
        </w:rPr>
        <w:t>, bet jārēķinās, ka individuālās gribas izpausmes ne vienmēr tiks atbalstītas ar konkrētās valsts tiesību aktos permanenti noteikto.</w:t>
      </w:r>
    </w:p>
    <w:p w:rsidR="003F1CF8" w:rsidP="005C4B61" w:rsidRDefault="003F1CF8" w14:paraId="13633947" w14:textId="5DA3622D">
      <w:pPr>
        <w:ind w:firstLine="720"/>
        <w:rPr>
          <w:szCs w:val="24"/>
        </w:rPr>
      </w:pPr>
      <w:r>
        <w:rPr>
          <w:szCs w:val="24"/>
        </w:rPr>
        <w:t>Līdz ar to</w:t>
      </w:r>
      <w:r w:rsidR="00C37987">
        <w:rPr>
          <w:szCs w:val="24"/>
        </w:rPr>
        <w:t xml:space="preserve"> </w:t>
      </w:r>
      <w:r w:rsidR="0015465D">
        <w:rPr>
          <w:szCs w:val="24"/>
        </w:rPr>
        <w:t>v</w:t>
      </w:r>
      <w:r w:rsidRPr="0015465D" w:rsidR="0015465D">
        <w:rPr>
          <w:szCs w:val="24"/>
        </w:rPr>
        <w:t>ienādos un salīdzināmos apstākļos atrodas visas tās personas, kurām atbilstoši Latvijas tiesību aktos noteiktajam ir tiesības nodibināt ģimenes attiecības, noslē</w:t>
      </w:r>
      <w:r w:rsidR="0015465D">
        <w:rPr>
          <w:szCs w:val="24"/>
        </w:rPr>
        <w:t>dzot</w:t>
      </w:r>
      <w:r w:rsidRPr="0015465D" w:rsidR="0015465D">
        <w:rPr>
          <w:szCs w:val="24"/>
        </w:rPr>
        <w:t xml:space="preserve"> laulību. </w:t>
      </w:r>
      <w:r w:rsidR="0015465D">
        <w:rPr>
          <w:szCs w:val="24"/>
        </w:rPr>
        <w:t>J</w:t>
      </w:r>
      <w:r w:rsidRPr="0015465D" w:rsidR="0015465D">
        <w:rPr>
          <w:szCs w:val="24"/>
        </w:rPr>
        <w:t>a valsts tiesiskais ietvars neparedz citu savienību kā vien laulības nodibināšanu, jo Latvijā nav un nekad nav bijis citu partnerattiecību reģistrācijas formu</w:t>
      </w:r>
      <w:r w:rsidR="0015465D">
        <w:rPr>
          <w:szCs w:val="24"/>
        </w:rPr>
        <w:t xml:space="preserve">, </w:t>
      </w:r>
      <w:r w:rsidRPr="0015465D" w:rsidR="0015465D">
        <w:rPr>
          <w:szCs w:val="24"/>
        </w:rPr>
        <w:t xml:space="preserve">personas gribai nav noteicošs </w:t>
      </w:r>
      <w:r w:rsidR="0015465D">
        <w:rPr>
          <w:szCs w:val="24"/>
        </w:rPr>
        <w:t>rakstur</w:t>
      </w:r>
      <w:r w:rsidRPr="0015465D" w:rsidR="0015465D">
        <w:rPr>
          <w:szCs w:val="24"/>
        </w:rPr>
        <w:t>s.</w:t>
      </w:r>
    </w:p>
    <w:p w:rsidR="00875DC9" w:rsidP="005C4B61" w:rsidRDefault="006B6941" w14:paraId="38471A35" w14:textId="36CA0D52">
      <w:pPr>
        <w:ind w:right="-2" w:firstLine="720"/>
        <w:rPr>
          <w:szCs w:val="24"/>
        </w:rPr>
      </w:pPr>
      <w:r w:rsidRPr="006B6941">
        <w:rPr>
          <w:bCs/>
          <w:szCs w:val="24"/>
        </w:rPr>
        <w:t>Attiecībā uz mantošanas tiesību regulējumu Civillikum</w:t>
      </w:r>
      <w:r w:rsidR="004C061C">
        <w:rPr>
          <w:bCs/>
          <w:szCs w:val="24"/>
        </w:rPr>
        <w:t>a</w:t>
      </w:r>
      <w:r w:rsidRPr="006B6941">
        <w:rPr>
          <w:bCs/>
          <w:szCs w:val="24"/>
        </w:rPr>
        <w:t xml:space="preserve"> </w:t>
      </w:r>
      <w:r w:rsidR="004C061C">
        <w:rPr>
          <w:bCs/>
          <w:szCs w:val="24"/>
        </w:rPr>
        <w:t>tiesību normas</w:t>
      </w:r>
      <w:r w:rsidRPr="006B6941">
        <w:rPr>
          <w:bCs/>
          <w:szCs w:val="24"/>
        </w:rPr>
        <w:t xml:space="preserve"> balstīt</w:t>
      </w:r>
      <w:r w:rsidR="004C061C">
        <w:rPr>
          <w:bCs/>
          <w:szCs w:val="24"/>
        </w:rPr>
        <w:t>a</w:t>
      </w:r>
      <w:r w:rsidRPr="006B6941">
        <w:rPr>
          <w:bCs/>
          <w:szCs w:val="24"/>
        </w:rPr>
        <w:t xml:space="preserve">s uz mantojuma atstājēja gribu un mantinieku radniecības pakāpi, vienlaikus stiprinot arī Satversmē </w:t>
      </w:r>
      <w:r w:rsidR="00E21964">
        <w:rPr>
          <w:bCs/>
          <w:szCs w:val="24"/>
        </w:rPr>
        <w:t>ietver</w:t>
      </w:r>
      <w:r w:rsidRPr="006B6941">
        <w:rPr>
          <w:bCs/>
          <w:szCs w:val="24"/>
        </w:rPr>
        <w:t xml:space="preserve">to laulības </w:t>
      </w:r>
      <w:r w:rsidR="00626C96">
        <w:rPr>
          <w:bCs/>
          <w:szCs w:val="24"/>
        </w:rPr>
        <w:t xml:space="preserve">un ģimenes </w:t>
      </w:r>
      <w:r w:rsidRPr="006B6941">
        <w:rPr>
          <w:bCs/>
          <w:szCs w:val="24"/>
        </w:rPr>
        <w:t xml:space="preserve">institūtu. Civillikuma </w:t>
      </w:r>
      <w:r w:rsidRPr="006B6941">
        <w:rPr>
          <w:rFonts w:eastAsia="Times New Roman"/>
          <w:bCs/>
          <w:szCs w:val="24"/>
          <w:lang w:eastAsia="lv-LV"/>
        </w:rPr>
        <w:t>389.</w:t>
      </w:r>
      <w:r w:rsidR="002F5079">
        <w:rPr>
          <w:rFonts w:eastAsia="Times New Roman"/>
          <w:bCs/>
          <w:szCs w:val="24"/>
          <w:lang w:eastAsia="lv-LV"/>
        </w:rPr>
        <w:t> </w:t>
      </w:r>
      <w:r w:rsidRPr="006B6941">
        <w:rPr>
          <w:rFonts w:eastAsia="Times New Roman"/>
          <w:bCs/>
          <w:szCs w:val="24"/>
          <w:lang w:eastAsia="lv-LV"/>
        </w:rPr>
        <w:t>pant</w:t>
      </w:r>
      <w:r w:rsidR="00D165DB">
        <w:rPr>
          <w:rFonts w:eastAsia="Times New Roman"/>
          <w:bCs/>
          <w:szCs w:val="24"/>
          <w:lang w:eastAsia="lv-LV"/>
        </w:rPr>
        <w:t>ā</w:t>
      </w:r>
      <w:r w:rsidRPr="006B6941">
        <w:rPr>
          <w:rFonts w:eastAsia="Times New Roman"/>
          <w:bCs/>
          <w:szCs w:val="24"/>
          <w:lang w:eastAsia="lv-LV"/>
        </w:rPr>
        <w:t xml:space="preserve"> notei</w:t>
      </w:r>
      <w:r w:rsidR="00D165DB">
        <w:rPr>
          <w:rFonts w:eastAsia="Times New Roman"/>
          <w:bCs/>
          <w:szCs w:val="24"/>
          <w:lang w:eastAsia="lv-LV"/>
        </w:rPr>
        <w:t>kts</w:t>
      </w:r>
      <w:r w:rsidRPr="006B6941">
        <w:rPr>
          <w:rFonts w:eastAsia="Times New Roman"/>
          <w:bCs/>
          <w:szCs w:val="24"/>
          <w:lang w:eastAsia="lv-LV"/>
        </w:rPr>
        <w:t>, ka a</w:t>
      </w:r>
      <w:r w:rsidRPr="006B6941">
        <w:rPr>
          <w:rFonts w:eastAsia="Times New Roman"/>
          <w:szCs w:val="24"/>
          <w:lang w:eastAsia="lv-LV"/>
        </w:rPr>
        <w:t>icinājums mantot iestājas</w:t>
      </w:r>
      <w:r w:rsidR="0090744C">
        <w:rPr>
          <w:rFonts w:eastAsia="Times New Roman"/>
          <w:szCs w:val="24"/>
          <w:lang w:eastAsia="lv-LV"/>
        </w:rPr>
        <w:t>,</w:t>
      </w:r>
      <w:r w:rsidRPr="006B6941">
        <w:rPr>
          <w:rFonts w:eastAsia="Times New Roman"/>
          <w:szCs w:val="24"/>
          <w:lang w:eastAsia="lv-LV"/>
        </w:rPr>
        <w:t xml:space="preserve"> mantojumam atklājoties. Aicinājuma pamati ir mantojuma atstājēja tiesīgi izteikta </w:t>
      </w:r>
      <w:r w:rsidRPr="006B6941">
        <w:rPr>
          <w:rFonts w:eastAsia="Times New Roman"/>
          <w:szCs w:val="24"/>
          <w:lang w:eastAsia="lv-LV"/>
        </w:rPr>
        <w:lastRenderedPageBreak/>
        <w:t xml:space="preserve">griba vai likums. Mantojuma atstājējs savu gribu var izteikt testamentā vai mantojuma līgumā. Līgumiskai mantojuma tiesībai ir priekšroka pret testamentāro, un kā </w:t>
      </w:r>
      <w:proofErr w:type="spellStart"/>
      <w:r w:rsidRPr="006B6941">
        <w:rPr>
          <w:rFonts w:eastAsia="Times New Roman"/>
          <w:szCs w:val="24"/>
          <w:lang w:eastAsia="lv-LV"/>
        </w:rPr>
        <w:t>pirmai</w:t>
      </w:r>
      <w:proofErr w:type="spellEnd"/>
      <w:r w:rsidRPr="006B6941">
        <w:rPr>
          <w:rFonts w:eastAsia="Times New Roman"/>
          <w:szCs w:val="24"/>
          <w:lang w:eastAsia="lv-LV"/>
        </w:rPr>
        <w:t>, tā otrai ir priekšroka pret likumisko; visi trīs mantojuma tiesību veidi var pastāvēt kopīgi. Attiecībā uz likumisko mantošanu un laulāto C</w:t>
      </w:r>
      <w:r w:rsidR="004F61AF">
        <w:rPr>
          <w:rFonts w:eastAsia="Times New Roman"/>
          <w:szCs w:val="24"/>
          <w:lang w:eastAsia="lv-LV"/>
        </w:rPr>
        <w:t>ivillikuma</w:t>
      </w:r>
      <w:r w:rsidRPr="006B6941">
        <w:rPr>
          <w:rFonts w:eastAsia="Times New Roman"/>
          <w:szCs w:val="24"/>
          <w:lang w:eastAsia="lv-LV"/>
        </w:rPr>
        <w:t xml:space="preserve"> </w:t>
      </w:r>
      <w:r w:rsidRPr="006B6941">
        <w:rPr>
          <w:bCs/>
          <w:szCs w:val="24"/>
        </w:rPr>
        <w:t>392.</w:t>
      </w:r>
      <w:r w:rsidR="00AA6E85">
        <w:rPr>
          <w:bCs/>
          <w:szCs w:val="24"/>
        </w:rPr>
        <w:t> </w:t>
      </w:r>
      <w:r w:rsidRPr="006B6941">
        <w:rPr>
          <w:bCs/>
          <w:szCs w:val="24"/>
        </w:rPr>
        <w:t>pant</w:t>
      </w:r>
      <w:r w:rsidR="004F61AF">
        <w:rPr>
          <w:bCs/>
          <w:szCs w:val="24"/>
        </w:rPr>
        <w:t>ā</w:t>
      </w:r>
      <w:r w:rsidRPr="006B6941">
        <w:rPr>
          <w:bCs/>
          <w:szCs w:val="24"/>
        </w:rPr>
        <w:t xml:space="preserve"> notei</w:t>
      </w:r>
      <w:r w:rsidR="004F61AF">
        <w:rPr>
          <w:bCs/>
          <w:szCs w:val="24"/>
        </w:rPr>
        <w:t>kts</w:t>
      </w:r>
      <w:r w:rsidRPr="006B6941">
        <w:rPr>
          <w:bCs/>
          <w:szCs w:val="24"/>
        </w:rPr>
        <w:t>, ka p</w:t>
      </w:r>
      <w:r w:rsidRPr="006B6941">
        <w:rPr>
          <w:szCs w:val="24"/>
        </w:rPr>
        <w:t xml:space="preserve">ārdzīvojušais laulātais manto no mirušā neatkarīgi no tam, kāds mantisko attiecību veids pastāvējis starp laulātiem laulības laikā. </w:t>
      </w:r>
    </w:p>
    <w:p w:rsidRPr="006B6941" w:rsidR="006B6941" w:rsidP="005C4B61" w:rsidRDefault="006B6941" w14:paraId="30D64651" w14:textId="19F0C5C0">
      <w:pPr>
        <w:ind w:right="-2" w:firstLine="720"/>
        <w:rPr>
          <w:rFonts w:eastAsia="Times New Roman"/>
          <w:szCs w:val="24"/>
          <w:lang w:eastAsia="lv-LV"/>
        </w:rPr>
      </w:pPr>
      <w:r w:rsidRPr="006B6941">
        <w:rPr>
          <w:szCs w:val="24"/>
        </w:rPr>
        <w:t>Tāpat Civillikumā</w:t>
      </w:r>
      <w:r w:rsidR="00A823B8">
        <w:rPr>
          <w:szCs w:val="24"/>
        </w:rPr>
        <w:t>, aizsargājot un nostiprinot laulības institūtu,</w:t>
      </w:r>
      <w:r w:rsidRPr="006B6941">
        <w:rPr>
          <w:szCs w:val="24"/>
        </w:rPr>
        <w:t xml:space="preserve"> paredzēti īpaši noteikumi attiecībā uz laulāto. Piemēram, ir noteikts, ka l</w:t>
      </w:r>
      <w:r w:rsidRPr="006B6941">
        <w:rPr>
          <w:rFonts w:eastAsia="Times New Roman"/>
          <w:szCs w:val="24"/>
          <w:lang w:eastAsia="lv-LV"/>
        </w:rPr>
        <w:t xml:space="preserve">aulātais saņem bērna daļu, ja gribu mantot izteikušo bērnu skaits ir mazāks par četriem, bet, ja gribu mantot izteikušo bērnu skaits ir četri vai vairāk, </w:t>
      </w:r>
      <w:r w:rsidR="00C56980">
        <w:rPr>
          <w:rFonts w:eastAsia="Times New Roman"/>
          <w:szCs w:val="24"/>
          <w:lang w:eastAsia="lv-LV"/>
        </w:rPr>
        <w:t>–</w:t>
      </w:r>
      <w:r w:rsidRPr="006B6941" w:rsidR="00C56980">
        <w:rPr>
          <w:rFonts w:eastAsia="Times New Roman"/>
          <w:szCs w:val="24"/>
          <w:lang w:eastAsia="lv-LV"/>
        </w:rPr>
        <w:t xml:space="preserve"> </w:t>
      </w:r>
      <w:r w:rsidRPr="006B6941">
        <w:rPr>
          <w:rFonts w:eastAsia="Times New Roman"/>
          <w:szCs w:val="24"/>
          <w:lang w:eastAsia="lv-LV"/>
        </w:rPr>
        <w:t>ceturto daļu</w:t>
      </w:r>
      <w:r w:rsidR="00934825">
        <w:rPr>
          <w:rStyle w:val="Vresatsauce"/>
          <w:rFonts w:eastAsia="Times New Roman"/>
          <w:szCs w:val="24"/>
          <w:lang w:eastAsia="lv-LV"/>
        </w:rPr>
        <w:footnoteReference w:id="26"/>
      </w:r>
      <w:r w:rsidRPr="006B6941">
        <w:rPr>
          <w:bCs/>
          <w:szCs w:val="24"/>
        </w:rPr>
        <w:t xml:space="preserve">. </w:t>
      </w:r>
      <w:r w:rsidRPr="006B6941">
        <w:rPr>
          <w:rFonts w:eastAsia="Times New Roman"/>
          <w:szCs w:val="24"/>
          <w:lang w:eastAsia="lv-LV"/>
        </w:rPr>
        <w:t>Ja miruša</w:t>
      </w:r>
      <w:r w:rsidR="00747B2F">
        <w:rPr>
          <w:rFonts w:eastAsia="Times New Roman"/>
          <w:szCs w:val="24"/>
          <w:lang w:eastAsia="lv-LV"/>
        </w:rPr>
        <w:t>ja</w:t>
      </w:r>
      <w:r w:rsidRPr="006B6941">
        <w:rPr>
          <w:rFonts w:eastAsia="Times New Roman"/>
          <w:szCs w:val="24"/>
          <w:lang w:eastAsia="lv-LV"/>
        </w:rPr>
        <w:t>m laulāta</w:t>
      </w:r>
      <w:r w:rsidR="00747B2F">
        <w:rPr>
          <w:rFonts w:eastAsia="Times New Roman"/>
          <w:szCs w:val="24"/>
          <w:lang w:eastAsia="lv-LV"/>
        </w:rPr>
        <w:t>ja</w:t>
      </w:r>
      <w:r w:rsidRPr="006B6941">
        <w:rPr>
          <w:rFonts w:eastAsia="Times New Roman"/>
          <w:szCs w:val="24"/>
          <w:lang w:eastAsia="lv-LV"/>
        </w:rPr>
        <w:t>m nepaliek ne lejupējo, ne adoptēto vai ja minētās personas atkrīt, pārdzīvojušais laulātais saņem pusi no mantojuma un dzīvokļa iekārtu. Ja miruša</w:t>
      </w:r>
      <w:r w:rsidR="00747B2F">
        <w:rPr>
          <w:rFonts w:eastAsia="Times New Roman"/>
          <w:szCs w:val="24"/>
          <w:lang w:eastAsia="lv-LV"/>
        </w:rPr>
        <w:t>ja</w:t>
      </w:r>
      <w:r w:rsidRPr="006B6941">
        <w:rPr>
          <w:rFonts w:eastAsia="Times New Roman"/>
          <w:szCs w:val="24"/>
          <w:lang w:eastAsia="lv-LV"/>
        </w:rPr>
        <w:t>m laulāta</w:t>
      </w:r>
      <w:r w:rsidR="00747B2F">
        <w:rPr>
          <w:rFonts w:eastAsia="Times New Roman"/>
          <w:szCs w:val="24"/>
          <w:lang w:eastAsia="lv-LV"/>
        </w:rPr>
        <w:t>ja</w:t>
      </w:r>
      <w:r w:rsidRPr="006B6941">
        <w:rPr>
          <w:rFonts w:eastAsia="Times New Roman"/>
          <w:szCs w:val="24"/>
          <w:lang w:eastAsia="lv-LV"/>
        </w:rPr>
        <w:t>m nepaliek ne lejupējo, ne adoptēto, ne augšupējo, ne īsto brāļu vai māsu vai to bērnu, ne pusbrāļu vai pusmāsu vai to bērnu vai ja minētās personas atkrīt, tad visu mantojumu dabū pārdzīvojušais laulātais</w:t>
      </w:r>
      <w:r w:rsidR="001D23C1">
        <w:rPr>
          <w:rStyle w:val="Vresatsauce"/>
          <w:rFonts w:eastAsia="Times New Roman"/>
          <w:szCs w:val="24"/>
          <w:lang w:eastAsia="lv-LV"/>
        </w:rPr>
        <w:footnoteReference w:id="27"/>
      </w:r>
      <w:r w:rsidRPr="006B6941">
        <w:rPr>
          <w:rFonts w:eastAsia="Times New Roman"/>
          <w:szCs w:val="24"/>
          <w:lang w:eastAsia="lv-LV"/>
        </w:rPr>
        <w:t>. Vienlaikus jāņem vērā, ka laulātajam ir tiesības prasīt izdalīt savu mantas daļu no mantojuma masas sastāva. Līdz ar to Civillikuma mantošanas tiesiskais regulējums īpaši aizsargā laulāto tiesības un intereses</w:t>
      </w:r>
      <w:r w:rsidR="00C81464">
        <w:rPr>
          <w:rFonts w:eastAsia="Times New Roman"/>
          <w:szCs w:val="24"/>
          <w:lang w:eastAsia="lv-LV"/>
        </w:rPr>
        <w:t xml:space="preserve"> atbilstoši Satversmes 110.</w:t>
      </w:r>
      <w:r w:rsidR="00AA6E85">
        <w:rPr>
          <w:rFonts w:eastAsia="Times New Roman"/>
          <w:szCs w:val="24"/>
          <w:lang w:eastAsia="lv-LV"/>
        </w:rPr>
        <w:t> </w:t>
      </w:r>
      <w:r w:rsidR="00C81464">
        <w:rPr>
          <w:rFonts w:eastAsia="Times New Roman"/>
          <w:szCs w:val="24"/>
          <w:lang w:eastAsia="lv-LV"/>
        </w:rPr>
        <w:t>pantā noteiktajam</w:t>
      </w:r>
      <w:r w:rsidRPr="006B6941">
        <w:rPr>
          <w:rFonts w:eastAsia="Times New Roman"/>
          <w:szCs w:val="24"/>
          <w:lang w:eastAsia="lv-LV"/>
        </w:rPr>
        <w:t>.</w:t>
      </w:r>
    </w:p>
    <w:p w:rsidRPr="006B6941" w:rsidR="006B6941" w:rsidP="005C4B61" w:rsidRDefault="006B6941" w14:paraId="27546A98" w14:textId="49B8F9E3">
      <w:pPr>
        <w:ind w:right="-2" w:firstLine="720"/>
        <w:rPr>
          <w:rFonts w:eastAsia="Times New Roman"/>
          <w:szCs w:val="24"/>
          <w:lang w:eastAsia="lv-LV"/>
        </w:rPr>
      </w:pPr>
      <w:r w:rsidRPr="006B6941">
        <w:rPr>
          <w:szCs w:val="24"/>
        </w:rPr>
        <w:t xml:space="preserve">Savukārt attiecībā uz likumisko mantošanu un radiniekiem </w:t>
      </w:r>
      <w:r w:rsidR="00C953FE">
        <w:rPr>
          <w:szCs w:val="24"/>
        </w:rPr>
        <w:t xml:space="preserve">(ģimenes locekļiem plašākā nozīmē) </w:t>
      </w:r>
      <w:r w:rsidRPr="006B6941">
        <w:rPr>
          <w:szCs w:val="24"/>
        </w:rPr>
        <w:t>Civillikum</w:t>
      </w:r>
      <w:r w:rsidR="00362FB6">
        <w:rPr>
          <w:szCs w:val="24"/>
        </w:rPr>
        <w:t>ā</w:t>
      </w:r>
      <w:r w:rsidRPr="006B6941">
        <w:rPr>
          <w:szCs w:val="24"/>
        </w:rPr>
        <w:t xml:space="preserve"> notei</w:t>
      </w:r>
      <w:r w:rsidR="00362FB6">
        <w:rPr>
          <w:szCs w:val="24"/>
        </w:rPr>
        <w:t>kts</w:t>
      </w:r>
      <w:r w:rsidRPr="006B6941">
        <w:rPr>
          <w:szCs w:val="24"/>
        </w:rPr>
        <w:t>, ka mantojuma atstājēja rad</w:t>
      </w:r>
      <w:r w:rsidR="00DF7037">
        <w:rPr>
          <w:szCs w:val="24"/>
        </w:rPr>
        <w:t>i</w:t>
      </w:r>
      <w:r w:rsidRPr="006B6941">
        <w:rPr>
          <w:szCs w:val="24"/>
        </w:rPr>
        <w:t>nieki manto zinām</w:t>
      </w:r>
      <w:r w:rsidR="00DF7037">
        <w:rPr>
          <w:szCs w:val="24"/>
        </w:rPr>
        <w:t>ā</w:t>
      </w:r>
      <w:r w:rsidRPr="006B6941">
        <w:rPr>
          <w:szCs w:val="24"/>
        </w:rPr>
        <w:t xml:space="preserve"> kārt</w:t>
      </w:r>
      <w:r w:rsidR="00DF7037">
        <w:rPr>
          <w:szCs w:val="24"/>
        </w:rPr>
        <w:t>ībā</w:t>
      </w:r>
      <w:r w:rsidRPr="006B6941">
        <w:rPr>
          <w:szCs w:val="24"/>
        </w:rPr>
        <w:t>, kas pamatota pa daļai uz radniecības veidu, pa daļai uz tās pakāpju tuvumu</w:t>
      </w:r>
      <w:r w:rsidR="00DF7037">
        <w:rPr>
          <w:rStyle w:val="Vresatsauce"/>
          <w:szCs w:val="24"/>
        </w:rPr>
        <w:footnoteReference w:id="28"/>
      </w:r>
      <w:r w:rsidRPr="006B6941">
        <w:rPr>
          <w:szCs w:val="24"/>
        </w:rPr>
        <w:t xml:space="preserve">. </w:t>
      </w:r>
      <w:r w:rsidR="00807473">
        <w:rPr>
          <w:szCs w:val="24"/>
        </w:rPr>
        <w:t xml:space="preserve">Proti, </w:t>
      </w:r>
      <w:r w:rsidRPr="006B6941">
        <w:rPr>
          <w:szCs w:val="24"/>
        </w:rPr>
        <w:t>Civillikum</w:t>
      </w:r>
      <w:r w:rsidR="00807473">
        <w:rPr>
          <w:szCs w:val="24"/>
        </w:rPr>
        <w:t>ā tiek izdalītas</w:t>
      </w:r>
      <w:r w:rsidRPr="006B6941">
        <w:rPr>
          <w:szCs w:val="24"/>
        </w:rPr>
        <w:t xml:space="preserve"> četras likumisko mantinieku šķiras saskaņā ar Civillikuma 404.</w:t>
      </w:r>
      <w:r w:rsidR="00AA6E85">
        <w:rPr>
          <w:szCs w:val="24"/>
        </w:rPr>
        <w:t> </w:t>
      </w:r>
      <w:r w:rsidRPr="006B6941">
        <w:rPr>
          <w:szCs w:val="24"/>
        </w:rPr>
        <w:t xml:space="preserve">pantu: </w:t>
      </w:r>
      <w:r w:rsidRPr="006B6941">
        <w:rPr>
          <w:rFonts w:eastAsia="Times New Roman"/>
          <w:szCs w:val="24"/>
          <w:lang w:eastAsia="lv-LV"/>
        </w:rPr>
        <w:t>1)</w:t>
      </w:r>
      <w:r w:rsidR="00D51EC1">
        <w:rPr>
          <w:rFonts w:eastAsia="Times New Roman"/>
          <w:szCs w:val="24"/>
          <w:lang w:eastAsia="lv-LV"/>
        </w:rPr>
        <w:t> </w:t>
      </w:r>
      <w:r w:rsidRPr="006B6941">
        <w:rPr>
          <w:rFonts w:eastAsia="Times New Roman"/>
          <w:szCs w:val="24"/>
          <w:lang w:eastAsia="lv-LV"/>
        </w:rPr>
        <w:t>pirmā šķirā manto, bez pakāpju tuvuma izšķirības, visi tie mantojuma atstājēja lejupējie, starp kuriem, no vienas puses, un mantojuma atstājēju, no otras puses, nav citu lejupējo, kam būtu tiesība mantot; 2)</w:t>
      </w:r>
      <w:r w:rsidR="00D51EC1">
        <w:rPr>
          <w:rFonts w:eastAsia="Times New Roman"/>
          <w:szCs w:val="24"/>
          <w:lang w:eastAsia="lv-LV"/>
        </w:rPr>
        <w:t> </w:t>
      </w:r>
      <w:r w:rsidRPr="006B6941">
        <w:rPr>
          <w:rFonts w:eastAsia="Times New Roman"/>
          <w:szCs w:val="24"/>
          <w:lang w:eastAsia="lv-LV"/>
        </w:rPr>
        <w:t>otrā šķirā manto mantojuma atstājēja pēc pakāpes tuvākie augšupējie, kā arī mantojuma atstājēja īstie brāļi un māsas un pirms viņa mirušo īsto brāļu un māsu bērni; 3)</w:t>
      </w:r>
      <w:r w:rsidR="00D51EC1">
        <w:rPr>
          <w:rFonts w:eastAsia="Times New Roman"/>
          <w:szCs w:val="24"/>
          <w:lang w:eastAsia="lv-LV"/>
        </w:rPr>
        <w:t> </w:t>
      </w:r>
      <w:r w:rsidRPr="006B6941">
        <w:rPr>
          <w:rFonts w:eastAsia="Times New Roman"/>
          <w:szCs w:val="24"/>
          <w:lang w:eastAsia="lv-LV"/>
        </w:rPr>
        <w:t>trešā šķirā manto mantojuma atstājēja pusbrāļi un pusmāsas un pirms viņa mirušo pusbrāļu un pusmāsu bērni; 4)</w:t>
      </w:r>
      <w:r w:rsidR="00D51EC1">
        <w:rPr>
          <w:rFonts w:eastAsia="Times New Roman"/>
          <w:szCs w:val="24"/>
          <w:lang w:eastAsia="lv-LV"/>
        </w:rPr>
        <w:t> </w:t>
      </w:r>
      <w:r w:rsidRPr="006B6941">
        <w:rPr>
          <w:rFonts w:eastAsia="Times New Roman"/>
          <w:szCs w:val="24"/>
          <w:lang w:eastAsia="lv-LV"/>
        </w:rPr>
        <w:t xml:space="preserve">ceturtā šķirā manto pārējie pēc pakāpes tuvākie </w:t>
      </w:r>
      <w:proofErr w:type="spellStart"/>
      <w:r w:rsidRPr="006B6941">
        <w:rPr>
          <w:rFonts w:eastAsia="Times New Roman"/>
          <w:szCs w:val="24"/>
          <w:lang w:eastAsia="lv-LV"/>
        </w:rPr>
        <w:t>sāņu</w:t>
      </w:r>
      <w:proofErr w:type="spellEnd"/>
      <w:r w:rsidRPr="006B6941">
        <w:rPr>
          <w:rFonts w:eastAsia="Times New Roman"/>
          <w:szCs w:val="24"/>
          <w:lang w:eastAsia="lv-LV"/>
        </w:rPr>
        <w:t xml:space="preserve"> </w:t>
      </w:r>
      <w:proofErr w:type="spellStart"/>
      <w:r w:rsidRPr="006B6941">
        <w:rPr>
          <w:rFonts w:eastAsia="Times New Roman"/>
          <w:szCs w:val="24"/>
          <w:lang w:eastAsia="lv-LV"/>
        </w:rPr>
        <w:t>radnieki</w:t>
      </w:r>
      <w:proofErr w:type="spellEnd"/>
      <w:r w:rsidRPr="006B6941">
        <w:rPr>
          <w:rFonts w:eastAsia="Times New Roman"/>
          <w:szCs w:val="24"/>
          <w:lang w:eastAsia="lv-LV"/>
        </w:rPr>
        <w:t xml:space="preserve">, neizšķirot pilnīgo radniecību no nepilnīgās. </w:t>
      </w:r>
    </w:p>
    <w:p w:rsidRPr="006B6941" w:rsidR="006B6941" w:rsidP="005C4B61" w:rsidRDefault="006B6941" w14:paraId="6C8A0289" w14:textId="7400C245">
      <w:pPr>
        <w:ind w:right="-2" w:firstLine="720"/>
        <w:rPr>
          <w:rFonts w:eastAsia="Times New Roman"/>
          <w:szCs w:val="24"/>
          <w:lang w:eastAsia="lv-LV"/>
        </w:rPr>
      </w:pPr>
      <w:r w:rsidRPr="006B6941">
        <w:rPr>
          <w:rFonts w:eastAsia="Times New Roman"/>
          <w:szCs w:val="24"/>
          <w:lang w:eastAsia="lv-LV"/>
        </w:rPr>
        <w:t>Atbilstoši Civillikum</w:t>
      </w:r>
      <w:r w:rsidR="00933E52">
        <w:rPr>
          <w:rFonts w:eastAsia="Times New Roman"/>
          <w:szCs w:val="24"/>
          <w:lang w:eastAsia="lv-LV"/>
        </w:rPr>
        <w:t>ā noteiktajam</w:t>
      </w:r>
      <w:r w:rsidRPr="006B6941">
        <w:rPr>
          <w:rFonts w:eastAsia="Times New Roman"/>
          <w:szCs w:val="24"/>
          <w:lang w:eastAsia="lv-LV"/>
        </w:rPr>
        <w:t xml:space="preserve"> citas personas, kas nav laulātais vai radinieks kādā no šķirām, var mantot tikai tad, ja manto</w:t>
      </w:r>
      <w:r w:rsidR="007C24E4">
        <w:rPr>
          <w:rFonts w:eastAsia="Times New Roman"/>
          <w:szCs w:val="24"/>
          <w:lang w:eastAsia="lv-LV"/>
        </w:rPr>
        <w:t>juma</w:t>
      </w:r>
      <w:r w:rsidRPr="006B6941">
        <w:rPr>
          <w:rFonts w:eastAsia="Times New Roman"/>
          <w:szCs w:val="24"/>
          <w:lang w:eastAsia="lv-LV"/>
        </w:rPr>
        <w:t xml:space="preserve"> atstājējs testamentā vai mantojuma līgumā novēlējis savu mantu šīm personām. Līdz ar to Civillikum</w:t>
      </w:r>
      <w:r w:rsidR="007C24E4">
        <w:rPr>
          <w:rFonts w:eastAsia="Times New Roman"/>
          <w:szCs w:val="24"/>
          <w:lang w:eastAsia="lv-LV"/>
        </w:rPr>
        <w:t>ā</w:t>
      </w:r>
      <w:r w:rsidRPr="006B6941">
        <w:rPr>
          <w:rFonts w:eastAsia="Times New Roman"/>
          <w:szCs w:val="24"/>
          <w:lang w:eastAsia="lv-LV"/>
        </w:rPr>
        <w:t xml:space="preserve"> paredz</w:t>
      </w:r>
      <w:r w:rsidR="007C24E4">
        <w:rPr>
          <w:rFonts w:eastAsia="Times New Roman"/>
          <w:szCs w:val="24"/>
          <w:lang w:eastAsia="lv-LV"/>
        </w:rPr>
        <w:t>ēts</w:t>
      </w:r>
      <w:r w:rsidRPr="006B6941">
        <w:rPr>
          <w:rFonts w:eastAsia="Times New Roman"/>
          <w:szCs w:val="24"/>
          <w:lang w:eastAsia="lv-LV"/>
        </w:rPr>
        <w:t xml:space="preserve"> atšķirīg</w:t>
      </w:r>
      <w:r w:rsidR="007C24E4">
        <w:rPr>
          <w:rFonts w:eastAsia="Times New Roman"/>
          <w:szCs w:val="24"/>
          <w:lang w:eastAsia="lv-LV"/>
        </w:rPr>
        <w:t>s</w:t>
      </w:r>
      <w:r w:rsidRPr="006B6941">
        <w:rPr>
          <w:rFonts w:eastAsia="Times New Roman"/>
          <w:szCs w:val="24"/>
          <w:lang w:eastAsia="lv-LV"/>
        </w:rPr>
        <w:t xml:space="preserve"> regulējum</w:t>
      </w:r>
      <w:r w:rsidR="007C24E4">
        <w:rPr>
          <w:rFonts w:eastAsia="Times New Roman"/>
          <w:szCs w:val="24"/>
          <w:lang w:eastAsia="lv-LV"/>
        </w:rPr>
        <w:t>s</w:t>
      </w:r>
      <w:r w:rsidRPr="006B6941">
        <w:rPr>
          <w:rFonts w:eastAsia="Times New Roman"/>
          <w:szCs w:val="24"/>
          <w:lang w:eastAsia="lv-LV"/>
        </w:rPr>
        <w:t xml:space="preserve"> atkarībā no </w:t>
      </w:r>
      <w:r w:rsidR="007C24E4">
        <w:rPr>
          <w:rFonts w:eastAsia="Times New Roman"/>
          <w:szCs w:val="24"/>
          <w:lang w:eastAsia="lv-LV"/>
        </w:rPr>
        <w:t>personas statusa pret mantojuma atstājēju</w:t>
      </w:r>
      <w:r w:rsidRPr="006B6941">
        <w:rPr>
          <w:rFonts w:eastAsia="Times New Roman"/>
          <w:szCs w:val="24"/>
          <w:lang w:eastAsia="lv-LV"/>
        </w:rPr>
        <w:t>,</w:t>
      </w:r>
      <w:r w:rsidR="007C24E4">
        <w:rPr>
          <w:rFonts w:eastAsia="Times New Roman"/>
          <w:szCs w:val="24"/>
          <w:lang w:eastAsia="lv-LV"/>
        </w:rPr>
        <w:t xml:space="preserve"> t.i.,</w:t>
      </w:r>
      <w:r w:rsidRPr="006B6941">
        <w:rPr>
          <w:rFonts w:eastAsia="Times New Roman"/>
          <w:szCs w:val="24"/>
          <w:lang w:eastAsia="lv-LV"/>
        </w:rPr>
        <w:t xml:space="preserve"> vai persona ir laulātais, radinieks </w:t>
      </w:r>
      <w:r w:rsidR="007A6637">
        <w:rPr>
          <w:rFonts w:eastAsia="Times New Roman"/>
          <w:szCs w:val="24"/>
          <w:lang w:eastAsia="lv-LV"/>
        </w:rPr>
        <w:t xml:space="preserve">(ģimenes loceklis) </w:t>
      </w:r>
      <w:r w:rsidRPr="006B6941">
        <w:rPr>
          <w:rFonts w:eastAsia="Times New Roman"/>
          <w:szCs w:val="24"/>
          <w:lang w:eastAsia="lv-LV"/>
        </w:rPr>
        <w:t>vai cita veida emocionālās vai līgumiskās attiecībās esoša cita persona.</w:t>
      </w:r>
    </w:p>
    <w:p w:rsidRPr="00A308FF" w:rsidR="006B6941" w:rsidP="005C4B61" w:rsidRDefault="006C507F" w14:paraId="05904041" w14:textId="75402006">
      <w:pPr>
        <w:ind w:right="-2" w:firstLine="720"/>
        <w:rPr>
          <w:szCs w:val="24"/>
        </w:rPr>
      </w:pPr>
      <w:r w:rsidRPr="00A308FF">
        <w:rPr>
          <w:rFonts w:eastAsia="Times New Roman"/>
          <w:szCs w:val="24"/>
          <w:lang w:eastAsia="lv-LV"/>
        </w:rPr>
        <w:t>Analizējot</w:t>
      </w:r>
      <w:r w:rsidRPr="00A308FF" w:rsidR="006B6941">
        <w:rPr>
          <w:szCs w:val="24"/>
        </w:rPr>
        <w:t xml:space="preserve"> </w:t>
      </w:r>
      <w:r w:rsidRPr="00A308FF" w:rsidR="00AB0B5D">
        <w:rPr>
          <w:szCs w:val="24"/>
        </w:rPr>
        <w:t>N</w:t>
      </w:r>
      <w:r w:rsidRPr="00A308FF" w:rsidR="006B6941">
        <w:rPr>
          <w:szCs w:val="24"/>
        </w:rPr>
        <w:t>oteikumu 13.</w:t>
      </w:r>
      <w:r w:rsidRPr="00A308FF" w:rsidR="00AA6E85">
        <w:rPr>
          <w:szCs w:val="24"/>
        </w:rPr>
        <w:t> </w:t>
      </w:r>
      <w:r w:rsidRPr="00A308FF" w:rsidR="006B6941">
        <w:rPr>
          <w:szCs w:val="24"/>
        </w:rPr>
        <w:t>punkta redakciju, var secināt, ka nodevu likmes noteiktas, ņemot vērā mantošanas veidu, mantinieku šķiru un mantinieku veidu. Tāpat ņemts vērā arī laulāto priviliģētais stāvoklis mantošanā. Līdz ar to secināms, ka likmju apmēri ir noteikti, ņemot vērā Civillikum</w:t>
      </w:r>
      <w:r w:rsidRPr="00A308FF" w:rsidR="00AC16A6">
        <w:rPr>
          <w:szCs w:val="24"/>
        </w:rPr>
        <w:t>ā</w:t>
      </w:r>
      <w:r w:rsidRPr="00A308FF" w:rsidR="006B6941">
        <w:rPr>
          <w:szCs w:val="24"/>
        </w:rPr>
        <w:t xml:space="preserve"> iekļauto likumiskās mantošanas kārtību. Tādējādi nodevu likmes ir mazākas, ja persona atrodas laulībā vai tuvākā radniecības pakāpē ar mantojuma atstājēju</w:t>
      </w:r>
      <w:r w:rsidRPr="00A308FF" w:rsidR="00527FA2">
        <w:rPr>
          <w:szCs w:val="24"/>
        </w:rPr>
        <w:t>, vienlaikus aizsargājot Latvijas tiesību aktos noteikto valsts pozitīvo pienākumu aizsargāt ģimenes vērtības</w:t>
      </w:r>
      <w:r w:rsidRPr="00A308FF" w:rsidR="006B6941">
        <w:rPr>
          <w:szCs w:val="24"/>
        </w:rPr>
        <w:t xml:space="preserve">. Savukārt likmes ir lielākas, ja personu ar mantojuma atstājēju saista cita veida attiecības. Turklāt, kā redzams no normām, palielināta likme attiecas vienlīdzīgi uz visām personām, kuras ar testamentu vai līgumisko mantošanu ir kļuvušas par mantinieku, bet nav ne laulātais, ne persona no kādas no </w:t>
      </w:r>
      <w:r w:rsidRPr="00A308FF" w:rsidR="00F625BF">
        <w:rPr>
          <w:szCs w:val="24"/>
        </w:rPr>
        <w:t>mantinieku</w:t>
      </w:r>
      <w:r w:rsidRPr="00A308FF" w:rsidR="006B6941">
        <w:rPr>
          <w:szCs w:val="24"/>
        </w:rPr>
        <w:t xml:space="preserve"> šķirām. Likmes apmērs nav noteikts, ņemot vērā personu privātās savienības veidus, izņemot laulību</w:t>
      </w:r>
      <w:r w:rsidRPr="00A308FF" w:rsidR="00AC16A6">
        <w:rPr>
          <w:szCs w:val="24"/>
        </w:rPr>
        <w:t xml:space="preserve"> un radniecību</w:t>
      </w:r>
      <w:r w:rsidRPr="00A308FF" w:rsidR="006B6941">
        <w:rPr>
          <w:szCs w:val="24"/>
        </w:rPr>
        <w:t>. Līdz ar to secināms, ka normas mērķis bija radīt regulējumu, kur valsts sniedz atbalstu personām, kas atrodas laulībā</w:t>
      </w:r>
      <w:r w:rsidRPr="00A308FF" w:rsidR="008B0FD4">
        <w:rPr>
          <w:szCs w:val="24"/>
        </w:rPr>
        <w:t>, norādot uz laulību kā</w:t>
      </w:r>
      <w:r w:rsidRPr="00A308FF" w:rsidR="006B6941">
        <w:rPr>
          <w:szCs w:val="24"/>
        </w:rPr>
        <w:t xml:space="preserve"> konstitucionāl</w:t>
      </w:r>
      <w:r w:rsidRPr="00A308FF" w:rsidR="008B0FD4">
        <w:rPr>
          <w:szCs w:val="24"/>
        </w:rPr>
        <w:t>u</w:t>
      </w:r>
      <w:r w:rsidRPr="00A308FF" w:rsidR="006B6941">
        <w:rPr>
          <w:szCs w:val="24"/>
        </w:rPr>
        <w:t xml:space="preserve"> vērtīb</w:t>
      </w:r>
      <w:r w:rsidRPr="00A308FF" w:rsidR="008B0FD4">
        <w:rPr>
          <w:szCs w:val="24"/>
        </w:rPr>
        <w:t>u, ko valsts īpaši aizsargā,</w:t>
      </w:r>
      <w:r w:rsidRPr="00A308FF" w:rsidR="006B6941">
        <w:rPr>
          <w:szCs w:val="24"/>
        </w:rPr>
        <w:t xml:space="preserve"> </w:t>
      </w:r>
      <w:r w:rsidRPr="00A308FF" w:rsidR="008B0FD4">
        <w:rPr>
          <w:szCs w:val="24"/>
        </w:rPr>
        <w:t xml:space="preserve">vai personām, </w:t>
      </w:r>
      <w:r w:rsidRPr="00A308FF" w:rsidR="006B6941">
        <w:rPr>
          <w:szCs w:val="24"/>
        </w:rPr>
        <w:t>kas atrodas tuvākā radniecības pakāpē</w:t>
      </w:r>
      <w:r w:rsidRPr="00A308FF" w:rsidR="008B0FD4">
        <w:rPr>
          <w:szCs w:val="24"/>
        </w:rPr>
        <w:t>, i</w:t>
      </w:r>
      <w:r w:rsidRPr="00A308FF" w:rsidR="006B6941">
        <w:rPr>
          <w:szCs w:val="24"/>
        </w:rPr>
        <w:t xml:space="preserve">espējams, lai </w:t>
      </w:r>
      <w:r w:rsidRPr="00A308FF" w:rsidR="008B0FD4">
        <w:rPr>
          <w:szCs w:val="24"/>
        </w:rPr>
        <w:t>stiprinātu</w:t>
      </w:r>
      <w:r w:rsidRPr="00A308FF" w:rsidR="006B6941">
        <w:rPr>
          <w:szCs w:val="24"/>
        </w:rPr>
        <w:t xml:space="preserve"> ģimen</w:t>
      </w:r>
      <w:r w:rsidRPr="00A308FF" w:rsidR="008B0FD4">
        <w:rPr>
          <w:szCs w:val="24"/>
        </w:rPr>
        <w:t>iskās vērtības.</w:t>
      </w:r>
    </w:p>
    <w:p w:rsidRPr="00A308FF" w:rsidR="00F95ABB" w:rsidP="00910039" w:rsidRDefault="00070929" w14:paraId="3BD71EB4" w14:textId="4D20C378">
      <w:pPr>
        <w:ind w:firstLine="720"/>
        <w:rPr>
          <w:szCs w:val="24"/>
        </w:rPr>
      </w:pPr>
      <w:r w:rsidRPr="00A308FF">
        <w:rPr>
          <w:szCs w:val="24"/>
        </w:rPr>
        <w:t>Vienlaikus</w:t>
      </w:r>
      <w:r w:rsidR="000E60F4">
        <w:rPr>
          <w:szCs w:val="24"/>
        </w:rPr>
        <w:t>,</w:t>
      </w:r>
      <w:r w:rsidRPr="00A308FF">
        <w:rPr>
          <w:szCs w:val="24"/>
        </w:rPr>
        <w:t xml:space="preserve"> izprot</w:t>
      </w:r>
      <w:r w:rsidR="000E60F4">
        <w:rPr>
          <w:szCs w:val="24"/>
        </w:rPr>
        <w:t>ot</w:t>
      </w:r>
      <w:r w:rsidRPr="00A308FF">
        <w:rPr>
          <w:szCs w:val="24"/>
        </w:rPr>
        <w:t xml:space="preserve"> </w:t>
      </w:r>
      <w:r w:rsidR="007F4D0E">
        <w:rPr>
          <w:szCs w:val="24"/>
        </w:rPr>
        <w:t>A</w:t>
      </w:r>
      <w:r w:rsidRPr="00A308FF" w:rsidR="00DB7367">
        <w:rPr>
          <w:szCs w:val="24"/>
        </w:rPr>
        <w:t>tzinumā norādīto likmju atšķirību</w:t>
      </w:r>
      <w:r w:rsidR="002230C0">
        <w:rPr>
          <w:szCs w:val="24"/>
        </w:rPr>
        <w:t>,</w:t>
      </w:r>
      <w:r w:rsidRPr="00A308FF" w:rsidR="00DB7367">
        <w:rPr>
          <w:szCs w:val="24"/>
        </w:rPr>
        <w:t xml:space="preserve"> informē</w:t>
      </w:r>
      <w:r w:rsidR="000E60F4">
        <w:rPr>
          <w:szCs w:val="24"/>
        </w:rPr>
        <w:t>jam</w:t>
      </w:r>
      <w:r w:rsidRPr="00A308FF" w:rsidR="00DB7367">
        <w:rPr>
          <w:szCs w:val="24"/>
        </w:rPr>
        <w:t xml:space="preserve">, ka </w:t>
      </w:r>
      <w:r w:rsidRPr="00A308FF" w:rsidR="00F95ABB">
        <w:rPr>
          <w:szCs w:val="24"/>
        </w:rPr>
        <w:t>neiebilst</w:t>
      </w:r>
      <w:r w:rsidR="000E60F4">
        <w:rPr>
          <w:szCs w:val="24"/>
        </w:rPr>
        <w:t>am</w:t>
      </w:r>
      <w:r w:rsidRPr="00A308FF" w:rsidR="00F95ABB">
        <w:rPr>
          <w:szCs w:val="24"/>
        </w:rPr>
        <w:t xml:space="preserve"> </w:t>
      </w:r>
      <w:r w:rsidRPr="00A308FF" w:rsidR="00F95ABB">
        <w:rPr>
          <w:szCs w:val="24"/>
        </w:rPr>
        <w:lastRenderedPageBreak/>
        <w:t xml:space="preserve">pret </w:t>
      </w:r>
      <w:r w:rsidRPr="00A308FF" w:rsidR="00DB7367">
        <w:rPr>
          <w:szCs w:val="24"/>
        </w:rPr>
        <w:t>likmju pārskatīšan</w:t>
      </w:r>
      <w:r w:rsidRPr="00A308FF" w:rsidR="00F95ABB">
        <w:rPr>
          <w:szCs w:val="24"/>
        </w:rPr>
        <w:t xml:space="preserve">u, tomēr tā </w:t>
      </w:r>
      <w:r w:rsidRPr="00A308FF" w:rsidR="00DB7367">
        <w:rPr>
          <w:szCs w:val="24"/>
        </w:rPr>
        <w:t xml:space="preserve">būtu </w:t>
      </w:r>
      <w:r w:rsidRPr="00A308FF" w:rsidR="00F95ABB">
        <w:rPr>
          <w:szCs w:val="24"/>
        </w:rPr>
        <w:t>veicama</w:t>
      </w:r>
      <w:r w:rsidR="000F00F9">
        <w:rPr>
          <w:szCs w:val="24"/>
        </w:rPr>
        <w:t>,</w:t>
      </w:r>
      <w:r w:rsidRPr="00A308FF" w:rsidR="00F95ABB">
        <w:rPr>
          <w:szCs w:val="24"/>
        </w:rPr>
        <w:t xml:space="preserve"> </w:t>
      </w:r>
      <w:r w:rsidRPr="000F00F9" w:rsidR="000F00F9">
        <w:rPr>
          <w:szCs w:val="24"/>
        </w:rPr>
        <w:t>kompleksi pārskatot Noteikumos noteiktās valsts nodevu likmes attiecībā uz īpašuma tiesību nostiprināšanu zemesgrāmatā</w:t>
      </w:r>
      <w:r w:rsidRPr="00A308FF" w:rsidR="00F95ABB">
        <w:rPr>
          <w:szCs w:val="24"/>
        </w:rPr>
        <w:t>. Papildus norādām, ka valstī noteiktais valsts nodevas par īpašuma tiesību nostiprināšanu zemesgrāmatā (turpmāk</w:t>
      </w:r>
      <w:r w:rsidR="007F4D0E">
        <w:rPr>
          <w:szCs w:val="24"/>
        </w:rPr>
        <w:t> </w:t>
      </w:r>
      <w:r w:rsidRPr="00A308FF" w:rsidR="00F95ABB">
        <w:rPr>
          <w:szCs w:val="24"/>
        </w:rPr>
        <w:t>– zemesgrāmatas valsts nodeva) apmērs skar personas tiesības uz īpašumu, jo nosaka personai pienākumu veikt valsts budžetam piekritīgu maksājumu. Līdz ar to, noteiktais zemesgrāmatas valsts nodevas apmērs aplūkojams kopsakarā ar personai Satversmes 105.</w:t>
      </w:r>
      <w:r w:rsidRPr="00A308FF" w:rsidR="00BB6E42">
        <w:rPr>
          <w:szCs w:val="24"/>
        </w:rPr>
        <w:t> </w:t>
      </w:r>
      <w:r w:rsidRPr="00A308FF" w:rsidR="00F95ABB">
        <w:rPr>
          <w:szCs w:val="24"/>
        </w:rPr>
        <w:t>pantā noteiktām tiesībām uz īpašumu un Eiropas Cilvēktiesību un pamatbrīvību aizsardzības konvencijas 1.</w:t>
      </w:r>
      <w:r w:rsidR="007F4D0E">
        <w:rPr>
          <w:szCs w:val="24"/>
        </w:rPr>
        <w:t> </w:t>
      </w:r>
      <w:r w:rsidRPr="00A308FF" w:rsidR="00F95ABB">
        <w:rPr>
          <w:szCs w:val="24"/>
        </w:rPr>
        <w:t>protokola 1.</w:t>
      </w:r>
      <w:r w:rsidRPr="00A308FF" w:rsidR="00BB6E42">
        <w:rPr>
          <w:szCs w:val="24"/>
        </w:rPr>
        <w:t> </w:t>
      </w:r>
      <w:r w:rsidRPr="00A308FF" w:rsidR="00F95ABB">
        <w:rPr>
          <w:szCs w:val="24"/>
        </w:rPr>
        <w:t>pantu.</w:t>
      </w:r>
      <w:r w:rsidRPr="00A308FF" w:rsidR="00F95ABB">
        <w:rPr>
          <w:rStyle w:val="Vresatsauce"/>
          <w:szCs w:val="24"/>
        </w:rPr>
        <w:footnoteReference w:id="29"/>
      </w:r>
      <w:r w:rsidRPr="00A308FF" w:rsidR="00F95ABB">
        <w:rPr>
          <w:szCs w:val="24"/>
        </w:rPr>
        <w:t xml:space="preserve"> No minētās tiesību normas izriet, ka valstij ir rīcības brīvība noteikt nodokļu un nodevu veidus, to apmērus un ar tiem sasniedzamos mērķus.</w:t>
      </w:r>
      <w:r w:rsidRPr="00A308FF" w:rsidR="00F95ABB">
        <w:rPr>
          <w:szCs w:val="24"/>
          <w:vertAlign w:val="superscript"/>
        </w:rPr>
        <w:footnoteReference w:id="30"/>
      </w:r>
    </w:p>
    <w:p w:rsidR="00070929" w:rsidP="00910039" w:rsidRDefault="00F95ABB" w14:paraId="481FB0CA" w14:textId="7CF7B738">
      <w:pPr>
        <w:ind w:firstLine="720"/>
        <w:rPr>
          <w:szCs w:val="24"/>
        </w:rPr>
      </w:pPr>
      <w:r w:rsidRPr="00A308FF">
        <w:rPr>
          <w:szCs w:val="24"/>
        </w:rPr>
        <w:t>Saskaņā ar Satversmes 110. pantu valstij ir pienākums aizsargāt un atbalstīt laulību</w:t>
      </w:r>
      <w:r w:rsidR="0090461A">
        <w:rPr>
          <w:szCs w:val="24"/>
        </w:rPr>
        <w:t> </w:t>
      </w:r>
      <w:r w:rsidRPr="00A308FF">
        <w:rPr>
          <w:szCs w:val="24"/>
        </w:rPr>
        <w:t>– savienību starp vīrieti un sievieti, ģimeni, vecāku un bērna tiesības. Laulībai kā savienībai starp vīrieti un sievieti konstitucionālā līmenī tiek piešķirts īpašs statuss un aizsardzība, tādējādi nostiprinot principu, ka ir pieļaujama atšķirīga attieksme pret dažādiem personu savienības veidiem, raugoties no tā, vai personu savienība atbilst Satversmē minētajai laulības izpratnei vai neatbilst.</w:t>
      </w:r>
      <w:r w:rsidRPr="00A308FF">
        <w:rPr>
          <w:bCs/>
          <w:szCs w:val="24"/>
        </w:rPr>
        <w:t xml:space="preserve"> Līdz ar to, </w:t>
      </w:r>
      <w:r w:rsidRPr="00A308FF">
        <w:rPr>
          <w:szCs w:val="24"/>
        </w:rPr>
        <w:t xml:space="preserve">pārskatot Noteikumos noteikto regulējumu, </w:t>
      </w:r>
      <w:r w:rsidRPr="00A308FF" w:rsidR="00DB7367">
        <w:rPr>
          <w:szCs w:val="24"/>
        </w:rPr>
        <w:t>likmju atšķirībām attiecībā uz ģimenes locekļiem</w:t>
      </w:r>
      <w:r w:rsidRPr="00A308FF">
        <w:rPr>
          <w:szCs w:val="24"/>
        </w:rPr>
        <w:t>, tajā skaitā personām, kas atrodas laulībā,</w:t>
      </w:r>
      <w:r w:rsidRPr="00A308FF" w:rsidR="00DB7367">
        <w:rPr>
          <w:szCs w:val="24"/>
        </w:rPr>
        <w:t xml:space="preserve"> </w:t>
      </w:r>
      <w:r w:rsidRPr="00A308FF" w:rsidR="00882B70">
        <w:rPr>
          <w:szCs w:val="24"/>
        </w:rPr>
        <w:t>pretstatā</w:t>
      </w:r>
      <w:r w:rsidRPr="00A308FF" w:rsidR="00DB7367">
        <w:rPr>
          <w:szCs w:val="24"/>
        </w:rPr>
        <w:t xml:space="preserve"> citiem mantiniekiem būtu jābūt </w:t>
      </w:r>
      <w:r w:rsidRPr="00A308FF" w:rsidR="00747B2F">
        <w:rPr>
          <w:szCs w:val="24"/>
        </w:rPr>
        <w:t>labvēlīgāk</w:t>
      </w:r>
      <w:r w:rsidR="002C4CF8">
        <w:rPr>
          <w:szCs w:val="24"/>
        </w:rPr>
        <w:t>ā</w:t>
      </w:r>
      <w:r w:rsidRPr="00A308FF" w:rsidR="00747B2F">
        <w:rPr>
          <w:szCs w:val="24"/>
        </w:rPr>
        <w:t>m</w:t>
      </w:r>
      <w:r w:rsidRPr="00A308FF" w:rsidR="00DB7367">
        <w:rPr>
          <w:szCs w:val="24"/>
        </w:rPr>
        <w:t>.</w:t>
      </w:r>
    </w:p>
    <w:p w:rsidR="00EA4FB9" w:rsidRDefault="00EA4FB9" w14:paraId="0DD4C55A" w14:textId="36A3D15B">
      <w:pPr>
        <w:ind w:right="-2" w:firstLine="709"/>
        <w:rPr>
          <w:szCs w:val="24"/>
        </w:rPr>
      </w:pPr>
    </w:p>
    <w:p w:rsidR="00E242AB" w:rsidP="004E474B" w:rsidRDefault="00E242AB" w14:paraId="263AF67B" w14:textId="3F7B68A2">
      <w:pPr>
        <w:rPr>
          <w:szCs w:val="24"/>
        </w:rPr>
      </w:pPr>
    </w:p>
    <w:p w:rsidR="00BB0035" w:rsidP="004E474B" w:rsidRDefault="00BB0035" w14:paraId="7C69D2BC" w14:textId="77777777">
      <w:pPr>
        <w:rPr>
          <w:szCs w:val="24"/>
        </w:rPr>
      </w:pPr>
    </w:p>
    <w:p w:rsidR="004450EE" w:rsidP="004E474B" w:rsidRDefault="00A308FF" w14:paraId="3F96B651" w14:textId="3CC4342F">
      <w:pPr>
        <w:rPr>
          <w:szCs w:val="24"/>
        </w:rPr>
      </w:pPr>
      <w:r>
        <w:rPr>
          <w:szCs w:val="24"/>
        </w:rPr>
        <w:t>Ministru prezident</w:t>
      </w:r>
      <w:r w:rsidR="00BB0035">
        <w:rPr>
          <w:szCs w:val="24"/>
        </w:rPr>
        <w:t xml:space="preserve">s </w:t>
      </w:r>
      <w:r w:rsidR="00BB0035">
        <w:rPr>
          <w:szCs w:val="24"/>
        </w:rPr>
        <w:tab/>
      </w:r>
      <w:r w:rsidR="00BB0035">
        <w:rPr>
          <w:szCs w:val="24"/>
        </w:rPr>
        <w:tab/>
      </w:r>
      <w:r w:rsidR="00BB0035">
        <w:rPr>
          <w:szCs w:val="24"/>
        </w:rPr>
        <w:tab/>
      </w:r>
      <w:r w:rsidR="00BB0035">
        <w:rPr>
          <w:szCs w:val="24"/>
        </w:rPr>
        <w:tab/>
      </w:r>
      <w:r w:rsidR="00BB0035">
        <w:rPr>
          <w:szCs w:val="24"/>
        </w:rPr>
        <w:tab/>
      </w:r>
      <w:r w:rsidR="00BB0035">
        <w:rPr>
          <w:szCs w:val="24"/>
        </w:rPr>
        <w:tab/>
      </w:r>
      <w:r w:rsidR="00BB0035">
        <w:rPr>
          <w:szCs w:val="24"/>
        </w:rPr>
        <w:tab/>
        <w:t>Arturs Krišjānis Kariņš</w:t>
      </w:r>
    </w:p>
    <w:p w:rsidR="00B36C97" w:rsidP="004E474B" w:rsidRDefault="00B36C97" w14:paraId="4034119A" w14:textId="28940AFA">
      <w:pPr>
        <w:rPr>
          <w:szCs w:val="24"/>
        </w:rPr>
      </w:pPr>
    </w:p>
    <w:p w:rsidRPr="001E2679" w:rsidR="00B36C97" w:rsidP="004E474B" w:rsidRDefault="00B36C97" w14:paraId="5275DDFA" w14:textId="77777777">
      <w:pPr>
        <w:rPr>
          <w:szCs w:val="24"/>
        </w:rPr>
      </w:pPr>
    </w:p>
    <w:p w:rsidR="00E242AB" w:rsidP="004E474B" w:rsidRDefault="00B36C97" w14:paraId="2579AF5A" w14:textId="6F614ACE">
      <w:pPr>
        <w:rPr>
          <w:sz w:val="23"/>
          <w:szCs w:val="23"/>
        </w:rPr>
      </w:pPr>
      <w:r>
        <w:rPr>
          <w:sz w:val="23"/>
          <w:szCs w:val="23"/>
        </w:rPr>
        <w:t>Iesniedzējs:</w:t>
      </w:r>
    </w:p>
    <w:p w:rsidR="00D50E62" w:rsidP="004E474B" w:rsidRDefault="00D50E62" w14:paraId="027FBB33" w14:textId="49EEA995">
      <w:pPr>
        <w:rPr>
          <w:sz w:val="23"/>
          <w:szCs w:val="23"/>
        </w:rPr>
      </w:pPr>
      <w:r>
        <w:rPr>
          <w:sz w:val="23"/>
          <w:szCs w:val="23"/>
        </w:rPr>
        <w:t>Ministru prezidenta biedrs,</w:t>
      </w:r>
    </w:p>
    <w:p w:rsidR="00D50E62" w:rsidP="004E474B" w:rsidRDefault="00D50E62" w14:paraId="63EC88A1" w14:textId="302381D3">
      <w:pPr>
        <w:rPr>
          <w:sz w:val="23"/>
          <w:szCs w:val="23"/>
        </w:rPr>
      </w:pPr>
      <w:r>
        <w:rPr>
          <w:sz w:val="23"/>
          <w:szCs w:val="23"/>
        </w:rPr>
        <w:t>tieslietu ministrs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Jānis </w:t>
      </w:r>
      <w:proofErr w:type="spellStart"/>
      <w:r>
        <w:rPr>
          <w:sz w:val="23"/>
          <w:szCs w:val="23"/>
        </w:rPr>
        <w:t>Bordāns</w:t>
      </w:r>
      <w:proofErr w:type="spellEnd"/>
    </w:p>
    <w:p w:rsidR="00B36C97" w:rsidP="004E474B" w:rsidRDefault="00B36C97" w14:paraId="0476DC8D" w14:textId="77777777">
      <w:pPr>
        <w:rPr>
          <w:sz w:val="23"/>
          <w:szCs w:val="23"/>
        </w:rPr>
      </w:pPr>
    </w:p>
    <w:p w:rsidR="00E242AB" w:rsidP="004E474B" w:rsidRDefault="00E242AB" w14:paraId="2E56D3E9" w14:textId="540C6497">
      <w:pPr>
        <w:rPr>
          <w:sz w:val="23"/>
          <w:szCs w:val="23"/>
        </w:rPr>
      </w:pPr>
    </w:p>
    <w:p w:rsidR="00E242AB" w:rsidP="004E474B" w:rsidRDefault="00E242AB" w14:paraId="7A7BD19D" w14:textId="7B256F4A">
      <w:pPr>
        <w:rPr>
          <w:sz w:val="23"/>
          <w:szCs w:val="23"/>
        </w:rPr>
      </w:pPr>
    </w:p>
    <w:p w:rsidR="00E242AB" w:rsidP="004E474B" w:rsidRDefault="00396C03" w14:paraId="662B6271" w14:textId="27993CA4">
      <w:pPr>
        <w:rPr>
          <w:i/>
          <w:sz w:val="20"/>
          <w:szCs w:val="20"/>
        </w:rPr>
      </w:pPr>
      <w:r>
        <w:rPr>
          <w:i/>
          <w:sz w:val="20"/>
          <w:szCs w:val="20"/>
        </w:rPr>
        <w:t>Daugule</w:t>
      </w:r>
      <w:r w:rsidR="00E242AB">
        <w:rPr>
          <w:i/>
          <w:sz w:val="20"/>
          <w:szCs w:val="20"/>
        </w:rPr>
        <w:t xml:space="preserve"> 67046105</w:t>
      </w:r>
    </w:p>
    <w:p w:rsidR="00B36C97" w:rsidP="004E474B" w:rsidRDefault="00B36C97" w14:paraId="19F1BFFE" w14:textId="33EFBD17">
      <w:pPr>
        <w:rPr>
          <w:i/>
          <w:sz w:val="20"/>
          <w:szCs w:val="20"/>
        </w:rPr>
      </w:pPr>
      <w:r w:rsidRPr="00B36C97">
        <w:rPr>
          <w:i/>
          <w:sz w:val="20"/>
          <w:szCs w:val="20"/>
        </w:rPr>
        <w:t>Dace.</w:t>
      </w:r>
      <w:r w:rsidR="00396C03">
        <w:rPr>
          <w:i/>
          <w:sz w:val="20"/>
          <w:szCs w:val="20"/>
        </w:rPr>
        <w:t>Daugule</w:t>
      </w:r>
      <w:r w:rsidRPr="00B36C97">
        <w:rPr>
          <w:i/>
          <w:sz w:val="20"/>
          <w:szCs w:val="20"/>
        </w:rPr>
        <w:t>@tm.gov.lv</w:t>
      </w:r>
    </w:p>
    <w:p w:rsidR="00B36C97" w:rsidP="004E474B" w:rsidRDefault="00B36C97" w14:paraId="55E03147" w14:textId="77777777">
      <w:pPr>
        <w:rPr>
          <w:i/>
          <w:sz w:val="20"/>
          <w:szCs w:val="20"/>
        </w:rPr>
      </w:pPr>
    </w:p>
    <w:p w:rsidR="00B36C97" w:rsidP="004E474B" w:rsidRDefault="00C607D2" w14:paraId="6F9738B6" w14:textId="4E12C58A">
      <w:pPr>
        <w:rPr>
          <w:i/>
          <w:sz w:val="20"/>
          <w:szCs w:val="20"/>
        </w:rPr>
      </w:pPr>
      <w:r>
        <w:rPr>
          <w:i/>
          <w:sz w:val="20"/>
          <w:szCs w:val="20"/>
        </w:rPr>
        <w:t xml:space="preserve">Miļevska </w:t>
      </w:r>
      <w:r w:rsidRPr="00C607D2">
        <w:rPr>
          <w:i/>
          <w:sz w:val="20"/>
          <w:szCs w:val="20"/>
        </w:rPr>
        <w:t>67036813</w:t>
      </w:r>
    </w:p>
    <w:p w:rsidR="00E96E05" w:rsidP="004E474B" w:rsidRDefault="00B36C97" w14:paraId="6D86FDF8" w14:textId="2F5E0AD9">
      <w:pPr>
        <w:rPr>
          <w:szCs w:val="24"/>
        </w:rPr>
      </w:pPr>
      <w:r w:rsidRPr="00B36C97">
        <w:rPr>
          <w:i/>
          <w:sz w:val="20"/>
          <w:szCs w:val="20"/>
        </w:rPr>
        <w:t>Kristine.Milevska@tm.gov.lv</w:t>
      </w:r>
    </w:p>
    <w:sectPr w:rsidR="00E96E05" w:rsidSect="005C4B61">
      <w:headerReference w:type="default" r:id="rId10"/>
      <w:footerReference w:type="default" r:id="rId11"/>
      <w:headerReference w:type="first" r:id="rId12"/>
      <w:footerReference w:type="first" r:id="rId13"/>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C069" w14:textId="77777777" w:rsidR="0088796A" w:rsidRDefault="0088796A">
      <w:r>
        <w:separator/>
      </w:r>
    </w:p>
  </w:endnote>
  <w:endnote w:type="continuationSeparator" w:id="0">
    <w:p w14:paraId="61360978" w14:textId="77777777" w:rsidR="0088796A" w:rsidRDefault="0088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9678" w14:textId="4AB6F7AE" w:rsidR="004415E5" w:rsidRPr="00394A11" w:rsidRDefault="00B36C97">
    <w:pPr>
      <w:pStyle w:val="Kjene"/>
      <w:rPr>
        <w:sz w:val="20"/>
        <w:szCs w:val="20"/>
      </w:rPr>
    </w:pPr>
    <w:r w:rsidRPr="00394A11">
      <w:rPr>
        <w:sz w:val="20"/>
        <w:szCs w:val="20"/>
      </w:rPr>
      <w:t>TM</w:t>
    </w:r>
    <w:r>
      <w:rPr>
        <w:sz w:val="20"/>
        <w:szCs w:val="20"/>
      </w:rPr>
      <w:t>inf</w:t>
    </w:r>
    <w:r w:rsidR="00997B5E" w:rsidRPr="00394A11">
      <w:rPr>
        <w:sz w:val="20"/>
        <w:szCs w:val="20"/>
      </w:rPr>
      <w:t>_</w:t>
    </w:r>
    <w:r w:rsidR="00E12C95">
      <w:rPr>
        <w:sz w:val="20"/>
        <w:szCs w:val="20"/>
      </w:rPr>
      <w:t>23</w:t>
    </w:r>
    <w:r w:rsidR="00997B5E" w:rsidRPr="00394A11">
      <w:rPr>
        <w:sz w:val="20"/>
        <w:szCs w:val="20"/>
      </w:rPr>
      <w:t>0419_</w:t>
    </w:r>
    <w:r w:rsidR="00E16436">
      <w:rPr>
        <w:sz w:val="20"/>
        <w:szCs w:val="20"/>
      </w:rPr>
      <w:t>TS</w:t>
    </w:r>
    <w:r w:rsidR="00997B5E" w:rsidRPr="00394A11">
      <w:rPr>
        <w:sz w:val="20"/>
        <w:szCs w:val="20"/>
      </w:rPr>
      <w:t>_</w:t>
    </w:r>
    <w:r w:rsidR="00E16436">
      <w:rPr>
        <w:sz w:val="20"/>
        <w:szCs w:val="20"/>
      </w:rPr>
      <w:t>rekom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7383" w14:textId="7E9F207E" w:rsidR="004415E5" w:rsidRDefault="00B36C97">
    <w:pPr>
      <w:pStyle w:val="Kjene"/>
    </w:pPr>
    <w:r w:rsidRPr="00394A11">
      <w:rPr>
        <w:sz w:val="20"/>
        <w:szCs w:val="20"/>
      </w:rPr>
      <w:t>TM</w:t>
    </w:r>
    <w:r>
      <w:rPr>
        <w:sz w:val="20"/>
        <w:szCs w:val="20"/>
      </w:rPr>
      <w:t>inf</w:t>
    </w:r>
    <w:r w:rsidR="00F134AC" w:rsidRPr="00394A11">
      <w:rPr>
        <w:sz w:val="20"/>
        <w:szCs w:val="20"/>
      </w:rPr>
      <w:t>_</w:t>
    </w:r>
    <w:r w:rsidR="00E12C95">
      <w:rPr>
        <w:sz w:val="20"/>
        <w:szCs w:val="20"/>
      </w:rPr>
      <w:t>23</w:t>
    </w:r>
    <w:r w:rsidR="00F134AC" w:rsidRPr="00394A11">
      <w:rPr>
        <w:sz w:val="20"/>
        <w:szCs w:val="20"/>
      </w:rPr>
      <w:t>0419_</w:t>
    </w:r>
    <w:r w:rsidR="00E16436">
      <w:rPr>
        <w:sz w:val="20"/>
        <w:szCs w:val="20"/>
      </w:rPr>
      <w:t>TS</w:t>
    </w:r>
    <w:r w:rsidR="00F134AC" w:rsidRPr="00394A11">
      <w:rPr>
        <w:sz w:val="20"/>
        <w:szCs w:val="20"/>
      </w:rPr>
      <w:t>_</w:t>
    </w:r>
    <w:r w:rsidR="00E16436">
      <w:rPr>
        <w:sz w:val="20"/>
        <w:szCs w:val="20"/>
      </w:rPr>
      <w:t>rekom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4A8A" w14:textId="77777777" w:rsidR="0088796A" w:rsidRDefault="0088796A">
      <w:r>
        <w:separator/>
      </w:r>
    </w:p>
  </w:footnote>
  <w:footnote w:type="continuationSeparator" w:id="0">
    <w:p w14:paraId="384E8025" w14:textId="77777777" w:rsidR="0088796A" w:rsidRDefault="0088796A">
      <w:r>
        <w:continuationSeparator/>
      </w:r>
    </w:p>
  </w:footnote>
  <w:footnote w:id="1">
    <w:p w14:paraId="7E57060E" w14:textId="6511BFF0" w:rsidR="007B691A" w:rsidRDefault="007B691A" w:rsidP="007B691A">
      <w:pPr>
        <w:pStyle w:val="Vresteksts"/>
      </w:pPr>
      <w:r>
        <w:rPr>
          <w:rStyle w:val="Vresatsauce"/>
        </w:rPr>
        <w:footnoteRef/>
      </w:r>
      <w:r>
        <w:t xml:space="preserve"> </w:t>
      </w:r>
      <w:bookmarkStart w:id="1" w:name="_Hlk767359"/>
      <w:r w:rsidRPr="00473723">
        <w:t>Latvijas Republikas Satversmes komentāri</w:t>
      </w:r>
      <w:r>
        <w:t>.</w:t>
      </w:r>
      <w:r w:rsidRPr="00473723">
        <w:t xml:space="preserve"> VIII nodaļa. Cilvēka pamattiesības. Autoru kolektīvs prof. R.Baloža zinātniskā vadībā. Rīga: Latvijas Vēstnesis, 2011., 586.-587.</w:t>
      </w:r>
      <w:r w:rsidR="00E63DE6">
        <w:t> </w:t>
      </w:r>
      <w:r w:rsidRPr="00473723">
        <w:t>lpp.</w:t>
      </w:r>
      <w:bookmarkEnd w:id="1"/>
    </w:p>
  </w:footnote>
  <w:footnote w:id="2">
    <w:p w14:paraId="39EBA976" w14:textId="150CCCE1" w:rsidR="007B691A" w:rsidRDefault="007B691A" w:rsidP="007B691A">
      <w:pPr>
        <w:pStyle w:val="Vresteksts"/>
      </w:pPr>
      <w:r>
        <w:rPr>
          <w:rStyle w:val="Vresatsauce"/>
        </w:rPr>
        <w:footnoteRef/>
      </w:r>
      <w:r>
        <w:t xml:space="preserve"> Eiropas </w:t>
      </w:r>
      <w:r w:rsidR="00E63DE6">
        <w:t>Savienības P</w:t>
      </w:r>
      <w:r>
        <w:t>amattiesību hartas 9.</w:t>
      </w:r>
      <w:r w:rsidR="00E63DE6">
        <w:t> </w:t>
      </w:r>
      <w:r>
        <w:t>pants, pieejam</w:t>
      </w:r>
      <w:r w:rsidR="00A655F7">
        <w:t>s</w:t>
      </w:r>
      <w:r>
        <w:t>:</w:t>
      </w:r>
    </w:p>
    <w:p w14:paraId="20D0D6A1" w14:textId="60DB474A" w:rsidR="007B691A" w:rsidRDefault="007B691A" w:rsidP="007B691A">
      <w:pPr>
        <w:pStyle w:val="Vresteksts"/>
      </w:pPr>
      <w:r>
        <w:t xml:space="preserve"> </w:t>
      </w:r>
      <w:r w:rsidRPr="005C1DF1">
        <w:t>https://eur-lex.europa.eu/legal-content/LV/TXT/?uri=CELEX:12012P/TXT</w:t>
      </w:r>
      <w:r>
        <w:t xml:space="preserve"> </w:t>
      </w:r>
    </w:p>
  </w:footnote>
  <w:footnote w:id="3">
    <w:p w14:paraId="06C6B243" w14:textId="3817D8D5" w:rsidR="007B691A" w:rsidRDefault="007B691A" w:rsidP="007B691A">
      <w:pPr>
        <w:pStyle w:val="Vresteksts"/>
      </w:pPr>
      <w:r>
        <w:rPr>
          <w:rStyle w:val="Vresatsauce"/>
        </w:rPr>
        <w:footnoteRef/>
      </w:r>
      <w:r>
        <w:t xml:space="preserve"> </w:t>
      </w:r>
      <w:r w:rsidRPr="00473723">
        <w:t>Latvijas Republikas Satversmes komentāri</w:t>
      </w:r>
      <w:r>
        <w:t>.</w:t>
      </w:r>
      <w:r w:rsidRPr="00473723">
        <w:t xml:space="preserve"> VIII nodaļa. Cilvēka pamattiesības. Autoru kolektīvs prof. R.Baloža zinātniskā vadībā. Rīga: Latvijas Vēstnesis, 2011., 58</w:t>
      </w:r>
      <w:r w:rsidR="00C22516">
        <w:t>7</w:t>
      </w:r>
      <w:r w:rsidRPr="00473723">
        <w:t>.</w:t>
      </w:r>
      <w:r w:rsidR="00E63DE6">
        <w:t> </w:t>
      </w:r>
      <w:r w:rsidRPr="00473723">
        <w:t>lpp.</w:t>
      </w:r>
    </w:p>
  </w:footnote>
  <w:footnote w:id="4">
    <w:p w14:paraId="0FB16AAB" w14:textId="271C874A" w:rsidR="007B691A" w:rsidRDefault="007B691A" w:rsidP="007B691A">
      <w:pPr>
        <w:pStyle w:val="Vresteksts"/>
      </w:pPr>
      <w:r>
        <w:rPr>
          <w:rStyle w:val="Vresatsauce"/>
        </w:rPr>
        <w:footnoteRef/>
      </w:r>
      <w:r>
        <w:t xml:space="preserve"> </w:t>
      </w:r>
      <w:r w:rsidRPr="003C6712">
        <w:t xml:space="preserve">Cilvēka tiesību un pamatbrīvību aizsardzības konvencijas </w:t>
      </w:r>
      <w:r>
        <w:t>12</w:t>
      </w:r>
      <w:r w:rsidRPr="003C6712">
        <w:t>.</w:t>
      </w:r>
      <w:r w:rsidR="00E025B0">
        <w:t> </w:t>
      </w:r>
      <w:r w:rsidRPr="003C6712">
        <w:t>pants.</w:t>
      </w:r>
      <w:r>
        <w:t xml:space="preserve"> </w:t>
      </w:r>
      <w:r w:rsidRPr="003C6712">
        <w:t>Pilngadību sasniegušiem vīriešiem un sievietēm ir tiesības</w:t>
      </w:r>
      <w:r>
        <w:t xml:space="preserve"> </w:t>
      </w:r>
      <w:r w:rsidRPr="003C6712">
        <w:t>stāties laulībā un dibināt ģimeni saskaņā ar valsts iekšējo</w:t>
      </w:r>
      <w:r>
        <w:t xml:space="preserve"> </w:t>
      </w:r>
      <w:r w:rsidRPr="003C6712">
        <w:t>likumdošanu, kas nosaka šo tiesību izmantošanas kārtību.</w:t>
      </w:r>
    </w:p>
  </w:footnote>
  <w:footnote w:id="5">
    <w:p w14:paraId="2455C9AF" w14:textId="585038D0" w:rsidR="007B691A" w:rsidRDefault="007B691A" w:rsidP="007B691A">
      <w:pPr>
        <w:pStyle w:val="Vresteksts"/>
      </w:pPr>
      <w:r>
        <w:rPr>
          <w:rStyle w:val="Vresatsauce"/>
        </w:rPr>
        <w:footnoteRef/>
      </w:r>
      <w:r>
        <w:t xml:space="preserve"> </w:t>
      </w:r>
      <w:bookmarkStart w:id="4" w:name="_Hlk263363"/>
      <w:r>
        <w:t>ECT 2010.</w:t>
      </w:r>
      <w:r w:rsidR="00E025B0">
        <w:t> </w:t>
      </w:r>
      <w:r>
        <w:t>gada 24.</w:t>
      </w:r>
      <w:r w:rsidR="00E025B0">
        <w:t> </w:t>
      </w:r>
      <w:r>
        <w:t xml:space="preserve">jūnija spriedums lietā </w:t>
      </w:r>
      <w:proofErr w:type="spellStart"/>
      <w:r w:rsidRPr="00AF7EFD">
        <w:rPr>
          <w:i/>
        </w:rPr>
        <w:t>Schalk</w:t>
      </w:r>
      <w:proofErr w:type="spellEnd"/>
      <w:r w:rsidRPr="00AF7EFD">
        <w:rPr>
          <w:i/>
        </w:rPr>
        <w:t xml:space="preserve"> </w:t>
      </w:r>
      <w:proofErr w:type="spellStart"/>
      <w:r w:rsidRPr="00AF7EFD">
        <w:rPr>
          <w:i/>
        </w:rPr>
        <w:t>and</w:t>
      </w:r>
      <w:proofErr w:type="spellEnd"/>
      <w:r w:rsidRPr="00AF7EFD">
        <w:rPr>
          <w:i/>
        </w:rPr>
        <w:t xml:space="preserve"> </w:t>
      </w:r>
      <w:proofErr w:type="spellStart"/>
      <w:r w:rsidRPr="00AF7EFD">
        <w:rPr>
          <w:i/>
        </w:rPr>
        <w:t>Kopf</w:t>
      </w:r>
      <w:proofErr w:type="spellEnd"/>
      <w:r w:rsidRPr="00AF7EFD">
        <w:rPr>
          <w:i/>
        </w:rPr>
        <w:t xml:space="preserve"> v. </w:t>
      </w:r>
      <w:proofErr w:type="spellStart"/>
      <w:r w:rsidRPr="00AF7EFD">
        <w:rPr>
          <w:i/>
        </w:rPr>
        <w:t>Austria</w:t>
      </w:r>
      <w:proofErr w:type="spellEnd"/>
      <w:r>
        <w:t xml:space="preserve"> (lieta Nr.</w:t>
      </w:r>
      <w:r w:rsidR="00E025B0">
        <w:t> </w:t>
      </w:r>
      <w:r>
        <w:t>30141/04), 12.</w:t>
      </w:r>
      <w:r w:rsidR="00E025B0">
        <w:t> </w:t>
      </w:r>
      <w:r>
        <w:t>punkts</w:t>
      </w:r>
      <w:bookmarkEnd w:id="4"/>
      <w:r>
        <w:t>.</w:t>
      </w:r>
    </w:p>
  </w:footnote>
  <w:footnote w:id="6">
    <w:p w14:paraId="293F6E7F" w14:textId="5B3D4950" w:rsidR="004C75CA" w:rsidRDefault="004C75CA">
      <w:pPr>
        <w:pStyle w:val="Vresteksts"/>
      </w:pPr>
      <w:r>
        <w:rPr>
          <w:rStyle w:val="Vresatsauce"/>
        </w:rPr>
        <w:footnoteRef/>
      </w:r>
      <w:r>
        <w:t xml:space="preserve"> </w:t>
      </w:r>
      <w:proofErr w:type="spellStart"/>
      <w:r>
        <w:t>Rudevskis</w:t>
      </w:r>
      <w:proofErr w:type="spellEnd"/>
      <w:r>
        <w:t xml:space="preserve"> J. </w:t>
      </w:r>
      <w:r w:rsidR="00227092">
        <w:t>"</w:t>
      </w:r>
      <w:r>
        <w:t>Eiropas Cilvēktiesību tiesas spriedumu saistošais spēks un Satversmes tiesa</w:t>
      </w:r>
      <w:r w:rsidR="00227092">
        <w:t>"</w:t>
      </w:r>
      <w:r>
        <w:t>. Tiesību efektīvas piemērošanas problemātika. Latvijas Universitātes 72.</w:t>
      </w:r>
      <w:r w:rsidR="00855E0F">
        <w:t> </w:t>
      </w:r>
      <w:r>
        <w:t>zinātniskās konferences rakstu krājums. Rīga, LU Akadēmiskais apgāds, 2014., 430.</w:t>
      </w:r>
      <w:r w:rsidR="00855E0F">
        <w:t> </w:t>
      </w:r>
      <w:r>
        <w:t>lpp.</w:t>
      </w:r>
    </w:p>
  </w:footnote>
  <w:footnote w:id="7">
    <w:p w14:paraId="67A0E07D" w14:textId="06618AFF" w:rsidR="008551C6" w:rsidRDefault="008551C6">
      <w:pPr>
        <w:pStyle w:val="Vresteksts"/>
      </w:pPr>
      <w:r>
        <w:rPr>
          <w:rStyle w:val="Vresatsauce"/>
        </w:rPr>
        <w:footnoteRef/>
      </w:r>
      <w:r>
        <w:t xml:space="preserve"> </w:t>
      </w:r>
      <w:bookmarkStart w:id="6" w:name="_Hlk6319086"/>
      <w:r w:rsidR="00AA5079">
        <w:t>ECT</w:t>
      </w:r>
      <w:r>
        <w:t xml:space="preserve"> 2015.</w:t>
      </w:r>
      <w:r w:rsidR="00855E0F">
        <w:t> </w:t>
      </w:r>
      <w:r>
        <w:t>gada 21.</w:t>
      </w:r>
      <w:r w:rsidR="00855E0F">
        <w:t> </w:t>
      </w:r>
      <w:r>
        <w:t xml:space="preserve">jūlija spriedums lietā </w:t>
      </w:r>
      <w:proofErr w:type="spellStart"/>
      <w:r>
        <w:rPr>
          <w:i/>
        </w:rPr>
        <w:t>Oliari</w:t>
      </w:r>
      <w:proofErr w:type="spellEnd"/>
      <w:r w:rsidRPr="00D50FC6">
        <w:rPr>
          <w:i/>
        </w:rPr>
        <w:t xml:space="preserve"> </w:t>
      </w:r>
      <w:proofErr w:type="spellStart"/>
      <w:r w:rsidRPr="00D50FC6">
        <w:rPr>
          <w:i/>
        </w:rPr>
        <w:t>and</w:t>
      </w:r>
      <w:proofErr w:type="spellEnd"/>
      <w:r w:rsidRPr="00D50FC6">
        <w:rPr>
          <w:i/>
        </w:rPr>
        <w:t xml:space="preserve"> </w:t>
      </w:r>
      <w:proofErr w:type="spellStart"/>
      <w:r w:rsidRPr="00D50FC6">
        <w:rPr>
          <w:i/>
        </w:rPr>
        <w:t>Others</w:t>
      </w:r>
      <w:proofErr w:type="spellEnd"/>
      <w:r w:rsidRPr="00D50FC6">
        <w:rPr>
          <w:i/>
        </w:rPr>
        <w:t xml:space="preserve"> v. </w:t>
      </w:r>
      <w:proofErr w:type="spellStart"/>
      <w:r>
        <w:rPr>
          <w:i/>
        </w:rPr>
        <w:t>Italy</w:t>
      </w:r>
      <w:proofErr w:type="spellEnd"/>
      <w:r>
        <w:t xml:space="preserve"> (lieta Nr.</w:t>
      </w:r>
      <w:r w:rsidR="00855E0F">
        <w:t> </w:t>
      </w:r>
      <w:r>
        <w:t>18766/11)</w:t>
      </w:r>
      <w:bookmarkEnd w:id="6"/>
      <w:r>
        <w:t>, 161.</w:t>
      </w:r>
      <w:r w:rsidR="00855E0F">
        <w:t> </w:t>
      </w:r>
      <w:r>
        <w:t>punkts.</w:t>
      </w:r>
    </w:p>
  </w:footnote>
  <w:footnote w:id="8">
    <w:p w14:paraId="1769A3D1" w14:textId="7C90A541" w:rsidR="00CA5C58" w:rsidRDefault="00CA5C58">
      <w:pPr>
        <w:pStyle w:val="Vresteksts"/>
      </w:pPr>
      <w:r>
        <w:rPr>
          <w:rStyle w:val="Vresatsauce"/>
        </w:rPr>
        <w:footnoteRef/>
      </w:r>
      <w:r>
        <w:t xml:space="preserve"> </w:t>
      </w:r>
      <w:r w:rsidR="004E474B">
        <w:t xml:space="preserve">ECT 2015. gada 21. jūlija spriedums lietā </w:t>
      </w:r>
      <w:proofErr w:type="spellStart"/>
      <w:r w:rsidR="004E474B">
        <w:rPr>
          <w:i/>
        </w:rPr>
        <w:t>Oliari</w:t>
      </w:r>
      <w:proofErr w:type="spellEnd"/>
      <w:r w:rsidR="004E474B" w:rsidRPr="00D50FC6">
        <w:rPr>
          <w:i/>
        </w:rPr>
        <w:t xml:space="preserve"> </w:t>
      </w:r>
      <w:proofErr w:type="spellStart"/>
      <w:r w:rsidR="004E474B" w:rsidRPr="00D50FC6">
        <w:rPr>
          <w:i/>
        </w:rPr>
        <w:t>and</w:t>
      </w:r>
      <w:proofErr w:type="spellEnd"/>
      <w:r w:rsidR="004E474B" w:rsidRPr="00D50FC6">
        <w:rPr>
          <w:i/>
        </w:rPr>
        <w:t xml:space="preserve"> </w:t>
      </w:r>
      <w:proofErr w:type="spellStart"/>
      <w:r w:rsidR="004E474B" w:rsidRPr="00D50FC6">
        <w:rPr>
          <w:i/>
        </w:rPr>
        <w:t>Others</w:t>
      </w:r>
      <w:proofErr w:type="spellEnd"/>
      <w:r w:rsidR="004E474B" w:rsidRPr="00D50FC6">
        <w:rPr>
          <w:i/>
        </w:rPr>
        <w:t xml:space="preserve"> v. </w:t>
      </w:r>
      <w:proofErr w:type="spellStart"/>
      <w:r w:rsidR="004E474B">
        <w:rPr>
          <w:i/>
        </w:rPr>
        <w:t>Italy</w:t>
      </w:r>
      <w:proofErr w:type="spellEnd"/>
      <w:r w:rsidR="004E474B">
        <w:t xml:space="preserve"> (lieta Nr. 18766/11)</w:t>
      </w:r>
      <w:r>
        <w:t>, 162.</w:t>
      </w:r>
      <w:r w:rsidR="00855E0F">
        <w:t> </w:t>
      </w:r>
      <w:r>
        <w:t>punkts.</w:t>
      </w:r>
    </w:p>
  </w:footnote>
  <w:footnote w:id="9">
    <w:p w14:paraId="694EDB7A" w14:textId="5E5814CF" w:rsidR="00384CB1" w:rsidRDefault="00384CB1">
      <w:pPr>
        <w:pStyle w:val="Vresteksts"/>
      </w:pPr>
      <w:r>
        <w:rPr>
          <w:rStyle w:val="Vresatsauce"/>
        </w:rPr>
        <w:footnoteRef/>
      </w:r>
      <w:r>
        <w:t xml:space="preserve"> </w:t>
      </w:r>
      <w:r w:rsidR="00AF7EFD">
        <w:t>ECT</w:t>
      </w:r>
      <w:r>
        <w:t xml:space="preserve"> 2015.</w:t>
      </w:r>
      <w:r w:rsidR="003B1A1D">
        <w:t> </w:t>
      </w:r>
      <w:r>
        <w:t>gada 21.</w:t>
      </w:r>
      <w:r w:rsidR="003B1A1D">
        <w:t> </w:t>
      </w:r>
      <w:r>
        <w:t xml:space="preserve">jūlija spriedums lietā </w:t>
      </w:r>
      <w:proofErr w:type="spellStart"/>
      <w:r>
        <w:rPr>
          <w:i/>
        </w:rPr>
        <w:t>Oliari</w:t>
      </w:r>
      <w:proofErr w:type="spellEnd"/>
      <w:r w:rsidRPr="00D50FC6">
        <w:rPr>
          <w:i/>
        </w:rPr>
        <w:t xml:space="preserve"> </w:t>
      </w:r>
      <w:proofErr w:type="spellStart"/>
      <w:r w:rsidRPr="00D50FC6">
        <w:rPr>
          <w:i/>
        </w:rPr>
        <w:t>and</w:t>
      </w:r>
      <w:proofErr w:type="spellEnd"/>
      <w:r w:rsidRPr="00D50FC6">
        <w:rPr>
          <w:i/>
        </w:rPr>
        <w:t xml:space="preserve"> </w:t>
      </w:r>
      <w:proofErr w:type="spellStart"/>
      <w:r w:rsidRPr="00D50FC6">
        <w:rPr>
          <w:i/>
        </w:rPr>
        <w:t>Others</w:t>
      </w:r>
      <w:proofErr w:type="spellEnd"/>
      <w:r w:rsidRPr="00D50FC6">
        <w:rPr>
          <w:i/>
        </w:rPr>
        <w:t xml:space="preserve"> v. </w:t>
      </w:r>
      <w:proofErr w:type="spellStart"/>
      <w:r>
        <w:rPr>
          <w:i/>
        </w:rPr>
        <w:t>Italy</w:t>
      </w:r>
      <w:proofErr w:type="spellEnd"/>
      <w:r>
        <w:t xml:space="preserve"> (lieta Nr.</w:t>
      </w:r>
      <w:r w:rsidR="003B1A1D">
        <w:t> </w:t>
      </w:r>
      <w:r>
        <w:t>18766/11), 185.</w:t>
      </w:r>
      <w:r w:rsidR="003B1A1D">
        <w:t> </w:t>
      </w:r>
      <w:r>
        <w:t>punkts.</w:t>
      </w:r>
    </w:p>
  </w:footnote>
  <w:footnote w:id="10">
    <w:p w14:paraId="6C7EFDE8" w14:textId="3B31DF8D" w:rsidR="0069259F" w:rsidRDefault="0069259F">
      <w:pPr>
        <w:pStyle w:val="Vresteksts"/>
      </w:pPr>
      <w:r>
        <w:rPr>
          <w:rStyle w:val="Vresatsauce"/>
        </w:rPr>
        <w:footnoteRef/>
      </w:r>
      <w:r>
        <w:t xml:space="preserve"> </w:t>
      </w:r>
      <w:r w:rsidR="00926AB0">
        <w:t>ECT 2015. gada 21.</w:t>
      </w:r>
      <w:r w:rsidR="003B1A1D">
        <w:t> </w:t>
      </w:r>
      <w:r w:rsidR="00926AB0">
        <w:t xml:space="preserve">jūlija spriedums lietā </w:t>
      </w:r>
      <w:proofErr w:type="spellStart"/>
      <w:r w:rsidR="00926AB0">
        <w:rPr>
          <w:i/>
        </w:rPr>
        <w:t>Oliari</w:t>
      </w:r>
      <w:proofErr w:type="spellEnd"/>
      <w:r w:rsidR="00926AB0" w:rsidRPr="00D50FC6">
        <w:rPr>
          <w:i/>
        </w:rPr>
        <w:t xml:space="preserve"> </w:t>
      </w:r>
      <w:proofErr w:type="spellStart"/>
      <w:r w:rsidR="00926AB0" w:rsidRPr="00D50FC6">
        <w:rPr>
          <w:i/>
        </w:rPr>
        <w:t>and</w:t>
      </w:r>
      <w:proofErr w:type="spellEnd"/>
      <w:r w:rsidR="00926AB0" w:rsidRPr="00D50FC6">
        <w:rPr>
          <w:i/>
        </w:rPr>
        <w:t xml:space="preserve"> </w:t>
      </w:r>
      <w:proofErr w:type="spellStart"/>
      <w:r w:rsidR="00926AB0" w:rsidRPr="00D50FC6">
        <w:rPr>
          <w:i/>
        </w:rPr>
        <w:t>Others</w:t>
      </w:r>
      <w:proofErr w:type="spellEnd"/>
      <w:r w:rsidR="00926AB0" w:rsidRPr="00D50FC6">
        <w:rPr>
          <w:i/>
        </w:rPr>
        <w:t xml:space="preserve"> v. </w:t>
      </w:r>
      <w:proofErr w:type="spellStart"/>
      <w:r w:rsidR="00926AB0">
        <w:rPr>
          <w:i/>
        </w:rPr>
        <w:t>Italy</w:t>
      </w:r>
      <w:proofErr w:type="spellEnd"/>
      <w:r w:rsidR="00926AB0">
        <w:t xml:space="preserve"> (lieta Nr.</w:t>
      </w:r>
      <w:r w:rsidR="003B1A1D">
        <w:t> </w:t>
      </w:r>
      <w:r w:rsidR="00926AB0">
        <w:t>18766/11), 185.</w:t>
      </w:r>
      <w:r w:rsidR="003B1A1D">
        <w:t> </w:t>
      </w:r>
      <w:r w:rsidR="00926AB0">
        <w:t>punkts.</w:t>
      </w:r>
    </w:p>
  </w:footnote>
  <w:footnote w:id="11">
    <w:p w14:paraId="1646DC9E" w14:textId="2EDBF8D4" w:rsidR="009D7AE4" w:rsidRDefault="009D7AE4">
      <w:pPr>
        <w:pStyle w:val="Vresteksts"/>
      </w:pPr>
      <w:r>
        <w:rPr>
          <w:rStyle w:val="Vresatsauce"/>
        </w:rPr>
        <w:footnoteRef/>
      </w:r>
      <w:r>
        <w:t xml:space="preserve"> </w:t>
      </w:r>
      <w:r w:rsidR="00AF7EFD">
        <w:t>ECT</w:t>
      </w:r>
      <w:r>
        <w:t xml:space="preserve"> 2015.</w:t>
      </w:r>
      <w:r w:rsidR="003B1A1D">
        <w:t> </w:t>
      </w:r>
      <w:r>
        <w:t>gada 21.</w:t>
      </w:r>
      <w:r w:rsidR="003B1A1D">
        <w:t> </w:t>
      </w:r>
      <w:r>
        <w:t xml:space="preserve">jūlija spriedums lietā </w:t>
      </w:r>
      <w:proofErr w:type="spellStart"/>
      <w:r>
        <w:rPr>
          <w:i/>
        </w:rPr>
        <w:t>Oliari</w:t>
      </w:r>
      <w:proofErr w:type="spellEnd"/>
      <w:r w:rsidRPr="00D50FC6">
        <w:rPr>
          <w:i/>
        </w:rPr>
        <w:t xml:space="preserve"> </w:t>
      </w:r>
      <w:proofErr w:type="spellStart"/>
      <w:r w:rsidRPr="00D50FC6">
        <w:rPr>
          <w:i/>
        </w:rPr>
        <w:t>and</w:t>
      </w:r>
      <w:proofErr w:type="spellEnd"/>
      <w:r w:rsidRPr="00D50FC6">
        <w:rPr>
          <w:i/>
        </w:rPr>
        <w:t xml:space="preserve"> </w:t>
      </w:r>
      <w:proofErr w:type="spellStart"/>
      <w:r w:rsidRPr="00D50FC6">
        <w:rPr>
          <w:i/>
        </w:rPr>
        <w:t>Others</w:t>
      </w:r>
      <w:proofErr w:type="spellEnd"/>
      <w:r w:rsidRPr="00D50FC6">
        <w:rPr>
          <w:i/>
        </w:rPr>
        <w:t xml:space="preserve"> v. </w:t>
      </w:r>
      <w:proofErr w:type="spellStart"/>
      <w:r>
        <w:rPr>
          <w:i/>
        </w:rPr>
        <w:t>Italy</w:t>
      </w:r>
      <w:proofErr w:type="spellEnd"/>
      <w:r>
        <w:t xml:space="preserve"> (lieta Nr.</w:t>
      </w:r>
      <w:r w:rsidR="003B1A1D">
        <w:t> </w:t>
      </w:r>
      <w:r>
        <w:t xml:space="preserve">18766/11), </w:t>
      </w:r>
      <w:proofErr w:type="spellStart"/>
      <w:r w:rsidRPr="009D7AE4">
        <w:rPr>
          <w:i/>
        </w:rPr>
        <w:t>Concurring</w:t>
      </w:r>
      <w:proofErr w:type="spellEnd"/>
      <w:r w:rsidRPr="009D7AE4">
        <w:rPr>
          <w:i/>
        </w:rPr>
        <w:t xml:space="preserve"> </w:t>
      </w:r>
      <w:proofErr w:type="spellStart"/>
      <w:r w:rsidRPr="009D7AE4">
        <w:rPr>
          <w:i/>
        </w:rPr>
        <w:t>opinion</w:t>
      </w:r>
      <w:proofErr w:type="spellEnd"/>
      <w:r w:rsidRPr="009D7AE4">
        <w:rPr>
          <w:i/>
        </w:rPr>
        <w:t xml:space="preserve"> </w:t>
      </w:r>
      <w:proofErr w:type="spellStart"/>
      <w:r w:rsidRPr="009D7AE4">
        <w:rPr>
          <w:i/>
        </w:rPr>
        <w:t>of</w:t>
      </w:r>
      <w:proofErr w:type="spellEnd"/>
      <w:r w:rsidRPr="009D7AE4">
        <w:rPr>
          <w:i/>
        </w:rPr>
        <w:t xml:space="preserve"> </w:t>
      </w:r>
      <w:proofErr w:type="spellStart"/>
      <w:r w:rsidRPr="009D7AE4">
        <w:rPr>
          <w:i/>
        </w:rPr>
        <w:t>JudgeMahoney</w:t>
      </w:r>
      <w:proofErr w:type="spellEnd"/>
      <w:r w:rsidRPr="009D7AE4">
        <w:rPr>
          <w:i/>
        </w:rPr>
        <w:t xml:space="preserve">, </w:t>
      </w:r>
      <w:proofErr w:type="spellStart"/>
      <w:r w:rsidRPr="009D7AE4">
        <w:rPr>
          <w:i/>
        </w:rPr>
        <w:t>joined</w:t>
      </w:r>
      <w:proofErr w:type="spellEnd"/>
      <w:r w:rsidRPr="009D7AE4">
        <w:rPr>
          <w:i/>
        </w:rPr>
        <w:t xml:space="preserve"> </w:t>
      </w:r>
      <w:proofErr w:type="spellStart"/>
      <w:r w:rsidRPr="009D7AE4">
        <w:rPr>
          <w:i/>
        </w:rPr>
        <w:t>by</w:t>
      </w:r>
      <w:proofErr w:type="spellEnd"/>
      <w:r w:rsidRPr="009D7AE4">
        <w:rPr>
          <w:i/>
        </w:rPr>
        <w:t xml:space="preserve"> </w:t>
      </w:r>
      <w:proofErr w:type="spellStart"/>
      <w:r w:rsidRPr="009D7AE4">
        <w:rPr>
          <w:i/>
        </w:rPr>
        <w:t>Judges</w:t>
      </w:r>
      <w:proofErr w:type="spellEnd"/>
      <w:r w:rsidRPr="009D7AE4">
        <w:rPr>
          <w:i/>
        </w:rPr>
        <w:t xml:space="preserve"> </w:t>
      </w:r>
      <w:proofErr w:type="spellStart"/>
      <w:r w:rsidRPr="009D7AE4">
        <w:rPr>
          <w:i/>
        </w:rPr>
        <w:t>Tsotsoria</w:t>
      </w:r>
      <w:proofErr w:type="spellEnd"/>
      <w:r w:rsidRPr="009D7AE4">
        <w:rPr>
          <w:i/>
        </w:rPr>
        <w:t xml:space="preserve"> </w:t>
      </w:r>
      <w:proofErr w:type="spellStart"/>
      <w:r w:rsidRPr="009D7AE4">
        <w:rPr>
          <w:i/>
        </w:rPr>
        <w:t>and</w:t>
      </w:r>
      <w:proofErr w:type="spellEnd"/>
      <w:r w:rsidRPr="009D7AE4">
        <w:rPr>
          <w:i/>
        </w:rPr>
        <w:t xml:space="preserve"> </w:t>
      </w:r>
      <w:proofErr w:type="spellStart"/>
      <w:r w:rsidRPr="009D7AE4">
        <w:rPr>
          <w:i/>
        </w:rPr>
        <w:t>Vehabovic</w:t>
      </w:r>
      <w:proofErr w:type="spellEnd"/>
      <w:r>
        <w:t>.</w:t>
      </w:r>
    </w:p>
  </w:footnote>
  <w:footnote w:id="12">
    <w:p w14:paraId="27372886" w14:textId="77777777" w:rsidR="008A2F14" w:rsidRDefault="008A2F14" w:rsidP="008A2F14">
      <w:pPr>
        <w:pStyle w:val="Vresteksts"/>
      </w:pPr>
      <w:r>
        <w:rPr>
          <w:rStyle w:val="Vresatsauce"/>
        </w:rPr>
        <w:footnoteRef/>
      </w:r>
      <w:r>
        <w:t xml:space="preserve"> ECT 2013. gada 7. novembra spriedums lietā </w:t>
      </w:r>
      <w:proofErr w:type="spellStart"/>
      <w:r w:rsidRPr="002D2AB7">
        <w:rPr>
          <w:i/>
        </w:rPr>
        <w:t>Vallianatos</w:t>
      </w:r>
      <w:proofErr w:type="spellEnd"/>
      <w:r w:rsidRPr="002D2AB7">
        <w:rPr>
          <w:i/>
        </w:rPr>
        <w:t xml:space="preserve"> </w:t>
      </w:r>
      <w:proofErr w:type="spellStart"/>
      <w:r w:rsidRPr="002D2AB7">
        <w:rPr>
          <w:i/>
        </w:rPr>
        <w:t>and</w:t>
      </w:r>
      <w:proofErr w:type="spellEnd"/>
      <w:r w:rsidRPr="002D2AB7">
        <w:rPr>
          <w:i/>
        </w:rPr>
        <w:t xml:space="preserve"> </w:t>
      </w:r>
      <w:proofErr w:type="spellStart"/>
      <w:r w:rsidRPr="002D2AB7">
        <w:rPr>
          <w:i/>
        </w:rPr>
        <w:t>Others</w:t>
      </w:r>
      <w:proofErr w:type="spellEnd"/>
      <w:r w:rsidRPr="002D2AB7">
        <w:rPr>
          <w:i/>
        </w:rPr>
        <w:t xml:space="preserve"> v.</w:t>
      </w:r>
      <w:r>
        <w:rPr>
          <w:i/>
        </w:rPr>
        <w:t xml:space="preserve"> </w:t>
      </w:r>
      <w:proofErr w:type="spellStart"/>
      <w:r w:rsidRPr="002D2AB7">
        <w:rPr>
          <w:i/>
        </w:rPr>
        <w:t>Greece</w:t>
      </w:r>
      <w:proofErr w:type="spellEnd"/>
      <w:r>
        <w:t xml:space="preserve"> (lieta Nr. 29381/09 un Nr. 32684/09), 92. punkts.</w:t>
      </w:r>
    </w:p>
  </w:footnote>
  <w:footnote w:id="13">
    <w:p w14:paraId="0A1A6CDB" w14:textId="77777777" w:rsidR="008A2F14" w:rsidRDefault="008A2F14" w:rsidP="008A2F14">
      <w:pPr>
        <w:pStyle w:val="Vresteksts"/>
      </w:pPr>
      <w:r>
        <w:rPr>
          <w:rStyle w:val="Vresatsauce"/>
        </w:rPr>
        <w:footnoteRef/>
      </w:r>
      <w:r>
        <w:t xml:space="preserve"> </w:t>
      </w:r>
      <w:bookmarkStart w:id="8" w:name="_Hlk534885182"/>
      <w:r>
        <w:t xml:space="preserve">ECT 2013. gada 7. novembra spriedums lietā </w:t>
      </w:r>
      <w:proofErr w:type="spellStart"/>
      <w:r w:rsidRPr="00D50FC6">
        <w:rPr>
          <w:i/>
        </w:rPr>
        <w:t>Vallianatos</w:t>
      </w:r>
      <w:proofErr w:type="spellEnd"/>
      <w:r w:rsidRPr="00D50FC6">
        <w:rPr>
          <w:i/>
        </w:rPr>
        <w:t xml:space="preserve"> </w:t>
      </w:r>
      <w:proofErr w:type="spellStart"/>
      <w:r w:rsidRPr="00D50FC6">
        <w:rPr>
          <w:i/>
        </w:rPr>
        <w:t>and</w:t>
      </w:r>
      <w:proofErr w:type="spellEnd"/>
      <w:r w:rsidRPr="00D50FC6">
        <w:rPr>
          <w:i/>
        </w:rPr>
        <w:t xml:space="preserve"> </w:t>
      </w:r>
      <w:proofErr w:type="spellStart"/>
      <w:r w:rsidRPr="00D50FC6">
        <w:rPr>
          <w:i/>
        </w:rPr>
        <w:t>Others</w:t>
      </w:r>
      <w:proofErr w:type="spellEnd"/>
      <w:r w:rsidRPr="00D50FC6">
        <w:rPr>
          <w:i/>
        </w:rPr>
        <w:t xml:space="preserve"> v. </w:t>
      </w:r>
      <w:proofErr w:type="spellStart"/>
      <w:r w:rsidRPr="00D50FC6">
        <w:rPr>
          <w:i/>
        </w:rPr>
        <w:t>Greece</w:t>
      </w:r>
      <w:proofErr w:type="spellEnd"/>
      <w:r>
        <w:t xml:space="preserve"> (lieta Nr. 29381/09 un Nr. 32684/09), 75. punkts.</w:t>
      </w:r>
      <w:bookmarkEnd w:id="8"/>
    </w:p>
  </w:footnote>
  <w:footnote w:id="14">
    <w:p w14:paraId="1B8BF65C" w14:textId="5356F936" w:rsidR="00717D71" w:rsidRDefault="00717D71">
      <w:pPr>
        <w:pStyle w:val="Vresteksts"/>
      </w:pPr>
      <w:r>
        <w:rPr>
          <w:rStyle w:val="Vresatsauce"/>
        </w:rPr>
        <w:footnoteRef/>
      </w:r>
      <w:r>
        <w:t xml:space="preserve"> </w:t>
      </w:r>
      <w:r w:rsidRPr="00717D71">
        <w:t>Latvijas Republikas Satversmes tiesas 2017.</w:t>
      </w:r>
      <w:r w:rsidR="003B1A1D">
        <w:t> </w:t>
      </w:r>
      <w:r w:rsidRPr="00717D71">
        <w:t>gada 2.</w:t>
      </w:r>
      <w:r w:rsidR="003B1A1D">
        <w:t> </w:t>
      </w:r>
      <w:r w:rsidRPr="00717D71">
        <w:t>februāra lēmums (pieteikums Nr.</w:t>
      </w:r>
      <w:r w:rsidR="003B1A1D">
        <w:t> </w:t>
      </w:r>
      <w:r w:rsidRPr="00717D71">
        <w:t>4/2017).</w:t>
      </w:r>
      <w:r w:rsidR="00DA2177">
        <w:t xml:space="preserve"> 5.</w:t>
      </w:r>
      <w:r w:rsidR="003B1A1D">
        <w:t> </w:t>
      </w:r>
      <w:r w:rsidR="00DA2177">
        <w:t>lpp.</w:t>
      </w:r>
      <w:r w:rsidRPr="00717D71">
        <w:t xml:space="preserve"> Pieejams: </w:t>
      </w:r>
      <w:hyperlink r:id="rId1" w:history="1">
        <w:r w:rsidRPr="00510DA0">
          <w:rPr>
            <w:rStyle w:val="Hipersaite"/>
          </w:rPr>
          <w:t>http://www.satv.tiesa.gov.lv/wp-content/uploads/2017/02/Lemums_par_pieteikumu_Nr._2017_4.pdf</w:t>
        </w:r>
      </w:hyperlink>
    </w:p>
  </w:footnote>
  <w:footnote w:id="15">
    <w:p w14:paraId="0E3499BC" w14:textId="245BE966" w:rsidR="009D555E" w:rsidRDefault="009D555E">
      <w:pPr>
        <w:pStyle w:val="Vresteksts"/>
      </w:pPr>
      <w:r>
        <w:rPr>
          <w:rStyle w:val="Vresatsauce"/>
        </w:rPr>
        <w:footnoteRef/>
      </w:r>
      <w:r>
        <w:t xml:space="preserve"> </w:t>
      </w:r>
      <w:hyperlink r:id="rId2" w:history="1">
        <w:r w:rsidR="00BB38DD" w:rsidRPr="00786280">
          <w:rPr>
            <w:rStyle w:val="Hipersaite"/>
          </w:rPr>
          <w:t>http://mandati.saeima.lv/kolektīvie-iesniegumi</w:t>
        </w:r>
      </w:hyperlink>
      <w:r w:rsidR="00BB38DD">
        <w:t>.</w:t>
      </w:r>
    </w:p>
  </w:footnote>
  <w:footnote w:id="16">
    <w:p w14:paraId="3EE4B17B" w14:textId="7515B29C" w:rsidR="00095912" w:rsidRDefault="00095912">
      <w:pPr>
        <w:pStyle w:val="Vresteksts"/>
      </w:pPr>
      <w:r>
        <w:rPr>
          <w:rStyle w:val="Vresatsauce"/>
        </w:rPr>
        <w:footnoteRef/>
      </w:r>
      <w:r>
        <w:t xml:space="preserve"> </w:t>
      </w:r>
      <w:hyperlink r:id="rId3" w:history="1">
        <w:r w:rsidR="00BB38DD" w:rsidRPr="00786280">
          <w:rPr>
            <w:rStyle w:val="Hipersaite"/>
          </w:rPr>
          <w:t>http://www.saeima.lv/lv/transcripts/view/473</w:t>
        </w:r>
      </w:hyperlink>
      <w:r w:rsidR="00BB38DD">
        <w:t>.</w:t>
      </w:r>
    </w:p>
  </w:footnote>
  <w:footnote w:id="17">
    <w:p w14:paraId="18C13D67" w14:textId="692DF524" w:rsidR="002C4A74" w:rsidRDefault="002C4A74">
      <w:pPr>
        <w:pStyle w:val="Vresteksts"/>
      </w:pPr>
      <w:r>
        <w:rPr>
          <w:rStyle w:val="Vresatsauce"/>
        </w:rPr>
        <w:footnoteRef/>
      </w:r>
      <w:r>
        <w:t xml:space="preserve"> </w:t>
      </w:r>
      <w:r w:rsidRPr="002C4A74">
        <w:rPr>
          <w:szCs w:val="24"/>
        </w:rPr>
        <w:t>Deklarācij</w:t>
      </w:r>
      <w:r>
        <w:rPr>
          <w:szCs w:val="24"/>
        </w:rPr>
        <w:t>a</w:t>
      </w:r>
      <w:r w:rsidRPr="002C4A74">
        <w:rPr>
          <w:szCs w:val="24"/>
        </w:rPr>
        <w:t xml:space="preserve"> par Artura Krišjāņa Kariņa vadītā</w:t>
      </w:r>
      <w:r>
        <w:rPr>
          <w:szCs w:val="24"/>
        </w:rPr>
        <w:t xml:space="preserve"> </w:t>
      </w:r>
      <w:r w:rsidRPr="002C4A74">
        <w:rPr>
          <w:szCs w:val="24"/>
        </w:rPr>
        <w:t>Ministru kabineta iecerēto darbību</w:t>
      </w:r>
      <w:r>
        <w:rPr>
          <w:szCs w:val="24"/>
        </w:rPr>
        <w:t xml:space="preserve">. Pieejama: </w:t>
      </w:r>
      <w:hyperlink r:id="rId4" w:history="1">
        <w:r w:rsidRPr="005C3D88">
          <w:rPr>
            <w:rStyle w:val="Hipersaite"/>
            <w:szCs w:val="24"/>
          </w:rPr>
          <w:t>https://www.mk.gov.lv/sites/default/files/editor/kk-valdibas-deklaracija_red-gala.pdf</w:t>
        </w:r>
      </w:hyperlink>
    </w:p>
  </w:footnote>
  <w:footnote w:id="18">
    <w:p w14:paraId="4073D229" w14:textId="4AA3730B" w:rsidR="003F32D9" w:rsidRDefault="003F32D9">
      <w:pPr>
        <w:pStyle w:val="Vresteksts"/>
      </w:pPr>
      <w:r>
        <w:rPr>
          <w:rStyle w:val="Vresatsauce"/>
        </w:rPr>
        <w:footnoteRef/>
      </w:r>
      <w:r>
        <w:t xml:space="preserve"> Latvijas Republikas Satversmes tiesas 2017.</w:t>
      </w:r>
      <w:r w:rsidR="00717D71">
        <w:t> </w:t>
      </w:r>
      <w:r>
        <w:t>gada 2.</w:t>
      </w:r>
      <w:r w:rsidR="00717D71">
        <w:t> </w:t>
      </w:r>
      <w:r>
        <w:t>februāra lēmums (pieteikums Nr.</w:t>
      </w:r>
      <w:r w:rsidR="003B1A1D">
        <w:t> </w:t>
      </w:r>
      <w:r>
        <w:t>4/2017).</w:t>
      </w:r>
      <w:r w:rsidR="00DA2177">
        <w:t xml:space="preserve"> </w:t>
      </w:r>
      <w:r>
        <w:t xml:space="preserve">Pieejams: </w:t>
      </w:r>
      <w:hyperlink r:id="rId5" w:history="1">
        <w:r w:rsidRPr="00510DA0">
          <w:rPr>
            <w:rStyle w:val="Hipersaite"/>
          </w:rPr>
          <w:t>http://www.satv.tiesa.gov.lv/wp-content/uploads/2017/02/Lemums_par_pieteikumu_Nr._2017_4.pdf</w:t>
        </w:r>
      </w:hyperlink>
    </w:p>
  </w:footnote>
  <w:footnote w:id="19">
    <w:p w14:paraId="7A5EA76A" w14:textId="55EC413E" w:rsidR="00DA2177" w:rsidRDefault="00DA2177">
      <w:pPr>
        <w:pStyle w:val="Vresteksts"/>
      </w:pPr>
      <w:r>
        <w:rPr>
          <w:rStyle w:val="Vresatsauce"/>
        </w:rPr>
        <w:footnoteRef/>
      </w:r>
      <w:r>
        <w:t xml:space="preserve"> </w:t>
      </w:r>
      <w:r w:rsidR="00FE11F6">
        <w:t xml:space="preserve">Latvijas Republikas Satversmes tiesas 2017. gada 2. februāra lēmums (pieteikums Nr. 4/2017). Pieejams: </w:t>
      </w:r>
      <w:hyperlink r:id="rId6" w:history="1">
        <w:r w:rsidR="00FE11F6" w:rsidRPr="00510DA0">
          <w:rPr>
            <w:rStyle w:val="Hipersaite"/>
          </w:rPr>
          <w:t>http://www.satv.tiesa.gov.lv/wp-content/uploads/2017/02/Lemums_par_pieteikumu_Nr._2017_4.pdf</w:t>
        </w:r>
      </w:hyperlink>
    </w:p>
  </w:footnote>
  <w:footnote w:id="20">
    <w:p w14:paraId="57C442BF" w14:textId="0BED4607" w:rsidR="00DD397A" w:rsidRDefault="00DD397A">
      <w:pPr>
        <w:pStyle w:val="Vresteksts"/>
      </w:pPr>
      <w:r>
        <w:rPr>
          <w:rStyle w:val="Vresatsauce"/>
        </w:rPr>
        <w:footnoteRef/>
      </w:r>
      <w:r>
        <w:t xml:space="preserve"> Latvijas Republikas Satversmes tiesas </w:t>
      </w:r>
      <w:r w:rsidR="00B51D1C">
        <w:t xml:space="preserve">spriedums </w:t>
      </w:r>
      <w:r w:rsidR="00B51D1C" w:rsidRPr="00B51D1C">
        <w:t>2018.</w:t>
      </w:r>
      <w:r w:rsidR="00407F5F">
        <w:t> </w:t>
      </w:r>
      <w:r w:rsidR="00B51D1C" w:rsidRPr="00B51D1C">
        <w:t>gada 15.</w:t>
      </w:r>
      <w:r w:rsidR="00407F5F">
        <w:t> </w:t>
      </w:r>
      <w:r w:rsidR="00B51D1C" w:rsidRPr="00B51D1C">
        <w:t>februārī</w:t>
      </w:r>
      <w:r w:rsidR="00B51D1C">
        <w:t>,</w:t>
      </w:r>
      <w:r w:rsidR="00B51D1C" w:rsidRPr="00B51D1C">
        <w:t xml:space="preserve"> </w:t>
      </w:r>
      <w:r w:rsidRPr="00DD397A">
        <w:t>liet</w:t>
      </w:r>
      <w:r w:rsidR="00B51D1C">
        <w:t>a</w:t>
      </w:r>
      <w:r w:rsidRPr="00DD397A">
        <w:t xml:space="preserve"> Nr.</w:t>
      </w:r>
      <w:r w:rsidR="00407F5F">
        <w:t> </w:t>
      </w:r>
      <w:r w:rsidRPr="00DD397A">
        <w:t>2017-09-01</w:t>
      </w:r>
      <w:r w:rsidR="00B51D1C">
        <w:t>, 3.</w:t>
      </w:r>
      <w:r w:rsidR="00407F5F">
        <w:t> </w:t>
      </w:r>
      <w:r w:rsidR="00B51D1C">
        <w:t>punkts.</w:t>
      </w:r>
    </w:p>
  </w:footnote>
  <w:footnote w:id="21">
    <w:p w14:paraId="131E6AB6" w14:textId="75F2E597" w:rsidR="00DF13CA" w:rsidRDefault="00DF13CA">
      <w:pPr>
        <w:pStyle w:val="Vresteksts"/>
      </w:pPr>
      <w:r>
        <w:rPr>
          <w:rStyle w:val="Vresatsauce"/>
        </w:rPr>
        <w:footnoteRef/>
      </w:r>
      <w:r>
        <w:t xml:space="preserve"> Civillikuma 188. panta pirmā daļa. </w:t>
      </w:r>
      <w:r w:rsidRPr="00DF13CA">
        <w:t>Pienākums uzturēt vecākus un vajadzības gadījumā arī vecvecākus gulstas uz visiem bērniem samērā ar viņu spējām uzturēt vecākus vai vecvecākus un mantas stāvokli. Strīdus par uzturlīdzekļiem vecākiem vai vecvecākiem izšķir tiesa.</w:t>
      </w:r>
    </w:p>
  </w:footnote>
  <w:footnote w:id="22">
    <w:p w14:paraId="609923ED" w14:textId="3FC80D7E" w:rsidR="003F1CF8" w:rsidRDefault="003F1CF8" w:rsidP="003F1CF8">
      <w:pPr>
        <w:pStyle w:val="Vresteksts"/>
      </w:pPr>
      <w:r>
        <w:rPr>
          <w:rStyle w:val="Vresatsauce"/>
        </w:rPr>
        <w:footnoteRef/>
      </w:r>
      <w:r>
        <w:t xml:space="preserve"> Kriminālprocesa likuma 110.</w:t>
      </w:r>
      <w:r w:rsidR="00407F5F">
        <w:t> </w:t>
      </w:r>
      <w:r>
        <w:t>panta trešās daļas 2.</w:t>
      </w:r>
      <w:r w:rsidR="00407F5F">
        <w:t> </w:t>
      </w:r>
      <w:r>
        <w:t>punkts. Lieciniekam ir tiesības neliecināt pret sevi un saviem tuviniekiem.</w:t>
      </w:r>
    </w:p>
  </w:footnote>
  <w:footnote w:id="23">
    <w:p w14:paraId="6E0423E7" w14:textId="77777777" w:rsidR="003F1CF8" w:rsidRDefault="003F1CF8" w:rsidP="003F1CF8">
      <w:pPr>
        <w:pStyle w:val="Vresteksts"/>
      </w:pPr>
      <w:r>
        <w:rPr>
          <w:rStyle w:val="Vresatsauce"/>
        </w:rPr>
        <w:footnoteRef/>
      </w:r>
      <w:r>
        <w:t xml:space="preserve"> Kriminālprocesa likuma 12. panta piektā daļa.</w:t>
      </w:r>
    </w:p>
  </w:footnote>
  <w:footnote w:id="24">
    <w:p w14:paraId="2FE23B0C" w14:textId="77777777" w:rsidR="003F1CF8" w:rsidRDefault="003F1CF8" w:rsidP="003F1CF8">
      <w:pPr>
        <w:pStyle w:val="Vresteksts"/>
      </w:pPr>
      <w:r>
        <w:rPr>
          <w:rStyle w:val="Vresatsauce"/>
        </w:rPr>
        <w:footnoteRef/>
      </w:r>
      <w:r>
        <w:t xml:space="preserve"> Civilprocesa likuma 250.</w:t>
      </w:r>
      <w:r w:rsidRPr="007C3D09">
        <w:rPr>
          <w:vertAlign w:val="superscript"/>
        </w:rPr>
        <w:t>44</w:t>
      </w:r>
      <w:r>
        <w:t xml:space="preserve"> pants. </w:t>
      </w:r>
      <w:r w:rsidRPr="000E7269">
        <w:t>Pieteikumu par pagaidu aizsardzību pret vardarbību var iesniegt laulātie vai bijušie laulātie; personas, starp kurām pastāv bērnu un vecāku attiecības, pastāv vai ir pastāvējušas aizbildnības vai citas ārpusģimenes aprūpes attiecības; personas, starp kurām pastāv radniecības vai svainības attiecības; personas, kas dzīvo vai dzīvojušas vienā mājsaimniecībā; personas, kurām ir vai ir gaidāms kopīgs bērns, neatkarīgi no tā, vai šīs personas kādreiz bijušas laulībā vai kādreiz dzīvojušas kopā; personas, starp kurām pastāv vai ir pastāvējušas tuvas personiskās vai intīmas attiecības.</w:t>
      </w:r>
    </w:p>
  </w:footnote>
  <w:footnote w:id="25">
    <w:p w14:paraId="6AE408FB" w14:textId="76D6B79E" w:rsidR="00EA1D4D" w:rsidRDefault="00EA1D4D">
      <w:pPr>
        <w:pStyle w:val="Vresteksts"/>
      </w:pPr>
      <w:r>
        <w:rPr>
          <w:rStyle w:val="Vresatsauce"/>
        </w:rPr>
        <w:footnoteRef/>
      </w:r>
      <w:r>
        <w:t xml:space="preserve"> Latvijas Republikas Satversmes 100. panta pirmais teikums. </w:t>
      </w:r>
      <w:r w:rsidRPr="00EA1D4D">
        <w:t>Ikvienam ir tiesības uz vārda brīvību, kas ietver tiesības brīvi iegūt, paturēt un izplatīt informāciju, paust savus uzskatus.</w:t>
      </w:r>
    </w:p>
  </w:footnote>
  <w:footnote w:id="26">
    <w:p w14:paraId="7954D2D7" w14:textId="78BA83D2" w:rsidR="00934825" w:rsidRDefault="00934825">
      <w:pPr>
        <w:pStyle w:val="Vresteksts"/>
      </w:pPr>
      <w:r>
        <w:rPr>
          <w:rStyle w:val="Vresatsauce"/>
        </w:rPr>
        <w:footnoteRef/>
      </w:r>
      <w:r>
        <w:t xml:space="preserve"> Civillikums 393.</w:t>
      </w:r>
      <w:r w:rsidR="00C56980">
        <w:t> </w:t>
      </w:r>
      <w:r>
        <w:t>pants.</w:t>
      </w:r>
    </w:p>
  </w:footnote>
  <w:footnote w:id="27">
    <w:p w14:paraId="7D1C1562" w14:textId="26600275" w:rsidR="001D23C1" w:rsidRDefault="001D23C1">
      <w:pPr>
        <w:pStyle w:val="Vresteksts"/>
      </w:pPr>
      <w:r>
        <w:rPr>
          <w:rStyle w:val="Vresatsauce"/>
        </w:rPr>
        <w:footnoteRef/>
      </w:r>
      <w:r>
        <w:t xml:space="preserve"> Civillikuma 396.</w:t>
      </w:r>
      <w:r w:rsidR="00C56980">
        <w:t> </w:t>
      </w:r>
      <w:r>
        <w:t>pants.</w:t>
      </w:r>
    </w:p>
  </w:footnote>
  <w:footnote w:id="28">
    <w:p w14:paraId="5B71A1FB" w14:textId="4C4AFD06" w:rsidR="00DF7037" w:rsidRDefault="00DF7037">
      <w:pPr>
        <w:pStyle w:val="Vresteksts"/>
      </w:pPr>
      <w:r>
        <w:rPr>
          <w:rStyle w:val="Vresatsauce"/>
        </w:rPr>
        <w:footnoteRef/>
      </w:r>
      <w:r>
        <w:t xml:space="preserve"> Civillikuma 403.</w:t>
      </w:r>
      <w:r w:rsidR="00C56980">
        <w:t> </w:t>
      </w:r>
      <w:r>
        <w:t>pants.</w:t>
      </w:r>
    </w:p>
  </w:footnote>
  <w:footnote w:id="29">
    <w:p w14:paraId="2BF382DC" w14:textId="2E2E6447" w:rsidR="00F95ABB" w:rsidRPr="00BB6E42" w:rsidRDefault="00F95ABB">
      <w:pPr>
        <w:pStyle w:val="Vresteksts"/>
      </w:pPr>
      <w:r w:rsidRPr="00BB6E42">
        <w:rPr>
          <w:rStyle w:val="Vresatsauce"/>
        </w:rPr>
        <w:footnoteRef/>
      </w:r>
      <w:r w:rsidRPr="00BB6E42">
        <w:t xml:space="preserve"> </w:t>
      </w:r>
      <w:r w:rsidRPr="00BB6E42">
        <w:rPr>
          <w:kern w:val="2"/>
        </w:rPr>
        <w:t xml:space="preserve">Jebkurai personai ir tiesības uz īpašumu. Nevienam nedrīkst atņemt viņa īpašumu, izņemot, ja tas notiek sabiedrības interesēs un apstākļos, kas noteikti ar likumu un atbilst vispārējiem starptautisko tiesību principiem. Minētie nosacījumi nekādā veidā nedrīkst ierobežot valsts tiesības izdot tādus likumus, kādus tā uzskata par nepieciešamiem, lai kontrolētu īpašuma izmantošanu saskaņā ar vispārējām sabiedrības interesēm, vai arī nodrošinātu nodokļu vai citu maksājumu, vai sodu samaksu. </w:t>
      </w:r>
    </w:p>
  </w:footnote>
  <w:footnote w:id="30">
    <w:p w14:paraId="129DB0E6" w14:textId="7F69DFAB" w:rsidR="00F95ABB" w:rsidRPr="00BB6E42" w:rsidRDefault="00F95ABB" w:rsidP="00F95ABB">
      <w:pPr>
        <w:rPr>
          <w:sz w:val="20"/>
          <w:szCs w:val="20"/>
        </w:rPr>
      </w:pPr>
      <w:r w:rsidRPr="00BB6E42">
        <w:rPr>
          <w:rStyle w:val="FootnoteCharacters"/>
          <w:sz w:val="20"/>
          <w:szCs w:val="20"/>
        </w:rPr>
        <w:footnoteRef/>
      </w:r>
      <w:r w:rsidR="0090461A">
        <w:rPr>
          <w:sz w:val="20"/>
          <w:szCs w:val="20"/>
        </w:rPr>
        <w:t xml:space="preserve"> </w:t>
      </w:r>
      <w:r w:rsidRPr="00BB6E42">
        <w:rPr>
          <w:sz w:val="20"/>
          <w:szCs w:val="20"/>
        </w:rPr>
        <w:t>Tiesībsarga 2008.</w:t>
      </w:r>
      <w:r w:rsidR="0090461A">
        <w:rPr>
          <w:sz w:val="20"/>
          <w:szCs w:val="20"/>
        </w:rPr>
        <w:t> </w:t>
      </w:r>
      <w:r w:rsidRPr="00BB6E42">
        <w:rPr>
          <w:sz w:val="20"/>
          <w:szCs w:val="20"/>
        </w:rPr>
        <w:t xml:space="preserve">gada janvāra viedoklis </w:t>
      </w:r>
      <w:r w:rsidR="0090461A">
        <w:rPr>
          <w:sz w:val="20"/>
          <w:szCs w:val="20"/>
        </w:rPr>
        <w:t>"</w:t>
      </w:r>
      <w:r w:rsidRPr="00BB6E42">
        <w:rPr>
          <w:kern w:val="2"/>
          <w:sz w:val="20"/>
          <w:szCs w:val="20"/>
        </w:rPr>
        <w:t>Valsts nodevas apmērs par īpašuma tiesību nostiprināšanu zemesgrāmatā īpašuma atsavināšanas gadījumā"</w:t>
      </w:r>
      <w:r w:rsidR="007E3CE1" w:rsidRPr="00BB6E42">
        <w:rPr>
          <w:kern w:val="2"/>
          <w:sz w:val="20"/>
          <w:szCs w:val="20"/>
        </w:rPr>
        <w:t xml:space="preserve"> - </w:t>
      </w:r>
      <w:r w:rsidRPr="00BB6E42">
        <w:rPr>
          <w:kern w:val="2"/>
          <w:sz w:val="20"/>
          <w:szCs w:val="20"/>
        </w:rPr>
        <w:t>nav publicēts.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P="004E474B" w:rsidRDefault="007B3740" w14:paraId="0A5A58F8" w14:textId="19055386">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0A5A58F9"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836FF" w:rsidR="00AB4E8A" w:rsidP="004E474B" w:rsidRDefault="00221D89" w14:paraId="0A5A590B" w14:textId="3DAE966D">
    <w:pPr>
      <w:pStyle w:val="Galvene"/>
      <w:rPr>
        <w:szCs w:val="24"/>
      </w:rPr>
    </w:pPr>
    <w:r>
      <w:tab/>
    </w:r>
    <w:r>
      <w:tab/>
    </w:r>
    <w:r>
      <w:t>29.04.2019</w:t>
    </w:r>
    <w:r>
      <w:t>1-9.2/407</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0588"/>
    <w:rsid w:val="00030349"/>
    <w:rsid w:val="00042F40"/>
    <w:rsid w:val="00052AF0"/>
    <w:rsid w:val="0005514A"/>
    <w:rsid w:val="00065DF4"/>
    <w:rsid w:val="00070929"/>
    <w:rsid w:val="000777AC"/>
    <w:rsid w:val="000855C6"/>
    <w:rsid w:val="00091ABD"/>
    <w:rsid w:val="00093785"/>
    <w:rsid w:val="00095912"/>
    <w:rsid w:val="000A2E58"/>
    <w:rsid w:val="000A6F70"/>
    <w:rsid w:val="000B1438"/>
    <w:rsid w:val="000C5F47"/>
    <w:rsid w:val="000D1202"/>
    <w:rsid w:val="000D51A3"/>
    <w:rsid w:val="000D74DC"/>
    <w:rsid w:val="000E6020"/>
    <w:rsid w:val="000E60F4"/>
    <w:rsid w:val="000E7014"/>
    <w:rsid w:val="000E7269"/>
    <w:rsid w:val="000E72D3"/>
    <w:rsid w:val="000E7F03"/>
    <w:rsid w:val="000F00F9"/>
    <w:rsid w:val="000F120C"/>
    <w:rsid w:val="001148D4"/>
    <w:rsid w:val="0011559F"/>
    <w:rsid w:val="00116596"/>
    <w:rsid w:val="00124173"/>
    <w:rsid w:val="00131E31"/>
    <w:rsid w:val="00133FF9"/>
    <w:rsid w:val="00141C0A"/>
    <w:rsid w:val="00141EDA"/>
    <w:rsid w:val="00144318"/>
    <w:rsid w:val="0015058B"/>
    <w:rsid w:val="00150BCC"/>
    <w:rsid w:val="00151F2F"/>
    <w:rsid w:val="0015465D"/>
    <w:rsid w:val="00165804"/>
    <w:rsid w:val="00171E00"/>
    <w:rsid w:val="0017486D"/>
    <w:rsid w:val="00181381"/>
    <w:rsid w:val="00181C8D"/>
    <w:rsid w:val="001855CF"/>
    <w:rsid w:val="00187110"/>
    <w:rsid w:val="00191C20"/>
    <w:rsid w:val="00192F5B"/>
    <w:rsid w:val="00197CDB"/>
    <w:rsid w:val="001B02A5"/>
    <w:rsid w:val="001B0775"/>
    <w:rsid w:val="001B3288"/>
    <w:rsid w:val="001B43C3"/>
    <w:rsid w:val="001B55C3"/>
    <w:rsid w:val="001C2B0E"/>
    <w:rsid w:val="001D1227"/>
    <w:rsid w:val="001D23C1"/>
    <w:rsid w:val="001D7283"/>
    <w:rsid w:val="001E2679"/>
    <w:rsid w:val="001F57C0"/>
    <w:rsid w:val="002001F5"/>
    <w:rsid w:val="00202EB4"/>
    <w:rsid w:val="002075F4"/>
    <w:rsid w:val="00207AF3"/>
    <w:rsid w:val="00210662"/>
    <w:rsid w:val="002156BB"/>
    <w:rsid w:val="00221D89"/>
    <w:rsid w:val="002230C0"/>
    <w:rsid w:val="00226EB8"/>
    <w:rsid w:val="00227092"/>
    <w:rsid w:val="00235C89"/>
    <w:rsid w:val="00240497"/>
    <w:rsid w:val="0024247B"/>
    <w:rsid w:val="00244462"/>
    <w:rsid w:val="00247B0D"/>
    <w:rsid w:val="00247D10"/>
    <w:rsid w:val="00253107"/>
    <w:rsid w:val="00264042"/>
    <w:rsid w:val="00267C95"/>
    <w:rsid w:val="00275B9E"/>
    <w:rsid w:val="002769C9"/>
    <w:rsid w:val="002904CB"/>
    <w:rsid w:val="002A2151"/>
    <w:rsid w:val="002A377A"/>
    <w:rsid w:val="002A3A83"/>
    <w:rsid w:val="002A4145"/>
    <w:rsid w:val="002A7272"/>
    <w:rsid w:val="002B3077"/>
    <w:rsid w:val="002B71C5"/>
    <w:rsid w:val="002B7774"/>
    <w:rsid w:val="002C4A74"/>
    <w:rsid w:val="002C4CF8"/>
    <w:rsid w:val="002D2AB7"/>
    <w:rsid w:val="002E1474"/>
    <w:rsid w:val="002E6ACF"/>
    <w:rsid w:val="002F5079"/>
    <w:rsid w:val="002F72E4"/>
    <w:rsid w:val="00312ED5"/>
    <w:rsid w:val="00323F8E"/>
    <w:rsid w:val="0032581E"/>
    <w:rsid w:val="00330036"/>
    <w:rsid w:val="00331C4F"/>
    <w:rsid w:val="00335032"/>
    <w:rsid w:val="00337262"/>
    <w:rsid w:val="003454E6"/>
    <w:rsid w:val="00362FB6"/>
    <w:rsid w:val="00364063"/>
    <w:rsid w:val="00367B2F"/>
    <w:rsid w:val="00370C0C"/>
    <w:rsid w:val="00372D99"/>
    <w:rsid w:val="00377F62"/>
    <w:rsid w:val="00384CB1"/>
    <w:rsid w:val="00385A8D"/>
    <w:rsid w:val="0038722F"/>
    <w:rsid w:val="00391A97"/>
    <w:rsid w:val="00394A11"/>
    <w:rsid w:val="00396C03"/>
    <w:rsid w:val="003A63E0"/>
    <w:rsid w:val="003A7BC1"/>
    <w:rsid w:val="003A7D07"/>
    <w:rsid w:val="003B1A1D"/>
    <w:rsid w:val="003B388A"/>
    <w:rsid w:val="003B59C0"/>
    <w:rsid w:val="003C4E2C"/>
    <w:rsid w:val="003D7D9A"/>
    <w:rsid w:val="003F1CF8"/>
    <w:rsid w:val="003F32D9"/>
    <w:rsid w:val="003F41ED"/>
    <w:rsid w:val="003F51C8"/>
    <w:rsid w:val="00407F5F"/>
    <w:rsid w:val="00413FCB"/>
    <w:rsid w:val="00415482"/>
    <w:rsid w:val="004315C3"/>
    <w:rsid w:val="00440C60"/>
    <w:rsid w:val="004411FD"/>
    <w:rsid w:val="004415E5"/>
    <w:rsid w:val="00441F52"/>
    <w:rsid w:val="004450EE"/>
    <w:rsid w:val="0044657E"/>
    <w:rsid w:val="00452E14"/>
    <w:rsid w:val="00456251"/>
    <w:rsid w:val="004573F3"/>
    <w:rsid w:val="00472630"/>
    <w:rsid w:val="00480383"/>
    <w:rsid w:val="004804C2"/>
    <w:rsid w:val="00481127"/>
    <w:rsid w:val="00482D1B"/>
    <w:rsid w:val="0048536B"/>
    <w:rsid w:val="00486706"/>
    <w:rsid w:val="004907F7"/>
    <w:rsid w:val="00493308"/>
    <w:rsid w:val="0049619B"/>
    <w:rsid w:val="00497701"/>
    <w:rsid w:val="004B4C71"/>
    <w:rsid w:val="004B5773"/>
    <w:rsid w:val="004B76F7"/>
    <w:rsid w:val="004C061C"/>
    <w:rsid w:val="004C75CA"/>
    <w:rsid w:val="004D03D3"/>
    <w:rsid w:val="004D27B8"/>
    <w:rsid w:val="004D4472"/>
    <w:rsid w:val="004D5014"/>
    <w:rsid w:val="004D57B7"/>
    <w:rsid w:val="004E0A12"/>
    <w:rsid w:val="004E1065"/>
    <w:rsid w:val="004E474B"/>
    <w:rsid w:val="004E4C58"/>
    <w:rsid w:val="004E788A"/>
    <w:rsid w:val="004F61AF"/>
    <w:rsid w:val="00505648"/>
    <w:rsid w:val="0050691C"/>
    <w:rsid w:val="00507390"/>
    <w:rsid w:val="00514BA2"/>
    <w:rsid w:val="005216A1"/>
    <w:rsid w:val="0052454A"/>
    <w:rsid w:val="00527FA2"/>
    <w:rsid w:val="005314FA"/>
    <w:rsid w:val="005327C6"/>
    <w:rsid w:val="00535564"/>
    <w:rsid w:val="00543B48"/>
    <w:rsid w:val="00546633"/>
    <w:rsid w:val="00552440"/>
    <w:rsid w:val="00563CA1"/>
    <w:rsid w:val="00570600"/>
    <w:rsid w:val="00592298"/>
    <w:rsid w:val="00597418"/>
    <w:rsid w:val="005A41AC"/>
    <w:rsid w:val="005A44C1"/>
    <w:rsid w:val="005B23CB"/>
    <w:rsid w:val="005B3FBD"/>
    <w:rsid w:val="005B5399"/>
    <w:rsid w:val="005C37FA"/>
    <w:rsid w:val="005C3858"/>
    <w:rsid w:val="005C4B61"/>
    <w:rsid w:val="005D1762"/>
    <w:rsid w:val="005D1B24"/>
    <w:rsid w:val="005E0688"/>
    <w:rsid w:val="005E672B"/>
    <w:rsid w:val="005E757F"/>
    <w:rsid w:val="005F00B4"/>
    <w:rsid w:val="006028DB"/>
    <w:rsid w:val="0060374E"/>
    <w:rsid w:val="00613A89"/>
    <w:rsid w:val="00622AF0"/>
    <w:rsid w:val="00626C96"/>
    <w:rsid w:val="0063462A"/>
    <w:rsid w:val="006361EF"/>
    <w:rsid w:val="006430EA"/>
    <w:rsid w:val="00645EDF"/>
    <w:rsid w:val="0064763C"/>
    <w:rsid w:val="006506FC"/>
    <w:rsid w:val="00652032"/>
    <w:rsid w:val="00656519"/>
    <w:rsid w:val="00661FA4"/>
    <w:rsid w:val="006625EF"/>
    <w:rsid w:val="00663C3A"/>
    <w:rsid w:val="006764D5"/>
    <w:rsid w:val="00690D21"/>
    <w:rsid w:val="0069259F"/>
    <w:rsid w:val="006A54AB"/>
    <w:rsid w:val="006A78FB"/>
    <w:rsid w:val="006A7EB5"/>
    <w:rsid w:val="006B14B4"/>
    <w:rsid w:val="006B6941"/>
    <w:rsid w:val="006C1639"/>
    <w:rsid w:val="006C2498"/>
    <w:rsid w:val="006C4CDF"/>
    <w:rsid w:val="006C507F"/>
    <w:rsid w:val="006C6018"/>
    <w:rsid w:val="006D102E"/>
    <w:rsid w:val="006D51D2"/>
    <w:rsid w:val="006E4CC6"/>
    <w:rsid w:val="006E59E2"/>
    <w:rsid w:val="00700948"/>
    <w:rsid w:val="00701A0E"/>
    <w:rsid w:val="00704E8C"/>
    <w:rsid w:val="00710763"/>
    <w:rsid w:val="00713E46"/>
    <w:rsid w:val="00715C15"/>
    <w:rsid w:val="00717D71"/>
    <w:rsid w:val="0072153F"/>
    <w:rsid w:val="00722708"/>
    <w:rsid w:val="00724680"/>
    <w:rsid w:val="00726E06"/>
    <w:rsid w:val="00747B2F"/>
    <w:rsid w:val="00747CCB"/>
    <w:rsid w:val="0075154C"/>
    <w:rsid w:val="00762E41"/>
    <w:rsid w:val="0076563B"/>
    <w:rsid w:val="007704BD"/>
    <w:rsid w:val="0077229E"/>
    <w:rsid w:val="007722A5"/>
    <w:rsid w:val="00772F7F"/>
    <w:rsid w:val="00790E57"/>
    <w:rsid w:val="007A6637"/>
    <w:rsid w:val="007B3740"/>
    <w:rsid w:val="007B3ACD"/>
    <w:rsid w:val="007B3BA5"/>
    <w:rsid w:val="007B48EC"/>
    <w:rsid w:val="007B691A"/>
    <w:rsid w:val="007C1F3E"/>
    <w:rsid w:val="007C24E4"/>
    <w:rsid w:val="007C3D09"/>
    <w:rsid w:val="007C5B44"/>
    <w:rsid w:val="007D0F91"/>
    <w:rsid w:val="007D6ACC"/>
    <w:rsid w:val="007E0D0E"/>
    <w:rsid w:val="007E3CE1"/>
    <w:rsid w:val="007E4D1F"/>
    <w:rsid w:val="007E7BA5"/>
    <w:rsid w:val="007F0695"/>
    <w:rsid w:val="007F0ED0"/>
    <w:rsid w:val="007F4D0E"/>
    <w:rsid w:val="007F5CBA"/>
    <w:rsid w:val="008005C8"/>
    <w:rsid w:val="00801DA0"/>
    <w:rsid w:val="0080292A"/>
    <w:rsid w:val="00805EF7"/>
    <w:rsid w:val="00807473"/>
    <w:rsid w:val="00814629"/>
    <w:rsid w:val="00815277"/>
    <w:rsid w:val="00816051"/>
    <w:rsid w:val="00816499"/>
    <w:rsid w:val="00821801"/>
    <w:rsid w:val="00830970"/>
    <w:rsid w:val="008338F5"/>
    <w:rsid w:val="008349F0"/>
    <w:rsid w:val="0083610A"/>
    <w:rsid w:val="00837362"/>
    <w:rsid w:val="00843300"/>
    <w:rsid w:val="008551C6"/>
    <w:rsid w:val="00855E0F"/>
    <w:rsid w:val="00857114"/>
    <w:rsid w:val="008666F1"/>
    <w:rsid w:val="00871CA8"/>
    <w:rsid w:val="0087450D"/>
    <w:rsid w:val="00875DC9"/>
    <w:rsid w:val="00876C21"/>
    <w:rsid w:val="0088023A"/>
    <w:rsid w:val="00881000"/>
    <w:rsid w:val="00882B70"/>
    <w:rsid w:val="00883533"/>
    <w:rsid w:val="0088796A"/>
    <w:rsid w:val="0089685E"/>
    <w:rsid w:val="008A0B2C"/>
    <w:rsid w:val="008A24EF"/>
    <w:rsid w:val="008A2F14"/>
    <w:rsid w:val="008A679D"/>
    <w:rsid w:val="008B0FD4"/>
    <w:rsid w:val="008B66B9"/>
    <w:rsid w:val="008C256B"/>
    <w:rsid w:val="008D2D37"/>
    <w:rsid w:val="008D50AA"/>
    <w:rsid w:val="008D6007"/>
    <w:rsid w:val="008E3CED"/>
    <w:rsid w:val="008E6A66"/>
    <w:rsid w:val="008F64C0"/>
    <w:rsid w:val="009045CA"/>
    <w:rsid w:val="0090461A"/>
    <w:rsid w:val="0090744C"/>
    <w:rsid w:val="00910039"/>
    <w:rsid w:val="00913994"/>
    <w:rsid w:val="009211D0"/>
    <w:rsid w:val="00926AB0"/>
    <w:rsid w:val="00933E52"/>
    <w:rsid w:val="00934825"/>
    <w:rsid w:val="00945F6B"/>
    <w:rsid w:val="009462FF"/>
    <w:rsid w:val="00954D5A"/>
    <w:rsid w:val="00960D4A"/>
    <w:rsid w:val="00961D26"/>
    <w:rsid w:val="0096342D"/>
    <w:rsid w:val="00964E91"/>
    <w:rsid w:val="00965452"/>
    <w:rsid w:val="00971ED3"/>
    <w:rsid w:val="00976AD2"/>
    <w:rsid w:val="00981A50"/>
    <w:rsid w:val="00981D6A"/>
    <w:rsid w:val="009835E4"/>
    <w:rsid w:val="00993AFB"/>
    <w:rsid w:val="00997B5E"/>
    <w:rsid w:val="009A492F"/>
    <w:rsid w:val="009A7FA2"/>
    <w:rsid w:val="009B5F93"/>
    <w:rsid w:val="009B678A"/>
    <w:rsid w:val="009B76B8"/>
    <w:rsid w:val="009D4192"/>
    <w:rsid w:val="009D4BA0"/>
    <w:rsid w:val="009D555E"/>
    <w:rsid w:val="009D6B6A"/>
    <w:rsid w:val="009D7AE4"/>
    <w:rsid w:val="009D7CAE"/>
    <w:rsid w:val="009E654F"/>
    <w:rsid w:val="009F6192"/>
    <w:rsid w:val="00A01E8D"/>
    <w:rsid w:val="00A02FEF"/>
    <w:rsid w:val="00A04A69"/>
    <w:rsid w:val="00A06AC6"/>
    <w:rsid w:val="00A2140C"/>
    <w:rsid w:val="00A26BB6"/>
    <w:rsid w:val="00A308FF"/>
    <w:rsid w:val="00A3132F"/>
    <w:rsid w:val="00A34ACB"/>
    <w:rsid w:val="00A43FE9"/>
    <w:rsid w:val="00A53BCA"/>
    <w:rsid w:val="00A655F7"/>
    <w:rsid w:val="00A73E19"/>
    <w:rsid w:val="00A74ED2"/>
    <w:rsid w:val="00A823B8"/>
    <w:rsid w:val="00A83688"/>
    <w:rsid w:val="00A96648"/>
    <w:rsid w:val="00AA0B2F"/>
    <w:rsid w:val="00AA5079"/>
    <w:rsid w:val="00AA6E85"/>
    <w:rsid w:val="00AB0A87"/>
    <w:rsid w:val="00AB0B5D"/>
    <w:rsid w:val="00AB39AC"/>
    <w:rsid w:val="00AB4E8A"/>
    <w:rsid w:val="00AB68DA"/>
    <w:rsid w:val="00AC16A6"/>
    <w:rsid w:val="00AC270F"/>
    <w:rsid w:val="00AC4045"/>
    <w:rsid w:val="00AC440B"/>
    <w:rsid w:val="00AD0FE7"/>
    <w:rsid w:val="00AD62EA"/>
    <w:rsid w:val="00AE6115"/>
    <w:rsid w:val="00AE77DD"/>
    <w:rsid w:val="00AF10A5"/>
    <w:rsid w:val="00AF7EFD"/>
    <w:rsid w:val="00B02E2A"/>
    <w:rsid w:val="00B0486B"/>
    <w:rsid w:val="00B20064"/>
    <w:rsid w:val="00B207AD"/>
    <w:rsid w:val="00B304FE"/>
    <w:rsid w:val="00B36C97"/>
    <w:rsid w:val="00B4286F"/>
    <w:rsid w:val="00B44FA7"/>
    <w:rsid w:val="00B51D1C"/>
    <w:rsid w:val="00B51F4B"/>
    <w:rsid w:val="00B61B98"/>
    <w:rsid w:val="00B730FA"/>
    <w:rsid w:val="00B77F6D"/>
    <w:rsid w:val="00B92D3D"/>
    <w:rsid w:val="00B94A8E"/>
    <w:rsid w:val="00B96BCB"/>
    <w:rsid w:val="00BA597C"/>
    <w:rsid w:val="00BB0035"/>
    <w:rsid w:val="00BB087F"/>
    <w:rsid w:val="00BB0A68"/>
    <w:rsid w:val="00BB2F8B"/>
    <w:rsid w:val="00BB38DD"/>
    <w:rsid w:val="00BB456B"/>
    <w:rsid w:val="00BB6E42"/>
    <w:rsid w:val="00BC5B41"/>
    <w:rsid w:val="00BC63AA"/>
    <w:rsid w:val="00BF5F9F"/>
    <w:rsid w:val="00C016BA"/>
    <w:rsid w:val="00C04896"/>
    <w:rsid w:val="00C06112"/>
    <w:rsid w:val="00C100DC"/>
    <w:rsid w:val="00C16C45"/>
    <w:rsid w:val="00C22516"/>
    <w:rsid w:val="00C22876"/>
    <w:rsid w:val="00C2340B"/>
    <w:rsid w:val="00C255D9"/>
    <w:rsid w:val="00C34FA7"/>
    <w:rsid w:val="00C37987"/>
    <w:rsid w:val="00C47F57"/>
    <w:rsid w:val="00C51484"/>
    <w:rsid w:val="00C515F4"/>
    <w:rsid w:val="00C56980"/>
    <w:rsid w:val="00C57FBB"/>
    <w:rsid w:val="00C607D2"/>
    <w:rsid w:val="00C701BF"/>
    <w:rsid w:val="00C71510"/>
    <w:rsid w:val="00C74D4C"/>
    <w:rsid w:val="00C81464"/>
    <w:rsid w:val="00C81C62"/>
    <w:rsid w:val="00C82EAE"/>
    <w:rsid w:val="00C836FF"/>
    <w:rsid w:val="00C9258E"/>
    <w:rsid w:val="00C953FE"/>
    <w:rsid w:val="00C95649"/>
    <w:rsid w:val="00CA019A"/>
    <w:rsid w:val="00CA5C58"/>
    <w:rsid w:val="00CB2660"/>
    <w:rsid w:val="00CC2E25"/>
    <w:rsid w:val="00CD427F"/>
    <w:rsid w:val="00CE45A9"/>
    <w:rsid w:val="00CF0967"/>
    <w:rsid w:val="00CF5AFC"/>
    <w:rsid w:val="00CF739B"/>
    <w:rsid w:val="00D02D56"/>
    <w:rsid w:val="00D12375"/>
    <w:rsid w:val="00D140EE"/>
    <w:rsid w:val="00D15F5C"/>
    <w:rsid w:val="00D165DB"/>
    <w:rsid w:val="00D20128"/>
    <w:rsid w:val="00D21FA6"/>
    <w:rsid w:val="00D2561B"/>
    <w:rsid w:val="00D45AB8"/>
    <w:rsid w:val="00D50E62"/>
    <w:rsid w:val="00D50FC6"/>
    <w:rsid w:val="00D51EC1"/>
    <w:rsid w:val="00D55414"/>
    <w:rsid w:val="00D55B4B"/>
    <w:rsid w:val="00D60116"/>
    <w:rsid w:val="00D6178C"/>
    <w:rsid w:val="00D63137"/>
    <w:rsid w:val="00D642F0"/>
    <w:rsid w:val="00D74360"/>
    <w:rsid w:val="00D85D0C"/>
    <w:rsid w:val="00D85D6C"/>
    <w:rsid w:val="00D91D01"/>
    <w:rsid w:val="00D92844"/>
    <w:rsid w:val="00D95429"/>
    <w:rsid w:val="00DA2177"/>
    <w:rsid w:val="00DA6776"/>
    <w:rsid w:val="00DA69CD"/>
    <w:rsid w:val="00DA6C23"/>
    <w:rsid w:val="00DB49DF"/>
    <w:rsid w:val="00DB4DF6"/>
    <w:rsid w:val="00DB7367"/>
    <w:rsid w:val="00DC550E"/>
    <w:rsid w:val="00DD397A"/>
    <w:rsid w:val="00DD7E58"/>
    <w:rsid w:val="00DE2539"/>
    <w:rsid w:val="00DE7AA3"/>
    <w:rsid w:val="00DF13CA"/>
    <w:rsid w:val="00DF1708"/>
    <w:rsid w:val="00DF20A8"/>
    <w:rsid w:val="00DF7037"/>
    <w:rsid w:val="00DF7177"/>
    <w:rsid w:val="00E025B0"/>
    <w:rsid w:val="00E04279"/>
    <w:rsid w:val="00E11DA3"/>
    <w:rsid w:val="00E12C95"/>
    <w:rsid w:val="00E16436"/>
    <w:rsid w:val="00E21964"/>
    <w:rsid w:val="00E242AB"/>
    <w:rsid w:val="00E2758F"/>
    <w:rsid w:val="00E365CE"/>
    <w:rsid w:val="00E36959"/>
    <w:rsid w:val="00E40434"/>
    <w:rsid w:val="00E40F20"/>
    <w:rsid w:val="00E44743"/>
    <w:rsid w:val="00E5057D"/>
    <w:rsid w:val="00E60F50"/>
    <w:rsid w:val="00E63DE6"/>
    <w:rsid w:val="00E702CC"/>
    <w:rsid w:val="00E81B5F"/>
    <w:rsid w:val="00E84099"/>
    <w:rsid w:val="00E84F30"/>
    <w:rsid w:val="00E85A1E"/>
    <w:rsid w:val="00E95519"/>
    <w:rsid w:val="00E959B4"/>
    <w:rsid w:val="00E964B3"/>
    <w:rsid w:val="00E96E05"/>
    <w:rsid w:val="00EA1054"/>
    <w:rsid w:val="00EA1D4D"/>
    <w:rsid w:val="00EA31C7"/>
    <w:rsid w:val="00EA4FB9"/>
    <w:rsid w:val="00EB0397"/>
    <w:rsid w:val="00EB1D7A"/>
    <w:rsid w:val="00EB23EA"/>
    <w:rsid w:val="00EC0561"/>
    <w:rsid w:val="00EC3533"/>
    <w:rsid w:val="00EC48FE"/>
    <w:rsid w:val="00ED29D2"/>
    <w:rsid w:val="00F01398"/>
    <w:rsid w:val="00F134AC"/>
    <w:rsid w:val="00F2708F"/>
    <w:rsid w:val="00F40BC8"/>
    <w:rsid w:val="00F53853"/>
    <w:rsid w:val="00F54FE6"/>
    <w:rsid w:val="00F60586"/>
    <w:rsid w:val="00F625BF"/>
    <w:rsid w:val="00F82353"/>
    <w:rsid w:val="00F855A7"/>
    <w:rsid w:val="00F86B60"/>
    <w:rsid w:val="00F91160"/>
    <w:rsid w:val="00F91344"/>
    <w:rsid w:val="00F94EDE"/>
    <w:rsid w:val="00F95ABB"/>
    <w:rsid w:val="00FA58AE"/>
    <w:rsid w:val="00FB17CF"/>
    <w:rsid w:val="00FC77A6"/>
    <w:rsid w:val="00FD1286"/>
    <w:rsid w:val="00FE11F6"/>
    <w:rsid w:val="00FF3E93"/>
    <w:rsid w:val="00FF6BA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uiPriority w:val="99"/>
    <w:unhideWhenUsed/>
    <w:rsid w:val="00945F6B"/>
    <w:rPr>
      <w:sz w:val="20"/>
      <w:szCs w:val="20"/>
    </w:rPr>
  </w:style>
  <w:style w:type="character" w:customStyle="1" w:styleId="VrestekstsRakstz">
    <w:name w:val="Vēres teksts Rakstz."/>
    <w:aliases w:val="Footnote Rakstz.,Fußnote Rakstz."/>
    <w:basedOn w:val="Noklusjumarindkopasfonts"/>
    <w:link w:val="Vresteksts"/>
    <w:uiPriority w:val="99"/>
    <w:rsid w:val="00945F6B"/>
    <w:rPr>
      <w:rFonts w:ascii="Times New Roman" w:hAnsi="Times New Roman"/>
      <w:lang w:eastAsia="en-US"/>
    </w:rPr>
  </w:style>
  <w:style w:type="character" w:styleId="Vresatsauce">
    <w:name w:val="footnote reference"/>
    <w:basedOn w:val="Noklusjumarindkopasfonts"/>
    <w:uiPriority w:val="99"/>
    <w:unhideWhenUsed/>
    <w:rsid w:val="00945F6B"/>
    <w:rPr>
      <w:vertAlign w:val="superscript"/>
    </w:rPr>
  </w:style>
  <w:style w:type="paragraph" w:customStyle="1" w:styleId="tv2132">
    <w:name w:val="tv2132"/>
    <w:basedOn w:val="Parasts"/>
    <w:rsid w:val="00EB23EA"/>
    <w:pPr>
      <w:widowControl/>
      <w:spacing w:line="360" w:lineRule="auto"/>
      <w:ind w:firstLine="300"/>
      <w:jc w:val="left"/>
    </w:pPr>
    <w:rPr>
      <w:rFonts w:eastAsia="Times New Roman"/>
      <w:color w:val="414142"/>
      <w:sz w:val="20"/>
      <w:szCs w:val="20"/>
      <w:lang w:eastAsia="lv-LV"/>
    </w:rPr>
  </w:style>
  <w:style w:type="character" w:styleId="Neatrisintapieminana">
    <w:name w:val="Unresolved Mention"/>
    <w:basedOn w:val="Noklusjumarindkopasfonts"/>
    <w:uiPriority w:val="99"/>
    <w:semiHidden/>
    <w:unhideWhenUsed/>
    <w:rsid w:val="005F00B4"/>
    <w:rPr>
      <w:color w:val="605E5C"/>
      <w:shd w:val="clear" w:color="auto" w:fill="E1DFDD"/>
    </w:rPr>
  </w:style>
  <w:style w:type="character" w:customStyle="1" w:styleId="svno">
    <w:name w:val="sv_no"/>
    <w:basedOn w:val="Noklusjumarindkopasfonts"/>
    <w:rsid w:val="00790E57"/>
  </w:style>
  <w:style w:type="paragraph" w:styleId="Paraststmeklis">
    <w:name w:val="Normal (Web)"/>
    <w:basedOn w:val="Parasts"/>
    <w:uiPriority w:val="99"/>
    <w:semiHidden/>
    <w:unhideWhenUsed/>
    <w:rsid w:val="000A6F70"/>
    <w:rPr>
      <w:szCs w:val="24"/>
    </w:rPr>
  </w:style>
  <w:style w:type="character" w:customStyle="1" w:styleId="FootnoteCharacters">
    <w:name w:val="Footnote Characters"/>
    <w:rsid w:val="000B1438"/>
    <w:rPr>
      <w:vertAlign w:val="superscript"/>
    </w:rPr>
  </w:style>
  <w:style w:type="character" w:styleId="Komentraatsauce">
    <w:name w:val="annotation reference"/>
    <w:basedOn w:val="Noklusjumarindkopasfonts"/>
    <w:uiPriority w:val="99"/>
    <w:semiHidden/>
    <w:unhideWhenUsed/>
    <w:rsid w:val="00B36C97"/>
    <w:rPr>
      <w:sz w:val="16"/>
      <w:szCs w:val="16"/>
    </w:rPr>
  </w:style>
  <w:style w:type="paragraph" w:styleId="Komentrateksts">
    <w:name w:val="annotation text"/>
    <w:basedOn w:val="Parasts"/>
    <w:link w:val="KomentratekstsRakstz"/>
    <w:uiPriority w:val="99"/>
    <w:semiHidden/>
    <w:unhideWhenUsed/>
    <w:rsid w:val="00B36C97"/>
    <w:rPr>
      <w:sz w:val="20"/>
      <w:szCs w:val="20"/>
    </w:rPr>
  </w:style>
  <w:style w:type="character" w:customStyle="1" w:styleId="KomentratekstsRakstz">
    <w:name w:val="Komentāra teksts Rakstz."/>
    <w:basedOn w:val="Noklusjumarindkopasfonts"/>
    <w:link w:val="Komentrateksts"/>
    <w:uiPriority w:val="99"/>
    <w:semiHidden/>
    <w:rsid w:val="00B36C97"/>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B36C97"/>
    <w:rPr>
      <w:b/>
      <w:bCs/>
    </w:rPr>
  </w:style>
  <w:style w:type="character" w:customStyle="1" w:styleId="KomentratmaRakstz">
    <w:name w:val="Komentāra tēma Rakstz."/>
    <w:basedOn w:val="KomentratekstsRakstz"/>
    <w:link w:val="Komentratma"/>
    <w:uiPriority w:val="99"/>
    <w:semiHidden/>
    <w:rsid w:val="00B36C97"/>
    <w:rPr>
      <w:rFonts w:ascii="Times New Roman" w:hAnsi="Times New Roman"/>
      <w:b/>
      <w:bCs/>
      <w:lang w:eastAsia="en-US"/>
    </w:rPr>
  </w:style>
  <w:style w:type="character" w:styleId="Izmantotahipersaite">
    <w:name w:val="FollowedHyperlink"/>
    <w:basedOn w:val="Noklusjumarindkopasfonts"/>
    <w:uiPriority w:val="99"/>
    <w:semiHidden/>
    <w:unhideWhenUsed/>
    <w:rsid w:val="003B1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4613">
      <w:bodyDiv w:val="1"/>
      <w:marLeft w:val="0"/>
      <w:marRight w:val="0"/>
      <w:marTop w:val="0"/>
      <w:marBottom w:val="0"/>
      <w:divBdr>
        <w:top w:val="none" w:sz="0" w:space="0" w:color="auto"/>
        <w:left w:val="none" w:sz="0" w:space="0" w:color="auto"/>
        <w:bottom w:val="none" w:sz="0" w:space="0" w:color="auto"/>
        <w:right w:val="none" w:sz="0" w:space="0" w:color="auto"/>
      </w:divBdr>
      <w:divsChild>
        <w:div w:id="91973091">
          <w:marLeft w:val="0"/>
          <w:marRight w:val="0"/>
          <w:marTop w:val="0"/>
          <w:marBottom w:val="0"/>
          <w:divBdr>
            <w:top w:val="none" w:sz="0" w:space="0" w:color="auto"/>
            <w:left w:val="none" w:sz="0" w:space="0" w:color="auto"/>
            <w:bottom w:val="none" w:sz="0" w:space="0" w:color="auto"/>
            <w:right w:val="none" w:sz="0" w:space="0" w:color="auto"/>
          </w:divBdr>
          <w:divsChild>
            <w:div w:id="76826459">
              <w:marLeft w:val="0"/>
              <w:marRight w:val="0"/>
              <w:marTop w:val="0"/>
              <w:marBottom w:val="0"/>
              <w:divBdr>
                <w:top w:val="none" w:sz="0" w:space="0" w:color="auto"/>
                <w:left w:val="none" w:sz="0" w:space="0" w:color="auto"/>
                <w:bottom w:val="none" w:sz="0" w:space="0" w:color="auto"/>
                <w:right w:val="none" w:sz="0" w:space="0" w:color="auto"/>
              </w:divBdr>
              <w:divsChild>
                <w:div w:id="104885366">
                  <w:marLeft w:val="0"/>
                  <w:marRight w:val="0"/>
                  <w:marTop w:val="0"/>
                  <w:marBottom w:val="0"/>
                  <w:divBdr>
                    <w:top w:val="none" w:sz="0" w:space="0" w:color="auto"/>
                    <w:left w:val="none" w:sz="0" w:space="0" w:color="auto"/>
                    <w:bottom w:val="none" w:sz="0" w:space="0" w:color="auto"/>
                    <w:right w:val="none" w:sz="0" w:space="0" w:color="auto"/>
                  </w:divBdr>
                  <w:divsChild>
                    <w:div w:id="1494685211">
                      <w:marLeft w:val="0"/>
                      <w:marRight w:val="0"/>
                      <w:marTop w:val="0"/>
                      <w:marBottom w:val="0"/>
                      <w:divBdr>
                        <w:top w:val="none" w:sz="0" w:space="0" w:color="auto"/>
                        <w:left w:val="none" w:sz="0" w:space="0" w:color="auto"/>
                        <w:bottom w:val="none" w:sz="0" w:space="0" w:color="auto"/>
                        <w:right w:val="none" w:sz="0" w:space="0" w:color="auto"/>
                      </w:divBdr>
                      <w:divsChild>
                        <w:div w:id="176040863">
                          <w:marLeft w:val="0"/>
                          <w:marRight w:val="0"/>
                          <w:marTop w:val="0"/>
                          <w:marBottom w:val="0"/>
                          <w:divBdr>
                            <w:top w:val="none" w:sz="0" w:space="0" w:color="auto"/>
                            <w:left w:val="none" w:sz="0" w:space="0" w:color="auto"/>
                            <w:bottom w:val="none" w:sz="0" w:space="0" w:color="auto"/>
                            <w:right w:val="none" w:sz="0" w:space="0" w:color="auto"/>
                          </w:divBdr>
                          <w:divsChild>
                            <w:div w:id="333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ndati.saeima.lv/attachments/article/427/Lemumprojekts.%20noraid&#299;t.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ndati.saeima.lv/attachments/article/427/lemumprojektsATT.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eima.lv/lv/transcripts/view/473" TargetMode="External"/><Relationship Id="rId2" Type="http://schemas.openxmlformats.org/officeDocument/2006/relationships/hyperlink" Target="http://mandati.saeima.lv/kolekt&#299;vie-iesniegumi" TargetMode="External"/><Relationship Id="rId1" Type="http://schemas.openxmlformats.org/officeDocument/2006/relationships/hyperlink" Target="http://www.satv.tiesa.gov.lv/wp-content/uploads/2017/02/Lemums_par_pieteikumu_Nr._2017_4.pdf" TargetMode="External"/><Relationship Id="rId6" Type="http://schemas.openxmlformats.org/officeDocument/2006/relationships/hyperlink" Target="http://www.satv.tiesa.gov.lv/wp-content/uploads/2017/02/Lemums_par_pieteikumu_Nr._2017_4.pdf" TargetMode="External"/><Relationship Id="rId5" Type="http://schemas.openxmlformats.org/officeDocument/2006/relationships/hyperlink" Target="http://www.satv.tiesa.gov.lv/wp-content/uploads/2017/02/Lemums_par_pieteikumu_Nr._2017_4.pdf" TargetMode="External"/><Relationship Id="rId4" Type="http://schemas.openxmlformats.org/officeDocument/2006/relationships/hyperlink" Target="https://www.mk.gov.lv/sites/default/files/editor/kk-valdibas-deklaracija_red-gala.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8489-566C-4F9F-AB1D-BE388092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15228</Words>
  <Characters>8681</Characters>
  <Application>Microsoft Office Word</Application>
  <DocSecurity>4</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rekomendācijām</vt:lpstr>
      <vt:lpstr/>
    </vt:vector>
  </TitlesOfParts>
  <Company>Tieslietu ministrija</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rekomendācijām</dc:title>
  <dc:subject>Ministru kabineta vēstules projekts</dc:subject>
  <dc:creator>Dace Daugule</dc:creator>
  <dc:description>67046105, Dace.Daugule@tm.gov.lv</dc:description>
  <cp:lastModifiedBy>Dace Daugule</cp:lastModifiedBy>
  <cp:revision>2</cp:revision>
  <cp:lastPrinted>2019-04-10T07:03:00Z</cp:lastPrinted>
  <dcterms:created xsi:type="dcterms:W3CDTF">2019-04-24T04:24:00Z</dcterms:created>
  <dcterms:modified xsi:type="dcterms:W3CDTF">2019-04-24T04:24:00Z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