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1A701" w14:textId="77777777" w:rsidR="000A531F" w:rsidRPr="00F21F58" w:rsidRDefault="000A531F" w:rsidP="000A531F">
      <w:pPr>
        <w:jc w:val="center"/>
        <w:rPr>
          <w:b/>
          <w:sz w:val="28"/>
          <w:szCs w:val="28"/>
        </w:rPr>
      </w:pPr>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w:t>
      </w:r>
      <w:r w:rsidRPr="009110ED">
        <w:rPr>
          <w:b/>
          <w:sz w:val="28"/>
          <w:szCs w:val="28"/>
        </w:rPr>
        <w:t>em</w:t>
      </w:r>
    </w:p>
    <w:p w14:paraId="2F855802" w14:textId="77777777" w:rsidR="009B1EEA" w:rsidRPr="00F21F58" w:rsidRDefault="000A531F" w:rsidP="00EA4FB1">
      <w:pPr>
        <w:ind w:firstLine="720"/>
        <w:jc w:val="center"/>
        <w:rPr>
          <w:b/>
          <w:sz w:val="28"/>
        </w:rPr>
      </w:pPr>
      <w:r w:rsidRPr="00F21F58">
        <w:rPr>
          <w:b/>
          <w:sz w:val="28"/>
        </w:rPr>
        <w:t>Min</w:t>
      </w:r>
      <w:r w:rsidR="00705DBC" w:rsidRPr="00F21F58">
        <w:rPr>
          <w:b/>
          <w:sz w:val="28"/>
        </w:rPr>
        <w:t>istru kabineta rīkojuma projektam</w:t>
      </w:r>
    </w:p>
    <w:p w14:paraId="0ACC26B4" w14:textId="07F98089" w:rsidR="00985C29" w:rsidRPr="00F21F58" w:rsidRDefault="00985C29" w:rsidP="00985C29">
      <w:pPr>
        <w:jc w:val="center"/>
        <w:rPr>
          <w:b/>
          <w:sz w:val="28"/>
          <w:szCs w:val="28"/>
        </w:rPr>
      </w:pPr>
      <w:r w:rsidRPr="00F21F58">
        <w:rPr>
          <w:b/>
          <w:sz w:val="28"/>
          <w:szCs w:val="28"/>
        </w:rPr>
        <w:t>“</w:t>
      </w:r>
      <w:r w:rsidR="000D4EBC" w:rsidRPr="00F21F58">
        <w:rPr>
          <w:b/>
          <w:sz w:val="28"/>
          <w:szCs w:val="28"/>
        </w:rPr>
        <w:t xml:space="preserve">Par valsts nekustamā īpašuma </w:t>
      </w:r>
      <w:r w:rsidR="000D4EBC" w:rsidRPr="00F21F58">
        <w:rPr>
          <w:b/>
          <w:bCs/>
          <w:sz w:val="28"/>
          <w:szCs w:val="28"/>
        </w:rPr>
        <w:t xml:space="preserve">“Kaņieris 2”, “Augustos”, </w:t>
      </w:r>
      <w:r w:rsidR="000D4EBC" w:rsidRPr="00F21F58">
        <w:rPr>
          <w:b/>
          <w:sz w:val="28"/>
          <w:szCs w:val="28"/>
        </w:rPr>
        <w:t>Lapmežciema pagastā, Engures novadā</w:t>
      </w:r>
      <w:r w:rsidR="000D4EBC" w:rsidRPr="00F21F58">
        <w:rPr>
          <w:b/>
          <w:bCs/>
          <w:sz w:val="28"/>
          <w:szCs w:val="28"/>
        </w:rPr>
        <w:t xml:space="preserve">, </w:t>
      </w:r>
      <w:r w:rsidR="000D4EBC" w:rsidRPr="00F21F58">
        <w:rPr>
          <w:b/>
          <w:sz w:val="28"/>
          <w:szCs w:val="28"/>
        </w:rPr>
        <w:t>atsavināšanu</w:t>
      </w:r>
      <w:r w:rsidRPr="00F21F58">
        <w:rPr>
          <w:b/>
          <w:sz w:val="28"/>
          <w:szCs w:val="28"/>
        </w:rPr>
        <w:t>”</w:t>
      </w:r>
    </w:p>
    <w:p w14:paraId="6C8F2033" w14:textId="0F22EA77" w:rsidR="004D1569" w:rsidRPr="00F21F58" w:rsidRDefault="009B1EEA" w:rsidP="004021B9">
      <w:pPr>
        <w:jc w:val="center"/>
        <w:rPr>
          <w:b/>
          <w:sz w:val="28"/>
          <w:szCs w:val="28"/>
          <w:lang w:eastAsia="en-US"/>
        </w:rPr>
      </w:pPr>
      <w:r w:rsidRPr="00F21F58">
        <w:rPr>
          <w:b/>
          <w:sz w:val="28"/>
          <w:szCs w:val="28"/>
        </w:rPr>
        <w:t xml:space="preserve"> </w:t>
      </w:r>
      <w:r w:rsidR="004D1569" w:rsidRPr="00F21F58">
        <w:rPr>
          <w:b/>
          <w:sz w:val="28"/>
          <w:szCs w:val="28"/>
        </w:rPr>
        <w:t>(VSS</w:t>
      </w:r>
      <w:r w:rsidR="001A67DB" w:rsidRPr="00F21F58">
        <w:rPr>
          <w:b/>
          <w:sz w:val="28"/>
          <w:szCs w:val="28"/>
        </w:rPr>
        <w:t xml:space="preserve"> </w:t>
      </w:r>
      <w:r w:rsidR="004D1569" w:rsidRPr="00F21F58">
        <w:rPr>
          <w:b/>
          <w:sz w:val="28"/>
          <w:szCs w:val="28"/>
        </w:rPr>
        <w:t xml:space="preserve">- </w:t>
      </w:r>
      <w:r w:rsidR="000D4EBC" w:rsidRPr="00F21F58">
        <w:rPr>
          <w:b/>
          <w:sz w:val="28"/>
          <w:szCs w:val="28"/>
        </w:rPr>
        <w:t>305</w:t>
      </w:r>
      <w:r w:rsidR="004D1569" w:rsidRPr="00F21F58">
        <w:rPr>
          <w:b/>
          <w:sz w:val="28"/>
          <w:szCs w:val="28"/>
        </w:rPr>
        <w:t xml:space="preserve">) </w:t>
      </w:r>
    </w:p>
    <w:p w14:paraId="49D32D21" w14:textId="77777777" w:rsidR="00EA4FB1" w:rsidRPr="00F21F58" w:rsidRDefault="00EA4FB1" w:rsidP="00EA4FB1">
      <w:pPr>
        <w:ind w:firstLine="720"/>
        <w:jc w:val="center"/>
        <w:rPr>
          <w:b/>
          <w:bCs/>
          <w:sz w:val="28"/>
          <w:szCs w:val="28"/>
          <w:lang w:eastAsia="ko-KR"/>
        </w:rPr>
      </w:pPr>
    </w:p>
    <w:p w14:paraId="45771458" w14:textId="77777777" w:rsidR="000A531F" w:rsidRPr="00F21F58" w:rsidRDefault="000A531F" w:rsidP="000A531F">
      <w:pPr>
        <w:jc w:val="center"/>
        <w:rPr>
          <w:b/>
        </w:rPr>
      </w:pPr>
      <w:r w:rsidRPr="00F21F58">
        <w:rPr>
          <w:b/>
        </w:rPr>
        <w:t>I.</w:t>
      </w:r>
      <w:r w:rsidR="00EA4FB1" w:rsidRPr="00F21F58">
        <w:rPr>
          <w:b/>
        </w:rPr>
        <w:t xml:space="preserve"> </w:t>
      </w:r>
      <w:r w:rsidRPr="00F21F58">
        <w:rPr>
          <w:b/>
        </w:rPr>
        <w:t>Jautājumi, par kuriem saskaņošanā vienošanās nav panākta</w:t>
      </w:r>
    </w:p>
    <w:tbl>
      <w:tblPr>
        <w:tblStyle w:val="TableGrid"/>
        <w:tblW w:w="15021" w:type="dxa"/>
        <w:tblLayout w:type="fixed"/>
        <w:tblLook w:val="01E0" w:firstRow="1" w:lastRow="1" w:firstColumn="1" w:lastColumn="1" w:noHBand="0" w:noVBand="0"/>
      </w:tblPr>
      <w:tblGrid>
        <w:gridCol w:w="648"/>
        <w:gridCol w:w="1757"/>
        <w:gridCol w:w="3544"/>
        <w:gridCol w:w="4419"/>
        <w:gridCol w:w="1620"/>
        <w:gridCol w:w="3033"/>
      </w:tblGrid>
      <w:tr w:rsidR="00F21F58" w:rsidRPr="00F21F58" w14:paraId="2DA0C375" w14:textId="77777777" w:rsidTr="00705631">
        <w:tc>
          <w:tcPr>
            <w:tcW w:w="648" w:type="dxa"/>
            <w:vAlign w:val="center"/>
          </w:tcPr>
          <w:p w14:paraId="04544725" w14:textId="77777777" w:rsidR="000A531F" w:rsidRPr="00F21F58" w:rsidRDefault="000A531F" w:rsidP="00DE497B">
            <w:pPr>
              <w:jc w:val="center"/>
            </w:pPr>
            <w:r w:rsidRPr="00F21F58">
              <w:t>Nr.p.k.</w:t>
            </w:r>
          </w:p>
        </w:tc>
        <w:tc>
          <w:tcPr>
            <w:tcW w:w="1757" w:type="dxa"/>
            <w:vAlign w:val="center"/>
          </w:tcPr>
          <w:p w14:paraId="3039FB62" w14:textId="77777777" w:rsidR="000A531F" w:rsidRPr="00F21F58" w:rsidRDefault="000A531F" w:rsidP="00DE497B">
            <w:pPr>
              <w:jc w:val="center"/>
            </w:pPr>
            <w:r w:rsidRPr="00F21F58">
              <w:t>Saskaņošanai nosūtītā projekta redakcija (konkrēta punkta (panta) redakcija)</w:t>
            </w:r>
          </w:p>
        </w:tc>
        <w:tc>
          <w:tcPr>
            <w:tcW w:w="3544" w:type="dxa"/>
            <w:vAlign w:val="center"/>
          </w:tcPr>
          <w:p w14:paraId="3B6DA722" w14:textId="77777777" w:rsidR="000A531F" w:rsidRPr="00F21F58" w:rsidRDefault="000A531F" w:rsidP="00DE497B">
            <w:pPr>
              <w:jc w:val="center"/>
            </w:pPr>
            <w:r w:rsidRPr="00F21F58">
              <w:t>Atzinumā norādītais ministrijas (citas institūcijas) iebildums, kā arī saskaņošanā papildus izteiktais iebildums par projekta konkrēto punktu (pantu)</w:t>
            </w:r>
          </w:p>
        </w:tc>
        <w:tc>
          <w:tcPr>
            <w:tcW w:w="4419" w:type="dxa"/>
            <w:vAlign w:val="center"/>
          </w:tcPr>
          <w:p w14:paraId="78B19698" w14:textId="77777777" w:rsidR="000A531F" w:rsidRPr="00F21F58" w:rsidRDefault="000A531F" w:rsidP="00DE497B">
            <w:pPr>
              <w:jc w:val="center"/>
            </w:pPr>
            <w:r w:rsidRPr="00F21F58">
              <w:t>Atbildīgās ministrijas pamatojums iebilduma noraidījumam</w:t>
            </w:r>
          </w:p>
        </w:tc>
        <w:tc>
          <w:tcPr>
            <w:tcW w:w="1620" w:type="dxa"/>
            <w:vAlign w:val="center"/>
          </w:tcPr>
          <w:p w14:paraId="4FEB3DDA" w14:textId="77777777" w:rsidR="000A531F" w:rsidRPr="00F21F58" w:rsidRDefault="000A531F" w:rsidP="00DE497B">
            <w:pPr>
              <w:jc w:val="center"/>
            </w:pPr>
            <w:r w:rsidRPr="00F21F58">
              <w:t>Atzinuma sniedzēja uzturētais iebildums, ja tas atšķiras no atzinumā norādītā iebilduma pamatojuma</w:t>
            </w:r>
          </w:p>
        </w:tc>
        <w:tc>
          <w:tcPr>
            <w:tcW w:w="3033" w:type="dxa"/>
            <w:vAlign w:val="center"/>
          </w:tcPr>
          <w:p w14:paraId="0EB0BF1F" w14:textId="77777777" w:rsidR="000A531F" w:rsidRPr="00F21F58" w:rsidRDefault="000A531F" w:rsidP="00DE497B">
            <w:pPr>
              <w:jc w:val="center"/>
            </w:pPr>
            <w:r w:rsidRPr="00F21F58">
              <w:t>Projekta attiecīgā punkta (panta) galīgā redakcija</w:t>
            </w:r>
          </w:p>
        </w:tc>
      </w:tr>
      <w:tr w:rsidR="00F21F58" w:rsidRPr="00F21F58" w14:paraId="0C29CA32" w14:textId="77777777" w:rsidTr="00705631">
        <w:tc>
          <w:tcPr>
            <w:tcW w:w="648" w:type="dxa"/>
          </w:tcPr>
          <w:p w14:paraId="0B772604" w14:textId="77777777" w:rsidR="000A531F" w:rsidRPr="00F21F58" w:rsidRDefault="000A531F" w:rsidP="00DE497B">
            <w:pPr>
              <w:jc w:val="center"/>
            </w:pPr>
            <w:r w:rsidRPr="00F21F58">
              <w:t>1.</w:t>
            </w:r>
          </w:p>
        </w:tc>
        <w:tc>
          <w:tcPr>
            <w:tcW w:w="1757" w:type="dxa"/>
          </w:tcPr>
          <w:p w14:paraId="74FA1801" w14:textId="77777777" w:rsidR="000A531F" w:rsidRPr="00F21F58" w:rsidRDefault="000A531F" w:rsidP="00DE497B">
            <w:pPr>
              <w:jc w:val="center"/>
            </w:pPr>
            <w:r w:rsidRPr="00F21F58">
              <w:t>2.</w:t>
            </w:r>
          </w:p>
        </w:tc>
        <w:tc>
          <w:tcPr>
            <w:tcW w:w="3544" w:type="dxa"/>
          </w:tcPr>
          <w:p w14:paraId="3977D32D" w14:textId="77777777" w:rsidR="000A531F" w:rsidRPr="00F21F58" w:rsidRDefault="000A531F" w:rsidP="00DE497B">
            <w:pPr>
              <w:jc w:val="center"/>
            </w:pPr>
            <w:r w:rsidRPr="00F21F58">
              <w:t>3.</w:t>
            </w:r>
          </w:p>
        </w:tc>
        <w:tc>
          <w:tcPr>
            <w:tcW w:w="4419" w:type="dxa"/>
          </w:tcPr>
          <w:p w14:paraId="44ED4615" w14:textId="77777777" w:rsidR="000A531F" w:rsidRPr="00F21F58" w:rsidRDefault="000A531F" w:rsidP="00DE497B">
            <w:pPr>
              <w:jc w:val="center"/>
            </w:pPr>
            <w:r w:rsidRPr="00F21F58">
              <w:t>4.</w:t>
            </w:r>
          </w:p>
        </w:tc>
        <w:tc>
          <w:tcPr>
            <w:tcW w:w="1620" w:type="dxa"/>
          </w:tcPr>
          <w:p w14:paraId="5DA65A36" w14:textId="77777777" w:rsidR="000A531F" w:rsidRPr="00F21F58" w:rsidRDefault="000A531F" w:rsidP="00DE497B">
            <w:pPr>
              <w:jc w:val="center"/>
            </w:pPr>
            <w:r w:rsidRPr="00F21F58">
              <w:t>5.</w:t>
            </w:r>
          </w:p>
        </w:tc>
        <w:tc>
          <w:tcPr>
            <w:tcW w:w="3033" w:type="dxa"/>
          </w:tcPr>
          <w:p w14:paraId="51DFA780" w14:textId="77777777" w:rsidR="000A531F" w:rsidRPr="00F21F58" w:rsidRDefault="000A531F" w:rsidP="00DE497B">
            <w:pPr>
              <w:jc w:val="center"/>
            </w:pPr>
            <w:r w:rsidRPr="00F21F58">
              <w:t>6.</w:t>
            </w:r>
          </w:p>
        </w:tc>
      </w:tr>
      <w:tr w:rsidR="006421BF" w:rsidRPr="00F21F58" w14:paraId="2064E541" w14:textId="77777777" w:rsidTr="00705631">
        <w:tc>
          <w:tcPr>
            <w:tcW w:w="648" w:type="dxa"/>
          </w:tcPr>
          <w:p w14:paraId="3A3E9AD5" w14:textId="78103067" w:rsidR="006421BF" w:rsidRPr="00F21F58" w:rsidRDefault="006421BF" w:rsidP="00DE497B">
            <w:pPr>
              <w:jc w:val="center"/>
            </w:pPr>
          </w:p>
        </w:tc>
        <w:tc>
          <w:tcPr>
            <w:tcW w:w="1757" w:type="dxa"/>
          </w:tcPr>
          <w:p w14:paraId="0EC6BFD7" w14:textId="48C2E677" w:rsidR="006421BF" w:rsidRPr="00F21F58" w:rsidRDefault="006421BF" w:rsidP="00DE497B">
            <w:pPr>
              <w:jc w:val="center"/>
            </w:pPr>
          </w:p>
        </w:tc>
        <w:tc>
          <w:tcPr>
            <w:tcW w:w="3544" w:type="dxa"/>
          </w:tcPr>
          <w:p w14:paraId="7DA29702" w14:textId="77777777" w:rsidR="006421BF" w:rsidRPr="00F21F58" w:rsidRDefault="006421BF" w:rsidP="00DE497B">
            <w:pPr>
              <w:jc w:val="center"/>
            </w:pPr>
          </w:p>
        </w:tc>
        <w:tc>
          <w:tcPr>
            <w:tcW w:w="4419" w:type="dxa"/>
          </w:tcPr>
          <w:p w14:paraId="61882AED" w14:textId="22EBBD1E" w:rsidR="006421BF" w:rsidRPr="00F21F58" w:rsidRDefault="006421BF" w:rsidP="006A7FBD">
            <w:pPr>
              <w:pStyle w:val="BodyText"/>
              <w:spacing w:after="0"/>
              <w:jc w:val="both"/>
            </w:pPr>
          </w:p>
        </w:tc>
        <w:tc>
          <w:tcPr>
            <w:tcW w:w="1620" w:type="dxa"/>
          </w:tcPr>
          <w:p w14:paraId="3FE3A209" w14:textId="77777777" w:rsidR="006421BF" w:rsidRPr="00F21F58" w:rsidRDefault="006421BF" w:rsidP="00DE497B">
            <w:pPr>
              <w:jc w:val="center"/>
            </w:pPr>
          </w:p>
        </w:tc>
        <w:tc>
          <w:tcPr>
            <w:tcW w:w="3033" w:type="dxa"/>
          </w:tcPr>
          <w:p w14:paraId="1ACC083E" w14:textId="77777777" w:rsidR="006421BF" w:rsidRPr="00F21F58" w:rsidRDefault="006421BF" w:rsidP="00DE497B">
            <w:pPr>
              <w:jc w:val="center"/>
            </w:pPr>
          </w:p>
        </w:tc>
      </w:tr>
    </w:tbl>
    <w:p w14:paraId="59BBA0F7" w14:textId="77777777" w:rsidR="00AA6CE9" w:rsidRPr="00F21F58" w:rsidRDefault="00AA6CE9" w:rsidP="0053729A">
      <w:pPr>
        <w:jc w:val="center"/>
        <w:rPr>
          <w:b/>
        </w:rPr>
      </w:pPr>
    </w:p>
    <w:p w14:paraId="0E1AFFF8" w14:textId="77777777" w:rsidR="000A531F" w:rsidRPr="00F21F58" w:rsidRDefault="000A531F" w:rsidP="0053729A">
      <w:pPr>
        <w:jc w:val="center"/>
        <w:rPr>
          <w:b/>
        </w:rPr>
      </w:pPr>
      <w:r w:rsidRPr="00F21F58">
        <w:rPr>
          <w:b/>
        </w:rPr>
        <w:t>Informācija par starpministriju (starpinstitūciju) sanāksmi vai elektronisko saskaņošanu</w:t>
      </w:r>
    </w:p>
    <w:tbl>
      <w:tblPr>
        <w:tblStyle w:val="TableGrid"/>
        <w:tblpPr w:leftFromText="180" w:rightFromText="180" w:vertAnchor="text" w:tblpY="1"/>
        <w:tblOverlap w:val="never"/>
        <w:tblW w:w="14879" w:type="dxa"/>
        <w:tblLook w:val="01E0" w:firstRow="1" w:lastRow="1" w:firstColumn="1" w:lastColumn="1" w:noHBand="0" w:noVBand="0"/>
      </w:tblPr>
      <w:tblGrid>
        <w:gridCol w:w="3663"/>
        <w:gridCol w:w="2471"/>
        <w:gridCol w:w="8745"/>
      </w:tblGrid>
      <w:tr w:rsidR="00F21F58" w:rsidRPr="00F21F58" w14:paraId="73AE45F0" w14:textId="77777777" w:rsidTr="00E83435">
        <w:trPr>
          <w:trHeight w:val="258"/>
        </w:trPr>
        <w:tc>
          <w:tcPr>
            <w:tcW w:w="3663" w:type="dxa"/>
            <w:tcBorders>
              <w:top w:val="nil"/>
              <w:left w:val="nil"/>
              <w:bottom w:val="single" w:sz="4" w:space="0" w:color="auto"/>
              <w:right w:val="nil"/>
            </w:tcBorders>
            <w:vAlign w:val="bottom"/>
          </w:tcPr>
          <w:p w14:paraId="3CDA9793" w14:textId="77777777" w:rsidR="000A531F" w:rsidRPr="00F21F58" w:rsidRDefault="000A531F" w:rsidP="00DE497B">
            <w:r w:rsidRPr="00F21F58">
              <w:t>Datums</w:t>
            </w:r>
          </w:p>
        </w:tc>
        <w:tc>
          <w:tcPr>
            <w:tcW w:w="11216" w:type="dxa"/>
            <w:gridSpan w:val="2"/>
            <w:tcBorders>
              <w:top w:val="nil"/>
              <w:left w:val="nil"/>
              <w:bottom w:val="single" w:sz="4" w:space="0" w:color="auto"/>
              <w:right w:val="nil"/>
            </w:tcBorders>
            <w:vAlign w:val="bottom"/>
          </w:tcPr>
          <w:p w14:paraId="28F5AB02" w14:textId="27EE26E2" w:rsidR="004227B4" w:rsidRPr="00F21F58" w:rsidRDefault="000A531F" w:rsidP="000D4EBC">
            <w:r w:rsidRPr="00F21F58">
              <w:t xml:space="preserve"> </w:t>
            </w:r>
            <w:r w:rsidR="00134F5B" w:rsidRPr="00F21F58">
              <w:t>201</w:t>
            </w:r>
            <w:r w:rsidR="000D4EBC" w:rsidRPr="00F21F58">
              <w:t>9</w:t>
            </w:r>
            <w:r w:rsidR="00134F5B" w:rsidRPr="00F21F58">
              <w:t xml:space="preserve">. gada </w:t>
            </w:r>
            <w:r w:rsidR="000D4EBC" w:rsidRPr="00F21F58">
              <w:t>7.maija</w:t>
            </w:r>
            <w:r w:rsidR="009B1EEA" w:rsidRPr="00F21F58">
              <w:t xml:space="preserve"> </w:t>
            </w:r>
            <w:r w:rsidR="00BA0A6B" w:rsidRPr="00F21F58">
              <w:t>elektroniskā saskaņošana</w:t>
            </w:r>
          </w:p>
        </w:tc>
      </w:tr>
      <w:tr w:rsidR="00F21F58" w:rsidRPr="00F21F58" w14:paraId="71F15064" w14:textId="77777777" w:rsidTr="00E83435">
        <w:trPr>
          <w:trHeight w:val="340"/>
        </w:trPr>
        <w:tc>
          <w:tcPr>
            <w:tcW w:w="3663" w:type="dxa"/>
            <w:vMerge w:val="restart"/>
            <w:tcBorders>
              <w:left w:val="nil"/>
              <w:right w:val="nil"/>
            </w:tcBorders>
          </w:tcPr>
          <w:p w14:paraId="7FBDFCB3" w14:textId="77777777" w:rsidR="000A531F" w:rsidRPr="00F21F58" w:rsidRDefault="000A531F" w:rsidP="00DE497B">
            <w:r w:rsidRPr="00F21F58">
              <w:t>Saskaņošanas dalībnieki</w:t>
            </w:r>
          </w:p>
        </w:tc>
        <w:tc>
          <w:tcPr>
            <w:tcW w:w="11216" w:type="dxa"/>
            <w:gridSpan w:val="2"/>
            <w:tcBorders>
              <w:left w:val="nil"/>
              <w:bottom w:val="single" w:sz="4" w:space="0" w:color="auto"/>
              <w:right w:val="nil"/>
            </w:tcBorders>
            <w:vAlign w:val="bottom"/>
          </w:tcPr>
          <w:p w14:paraId="36944A40" w14:textId="77777777" w:rsidR="000A531F" w:rsidRPr="00F21F58" w:rsidRDefault="000A531F" w:rsidP="00DE497B">
            <w:pPr>
              <w:ind w:left="72"/>
            </w:pPr>
            <w:r w:rsidRPr="00F21F58">
              <w:t>Tieslietu ministrija</w:t>
            </w:r>
          </w:p>
        </w:tc>
      </w:tr>
      <w:tr w:rsidR="00F21F58" w:rsidRPr="00F21F58" w14:paraId="320D4B7E" w14:textId="77777777" w:rsidTr="00E83435">
        <w:trPr>
          <w:trHeight w:val="340"/>
        </w:trPr>
        <w:tc>
          <w:tcPr>
            <w:tcW w:w="3663" w:type="dxa"/>
            <w:vMerge/>
            <w:tcBorders>
              <w:left w:val="nil"/>
              <w:bottom w:val="single" w:sz="4" w:space="0" w:color="auto"/>
              <w:right w:val="nil"/>
            </w:tcBorders>
          </w:tcPr>
          <w:p w14:paraId="51A5EFAF" w14:textId="77777777" w:rsidR="00FC51C5" w:rsidRPr="00F21F58" w:rsidRDefault="00FC51C5" w:rsidP="00DE497B"/>
        </w:tc>
        <w:tc>
          <w:tcPr>
            <w:tcW w:w="11216" w:type="dxa"/>
            <w:gridSpan w:val="2"/>
            <w:tcBorders>
              <w:left w:val="nil"/>
              <w:bottom w:val="single" w:sz="4" w:space="0" w:color="auto"/>
              <w:right w:val="nil"/>
            </w:tcBorders>
            <w:vAlign w:val="bottom"/>
          </w:tcPr>
          <w:p w14:paraId="65E8E104" w14:textId="77777777" w:rsidR="00FC51C5" w:rsidRPr="00F21F58" w:rsidRDefault="00FC51C5" w:rsidP="00DE497B">
            <w:pPr>
              <w:ind w:left="72"/>
            </w:pPr>
            <w:r w:rsidRPr="00F21F58">
              <w:t>Finanšu ministrija</w:t>
            </w:r>
          </w:p>
        </w:tc>
      </w:tr>
      <w:tr w:rsidR="00F21F58" w:rsidRPr="00F21F58" w14:paraId="68784BDF" w14:textId="77777777" w:rsidTr="00E83435">
        <w:trPr>
          <w:trHeight w:val="629"/>
        </w:trPr>
        <w:tc>
          <w:tcPr>
            <w:tcW w:w="6134" w:type="dxa"/>
            <w:gridSpan w:val="2"/>
            <w:tcBorders>
              <w:left w:val="nil"/>
              <w:bottom w:val="single" w:sz="4" w:space="0" w:color="auto"/>
              <w:right w:val="nil"/>
            </w:tcBorders>
            <w:vAlign w:val="bottom"/>
          </w:tcPr>
          <w:p w14:paraId="4315EFF9" w14:textId="77777777" w:rsidR="000A531F" w:rsidRPr="00F21F58" w:rsidRDefault="000A531F" w:rsidP="00CB61B3">
            <w:pPr>
              <w:jc w:val="both"/>
            </w:pPr>
            <w:r w:rsidRPr="00F21F58">
              <w:t>Saskaņošanas dalībnieki izskatīja šādu ministriju (citu institūciju) iebildumus</w:t>
            </w:r>
          </w:p>
        </w:tc>
        <w:tc>
          <w:tcPr>
            <w:tcW w:w="8745" w:type="dxa"/>
            <w:tcBorders>
              <w:top w:val="single" w:sz="4" w:space="0" w:color="auto"/>
              <w:left w:val="nil"/>
              <w:bottom w:val="single" w:sz="4" w:space="0" w:color="auto"/>
              <w:right w:val="nil"/>
            </w:tcBorders>
            <w:vAlign w:val="bottom"/>
          </w:tcPr>
          <w:p w14:paraId="4B254D52" w14:textId="77777777" w:rsidR="00E83435" w:rsidRPr="00F21F58" w:rsidRDefault="00E83435" w:rsidP="004F565F"/>
          <w:p w14:paraId="1066AC78" w14:textId="329A9FA2" w:rsidR="00ED6F7D" w:rsidRPr="00F21F58" w:rsidRDefault="00ED6F7D" w:rsidP="00ED6F7D">
            <w:r w:rsidRPr="00F21F58">
              <w:t>Tieslietu ministrija</w:t>
            </w:r>
          </w:p>
          <w:p w14:paraId="1D307EAC" w14:textId="7C53844F" w:rsidR="006037FB" w:rsidRPr="00F21F58" w:rsidRDefault="006037FB" w:rsidP="00E83435">
            <w:r w:rsidRPr="00F21F58">
              <w:t>Finanšu ministrija</w:t>
            </w:r>
          </w:p>
        </w:tc>
      </w:tr>
      <w:tr w:rsidR="00F21F58" w:rsidRPr="00F21F58" w14:paraId="1EA67BA6" w14:textId="77777777" w:rsidTr="00892943">
        <w:trPr>
          <w:trHeight w:val="867"/>
        </w:trPr>
        <w:tc>
          <w:tcPr>
            <w:tcW w:w="6134" w:type="dxa"/>
            <w:gridSpan w:val="2"/>
            <w:tcBorders>
              <w:top w:val="single" w:sz="4" w:space="0" w:color="auto"/>
              <w:left w:val="nil"/>
              <w:bottom w:val="nil"/>
              <w:right w:val="nil"/>
            </w:tcBorders>
            <w:vAlign w:val="bottom"/>
          </w:tcPr>
          <w:p w14:paraId="3CA1D20B" w14:textId="77777777" w:rsidR="00E83435" w:rsidRPr="00F21F58" w:rsidRDefault="00E83435" w:rsidP="00CB61B3">
            <w:pPr>
              <w:jc w:val="both"/>
            </w:pPr>
          </w:p>
          <w:p w14:paraId="6A039D79" w14:textId="77777777" w:rsidR="000A531F" w:rsidRPr="00F21F58" w:rsidRDefault="000A531F" w:rsidP="00CB61B3">
            <w:pPr>
              <w:jc w:val="both"/>
            </w:pPr>
            <w:r w:rsidRPr="00F21F58">
              <w:t>Ministrijas (citas institūcijas), kuras nav ieradušās uz sanāksmi vai kuras nav atbildējušas uz uzaicinājumu piedalīties elektroniskajā saskaņošanā</w:t>
            </w:r>
          </w:p>
        </w:tc>
        <w:tc>
          <w:tcPr>
            <w:tcW w:w="8745" w:type="dxa"/>
            <w:tcBorders>
              <w:top w:val="single" w:sz="4" w:space="0" w:color="auto"/>
              <w:left w:val="nil"/>
              <w:bottom w:val="nil"/>
              <w:right w:val="nil"/>
            </w:tcBorders>
          </w:tcPr>
          <w:p w14:paraId="27BD27A4" w14:textId="074BF99B" w:rsidR="00E83435" w:rsidRPr="00F21F58" w:rsidRDefault="00E83435" w:rsidP="00DE497B"/>
          <w:p w14:paraId="08B36C14" w14:textId="6645FAA7" w:rsidR="00E83435" w:rsidRPr="00F21F58" w:rsidRDefault="00E83435" w:rsidP="00E83435"/>
          <w:p w14:paraId="25ADCC22" w14:textId="177D0AAC" w:rsidR="000A531F" w:rsidRPr="00F21F58" w:rsidRDefault="00E83435" w:rsidP="00E83435">
            <w:pPr>
              <w:jc w:val="center"/>
            </w:pPr>
            <w:r w:rsidRPr="00F21F58">
              <w:t>-</w:t>
            </w:r>
          </w:p>
        </w:tc>
      </w:tr>
    </w:tbl>
    <w:p w14:paraId="73E24434" w14:textId="77777777" w:rsidR="00AA6CE9" w:rsidRPr="00F21F58" w:rsidRDefault="00AA6CE9" w:rsidP="0053729A">
      <w:pPr>
        <w:pStyle w:val="naisf"/>
        <w:spacing w:before="0" w:after="0"/>
        <w:ind w:firstLine="0"/>
        <w:jc w:val="center"/>
        <w:rPr>
          <w:b/>
          <w:sz w:val="28"/>
          <w:szCs w:val="28"/>
        </w:rPr>
      </w:pPr>
    </w:p>
    <w:p w14:paraId="483A7FE7" w14:textId="77777777" w:rsidR="00C73711" w:rsidRPr="00F21F58" w:rsidRDefault="000A531F" w:rsidP="00C73711">
      <w:pPr>
        <w:pStyle w:val="naisf"/>
        <w:spacing w:before="0" w:after="0"/>
        <w:ind w:firstLine="0"/>
        <w:jc w:val="center"/>
        <w:rPr>
          <w:b/>
        </w:rPr>
      </w:pPr>
      <w:r w:rsidRPr="00F21F58">
        <w:rPr>
          <w:b/>
          <w:sz w:val="28"/>
          <w:szCs w:val="28"/>
        </w:rPr>
        <w:lastRenderedPageBreak/>
        <w:t xml:space="preserve">II. </w:t>
      </w:r>
      <w:r w:rsidR="00930695" w:rsidRPr="00F21F58">
        <w:rPr>
          <w:b/>
        </w:rPr>
        <w:t>Jautājumi, par kuriem saskaņošanā vienošanās ir panākta</w:t>
      </w:r>
    </w:p>
    <w:tbl>
      <w:tblPr>
        <w:tblStyle w:val="TableGrid"/>
        <w:tblW w:w="14596" w:type="dxa"/>
        <w:tblLayout w:type="fixed"/>
        <w:tblLook w:val="04A0" w:firstRow="1" w:lastRow="0" w:firstColumn="1" w:lastColumn="0" w:noHBand="0" w:noVBand="1"/>
      </w:tblPr>
      <w:tblGrid>
        <w:gridCol w:w="846"/>
        <w:gridCol w:w="2410"/>
        <w:gridCol w:w="4110"/>
        <w:gridCol w:w="4536"/>
        <w:gridCol w:w="2694"/>
      </w:tblGrid>
      <w:tr w:rsidR="00F21F58" w:rsidRPr="00F21F58" w14:paraId="0595D7DB" w14:textId="40B9FCAF" w:rsidTr="00C263B2">
        <w:tc>
          <w:tcPr>
            <w:tcW w:w="846" w:type="dxa"/>
          </w:tcPr>
          <w:p w14:paraId="30DC2540" w14:textId="77777777" w:rsidR="00E23947" w:rsidRPr="00F21F58" w:rsidRDefault="00E23947" w:rsidP="00DE497B">
            <w:pPr>
              <w:pStyle w:val="naisf"/>
              <w:spacing w:before="0" w:after="0"/>
              <w:ind w:firstLine="0"/>
              <w:jc w:val="center"/>
            </w:pPr>
            <w:r w:rsidRPr="00F21F58">
              <w:t>Nr.</w:t>
            </w:r>
          </w:p>
          <w:p w14:paraId="088DC59F" w14:textId="77777777" w:rsidR="00E23947" w:rsidRPr="00F21F58" w:rsidRDefault="00E23947" w:rsidP="00DE497B">
            <w:pPr>
              <w:pStyle w:val="naisf"/>
              <w:spacing w:before="0" w:after="0"/>
              <w:ind w:firstLine="0"/>
              <w:jc w:val="center"/>
            </w:pPr>
            <w:r w:rsidRPr="00F21F58">
              <w:t>p.k.</w:t>
            </w:r>
          </w:p>
        </w:tc>
        <w:tc>
          <w:tcPr>
            <w:tcW w:w="2410" w:type="dxa"/>
          </w:tcPr>
          <w:p w14:paraId="41E30F2C" w14:textId="77777777" w:rsidR="00E23947" w:rsidRPr="00F21F58" w:rsidRDefault="00E23947" w:rsidP="00DE497B">
            <w:pPr>
              <w:pStyle w:val="naisf"/>
              <w:spacing w:before="0" w:after="0"/>
              <w:ind w:firstLine="0"/>
              <w:jc w:val="center"/>
            </w:pPr>
            <w:r w:rsidRPr="00F21F58">
              <w:t>Saskaņošanai nosūtītā projekta redakcija (konkrēta punkta (panta) redakcija)</w:t>
            </w:r>
          </w:p>
        </w:tc>
        <w:tc>
          <w:tcPr>
            <w:tcW w:w="4110" w:type="dxa"/>
          </w:tcPr>
          <w:p w14:paraId="3EC9DD7B" w14:textId="77777777" w:rsidR="00E23947" w:rsidRPr="00F21F58" w:rsidRDefault="00E23947" w:rsidP="00DE497B">
            <w:pPr>
              <w:pStyle w:val="naisf"/>
              <w:spacing w:before="0" w:after="0"/>
              <w:ind w:firstLine="0"/>
              <w:jc w:val="center"/>
            </w:pPr>
            <w:r w:rsidRPr="00F21F58">
              <w:t>Atzinumā norādītais ministrijas (citas institūcijas) iebildums, kā arī saskaņošanā papildus izteiktais iebildums par projekta konkrēto punktu (pantu)</w:t>
            </w:r>
          </w:p>
        </w:tc>
        <w:tc>
          <w:tcPr>
            <w:tcW w:w="4536" w:type="dxa"/>
          </w:tcPr>
          <w:p w14:paraId="614290FF" w14:textId="77777777" w:rsidR="00E23947" w:rsidRPr="00F21F58" w:rsidRDefault="00E23947" w:rsidP="00DE497B">
            <w:pPr>
              <w:pStyle w:val="naisf"/>
              <w:spacing w:before="0" w:after="0"/>
              <w:ind w:firstLine="0"/>
              <w:jc w:val="center"/>
            </w:pPr>
            <w:r w:rsidRPr="00F21F58">
              <w:t>Atbildīgās ministrijas norāde par to, ka iebildums ir ņemts vērā, vai informācija par saskaņošanā panākto alternatīvo risinājumu</w:t>
            </w:r>
          </w:p>
        </w:tc>
        <w:tc>
          <w:tcPr>
            <w:tcW w:w="2694" w:type="dxa"/>
          </w:tcPr>
          <w:p w14:paraId="3A1FA110" w14:textId="571BB516" w:rsidR="00E23947" w:rsidRPr="00F21F58" w:rsidRDefault="00E23947" w:rsidP="00DE497B">
            <w:pPr>
              <w:pStyle w:val="naisf"/>
              <w:spacing w:before="0" w:after="0"/>
              <w:ind w:firstLine="0"/>
              <w:jc w:val="center"/>
            </w:pPr>
            <w:r w:rsidRPr="00F21F58">
              <w:t>Projekta attiecīgā punkta (panta) galīgā redakcija</w:t>
            </w:r>
          </w:p>
        </w:tc>
      </w:tr>
      <w:tr w:rsidR="00F21F58" w:rsidRPr="00F21F58" w14:paraId="1D871D38" w14:textId="52430D21" w:rsidTr="00C263B2">
        <w:tblPrEx>
          <w:tblLook w:val="01E0" w:firstRow="1" w:lastRow="1" w:firstColumn="1" w:lastColumn="1" w:noHBand="0" w:noVBand="0"/>
        </w:tblPrEx>
        <w:tc>
          <w:tcPr>
            <w:tcW w:w="846" w:type="dxa"/>
          </w:tcPr>
          <w:p w14:paraId="640C0DB9" w14:textId="77777777" w:rsidR="00E23947" w:rsidRPr="00F21F58" w:rsidRDefault="00E23947" w:rsidP="00DE497B">
            <w:pPr>
              <w:jc w:val="center"/>
            </w:pPr>
            <w:r w:rsidRPr="00F21F58">
              <w:t>1.</w:t>
            </w:r>
          </w:p>
        </w:tc>
        <w:tc>
          <w:tcPr>
            <w:tcW w:w="2410" w:type="dxa"/>
          </w:tcPr>
          <w:p w14:paraId="3D77520B" w14:textId="77777777" w:rsidR="00E23947" w:rsidRPr="00F21F58" w:rsidRDefault="00E23947" w:rsidP="00DE497B">
            <w:pPr>
              <w:jc w:val="center"/>
            </w:pPr>
            <w:r w:rsidRPr="00F21F58">
              <w:t>Vispārīgs iebildums</w:t>
            </w:r>
          </w:p>
        </w:tc>
        <w:tc>
          <w:tcPr>
            <w:tcW w:w="4110" w:type="dxa"/>
          </w:tcPr>
          <w:p w14:paraId="25933B27" w14:textId="442B33B6" w:rsidR="00E23947" w:rsidRPr="00F21F58" w:rsidRDefault="00E23947" w:rsidP="00DE497B">
            <w:pPr>
              <w:tabs>
                <w:tab w:val="left" w:pos="1134"/>
              </w:tabs>
              <w:ind w:right="-7"/>
              <w:jc w:val="center"/>
              <w:rPr>
                <w:b/>
              </w:rPr>
            </w:pPr>
            <w:r w:rsidRPr="00F21F58">
              <w:rPr>
                <w:b/>
                <w:lang w:eastAsia="en-US"/>
              </w:rPr>
              <w:t>Finanšu ministrija</w:t>
            </w:r>
            <w:r w:rsidR="00750089" w:rsidRPr="00F21F58">
              <w:rPr>
                <w:b/>
                <w:lang w:eastAsia="en-US"/>
              </w:rPr>
              <w:t>s</w:t>
            </w:r>
            <w:r w:rsidRPr="00F21F58">
              <w:rPr>
                <w:b/>
                <w:lang w:eastAsia="en-US"/>
              </w:rPr>
              <w:t xml:space="preserve"> 201</w:t>
            </w:r>
            <w:r w:rsidR="005113F4" w:rsidRPr="00F21F58">
              <w:rPr>
                <w:b/>
                <w:lang w:eastAsia="en-US"/>
              </w:rPr>
              <w:t>9</w:t>
            </w:r>
            <w:r w:rsidRPr="00F21F58">
              <w:rPr>
                <w:b/>
                <w:lang w:eastAsia="en-US"/>
              </w:rPr>
              <w:t xml:space="preserve">. gada </w:t>
            </w:r>
            <w:r w:rsidR="002F753C" w:rsidRPr="00F21F58">
              <w:rPr>
                <w:b/>
                <w:lang w:eastAsia="en-US"/>
              </w:rPr>
              <w:t>2</w:t>
            </w:r>
            <w:r w:rsidR="005113F4" w:rsidRPr="00F21F58">
              <w:rPr>
                <w:b/>
                <w:lang w:eastAsia="en-US"/>
              </w:rPr>
              <w:t>9</w:t>
            </w:r>
            <w:r w:rsidR="006C3195" w:rsidRPr="00F21F58">
              <w:rPr>
                <w:b/>
                <w:lang w:eastAsia="en-US"/>
              </w:rPr>
              <w:t>. </w:t>
            </w:r>
            <w:r w:rsidR="002F753C" w:rsidRPr="00F21F58">
              <w:rPr>
                <w:b/>
                <w:lang w:eastAsia="en-US"/>
              </w:rPr>
              <w:t>a</w:t>
            </w:r>
            <w:r w:rsidR="005113F4" w:rsidRPr="00F21F58">
              <w:rPr>
                <w:b/>
                <w:lang w:eastAsia="en-US"/>
              </w:rPr>
              <w:t>prīļa</w:t>
            </w:r>
            <w:r w:rsidR="006C3195" w:rsidRPr="00F21F58">
              <w:rPr>
                <w:b/>
                <w:lang w:eastAsia="en-US"/>
              </w:rPr>
              <w:t xml:space="preserve"> atzinums</w:t>
            </w:r>
            <w:r w:rsidR="00BA0A6B" w:rsidRPr="00F21F58">
              <w:t xml:space="preserve"> </w:t>
            </w:r>
            <w:r w:rsidR="00E83435" w:rsidRPr="00F21F58">
              <w:rPr>
                <w:b/>
              </w:rPr>
              <w:t>Nr</w:t>
            </w:r>
            <w:r w:rsidR="009F0A10" w:rsidRPr="00F21F58">
              <w:rPr>
                <w:b/>
              </w:rPr>
              <w:t>.</w:t>
            </w:r>
            <w:r w:rsidR="00C86642" w:rsidRPr="00F21F58">
              <w:t xml:space="preserve"> </w:t>
            </w:r>
            <w:r w:rsidR="00985C29" w:rsidRPr="00F21F58">
              <w:rPr>
                <w:b/>
              </w:rPr>
              <w:t>12-A/7/</w:t>
            </w:r>
            <w:r w:rsidR="005113F4" w:rsidRPr="00F21F58">
              <w:rPr>
                <w:b/>
              </w:rPr>
              <w:t>1983</w:t>
            </w:r>
          </w:p>
          <w:p w14:paraId="7615B0E2" w14:textId="77777777" w:rsidR="006F5359" w:rsidRPr="00F21F58" w:rsidRDefault="006F5359" w:rsidP="00294AD8">
            <w:pPr>
              <w:pStyle w:val="ListParagraph"/>
              <w:numPr>
                <w:ilvl w:val="0"/>
                <w:numId w:val="10"/>
              </w:numPr>
              <w:ind w:left="0" w:firstLine="426"/>
              <w:jc w:val="both"/>
              <w:rPr>
                <w:rFonts w:cs="Tahoma"/>
              </w:rPr>
            </w:pPr>
            <w:r w:rsidRPr="00F21F58">
              <w:rPr>
                <w:rFonts w:cs="Tahoma"/>
              </w:rPr>
              <w:t xml:space="preserve">Lūdzam rīkojuma projekta 1. punktu izteikt šādā redakcijā: </w:t>
            </w:r>
          </w:p>
          <w:p w14:paraId="392FCB02" w14:textId="77777777" w:rsidR="006F5359" w:rsidRPr="00F21F58" w:rsidRDefault="006F5359" w:rsidP="00294AD8">
            <w:pPr>
              <w:jc w:val="both"/>
              <w:rPr>
                <w:rFonts w:cs="Tahoma"/>
              </w:rPr>
            </w:pPr>
            <w:r w:rsidRPr="00F21F58">
              <w:rPr>
                <w:rFonts w:cs="Tahoma"/>
              </w:rPr>
              <w:t>“1. Saskaņā ar Publiskas personas mantas atsavināšanas likuma 4. panta pirmo un otro daļu un 5. panta pirmo daļu atļaut valsts akciju sabiedrībai “Valsts nekustamie īpašumi” pārdot izsolē valsts nekustamo īpašumu “Kaņieris 2” (nekustamā īpašuma kadastra Nr. 90665040044), kas sastāv no būves ar kadastra apzīmējumu 90660040459004, “Augustos”, Lapmežciema pagastā, Engures novadā, un ierakstīts zemesgrāmatā uz valsts vārda Vides aizsardzības un reģionālās attīstības ministrijas personā (turpmāk – valsts nekustamais īpašums), ievērojot Publiskas personas mantas atsavināšanas likuma 14. panta nosacījumus.”</w:t>
            </w:r>
          </w:p>
          <w:p w14:paraId="6ABD7153" w14:textId="4FCE4CBA" w:rsidR="00E23947" w:rsidRPr="00F21F58" w:rsidRDefault="00E23947" w:rsidP="006C3195">
            <w:pPr>
              <w:pStyle w:val="ListParagraph"/>
              <w:ind w:left="0"/>
              <w:jc w:val="both"/>
            </w:pPr>
          </w:p>
        </w:tc>
        <w:tc>
          <w:tcPr>
            <w:tcW w:w="4536" w:type="dxa"/>
          </w:tcPr>
          <w:p w14:paraId="75A466C6" w14:textId="5ADBF7C8" w:rsidR="00C86642" w:rsidRPr="00F21F58" w:rsidRDefault="00C86642" w:rsidP="00C86642">
            <w:pPr>
              <w:pStyle w:val="naisf"/>
              <w:spacing w:before="0" w:after="0"/>
              <w:ind w:firstLine="0"/>
              <w:rPr>
                <w:rFonts w:eastAsia="Calibri"/>
                <w:b/>
                <w:lang w:eastAsia="en-US"/>
              </w:rPr>
            </w:pPr>
            <w:r w:rsidRPr="00F21F58">
              <w:rPr>
                <w:rFonts w:eastAsia="Calibri"/>
                <w:b/>
                <w:lang w:eastAsia="en-US"/>
              </w:rPr>
              <w:t>Iebildums ir ņemts vērā.</w:t>
            </w:r>
          </w:p>
          <w:p w14:paraId="194ED991" w14:textId="2DCE3720" w:rsidR="00632CC6" w:rsidRPr="00F21F58" w:rsidRDefault="00632CC6" w:rsidP="00C86642">
            <w:pPr>
              <w:pStyle w:val="BodyText"/>
              <w:spacing w:after="0"/>
              <w:jc w:val="both"/>
              <w:rPr>
                <w:b/>
              </w:rPr>
            </w:pPr>
          </w:p>
          <w:p w14:paraId="1230071D" w14:textId="66E3184C" w:rsidR="006F5359" w:rsidRPr="00F21F58" w:rsidRDefault="008E0F6F" w:rsidP="008E0F6F">
            <w:pPr>
              <w:jc w:val="both"/>
              <w:rPr>
                <w:rFonts w:cs="Tahoma"/>
              </w:rPr>
            </w:pPr>
            <w:r>
              <w:t>Rīkojuma projekta 1. </w:t>
            </w:r>
            <w:r w:rsidR="006F5359" w:rsidRPr="00F21F58">
              <w:t>punkts papildināts ar vārdiem “</w:t>
            </w:r>
            <w:r w:rsidR="006F5359" w:rsidRPr="00F21F58">
              <w:rPr>
                <w:rFonts w:cs="Tahoma"/>
              </w:rPr>
              <w:t xml:space="preserve">ievērojot Publiskas personas </w:t>
            </w:r>
            <w:r>
              <w:rPr>
                <w:rFonts w:cs="Tahoma"/>
              </w:rPr>
              <w:t>mantas atsavināšanas likuma 14. </w:t>
            </w:r>
            <w:r w:rsidR="006F5359" w:rsidRPr="00F21F58">
              <w:rPr>
                <w:rFonts w:cs="Tahoma"/>
              </w:rPr>
              <w:t>panta nosacījumus.”</w:t>
            </w:r>
          </w:p>
          <w:p w14:paraId="2B7E0B60" w14:textId="17116A62" w:rsidR="00E23947" w:rsidRPr="00F21F58" w:rsidRDefault="00E23947" w:rsidP="007E3D6E">
            <w:pPr>
              <w:pStyle w:val="BodyText"/>
              <w:spacing w:after="0"/>
              <w:jc w:val="both"/>
            </w:pPr>
          </w:p>
        </w:tc>
        <w:tc>
          <w:tcPr>
            <w:tcW w:w="2694" w:type="dxa"/>
          </w:tcPr>
          <w:p w14:paraId="715B9C5A" w14:textId="5B25A050" w:rsidR="00E23947" w:rsidRPr="00F21F58" w:rsidRDefault="00E23947" w:rsidP="005A45C2">
            <w:pPr>
              <w:jc w:val="both"/>
            </w:pPr>
          </w:p>
        </w:tc>
      </w:tr>
      <w:tr w:rsidR="00F21F58" w:rsidRPr="00F21F58" w14:paraId="2BBEFBC4" w14:textId="77777777" w:rsidTr="00C263B2">
        <w:trPr>
          <w:trHeight w:val="1279"/>
        </w:trPr>
        <w:tc>
          <w:tcPr>
            <w:tcW w:w="846" w:type="dxa"/>
          </w:tcPr>
          <w:p w14:paraId="7F6ACDA0" w14:textId="42158A59" w:rsidR="00457893" w:rsidRPr="00F21F58" w:rsidRDefault="00705631" w:rsidP="00DE497B">
            <w:pPr>
              <w:pStyle w:val="naisf"/>
              <w:spacing w:before="0" w:after="0"/>
              <w:ind w:firstLine="0"/>
              <w:jc w:val="center"/>
            </w:pPr>
            <w:r w:rsidRPr="00F21F58">
              <w:lastRenderedPageBreak/>
              <w:t>2</w:t>
            </w:r>
            <w:r w:rsidR="00457893" w:rsidRPr="00F21F58">
              <w:t>.</w:t>
            </w:r>
          </w:p>
        </w:tc>
        <w:tc>
          <w:tcPr>
            <w:tcW w:w="2410" w:type="dxa"/>
          </w:tcPr>
          <w:p w14:paraId="3F5F7EB7" w14:textId="432A91A1" w:rsidR="00457893" w:rsidRPr="00F21F58" w:rsidRDefault="00457893" w:rsidP="006C3195">
            <w:pPr>
              <w:pStyle w:val="BodyText"/>
              <w:spacing w:after="0"/>
              <w:jc w:val="both"/>
            </w:pPr>
          </w:p>
        </w:tc>
        <w:tc>
          <w:tcPr>
            <w:tcW w:w="4110" w:type="dxa"/>
          </w:tcPr>
          <w:p w14:paraId="5978F9F8" w14:textId="77777777" w:rsidR="009C7974" w:rsidRPr="00F21F58" w:rsidRDefault="009C7974" w:rsidP="009C7974">
            <w:pPr>
              <w:tabs>
                <w:tab w:val="left" w:pos="1134"/>
              </w:tabs>
              <w:ind w:right="-7"/>
              <w:jc w:val="center"/>
              <w:rPr>
                <w:b/>
              </w:rPr>
            </w:pPr>
            <w:r w:rsidRPr="00F21F58">
              <w:rPr>
                <w:b/>
                <w:lang w:eastAsia="en-US"/>
              </w:rPr>
              <w:t>Finanšu ministrijas 2019. gada 29. aprīļa atzinums</w:t>
            </w:r>
            <w:r w:rsidRPr="00F21F58">
              <w:t xml:space="preserve"> </w:t>
            </w:r>
            <w:r w:rsidRPr="00F21F58">
              <w:rPr>
                <w:b/>
              </w:rPr>
              <w:t>Nr.</w:t>
            </w:r>
            <w:r w:rsidRPr="00F21F58">
              <w:t xml:space="preserve"> </w:t>
            </w:r>
            <w:r w:rsidRPr="00F21F58">
              <w:rPr>
                <w:b/>
              </w:rPr>
              <w:t>12-A/7/1983</w:t>
            </w:r>
          </w:p>
          <w:p w14:paraId="0B939FCF" w14:textId="77777777" w:rsidR="009C7974" w:rsidRPr="00F21F58" w:rsidRDefault="007E3D6E" w:rsidP="00294AD8">
            <w:pPr>
              <w:jc w:val="both"/>
              <w:rPr>
                <w:rFonts w:cs="Tahoma"/>
              </w:rPr>
            </w:pPr>
            <w:r w:rsidRPr="00F21F58">
              <w:t xml:space="preserve">2. </w:t>
            </w:r>
            <w:r w:rsidR="009C7974" w:rsidRPr="00F21F58">
              <w:rPr>
                <w:rFonts w:cs="Tahoma"/>
              </w:rPr>
              <w:t xml:space="preserve">Ņemot vērā, ka nekustamais īpašums “Kaņieris 2”, "Augustos", Lapmežciema pagastā, Engures novadā atrodas uz citai personai piederošas zemes vienības, ievērojot Publiskas personas mantas atsavināšanas likuma (Turpmāk – Atsavināšanas likums) 4.panta ceturtās daļas 1. un 2.punktu, zemes vienības īpašniekam ir pirmpirkuma tiesības. </w:t>
            </w:r>
          </w:p>
          <w:p w14:paraId="39667B27" w14:textId="77777777" w:rsidR="009C7974" w:rsidRPr="00F21F58" w:rsidRDefault="009C7974" w:rsidP="00294AD8">
            <w:pPr>
              <w:ind w:firstLine="284"/>
              <w:jc w:val="both"/>
              <w:rPr>
                <w:rFonts w:cs="Tahoma"/>
              </w:rPr>
            </w:pPr>
            <w:r w:rsidRPr="00F21F58">
              <w:rPr>
                <w:rFonts w:cs="Tahoma"/>
              </w:rPr>
              <w:t>Lūdzam papildināt arī rīkojuma projekta anotāciju ar informāciju par rīcību saskaņā ar Atsavināšanas likuma 11.panta trešo daļu un 14.panta otro daļu, ka vienlaikus ar sludinājuma par izsoli publicēšanu zemes vienības īpašniekam tiks nosūtīts uzaicinājums iesniegt pieteikumu par pirmpirkuma tiesību izmantošanu.  Ja izsludinātajā termiņā Atsavināšanas likuma 4.panta ceturtās daļas 1.punktā minētā persona nebūs iesniegusi pieteikumu par attiecīgā nekustamā īpašuma pirkšanu vai būs iesniegusi atteikumu, rīkojama izsole Atsavināšanas likumā noteiktajā kārtībā.</w:t>
            </w:r>
            <w:r w:rsidRPr="00F21F58">
              <w:rPr>
                <w:rFonts w:cs="Calibri"/>
              </w:rPr>
              <w:t xml:space="preserve"> </w:t>
            </w:r>
            <w:r w:rsidRPr="00F21F58">
              <w:t>Šādā gadījumā minētās personas būs tiesīgas iegādāties nekustamo īpašumu izsolē vispārējā kārtībā.</w:t>
            </w:r>
          </w:p>
          <w:p w14:paraId="483EBF0C" w14:textId="1FAEAF9B" w:rsidR="007E3D6E" w:rsidRPr="00F21F58" w:rsidRDefault="007E3D6E" w:rsidP="00892943">
            <w:pPr>
              <w:pStyle w:val="ListParagraph"/>
              <w:ind w:left="0"/>
              <w:jc w:val="both"/>
            </w:pPr>
          </w:p>
          <w:p w14:paraId="3968DD14" w14:textId="35F9EDB7" w:rsidR="00457893" w:rsidRPr="00F21F58" w:rsidRDefault="00457893" w:rsidP="00C86642">
            <w:pPr>
              <w:jc w:val="both"/>
              <w:rPr>
                <w:bCs/>
              </w:rPr>
            </w:pPr>
          </w:p>
        </w:tc>
        <w:tc>
          <w:tcPr>
            <w:tcW w:w="4536" w:type="dxa"/>
          </w:tcPr>
          <w:p w14:paraId="4777A58E" w14:textId="77777777" w:rsidR="007E3D6E" w:rsidRPr="00F21F58" w:rsidRDefault="007E3D6E" w:rsidP="007E3D6E">
            <w:pPr>
              <w:pStyle w:val="naisf"/>
              <w:spacing w:before="0" w:after="0"/>
              <w:ind w:firstLine="0"/>
              <w:rPr>
                <w:rFonts w:eastAsia="Calibri"/>
                <w:b/>
                <w:lang w:eastAsia="en-US"/>
              </w:rPr>
            </w:pPr>
            <w:r w:rsidRPr="00F21F58">
              <w:rPr>
                <w:rFonts w:eastAsia="Calibri"/>
                <w:b/>
                <w:lang w:eastAsia="en-US"/>
              </w:rPr>
              <w:t>Iebildums ir ņemts vērā.</w:t>
            </w:r>
          </w:p>
          <w:p w14:paraId="392CAF81" w14:textId="377480DE" w:rsidR="00457893" w:rsidRPr="00F21F58" w:rsidRDefault="00D6413A" w:rsidP="00C86642">
            <w:pPr>
              <w:jc w:val="both"/>
              <w:rPr>
                <w:rFonts w:eastAsia="Calibri"/>
                <w:lang w:eastAsia="en-US"/>
              </w:rPr>
            </w:pPr>
            <w:r w:rsidRPr="00F21F58">
              <w:rPr>
                <w:rFonts w:eastAsia="Calibri"/>
                <w:lang w:eastAsia="en-US"/>
              </w:rPr>
              <w:t>Anotācija</w:t>
            </w:r>
            <w:r w:rsidR="008E0F6F">
              <w:rPr>
                <w:rFonts w:eastAsia="Calibri"/>
                <w:lang w:eastAsia="en-US"/>
              </w:rPr>
              <w:t>s I sadaļas 2. punkts papildināts ar šādu informāciju</w:t>
            </w:r>
            <w:r w:rsidRPr="00F21F58">
              <w:rPr>
                <w:rFonts w:eastAsia="Calibri"/>
                <w:lang w:eastAsia="en-US"/>
              </w:rPr>
              <w:t>:</w:t>
            </w:r>
          </w:p>
          <w:p w14:paraId="0255B305" w14:textId="7A8EFF10" w:rsidR="00D6413A" w:rsidRPr="00F21F58" w:rsidRDefault="008E0F6F" w:rsidP="00D6413A">
            <w:pPr>
              <w:jc w:val="both"/>
              <w:rPr>
                <w:rFonts w:cs="Tahoma"/>
              </w:rPr>
            </w:pPr>
            <w:r>
              <w:rPr>
                <w:rFonts w:cs="Tahoma"/>
              </w:rPr>
              <w:t>“</w:t>
            </w:r>
            <w:r w:rsidR="00D6413A" w:rsidRPr="00F21F58">
              <w:rPr>
                <w:rFonts w:cs="Tahoma"/>
              </w:rPr>
              <w:t>Saskaņā ar Atsavināšanas likuma 11.</w:t>
            </w:r>
            <w:r>
              <w:rPr>
                <w:rFonts w:cs="Tahoma"/>
              </w:rPr>
              <w:t> </w:t>
            </w:r>
            <w:r w:rsidR="00D6413A" w:rsidRPr="00F21F58">
              <w:rPr>
                <w:rFonts w:cs="Tahoma"/>
              </w:rPr>
              <w:t>panta trešo daļu un 14.</w:t>
            </w:r>
            <w:r>
              <w:rPr>
                <w:rFonts w:cs="Tahoma"/>
              </w:rPr>
              <w:t> </w:t>
            </w:r>
            <w:r w:rsidR="00D6413A" w:rsidRPr="00F21F58">
              <w:rPr>
                <w:rFonts w:cs="Tahoma"/>
              </w:rPr>
              <w:t>panta otro daļu, vienlaikus ar sludinājuma par izsoli publicēšanu zemes vienības īpašniekam tiks nosūtīts uzaicinājums iesniegt pieteikumu par pirmpirkuma tiesību izmant</w:t>
            </w:r>
            <w:r>
              <w:rPr>
                <w:rFonts w:cs="Tahoma"/>
              </w:rPr>
              <w:t xml:space="preserve">ošanu. </w:t>
            </w:r>
            <w:r w:rsidR="00D6413A" w:rsidRPr="00F21F58">
              <w:rPr>
                <w:rFonts w:cs="Tahoma"/>
              </w:rPr>
              <w:t>Ja izsludinātajā termiņā Atsavināšanas likuma 4.</w:t>
            </w:r>
            <w:r>
              <w:rPr>
                <w:rFonts w:cs="Tahoma"/>
              </w:rPr>
              <w:t> </w:t>
            </w:r>
            <w:r w:rsidR="00D6413A" w:rsidRPr="00F21F58">
              <w:rPr>
                <w:rFonts w:cs="Tahoma"/>
              </w:rPr>
              <w:t>panta ceturtās daļas 1.</w:t>
            </w:r>
            <w:r>
              <w:rPr>
                <w:rFonts w:cs="Tahoma"/>
              </w:rPr>
              <w:t> </w:t>
            </w:r>
            <w:r w:rsidR="00D6413A" w:rsidRPr="00F21F58">
              <w:rPr>
                <w:rFonts w:cs="Tahoma"/>
              </w:rPr>
              <w:t>punktā minētā persona nebūs iesniegusi pieteikumu par attiecīgā nekustamā īpašuma pirkšanu vai būs iesniegusi atteikumu, rīkojama izsole Atsavināšanas likumā noteiktajā kārtībā.</w:t>
            </w:r>
            <w:r w:rsidR="00D6413A" w:rsidRPr="00F21F58">
              <w:rPr>
                <w:rFonts w:cs="Calibri"/>
              </w:rPr>
              <w:t xml:space="preserve"> </w:t>
            </w:r>
            <w:r w:rsidR="00D6413A" w:rsidRPr="00F21F58">
              <w:t>Šādā gadījumā minētās personas būs tiesīgas iegādāties nekustamo īpašumu izsolē vispārējā kārtībā.</w:t>
            </w:r>
            <w:r>
              <w:t>”</w:t>
            </w:r>
          </w:p>
          <w:p w14:paraId="5BDBFAEB" w14:textId="4736073D" w:rsidR="00D6413A" w:rsidRPr="00F21F58" w:rsidRDefault="00D6413A" w:rsidP="00C86642">
            <w:pPr>
              <w:jc w:val="both"/>
              <w:rPr>
                <w:rFonts w:eastAsia="Calibri"/>
                <w:lang w:eastAsia="en-US"/>
              </w:rPr>
            </w:pPr>
          </w:p>
        </w:tc>
        <w:tc>
          <w:tcPr>
            <w:tcW w:w="2694" w:type="dxa"/>
          </w:tcPr>
          <w:p w14:paraId="2135E5D6" w14:textId="63965C4F" w:rsidR="00457893" w:rsidRPr="00F21F58" w:rsidRDefault="00457893" w:rsidP="009C7974">
            <w:pPr>
              <w:pStyle w:val="BodyText"/>
              <w:spacing w:after="0"/>
              <w:jc w:val="both"/>
            </w:pPr>
          </w:p>
        </w:tc>
      </w:tr>
      <w:tr w:rsidR="00F21F58" w:rsidRPr="00F21F58" w14:paraId="586B932A" w14:textId="77777777" w:rsidTr="00C263B2">
        <w:tc>
          <w:tcPr>
            <w:tcW w:w="846" w:type="dxa"/>
          </w:tcPr>
          <w:p w14:paraId="2A34E567" w14:textId="1025F0E6" w:rsidR="009C7974" w:rsidRPr="00F21F58" w:rsidRDefault="009C7974" w:rsidP="009C7974">
            <w:pPr>
              <w:pStyle w:val="naisf"/>
              <w:spacing w:before="0" w:after="0"/>
              <w:ind w:firstLine="0"/>
              <w:jc w:val="center"/>
            </w:pPr>
            <w:r w:rsidRPr="00F21F58">
              <w:lastRenderedPageBreak/>
              <w:t>3.</w:t>
            </w:r>
          </w:p>
        </w:tc>
        <w:tc>
          <w:tcPr>
            <w:tcW w:w="2410" w:type="dxa"/>
          </w:tcPr>
          <w:p w14:paraId="4A51667A" w14:textId="55AEE884" w:rsidR="009C7974" w:rsidRPr="00F21F58" w:rsidRDefault="009C7974" w:rsidP="009C7974">
            <w:pPr>
              <w:ind w:firstLine="34"/>
              <w:jc w:val="both"/>
              <w:rPr>
                <w:lang w:eastAsia="ko-KR"/>
              </w:rPr>
            </w:pPr>
            <w:r w:rsidRPr="00F21F58">
              <w:t>Vispārīgs iebildums</w:t>
            </w:r>
          </w:p>
        </w:tc>
        <w:tc>
          <w:tcPr>
            <w:tcW w:w="4110" w:type="dxa"/>
          </w:tcPr>
          <w:p w14:paraId="1DD13995" w14:textId="76EA1AF1" w:rsidR="009C7974" w:rsidRPr="00F21F58" w:rsidRDefault="009C7974" w:rsidP="009C7974">
            <w:pPr>
              <w:pStyle w:val="ListParagraph"/>
              <w:ind w:left="0"/>
              <w:jc w:val="both"/>
              <w:rPr>
                <w:b/>
              </w:rPr>
            </w:pPr>
            <w:r w:rsidRPr="00F21F58">
              <w:rPr>
                <w:b/>
              </w:rPr>
              <w:t>Tieslietu ministrijas 201</w:t>
            </w:r>
            <w:r w:rsidR="008E0F6F">
              <w:rPr>
                <w:b/>
              </w:rPr>
              <w:t>9. gada 26. aprīļa atzinums Nr. </w:t>
            </w:r>
            <w:r w:rsidRPr="00F21F58">
              <w:rPr>
                <w:b/>
              </w:rPr>
              <w:t>1-9.1/406</w:t>
            </w:r>
          </w:p>
          <w:p w14:paraId="5630E26C" w14:textId="06EE57E6" w:rsidR="009C7974" w:rsidRPr="00F21F58" w:rsidRDefault="009C7974" w:rsidP="009C7974">
            <w:pPr>
              <w:pStyle w:val="ListParagraph"/>
              <w:ind w:left="0"/>
              <w:jc w:val="both"/>
              <w:rPr>
                <w:b/>
              </w:rPr>
            </w:pPr>
            <w:r w:rsidRPr="00F21F58">
              <w:t>1.</w:t>
            </w:r>
            <w:r w:rsidR="00230B7D" w:rsidRPr="00F21F58">
              <w:t xml:space="preserve"> </w:t>
            </w:r>
            <w:r w:rsidRPr="00F21F58">
              <w:t>Lūdzam izvērtēt, vai projektam ir pievienoti visi paskaidrojošie dokumenti. Sākotnējās ietekmes novērtējuma ziņojumā (anotācijā) (turpmāk – anotācijā) I sadaļas 2. punktā norādīts, ka valsts nekustamais īpašums atrodas uz zemes vienības (zemes vienības kadastra apzīmējums 90660040977), kas ietilpst nekustamā īpašuma “Augusti”, (nekustamā īpašuma kadastra Nr. 90660040977) Lapmežciema pagastā, Engures novadā, sastāvā un pieder trīs fiziskām personām. Taču projektam nav pievienots neviens dokuments, kas apliecinātu, kurām personām pieder īpašuma tiesības uz zemi, līdz ar to nav skaidrs, vai zeme, uz kuras atrodas atsavināmais būvju īpašums, ir ierakstīta zemesgrāmatā.</w:t>
            </w:r>
          </w:p>
          <w:p w14:paraId="2FD529CB" w14:textId="7944117A" w:rsidR="009C7974" w:rsidRPr="00F21F58" w:rsidRDefault="009C7974" w:rsidP="009C7974">
            <w:pPr>
              <w:pStyle w:val="ListParagraph"/>
              <w:ind w:left="0"/>
              <w:jc w:val="both"/>
            </w:pPr>
          </w:p>
        </w:tc>
        <w:tc>
          <w:tcPr>
            <w:tcW w:w="4536" w:type="dxa"/>
          </w:tcPr>
          <w:p w14:paraId="7243B14F" w14:textId="77777777" w:rsidR="009C7974" w:rsidRPr="00F21F58" w:rsidRDefault="009C7974" w:rsidP="009C7974">
            <w:pPr>
              <w:pStyle w:val="naisf"/>
              <w:spacing w:before="0" w:after="0"/>
              <w:ind w:firstLine="0"/>
              <w:rPr>
                <w:rFonts w:eastAsia="Calibri"/>
                <w:b/>
                <w:lang w:eastAsia="en-US"/>
              </w:rPr>
            </w:pPr>
            <w:r w:rsidRPr="00F21F58">
              <w:rPr>
                <w:rFonts w:eastAsia="Calibri"/>
                <w:b/>
                <w:lang w:eastAsia="en-US"/>
              </w:rPr>
              <w:t>Iebildums ir ņemts vērā.</w:t>
            </w:r>
          </w:p>
          <w:p w14:paraId="1FB11190" w14:textId="4B26C2A7" w:rsidR="009C7974" w:rsidRPr="00F21F58" w:rsidRDefault="008E0F6F" w:rsidP="009C7974">
            <w:pPr>
              <w:pStyle w:val="BodyText"/>
              <w:spacing w:after="0"/>
              <w:jc w:val="both"/>
              <w:rPr>
                <w:rFonts w:eastAsia="Calibri"/>
                <w:lang w:eastAsia="en-US"/>
              </w:rPr>
            </w:pPr>
            <w:r>
              <w:rPr>
                <w:rFonts w:eastAsia="Calibri"/>
                <w:lang w:eastAsia="en-US"/>
              </w:rPr>
              <w:t xml:space="preserve">Rīkojuma projekta dokumentu pakotnei </w:t>
            </w:r>
            <w:r w:rsidR="009C7974" w:rsidRPr="00F21F58">
              <w:rPr>
                <w:rFonts w:eastAsia="Calibri"/>
                <w:lang w:eastAsia="en-US"/>
              </w:rPr>
              <w:t xml:space="preserve">pievienota izdruka no kadastra informācijas sistēmas </w:t>
            </w:r>
            <w:r w:rsidR="00230B7D" w:rsidRPr="00F21F58">
              <w:rPr>
                <w:rFonts w:eastAsia="Calibri"/>
                <w:lang w:eastAsia="en-US"/>
              </w:rPr>
              <w:t>un Zemesgrāmatas izdruka par zemes īpašniekiem</w:t>
            </w:r>
            <w:r w:rsidR="008D04D3">
              <w:rPr>
                <w:rFonts w:eastAsia="Calibri"/>
                <w:lang w:eastAsia="en-US"/>
              </w:rPr>
              <w:t>.</w:t>
            </w:r>
          </w:p>
        </w:tc>
        <w:tc>
          <w:tcPr>
            <w:tcW w:w="2694" w:type="dxa"/>
          </w:tcPr>
          <w:p w14:paraId="66FB795B" w14:textId="1A603E55" w:rsidR="009C7974" w:rsidRPr="00F21F58" w:rsidRDefault="009C7974" w:rsidP="009C7974">
            <w:pPr>
              <w:pStyle w:val="BodyTextIndent"/>
              <w:ind w:right="57"/>
              <w:rPr>
                <w:szCs w:val="28"/>
              </w:rPr>
            </w:pPr>
          </w:p>
        </w:tc>
      </w:tr>
      <w:tr w:rsidR="00F21F58" w:rsidRPr="00F21F58" w14:paraId="43B7D349" w14:textId="77777777" w:rsidTr="00C263B2">
        <w:tc>
          <w:tcPr>
            <w:tcW w:w="846" w:type="dxa"/>
          </w:tcPr>
          <w:p w14:paraId="27E550F7" w14:textId="640DCA57" w:rsidR="00230B7D" w:rsidRPr="00F21F58" w:rsidRDefault="004C332C" w:rsidP="009C7974">
            <w:pPr>
              <w:pStyle w:val="naisf"/>
              <w:spacing w:before="0" w:after="0"/>
              <w:ind w:firstLine="0"/>
              <w:jc w:val="center"/>
            </w:pPr>
            <w:r w:rsidRPr="00F21F58">
              <w:t>4.</w:t>
            </w:r>
          </w:p>
        </w:tc>
        <w:tc>
          <w:tcPr>
            <w:tcW w:w="2410" w:type="dxa"/>
          </w:tcPr>
          <w:p w14:paraId="235FDC30" w14:textId="3BDB6A92" w:rsidR="00230B7D" w:rsidRPr="00F21F58" w:rsidRDefault="004C332C" w:rsidP="009C7974">
            <w:pPr>
              <w:ind w:firstLine="34"/>
              <w:jc w:val="both"/>
            </w:pPr>
            <w:r w:rsidRPr="00F21F58">
              <w:t>Rīkojuma projekta tiesiskais regulējums sabiedrības mērķgrupas neietekmē.</w:t>
            </w:r>
          </w:p>
        </w:tc>
        <w:tc>
          <w:tcPr>
            <w:tcW w:w="4110" w:type="dxa"/>
          </w:tcPr>
          <w:p w14:paraId="7FEA024B" w14:textId="125C36BC" w:rsidR="00230B7D" w:rsidRPr="00F21F58" w:rsidRDefault="00230B7D" w:rsidP="00230B7D">
            <w:pPr>
              <w:pStyle w:val="ListParagraph"/>
              <w:ind w:left="0"/>
              <w:jc w:val="both"/>
              <w:rPr>
                <w:b/>
              </w:rPr>
            </w:pPr>
            <w:r w:rsidRPr="00F21F58">
              <w:rPr>
                <w:b/>
              </w:rPr>
              <w:t>Tieslietu ministrijas 201</w:t>
            </w:r>
            <w:r w:rsidR="008E0F6F">
              <w:rPr>
                <w:b/>
              </w:rPr>
              <w:t>9. gada 26. aprīļa atzinums Nr. </w:t>
            </w:r>
            <w:r w:rsidRPr="00F21F58">
              <w:rPr>
                <w:b/>
              </w:rPr>
              <w:t>1-9.1/406</w:t>
            </w:r>
          </w:p>
          <w:p w14:paraId="7E317ADF" w14:textId="730FDA01" w:rsidR="00230B7D" w:rsidRPr="00F21F58" w:rsidRDefault="008E0F6F" w:rsidP="00230B7D">
            <w:pPr>
              <w:pStyle w:val="Heading3"/>
              <w:shd w:val="clear" w:color="auto" w:fill="FFFFFF"/>
              <w:spacing w:before="0" w:beforeAutospacing="0" w:after="0" w:afterAutospacing="0"/>
              <w:jc w:val="both"/>
              <w:outlineLvl w:val="2"/>
              <w:rPr>
                <w:b w:val="0"/>
                <w:sz w:val="24"/>
                <w:szCs w:val="24"/>
              </w:rPr>
            </w:pPr>
            <w:r>
              <w:rPr>
                <w:b w:val="0"/>
                <w:sz w:val="24"/>
                <w:szCs w:val="24"/>
              </w:rPr>
              <w:t>2. </w:t>
            </w:r>
            <w:r w:rsidR="00230B7D" w:rsidRPr="00F21F58">
              <w:rPr>
                <w:b w:val="0"/>
                <w:sz w:val="24"/>
                <w:szCs w:val="24"/>
              </w:rPr>
              <w:t xml:space="preserve">Tieslietu ministrijas ieskatā, anotācijas II sadaļas 1. punkts būtu papildināms ar informāciju, ka tiesiskais regulējums ietekmē vai varētu ietekmēt personas, kurām saskaņā ar Publiskas personas mantas atsavināšanas likumu ir pirmpirkuma tiesības uz atsavināmajiem valsts nekustamajiem īpašumiem. </w:t>
            </w:r>
            <w:r w:rsidR="00230B7D" w:rsidRPr="00F21F58">
              <w:rPr>
                <w:b w:val="0"/>
                <w:sz w:val="24"/>
                <w:szCs w:val="24"/>
              </w:rPr>
              <w:lastRenderedPageBreak/>
              <w:t>Gadījumā, ja minētās personas neizmanto pirmpirkuma tiesības, tad jebkurš tiesību subjekts - fiziska un juridiska persona, kurai piemīt tiesībspēja un rīcībspēja, un kura vēlas piedalīties izsolē un iegādāties valsts nekustamo īpašumu.</w:t>
            </w:r>
          </w:p>
          <w:p w14:paraId="2F8EE9B7" w14:textId="77777777" w:rsidR="00230B7D" w:rsidRPr="00F21F58" w:rsidRDefault="00230B7D" w:rsidP="009C7974">
            <w:pPr>
              <w:pStyle w:val="ListParagraph"/>
              <w:ind w:left="0"/>
              <w:jc w:val="both"/>
              <w:rPr>
                <w:b/>
              </w:rPr>
            </w:pPr>
          </w:p>
        </w:tc>
        <w:tc>
          <w:tcPr>
            <w:tcW w:w="4536" w:type="dxa"/>
          </w:tcPr>
          <w:p w14:paraId="15DDA937" w14:textId="0EF25E65" w:rsidR="00230B7D" w:rsidRPr="00F21F58" w:rsidRDefault="00230B7D" w:rsidP="00230B7D">
            <w:pPr>
              <w:pStyle w:val="naisf"/>
              <w:spacing w:before="0" w:after="0"/>
              <w:ind w:firstLine="0"/>
              <w:rPr>
                <w:rFonts w:eastAsia="Calibri"/>
                <w:b/>
                <w:lang w:eastAsia="en-US"/>
              </w:rPr>
            </w:pPr>
            <w:r w:rsidRPr="00F21F58">
              <w:rPr>
                <w:rFonts w:eastAsia="Calibri"/>
                <w:b/>
                <w:lang w:eastAsia="en-US"/>
              </w:rPr>
              <w:lastRenderedPageBreak/>
              <w:t xml:space="preserve">Iebildums ir ņemts vērā. </w:t>
            </w:r>
          </w:p>
          <w:p w14:paraId="18A8E7E0" w14:textId="0F45B687" w:rsidR="00230B7D" w:rsidRPr="00F21F58" w:rsidRDefault="00230B7D" w:rsidP="009C7974">
            <w:pPr>
              <w:pStyle w:val="naisf"/>
              <w:spacing w:before="0" w:after="0"/>
              <w:ind w:firstLine="0"/>
              <w:rPr>
                <w:rFonts w:eastAsia="Calibri"/>
                <w:b/>
                <w:lang w:eastAsia="en-US"/>
              </w:rPr>
            </w:pPr>
            <w:r w:rsidRPr="00F21F58">
              <w:t>Papildināts anotācijas II sadaļas 1. punkts</w:t>
            </w:r>
          </w:p>
        </w:tc>
        <w:tc>
          <w:tcPr>
            <w:tcW w:w="2694" w:type="dxa"/>
          </w:tcPr>
          <w:p w14:paraId="22D44069" w14:textId="27C92004" w:rsidR="00230B7D" w:rsidRPr="00F21F58" w:rsidRDefault="004C332C" w:rsidP="009C7974">
            <w:pPr>
              <w:pStyle w:val="BodyTextIndent"/>
              <w:ind w:right="57"/>
              <w:rPr>
                <w:szCs w:val="28"/>
              </w:rPr>
            </w:pPr>
            <w:r w:rsidRPr="00F21F58">
              <w:rPr>
                <w:szCs w:val="24"/>
              </w:rPr>
              <w:t xml:space="preserve">Rīkojuma projekta tiesiskais regulējums ietekmē vai varētu ietekmēt personas, kurām saskaņā ar Publiskas personas mantas atsavināšanas likumu ir pirmpirkuma tiesības uz atsavināmajiem valsts </w:t>
            </w:r>
            <w:r w:rsidRPr="00F21F58">
              <w:rPr>
                <w:szCs w:val="24"/>
              </w:rPr>
              <w:lastRenderedPageBreak/>
              <w:t>nekustamajiem īpašumiem. Gadījumā, ja minētās personas neizmanto pirmpirkuma tiesības, tad jebkurš tiesību subjekts - fiziska un juridiska persona, kurai piemīt tiesībspēja un rīcībspēja, un kura vēlas piedalīties izsolē var iegādāties valsts nekustamo īpašumu.</w:t>
            </w:r>
          </w:p>
        </w:tc>
      </w:tr>
      <w:tr w:rsidR="00F21F58" w:rsidRPr="00F21F58" w14:paraId="64E12290" w14:textId="77777777" w:rsidTr="00C263B2">
        <w:tc>
          <w:tcPr>
            <w:tcW w:w="846" w:type="dxa"/>
          </w:tcPr>
          <w:p w14:paraId="68EF75C2" w14:textId="19693967" w:rsidR="004C332C" w:rsidRPr="00F21F58" w:rsidRDefault="003B0A82" w:rsidP="009C7974">
            <w:pPr>
              <w:pStyle w:val="naisf"/>
              <w:spacing w:before="0" w:after="0"/>
              <w:ind w:firstLine="0"/>
              <w:jc w:val="center"/>
            </w:pPr>
            <w:r w:rsidRPr="00F21F58">
              <w:lastRenderedPageBreak/>
              <w:t>5.</w:t>
            </w:r>
          </w:p>
        </w:tc>
        <w:tc>
          <w:tcPr>
            <w:tcW w:w="2410" w:type="dxa"/>
          </w:tcPr>
          <w:p w14:paraId="45858FC8" w14:textId="22175DE1" w:rsidR="004C332C" w:rsidRPr="00F21F58" w:rsidRDefault="003B0A82" w:rsidP="003B0A82">
            <w:pPr>
              <w:pStyle w:val="ListParagraph"/>
              <w:ind w:left="175"/>
              <w:jc w:val="both"/>
            </w:pPr>
            <w:r w:rsidRPr="00F21F58">
              <w:t>3.Projekta izstrādē iesaistītās institūcijas</w:t>
            </w:r>
          </w:p>
        </w:tc>
        <w:tc>
          <w:tcPr>
            <w:tcW w:w="4110" w:type="dxa"/>
          </w:tcPr>
          <w:p w14:paraId="675B2148" w14:textId="71DE9899" w:rsidR="003B0A82" w:rsidRPr="00F21F58" w:rsidRDefault="003B0A82" w:rsidP="00230B7D">
            <w:pPr>
              <w:pStyle w:val="ListParagraph"/>
              <w:ind w:left="0"/>
              <w:jc w:val="both"/>
              <w:rPr>
                <w:b/>
              </w:rPr>
            </w:pPr>
            <w:r w:rsidRPr="00F21F58">
              <w:rPr>
                <w:b/>
              </w:rPr>
              <w:t>Tieslietu ministrijas 201</w:t>
            </w:r>
            <w:r w:rsidR="008E0F6F">
              <w:rPr>
                <w:b/>
              </w:rPr>
              <w:t>9. gada 26. aprīļa atzinums Nr. </w:t>
            </w:r>
            <w:r w:rsidRPr="00F21F58">
              <w:rPr>
                <w:b/>
              </w:rPr>
              <w:t>1-9.1/406</w:t>
            </w:r>
          </w:p>
          <w:p w14:paraId="2FE9D29C" w14:textId="41FDD263" w:rsidR="004C332C" w:rsidRPr="00F21F58" w:rsidRDefault="008E0F6F" w:rsidP="003B0A82">
            <w:pPr>
              <w:pStyle w:val="ListParagraph"/>
              <w:ind w:left="0"/>
              <w:jc w:val="both"/>
              <w:rPr>
                <w:b/>
              </w:rPr>
            </w:pPr>
            <w:r>
              <w:t>Anotācijas I </w:t>
            </w:r>
            <w:r w:rsidR="003B0A82" w:rsidRPr="00F21F58">
              <w:t>sadaļas 3. punktā norādāms “Projekta izstrādē iesaistītās institūcijas un publiskas personas kapitālsabiedrības”, taču anotācijā norādīts “Projekta izstrādē iesaistītās institūcijas”, līdz ar to anotācijas 3. punkts būtu noformējams atbilstoši instrukcijas pielikuma veidlapai.</w:t>
            </w:r>
          </w:p>
        </w:tc>
        <w:tc>
          <w:tcPr>
            <w:tcW w:w="4536" w:type="dxa"/>
          </w:tcPr>
          <w:p w14:paraId="3841742D" w14:textId="37415482" w:rsidR="004C332C" w:rsidRPr="00F21F58" w:rsidRDefault="003B0A82" w:rsidP="00230B7D">
            <w:pPr>
              <w:pStyle w:val="naisf"/>
              <w:spacing w:before="0" w:after="0"/>
              <w:ind w:firstLine="0"/>
              <w:rPr>
                <w:rFonts w:eastAsia="Calibri"/>
                <w:b/>
                <w:lang w:eastAsia="en-US"/>
              </w:rPr>
            </w:pPr>
            <w:r w:rsidRPr="00F21F58">
              <w:rPr>
                <w:rFonts w:eastAsia="Calibri"/>
                <w:b/>
                <w:lang w:eastAsia="en-US"/>
              </w:rPr>
              <w:t>Priekšlikums ņemts vērā</w:t>
            </w:r>
          </w:p>
        </w:tc>
        <w:tc>
          <w:tcPr>
            <w:tcW w:w="2694" w:type="dxa"/>
          </w:tcPr>
          <w:p w14:paraId="4212C374" w14:textId="17ABB59F" w:rsidR="004C332C" w:rsidRPr="00F21F58" w:rsidRDefault="003B0A82" w:rsidP="003B0A82">
            <w:pPr>
              <w:pStyle w:val="BodyTextIndent"/>
              <w:ind w:right="57" w:firstLine="0"/>
              <w:rPr>
                <w:szCs w:val="24"/>
              </w:rPr>
            </w:pPr>
            <w:r w:rsidRPr="00F21F58">
              <w:t>3.Projekta izstrādē iesaistītās institūcijas un publiskas personas kapitālsabiedrības</w:t>
            </w:r>
          </w:p>
        </w:tc>
      </w:tr>
      <w:tr w:rsidR="00F21F58" w:rsidRPr="00F21F58" w14:paraId="7726579A" w14:textId="77777777" w:rsidTr="00C263B2">
        <w:tc>
          <w:tcPr>
            <w:tcW w:w="846" w:type="dxa"/>
          </w:tcPr>
          <w:p w14:paraId="7F3EEC28" w14:textId="74CBE8AD" w:rsidR="004C332C" w:rsidRPr="00F21F58" w:rsidRDefault="003B0A82" w:rsidP="009C7974">
            <w:pPr>
              <w:pStyle w:val="naisf"/>
              <w:spacing w:before="0" w:after="0"/>
              <w:ind w:firstLine="0"/>
              <w:jc w:val="center"/>
            </w:pPr>
            <w:r w:rsidRPr="00F21F58">
              <w:t>6.</w:t>
            </w:r>
          </w:p>
        </w:tc>
        <w:tc>
          <w:tcPr>
            <w:tcW w:w="2410" w:type="dxa"/>
          </w:tcPr>
          <w:p w14:paraId="2B0992CD" w14:textId="6A6441AF" w:rsidR="00F72633" w:rsidRPr="00F21F58" w:rsidRDefault="00F72633" w:rsidP="00F72633">
            <w:pPr>
              <w:jc w:val="both"/>
            </w:pPr>
            <w:r w:rsidRPr="00F21F58">
              <w:t>8. Rīkojuma projekta īstenošanai nav nepieciešami papildus līdzekļi no valsts vai pašvaldību budžeta. Rīkojuma projektu VNĪ īstenos par saviem līdzekļiem.</w:t>
            </w:r>
          </w:p>
          <w:p w14:paraId="29519F63" w14:textId="77777777" w:rsidR="00F72633" w:rsidRPr="00F21F58" w:rsidRDefault="00F72633" w:rsidP="00F72633">
            <w:pPr>
              <w:jc w:val="both"/>
            </w:pPr>
            <w:r w:rsidRPr="00F21F58">
              <w:t xml:space="preserve">VNĪ saskaņā ar Atsavināšanas likuma </w:t>
            </w:r>
            <w:r w:rsidRPr="00F21F58">
              <w:lastRenderedPageBreak/>
              <w:t xml:space="preserve">47. pantu un Ministru kabineta 2011. gada 1. februāra noteikumu Nr. 109 “Kārtība, kādā atsavināma publiskas personas manta” 37. punktu nekustamo īpašumu atsavināšanā iegūtos līdzekļus pēc atsavināšanas izdevumu segšanas ieskaitīs valsts pamatbudžeta ieņēmumu kontā. Šobrīd nav iespējams noteikt summu, kas tiks ieskaitīta valsts budžetā, jo pašlaik nav iespējams noteikt precīzu nekustamo īpašumu pārdošanas vērtību, ņemot vērā, ka nekustamo īpašumu atsavināšana (nosacītās cenas noteikšana) tiks organizēta pēc Ministru kabineta rīkojuma pieņemšanas un tā būs atkarīga no nekustamo īpašumu tirgus vērtības </w:t>
            </w:r>
            <w:r w:rsidRPr="00F21F58">
              <w:lastRenderedPageBreak/>
              <w:t>vērtēšanas dienā. Atsavināšanas izdevumu apmēru nosaka Ministru kabineta paredzētajā kārtībā.</w:t>
            </w:r>
          </w:p>
          <w:p w14:paraId="2BF6B5DD" w14:textId="3B5C556F" w:rsidR="004C332C" w:rsidRPr="00F21F58" w:rsidRDefault="00F72633" w:rsidP="00F72633">
            <w:pPr>
              <w:ind w:firstLine="34"/>
              <w:jc w:val="both"/>
            </w:pPr>
            <w:r w:rsidRPr="00F21F58">
              <w:t xml:space="preserve">Finansējums ieskaitāms valsts pamatbudžeta ieņēmumu kontā </w:t>
            </w:r>
            <w:r w:rsidRPr="00F21F58">
              <w:rPr>
                <w:b/>
              </w:rPr>
              <w:t>mēneša laikā pēc tā saņemšanas</w:t>
            </w:r>
            <w:r w:rsidRPr="00F21F58">
              <w:t>, kā to nosaka Ministru kabineta 2011. gada 1. februāra noteikumu Nr. 109 “Kārtība, kādā atsavināma publiskas personas manta” 37. punkts.</w:t>
            </w:r>
          </w:p>
        </w:tc>
        <w:tc>
          <w:tcPr>
            <w:tcW w:w="4110" w:type="dxa"/>
          </w:tcPr>
          <w:p w14:paraId="44234DB7" w14:textId="366CB5AB" w:rsidR="003B0A82" w:rsidRPr="00F21F58" w:rsidRDefault="008E0F6F" w:rsidP="003B0A82">
            <w:pPr>
              <w:tabs>
                <w:tab w:val="left" w:pos="1134"/>
              </w:tabs>
              <w:ind w:right="-7"/>
              <w:jc w:val="center"/>
              <w:rPr>
                <w:b/>
              </w:rPr>
            </w:pPr>
            <w:r>
              <w:rPr>
                <w:b/>
                <w:lang w:eastAsia="en-US"/>
              </w:rPr>
              <w:lastRenderedPageBreak/>
              <w:t>Finanšu ministrijas 2019. </w:t>
            </w:r>
            <w:r w:rsidR="003B0A82" w:rsidRPr="00F21F58">
              <w:rPr>
                <w:b/>
                <w:lang w:eastAsia="en-US"/>
              </w:rPr>
              <w:t>gada 29. aprīļa atzinums</w:t>
            </w:r>
            <w:r w:rsidR="003B0A82" w:rsidRPr="00F21F58">
              <w:t xml:space="preserve"> </w:t>
            </w:r>
            <w:r w:rsidR="003B0A82" w:rsidRPr="00F21F58">
              <w:rPr>
                <w:b/>
              </w:rPr>
              <w:t>Nr.</w:t>
            </w:r>
            <w:r>
              <w:t> </w:t>
            </w:r>
            <w:r w:rsidR="003B0A82" w:rsidRPr="00F21F58">
              <w:rPr>
                <w:b/>
              </w:rPr>
              <w:t>12-A/7/1983</w:t>
            </w:r>
          </w:p>
          <w:p w14:paraId="32ABB887" w14:textId="2FAF1278" w:rsidR="004C332C" w:rsidRPr="00F21F58" w:rsidRDefault="00F72633" w:rsidP="00230B7D">
            <w:pPr>
              <w:pStyle w:val="ListParagraph"/>
              <w:ind w:left="0"/>
              <w:jc w:val="both"/>
              <w:rPr>
                <w:b/>
              </w:rPr>
            </w:pPr>
            <w:r w:rsidRPr="00F21F58">
              <w:t xml:space="preserve">Lūdzam Rīkojuma projekta anotācijas III. sadaļas 8.punktu papildināt ar atsauci uz likuma </w:t>
            </w:r>
            <w:bookmarkStart w:id="0" w:name="_Hlk6406819"/>
            <w:r w:rsidRPr="00F21F58">
              <w:t>„</w:t>
            </w:r>
            <w:bookmarkEnd w:id="0"/>
            <w:r w:rsidRPr="00F21F58">
              <w:t>Par valsts budžetu 2019. gadam” 42. panta septīto daļu, kas noteic: „</w:t>
            </w:r>
            <w:r w:rsidRPr="00F21F58">
              <w:rPr>
                <w:i/>
              </w:rPr>
              <w:t xml:space="preserve">Ja Publiskas personas mantas atsavināšanas likumā noteiktajā kārtībā valsts nekustamo īpašumu atsavina valsts akciju sabiedrība </w:t>
            </w:r>
            <w:r w:rsidRPr="00F21F58">
              <w:t>„</w:t>
            </w:r>
            <w:r w:rsidRPr="00F21F58">
              <w:rPr>
                <w:i/>
              </w:rPr>
              <w:t xml:space="preserve">Valsts </w:t>
            </w:r>
            <w:r w:rsidRPr="00F21F58">
              <w:rPr>
                <w:i/>
              </w:rPr>
              <w:lastRenderedPageBreak/>
              <w:t xml:space="preserve">nekustamie īpašumi” vai valsts akciju sabiedrība </w:t>
            </w:r>
            <w:r w:rsidRPr="00F21F58">
              <w:t>„</w:t>
            </w:r>
            <w:r w:rsidRPr="00F21F58">
              <w:rPr>
                <w:i/>
              </w:rPr>
              <w:t xml:space="preserve">Privatizācijas aģentūra”, tā attiecīgā valsts nekustamā īpašuma atsavināšanas rezultātā iegūtos līdzekļus pēc atsavināšanas izdevumu atskaitīšanas </w:t>
            </w:r>
            <w:bookmarkStart w:id="1" w:name="_Hlk6406330"/>
            <w:r w:rsidRPr="00F21F58">
              <w:rPr>
                <w:i/>
              </w:rPr>
              <w:t>izlieto valsts īpašumā un tās pārvaldīšanā esošo vidi degradējošo objektu sakārtošanai.</w:t>
            </w:r>
            <w:bookmarkEnd w:id="1"/>
            <w:r w:rsidRPr="00F21F58">
              <w:rPr>
                <w:i/>
              </w:rPr>
              <w:t xml:space="preserve"> Minētos līdzekļus, kas 2019. gadā nav izlietoti valsts īpašumā un tās pārvaldīšanā esošo vidi degradējošo objektu sakārtošanai, līdz 2019. gada 31. decembrim ieskaita valsts budžetā. </w:t>
            </w:r>
            <w:r w:rsidRPr="00F21F58">
              <w:rPr>
                <w:bCs/>
                <w:i/>
              </w:rPr>
              <w:t xml:space="preserve">Valsts akciju sabiedrībai </w:t>
            </w:r>
            <w:r w:rsidRPr="00F21F58">
              <w:t>„</w:t>
            </w:r>
            <w:r w:rsidRPr="00F21F58">
              <w:rPr>
                <w:bCs/>
                <w:i/>
              </w:rPr>
              <w:t xml:space="preserve">Valsts nekustamie īpašumi” vai valsts akciju sabiedrībai </w:t>
            </w:r>
            <w:r w:rsidRPr="00F21F58">
              <w:t>„</w:t>
            </w:r>
            <w:r w:rsidRPr="00F21F58">
              <w:rPr>
                <w:bCs/>
                <w:i/>
              </w:rPr>
              <w:t>Privatizācijas aģentūra” ir tiesības atsavināšanas izdevumu segšanai paredzētos valsts nekustamā īpašuma atsavināšanā iegūtos līdzekļus izlietot arī valsts īpašumā un tās pārvaldīšanā esošo vidi degradējošo objektu sakārtošanai.</w:t>
            </w:r>
            <w:r w:rsidRPr="00F21F58">
              <w:rPr>
                <w:rFonts w:ascii="Source Sans Pro" w:hAnsi="Source Sans Pro"/>
                <w:i/>
              </w:rPr>
              <w:t>”</w:t>
            </w:r>
          </w:p>
        </w:tc>
        <w:tc>
          <w:tcPr>
            <w:tcW w:w="4536" w:type="dxa"/>
          </w:tcPr>
          <w:p w14:paraId="00D2D356" w14:textId="0D396967" w:rsidR="004C332C" w:rsidRPr="00F21F58" w:rsidRDefault="000400C2" w:rsidP="00230B7D">
            <w:pPr>
              <w:pStyle w:val="naisf"/>
              <w:spacing w:before="0" w:after="0"/>
              <w:ind w:firstLine="0"/>
              <w:rPr>
                <w:rFonts w:eastAsia="Calibri"/>
                <w:b/>
                <w:lang w:eastAsia="en-US"/>
              </w:rPr>
            </w:pPr>
            <w:r w:rsidRPr="00F21F58">
              <w:rPr>
                <w:rFonts w:eastAsia="Calibri"/>
                <w:b/>
                <w:lang w:eastAsia="en-US"/>
              </w:rPr>
              <w:lastRenderedPageBreak/>
              <w:t>Priekšlikums ņemts vērā</w:t>
            </w:r>
          </w:p>
        </w:tc>
        <w:tc>
          <w:tcPr>
            <w:tcW w:w="2694" w:type="dxa"/>
          </w:tcPr>
          <w:p w14:paraId="739C5858" w14:textId="171876C2" w:rsidR="004C332C" w:rsidRPr="00F21F58" w:rsidRDefault="00F72633" w:rsidP="009C7974">
            <w:pPr>
              <w:pStyle w:val="BodyTextIndent"/>
              <w:ind w:right="57"/>
              <w:rPr>
                <w:szCs w:val="24"/>
              </w:rPr>
            </w:pPr>
            <w:r w:rsidRPr="00F21F58">
              <w:t xml:space="preserve">8. </w:t>
            </w:r>
            <w:r w:rsidRPr="00F21F58">
              <w:rPr>
                <w:szCs w:val="24"/>
              </w:rPr>
              <w:t>Rīkojuma projekta īstenošanai nav nepieciešami papildus līdzekļi no valsts vai pašvaldību budžeta. Rīkojuma projektu VNĪ īstenos par saviem līdzekļiem.</w:t>
            </w:r>
          </w:p>
          <w:p w14:paraId="330237E0" w14:textId="08519020" w:rsidR="00F72633" w:rsidRPr="00F21F58" w:rsidRDefault="00F72633" w:rsidP="000400C2">
            <w:pPr>
              <w:pStyle w:val="BodyTextIndent"/>
              <w:ind w:right="57"/>
              <w:rPr>
                <w:szCs w:val="24"/>
              </w:rPr>
            </w:pPr>
            <w:r w:rsidRPr="00F21F58">
              <w:rPr>
                <w:szCs w:val="24"/>
              </w:rPr>
              <w:t xml:space="preserve">Atsavināšanā iegūtie līdzekļi pēc </w:t>
            </w:r>
            <w:r w:rsidRPr="00F21F58">
              <w:rPr>
                <w:szCs w:val="24"/>
              </w:rPr>
              <w:lastRenderedPageBreak/>
              <w:t>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w:t>
            </w:r>
            <w:r w:rsidR="000400C2" w:rsidRPr="00F21F58">
              <w:rPr>
                <w:szCs w:val="24"/>
              </w:rPr>
              <w:t xml:space="preserve"> Pašlaik nav iespējams noteikt īpašuma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w:t>
            </w:r>
            <w:r w:rsidR="000400C2" w:rsidRPr="00F21F58">
              <w:rPr>
                <w:szCs w:val="24"/>
              </w:rPr>
              <w:lastRenderedPageBreak/>
              <w:t>kabineta paredzētajā kārtībā.</w:t>
            </w:r>
          </w:p>
        </w:tc>
      </w:tr>
      <w:tr w:rsidR="004C332C" w:rsidRPr="00F21F58" w14:paraId="324D43FD" w14:textId="77777777" w:rsidTr="00DE497B">
        <w:trPr>
          <w:trHeight w:val="8072"/>
        </w:trPr>
        <w:tc>
          <w:tcPr>
            <w:tcW w:w="846" w:type="dxa"/>
          </w:tcPr>
          <w:p w14:paraId="311DD5E2" w14:textId="2606BE78" w:rsidR="004C332C" w:rsidRPr="00F21F58" w:rsidRDefault="00D95CB0" w:rsidP="009C7974">
            <w:pPr>
              <w:pStyle w:val="naisf"/>
              <w:spacing w:before="0" w:after="0"/>
              <w:ind w:firstLine="0"/>
              <w:jc w:val="center"/>
            </w:pPr>
            <w:r>
              <w:lastRenderedPageBreak/>
              <w:t>7.</w:t>
            </w:r>
          </w:p>
        </w:tc>
        <w:tc>
          <w:tcPr>
            <w:tcW w:w="2410" w:type="dxa"/>
          </w:tcPr>
          <w:p w14:paraId="60A305C2" w14:textId="77777777" w:rsidR="004C332C" w:rsidRPr="00F21F58" w:rsidRDefault="004C332C" w:rsidP="009C7974">
            <w:pPr>
              <w:ind w:firstLine="34"/>
              <w:jc w:val="both"/>
            </w:pPr>
          </w:p>
        </w:tc>
        <w:tc>
          <w:tcPr>
            <w:tcW w:w="4110" w:type="dxa"/>
          </w:tcPr>
          <w:p w14:paraId="21D890F2" w14:textId="77777777" w:rsidR="000400C2" w:rsidRPr="00F21F58" w:rsidRDefault="000400C2" w:rsidP="000400C2">
            <w:pPr>
              <w:tabs>
                <w:tab w:val="left" w:pos="1134"/>
              </w:tabs>
              <w:ind w:right="-7"/>
              <w:jc w:val="center"/>
              <w:rPr>
                <w:b/>
              </w:rPr>
            </w:pPr>
            <w:r w:rsidRPr="00F21F58">
              <w:rPr>
                <w:b/>
                <w:lang w:eastAsia="en-US"/>
              </w:rPr>
              <w:t>Finanšu ministrijas 2019. gada 29. aprīļa atzinums</w:t>
            </w:r>
            <w:r w:rsidRPr="00F21F58">
              <w:t xml:space="preserve"> </w:t>
            </w:r>
            <w:r w:rsidRPr="00F21F58">
              <w:rPr>
                <w:b/>
              </w:rPr>
              <w:t>Nr.</w:t>
            </w:r>
            <w:r w:rsidRPr="00F21F58">
              <w:t xml:space="preserve"> </w:t>
            </w:r>
            <w:r w:rsidRPr="00F21F58">
              <w:rPr>
                <w:b/>
              </w:rPr>
              <w:t>12-A/7/1983</w:t>
            </w:r>
          </w:p>
          <w:p w14:paraId="75A703C2" w14:textId="71223A07" w:rsidR="000400C2" w:rsidRPr="00F21F58" w:rsidRDefault="000400C2" w:rsidP="000400C2">
            <w:pPr>
              <w:jc w:val="both"/>
            </w:pPr>
            <w:r w:rsidRPr="00F21F58">
              <w:t>Ņemot vērā, ka no zemesgrāmatu apliecības un Nekustamā īpašuma valsts kadastra informācijas sistēmas datiem ir konstatējami nekustamā īpašuma  (nekustamā īpašuma kadastra Nr.9066 004 0977) „Augusti”, Lapmežciema pagastā, Engures novadā, īpašnieki (fiziskas personas), lūdzam Rīkojuma projekta anotācijā iekļaut informāciju par personas datu apstrādes mērķi.</w:t>
            </w:r>
          </w:p>
          <w:p w14:paraId="6920C854" w14:textId="77777777" w:rsidR="004C332C" w:rsidRPr="00F21F58" w:rsidRDefault="004C332C" w:rsidP="00230B7D">
            <w:pPr>
              <w:pStyle w:val="ListParagraph"/>
              <w:ind w:left="0"/>
              <w:jc w:val="both"/>
              <w:rPr>
                <w:b/>
              </w:rPr>
            </w:pPr>
          </w:p>
        </w:tc>
        <w:tc>
          <w:tcPr>
            <w:tcW w:w="4536" w:type="dxa"/>
          </w:tcPr>
          <w:p w14:paraId="1EA3F648" w14:textId="77777777" w:rsidR="004C332C" w:rsidRDefault="00F21F58" w:rsidP="00230B7D">
            <w:pPr>
              <w:pStyle w:val="naisf"/>
              <w:spacing w:before="0" w:after="0"/>
              <w:ind w:firstLine="0"/>
              <w:rPr>
                <w:rFonts w:eastAsia="Calibri"/>
                <w:b/>
                <w:lang w:eastAsia="en-US"/>
              </w:rPr>
            </w:pPr>
            <w:r w:rsidRPr="00F21F58">
              <w:rPr>
                <w:rFonts w:eastAsia="Calibri"/>
                <w:b/>
                <w:lang w:eastAsia="en-US"/>
              </w:rPr>
              <w:t>Priekšlikums ņemts vērā</w:t>
            </w:r>
          </w:p>
          <w:p w14:paraId="09CB529B" w14:textId="0983DF7D" w:rsidR="00F21F58" w:rsidRPr="00F21F58" w:rsidRDefault="00F21F58" w:rsidP="00F21F58">
            <w:pPr>
              <w:jc w:val="both"/>
            </w:pPr>
            <w:r w:rsidRPr="00F21F58">
              <w:rPr>
                <w:rFonts w:eastAsia="Calibri"/>
                <w:lang w:eastAsia="en-US"/>
              </w:rPr>
              <w:t>Anotācija</w:t>
            </w:r>
            <w:r w:rsidR="00281A6B">
              <w:rPr>
                <w:rFonts w:eastAsia="Calibri"/>
                <w:lang w:eastAsia="en-US"/>
              </w:rPr>
              <w:t>s I sadaļas 2. punkts papildināts</w:t>
            </w:r>
            <w:r w:rsidRPr="00F21F58">
              <w:t xml:space="preserve"> ar informāciju par </w:t>
            </w:r>
            <w:r w:rsidR="00281A6B">
              <w:t xml:space="preserve">fiziskas </w:t>
            </w:r>
            <w:r w:rsidRPr="00F21F58">
              <w:t>personas datu apstrādes mērķi.</w:t>
            </w:r>
          </w:p>
          <w:p w14:paraId="29B22B17" w14:textId="0EA67ABE" w:rsidR="00F21F58" w:rsidRPr="00F21F58" w:rsidRDefault="00F21F58" w:rsidP="00230B7D">
            <w:pPr>
              <w:pStyle w:val="naisf"/>
              <w:spacing w:before="0" w:after="0"/>
              <w:ind w:firstLine="0"/>
              <w:rPr>
                <w:rFonts w:eastAsia="Calibri"/>
                <w:b/>
                <w:lang w:eastAsia="en-US"/>
              </w:rPr>
            </w:pPr>
          </w:p>
        </w:tc>
        <w:tc>
          <w:tcPr>
            <w:tcW w:w="2694" w:type="dxa"/>
          </w:tcPr>
          <w:p w14:paraId="123D9AAD" w14:textId="77777777" w:rsidR="00F21F58" w:rsidRPr="00F21F58" w:rsidRDefault="00F21F58" w:rsidP="00F21F58">
            <w:pPr>
              <w:rPr>
                <w:sz w:val="22"/>
                <w:szCs w:val="22"/>
              </w:rPr>
            </w:pPr>
          </w:p>
          <w:p w14:paraId="6063AA00" w14:textId="141F8947" w:rsidR="00F21F58" w:rsidRPr="00F21F58" w:rsidRDefault="00F21F58" w:rsidP="00281A6B">
            <w:pPr>
              <w:jc w:val="both"/>
            </w:pPr>
            <w:r w:rsidRPr="00F21F58">
              <w:t>Saskaņā ar Fizisko personu datu apstrādes likumu un Eiro</w:t>
            </w:r>
            <w:r w:rsidR="00281A6B">
              <w:t xml:space="preserve">pas Parlamenta un Padomes 2016. gada 27. aprīļa Regulas </w:t>
            </w:r>
            <w:r w:rsidRPr="00F21F58">
              <w:t>2016/679</w:t>
            </w:r>
            <w:r w:rsidR="00281A6B">
              <w:t>/ES</w:t>
            </w:r>
            <w:r w:rsidRPr="00F21F58">
              <w:t xml:space="preserve"> par fizisku personu aizsardzību attiecībā uz personas datu apstrādi un šādu datu brīvu apriti un ar ko atceļ direktīvu 95/46/EK (Vispārīgā datu aizsardzības regula) datu apstrādes mērķis ir fizisko personu datu apstrāde, lai nodrošinātu:</w:t>
            </w:r>
          </w:p>
          <w:p w14:paraId="6A7DA2F4" w14:textId="39B21CCC" w:rsidR="00F21F58" w:rsidRPr="00F21F58" w:rsidRDefault="00281A6B" w:rsidP="00281A6B">
            <w:pPr>
              <w:spacing w:after="200"/>
              <w:jc w:val="both"/>
            </w:pPr>
            <w:r>
              <w:t>1. Rīkojuma projektā</w:t>
            </w:r>
            <w:r w:rsidR="00F21F58" w:rsidRPr="00F21F58">
              <w:t xml:space="preserve"> minētā nekustamā īpašuma atsavināšanu un </w:t>
            </w:r>
          </w:p>
          <w:p w14:paraId="70E16C7D" w14:textId="0C732DD6" w:rsidR="00F21F58" w:rsidRPr="00F21F58" w:rsidRDefault="00281A6B" w:rsidP="00281A6B">
            <w:pPr>
              <w:spacing w:after="200"/>
              <w:jc w:val="both"/>
            </w:pPr>
            <w:r>
              <w:t>2. P</w:t>
            </w:r>
            <w:r w:rsidR="00F21F58" w:rsidRPr="00F21F58">
              <w:t>ārzinim likumā noteikto pienākumu veikšanu, identificējot fiziskās personas, kuru tiesiskās intereses ir saistītas ar Rīkojumā minēto nekustamo īpašumu.</w:t>
            </w:r>
          </w:p>
          <w:p w14:paraId="332BCC66" w14:textId="77777777" w:rsidR="004C332C" w:rsidRPr="00F21F58" w:rsidRDefault="004C332C" w:rsidP="009C7974">
            <w:pPr>
              <w:pStyle w:val="BodyTextIndent"/>
              <w:ind w:right="57"/>
              <w:rPr>
                <w:szCs w:val="24"/>
              </w:rPr>
            </w:pPr>
          </w:p>
        </w:tc>
      </w:tr>
      <w:tr w:rsidR="004C332C" w:rsidRPr="00892943" w14:paraId="32F4471D" w14:textId="77777777" w:rsidTr="00C263B2">
        <w:tc>
          <w:tcPr>
            <w:tcW w:w="846" w:type="dxa"/>
          </w:tcPr>
          <w:p w14:paraId="59362011" w14:textId="6BC5CE78" w:rsidR="004C332C" w:rsidRDefault="00D95CB0" w:rsidP="009C7974">
            <w:pPr>
              <w:pStyle w:val="naisf"/>
              <w:spacing w:before="0" w:after="0"/>
              <w:ind w:firstLine="0"/>
              <w:jc w:val="center"/>
            </w:pPr>
            <w:r>
              <w:t>8.</w:t>
            </w:r>
          </w:p>
        </w:tc>
        <w:tc>
          <w:tcPr>
            <w:tcW w:w="2410" w:type="dxa"/>
          </w:tcPr>
          <w:p w14:paraId="0C79203E" w14:textId="77777777" w:rsidR="004C332C" w:rsidRPr="00C05DF5" w:rsidRDefault="004C332C" w:rsidP="009C7974">
            <w:pPr>
              <w:ind w:firstLine="34"/>
              <w:jc w:val="both"/>
            </w:pPr>
          </w:p>
        </w:tc>
        <w:tc>
          <w:tcPr>
            <w:tcW w:w="4110" w:type="dxa"/>
          </w:tcPr>
          <w:p w14:paraId="3FC360DC" w14:textId="77777777" w:rsidR="00C85E6E" w:rsidRPr="00F21F58" w:rsidRDefault="00C85E6E" w:rsidP="00C85E6E">
            <w:pPr>
              <w:tabs>
                <w:tab w:val="left" w:pos="1134"/>
              </w:tabs>
              <w:ind w:right="-7"/>
              <w:jc w:val="center"/>
              <w:rPr>
                <w:b/>
              </w:rPr>
            </w:pPr>
            <w:r w:rsidRPr="00F21F58">
              <w:rPr>
                <w:b/>
                <w:lang w:eastAsia="en-US"/>
              </w:rPr>
              <w:t>Finanšu ministrijas 2019. gada 29. aprīļa atzinums</w:t>
            </w:r>
            <w:r w:rsidRPr="00F21F58">
              <w:t xml:space="preserve"> </w:t>
            </w:r>
            <w:r w:rsidRPr="00F21F58">
              <w:rPr>
                <w:b/>
              </w:rPr>
              <w:t>Nr.</w:t>
            </w:r>
            <w:r w:rsidRPr="00F21F58">
              <w:t xml:space="preserve"> </w:t>
            </w:r>
            <w:r w:rsidRPr="00F21F58">
              <w:rPr>
                <w:b/>
              </w:rPr>
              <w:t>12-A/7/1983</w:t>
            </w:r>
          </w:p>
          <w:p w14:paraId="158B8F57" w14:textId="77777777" w:rsidR="00D95CB0" w:rsidRPr="008452E7" w:rsidRDefault="00D95CB0" w:rsidP="00C85E6E">
            <w:pPr>
              <w:pStyle w:val="ListParagraph"/>
              <w:ind w:left="33" w:hanging="33"/>
              <w:jc w:val="both"/>
              <w:rPr>
                <w:rFonts w:cs="Tahoma"/>
              </w:rPr>
            </w:pPr>
            <w:r w:rsidRPr="008452E7">
              <w:rPr>
                <w:rFonts w:cs="Tahoma"/>
              </w:rPr>
              <w:lastRenderedPageBreak/>
              <w:t>Anotācijas III sadaļā “Tiesību akta projekta ietekme uz valsts budžetu un pašvaldību budžetiem” jāprecizē “n+1” un “n+2” vērtības atbilstoši Ministru kabineta  2009.</w:t>
            </w:r>
            <w:r>
              <w:rPr>
                <w:rFonts w:cs="Tahoma"/>
              </w:rPr>
              <w:t>gada 15.</w:t>
            </w:r>
            <w:r w:rsidRPr="008452E7">
              <w:rPr>
                <w:rFonts w:cs="Tahoma"/>
              </w:rPr>
              <w:t>decembra instrukcijai Nr. 19 “Tiesību akta projekta sākotnējās ietekmes iz</w:t>
            </w:r>
            <w:r>
              <w:rPr>
                <w:rFonts w:cs="Tahoma"/>
              </w:rPr>
              <w:t>vērtēšanas kārtība” pielikumam.</w:t>
            </w:r>
          </w:p>
          <w:p w14:paraId="1DD6ABDD" w14:textId="77777777" w:rsidR="004C332C" w:rsidRDefault="004C332C" w:rsidP="00230B7D">
            <w:pPr>
              <w:pStyle w:val="ListParagraph"/>
              <w:ind w:left="0"/>
              <w:jc w:val="both"/>
              <w:rPr>
                <w:b/>
              </w:rPr>
            </w:pPr>
          </w:p>
        </w:tc>
        <w:tc>
          <w:tcPr>
            <w:tcW w:w="4536" w:type="dxa"/>
          </w:tcPr>
          <w:p w14:paraId="4EA518A7" w14:textId="77777777" w:rsidR="00C85E6E" w:rsidRDefault="00C85E6E" w:rsidP="00C85E6E">
            <w:pPr>
              <w:pStyle w:val="naisf"/>
              <w:spacing w:before="0" w:after="0"/>
              <w:ind w:firstLine="0"/>
              <w:rPr>
                <w:rFonts w:eastAsia="Calibri"/>
                <w:b/>
                <w:lang w:eastAsia="en-US"/>
              </w:rPr>
            </w:pPr>
            <w:r w:rsidRPr="00F21F58">
              <w:rPr>
                <w:rFonts w:eastAsia="Calibri"/>
                <w:b/>
                <w:lang w:eastAsia="en-US"/>
              </w:rPr>
              <w:lastRenderedPageBreak/>
              <w:t>Priekšlikums ņemts vērā</w:t>
            </w:r>
          </w:p>
          <w:p w14:paraId="4F8BFFBF" w14:textId="24A1CEB2" w:rsidR="004C332C" w:rsidRPr="00892943" w:rsidRDefault="00C85E6E" w:rsidP="00230B7D">
            <w:pPr>
              <w:pStyle w:val="naisf"/>
              <w:spacing w:before="0" w:after="0"/>
              <w:ind w:firstLine="0"/>
              <w:rPr>
                <w:rFonts w:eastAsia="Calibri"/>
                <w:b/>
                <w:lang w:eastAsia="en-US"/>
              </w:rPr>
            </w:pPr>
            <w:r w:rsidRPr="008452E7">
              <w:rPr>
                <w:rFonts w:cs="Tahoma"/>
              </w:rPr>
              <w:t>“n+1” un “n+2”</w:t>
            </w:r>
            <w:r>
              <w:rPr>
                <w:rFonts w:cs="Tahoma"/>
              </w:rPr>
              <w:t xml:space="preserve"> vērtības precizētas</w:t>
            </w:r>
          </w:p>
        </w:tc>
        <w:tc>
          <w:tcPr>
            <w:tcW w:w="2694" w:type="dxa"/>
          </w:tcPr>
          <w:p w14:paraId="48DF20A5" w14:textId="77777777" w:rsidR="004C332C" w:rsidRPr="006A6278" w:rsidRDefault="004C332C" w:rsidP="009C7974">
            <w:pPr>
              <w:pStyle w:val="BodyTextIndent"/>
              <w:ind w:right="57"/>
              <w:rPr>
                <w:szCs w:val="24"/>
              </w:rPr>
            </w:pPr>
          </w:p>
        </w:tc>
      </w:tr>
    </w:tbl>
    <w:p w14:paraId="4DF7C266" w14:textId="77777777" w:rsidR="00C86642" w:rsidRPr="00892943" w:rsidRDefault="00C86642" w:rsidP="000A531F">
      <w:pPr>
        <w:jc w:val="both"/>
        <w:rPr>
          <w:sz w:val="22"/>
          <w:szCs w:val="22"/>
          <w:u w:val="single"/>
        </w:rPr>
      </w:pPr>
    </w:p>
    <w:p w14:paraId="38ADC35F" w14:textId="77777777" w:rsidR="004C332C" w:rsidRDefault="004C332C" w:rsidP="000A531F">
      <w:pPr>
        <w:jc w:val="both"/>
        <w:rPr>
          <w:sz w:val="20"/>
          <w:szCs w:val="20"/>
        </w:rPr>
      </w:pPr>
    </w:p>
    <w:p w14:paraId="0D788833" w14:textId="77777777" w:rsidR="004C332C" w:rsidRDefault="004C332C" w:rsidP="000A531F">
      <w:pPr>
        <w:jc w:val="both"/>
        <w:rPr>
          <w:sz w:val="20"/>
          <w:szCs w:val="20"/>
        </w:rPr>
      </w:pPr>
    </w:p>
    <w:p w14:paraId="731E0CD4" w14:textId="5C52493B" w:rsidR="009F0A10" w:rsidRPr="00892943" w:rsidRDefault="0013263E" w:rsidP="000A531F">
      <w:pPr>
        <w:jc w:val="both"/>
        <w:rPr>
          <w:sz w:val="20"/>
          <w:szCs w:val="20"/>
        </w:rPr>
      </w:pPr>
      <w:r w:rsidRPr="00892943">
        <w:rPr>
          <w:sz w:val="20"/>
          <w:szCs w:val="20"/>
        </w:rPr>
        <w:t>Mārīt</w:t>
      </w:r>
      <w:r w:rsidR="00AA3C61" w:rsidRPr="00892943">
        <w:rPr>
          <w:sz w:val="20"/>
          <w:szCs w:val="20"/>
        </w:rPr>
        <w:t>e</w:t>
      </w:r>
      <w:r w:rsidR="00DE497B">
        <w:rPr>
          <w:sz w:val="20"/>
          <w:szCs w:val="20"/>
        </w:rPr>
        <w:t xml:space="preserve"> Priede</w:t>
      </w:r>
    </w:p>
    <w:p w14:paraId="4AF4B947" w14:textId="30FB31C6" w:rsidR="000A531F" w:rsidRPr="00892943" w:rsidRDefault="0013263E" w:rsidP="000A531F">
      <w:pPr>
        <w:jc w:val="both"/>
        <w:rPr>
          <w:sz w:val="20"/>
          <w:szCs w:val="20"/>
        </w:rPr>
      </w:pPr>
      <w:r w:rsidRPr="00892943">
        <w:rPr>
          <w:sz w:val="20"/>
          <w:szCs w:val="20"/>
        </w:rPr>
        <w:t>Nodrošinājuma</w:t>
      </w:r>
      <w:r w:rsidR="00761A24" w:rsidRPr="00892943">
        <w:rPr>
          <w:sz w:val="20"/>
          <w:szCs w:val="20"/>
        </w:rPr>
        <w:t xml:space="preserve"> </w:t>
      </w:r>
      <w:r w:rsidR="000A531F" w:rsidRPr="00892943">
        <w:rPr>
          <w:sz w:val="20"/>
          <w:szCs w:val="20"/>
        </w:rPr>
        <w:t>departamenta</w:t>
      </w:r>
    </w:p>
    <w:p w14:paraId="2974C06C" w14:textId="05127A02" w:rsidR="00761A24" w:rsidRPr="00995CD2" w:rsidRDefault="00761A24" w:rsidP="000A531F">
      <w:pPr>
        <w:jc w:val="both"/>
        <w:rPr>
          <w:sz w:val="20"/>
          <w:szCs w:val="20"/>
        </w:rPr>
      </w:pPr>
      <w:r w:rsidRPr="00995CD2">
        <w:rPr>
          <w:sz w:val="20"/>
          <w:szCs w:val="20"/>
        </w:rPr>
        <w:t>Nodrošinājuma nodaļas</w:t>
      </w:r>
      <w:r w:rsidR="000A531F" w:rsidRPr="00995CD2">
        <w:rPr>
          <w:sz w:val="20"/>
          <w:szCs w:val="20"/>
        </w:rPr>
        <w:t xml:space="preserve"> </w:t>
      </w:r>
      <w:r w:rsidRPr="00995CD2">
        <w:rPr>
          <w:sz w:val="20"/>
          <w:szCs w:val="20"/>
        </w:rPr>
        <w:t xml:space="preserve">vecākais eksperts </w:t>
      </w:r>
    </w:p>
    <w:p w14:paraId="3DD083F4" w14:textId="4957CCCB" w:rsidR="005F3723" w:rsidRPr="00995CD2" w:rsidRDefault="001B0C1E" w:rsidP="00237CCA">
      <w:pPr>
        <w:jc w:val="both"/>
        <w:rPr>
          <w:sz w:val="20"/>
          <w:szCs w:val="20"/>
        </w:rPr>
      </w:pPr>
      <w:r w:rsidRPr="00995CD2">
        <w:rPr>
          <w:sz w:val="20"/>
          <w:szCs w:val="20"/>
        </w:rPr>
        <w:t>Tālr.</w:t>
      </w:r>
      <w:r w:rsidR="00DE497B">
        <w:rPr>
          <w:sz w:val="20"/>
          <w:szCs w:val="20"/>
        </w:rPr>
        <w:t>: </w:t>
      </w:r>
      <w:r w:rsidRPr="00995CD2">
        <w:rPr>
          <w:sz w:val="20"/>
          <w:szCs w:val="20"/>
        </w:rPr>
        <w:t>6702</w:t>
      </w:r>
      <w:r w:rsidR="00761A24" w:rsidRPr="00995CD2">
        <w:rPr>
          <w:sz w:val="20"/>
          <w:szCs w:val="20"/>
        </w:rPr>
        <w:t>6915</w:t>
      </w:r>
      <w:r w:rsidR="000A531F" w:rsidRPr="00995CD2">
        <w:rPr>
          <w:sz w:val="20"/>
          <w:szCs w:val="20"/>
        </w:rPr>
        <w:t xml:space="preserve">, e-pasts: </w:t>
      </w:r>
      <w:bookmarkStart w:id="2" w:name="_GoBack"/>
      <w:bookmarkEnd w:id="2"/>
      <w:r w:rsidR="00B46737">
        <w:rPr>
          <w:rStyle w:val="Hyperlink"/>
          <w:color w:val="0000FF"/>
          <w:sz w:val="20"/>
          <w:szCs w:val="20"/>
          <w:lang w:eastAsia="en-US"/>
        </w:rPr>
        <w:fldChar w:fldCharType="begin"/>
      </w:r>
      <w:r w:rsidR="00B46737">
        <w:rPr>
          <w:rStyle w:val="Hyperlink"/>
          <w:color w:val="0000FF"/>
          <w:sz w:val="20"/>
          <w:szCs w:val="20"/>
          <w:lang w:eastAsia="en-US"/>
        </w:rPr>
        <w:instrText xml:space="preserve"> HYPERLINK "mailto:</w:instrText>
      </w:r>
      <w:r w:rsidR="00B46737" w:rsidRPr="00B46737">
        <w:rPr>
          <w:rStyle w:val="Hyperlink"/>
          <w:color w:val="0000FF"/>
          <w:sz w:val="20"/>
          <w:szCs w:val="20"/>
          <w:lang w:eastAsia="en-US"/>
        </w:rPr>
        <w:instrText>Marite.Priede@varam.gov.lv</w:instrText>
      </w:r>
      <w:r w:rsidR="00B46737">
        <w:rPr>
          <w:rStyle w:val="Hyperlink"/>
          <w:color w:val="0000FF"/>
          <w:sz w:val="20"/>
          <w:szCs w:val="20"/>
          <w:lang w:eastAsia="en-US"/>
        </w:rPr>
        <w:instrText xml:space="preserve">" </w:instrText>
      </w:r>
      <w:r w:rsidR="00B46737">
        <w:rPr>
          <w:rStyle w:val="Hyperlink"/>
          <w:color w:val="0000FF"/>
          <w:sz w:val="20"/>
          <w:szCs w:val="20"/>
          <w:lang w:eastAsia="en-US"/>
        </w:rPr>
        <w:fldChar w:fldCharType="separate"/>
      </w:r>
      <w:r w:rsidR="00B46737" w:rsidRPr="00E030D4">
        <w:rPr>
          <w:rStyle w:val="Hyperlink"/>
          <w:sz w:val="20"/>
          <w:szCs w:val="20"/>
          <w:lang w:eastAsia="en-US"/>
        </w:rPr>
        <w:t>Marite.Priede@varam.gov.lv</w:t>
      </w:r>
      <w:r w:rsidR="00B46737">
        <w:rPr>
          <w:rStyle w:val="Hyperlink"/>
          <w:color w:val="0000FF"/>
          <w:sz w:val="20"/>
          <w:szCs w:val="20"/>
          <w:lang w:eastAsia="en-US"/>
        </w:rPr>
        <w:fldChar w:fldCharType="end"/>
      </w:r>
      <w:r w:rsidR="00102478" w:rsidRPr="00995CD2">
        <w:rPr>
          <w:sz w:val="20"/>
          <w:szCs w:val="20"/>
        </w:rPr>
        <w:t xml:space="preserve"> </w:t>
      </w:r>
    </w:p>
    <w:sectPr w:rsidR="005F3723" w:rsidRPr="00995CD2" w:rsidSect="00DE497B">
      <w:headerReference w:type="even" r:id="rId8"/>
      <w:headerReference w:type="default" r:id="rId9"/>
      <w:footerReference w:type="even" r:id="rId10"/>
      <w:footerReference w:type="default" r:id="rId11"/>
      <w:headerReference w:type="first" r:id="rId12"/>
      <w:footerReference w:type="first" r:id="rId13"/>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AFDEB" w14:textId="77777777" w:rsidR="00DE497B" w:rsidRDefault="00DE497B" w:rsidP="000A531F">
      <w:r>
        <w:separator/>
      </w:r>
    </w:p>
  </w:endnote>
  <w:endnote w:type="continuationSeparator" w:id="0">
    <w:p w14:paraId="4EF474C4" w14:textId="77777777" w:rsidR="00DE497B" w:rsidRDefault="00DE497B" w:rsidP="000A531F">
      <w:r>
        <w:continuationSeparator/>
      </w:r>
    </w:p>
  </w:endnote>
  <w:endnote w:type="continuationNotice" w:id="1">
    <w:p w14:paraId="61536222" w14:textId="77777777" w:rsidR="00B46737" w:rsidRDefault="00B46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DEC82" w14:textId="77777777" w:rsidR="00DE497B" w:rsidRDefault="00DE4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23F5F" w14:textId="0F24772A" w:rsidR="00DE497B" w:rsidRPr="00CF051F" w:rsidRDefault="00DE497B" w:rsidP="005113F4">
    <w:pPr>
      <w:jc w:val="both"/>
      <w:rPr>
        <w:bCs/>
        <w:sz w:val="20"/>
        <w:szCs w:val="20"/>
        <w:lang w:eastAsia="ko-KR"/>
      </w:rPr>
    </w:pPr>
    <w:r>
      <w:rPr>
        <w:bCs/>
        <w:sz w:val="20"/>
        <w:szCs w:val="20"/>
        <w:lang w:eastAsia="ko-KR"/>
      </w:rPr>
      <w:t>VARAMIzz_100519_Kanieris_2</w:t>
    </w:r>
  </w:p>
  <w:p w14:paraId="50A3C159" w14:textId="4E39C187" w:rsidR="00DE497B" w:rsidRPr="005113F4" w:rsidRDefault="00DE497B" w:rsidP="005113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09B15" w14:textId="3C7FEC4C" w:rsidR="00DE497B" w:rsidRPr="00CF051F" w:rsidRDefault="00DE497B" w:rsidP="00CF051F">
    <w:pPr>
      <w:jc w:val="both"/>
      <w:rPr>
        <w:bCs/>
        <w:sz w:val="20"/>
        <w:szCs w:val="20"/>
        <w:lang w:eastAsia="ko-KR"/>
      </w:rPr>
    </w:pPr>
    <w:r>
      <w:rPr>
        <w:bCs/>
        <w:sz w:val="20"/>
        <w:szCs w:val="20"/>
        <w:lang w:eastAsia="ko-KR"/>
      </w:rPr>
      <w:t>VARAMIzz_100519_Kanieris_2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A2DD2" w14:textId="77777777" w:rsidR="00DE497B" w:rsidRDefault="00DE497B" w:rsidP="000A531F">
      <w:r>
        <w:separator/>
      </w:r>
    </w:p>
  </w:footnote>
  <w:footnote w:type="continuationSeparator" w:id="0">
    <w:p w14:paraId="276A5CCD" w14:textId="77777777" w:rsidR="00DE497B" w:rsidRDefault="00DE497B" w:rsidP="000A531F">
      <w:r>
        <w:continuationSeparator/>
      </w:r>
    </w:p>
  </w:footnote>
  <w:footnote w:type="continuationNotice" w:id="1">
    <w:p w14:paraId="77E9E5EE" w14:textId="77777777" w:rsidR="00B46737" w:rsidRDefault="00B467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5D9C" w14:textId="77777777" w:rsidR="00DE497B" w:rsidRDefault="00DE497B" w:rsidP="00DE49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F5FE32" w14:textId="77777777" w:rsidR="00DE497B" w:rsidRDefault="00DE4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D1FCB" w14:textId="77777777" w:rsidR="00DE497B" w:rsidRDefault="00DE497B" w:rsidP="00DE49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6737">
      <w:rPr>
        <w:rStyle w:val="PageNumber"/>
        <w:noProof/>
      </w:rPr>
      <w:t>9</w:t>
    </w:r>
    <w:r>
      <w:rPr>
        <w:rStyle w:val="PageNumber"/>
      </w:rPr>
      <w:fldChar w:fldCharType="end"/>
    </w:r>
  </w:p>
  <w:p w14:paraId="11F96333" w14:textId="77777777" w:rsidR="00DE497B" w:rsidRDefault="00DE49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069AF" w14:textId="77777777" w:rsidR="00DE497B" w:rsidRDefault="00DE4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53A"/>
    <w:multiLevelType w:val="hybridMultilevel"/>
    <w:tmpl w:val="647EB772"/>
    <w:lvl w:ilvl="0" w:tplc="FF782D3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3B60D9B"/>
    <w:multiLevelType w:val="hybridMultilevel"/>
    <w:tmpl w:val="27403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1D4515"/>
    <w:multiLevelType w:val="hybridMultilevel"/>
    <w:tmpl w:val="4FB67036"/>
    <w:lvl w:ilvl="0" w:tplc="613EF0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52705DD"/>
    <w:multiLevelType w:val="hybridMultilevel"/>
    <w:tmpl w:val="1968EB2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4" w15:restartNumberingAfterBreak="0">
    <w:nsid w:val="269738C8"/>
    <w:multiLevelType w:val="hybridMultilevel"/>
    <w:tmpl w:val="B17A426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1A23FB4"/>
    <w:multiLevelType w:val="hybridMultilevel"/>
    <w:tmpl w:val="E062A0B2"/>
    <w:lvl w:ilvl="0" w:tplc="905EF7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9EF682D"/>
    <w:multiLevelType w:val="hybridMultilevel"/>
    <w:tmpl w:val="4ABC5E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372047"/>
    <w:multiLevelType w:val="hybridMultilevel"/>
    <w:tmpl w:val="32821D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6522999"/>
    <w:multiLevelType w:val="hybridMultilevel"/>
    <w:tmpl w:val="256C2C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E3F444B"/>
    <w:multiLevelType w:val="hybridMultilevel"/>
    <w:tmpl w:val="7CA6492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0" w15:restartNumberingAfterBreak="0">
    <w:nsid w:val="6E770A5A"/>
    <w:multiLevelType w:val="hybridMultilevel"/>
    <w:tmpl w:val="26DC356E"/>
    <w:lvl w:ilvl="0" w:tplc="E73A61E6">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A4C0E7B"/>
    <w:multiLevelType w:val="hybridMultilevel"/>
    <w:tmpl w:val="27403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5"/>
  </w:num>
  <w:num w:numId="7">
    <w:abstractNumId w:val="2"/>
  </w:num>
  <w:num w:numId="8">
    <w:abstractNumId w:val="0"/>
  </w:num>
  <w:num w:numId="9">
    <w:abstractNumId w:val="8"/>
  </w:num>
  <w:num w:numId="10">
    <w:abstractNumId w:val="1"/>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1F"/>
    <w:rsid w:val="00002398"/>
    <w:rsid w:val="000226A5"/>
    <w:rsid w:val="00025F0E"/>
    <w:rsid w:val="00036659"/>
    <w:rsid w:val="000400C2"/>
    <w:rsid w:val="00044F89"/>
    <w:rsid w:val="00054FE8"/>
    <w:rsid w:val="0006523D"/>
    <w:rsid w:val="000826D6"/>
    <w:rsid w:val="000A39DD"/>
    <w:rsid w:val="000A531F"/>
    <w:rsid w:val="000B6D4A"/>
    <w:rsid w:val="000C1828"/>
    <w:rsid w:val="000D437A"/>
    <w:rsid w:val="000D4EBC"/>
    <w:rsid w:val="000F5B82"/>
    <w:rsid w:val="00102478"/>
    <w:rsid w:val="001201D3"/>
    <w:rsid w:val="00120513"/>
    <w:rsid w:val="0013263E"/>
    <w:rsid w:val="0013486B"/>
    <w:rsid w:val="00134F5B"/>
    <w:rsid w:val="00147E12"/>
    <w:rsid w:val="001535A2"/>
    <w:rsid w:val="00161C98"/>
    <w:rsid w:val="0016507F"/>
    <w:rsid w:val="00167DA4"/>
    <w:rsid w:val="001758DD"/>
    <w:rsid w:val="00185761"/>
    <w:rsid w:val="00185895"/>
    <w:rsid w:val="00185BB1"/>
    <w:rsid w:val="001914B9"/>
    <w:rsid w:val="001A67DB"/>
    <w:rsid w:val="001B03C1"/>
    <w:rsid w:val="001B0C1E"/>
    <w:rsid w:val="001B36DE"/>
    <w:rsid w:val="001B4F15"/>
    <w:rsid w:val="001D4B43"/>
    <w:rsid w:val="001E1A14"/>
    <w:rsid w:val="001F380D"/>
    <w:rsid w:val="00212D1C"/>
    <w:rsid w:val="00227B20"/>
    <w:rsid w:val="00230B7D"/>
    <w:rsid w:val="00237CCA"/>
    <w:rsid w:val="002425CC"/>
    <w:rsid w:val="00251198"/>
    <w:rsid w:val="00252790"/>
    <w:rsid w:val="00264C2F"/>
    <w:rsid w:val="00270D5D"/>
    <w:rsid w:val="002710B5"/>
    <w:rsid w:val="00281A6B"/>
    <w:rsid w:val="00281C2E"/>
    <w:rsid w:val="00283C11"/>
    <w:rsid w:val="00284F78"/>
    <w:rsid w:val="00290A9B"/>
    <w:rsid w:val="00294AD8"/>
    <w:rsid w:val="002A1B5E"/>
    <w:rsid w:val="002C3FE8"/>
    <w:rsid w:val="002E39BD"/>
    <w:rsid w:val="002F753C"/>
    <w:rsid w:val="00302611"/>
    <w:rsid w:val="00313BC9"/>
    <w:rsid w:val="00352B26"/>
    <w:rsid w:val="003657D6"/>
    <w:rsid w:val="0037776F"/>
    <w:rsid w:val="0038406D"/>
    <w:rsid w:val="0038429E"/>
    <w:rsid w:val="003848CA"/>
    <w:rsid w:val="0039489D"/>
    <w:rsid w:val="003A2F11"/>
    <w:rsid w:val="003B0A82"/>
    <w:rsid w:val="003C1E3D"/>
    <w:rsid w:val="003D2373"/>
    <w:rsid w:val="003D3ECF"/>
    <w:rsid w:val="003E112E"/>
    <w:rsid w:val="003F67B6"/>
    <w:rsid w:val="004021B9"/>
    <w:rsid w:val="00405454"/>
    <w:rsid w:val="0041482A"/>
    <w:rsid w:val="00417F60"/>
    <w:rsid w:val="004227B4"/>
    <w:rsid w:val="00434E76"/>
    <w:rsid w:val="004401DB"/>
    <w:rsid w:val="00447FFB"/>
    <w:rsid w:val="00452567"/>
    <w:rsid w:val="00452E1D"/>
    <w:rsid w:val="00456B92"/>
    <w:rsid w:val="00457251"/>
    <w:rsid w:val="00457893"/>
    <w:rsid w:val="00460F2C"/>
    <w:rsid w:val="004615D6"/>
    <w:rsid w:val="00467813"/>
    <w:rsid w:val="00474825"/>
    <w:rsid w:val="00476BE9"/>
    <w:rsid w:val="00482746"/>
    <w:rsid w:val="00483870"/>
    <w:rsid w:val="00485BEE"/>
    <w:rsid w:val="00486CEF"/>
    <w:rsid w:val="004911C0"/>
    <w:rsid w:val="004A3325"/>
    <w:rsid w:val="004A483E"/>
    <w:rsid w:val="004B1F71"/>
    <w:rsid w:val="004B4A96"/>
    <w:rsid w:val="004C332C"/>
    <w:rsid w:val="004D1569"/>
    <w:rsid w:val="004D362F"/>
    <w:rsid w:val="004E2E1C"/>
    <w:rsid w:val="004E5E34"/>
    <w:rsid w:val="004F47FC"/>
    <w:rsid w:val="004F565F"/>
    <w:rsid w:val="004F65A9"/>
    <w:rsid w:val="004F7FBB"/>
    <w:rsid w:val="005023AC"/>
    <w:rsid w:val="005107C9"/>
    <w:rsid w:val="005113F4"/>
    <w:rsid w:val="00511896"/>
    <w:rsid w:val="00511A74"/>
    <w:rsid w:val="00523477"/>
    <w:rsid w:val="005250AD"/>
    <w:rsid w:val="00530C74"/>
    <w:rsid w:val="0053729A"/>
    <w:rsid w:val="00542631"/>
    <w:rsid w:val="00546049"/>
    <w:rsid w:val="00562EF2"/>
    <w:rsid w:val="00581364"/>
    <w:rsid w:val="005A0464"/>
    <w:rsid w:val="005A45C2"/>
    <w:rsid w:val="005A5CE7"/>
    <w:rsid w:val="005B5C10"/>
    <w:rsid w:val="005C28F5"/>
    <w:rsid w:val="005D2E6D"/>
    <w:rsid w:val="005D403F"/>
    <w:rsid w:val="005F07E7"/>
    <w:rsid w:val="005F3723"/>
    <w:rsid w:val="005F437F"/>
    <w:rsid w:val="005F4B79"/>
    <w:rsid w:val="00601285"/>
    <w:rsid w:val="00602FC3"/>
    <w:rsid w:val="006037FB"/>
    <w:rsid w:val="00606571"/>
    <w:rsid w:val="00613483"/>
    <w:rsid w:val="00613D45"/>
    <w:rsid w:val="00625D42"/>
    <w:rsid w:val="00632CC6"/>
    <w:rsid w:val="006404DA"/>
    <w:rsid w:val="006421BF"/>
    <w:rsid w:val="006630CC"/>
    <w:rsid w:val="00675FCC"/>
    <w:rsid w:val="006854E4"/>
    <w:rsid w:val="00693260"/>
    <w:rsid w:val="006A7FBD"/>
    <w:rsid w:val="006B04E7"/>
    <w:rsid w:val="006C196E"/>
    <w:rsid w:val="006C3195"/>
    <w:rsid w:val="006C703C"/>
    <w:rsid w:val="006D534A"/>
    <w:rsid w:val="006F5359"/>
    <w:rsid w:val="006F702B"/>
    <w:rsid w:val="007030D1"/>
    <w:rsid w:val="00705631"/>
    <w:rsid w:val="00705DBC"/>
    <w:rsid w:val="007210AF"/>
    <w:rsid w:val="0072704D"/>
    <w:rsid w:val="0074595F"/>
    <w:rsid w:val="00745E51"/>
    <w:rsid w:val="00750089"/>
    <w:rsid w:val="00761A24"/>
    <w:rsid w:val="007621AC"/>
    <w:rsid w:val="00770AD8"/>
    <w:rsid w:val="00777983"/>
    <w:rsid w:val="0078264A"/>
    <w:rsid w:val="00783E6E"/>
    <w:rsid w:val="007A38FD"/>
    <w:rsid w:val="007A6A63"/>
    <w:rsid w:val="007C24D1"/>
    <w:rsid w:val="007D3819"/>
    <w:rsid w:val="007E3D6E"/>
    <w:rsid w:val="007E6055"/>
    <w:rsid w:val="007F39E0"/>
    <w:rsid w:val="007F5214"/>
    <w:rsid w:val="0080163F"/>
    <w:rsid w:val="00804B1D"/>
    <w:rsid w:val="00811CF3"/>
    <w:rsid w:val="008275EF"/>
    <w:rsid w:val="00840AC1"/>
    <w:rsid w:val="00845C31"/>
    <w:rsid w:val="00857BEB"/>
    <w:rsid w:val="008655DA"/>
    <w:rsid w:val="00870B38"/>
    <w:rsid w:val="0087276F"/>
    <w:rsid w:val="008824BD"/>
    <w:rsid w:val="008841ED"/>
    <w:rsid w:val="00887A13"/>
    <w:rsid w:val="00892943"/>
    <w:rsid w:val="008973CB"/>
    <w:rsid w:val="008A3BA3"/>
    <w:rsid w:val="008B1CF5"/>
    <w:rsid w:val="008C2198"/>
    <w:rsid w:val="008C7596"/>
    <w:rsid w:val="008D04D3"/>
    <w:rsid w:val="008D3595"/>
    <w:rsid w:val="008D74D3"/>
    <w:rsid w:val="008D7795"/>
    <w:rsid w:val="008E0F6F"/>
    <w:rsid w:val="008E5699"/>
    <w:rsid w:val="0090000D"/>
    <w:rsid w:val="009110ED"/>
    <w:rsid w:val="00930695"/>
    <w:rsid w:val="0093162D"/>
    <w:rsid w:val="009375E7"/>
    <w:rsid w:val="00940E87"/>
    <w:rsid w:val="009637BC"/>
    <w:rsid w:val="009702A1"/>
    <w:rsid w:val="00971B02"/>
    <w:rsid w:val="00974FA1"/>
    <w:rsid w:val="00977DFB"/>
    <w:rsid w:val="0098513E"/>
    <w:rsid w:val="00985C29"/>
    <w:rsid w:val="00995CD2"/>
    <w:rsid w:val="009A0032"/>
    <w:rsid w:val="009B1EEA"/>
    <w:rsid w:val="009C1960"/>
    <w:rsid w:val="009C7974"/>
    <w:rsid w:val="009D6B36"/>
    <w:rsid w:val="009E765A"/>
    <w:rsid w:val="009F0A10"/>
    <w:rsid w:val="009F7A0C"/>
    <w:rsid w:val="009F7E9F"/>
    <w:rsid w:val="00A21186"/>
    <w:rsid w:val="00A31A6E"/>
    <w:rsid w:val="00A34347"/>
    <w:rsid w:val="00A34C31"/>
    <w:rsid w:val="00A36F3C"/>
    <w:rsid w:val="00A67E47"/>
    <w:rsid w:val="00AA30C8"/>
    <w:rsid w:val="00AA3C61"/>
    <w:rsid w:val="00AA6CE9"/>
    <w:rsid w:val="00AB2D31"/>
    <w:rsid w:val="00AC59EC"/>
    <w:rsid w:val="00AD080E"/>
    <w:rsid w:val="00AF7C82"/>
    <w:rsid w:val="00B13F24"/>
    <w:rsid w:val="00B440BA"/>
    <w:rsid w:val="00B44F89"/>
    <w:rsid w:val="00B46737"/>
    <w:rsid w:val="00B641E0"/>
    <w:rsid w:val="00B77DA9"/>
    <w:rsid w:val="00B8032B"/>
    <w:rsid w:val="00B841E5"/>
    <w:rsid w:val="00B87422"/>
    <w:rsid w:val="00B93C32"/>
    <w:rsid w:val="00BA0A6B"/>
    <w:rsid w:val="00BA5B5C"/>
    <w:rsid w:val="00BB23CC"/>
    <w:rsid w:val="00BB5CE6"/>
    <w:rsid w:val="00BC0E1F"/>
    <w:rsid w:val="00BC4967"/>
    <w:rsid w:val="00BE26A8"/>
    <w:rsid w:val="00BE5546"/>
    <w:rsid w:val="00BF56C6"/>
    <w:rsid w:val="00BF6398"/>
    <w:rsid w:val="00BF7E77"/>
    <w:rsid w:val="00C16A76"/>
    <w:rsid w:val="00C17ABB"/>
    <w:rsid w:val="00C24317"/>
    <w:rsid w:val="00C263B2"/>
    <w:rsid w:val="00C27578"/>
    <w:rsid w:val="00C319A3"/>
    <w:rsid w:val="00C50CA6"/>
    <w:rsid w:val="00C52DFA"/>
    <w:rsid w:val="00C549F2"/>
    <w:rsid w:val="00C567D8"/>
    <w:rsid w:val="00C60534"/>
    <w:rsid w:val="00C637C1"/>
    <w:rsid w:val="00C70060"/>
    <w:rsid w:val="00C73711"/>
    <w:rsid w:val="00C759D4"/>
    <w:rsid w:val="00C80664"/>
    <w:rsid w:val="00C80A32"/>
    <w:rsid w:val="00C85E6E"/>
    <w:rsid w:val="00C86642"/>
    <w:rsid w:val="00C93BFD"/>
    <w:rsid w:val="00CB016A"/>
    <w:rsid w:val="00CB61B3"/>
    <w:rsid w:val="00CC5295"/>
    <w:rsid w:val="00CD3D34"/>
    <w:rsid w:val="00CD59D2"/>
    <w:rsid w:val="00CE574F"/>
    <w:rsid w:val="00CE6807"/>
    <w:rsid w:val="00CF051F"/>
    <w:rsid w:val="00CF228A"/>
    <w:rsid w:val="00CF29E2"/>
    <w:rsid w:val="00CF6F6A"/>
    <w:rsid w:val="00D2267D"/>
    <w:rsid w:val="00D244BD"/>
    <w:rsid w:val="00D36992"/>
    <w:rsid w:val="00D40D7D"/>
    <w:rsid w:val="00D56DC4"/>
    <w:rsid w:val="00D6413A"/>
    <w:rsid w:val="00D66F4C"/>
    <w:rsid w:val="00D70B41"/>
    <w:rsid w:val="00D836ED"/>
    <w:rsid w:val="00D84BD2"/>
    <w:rsid w:val="00D92F94"/>
    <w:rsid w:val="00D957E6"/>
    <w:rsid w:val="00D95CB0"/>
    <w:rsid w:val="00DA2FA4"/>
    <w:rsid w:val="00DA3496"/>
    <w:rsid w:val="00DA5A2A"/>
    <w:rsid w:val="00DA6FFD"/>
    <w:rsid w:val="00DB2B70"/>
    <w:rsid w:val="00DC28A7"/>
    <w:rsid w:val="00DE497B"/>
    <w:rsid w:val="00DF3A83"/>
    <w:rsid w:val="00DF3EEC"/>
    <w:rsid w:val="00DF59E7"/>
    <w:rsid w:val="00DF5CFC"/>
    <w:rsid w:val="00E01F2D"/>
    <w:rsid w:val="00E15A76"/>
    <w:rsid w:val="00E23947"/>
    <w:rsid w:val="00E51EB0"/>
    <w:rsid w:val="00E659E5"/>
    <w:rsid w:val="00E65AF3"/>
    <w:rsid w:val="00E83435"/>
    <w:rsid w:val="00E90C3C"/>
    <w:rsid w:val="00E9372F"/>
    <w:rsid w:val="00E97C36"/>
    <w:rsid w:val="00EA0FF1"/>
    <w:rsid w:val="00EA19C2"/>
    <w:rsid w:val="00EA35D7"/>
    <w:rsid w:val="00EA4FB1"/>
    <w:rsid w:val="00EA5070"/>
    <w:rsid w:val="00EA671E"/>
    <w:rsid w:val="00ED020A"/>
    <w:rsid w:val="00ED6F7D"/>
    <w:rsid w:val="00EE0A85"/>
    <w:rsid w:val="00EF0B8D"/>
    <w:rsid w:val="00EF21E1"/>
    <w:rsid w:val="00F03E64"/>
    <w:rsid w:val="00F07B97"/>
    <w:rsid w:val="00F21F58"/>
    <w:rsid w:val="00F25974"/>
    <w:rsid w:val="00F5086B"/>
    <w:rsid w:val="00F6740A"/>
    <w:rsid w:val="00F72633"/>
    <w:rsid w:val="00F77C0F"/>
    <w:rsid w:val="00F81962"/>
    <w:rsid w:val="00F90E24"/>
    <w:rsid w:val="00FA1E64"/>
    <w:rsid w:val="00FC00C8"/>
    <w:rsid w:val="00FC51C5"/>
    <w:rsid w:val="00FE5A22"/>
    <w:rsid w:val="00FF22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D91F1A9"/>
  <w15:docId w15:val="{37F37804-54FF-4C26-9B71-2D5E7C71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paragraph" w:styleId="Heading3">
    <w:name w:val="heading 3"/>
    <w:basedOn w:val="Normal"/>
    <w:link w:val="Heading3Char"/>
    <w:uiPriority w:val="99"/>
    <w:unhideWhenUsed/>
    <w:qFormat/>
    <w:rsid w:val="00230B7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D957E6"/>
    <w:pPr>
      <w:spacing w:after="120"/>
    </w:pPr>
  </w:style>
  <w:style w:type="character" w:customStyle="1" w:styleId="BodyTextChar">
    <w:name w:val="Body Text Char"/>
    <w:basedOn w:val="DefaultParagraphFont"/>
    <w:link w:val="BodyText"/>
    <w:uiPriority w:val="99"/>
    <w:rsid w:val="00D957E6"/>
    <w:rPr>
      <w:rFonts w:eastAsia="Times New Roman" w:cs="Times New Roman"/>
      <w:sz w:val="24"/>
      <w:szCs w:val="24"/>
      <w:lang w:eastAsia="lv-LV"/>
    </w:rPr>
  </w:style>
  <w:style w:type="paragraph" w:styleId="NoSpacing">
    <w:name w:val="No Spacing"/>
    <w:uiPriority w:val="1"/>
    <w:qFormat/>
    <w:rsid w:val="00C567D8"/>
    <w:pPr>
      <w:spacing w:after="0" w:line="240" w:lineRule="auto"/>
    </w:pPr>
    <w:rPr>
      <w:rFonts w:asciiTheme="minorHAnsi" w:hAnsiTheme="minorHAnsi"/>
      <w:sz w:val="22"/>
    </w:rPr>
  </w:style>
  <w:style w:type="character" w:styleId="Hyperlink">
    <w:name w:val="Hyperlink"/>
    <w:basedOn w:val="DefaultParagraphFont"/>
    <w:unhideWhenUsed/>
    <w:rsid w:val="00102478"/>
    <w:rPr>
      <w:color w:val="0000FF" w:themeColor="hyperlink"/>
      <w:u w:val="single"/>
    </w:rPr>
  </w:style>
  <w:style w:type="paragraph" w:styleId="CommentText">
    <w:name w:val="annotation text"/>
    <w:basedOn w:val="Normal"/>
    <w:link w:val="CommentTextChar"/>
    <w:uiPriority w:val="99"/>
    <w:unhideWhenUsed/>
    <w:rsid w:val="00227B20"/>
    <w:rPr>
      <w:sz w:val="20"/>
      <w:szCs w:val="20"/>
    </w:rPr>
  </w:style>
  <w:style w:type="character" w:customStyle="1" w:styleId="CommentTextChar">
    <w:name w:val="Comment Text Char"/>
    <w:basedOn w:val="DefaultParagraphFont"/>
    <w:link w:val="CommentText"/>
    <w:uiPriority w:val="99"/>
    <w:rsid w:val="00227B20"/>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27B20"/>
    <w:rPr>
      <w:b/>
      <w:bCs/>
    </w:rPr>
  </w:style>
  <w:style w:type="character" w:customStyle="1" w:styleId="CommentSubjectChar">
    <w:name w:val="Comment Subject Char"/>
    <w:basedOn w:val="CommentTextChar"/>
    <w:link w:val="CommentSubject"/>
    <w:uiPriority w:val="99"/>
    <w:semiHidden/>
    <w:rsid w:val="00227B20"/>
    <w:rPr>
      <w:rFonts w:eastAsia="Times New Roman" w:cs="Times New Roman"/>
      <w:b/>
      <w:bCs/>
      <w:sz w:val="20"/>
      <w:szCs w:val="20"/>
      <w:lang w:eastAsia="lv-LV"/>
    </w:rPr>
  </w:style>
  <w:style w:type="paragraph" w:styleId="NormalWeb">
    <w:name w:val="Normal (Web)"/>
    <w:basedOn w:val="Normal"/>
    <w:uiPriority w:val="99"/>
    <w:rsid w:val="001B36DE"/>
    <w:pPr>
      <w:spacing w:before="75" w:after="75"/>
    </w:pPr>
  </w:style>
  <w:style w:type="character" w:styleId="Emphasis">
    <w:name w:val="Emphasis"/>
    <w:qFormat/>
    <w:rsid w:val="0016507F"/>
    <w:rPr>
      <w:i/>
      <w:iCs/>
    </w:rPr>
  </w:style>
  <w:style w:type="character" w:customStyle="1" w:styleId="Heading3Char">
    <w:name w:val="Heading 3 Char"/>
    <w:basedOn w:val="DefaultParagraphFont"/>
    <w:link w:val="Heading3"/>
    <w:uiPriority w:val="99"/>
    <w:rsid w:val="00230B7D"/>
    <w:rPr>
      <w:rFonts w:eastAsia="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612929767">
      <w:bodyDiv w:val="1"/>
      <w:marLeft w:val="0"/>
      <w:marRight w:val="0"/>
      <w:marTop w:val="0"/>
      <w:marBottom w:val="0"/>
      <w:divBdr>
        <w:top w:val="none" w:sz="0" w:space="0" w:color="auto"/>
        <w:left w:val="none" w:sz="0" w:space="0" w:color="auto"/>
        <w:bottom w:val="none" w:sz="0" w:space="0" w:color="auto"/>
        <w:right w:val="none" w:sz="0" w:space="0" w:color="auto"/>
      </w:divBdr>
    </w:div>
    <w:div w:id="1635451793">
      <w:bodyDiv w:val="1"/>
      <w:marLeft w:val="0"/>
      <w:marRight w:val="0"/>
      <w:marTop w:val="0"/>
      <w:marBottom w:val="0"/>
      <w:divBdr>
        <w:top w:val="none" w:sz="0" w:space="0" w:color="auto"/>
        <w:left w:val="none" w:sz="0" w:space="0" w:color="auto"/>
        <w:bottom w:val="none" w:sz="0" w:space="0" w:color="auto"/>
        <w:right w:val="none" w:sz="0" w:space="0" w:color="auto"/>
      </w:divBdr>
    </w:div>
    <w:div w:id="1796678379">
      <w:bodyDiv w:val="1"/>
      <w:marLeft w:val="0"/>
      <w:marRight w:val="0"/>
      <w:marTop w:val="0"/>
      <w:marBottom w:val="0"/>
      <w:divBdr>
        <w:top w:val="none" w:sz="0" w:space="0" w:color="auto"/>
        <w:left w:val="none" w:sz="0" w:space="0" w:color="auto"/>
        <w:bottom w:val="none" w:sz="0" w:space="0" w:color="auto"/>
        <w:right w:val="none" w:sz="0" w:space="0" w:color="auto"/>
      </w:divBdr>
    </w:div>
    <w:div w:id="21303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13B9D-988C-4601-9016-DE1AC720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Par valsts nekustamā īpašuma Cēsu ielā13, Rūjienā, atsavināšanu</vt:lpstr>
    </vt:vector>
  </TitlesOfParts>
  <Company>VARAM</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Cēsu ielā13, Rūjienā, atsavināšanu</dc:title>
  <dc:creator>M.Priede</dc:creator>
  <cp:keywords>izziņa par atzinumos sniegtajiem iebildumiem</cp:keywords>
  <dc:description>67026915,marite.priede@varam.gov.lv</dc:description>
  <cp:lastModifiedBy>Marta Ošleja</cp:lastModifiedBy>
  <cp:revision>3</cp:revision>
  <cp:lastPrinted>2016-04-05T08:58:00Z</cp:lastPrinted>
  <dcterms:created xsi:type="dcterms:W3CDTF">2019-05-21T09:47:00Z</dcterms:created>
  <dcterms:modified xsi:type="dcterms:W3CDTF">2019-05-22T06:41:00Z</dcterms:modified>
</cp:coreProperties>
</file>