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73DED5" w14:textId="77777777" w:rsidR="00752EA6" w:rsidRPr="003E1F78" w:rsidRDefault="00752EA6" w:rsidP="00752EA6">
      <w:pPr>
        <w:jc w:val="center"/>
        <w:rPr>
          <w:b/>
        </w:rPr>
      </w:pPr>
      <w:r w:rsidRPr="003E1F78">
        <w:rPr>
          <w:b/>
        </w:rPr>
        <w:t xml:space="preserve">Izziņa par atzinumos sniegtajiem iebildumiem </w:t>
      </w:r>
      <w:r w:rsidRPr="003E1F78">
        <w:rPr>
          <w:b/>
          <w:bCs/>
        </w:rPr>
        <w:t xml:space="preserve">par </w:t>
      </w:r>
      <w:r w:rsidRPr="003E1F78">
        <w:rPr>
          <w:b/>
        </w:rPr>
        <w:t>Ministru kabineta noteikumu projektu</w:t>
      </w:r>
    </w:p>
    <w:p w14:paraId="534AF6F4" w14:textId="3FB9517A" w:rsidR="00752EA6" w:rsidRPr="003E1F78" w:rsidRDefault="00752EA6" w:rsidP="00C55D62">
      <w:pPr>
        <w:jc w:val="center"/>
        <w:rPr>
          <w:b/>
        </w:rPr>
      </w:pPr>
      <w:r w:rsidRPr="003E1F78">
        <w:rPr>
          <w:b/>
        </w:rPr>
        <w:t>“</w:t>
      </w:r>
      <w:r w:rsidR="00C55D62" w:rsidRPr="00C55D62">
        <w:rPr>
          <w:b/>
          <w:szCs w:val="26"/>
        </w:rPr>
        <w:t xml:space="preserve">Grozījumi Ministru kabineta 2011. gada 21. jūnija noteikumos Nr. 485 </w:t>
      </w:r>
      <w:r w:rsidR="001C5888">
        <w:rPr>
          <w:b/>
          <w:szCs w:val="26"/>
        </w:rPr>
        <w:t>“</w:t>
      </w:r>
      <w:r w:rsidR="00C55D62" w:rsidRPr="00C55D62">
        <w:rPr>
          <w:b/>
          <w:szCs w:val="26"/>
        </w:rPr>
        <w:t>Atsevišķu veidu bīstamo atkritumu apsaimniekošanas kārtība</w:t>
      </w:r>
      <w:r w:rsidRPr="003E1F78">
        <w:rPr>
          <w:b/>
        </w:rPr>
        <w:t>”</w:t>
      </w:r>
      <w:r w:rsidR="00AA5B1B" w:rsidRPr="003E1F78">
        <w:rPr>
          <w:b/>
        </w:rPr>
        <w:t>”</w:t>
      </w:r>
      <w:r w:rsidR="00C55D62">
        <w:rPr>
          <w:b/>
        </w:rPr>
        <w:t xml:space="preserve"> (VSS-1214</w:t>
      </w:r>
      <w:r w:rsidRPr="003E1F78">
        <w:rPr>
          <w:b/>
        </w:rPr>
        <w:t>)</w:t>
      </w:r>
    </w:p>
    <w:p w14:paraId="7DF0DF7B" w14:textId="77777777" w:rsidR="00752EA6" w:rsidRPr="003E1F78" w:rsidRDefault="00752EA6" w:rsidP="00752EA6">
      <w:pPr>
        <w:pStyle w:val="naisf"/>
        <w:spacing w:before="0" w:after="0"/>
        <w:ind w:firstLine="720"/>
      </w:pPr>
    </w:p>
    <w:p w14:paraId="1CBA60A8" w14:textId="77777777" w:rsidR="00752EA6" w:rsidRPr="003E1F78" w:rsidRDefault="00752EA6" w:rsidP="00752EA6">
      <w:pPr>
        <w:pStyle w:val="naisf"/>
        <w:spacing w:before="0" w:after="0"/>
        <w:ind w:firstLine="0"/>
        <w:jc w:val="center"/>
        <w:outlineLvl w:val="0"/>
        <w:rPr>
          <w:b/>
        </w:rPr>
      </w:pPr>
      <w:r w:rsidRPr="003E1F78">
        <w:rPr>
          <w:b/>
        </w:rPr>
        <w:t>I. Jautājumi, par kuriem saskaņošanā vienošanās nav panākta</w:t>
      </w:r>
    </w:p>
    <w:p w14:paraId="351AC0F5" w14:textId="77777777" w:rsidR="00752EA6" w:rsidRPr="003E1F78" w:rsidRDefault="00752EA6" w:rsidP="00752EA6">
      <w:pPr>
        <w:pStyle w:val="naisf"/>
        <w:spacing w:before="0" w:after="0"/>
        <w:ind w:firstLine="720"/>
      </w:pPr>
    </w:p>
    <w:tbl>
      <w:tblPr>
        <w:tblW w:w="142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3600"/>
        <w:gridCol w:w="3360"/>
        <w:gridCol w:w="2280"/>
        <w:gridCol w:w="1920"/>
      </w:tblGrid>
      <w:tr w:rsidR="00752EA6" w:rsidRPr="003E1F78" w14:paraId="4BE8239C" w14:textId="77777777" w:rsidTr="008C5804">
        <w:tc>
          <w:tcPr>
            <w:tcW w:w="708" w:type="dxa"/>
            <w:tcBorders>
              <w:top w:val="single" w:sz="6" w:space="0" w:color="000000"/>
              <w:left w:val="single" w:sz="6" w:space="0" w:color="000000"/>
              <w:bottom w:val="single" w:sz="6" w:space="0" w:color="000000"/>
              <w:right w:val="single" w:sz="6" w:space="0" w:color="000000"/>
            </w:tcBorders>
            <w:vAlign w:val="center"/>
          </w:tcPr>
          <w:p w14:paraId="5E694C1F" w14:textId="77777777" w:rsidR="00752EA6" w:rsidRPr="003E1F78" w:rsidRDefault="00752EA6" w:rsidP="008C5804">
            <w:pPr>
              <w:pStyle w:val="naisc"/>
              <w:spacing w:before="0" w:after="0"/>
            </w:pPr>
            <w:r w:rsidRPr="003E1F78">
              <w:t>Nr. p.k.</w:t>
            </w:r>
          </w:p>
        </w:tc>
        <w:tc>
          <w:tcPr>
            <w:tcW w:w="2400" w:type="dxa"/>
            <w:tcBorders>
              <w:top w:val="single" w:sz="6" w:space="0" w:color="000000"/>
              <w:left w:val="single" w:sz="6" w:space="0" w:color="000000"/>
              <w:bottom w:val="single" w:sz="6" w:space="0" w:color="000000"/>
              <w:right w:val="single" w:sz="6" w:space="0" w:color="000000"/>
            </w:tcBorders>
            <w:vAlign w:val="center"/>
          </w:tcPr>
          <w:p w14:paraId="089A284B" w14:textId="77777777" w:rsidR="00752EA6" w:rsidRPr="003E1F78" w:rsidRDefault="00752EA6" w:rsidP="008C5804">
            <w:pPr>
              <w:pStyle w:val="naisc"/>
              <w:spacing w:before="0" w:after="0"/>
              <w:ind w:firstLine="12"/>
            </w:pPr>
            <w:r w:rsidRPr="003E1F78">
              <w:t>Saskaņošanai nosūtītā projekta redakcija (konkrēta punkta (panta) redakcija)</w:t>
            </w:r>
          </w:p>
        </w:tc>
        <w:tc>
          <w:tcPr>
            <w:tcW w:w="3600" w:type="dxa"/>
            <w:tcBorders>
              <w:top w:val="single" w:sz="6" w:space="0" w:color="000000"/>
              <w:left w:val="single" w:sz="6" w:space="0" w:color="000000"/>
              <w:bottom w:val="single" w:sz="6" w:space="0" w:color="000000"/>
              <w:right w:val="single" w:sz="6" w:space="0" w:color="000000"/>
            </w:tcBorders>
            <w:vAlign w:val="center"/>
          </w:tcPr>
          <w:p w14:paraId="1D086F5C" w14:textId="77777777" w:rsidR="00752EA6" w:rsidRPr="003E1F78" w:rsidRDefault="00752EA6" w:rsidP="008C5804">
            <w:pPr>
              <w:pStyle w:val="naisc"/>
              <w:spacing w:before="0" w:after="0"/>
              <w:ind w:right="3"/>
            </w:pPr>
            <w:r w:rsidRPr="003E1F78">
              <w:t>Atzinumā norādītais ministrijas (citas institūcijas) iebildums, kā arī saskaņošanā papildus izteiktais iebildums par projekta konkrēto punktu (pantu)</w:t>
            </w:r>
          </w:p>
        </w:tc>
        <w:tc>
          <w:tcPr>
            <w:tcW w:w="3360" w:type="dxa"/>
            <w:tcBorders>
              <w:top w:val="single" w:sz="6" w:space="0" w:color="000000"/>
              <w:left w:val="single" w:sz="6" w:space="0" w:color="000000"/>
              <w:bottom w:val="single" w:sz="6" w:space="0" w:color="000000"/>
              <w:right w:val="single" w:sz="6" w:space="0" w:color="000000"/>
            </w:tcBorders>
            <w:vAlign w:val="center"/>
          </w:tcPr>
          <w:p w14:paraId="67A4D30B" w14:textId="77777777" w:rsidR="00752EA6" w:rsidRPr="003E1F78" w:rsidRDefault="00752EA6" w:rsidP="008C5804">
            <w:pPr>
              <w:pStyle w:val="naisc"/>
              <w:spacing w:before="0" w:after="0"/>
              <w:ind w:firstLine="21"/>
            </w:pPr>
            <w:r w:rsidRPr="003E1F78">
              <w:t>Atbildīgās ministrijas pamatojums iebilduma noraidījumam</w:t>
            </w:r>
          </w:p>
        </w:tc>
        <w:tc>
          <w:tcPr>
            <w:tcW w:w="2280" w:type="dxa"/>
            <w:tcBorders>
              <w:top w:val="single" w:sz="4" w:space="0" w:color="auto"/>
              <w:left w:val="single" w:sz="4" w:space="0" w:color="auto"/>
              <w:bottom w:val="single" w:sz="4" w:space="0" w:color="auto"/>
              <w:right w:val="single" w:sz="4" w:space="0" w:color="auto"/>
            </w:tcBorders>
            <w:vAlign w:val="center"/>
          </w:tcPr>
          <w:p w14:paraId="394136CC" w14:textId="77777777" w:rsidR="00752EA6" w:rsidRPr="003E1F78" w:rsidRDefault="00752EA6" w:rsidP="008C5804">
            <w:pPr>
              <w:jc w:val="center"/>
            </w:pPr>
            <w:r w:rsidRPr="003E1F78">
              <w:t>Atzinuma sniedzēja uzturētais iebildums, ja tas atšķiras no atzinumā norādītā iebilduma pamatojuma</w:t>
            </w:r>
          </w:p>
        </w:tc>
        <w:tc>
          <w:tcPr>
            <w:tcW w:w="1920" w:type="dxa"/>
            <w:tcBorders>
              <w:top w:val="single" w:sz="4" w:space="0" w:color="auto"/>
              <w:left w:val="single" w:sz="4" w:space="0" w:color="auto"/>
              <w:bottom w:val="single" w:sz="4" w:space="0" w:color="auto"/>
            </w:tcBorders>
            <w:vAlign w:val="center"/>
          </w:tcPr>
          <w:p w14:paraId="15DFF5DF" w14:textId="77777777" w:rsidR="00752EA6" w:rsidRPr="003E1F78" w:rsidRDefault="00752EA6" w:rsidP="008C5804">
            <w:pPr>
              <w:jc w:val="center"/>
            </w:pPr>
            <w:r w:rsidRPr="003E1F78">
              <w:t>Projekta attiecīgā punkta (panta) galīgā redakcija</w:t>
            </w:r>
          </w:p>
        </w:tc>
      </w:tr>
    </w:tbl>
    <w:p w14:paraId="5DA34049" w14:textId="77777777" w:rsidR="00752EA6" w:rsidRPr="003E1F78" w:rsidRDefault="00752EA6" w:rsidP="00752EA6">
      <w:pPr>
        <w:pStyle w:val="naisf"/>
        <w:spacing w:before="0" w:after="0"/>
        <w:ind w:firstLine="0"/>
        <w:outlineLvl w:val="0"/>
        <w:rPr>
          <w:b/>
        </w:rPr>
      </w:pPr>
    </w:p>
    <w:p w14:paraId="5AE61DC3" w14:textId="77777777" w:rsidR="00752EA6" w:rsidRPr="003E1F78" w:rsidRDefault="00752EA6" w:rsidP="00752EA6">
      <w:pPr>
        <w:pStyle w:val="naisf"/>
        <w:spacing w:before="0" w:after="0"/>
        <w:ind w:firstLine="0"/>
        <w:outlineLvl w:val="0"/>
        <w:rPr>
          <w:b/>
        </w:rPr>
      </w:pPr>
      <w:r w:rsidRPr="003E1F78">
        <w:rPr>
          <w:b/>
        </w:rPr>
        <w:t xml:space="preserve">Informācija par </w:t>
      </w:r>
      <w:proofErr w:type="spellStart"/>
      <w:r w:rsidRPr="003E1F78">
        <w:rPr>
          <w:b/>
        </w:rPr>
        <w:t>starpministriju</w:t>
      </w:r>
      <w:proofErr w:type="spellEnd"/>
      <w:r w:rsidRPr="003E1F78">
        <w:rPr>
          <w:b/>
        </w:rPr>
        <w:t xml:space="preserve"> (starpinstitūciju) sanāksmi vai elektronisko saskaņošanu</w:t>
      </w:r>
    </w:p>
    <w:p w14:paraId="4910BB99" w14:textId="77777777" w:rsidR="00752EA6" w:rsidRPr="003E1F78" w:rsidRDefault="00752EA6" w:rsidP="00752EA6">
      <w:pPr>
        <w:pStyle w:val="naisf"/>
        <w:spacing w:before="0" w:after="0"/>
        <w:ind w:firstLine="0"/>
        <w:rPr>
          <w:b/>
        </w:rPr>
      </w:pPr>
    </w:p>
    <w:tbl>
      <w:tblPr>
        <w:tblW w:w="13908" w:type="dxa"/>
        <w:tblLook w:val="00A0" w:firstRow="1" w:lastRow="0" w:firstColumn="1" w:lastColumn="0" w:noHBand="0" w:noVBand="0"/>
      </w:tblPr>
      <w:tblGrid>
        <w:gridCol w:w="6708"/>
        <w:gridCol w:w="7200"/>
      </w:tblGrid>
      <w:tr w:rsidR="00752EA6" w:rsidRPr="003E1F78" w14:paraId="3287AC61" w14:textId="77777777" w:rsidTr="008C5804">
        <w:tc>
          <w:tcPr>
            <w:tcW w:w="6708" w:type="dxa"/>
          </w:tcPr>
          <w:p w14:paraId="21F9BCCB" w14:textId="77777777" w:rsidR="00752EA6" w:rsidRPr="003E1F78" w:rsidRDefault="00752EA6" w:rsidP="008C5804">
            <w:pPr>
              <w:pStyle w:val="naisf"/>
              <w:spacing w:before="0" w:after="0"/>
              <w:ind w:firstLine="0"/>
            </w:pPr>
            <w:r w:rsidRPr="003E1F78">
              <w:t>Datums</w:t>
            </w:r>
          </w:p>
        </w:tc>
        <w:tc>
          <w:tcPr>
            <w:tcW w:w="7200" w:type="dxa"/>
            <w:tcBorders>
              <w:bottom w:val="single" w:sz="4" w:space="0" w:color="auto"/>
            </w:tcBorders>
          </w:tcPr>
          <w:p w14:paraId="04CC73EB" w14:textId="466A3E42" w:rsidR="00752EA6" w:rsidRPr="003E1F78" w:rsidRDefault="00841FDB" w:rsidP="00841FDB">
            <w:pPr>
              <w:pStyle w:val="NormalWeb"/>
              <w:spacing w:before="0" w:beforeAutospacing="0" w:after="0" w:afterAutospacing="0"/>
              <w:ind w:firstLine="720"/>
            </w:pPr>
            <w:r>
              <w:t>11.01.2019.</w:t>
            </w:r>
            <w:r>
              <w:t xml:space="preserve">, 14.02.2019., </w:t>
            </w:r>
            <w:bookmarkStart w:id="0" w:name="_GoBack"/>
            <w:bookmarkEnd w:id="0"/>
            <w:r w:rsidR="003331FE">
              <w:t>28</w:t>
            </w:r>
            <w:r w:rsidR="00825513">
              <w:t>.02</w:t>
            </w:r>
            <w:r w:rsidR="00F60657">
              <w:t>.2019.</w:t>
            </w:r>
          </w:p>
        </w:tc>
      </w:tr>
      <w:tr w:rsidR="00752EA6" w:rsidRPr="003E1F78" w14:paraId="26DD5E0A" w14:textId="77777777" w:rsidTr="008C5804">
        <w:tc>
          <w:tcPr>
            <w:tcW w:w="6708" w:type="dxa"/>
          </w:tcPr>
          <w:p w14:paraId="19ECCCF3" w14:textId="77777777" w:rsidR="00752EA6" w:rsidRPr="003E1F78" w:rsidRDefault="00752EA6" w:rsidP="008C5804">
            <w:pPr>
              <w:pStyle w:val="naisf"/>
              <w:spacing w:before="0" w:after="0"/>
              <w:ind w:firstLine="0"/>
            </w:pPr>
          </w:p>
        </w:tc>
        <w:tc>
          <w:tcPr>
            <w:tcW w:w="7200" w:type="dxa"/>
            <w:tcBorders>
              <w:top w:val="single" w:sz="4" w:space="0" w:color="auto"/>
            </w:tcBorders>
          </w:tcPr>
          <w:p w14:paraId="2C7F333C" w14:textId="77777777" w:rsidR="00752EA6" w:rsidRPr="003E1F78" w:rsidRDefault="00752EA6" w:rsidP="008C5804">
            <w:pPr>
              <w:pStyle w:val="NormalWeb"/>
              <w:spacing w:before="0" w:beforeAutospacing="0" w:after="0" w:afterAutospacing="0"/>
              <w:ind w:firstLine="720"/>
            </w:pPr>
          </w:p>
        </w:tc>
      </w:tr>
      <w:tr w:rsidR="00752EA6" w:rsidRPr="003E1F78" w14:paraId="1465EB2A" w14:textId="77777777" w:rsidTr="008C5804">
        <w:tc>
          <w:tcPr>
            <w:tcW w:w="6708" w:type="dxa"/>
          </w:tcPr>
          <w:p w14:paraId="156D65ED" w14:textId="77777777" w:rsidR="00752EA6" w:rsidRPr="003E1F78" w:rsidRDefault="00752EA6" w:rsidP="008C5804">
            <w:pPr>
              <w:pStyle w:val="naiskr"/>
              <w:spacing w:before="0" w:after="0"/>
            </w:pPr>
            <w:r w:rsidRPr="003E1F78">
              <w:t>Saskaņošanas dalībnieki</w:t>
            </w:r>
          </w:p>
        </w:tc>
        <w:tc>
          <w:tcPr>
            <w:tcW w:w="7200" w:type="dxa"/>
          </w:tcPr>
          <w:p w14:paraId="20EBE2BB" w14:textId="5D274AFC" w:rsidR="00752EA6" w:rsidRPr="003E1F78" w:rsidRDefault="00C55D62" w:rsidP="00752EA6">
            <w:pPr>
              <w:pStyle w:val="naiskr"/>
              <w:spacing w:before="0" w:after="0"/>
              <w:ind w:firstLine="12"/>
              <w:jc w:val="both"/>
            </w:pPr>
            <w:r>
              <w:t>Tieslietu ministrija, Finanšu ministrija, Ekonomikas ministrija, Latvijas Pašvaldību savienība un Latvijas Brīvo arodbiedrību savienība.</w:t>
            </w:r>
          </w:p>
        </w:tc>
      </w:tr>
      <w:tr w:rsidR="00752EA6" w:rsidRPr="003E1F78" w14:paraId="0A5EB4EE" w14:textId="77777777" w:rsidTr="008C5804">
        <w:trPr>
          <w:trHeight w:val="285"/>
        </w:trPr>
        <w:tc>
          <w:tcPr>
            <w:tcW w:w="6708" w:type="dxa"/>
          </w:tcPr>
          <w:p w14:paraId="24FB6BD2" w14:textId="77777777" w:rsidR="00752EA6" w:rsidRPr="003E1F78" w:rsidRDefault="00752EA6" w:rsidP="008C5804">
            <w:pPr>
              <w:pStyle w:val="naiskr"/>
              <w:spacing w:before="0" w:after="0"/>
            </w:pPr>
          </w:p>
        </w:tc>
        <w:tc>
          <w:tcPr>
            <w:tcW w:w="7200" w:type="dxa"/>
          </w:tcPr>
          <w:p w14:paraId="5C642EA7" w14:textId="77777777" w:rsidR="00752EA6" w:rsidRPr="003E1F78" w:rsidRDefault="00752EA6" w:rsidP="008C5804">
            <w:pPr>
              <w:pStyle w:val="naiskr"/>
              <w:spacing w:before="0" w:after="0"/>
              <w:ind w:firstLine="12"/>
              <w:jc w:val="both"/>
            </w:pPr>
          </w:p>
        </w:tc>
      </w:tr>
      <w:tr w:rsidR="00752EA6" w:rsidRPr="003E1F78" w14:paraId="4FC8EE89" w14:textId="77777777" w:rsidTr="008C5804">
        <w:trPr>
          <w:trHeight w:val="285"/>
        </w:trPr>
        <w:tc>
          <w:tcPr>
            <w:tcW w:w="6708" w:type="dxa"/>
          </w:tcPr>
          <w:p w14:paraId="6E4FD664" w14:textId="77777777" w:rsidR="00752EA6" w:rsidRPr="003E1F78" w:rsidRDefault="00752EA6" w:rsidP="008C5804">
            <w:pPr>
              <w:pStyle w:val="naiskr"/>
              <w:spacing w:before="0" w:after="0"/>
              <w:jc w:val="both"/>
            </w:pPr>
            <w:r w:rsidRPr="003E1F78">
              <w:t>Saskaņošanas dalībnieki izskatīja šādu ministriju (citu institūciju) iebildumus</w:t>
            </w:r>
          </w:p>
        </w:tc>
        <w:tc>
          <w:tcPr>
            <w:tcW w:w="7200" w:type="dxa"/>
          </w:tcPr>
          <w:p w14:paraId="07E0A28F" w14:textId="70038D47" w:rsidR="00752EA6" w:rsidRPr="003E1F78" w:rsidRDefault="00C55D62" w:rsidP="008C5804">
            <w:pPr>
              <w:pStyle w:val="naiskr"/>
              <w:spacing w:before="0" w:after="0"/>
              <w:ind w:firstLine="12"/>
              <w:jc w:val="both"/>
              <w:rPr>
                <w:color w:val="000000"/>
              </w:rPr>
            </w:pPr>
            <w:r>
              <w:rPr>
                <w:color w:val="000000"/>
              </w:rPr>
              <w:t xml:space="preserve"> Ekonomikas ministrija</w:t>
            </w:r>
          </w:p>
        </w:tc>
      </w:tr>
      <w:tr w:rsidR="00752EA6" w:rsidRPr="003E1F78" w14:paraId="091869DB" w14:textId="77777777" w:rsidTr="008C5804">
        <w:trPr>
          <w:trHeight w:val="465"/>
        </w:trPr>
        <w:tc>
          <w:tcPr>
            <w:tcW w:w="6708" w:type="dxa"/>
          </w:tcPr>
          <w:p w14:paraId="6A73EC83" w14:textId="77777777" w:rsidR="00752EA6" w:rsidRPr="003E1F78" w:rsidRDefault="00752EA6" w:rsidP="008C5804">
            <w:pPr>
              <w:pStyle w:val="naiskr"/>
              <w:spacing w:before="0" w:after="0"/>
              <w:jc w:val="both"/>
            </w:pPr>
          </w:p>
        </w:tc>
        <w:tc>
          <w:tcPr>
            <w:tcW w:w="7200" w:type="dxa"/>
            <w:tcBorders>
              <w:top w:val="single" w:sz="6" w:space="0" w:color="000000"/>
              <w:bottom w:val="single" w:sz="6" w:space="0" w:color="000000"/>
            </w:tcBorders>
          </w:tcPr>
          <w:p w14:paraId="7C454942" w14:textId="77777777" w:rsidR="00752EA6" w:rsidRPr="003E1F78" w:rsidRDefault="00752EA6" w:rsidP="008C5804">
            <w:pPr>
              <w:pStyle w:val="NormalWeb"/>
              <w:spacing w:before="0" w:beforeAutospacing="0" w:after="0" w:afterAutospacing="0"/>
              <w:jc w:val="both"/>
            </w:pPr>
          </w:p>
        </w:tc>
      </w:tr>
      <w:tr w:rsidR="00752EA6" w:rsidRPr="003E1F78" w14:paraId="3F71D102" w14:textId="77777777" w:rsidTr="008C5804">
        <w:trPr>
          <w:gridAfter w:val="1"/>
          <w:wAfter w:w="7200" w:type="dxa"/>
        </w:trPr>
        <w:tc>
          <w:tcPr>
            <w:tcW w:w="6708" w:type="dxa"/>
          </w:tcPr>
          <w:p w14:paraId="08A1BA39" w14:textId="77777777" w:rsidR="00752EA6" w:rsidRPr="003E1F78" w:rsidRDefault="00752EA6" w:rsidP="008C5804">
            <w:pPr>
              <w:pStyle w:val="naiskr"/>
              <w:spacing w:before="0" w:after="0"/>
              <w:jc w:val="both"/>
            </w:pPr>
            <w:r w:rsidRPr="003E1F78">
              <w:t>Ministrijas (citas institūcijas), kuras nav ieradušās uz sanāksmi vai kuras nav atbildējušas uz uzaicinājumu piedalīties elektroniskajā saskaņošanā</w:t>
            </w:r>
          </w:p>
        </w:tc>
      </w:tr>
    </w:tbl>
    <w:p w14:paraId="0C6C0B54" w14:textId="7D514F41" w:rsidR="00752EA6" w:rsidRPr="003E1F78" w:rsidRDefault="00752EA6" w:rsidP="00A67507">
      <w:pPr>
        <w:pStyle w:val="naisf"/>
        <w:spacing w:before="0" w:after="0"/>
        <w:ind w:firstLine="0"/>
        <w:outlineLvl w:val="0"/>
        <w:rPr>
          <w:b/>
        </w:rPr>
      </w:pPr>
    </w:p>
    <w:p w14:paraId="27FB4193" w14:textId="77777777" w:rsidR="00752EA6" w:rsidRPr="003E1F78" w:rsidRDefault="00752EA6" w:rsidP="00752EA6">
      <w:pPr>
        <w:pStyle w:val="naisf"/>
        <w:spacing w:before="0" w:after="0"/>
        <w:ind w:firstLine="0"/>
        <w:jc w:val="center"/>
        <w:outlineLvl w:val="0"/>
        <w:rPr>
          <w:b/>
        </w:rPr>
      </w:pPr>
    </w:p>
    <w:p w14:paraId="6D0F76BF" w14:textId="77777777" w:rsidR="00752EA6" w:rsidRPr="003E1F78" w:rsidRDefault="00752EA6" w:rsidP="00752EA6">
      <w:pPr>
        <w:pStyle w:val="naisf"/>
        <w:spacing w:before="0" w:after="0"/>
        <w:ind w:firstLine="0"/>
        <w:jc w:val="center"/>
        <w:outlineLvl w:val="0"/>
        <w:rPr>
          <w:b/>
        </w:rPr>
      </w:pPr>
      <w:r w:rsidRPr="003E1F78">
        <w:rPr>
          <w:b/>
        </w:rPr>
        <w:t>II. Jautājumi, par kuriem saskaņošanā vienošanās ir panākta</w:t>
      </w:r>
    </w:p>
    <w:p w14:paraId="054B6F22" w14:textId="77777777" w:rsidR="00752EA6" w:rsidRPr="003E1F78" w:rsidRDefault="00752EA6" w:rsidP="00752EA6">
      <w:pPr>
        <w:pStyle w:val="naisf"/>
        <w:spacing w:before="0" w:after="0"/>
        <w:ind w:firstLine="720"/>
      </w:pPr>
    </w:p>
    <w:tbl>
      <w:tblPr>
        <w:tblW w:w="1456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977"/>
        <w:gridCol w:w="4704"/>
        <w:gridCol w:w="1984"/>
        <w:gridCol w:w="4227"/>
      </w:tblGrid>
      <w:tr w:rsidR="00752EA6" w:rsidRPr="003E1F78" w14:paraId="5FD7A3FF" w14:textId="77777777" w:rsidTr="006B5081">
        <w:tc>
          <w:tcPr>
            <w:tcW w:w="675" w:type="dxa"/>
            <w:tcBorders>
              <w:top w:val="single" w:sz="6" w:space="0" w:color="000000"/>
              <w:left w:val="single" w:sz="6" w:space="0" w:color="000000"/>
              <w:bottom w:val="single" w:sz="6" w:space="0" w:color="000000"/>
              <w:right w:val="single" w:sz="6" w:space="0" w:color="000000"/>
            </w:tcBorders>
          </w:tcPr>
          <w:p w14:paraId="39F314A3" w14:textId="77777777" w:rsidR="00752EA6" w:rsidRPr="003E1F78" w:rsidRDefault="00752EA6" w:rsidP="008C5804">
            <w:pPr>
              <w:pStyle w:val="naisc"/>
              <w:spacing w:before="0" w:after="0"/>
              <w:jc w:val="both"/>
              <w:rPr>
                <w:b/>
              </w:rPr>
            </w:pPr>
            <w:r w:rsidRPr="003E1F78">
              <w:rPr>
                <w:b/>
              </w:rPr>
              <w:t>Nr. p.k.</w:t>
            </w:r>
          </w:p>
        </w:tc>
        <w:tc>
          <w:tcPr>
            <w:tcW w:w="2977" w:type="dxa"/>
            <w:tcBorders>
              <w:top w:val="single" w:sz="6" w:space="0" w:color="000000"/>
              <w:left w:val="single" w:sz="6" w:space="0" w:color="000000"/>
              <w:bottom w:val="single" w:sz="6" w:space="0" w:color="000000"/>
              <w:right w:val="single" w:sz="6" w:space="0" w:color="000000"/>
            </w:tcBorders>
            <w:vAlign w:val="center"/>
          </w:tcPr>
          <w:p w14:paraId="3D6B8E47" w14:textId="77777777" w:rsidR="00752EA6" w:rsidRPr="003E1F78" w:rsidRDefault="00752EA6" w:rsidP="008C5804">
            <w:pPr>
              <w:pStyle w:val="naisc"/>
              <w:spacing w:before="0" w:after="0"/>
              <w:ind w:firstLine="12"/>
              <w:jc w:val="both"/>
              <w:rPr>
                <w:b/>
              </w:rPr>
            </w:pPr>
            <w:r w:rsidRPr="003E1F78">
              <w:rPr>
                <w:b/>
              </w:rPr>
              <w:t>Saskaņošanai nosūtītā projekta redakcija (konkrēta punkta redakcija)</w:t>
            </w:r>
          </w:p>
        </w:tc>
        <w:tc>
          <w:tcPr>
            <w:tcW w:w="4704" w:type="dxa"/>
            <w:tcBorders>
              <w:top w:val="single" w:sz="6" w:space="0" w:color="000000"/>
              <w:left w:val="single" w:sz="6" w:space="0" w:color="000000"/>
              <w:bottom w:val="single" w:sz="6" w:space="0" w:color="000000"/>
              <w:right w:val="single" w:sz="6" w:space="0" w:color="000000"/>
            </w:tcBorders>
            <w:vAlign w:val="center"/>
          </w:tcPr>
          <w:p w14:paraId="623E0432" w14:textId="77777777" w:rsidR="00752EA6" w:rsidRPr="003E1F78" w:rsidRDefault="00752EA6" w:rsidP="008C5804">
            <w:pPr>
              <w:pStyle w:val="naisc"/>
              <w:spacing w:before="0" w:after="0"/>
              <w:ind w:right="3"/>
              <w:jc w:val="both"/>
              <w:rPr>
                <w:b/>
              </w:rPr>
            </w:pPr>
            <w:r w:rsidRPr="003E1F78">
              <w:rPr>
                <w:b/>
              </w:rPr>
              <w:t xml:space="preserve">Atzinumā norādītais ministrijas (citas institūcijas) iebildums, kā arī saskaņošanā papildus izteiktais iebildums par projekta konkrēto punktu </w:t>
            </w:r>
          </w:p>
        </w:tc>
        <w:tc>
          <w:tcPr>
            <w:tcW w:w="1984" w:type="dxa"/>
            <w:tcBorders>
              <w:top w:val="single" w:sz="6" w:space="0" w:color="000000"/>
              <w:left w:val="single" w:sz="6" w:space="0" w:color="000000"/>
              <w:bottom w:val="single" w:sz="6" w:space="0" w:color="000000"/>
              <w:right w:val="single" w:sz="6" w:space="0" w:color="000000"/>
            </w:tcBorders>
            <w:vAlign w:val="center"/>
          </w:tcPr>
          <w:p w14:paraId="0033DA2B" w14:textId="77777777" w:rsidR="00752EA6" w:rsidRPr="003E1F78" w:rsidRDefault="00752EA6" w:rsidP="008C5804">
            <w:pPr>
              <w:pStyle w:val="naisc"/>
              <w:spacing w:before="0" w:after="0"/>
              <w:ind w:firstLine="21"/>
              <w:jc w:val="both"/>
              <w:rPr>
                <w:b/>
              </w:rPr>
            </w:pPr>
            <w:r w:rsidRPr="003E1F78">
              <w:rPr>
                <w:b/>
              </w:rPr>
              <w:t xml:space="preserve">Atbildīgās ministrijas norāde par to, ka iebildums ir </w:t>
            </w:r>
            <w:r w:rsidRPr="003E1F78">
              <w:rPr>
                <w:b/>
              </w:rPr>
              <w:lastRenderedPageBreak/>
              <w:t>ņemts vērā, vai informācija par saskaņošanā panākto alternatīvo risinājumu</w:t>
            </w:r>
          </w:p>
        </w:tc>
        <w:tc>
          <w:tcPr>
            <w:tcW w:w="4227" w:type="dxa"/>
            <w:tcBorders>
              <w:top w:val="single" w:sz="4" w:space="0" w:color="auto"/>
              <w:left w:val="single" w:sz="4" w:space="0" w:color="auto"/>
              <w:bottom w:val="single" w:sz="4" w:space="0" w:color="auto"/>
            </w:tcBorders>
            <w:vAlign w:val="center"/>
          </w:tcPr>
          <w:p w14:paraId="60455B97" w14:textId="77777777" w:rsidR="00752EA6" w:rsidRPr="003E1F78" w:rsidRDefault="00752EA6" w:rsidP="008C5804">
            <w:pPr>
              <w:jc w:val="both"/>
              <w:rPr>
                <w:b/>
              </w:rPr>
            </w:pPr>
            <w:r w:rsidRPr="003E1F78">
              <w:rPr>
                <w:b/>
              </w:rPr>
              <w:lastRenderedPageBreak/>
              <w:t>Projekta attiecīgā punkta galīgā redakcija</w:t>
            </w:r>
          </w:p>
        </w:tc>
      </w:tr>
      <w:tr w:rsidR="00752EA6" w:rsidRPr="00306471" w14:paraId="4F2A9CAC" w14:textId="77777777" w:rsidTr="006B5081">
        <w:tc>
          <w:tcPr>
            <w:tcW w:w="675" w:type="dxa"/>
            <w:tcBorders>
              <w:top w:val="single" w:sz="6" w:space="0" w:color="000000"/>
              <w:left w:val="single" w:sz="6" w:space="0" w:color="000000"/>
              <w:bottom w:val="single" w:sz="6" w:space="0" w:color="000000"/>
              <w:right w:val="single" w:sz="6" w:space="0" w:color="000000"/>
            </w:tcBorders>
          </w:tcPr>
          <w:p w14:paraId="6EBB4454" w14:textId="5CEEAEC9" w:rsidR="00752EA6" w:rsidRPr="00306471" w:rsidRDefault="005350F0" w:rsidP="006E54DB">
            <w:pPr>
              <w:pStyle w:val="naisc"/>
              <w:spacing w:before="0" w:after="0"/>
              <w:jc w:val="both"/>
              <w:rPr>
                <w:b/>
              </w:rPr>
            </w:pPr>
            <w:r>
              <w:rPr>
                <w:b/>
              </w:rPr>
              <w:t>1.</w:t>
            </w:r>
          </w:p>
        </w:tc>
        <w:tc>
          <w:tcPr>
            <w:tcW w:w="2977" w:type="dxa"/>
            <w:tcBorders>
              <w:top w:val="single" w:sz="6" w:space="0" w:color="000000"/>
              <w:left w:val="single" w:sz="6" w:space="0" w:color="000000"/>
              <w:bottom w:val="single" w:sz="6" w:space="0" w:color="000000"/>
              <w:right w:val="single" w:sz="6" w:space="0" w:color="000000"/>
            </w:tcBorders>
          </w:tcPr>
          <w:p w14:paraId="21392A6D" w14:textId="5BE401C2" w:rsidR="00752EA6" w:rsidRPr="00306471" w:rsidRDefault="006E54DB" w:rsidP="002700D1">
            <w:pPr>
              <w:pStyle w:val="naisc"/>
              <w:spacing w:before="0" w:after="0"/>
              <w:ind w:firstLine="12"/>
              <w:jc w:val="both"/>
              <w:rPr>
                <w:b/>
              </w:rPr>
            </w:pPr>
            <w:r w:rsidRPr="00306471">
              <w:rPr>
                <w:b/>
              </w:rPr>
              <w:t>Atsevišķu veidu bīstamo atkritumu apsaimniekošanas kārtība</w:t>
            </w:r>
          </w:p>
        </w:tc>
        <w:tc>
          <w:tcPr>
            <w:tcW w:w="4704" w:type="dxa"/>
            <w:tcBorders>
              <w:top w:val="single" w:sz="6" w:space="0" w:color="000000"/>
              <w:left w:val="single" w:sz="6" w:space="0" w:color="000000"/>
              <w:bottom w:val="single" w:sz="6" w:space="0" w:color="000000"/>
              <w:right w:val="single" w:sz="6" w:space="0" w:color="000000"/>
            </w:tcBorders>
            <w:vAlign w:val="center"/>
          </w:tcPr>
          <w:p w14:paraId="3C08924B" w14:textId="2FE11F83" w:rsidR="00C55D62" w:rsidRPr="00306471" w:rsidRDefault="00C55D62" w:rsidP="006E54DB">
            <w:pPr>
              <w:ind w:firstLine="567"/>
              <w:jc w:val="both"/>
              <w:rPr>
                <w:b/>
              </w:rPr>
            </w:pPr>
            <w:r w:rsidRPr="00306471">
              <w:rPr>
                <w:b/>
              </w:rPr>
              <w:t>Tieslietu ministrija</w:t>
            </w:r>
          </w:p>
          <w:p w14:paraId="66B5C877" w14:textId="30E5D902" w:rsidR="00752EA6" w:rsidRPr="00306471" w:rsidRDefault="00C55D62" w:rsidP="00902D3A">
            <w:pPr>
              <w:jc w:val="both"/>
            </w:pPr>
            <w:r w:rsidRPr="00306471">
              <w:t>1. Vēršam uzmanību, ka atbilstoši projekta nosaukumam projekta tvērums attiecas uz bīstamo atkritumu apsaimniekošanu. Izsakām bažas, ka projekta 2. punktā izteiktais Ministru kabineta 2011. gada 21. jūnija noteikumu Nr. 485 "Atsevišķu veidu bīstamo atkritumu apsaimniekošanas kārtība” (turpmāk – noteikumi) 1.1.</w:t>
            </w:r>
            <w:r w:rsidRPr="00306471">
              <w:rPr>
                <w:vertAlign w:val="superscript"/>
              </w:rPr>
              <w:t xml:space="preserve">1 </w:t>
            </w:r>
            <w:r w:rsidRPr="00306471">
              <w:t>apakšpunkts paplašina projekta tvērumu, jo attiecas uz titāna dioksīda ražošanas iekārtu radītajām emisijām. Ņemot vērā nozares specifiku, neesam droši, vai visas emisijas uzskatāmas par atkritumiem. Attiecīgi lūdzam sniegt skaidrojumu par minētā regulējuma atbilstību projekta tvērumam vai papildināt projektu, precizējot noteikumu nosaukumu.</w:t>
            </w:r>
          </w:p>
        </w:tc>
        <w:tc>
          <w:tcPr>
            <w:tcW w:w="1984" w:type="dxa"/>
            <w:tcBorders>
              <w:top w:val="single" w:sz="6" w:space="0" w:color="000000"/>
              <w:left w:val="single" w:sz="6" w:space="0" w:color="000000"/>
              <w:bottom w:val="single" w:sz="6" w:space="0" w:color="000000"/>
              <w:right w:val="single" w:sz="6" w:space="0" w:color="000000"/>
            </w:tcBorders>
          </w:tcPr>
          <w:p w14:paraId="66D869CD" w14:textId="0002661C" w:rsidR="00752EA6" w:rsidRPr="00306471" w:rsidRDefault="002700D1" w:rsidP="006E54DB">
            <w:pPr>
              <w:pStyle w:val="naisc"/>
              <w:spacing w:before="0" w:after="0"/>
              <w:ind w:firstLine="21"/>
              <w:jc w:val="left"/>
              <w:rPr>
                <w:b/>
              </w:rPr>
            </w:pPr>
            <w:r w:rsidRPr="00306471">
              <w:rPr>
                <w:b/>
              </w:rPr>
              <w:t>Iebildums ir ņemts vērā.</w:t>
            </w:r>
          </w:p>
        </w:tc>
        <w:tc>
          <w:tcPr>
            <w:tcW w:w="4227" w:type="dxa"/>
            <w:tcBorders>
              <w:top w:val="single" w:sz="4" w:space="0" w:color="auto"/>
              <w:left w:val="single" w:sz="4" w:space="0" w:color="auto"/>
              <w:bottom w:val="single" w:sz="4" w:space="0" w:color="auto"/>
            </w:tcBorders>
          </w:tcPr>
          <w:p w14:paraId="7713F1EC" w14:textId="77777777" w:rsidR="002700D1" w:rsidRPr="00306471" w:rsidRDefault="002700D1" w:rsidP="002700D1">
            <w:pPr>
              <w:pStyle w:val="ListParagraph"/>
              <w:numPr>
                <w:ilvl w:val="0"/>
                <w:numId w:val="1"/>
              </w:numPr>
              <w:spacing w:after="0" w:line="240" w:lineRule="auto"/>
              <w:ind w:left="0" w:firstLine="0"/>
              <w:jc w:val="both"/>
              <w:rPr>
                <w:rFonts w:ascii="Times New Roman" w:hAnsi="Times New Roman" w:cs="Times New Roman"/>
                <w:sz w:val="24"/>
                <w:szCs w:val="24"/>
              </w:rPr>
            </w:pPr>
            <w:r w:rsidRPr="00306471">
              <w:rPr>
                <w:rFonts w:ascii="Times New Roman" w:hAnsi="Times New Roman" w:cs="Times New Roman"/>
                <w:sz w:val="24"/>
                <w:szCs w:val="24"/>
              </w:rPr>
              <w:t xml:space="preserve">Izteikt noteikumu nosaukumu šādā redakcijā: </w:t>
            </w:r>
          </w:p>
          <w:p w14:paraId="5334DBF4" w14:textId="77777777" w:rsidR="002700D1" w:rsidRPr="00306471" w:rsidRDefault="002700D1" w:rsidP="002700D1">
            <w:pPr>
              <w:jc w:val="both"/>
            </w:pPr>
          </w:p>
          <w:p w14:paraId="2DE6F296" w14:textId="6AFDE466" w:rsidR="002700D1" w:rsidRPr="00306471" w:rsidRDefault="002700D1" w:rsidP="002700D1">
            <w:pPr>
              <w:jc w:val="both"/>
            </w:pPr>
            <w:r w:rsidRPr="00306471">
              <w:t>“Atsevišķu veidu bīstamo atkritumu apsaimniekošanas kārtība un prasības titāna dioksīda ražošanas iekārtu radīto emisiju ierobežoša</w:t>
            </w:r>
            <w:r w:rsidR="00306471">
              <w:t>nai, kontrolei un monitoringam”</w:t>
            </w:r>
          </w:p>
          <w:p w14:paraId="175FBEE2" w14:textId="76B9259F" w:rsidR="00752EA6" w:rsidRPr="00306471" w:rsidRDefault="00752EA6" w:rsidP="002700D1">
            <w:pPr>
              <w:jc w:val="both"/>
              <w:rPr>
                <w:b/>
              </w:rPr>
            </w:pPr>
          </w:p>
        </w:tc>
      </w:tr>
      <w:tr w:rsidR="00C55D62" w:rsidRPr="00721708" w14:paraId="4198002E" w14:textId="77777777" w:rsidTr="006B5081">
        <w:tc>
          <w:tcPr>
            <w:tcW w:w="675" w:type="dxa"/>
            <w:tcBorders>
              <w:top w:val="single" w:sz="6" w:space="0" w:color="000000"/>
              <w:left w:val="single" w:sz="6" w:space="0" w:color="000000"/>
              <w:bottom w:val="single" w:sz="6" w:space="0" w:color="000000"/>
              <w:right w:val="single" w:sz="6" w:space="0" w:color="000000"/>
            </w:tcBorders>
          </w:tcPr>
          <w:p w14:paraId="3C691506" w14:textId="4BB4451D" w:rsidR="00C55D62" w:rsidRPr="00721708" w:rsidRDefault="005350F0" w:rsidP="006E54DB">
            <w:pPr>
              <w:pStyle w:val="naisc"/>
              <w:spacing w:before="0" w:after="0"/>
              <w:jc w:val="both"/>
              <w:rPr>
                <w:b/>
              </w:rPr>
            </w:pPr>
            <w:r>
              <w:rPr>
                <w:b/>
              </w:rPr>
              <w:t>2.</w:t>
            </w:r>
          </w:p>
        </w:tc>
        <w:tc>
          <w:tcPr>
            <w:tcW w:w="2977" w:type="dxa"/>
            <w:tcBorders>
              <w:top w:val="single" w:sz="6" w:space="0" w:color="000000"/>
              <w:left w:val="single" w:sz="6" w:space="0" w:color="000000"/>
              <w:bottom w:val="single" w:sz="6" w:space="0" w:color="000000"/>
              <w:right w:val="single" w:sz="6" w:space="0" w:color="000000"/>
            </w:tcBorders>
          </w:tcPr>
          <w:p w14:paraId="1092B200" w14:textId="77777777" w:rsidR="002700D1" w:rsidRPr="002021A6" w:rsidRDefault="002700D1" w:rsidP="002700D1">
            <w:pPr>
              <w:jc w:val="both"/>
              <w:rPr>
                <w:szCs w:val="28"/>
              </w:rPr>
            </w:pPr>
            <w:r w:rsidRPr="002021A6">
              <w:rPr>
                <w:szCs w:val="28"/>
              </w:rPr>
              <w:t>3. Izteikt noteikumu 31.</w:t>
            </w:r>
            <w:r w:rsidRPr="002021A6">
              <w:rPr>
                <w:szCs w:val="28"/>
                <w:vertAlign w:val="superscript"/>
              </w:rPr>
              <w:t>3</w:t>
            </w:r>
            <w:r w:rsidRPr="002021A6">
              <w:rPr>
                <w:szCs w:val="28"/>
              </w:rPr>
              <w:t xml:space="preserve"> punktu šādā redakcijā:</w:t>
            </w:r>
          </w:p>
          <w:p w14:paraId="66C362B8" w14:textId="77777777" w:rsidR="002700D1" w:rsidRPr="002021A6" w:rsidRDefault="002700D1" w:rsidP="002700D1">
            <w:pPr>
              <w:jc w:val="both"/>
              <w:rPr>
                <w:szCs w:val="28"/>
              </w:rPr>
            </w:pPr>
            <w:r w:rsidRPr="002021A6">
              <w:rPr>
                <w:szCs w:val="28"/>
              </w:rPr>
              <w:t>“31.</w:t>
            </w:r>
            <w:r w:rsidRPr="002021A6">
              <w:rPr>
                <w:szCs w:val="28"/>
                <w:vertAlign w:val="superscript"/>
              </w:rPr>
              <w:t>3</w:t>
            </w:r>
            <w:r w:rsidRPr="002021A6">
              <w:rPr>
                <w:szCs w:val="28"/>
              </w:rPr>
              <w:t xml:space="preserve"> Vides aizsardzības un reģionālās attīstības ministrija vai tās pilnvarota institūcija katru gadu elektroniski </w:t>
            </w:r>
            <w:proofErr w:type="spellStart"/>
            <w:r w:rsidRPr="002021A6">
              <w:rPr>
                <w:szCs w:val="28"/>
              </w:rPr>
              <w:t>nosūta</w:t>
            </w:r>
            <w:proofErr w:type="spellEnd"/>
            <w:r w:rsidRPr="002021A6">
              <w:rPr>
                <w:szCs w:val="28"/>
              </w:rPr>
              <w:t xml:space="preserve"> Eiropas Komisijai (atbilstoši Eiropas Komisijas noteiktajam paraugam):</w:t>
            </w:r>
          </w:p>
          <w:p w14:paraId="70AF19F0" w14:textId="77777777" w:rsidR="002700D1" w:rsidRPr="002021A6" w:rsidRDefault="002700D1" w:rsidP="002700D1">
            <w:pPr>
              <w:jc w:val="both"/>
              <w:rPr>
                <w:szCs w:val="28"/>
              </w:rPr>
            </w:pPr>
            <w:r w:rsidRPr="002021A6">
              <w:rPr>
                <w:szCs w:val="28"/>
              </w:rPr>
              <w:lastRenderedPageBreak/>
              <w:t>31.</w:t>
            </w:r>
            <w:r w:rsidRPr="002021A6">
              <w:rPr>
                <w:szCs w:val="28"/>
                <w:vertAlign w:val="superscript"/>
              </w:rPr>
              <w:t>3</w:t>
            </w:r>
            <w:r w:rsidRPr="002021A6">
              <w:rPr>
                <w:szCs w:val="28"/>
              </w:rPr>
              <w:t xml:space="preserve">1. ziņojumu par tirgū laistajiem bateriju un akumulatoru apjomiem un par savāktajiem bateriju un akumulatoru atkritumu apjomiem. </w:t>
            </w:r>
          </w:p>
          <w:p w14:paraId="0882F803" w14:textId="77777777" w:rsidR="002700D1" w:rsidRPr="002021A6" w:rsidRDefault="002700D1" w:rsidP="002700D1">
            <w:pPr>
              <w:jc w:val="both"/>
              <w:rPr>
                <w:szCs w:val="28"/>
              </w:rPr>
            </w:pPr>
            <w:r w:rsidRPr="002021A6">
              <w:rPr>
                <w:szCs w:val="28"/>
              </w:rPr>
              <w:t>31.</w:t>
            </w:r>
            <w:r w:rsidRPr="002021A6">
              <w:rPr>
                <w:szCs w:val="28"/>
                <w:vertAlign w:val="superscript"/>
              </w:rPr>
              <w:t>3</w:t>
            </w:r>
            <w:r w:rsidRPr="002021A6">
              <w:rPr>
                <w:szCs w:val="28"/>
              </w:rPr>
              <w:t>2. ziņojumu par pārstrādātajiem bateriju un akumulatoru atkritumu apjomiem un to atbilstību šo noteikumu 27. punktā noteiktajam.”</w:t>
            </w:r>
          </w:p>
          <w:p w14:paraId="2658575B" w14:textId="77777777" w:rsidR="00C55D62" w:rsidRPr="00721708" w:rsidRDefault="00C55D62" w:rsidP="002700D1">
            <w:pPr>
              <w:pStyle w:val="naisc"/>
              <w:spacing w:before="0" w:after="0"/>
              <w:jc w:val="both"/>
              <w:rPr>
                <w:b/>
              </w:rPr>
            </w:pPr>
          </w:p>
        </w:tc>
        <w:tc>
          <w:tcPr>
            <w:tcW w:w="4704" w:type="dxa"/>
            <w:tcBorders>
              <w:top w:val="single" w:sz="6" w:space="0" w:color="000000"/>
              <w:left w:val="single" w:sz="6" w:space="0" w:color="000000"/>
              <w:bottom w:val="single" w:sz="6" w:space="0" w:color="000000"/>
              <w:right w:val="single" w:sz="6" w:space="0" w:color="000000"/>
            </w:tcBorders>
            <w:vAlign w:val="center"/>
          </w:tcPr>
          <w:p w14:paraId="636B6039" w14:textId="1FF263A8" w:rsidR="00C55D62" w:rsidRPr="006E54DB" w:rsidRDefault="00C55D62" w:rsidP="006E54DB">
            <w:pPr>
              <w:ind w:firstLine="567"/>
              <w:jc w:val="both"/>
              <w:rPr>
                <w:b/>
              </w:rPr>
            </w:pPr>
            <w:r w:rsidRPr="00721708">
              <w:rPr>
                <w:b/>
              </w:rPr>
              <w:lastRenderedPageBreak/>
              <w:t>Tieslietu ministrija</w:t>
            </w:r>
          </w:p>
          <w:p w14:paraId="2C6934A7" w14:textId="77777777" w:rsidR="00C55D62" w:rsidRPr="00721708" w:rsidRDefault="00C55D62" w:rsidP="006E54DB">
            <w:pPr>
              <w:ind w:firstLine="567"/>
              <w:jc w:val="both"/>
            </w:pPr>
            <w:r w:rsidRPr="00721708">
              <w:t>2. Projekta 3. punktā izteiktais noteikumu 31.</w:t>
            </w:r>
            <w:r w:rsidRPr="00721708">
              <w:rPr>
                <w:vertAlign w:val="superscript"/>
              </w:rPr>
              <w:t xml:space="preserve">3 </w:t>
            </w:r>
            <w:r w:rsidRPr="00721708">
              <w:t>punkts paredz VARAM vai tās pilnvarotai institūcijai atbilstoši Eiropas Komisijas noteiktajam paraugam nosūtīt ziņojumus par noteikta veida atkritumiem.</w:t>
            </w:r>
          </w:p>
          <w:p w14:paraId="5B15A2CA" w14:textId="77777777" w:rsidR="00C55D62" w:rsidRPr="00721708" w:rsidRDefault="00C55D62" w:rsidP="006E54DB">
            <w:pPr>
              <w:ind w:firstLine="567"/>
              <w:jc w:val="both"/>
            </w:pPr>
            <w:r w:rsidRPr="00721708">
              <w:t xml:space="preserve">Pirmkārt, lūdzam precīzi norādīt atsauci uz Eiropas Savienības vai nacionālajiem normatīvajiem aktiem, kur ietverti Eiropas Komisijas apstiprināti paraugi atbilstoši Ministru kabineta 2009. gada 3. februāra </w:t>
            </w:r>
            <w:r w:rsidRPr="00721708">
              <w:lastRenderedPageBreak/>
              <w:t>noteikumu Nr. 108 “Normatīvo aktu projektu sagatavošanas noteikumi” (turpmāk – MKN. 108) 3.7. apakšnodaļai vai 170. - 172. punktam. Ja minētie paraugi ietverti Eiropas Savienības direktīvā vai lēmumā lūdzam papildināt projektu, izsakot šos paraugus kā noteikumu pielikumus.</w:t>
            </w:r>
          </w:p>
          <w:p w14:paraId="261BFF2C" w14:textId="7C6DEB8C" w:rsidR="00C55D62" w:rsidRPr="00721708" w:rsidRDefault="00C55D62" w:rsidP="006E54DB">
            <w:pPr>
              <w:ind w:firstLine="567"/>
              <w:jc w:val="both"/>
            </w:pPr>
            <w:r w:rsidRPr="00721708">
              <w:t>Otrkārt, lūdzam svītrot iekavas projekta 3. punktā, jo atbilstoši juridiskās tehnikas prasībām tās attiecīgajā projekta vienībā lietotas nekorekti.</w:t>
            </w:r>
          </w:p>
        </w:tc>
        <w:tc>
          <w:tcPr>
            <w:tcW w:w="1984" w:type="dxa"/>
            <w:tcBorders>
              <w:top w:val="single" w:sz="6" w:space="0" w:color="000000"/>
              <w:left w:val="single" w:sz="6" w:space="0" w:color="000000"/>
              <w:bottom w:val="single" w:sz="6" w:space="0" w:color="000000"/>
              <w:right w:val="single" w:sz="6" w:space="0" w:color="000000"/>
            </w:tcBorders>
          </w:tcPr>
          <w:p w14:paraId="1B190EE8" w14:textId="6F959DD1" w:rsidR="00C55D62" w:rsidRPr="00721708" w:rsidRDefault="002700D1" w:rsidP="002700D1">
            <w:pPr>
              <w:pStyle w:val="naisc"/>
              <w:spacing w:before="0" w:after="0"/>
              <w:ind w:firstLine="21"/>
              <w:jc w:val="left"/>
              <w:rPr>
                <w:b/>
              </w:rPr>
            </w:pPr>
            <w:r>
              <w:rPr>
                <w:b/>
              </w:rPr>
              <w:lastRenderedPageBreak/>
              <w:t xml:space="preserve">Iebildums ir ņemts vērā. </w:t>
            </w:r>
            <w:r w:rsidR="00306471">
              <w:rPr>
                <w:b/>
              </w:rPr>
              <w:t xml:space="preserve">Veicot noteikumu projekta precizēšanu, ir mainījusies tā punktu numerācija. </w:t>
            </w:r>
          </w:p>
        </w:tc>
        <w:tc>
          <w:tcPr>
            <w:tcW w:w="4227" w:type="dxa"/>
            <w:tcBorders>
              <w:top w:val="single" w:sz="4" w:space="0" w:color="auto"/>
              <w:left w:val="single" w:sz="4" w:space="0" w:color="auto"/>
              <w:bottom w:val="single" w:sz="4" w:space="0" w:color="auto"/>
            </w:tcBorders>
          </w:tcPr>
          <w:p w14:paraId="4B02D86A" w14:textId="12C0D34F" w:rsidR="002021A6" w:rsidRDefault="002700D1" w:rsidP="002700D1">
            <w:pPr>
              <w:rPr>
                <w:b/>
              </w:rPr>
            </w:pPr>
            <w:r>
              <w:rPr>
                <w:b/>
              </w:rPr>
              <w:t>Noteikumu projekta anotācijas I.</w:t>
            </w:r>
            <w:r w:rsidR="00495E90">
              <w:t> </w:t>
            </w:r>
            <w:r>
              <w:rPr>
                <w:b/>
              </w:rPr>
              <w:t>sada</w:t>
            </w:r>
            <w:r w:rsidR="002021A6">
              <w:rPr>
                <w:b/>
              </w:rPr>
              <w:t>ļas 2.</w:t>
            </w:r>
            <w:r w:rsidR="00495E90">
              <w:rPr>
                <w:b/>
              </w:rPr>
              <w:t> </w:t>
            </w:r>
            <w:r w:rsidR="002021A6">
              <w:rPr>
                <w:b/>
              </w:rPr>
              <w:t>punkts ir papildināts</w:t>
            </w:r>
            <w:r>
              <w:rPr>
                <w:b/>
              </w:rPr>
              <w:t xml:space="preserve"> šādā redakcijā: </w:t>
            </w:r>
          </w:p>
          <w:p w14:paraId="5978D6B0" w14:textId="19F53CCD" w:rsidR="005F33DF" w:rsidRPr="00902D3A" w:rsidRDefault="005F33DF" w:rsidP="005F33DF">
            <w:pPr>
              <w:pStyle w:val="tv2131"/>
              <w:numPr>
                <w:ilvl w:val="2"/>
                <w:numId w:val="2"/>
              </w:numPr>
              <w:spacing w:line="240" w:lineRule="auto"/>
              <w:ind w:left="0" w:right="135" w:firstLine="720"/>
              <w:jc w:val="both"/>
              <w:rPr>
                <w:b/>
                <w:i/>
                <w:color w:val="auto"/>
                <w:sz w:val="24"/>
                <w:szCs w:val="24"/>
                <w:lang w:val="lv-LV"/>
              </w:rPr>
            </w:pPr>
            <w:r w:rsidRPr="006A04DA">
              <w:rPr>
                <w:b/>
                <w:color w:val="auto"/>
                <w:sz w:val="24"/>
                <w:szCs w:val="24"/>
                <w:lang w:val="lv-LV"/>
              </w:rPr>
              <w:t xml:space="preserve">Jāatzīmē, ka Eiropas Komisija nav noteikusi vienotu ziņojuma formātu dalībvalstīm ziņojuma sniegšanai par tirgū laistajiem bateriju un akumulatoru apjomiem, par savāktajiem pārnēsājamo bateriju un akumulatoru atkritumu apjomiem un </w:t>
            </w:r>
            <w:r w:rsidRPr="006A04DA">
              <w:rPr>
                <w:b/>
                <w:color w:val="auto"/>
                <w:sz w:val="24"/>
                <w:szCs w:val="24"/>
                <w:lang w:val="lv-LV"/>
              </w:rPr>
              <w:lastRenderedPageBreak/>
              <w:t>par bateriju un akumulatoru pārstrādes efektivitāti. Atbilstoši Eiropas Komisijas 2008.</w:t>
            </w:r>
            <w:r w:rsidR="001F2FFB">
              <w:rPr>
                <w:b/>
                <w:color w:val="auto"/>
                <w:sz w:val="24"/>
                <w:szCs w:val="24"/>
                <w:lang w:val="lv-LV"/>
              </w:rPr>
              <w:t> </w:t>
            </w:r>
            <w:r w:rsidRPr="006A04DA">
              <w:rPr>
                <w:b/>
                <w:color w:val="auto"/>
                <w:sz w:val="24"/>
                <w:szCs w:val="24"/>
                <w:lang w:val="lv-LV"/>
              </w:rPr>
              <w:t>gada 29.</w:t>
            </w:r>
            <w:r w:rsidR="001F2FFB">
              <w:rPr>
                <w:b/>
                <w:color w:val="auto"/>
                <w:sz w:val="24"/>
                <w:szCs w:val="24"/>
                <w:lang w:val="lv-LV"/>
              </w:rPr>
              <w:t> </w:t>
            </w:r>
            <w:r w:rsidRPr="006A04DA">
              <w:rPr>
                <w:b/>
                <w:color w:val="auto"/>
                <w:sz w:val="24"/>
                <w:szCs w:val="24"/>
                <w:lang w:val="lv-LV"/>
              </w:rPr>
              <w:t>septembra lēmumam Nr.</w:t>
            </w:r>
            <w:r w:rsidRPr="006A04DA">
              <w:rPr>
                <w:b/>
                <w:color w:val="auto"/>
                <w:lang w:val="lv-LV"/>
              </w:rPr>
              <w:t xml:space="preserve"> </w:t>
            </w:r>
            <w:r w:rsidRPr="006A04DA">
              <w:rPr>
                <w:b/>
                <w:color w:val="auto"/>
                <w:sz w:val="24"/>
                <w:szCs w:val="24"/>
                <w:lang w:val="lv-LV"/>
              </w:rPr>
              <w:t xml:space="preserve">2008/763/EK, </w:t>
            </w:r>
            <w:r w:rsidRPr="00902D3A">
              <w:rPr>
                <w:b/>
                <w:i/>
                <w:color w:val="auto"/>
                <w:sz w:val="24"/>
                <w:szCs w:val="24"/>
                <w:lang w:val="lv-LV"/>
              </w:rPr>
              <w:t>ar ko atbilstīgi Eiropas Parlamenta un Padomes Direktīvai 2006/66/EK nosaka vienotu metodoloģiju, kā aprēķina, cik daudz pārnēsājamu bateriju un akumulatoru gadā pārdots tiešajiem lietotājiem</w:t>
            </w:r>
            <w:r w:rsidRPr="006A04DA">
              <w:rPr>
                <w:b/>
                <w:color w:val="auto"/>
                <w:sz w:val="24"/>
                <w:szCs w:val="24"/>
                <w:lang w:val="lv-LV"/>
              </w:rPr>
              <w:t xml:space="preserve">, ir iespējams aprēķināt pārdoto pārnēsājamo bateriju un akumulatoru daudzumu, savukārt Eiropas Komisijas 2012. gada 11. jūnija Regula Nr. 493/2012/ES </w:t>
            </w:r>
            <w:r w:rsidRPr="00902D3A">
              <w:rPr>
                <w:b/>
                <w:i/>
                <w:color w:val="auto"/>
                <w:sz w:val="24"/>
                <w:szCs w:val="24"/>
                <w:lang w:val="lv-LV"/>
              </w:rPr>
              <w:t xml:space="preserve">, ar ko saskaņā ar Eiropas Parlamenta un Padomes Direktīvu 2006/66/EK paredz sīki izstrādātus noteikumus attiecībā uz bateriju un akumulatoru atkritumu pārstrādes procesu pārstrādes </w:t>
            </w:r>
            <w:proofErr w:type="spellStart"/>
            <w:r w:rsidRPr="00902D3A">
              <w:rPr>
                <w:b/>
                <w:i/>
                <w:color w:val="auto"/>
                <w:sz w:val="24"/>
                <w:szCs w:val="24"/>
                <w:lang w:val="lv-LV"/>
              </w:rPr>
              <w:t>mērķlielumus</w:t>
            </w:r>
            <w:proofErr w:type="spellEnd"/>
            <w:r w:rsidRPr="00902D3A">
              <w:rPr>
                <w:b/>
                <w:i/>
                <w:color w:val="auto"/>
                <w:sz w:val="24"/>
                <w:szCs w:val="24"/>
                <w:lang w:val="lv-LV"/>
              </w:rPr>
              <w:t xml:space="preserve">, attiecas tikai uz bateriju un akumulatoru pārstrādes procesu </w:t>
            </w:r>
            <w:proofErr w:type="spellStart"/>
            <w:r w:rsidRPr="00902D3A">
              <w:rPr>
                <w:b/>
                <w:i/>
                <w:color w:val="auto"/>
                <w:sz w:val="24"/>
                <w:szCs w:val="24"/>
                <w:lang w:val="lv-LV"/>
              </w:rPr>
              <w:t>mērķlielumu</w:t>
            </w:r>
            <w:proofErr w:type="spellEnd"/>
            <w:r w:rsidRPr="00902D3A">
              <w:rPr>
                <w:b/>
                <w:i/>
                <w:color w:val="auto"/>
                <w:sz w:val="24"/>
                <w:szCs w:val="24"/>
                <w:lang w:val="lv-LV"/>
              </w:rPr>
              <w:t xml:space="preserve"> aprēķināšanu.</w:t>
            </w:r>
          </w:p>
          <w:p w14:paraId="1F835DA7" w14:textId="77777777" w:rsidR="00306471" w:rsidRDefault="00306471" w:rsidP="002700D1">
            <w:pPr>
              <w:rPr>
                <w:b/>
              </w:rPr>
            </w:pPr>
          </w:p>
          <w:p w14:paraId="336946CD" w14:textId="43318D4E" w:rsidR="002021A6" w:rsidRPr="002021A6" w:rsidRDefault="00306471" w:rsidP="002021A6">
            <w:pPr>
              <w:ind w:firstLine="720"/>
              <w:jc w:val="both"/>
              <w:rPr>
                <w:szCs w:val="28"/>
              </w:rPr>
            </w:pPr>
            <w:r w:rsidRPr="00306471">
              <w:rPr>
                <w:b/>
                <w:szCs w:val="28"/>
              </w:rPr>
              <w:t>4</w:t>
            </w:r>
            <w:r w:rsidR="002021A6" w:rsidRPr="00306471">
              <w:rPr>
                <w:b/>
                <w:szCs w:val="28"/>
              </w:rPr>
              <w:t>.</w:t>
            </w:r>
            <w:r w:rsidR="002021A6" w:rsidRPr="002021A6">
              <w:rPr>
                <w:szCs w:val="28"/>
              </w:rPr>
              <w:t xml:space="preserve"> Izteikt noteikumu 31.</w:t>
            </w:r>
            <w:r w:rsidR="002021A6" w:rsidRPr="002021A6">
              <w:rPr>
                <w:szCs w:val="28"/>
                <w:vertAlign w:val="superscript"/>
              </w:rPr>
              <w:t>3</w:t>
            </w:r>
            <w:r w:rsidR="002021A6" w:rsidRPr="002021A6">
              <w:rPr>
                <w:szCs w:val="28"/>
              </w:rPr>
              <w:t xml:space="preserve"> punktu šādā redakcijā:</w:t>
            </w:r>
          </w:p>
          <w:p w14:paraId="68CDE5DC" w14:textId="77777777" w:rsidR="002021A6" w:rsidRPr="002021A6" w:rsidRDefault="002021A6" w:rsidP="002021A6">
            <w:pPr>
              <w:ind w:firstLine="720"/>
              <w:jc w:val="both"/>
              <w:rPr>
                <w:szCs w:val="28"/>
              </w:rPr>
            </w:pPr>
            <w:r w:rsidRPr="002021A6">
              <w:rPr>
                <w:szCs w:val="28"/>
              </w:rPr>
              <w:t>“31.</w:t>
            </w:r>
            <w:r w:rsidRPr="002021A6">
              <w:rPr>
                <w:szCs w:val="28"/>
                <w:vertAlign w:val="superscript"/>
              </w:rPr>
              <w:t>3</w:t>
            </w:r>
            <w:r w:rsidRPr="002021A6">
              <w:rPr>
                <w:szCs w:val="28"/>
              </w:rPr>
              <w:t xml:space="preserve"> Vides aizsardzības un reģionālās attīstības ministrija vai tās pilnvarota institūcija katru gadu elektroniski </w:t>
            </w:r>
            <w:proofErr w:type="spellStart"/>
            <w:r w:rsidRPr="002021A6">
              <w:rPr>
                <w:szCs w:val="28"/>
              </w:rPr>
              <w:t>nosūta</w:t>
            </w:r>
            <w:proofErr w:type="spellEnd"/>
            <w:r w:rsidRPr="002021A6">
              <w:rPr>
                <w:szCs w:val="28"/>
              </w:rPr>
              <w:t xml:space="preserve"> Eiropas Komisijai </w:t>
            </w:r>
            <w:r w:rsidRPr="002021A6">
              <w:rPr>
                <w:b/>
                <w:szCs w:val="28"/>
              </w:rPr>
              <w:t>atbilstoši Eiropas Komisijas noteiktajam paraugam:</w:t>
            </w:r>
          </w:p>
          <w:p w14:paraId="3DF81C63" w14:textId="77777777" w:rsidR="002021A6" w:rsidRPr="002021A6" w:rsidRDefault="002021A6" w:rsidP="002021A6">
            <w:pPr>
              <w:ind w:firstLine="720"/>
              <w:jc w:val="both"/>
              <w:rPr>
                <w:szCs w:val="28"/>
              </w:rPr>
            </w:pPr>
            <w:r w:rsidRPr="002021A6">
              <w:rPr>
                <w:szCs w:val="28"/>
              </w:rPr>
              <w:t>31.</w:t>
            </w:r>
            <w:r w:rsidRPr="002021A6">
              <w:rPr>
                <w:szCs w:val="28"/>
                <w:vertAlign w:val="superscript"/>
              </w:rPr>
              <w:t>3</w:t>
            </w:r>
            <w:r w:rsidRPr="002021A6">
              <w:rPr>
                <w:szCs w:val="28"/>
              </w:rPr>
              <w:t xml:space="preserve">1. ziņojumu par tirgū laistajiem bateriju un akumulatoru </w:t>
            </w:r>
            <w:r w:rsidRPr="002021A6">
              <w:rPr>
                <w:szCs w:val="28"/>
              </w:rPr>
              <w:lastRenderedPageBreak/>
              <w:t xml:space="preserve">apjomiem un par savāktajiem bateriju un akumulatoru atkritumu apjomiem. </w:t>
            </w:r>
          </w:p>
          <w:p w14:paraId="7265D848" w14:textId="77777777" w:rsidR="002021A6" w:rsidRPr="002021A6" w:rsidRDefault="002021A6" w:rsidP="002021A6">
            <w:pPr>
              <w:ind w:firstLine="720"/>
              <w:jc w:val="both"/>
              <w:rPr>
                <w:szCs w:val="28"/>
              </w:rPr>
            </w:pPr>
            <w:r w:rsidRPr="002021A6">
              <w:rPr>
                <w:szCs w:val="28"/>
              </w:rPr>
              <w:t>31.</w:t>
            </w:r>
            <w:r w:rsidRPr="002021A6">
              <w:rPr>
                <w:szCs w:val="28"/>
                <w:vertAlign w:val="superscript"/>
              </w:rPr>
              <w:t>3</w:t>
            </w:r>
            <w:r w:rsidRPr="002021A6">
              <w:rPr>
                <w:szCs w:val="28"/>
              </w:rPr>
              <w:t>2. ziņojumu par pārstrādātajiem bateriju un akumulatoru atkritumu apjomiem un to atbilstību šo noteikumu 27. punktā noteiktajam.”</w:t>
            </w:r>
          </w:p>
          <w:p w14:paraId="2B5D9E8B" w14:textId="5B4EBEAC" w:rsidR="002021A6" w:rsidRPr="00721708" w:rsidRDefault="002021A6" w:rsidP="002700D1">
            <w:pPr>
              <w:rPr>
                <w:b/>
              </w:rPr>
            </w:pPr>
          </w:p>
        </w:tc>
      </w:tr>
      <w:tr w:rsidR="00531D7A" w:rsidRPr="00721708" w14:paraId="7153F779" w14:textId="77777777" w:rsidTr="00183ECE">
        <w:trPr>
          <w:trHeight w:val="17402"/>
        </w:trPr>
        <w:tc>
          <w:tcPr>
            <w:tcW w:w="675" w:type="dxa"/>
            <w:tcBorders>
              <w:top w:val="single" w:sz="6" w:space="0" w:color="000000"/>
              <w:left w:val="single" w:sz="6" w:space="0" w:color="000000"/>
              <w:right w:val="single" w:sz="6" w:space="0" w:color="000000"/>
            </w:tcBorders>
          </w:tcPr>
          <w:p w14:paraId="64F861B0" w14:textId="77777777" w:rsidR="00531D7A" w:rsidRPr="00721708" w:rsidRDefault="00531D7A" w:rsidP="006E54DB">
            <w:pPr>
              <w:pStyle w:val="naisc"/>
              <w:spacing w:before="0" w:after="0"/>
              <w:jc w:val="both"/>
              <w:rPr>
                <w:b/>
              </w:rPr>
            </w:pPr>
            <w:r>
              <w:rPr>
                <w:b/>
              </w:rPr>
              <w:lastRenderedPageBreak/>
              <w:t>3.</w:t>
            </w:r>
          </w:p>
          <w:p w14:paraId="5071F907" w14:textId="5D9C1F7A" w:rsidR="00531D7A" w:rsidRPr="00721708" w:rsidRDefault="00531D7A" w:rsidP="006E54DB">
            <w:pPr>
              <w:pStyle w:val="naisc"/>
              <w:spacing w:before="0" w:after="0"/>
              <w:jc w:val="both"/>
              <w:rPr>
                <w:b/>
              </w:rPr>
            </w:pPr>
          </w:p>
        </w:tc>
        <w:tc>
          <w:tcPr>
            <w:tcW w:w="2977" w:type="dxa"/>
            <w:tcBorders>
              <w:top w:val="single" w:sz="6" w:space="0" w:color="000000"/>
              <w:left w:val="single" w:sz="6" w:space="0" w:color="000000"/>
              <w:right w:val="single" w:sz="6" w:space="0" w:color="000000"/>
            </w:tcBorders>
          </w:tcPr>
          <w:p w14:paraId="44E6AF79" w14:textId="77777777" w:rsidR="00531D7A" w:rsidRPr="006B5081" w:rsidRDefault="00531D7A" w:rsidP="006B5081">
            <w:pPr>
              <w:jc w:val="both"/>
              <w:rPr>
                <w:szCs w:val="28"/>
              </w:rPr>
            </w:pPr>
            <w:r w:rsidRPr="002021A6">
              <w:rPr>
                <w:szCs w:val="28"/>
              </w:rPr>
              <w:t>44.</w:t>
            </w:r>
            <w:r w:rsidRPr="002021A6">
              <w:rPr>
                <w:szCs w:val="28"/>
                <w:vertAlign w:val="superscript"/>
              </w:rPr>
              <w:t>6</w:t>
            </w:r>
            <w:r>
              <w:rPr>
                <w:szCs w:val="28"/>
              </w:rPr>
              <w:t xml:space="preserve"> </w:t>
            </w:r>
            <w:r w:rsidRPr="002021A6">
              <w:rPr>
                <w:szCs w:val="28"/>
              </w:rPr>
              <w:t>Šo noteikumu 44.</w:t>
            </w:r>
            <w:r w:rsidRPr="002021A6">
              <w:rPr>
                <w:szCs w:val="28"/>
                <w:vertAlign w:val="superscript"/>
              </w:rPr>
              <w:t>4</w:t>
            </w:r>
            <w:r w:rsidRPr="002021A6">
              <w:rPr>
                <w:szCs w:val="28"/>
              </w:rPr>
              <w:t>. un 44.</w:t>
            </w:r>
            <w:r w:rsidRPr="002021A6">
              <w:rPr>
                <w:szCs w:val="28"/>
                <w:vertAlign w:val="superscript"/>
              </w:rPr>
              <w:t>5</w:t>
            </w:r>
            <w:r w:rsidRPr="002021A6">
              <w:rPr>
                <w:szCs w:val="28"/>
              </w:rPr>
              <w:t> punktā minēto emisiju monitoringu veic saskaņā ar Eiropas Standartizācijas komitejas (CEN) standartiem. Ja CEN izstrādāti standarti nav pieejami, šo noteikumu 39. un 40. punktā minēto emisiju monitoringu veic saskaņā ar Starptautiskās standartizācijas organizācijas (ISO), nacionālajiem vai starptautiskajiem standartiem, pēc kuriem iegūst līdzvērtīgas zinātniskās kvalitātes datus.</w:t>
            </w:r>
          </w:p>
          <w:p w14:paraId="0A00A2C4" w14:textId="77777777" w:rsidR="00531D7A" w:rsidRPr="00510B21" w:rsidRDefault="00531D7A" w:rsidP="00C824D7">
            <w:pPr>
              <w:jc w:val="both"/>
            </w:pPr>
          </w:p>
          <w:p w14:paraId="5570E795" w14:textId="77777777" w:rsidR="00531D7A" w:rsidRPr="00510B21" w:rsidRDefault="00531D7A" w:rsidP="001353A3">
            <w:pPr>
              <w:ind w:firstLine="720"/>
              <w:jc w:val="both"/>
            </w:pPr>
            <w:r w:rsidRPr="00510B21">
              <w:t>44.</w:t>
            </w:r>
            <w:r w:rsidRPr="00510B21">
              <w:rPr>
                <w:vertAlign w:val="superscript"/>
              </w:rPr>
              <w:t>7</w:t>
            </w:r>
            <w:r w:rsidRPr="00510B21">
              <w:t xml:space="preserve"> Vides aizsardzības un reģionālās attīstības ministrija iesaka nacionālajai standartizācijas institūcijai atbilstoši normatīvajiem aktiem standartizācijas jomā to standartu sarakstu, kurus var piemērot šo noteikumu 44.</w:t>
            </w:r>
            <w:r w:rsidRPr="00510B21">
              <w:rPr>
                <w:vertAlign w:val="superscript"/>
              </w:rPr>
              <w:t>4</w:t>
            </w:r>
            <w:r w:rsidRPr="00510B21">
              <w:t xml:space="preserve"> un 44.</w:t>
            </w:r>
            <w:r w:rsidRPr="00510B21">
              <w:rPr>
                <w:vertAlign w:val="superscript"/>
              </w:rPr>
              <w:t>5</w:t>
            </w:r>
            <w:r w:rsidRPr="00510B21">
              <w:t xml:space="preserve"> punktā minēto prasību izpildei (turpmāk – piemērojamie standarti). Nacionālā standartizācijas institūcija savā oficiālajā tīmekļvietnē publicē </w:t>
            </w:r>
            <w:r w:rsidRPr="00510B21">
              <w:lastRenderedPageBreak/>
              <w:t>sarakstu ar piemērojamiem standartiem, kas adaptēti nacionālo standartu statusā un kurus var piemērot šo noteikumu 44.</w:t>
            </w:r>
            <w:r w:rsidRPr="00510B21">
              <w:rPr>
                <w:vertAlign w:val="superscript"/>
              </w:rPr>
              <w:t>4</w:t>
            </w:r>
            <w:r w:rsidRPr="00510B21">
              <w:t>. un 44.</w:t>
            </w:r>
            <w:r w:rsidRPr="00510B21">
              <w:rPr>
                <w:vertAlign w:val="superscript"/>
              </w:rPr>
              <w:t>5</w:t>
            </w:r>
            <w:r w:rsidRPr="00510B21">
              <w:t xml:space="preserve"> punktā minēto prasību izpildei.” </w:t>
            </w:r>
          </w:p>
          <w:p w14:paraId="3F6B741C" w14:textId="32E203BB" w:rsidR="00531D7A" w:rsidRPr="006B5081" w:rsidRDefault="00531D7A" w:rsidP="006E54DB">
            <w:pPr>
              <w:pStyle w:val="naisc"/>
              <w:spacing w:before="0" w:after="0"/>
              <w:ind w:firstLine="12"/>
              <w:jc w:val="both"/>
              <w:rPr>
                <w:szCs w:val="28"/>
              </w:rPr>
            </w:pPr>
          </w:p>
        </w:tc>
        <w:tc>
          <w:tcPr>
            <w:tcW w:w="4704" w:type="dxa"/>
            <w:tcBorders>
              <w:top w:val="single" w:sz="6" w:space="0" w:color="000000"/>
              <w:left w:val="single" w:sz="6" w:space="0" w:color="000000"/>
              <w:right w:val="single" w:sz="6" w:space="0" w:color="000000"/>
            </w:tcBorders>
          </w:tcPr>
          <w:p w14:paraId="17D8B366" w14:textId="7BD02D7C" w:rsidR="00531D7A" w:rsidRPr="006E54DB" w:rsidRDefault="00531D7A" w:rsidP="005350F0">
            <w:pPr>
              <w:ind w:firstLine="567"/>
              <w:rPr>
                <w:b/>
              </w:rPr>
            </w:pPr>
            <w:r w:rsidRPr="00721708">
              <w:rPr>
                <w:b/>
              </w:rPr>
              <w:lastRenderedPageBreak/>
              <w:t>Tieslietu ministrija</w:t>
            </w:r>
          </w:p>
          <w:p w14:paraId="3D49C5DB" w14:textId="77777777" w:rsidR="00531D7A" w:rsidRPr="00721708" w:rsidRDefault="00531D7A" w:rsidP="005350F0">
            <w:pPr>
              <w:ind w:firstLine="567"/>
            </w:pPr>
            <w:r w:rsidRPr="00721708">
              <w:t>3. Projekta 7. punktā izteiktajā noteikumu 44.</w:t>
            </w:r>
            <w:r w:rsidRPr="00721708">
              <w:rPr>
                <w:vertAlign w:val="superscript"/>
              </w:rPr>
              <w:t>6</w:t>
            </w:r>
            <w:r w:rsidRPr="00721708">
              <w:t xml:space="preserve"> punktā norādīta atsauce uz noteikumu 39. un 40. punktu, kas ar projekta 6. punktu tiek svītroti. Attiecīgi lūdzam precizēt projektu. Vienlaikus lūdzam projekta 7. punktā norādīt atsauces uz standartiem atbilstoši MKN. 108 5. nodaļai.</w:t>
            </w:r>
          </w:p>
          <w:p w14:paraId="518804E8" w14:textId="576712A5" w:rsidR="00531D7A" w:rsidRPr="00721708" w:rsidRDefault="00531D7A" w:rsidP="005350F0">
            <w:pPr>
              <w:ind w:firstLine="567"/>
            </w:pPr>
          </w:p>
          <w:p w14:paraId="337E0073" w14:textId="77777777" w:rsidR="00531D7A" w:rsidRPr="00721708" w:rsidRDefault="00531D7A" w:rsidP="005350F0">
            <w:pPr>
              <w:ind w:firstLine="567"/>
            </w:pPr>
          </w:p>
          <w:p w14:paraId="09F003EA" w14:textId="77777777" w:rsidR="00531D7A" w:rsidRDefault="00531D7A" w:rsidP="00510B21">
            <w:pPr>
              <w:jc w:val="both"/>
              <w:rPr>
                <w:b/>
              </w:rPr>
            </w:pPr>
            <w:r w:rsidRPr="00510B21">
              <w:rPr>
                <w:b/>
              </w:rPr>
              <w:t>Ekonomikas ministrija</w:t>
            </w:r>
            <w:r>
              <w:rPr>
                <w:b/>
              </w:rPr>
              <w:t>:</w:t>
            </w:r>
          </w:p>
          <w:p w14:paraId="57D2E4D9" w14:textId="77777777" w:rsidR="00531D7A" w:rsidRPr="00721708" w:rsidRDefault="00531D7A" w:rsidP="00FF2562">
            <w:pPr>
              <w:ind w:firstLine="720"/>
              <w:jc w:val="both"/>
            </w:pPr>
            <w:r w:rsidRPr="00721708">
              <w:t xml:space="preserve"> [1] Atbilstoši Projekta 44.</w:t>
            </w:r>
            <w:r w:rsidRPr="00721708">
              <w:rPr>
                <w:vertAlign w:val="superscript"/>
              </w:rPr>
              <w:t>6</w:t>
            </w:r>
            <w:r w:rsidRPr="00721708">
              <w:t xml:space="preserve"> punktā noteiktajam, emisiju monitoringu veic saskaņā ar Eiropas Standartizācijas komitejas (CEN) standartiem, bet ja CEN izstrādāti standarti nav pieejami, emisiju monitoringu veic saskaņā ar Starptautiskās standartizācijas organizācijas (ISO), nacionālajiem vai starptautiskajiem standartiem, pēc kuriem iegūst līdzvērtīgas zinātniskās kvalitātes datus. Norādām, ka no izteiktās 44.</w:t>
            </w:r>
            <w:r w:rsidRPr="00721708">
              <w:rPr>
                <w:vertAlign w:val="superscript"/>
              </w:rPr>
              <w:t xml:space="preserve">6 </w:t>
            </w:r>
            <w:r w:rsidRPr="00721708">
              <w:t>punkta redakcijas nav skaidri saprotams, kuri tieši standarti nodrošinās projektā noteikto prasību izpildi. Līdz ar to lūdzam precizēt Projekta 44.</w:t>
            </w:r>
            <w:r w:rsidRPr="00721708">
              <w:rPr>
                <w:vertAlign w:val="superscript"/>
              </w:rPr>
              <w:t>6</w:t>
            </w:r>
            <w:r w:rsidRPr="00721708">
              <w:t xml:space="preserve"> punkta redakciju tādā veidā, lai noteikumu lietotājiem ir skaidrs</w:t>
            </w:r>
            <w:r>
              <w:t>,</w:t>
            </w:r>
            <w:r w:rsidRPr="00721708">
              <w:t xml:space="preserve"> kuri standarti nodrošina noteikumos noteikto prasību izpildi.</w:t>
            </w:r>
          </w:p>
          <w:p w14:paraId="50A2458D" w14:textId="77777777" w:rsidR="00531D7A" w:rsidRPr="00510B21" w:rsidRDefault="00531D7A" w:rsidP="00510B21">
            <w:pPr>
              <w:jc w:val="both"/>
              <w:rPr>
                <w:b/>
              </w:rPr>
            </w:pPr>
          </w:p>
          <w:p w14:paraId="18522599" w14:textId="7C532190" w:rsidR="00531D7A" w:rsidRPr="00721708" w:rsidRDefault="00531D7A" w:rsidP="00510B21">
            <w:pPr>
              <w:ind w:firstLine="720"/>
              <w:jc w:val="both"/>
            </w:pPr>
            <w:r w:rsidRPr="00510B21">
              <w:t xml:space="preserve">[2] Ekonomikas ministrija informē, ka, lai veidotu vienotu izpratni par standartu izmantošanas veidiem ir izstrādāts Ministru kabineta  2016. gada 21. septembra rīkojums Nr.534 “Par konceptuālo ziņojumu “Par Latvijas nacionālās standartizācijas sistēmas </w:t>
            </w:r>
            <w:r w:rsidRPr="00510B21">
              <w:lastRenderedPageBreak/>
              <w:t xml:space="preserve">pilnveidošanu”” (turpmāk – </w:t>
            </w:r>
            <w:bookmarkStart w:id="1" w:name="_Hlk532393622"/>
            <w:r w:rsidRPr="00510B21">
              <w:t>Konceptuālais ziņojums</w:t>
            </w:r>
            <w:bookmarkEnd w:id="1"/>
            <w:r w:rsidRPr="00510B21">
              <w:t>). Vēršam uzmanību, ka Konceptuālais ziņojums paredz, ka netiešo atsauču uz standartiem (piemērojamo standartu) piemērošanas gadījumā normatīvajā aktā ir iekļaujami šādi būtiski elementi – būtisko prasību uzskaitījums un atbilstības prezumpcijas klauzula. Ņemot vērā, ka Projekta 44.</w:t>
            </w:r>
            <w:r w:rsidRPr="00510B21">
              <w:rPr>
                <w:vertAlign w:val="superscript"/>
              </w:rPr>
              <w:t>7</w:t>
            </w:r>
            <w:r w:rsidRPr="00510B21">
              <w:t xml:space="preserve"> punktā ir izmantotas netiešās atsauces, lūdzam Projekta normas, kas paredz piemērojamo standartu izmantošanu izteikt atbilstoši Konceptuālajā ziņojumā noteiktajam.</w:t>
            </w:r>
          </w:p>
        </w:tc>
        <w:tc>
          <w:tcPr>
            <w:tcW w:w="1984" w:type="dxa"/>
            <w:tcBorders>
              <w:top w:val="single" w:sz="6" w:space="0" w:color="000000"/>
              <w:left w:val="single" w:sz="6" w:space="0" w:color="000000"/>
              <w:right w:val="single" w:sz="6" w:space="0" w:color="000000"/>
            </w:tcBorders>
          </w:tcPr>
          <w:p w14:paraId="27746370" w14:textId="2A24CFE4" w:rsidR="00531D7A" w:rsidRDefault="00531D7A" w:rsidP="002112BF">
            <w:pPr>
              <w:pStyle w:val="naisc"/>
              <w:spacing w:before="0" w:after="0"/>
              <w:ind w:firstLine="21"/>
              <w:jc w:val="left"/>
              <w:rPr>
                <w:b/>
              </w:rPr>
            </w:pPr>
            <w:r>
              <w:rPr>
                <w:b/>
              </w:rPr>
              <w:lastRenderedPageBreak/>
              <w:t xml:space="preserve">Iebildums ir ņemts vērā. Noteikumu projekta 44.6 un 44.7 punkts precizēts atbilstoši Ekonomikas ministrijas iebildumiem. </w:t>
            </w:r>
          </w:p>
          <w:p w14:paraId="7265B6A3" w14:textId="77777777" w:rsidR="00531D7A" w:rsidRDefault="00531D7A" w:rsidP="002112BF">
            <w:pPr>
              <w:pStyle w:val="naisc"/>
              <w:spacing w:before="0" w:after="0"/>
              <w:ind w:firstLine="21"/>
              <w:jc w:val="left"/>
              <w:rPr>
                <w:b/>
              </w:rPr>
            </w:pPr>
          </w:p>
          <w:p w14:paraId="1F4FC2E2" w14:textId="77777777" w:rsidR="00531D7A" w:rsidRDefault="00531D7A" w:rsidP="002112BF">
            <w:pPr>
              <w:pStyle w:val="naisc"/>
              <w:spacing w:before="0" w:after="0"/>
              <w:ind w:firstLine="21"/>
              <w:jc w:val="left"/>
              <w:rPr>
                <w:b/>
              </w:rPr>
            </w:pPr>
          </w:p>
          <w:p w14:paraId="227926BD" w14:textId="69495340" w:rsidR="00531D7A" w:rsidRPr="00721708" w:rsidRDefault="00531D7A" w:rsidP="005350F0">
            <w:pPr>
              <w:pStyle w:val="naisc"/>
              <w:spacing w:before="0" w:after="0"/>
              <w:ind w:firstLine="21"/>
              <w:jc w:val="left"/>
              <w:rPr>
                <w:b/>
              </w:rPr>
            </w:pPr>
          </w:p>
        </w:tc>
        <w:tc>
          <w:tcPr>
            <w:tcW w:w="4227" w:type="dxa"/>
            <w:tcBorders>
              <w:top w:val="single" w:sz="4" w:space="0" w:color="auto"/>
              <w:left w:val="single" w:sz="4" w:space="0" w:color="auto"/>
            </w:tcBorders>
          </w:tcPr>
          <w:p w14:paraId="071F7F5A" w14:textId="77777777" w:rsidR="00531D7A" w:rsidRPr="001353A3" w:rsidRDefault="00531D7A" w:rsidP="001C5888">
            <w:pPr>
              <w:ind w:firstLine="720"/>
              <w:jc w:val="both"/>
              <w:rPr>
                <w:b/>
                <w:szCs w:val="28"/>
              </w:rPr>
            </w:pPr>
            <w:r w:rsidRPr="002112BF">
              <w:rPr>
                <w:szCs w:val="28"/>
              </w:rPr>
              <w:t>44.</w:t>
            </w:r>
            <w:r w:rsidRPr="002112BF">
              <w:rPr>
                <w:szCs w:val="28"/>
                <w:vertAlign w:val="superscript"/>
              </w:rPr>
              <w:t>6</w:t>
            </w:r>
            <w:r w:rsidRPr="002112BF">
              <w:rPr>
                <w:szCs w:val="28"/>
              </w:rPr>
              <w:t> </w:t>
            </w:r>
            <w:r>
              <w:rPr>
                <w:b/>
                <w:szCs w:val="28"/>
              </w:rPr>
              <w:t xml:space="preserve">Operators nodrošina, ka </w:t>
            </w:r>
            <w:r>
              <w:rPr>
                <w:szCs w:val="28"/>
              </w:rPr>
              <w:t>š</w:t>
            </w:r>
            <w:r w:rsidRPr="002112BF">
              <w:rPr>
                <w:szCs w:val="28"/>
              </w:rPr>
              <w:t>o noteikumu 44.</w:t>
            </w:r>
            <w:r w:rsidRPr="002112BF">
              <w:rPr>
                <w:szCs w:val="28"/>
                <w:vertAlign w:val="superscript"/>
              </w:rPr>
              <w:t>4</w:t>
            </w:r>
            <w:r w:rsidRPr="002112BF">
              <w:rPr>
                <w:szCs w:val="28"/>
              </w:rPr>
              <w:t>. un 44.</w:t>
            </w:r>
            <w:r w:rsidRPr="002112BF">
              <w:rPr>
                <w:szCs w:val="28"/>
                <w:vertAlign w:val="superscript"/>
              </w:rPr>
              <w:t>5</w:t>
            </w:r>
            <w:r w:rsidRPr="002112BF">
              <w:rPr>
                <w:szCs w:val="28"/>
              </w:rPr>
              <w:t> punktā minēto emisiju monitoringu veic</w:t>
            </w:r>
            <w:r>
              <w:rPr>
                <w:szCs w:val="28"/>
              </w:rPr>
              <w:t xml:space="preserve">, </w:t>
            </w:r>
            <w:r>
              <w:rPr>
                <w:b/>
                <w:szCs w:val="28"/>
              </w:rPr>
              <w:t>izmantojot</w:t>
            </w:r>
            <w:r>
              <w:rPr>
                <w:szCs w:val="28"/>
              </w:rPr>
              <w:t xml:space="preserve"> </w:t>
            </w:r>
            <w:r w:rsidRPr="002112BF">
              <w:rPr>
                <w:szCs w:val="28"/>
              </w:rPr>
              <w:t xml:space="preserve"> </w:t>
            </w:r>
            <w:r>
              <w:rPr>
                <w:szCs w:val="28"/>
              </w:rPr>
              <w:t xml:space="preserve">metodes, kas atbilst </w:t>
            </w:r>
            <w:r w:rsidRPr="002112BF">
              <w:rPr>
                <w:szCs w:val="28"/>
              </w:rPr>
              <w:t>Eiropas Standartizācijas komitejas (CEN) standa</w:t>
            </w:r>
            <w:r>
              <w:rPr>
                <w:szCs w:val="28"/>
              </w:rPr>
              <w:t xml:space="preserve">rtiem </w:t>
            </w:r>
            <w:r>
              <w:rPr>
                <w:b/>
                <w:szCs w:val="28"/>
              </w:rPr>
              <w:t>vai</w:t>
            </w:r>
            <w:r w:rsidRPr="001353A3">
              <w:rPr>
                <w:b/>
                <w:szCs w:val="28"/>
              </w:rPr>
              <w:t>, ja CEN izstrādāti standarti nav pieejami,</w:t>
            </w:r>
            <w:r>
              <w:rPr>
                <w:szCs w:val="28"/>
              </w:rPr>
              <w:t xml:space="preserve"> </w:t>
            </w:r>
            <w:r w:rsidRPr="001353A3">
              <w:rPr>
                <w:b/>
                <w:szCs w:val="28"/>
              </w:rPr>
              <w:t xml:space="preserve">Starptautiskās standartizācijas organizācijas (ISO), nacionālos vai starptautiskajiem standartiem, kas nodrošina, ka tiek iegūti līdzvērtīgas zinātniskās kvalitātes dati. </w:t>
            </w:r>
          </w:p>
          <w:p w14:paraId="5E654FA6" w14:textId="77777777" w:rsidR="00531D7A" w:rsidRDefault="00531D7A" w:rsidP="001C5888">
            <w:pPr>
              <w:rPr>
                <w:b/>
              </w:rPr>
            </w:pPr>
          </w:p>
          <w:p w14:paraId="6FAD76BB" w14:textId="77777777" w:rsidR="00531D7A" w:rsidRDefault="00531D7A" w:rsidP="001C5888">
            <w:pPr>
              <w:jc w:val="both"/>
            </w:pPr>
            <w:r w:rsidRPr="00510B21">
              <w:t>44.</w:t>
            </w:r>
            <w:r w:rsidRPr="00510B21">
              <w:rPr>
                <w:vertAlign w:val="superscript"/>
              </w:rPr>
              <w:t>7</w:t>
            </w:r>
            <w:r w:rsidRPr="00510B21">
              <w:t xml:space="preserve"> Vides aizsardzības un reģionālās attīstības ministrija iesaka nacionālajai standartizācijas institūcijai atbilstoši normatīvajiem aktiem standartizācijas jomā to standartu sarakstu, kurus var piemērot šo noteikumu 44.</w:t>
            </w:r>
            <w:r w:rsidRPr="00510B21">
              <w:rPr>
                <w:vertAlign w:val="superscript"/>
              </w:rPr>
              <w:t>4</w:t>
            </w:r>
            <w:r w:rsidRPr="00510B21">
              <w:t xml:space="preserve"> un 44.</w:t>
            </w:r>
            <w:r w:rsidRPr="00510B21">
              <w:rPr>
                <w:vertAlign w:val="superscript"/>
              </w:rPr>
              <w:t>5</w:t>
            </w:r>
            <w:r w:rsidRPr="00510B21">
              <w:t> punktā minēto prasību izpildei (turpmāk – piemērojamie standarti). Nacionālā standartizācijas institūcija savā oficiālajā tīmekļvietnē publicē sarakstu ar piemērojamiem standartiem, kas adaptēti nacionālo standartu statusā un kurus var piemērot šo noteikumu 44.</w:t>
            </w:r>
            <w:r w:rsidRPr="00510B21">
              <w:rPr>
                <w:vertAlign w:val="superscript"/>
              </w:rPr>
              <w:t>4</w:t>
            </w:r>
            <w:r w:rsidRPr="00510B21">
              <w:t>. un 44.</w:t>
            </w:r>
            <w:r w:rsidRPr="00510B21">
              <w:rPr>
                <w:vertAlign w:val="superscript"/>
              </w:rPr>
              <w:t>5</w:t>
            </w:r>
            <w:r w:rsidRPr="00510B21">
              <w:t> punktā minēto prasību izpildei.</w:t>
            </w:r>
            <w:r w:rsidRPr="001353A3">
              <w:rPr>
                <w:b/>
                <w:szCs w:val="28"/>
              </w:rPr>
              <w:t xml:space="preserve"> Ja izmantotās metodes atbilst piemērojamo standartu prasībām</w:t>
            </w:r>
            <w:r>
              <w:rPr>
                <w:b/>
                <w:szCs w:val="28"/>
              </w:rPr>
              <w:t xml:space="preserve"> un nodrošina šo noteikumu 3.pielikumā noteikto emisiju gaisā un emisiju robežvērtību noteikšanu</w:t>
            </w:r>
            <w:r w:rsidRPr="001353A3">
              <w:rPr>
                <w:b/>
                <w:szCs w:val="28"/>
              </w:rPr>
              <w:t xml:space="preserve">, tās uzskatāmas par atbilstošām šo </w:t>
            </w:r>
            <w:r w:rsidRPr="001353A3">
              <w:rPr>
                <w:b/>
                <w:szCs w:val="28"/>
              </w:rPr>
              <w:lastRenderedPageBreak/>
              <w:t>noteikumu 44.</w:t>
            </w:r>
            <w:r w:rsidRPr="001353A3">
              <w:rPr>
                <w:b/>
                <w:szCs w:val="28"/>
                <w:vertAlign w:val="superscript"/>
              </w:rPr>
              <w:t>4</w:t>
            </w:r>
            <w:r w:rsidRPr="001353A3">
              <w:rPr>
                <w:b/>
                <w:szCs w:val="28"/>
              </w:rPr>
              <w:t xml:space="preserve"> un 44.</w:t>
            </w:r>
            <w:r w:rsidRPr="001353A3">
              <w:rPr>
                <w:b/>
                <w:szCs w:val="28"/>
                <w:vertAlign w:val="superscript"/>
              </w:rPr>
              <w:t>5</w:t>
            </w:r>
            <w:r w:rsidRPr="001353A3">
              <w:rPr>
                <w:b/>
                <w:szCs w:val="28"/>
              </w:rPr>
              <w:t xml:space="preserve"> punktā minēto prasību izpildei.</w:t>
            </w:r>
            <w:r w:rsidRPr="00510B21">
              <w:t>”</w:t>
            </w:r>
          </w:p>
          <w:p w14:paraId="6CB0E58F" w14:textId="77777777" w:rsidR="00531D7A" w:rsidRDefault="00531D7A" w:rsidP="001C5888"/>
          <w:p w14:paraId="59638214" w14:textId="77777777" w:rsidR="00531D7A" w:rsidRDefault="00531D7A" w:rsidP="001C5888">
            <w:r>
              <w:t>Noteikumu projekta anotācijas I sadaļas 2.punkts ir papildināts šādā redakcijā:</w:t>
            </w:r>
          </w:p>
          <w:p w14:paraId="1CCFF76E" w14:textId="59821F18" w:rsidR="00531D7A" w:rsidRPr="002112BF" w:rsidRDefault="00531D7A" w:rsidP="001C5888">
            <w:pPr>
              <w:ind w:firstLine="720"/>
              <w:jc w:val="both"/>
              <w:rPr>
                <w:b/>
              </w:rPr>
            </w:pPr>
            <w:r w:rsidRPr="006E6888">
              <w:t>“</w:t>
            </w:r>
            <w:r w:rsidRPr="00691973">
              <w:rPr>
                <w:b/>
              </w:rPr>
              <w:t>Eiropas Komisijas pasūtītajā pētījuma “</w:t>
            </w:r>
            <w:proofErr w:type="spellStart"/>
            <w:r w:rsidRPr="00691973">
              <w:rPr>
                <w:b/>
              </w:rPr>
              <w:t>Analysis</w:t>
            </w:r>
            <w:proofErr w:type="spellEnd"/>
            <w:r w:rsidRPr="00691973">
              <w:rPr>
                <w:b/>
              </w:rPr>
              <w:t xml:space="preserve"> </w:t>
            </w:r>
            <w:proofErr w:type="spellStart"/>
            <w:r w:rsidRPr="00691973">
              <w:rPr>
                <w:b/>
              </w:rPr>
              <w:t>of</w:t>
            </w:r>
            <w:proofErr w:type="spellEnd"/>
            <w:r w:rsidRPr="00691973">
              <w:rPr>
                <w:b/>
              </w:rPr>
              <w:t xml:space="preserve"> </w:t>
            </w:r>
            <w:proofErr w:type="spellStart"/>
            <w:r w:rsidRPr="00691973">
              <w:rPr>
                <w:b/>
              </w:rPr>
              <w:t>the</w:t>
            </w:r>
            <w:proofErr w:type="spellEnd"/>
            <w:r w:rsidRPr="00691973">
              <w:rPr>
                <w:b/>
              </w:rPr>
              <w:t xml:space="preserve"> </w:t>
            </w:r>
            <w:proofErr w:type="spellStart"/>
            <w:r w:rsidRPr="00691973">
              <w:rPr>
                <w:b/>
              </w:rPr>
              <w:t>Simplification</w:t>
            </w:r>
            <w:proofErr w:type="spellEnd"/>
            <w:r w:rsidRPr="00691973">
              <w:rPr>
                <w:b/>
              </w:rPr>
              <w:t xml:space="preserve"> </w:t>
            </w:r>
            <w:proofErr w:type="spellStart"/>
            <w:r w:rsidRPr="00691973">
              <w:rPr>
                <w:b/>
              </w:rPr>
              <w:t>of</w:t>
            </w:r>
            <w:proofErr w:type="spellEnd"/>
            <w:r w:rsidRPr="00691973">
              <w:rPr>
                <w:b/>
              </w:rPr>
              <w:t xml:space="preserve"> </w:t>
            </w:r>
            <w:proofErr w:type="spellStart"/>
            <w:r w:rsidRPr="00691973">
              <w:rPr>
                <w:b/>
              </w:rPr>
              <w:t>Titanium</w:t>
            </w:r>
            <w:proofErr w:type="spellEnd"/>
            <w:r w:rsidRPr="00691973">
              <w:rPr>
                <w:b/>
              </w:rPr>
              <w:t xml:space="preserve"> </w:t>
            </w:r>
            <w:proofErr w:type="spellStart"/>
            <w:r w:rsidRPr="00691973">
              <w:rPr>
                <w:b/>
              </w:rPr>
              <w:t>Dioxide</w:t>
            </w:r>
            <w:proofErr w:type="spellEnd"/>
            <w:r w:rsidRPr="00691973">
              <w:rPr>
                <w:b/>
              </w:rPr>
              <w:t xml:space="preserve"> </w:t>
            </w:r>
            <w:proofErr w:type="spellStart"/>
            <w:r w:rsidRPr="00691973">
              <w:rPr>
                <w:b/>
              </w:rPr>
              <w:t>Directives</w:t>
            </w:r>
            <w:proofErr w:type="spellEnd"/>
            <w:r w:rsidRPr="00691973">
              <w:rPr>
                <w:b/>
              </w:rPr>
              <w:t>”</w:t>
            </w:r>
            <w:r w:rsidRPr="00691973">
              <w:rPr>
                <w:rStyle w:val="FootnoteReference"/>
                <w:b/>
              </w:rPr>
              <w:footnoteReference w:id="1"/>
            </w:r>
            <w:r w:rsidRPr="00691973">
              <w:rPr>
                <w:b/>
              </w:rPr>
              <w:t xml:space="preserve"> 5.nodaļā ir detalizēti aprakstīti titāna dioksīda rūpniecības radītā piesārņojuma monitoringa jautājumi, tajā skaitā, piemērojamie standarti, kurus ir izstrādājušas dažādas starptautiskās un nacionālās standartizācijas organizācijas. Tāpēc ir pamatoti noteikumu projektā ietvert direktīvā 2010/75/ES paredzēto regulējumu, ar kuru noteikts, ka prioritāri ir jāizmanto Eiropas Standartizācijas organizācijas (CEN) standarti, bet ja CEN izstrādāti standarti nav pieejami, Starptautiskās standartizācijas organizācijas (ISO), nacionālos vai starptautiskajiem standartiem, kas nodrošina, ka tiek iegūti līdzvērtīgas zinātniskās kvalitātes dati.</w:t>
            </w:r>
            <w:r w:rsidRPr="00691973">
              <w:rPr>
                <w:iCs/>
              </w:rPr>
              <w:t xml:space="preserve"> </w:t>
            </w:r>
            <w:r>
              <w:rPr>
                <w:iCs/>
              </w:rPr>
              <w:t xml:space="preserve"> </w:t>
            </w:r>
            <w:r w:rsidRPr="00691973">
              <w:rPr>
                <w:b/>
                <w:iCs/>
              </w:rPr>
              <w:t>Noteikumu projektā ir arī nepieciešams iekļaut netiešo atsauci uz ši</w:t>
            </w:r>
            <w:r>
              <w:rPr>
                <w:b/>
                <w:iCs/>
              </w:rPr>
              <w:t>em standartiem;”</w:t>
            </w:r>
          </w:p>
        </w:tc>
      </w:tr>
      <w:tr w:rsidR="00721708" w:rsidRPr="00721708" w14:paraId="58F385D8" w14:textId="77777777" w:rsidTr="006B5081">
        <w:tc>
          <w:tcPr>
            <w:tcW w:w="675" w:type="dxa"/>
            <w:tcBorders>
              <w:top w:val="single" w:sz="6" w:space="0" w:color="000000"/>
              <w:left w:val="single" w:sz="6" w:space="0" w:color="000000"/>
              <w:bottom w:val="single" w:sz="6" w:space="0" w:color="000000"/>
              <w:right w:val="single" w:sz="6" w:space="0" w:color="000000"/>
            </w:tcBorders>
          </w:tcPr>
          <w:p w14:paraId="510D3D20" w14:textId="6190396A" w:rsidR="00721708" w:rsidRPr="00721708" w:rsidRDefault="00531D7A" w:rsidP="006E54DB">
            <w:pPr>
              <w:pStyle w:val="naisc"/>
              <w:spacing w:before="0" w:after="0"/>
              <w:jc w:val="both"/>
              <w:rPr>
                <w:b/>
              </w:rPr>
            </w:pPr>
            <w:r>
              <w:rPr>
                <w:b/>
              </w:rPr>
              <w:lastRenderedPageBreak/>
              <w:t>4</w:t>
            </w:r>
            <w:r w:rsidR="005350F0">
              <w:rPr>
                <w:b/>
              </w:rPr>
              <w:t>.</w:t>
            </w:r>
          </w:p>
        </w:tc>
        <w:tc>
          <w:tcPr>
            <w:tcW w:w="2977" w:type="dxa"/>
            <w:tcBorders>
              <w:top w:val="single" w:sz="6" w:space="0" w:color="000000"/>
              <w:left w:val="single" w:sz="6" w:space="0" w:color="000000"/>
              <w:bottom w:val="single" w:sz="6" w:space="0" w:color="000000"/>
              <w:right w:val="single" w:sz="6" w:space="0" w:color="000000"/>
            </w:tcBorders>
          </w:tcPr>
          <w:p w14:paraId="03EECACC" w14:textId="767BA186" w:rsidR="00721708" w:rsidRPr="00721708" w:rsidRDefault="006E6888" w:rsidP="006E6888">
            <w:pPr>
              <w:pStyle w:val="naisc"/>
              <w:spacing w:before="0" w:after="0"/>
              <w:jc w:val="left"/>
              <w:rPr>
                <w:b/>
              </w:rPr>
            </w:pPr>
            <w:r w:rsidRPr="006B5081">
              <w:rPr>
                <w:szCs w:val="28"/>
              </w:rPr>
              <w:t>Papildināt noteikumus ar 44.</w:t>
            </w:r>
            <w:r w:rsidRPr="006B5081">
              <w:rPr>
                <w:szCs w:val="28"/>
                <w:vertAlign w:val="superscript"/>
              </w:rPr>
              <w:t>1</w:t>
            </w:r>
            <w:r w:rsidRPr="006B5081">
              <w:rPr>
                <w:szCs w:val="28"/>
              </w:rPr>
              <w:t>., 44.</w:t>
            </w:r>
            <w:r w:rsidRPr="006B5081">
              <w:rPr>
                <w:szCs w:val="28"/>
                <w:vertAlign w:val="superscript"/>
              </w:rPr>
              <w:t>2</w:t>
            </w:r>
            <w:r w:rsidRPr="006B5081">
              <w:rPr>
                <w:szCs w:val="28"/>
              </w:rPr>
              <w:t>., 44.</w:t>
            </w:r>
            <w:r w:rsidRPr="006B5081">
              <w:rPr>
                <w:szCs w:val="28"/>
                <w:vertAlign w:val="superscript"/>
              </w:rPr>
              <w:t>3</w:t>
            </w:r>
            <w:r w:rsidRPr="006B5081">
              <w:rPr>
                <w:szCs w:val="28"/>
              </w:rPr>
              <w:t>., 44.</w:t>
            </w:r>
            <w:r w:rsidRPr="006B5081">
              <w:rPr>
                <w:szCs w:val="28"/>
                <w:vertAlign w:val="superscript"/>
              </w:rPr>
              <w:t>4</w:t>
            </w:r>
            <w:r w:rsidRPr="006B5081">
              <w:rPr>
                <w:szCs w:val="28"/>
              </w:rPr>
              <w:t>., 44.</w:t>
            </w:r>
            <w:r w:rsidRPr="006B5081">
              <w:rPr>
                <w:szCs w:val="28"/>
                <w:vertAlign w:val="superscript"/>
              </w:rPr>
              <w:t>5</w:t>
            </w:r>
            <w:r w:rsidRPr="006B5081">
              <w:rPr>
                <w:szCs w:val="28"/>
              </w:rPr>
              <w:t>., 44.</w:t>
            </w:r>
            <w:r w:rsidRPr="006B5081">
              <w:rPr>
                <w:szCs w:val="28"/>
                <w:vertAlign w:val="superscript"/>
              </w:rPr>
              <w:t>6</w:t>
            </w:r>
            <w:r w:rsidRPr="006B5081">
              <w:rPr>
                <w:szCs w:val="28"/>
              </w:rPr>
              <w:t>., 44.</w:t>
            </w:r>
            <w:r w:rsidRPr="006B5081">
              <w:rPr>
                <w:szCs w:val="28"/>
                <w:vertAlign w:val="superscript"/>
              </w:rPr>
              <w:t>7</w:t>
            </w:r>
            <w:r w:rsidRPr="006B5081">
              <w:rPr>
                <w:szCs w:val="28"/>
              </w:rPr>
              <w:t>. un 44.</w:t>
            </w:r>
            <w:r w:rsidRPr="006B5081">
              <w:rPr>
                <w:szCs w:val="28"/>
                <w:vertAlign w:val="superscript"/>
              </w:rPr>
              <w:t>8</w:t>
            </w:r>
            <w:r w:rsidRPr="006B5081">
              <w:rPr>
                <w:szCs w:val="28"/>
              </w:rPr>
              <w:t>. punktu šādā redakcijā:</w:t>
            </w:r>
          </w:p>
        </w:tc>
        <w:tc>
          <w:tcPr>
            <w:tcW w:w="4704" w:type="dxa"/>
            <w:tcBorders>
              <w:top w:val="single" w:sz="6" w:space="0" w:color="000000"/>
              <w:left w:val="single" w:sz="6" w:space="0" w:color="000000"/>
              <w:bottom w:val="single" w:sz="6" w:space="0" w:color="000000"/>
              <w:right w:val="single" w:sz="6" w:space="0" w:color="000000"/>
            </w:tcBorders>
            <w:vAlign w:val="center"/>
          </w:tcPr>
          <w:p w14:paraId="442B563B" w14:textId="77777777" w:rsidR="00721708" w:rsidRPr="00721708" w:rsidRDefault="00721708" w:rsidP="006B5081">
            <w:pPr>
              <w:jc w:val="both"/>
              <w:rPr>
                <w:b/>
              </w:rPr>
            </w:pPr>
            <w:r w:rsidRPr="00721708">
              <w:rPr>
                <w:b/>
              </w:rPr>
              <w:t>Ekonomikas ministrija:</w:t>
            </w:r>
          </w:p>
          <w:p w14:paraId="7AE6A33C" w14:textId="04D4DAB6" w:rsidR="00721708" w:rsidRPr="006E54DB" w:rsidRDefault="00721708" w:rsidP="006B5081">
            <w:pPr>
              <w:jc w:val="both"/>
            </w:pPr>
            <w:r w:rsidRPr="00721708">
              <w:t>[3] Norādām, ka no pašreizējās Projekta 8.punkta redakcijas nav saprotams vai paredzēts papildināt Ministru kabineta 2011.gada 21.jūnija noteikumus Nr.485 "Atsevišķu veidu bīstamo atkritumu apsaimniekošanas kārtība” ar jauniem punktiem vai izteikt tos jaunā redakcijā, jo spēkā esošajos noteikumos jau ir noteikta nodaļa V.</w:t>
            </w:r>
            <w:r w:rsidRPr="00721708">
              <w:rPr>
                <w:vertAlign w:val="superscript"/>
              </w:rPr>
              <w:t>1</w:t>
            </w:r>
            <w:r w:rsidRPr="00721708">
              <w:t xml:space="preserve">, kas sastāv no 44.punkta </w:t>
            </w:r>
            <w:proofErr w:type="spellStart"/>
            <w:r w:rsidRPr="00721708">
              <w:t>prim</w:t>
            </w:r>
            <w:proofErr w:type="spellEnd"/>
            <w:r w:rsidRPr="00721708">
              <w:t xml:space="preserve"> punktiem.</w:t>
            </w:r>
          </w:p>
        </w:tc>
        <w:tc>
          <w:tcPr>
            <w:tcW w:w="1984" w:type="dxa"/>
            <w:tcBorders>
              <w:top w:val="single" w:sz="6" w:space="0" w:color="000000"/>
              <w:left w:val="single" w:sz="6" w:space="0" w:color="000000"/>
              <w:bottom w:val="single" w:sz="6" w:space="0" w:color="000000"/>
              <w:right w:val="single" w:sz="6" w:space="0" w:color="000000"/>
            </w:tcBorders>
          </w:tcPr>
          <w:p w14:paraId="4947B71B" w14:textId="77777777" w:rsidR="00721708" w:rsidRDefault="006E6888" w:rsidP="006E6888">
            <w:pPr>
              <w:pStyle w:val="naisc"/>
              <w:spacing w:before="0" w:after="0"/>
              <w:ind w:firstLine="21"/>
              <w:jc w:val="left"/>
              <w:rPr>
                <w:b/>
              </w:rPr>
            </w:pPr>
            <w:r>
              <w:rPr>
                <w:b/>
              </w:rPr>
              <w:t>Iebildums ir ņemts vērā.</w:t>
            </w:r>
          </w:p>
          <w:p w14:paraId="7D113EA9" w14:textId="5F485B8D" w:rsidR="005350F0" w:rsidRPr="00721708" w:rsidRDefault="005350F0" w:rsidP="006E6888">
            <w:pPr>
              <w:pStyle w:val="naisc"/>
              <w:spacing w:before="0" w:after="0"/>
              <w:ind w:firstLine="21"/>
              <w:jc w:val="left"/>
              <w:rPr>
                <w:b/>
              </w:rPr>
            </w:pPr>
            <w:r>
              <w:rPr>
                <w:b/>
              </w:rPr>
              <w:t>Veicot noteikumu projekta precizēšanu, ir mainījusies tā punktu numerācija.</w:t>
            </w:r>
          </w:p>
        </w:tc>
        <w:tc>
          <w:tcPr>
            <w:tcW w:w="4227" w:type="dxa"/>
            <w:tcBorders>
              <w:top w:val="single" w:sz="4" w:space="0" w:color="auto"/>
              <w:left w:val="single" w:sz="4" w:space="0" w:color="auto"/>
              <w:bottom w:val="single" w:sz="4" w:space="0" w:color="auto"/>
            </w:tcBorders>
          </w:tcPr>
          <w:p w14:paraId="4321A771" w14:textId="3E57AB00" w:rsidR="006E6888" w:rsidRPr="006B5081" w:rsidRDefault="005350F0" w:rsidP="006E6888">
            <w:pPr>
              <w:ind w:firstLine="720"/>
              <w:jc w:val="both"/>
              <w:rPr>
                <w:szCs w:val="28"/>
              </w:rPr>
            </w:pPr>
            <w:r w:rsidRPr="006B5081">
              <w:rPr>
                <w:szCs w:val="28"/>
              </w:rPr>
              <w:t>9</w:t>
            </w:r>
            <w:r w:rsidR="006E6888" w:rsidRPr="006B5081">
              <w:rPr>
                <w:szCs w:val="28"/>
              </w:rPr>
              <w:t>. Papildināt noteikumus ar 44.</w:t>
            </w:r>
            <w:r w:rsidR="006E6888" w:rsidRPr="006B5081">
              <w:rPr>
                <w:szCs w:val="28"/>
                <w:vertAlign w:val="superscript"/>
              </w:rPr>
              <w:t>1</w:t>
            </w:r>
            <w:r w:rsidR="006E6888" w:rsidRPr="006B5081">
              <w:rPr>
                <w:szCs w:val="28"/>
              </w:rPr>
              <w:t>., 44.</w:t>
            </w:r>
            <w:r w:rsidR="006E6888" w:rsidRPr="006B5081">
              <w:rPr>
                <w:szCs w:val="28"/>
                <w:vertAlign w:val="superscript"/>
              </w:rPr>
              <w:t>2</w:t>
            </w:r>
            <w:r w:rsidR="006E6888" w:rsidRPr="006B5081">
              <w:rPr>
                <w:szCs w:val="28"/>
              </w:rPr>
              <w:t>., 44.</w:t>
            </w:r>
            <w:r w:rsidR="006E6888" w:rsidRPr="006B5081">
              <w:rPr>
                <w:szCs w:val="28"/>
                <w:vertAlign w:val="superscript"/>
              </w:rPr>
              <w:t>3</w:t>
            </w:r>
            <w:r w:rsidR="006E6888" w:rsidRPr="006B5081">
              <w:rPr>
                <w:szCs w:val="28"/>
              </w:rPr>
              <w:t>., 44.</w:t>
            </w:r>
            <w:r w:rsidR="006E6888" w:rsidRPr="006B5081">
              <w:rPr>
                <w:szCs w:val="28"/>
                <w:vertAlign w:val="superscript"/>
              </w:rPr>
              <w:t>4</w:t>
            </w:r>
            <w:r w:rsidR="006E6888" w:rsidRPr="006B5081">
              <w:rPr>
                <w:szCs w:val="28"/>
              </w:rPr>
              <w:t>., 44.</w:t>
            </w:r>
            <w:r w:rsidR="006E6888" w:rsidRPr="006B5081">
              <w:rPr>
                <w:szCs w:val="28"/>
                <w:vertAlign w:val="superscript"/>
              </w:rPr>
              <w:t>5</w:t>
            </w:r>
            <w:r w:rsidR="006E6888" w:rsidRPr="006B5081">
              <w:rPr>
                <w:szCs w:val="28"/>
              </w:rPr>
              <w:t>., 44.</w:t>
            </w:r>
            <w:r w:rsidR="006E6888" w:rsidRPr="006B5081">
              <w:rPr>
                <w:szCs w:val="28"/>
                <w:vertAlign w:val="superscript"/>
              </w:rPr>
              <w:t>6</w:t>
            </w:r>
            <w:r w:rsidR="006E6888" w:rsidRPr="006B5081">
              <w:rPr>
                <w:szCs w:val="28"/>
              </w:rPr>
              <w:t>., 44.</w:t>
            </w:r>
            <w:r w:rsidR="006E6888" w:rsidRPr="006B5081">
              <w:rPr>
                <w:szCs w:val="28"/>
                <w:vertAlign w:val="superscript"/>
              </w:rPr>
              <w:t>7</w:t>
            </w:r>
            <w:r w:rsidR="006E6888" w:rsidRPr="006B5081">
              <w:rPr>
                <w:szCs w:val="28"/>
              </w:rPr>
              <w:t>. un 44.</w:t>
            </w:r>
            <w:r w:rsidR="006E6888" w:rsidRPr="006B5081">
              <w:rPr>
                <w:szCs w:val="28"/>
                <w:vertAlign w:val="superscript"/>
              </w:rPr>
              <w:t>8</w:t>
            </w:r>
            <w:r w:rsidR="006E6888" w:rsidRPr="006B5081">
              <w:rPr>
                <w:szCs w:val="28"/>
              </w:rPr>
              <w:t>. punktu šādā redakcijā:</w:t>
            </w:r>
          </w:p>
          <w:p w14:paraId="199DE1FE" w14:textId="77777777" w:rsidR="00721708" w:rsidRPr="00721708" w:rsidRDefault="00721708" w:rsidP="006E6888">
            <w:pPr>
              <w:jc w:val="both"/>
              <w:rPr>
                <w:b/>
              </w:rPr>
            </w:pPr>
          </w:p>
        </w:tc>
      </w:tr>
      <w:tr w:rsidR="00721708" w:rsidRPr="00306471" w14:paraId="06B6161F" w14:textId="77777777" w:rsidTr="006B5081">
        <w:tc>
          <w:tcPr>
            <w:tcW w:w="675" w:type="dxa"/>
            <w:tcBorders>
              <w:top w:val="single" w:sz="6" w:space="0" w:color="000000"/>
              <w:left w:val="single" w:sz="6" w:space="0" w:color="000000"/>
              <w:bottom w:val="single" w:sz="6" w:space="0" w:color="000000"/>
              <w:right w:val="single" w:sz="6" w:space="0" w:color="000000"/>
            </w:tcBorders>
          </w:tcPr>
          <w:p w14:paraId="10CC96DA" w14:textId="74F77E4E" w:rsidR="00721708" w:rsidRPr="00306471" w:rsidRDefault="00531D7A" w:rsidP="006E54DB">
            <w:pPr>
              <w:pStyle w:val="naisc"/>
              <w:spacing w:before="0" w:after="0"/>
              <w:jc w:val="both"/>
              <w:rPr>
                <w:b/>
              </w:rPr>
            </w:pPr>
            <w:r>
              <w:rPr>
                <w:b/>
              </w:rPr>
              <w:t>5</w:t>
            </w:r>
            <w:r w:rsidR="005350F0">
              <w:rPr>
                <w:b/>
              </w:rPr>
              <w:t>.</w:t>
            </w:r>
          </w:p>
        </w:tc>
        <w:tc>
          <w:tcPr>
            <w:tcW w:w="2977" w:type="dxa"/>
            <w:tcBorders>
              <w:top w:val="single" w:sz="6" w:space="0" w:color="000000"/>
              <w:left w:val="single" w:sz="6" w:space="0" w:color="000000"/>
              <w:bottom w:val="single" w:sz="6" w:space="0" w:color="000000"/>
              <w:right w:val="single" w:sz="6" w:space="0" w:color="000000"/>
            </w:tcBorders>
          </w:tcPr>
          <w:p w14:paraId="5EC83082" w14:textId="77777777" w:rsidR="00306471" w:rsidRPr="00306471" w:rsidRDefault="00306471" w:rsidP="006B5081">
            <w:r w:rsidRPr="00306471">
              <w:t>4.Papildināt noteikumus ar 31.</w:t>
            </w:r>
            <w:r w:rsidRPr="00306471">
              <w:rPr>
                <w:vertAlign w:val="superscript"/>
              </w:rPr>
              <w:t>4</w:t>
            </w:r>
            <w:r w:rsidRPr="00306471">
              <w:t xml:space="preserve"> punktu šādā redakcijā:</w:t>
            </w:r>
          </w:p>
          <w:p w14:paraId="40F9C24B" w14:textId="77777777" w:rsidR="00306471" w:rsidRPr="00306471" w:rsidRDefault="00306471" w:rsidP="006B5081">
            <w:pPr>
              <w:ind w:firstLine="720"/>
            </w:pPr>
            <w:r w:rsidRPr="00306471">
              <w:t>“31.</w:t>
            </w:r>
            <w:r w:rsidRPr="00306471">
              <w:rPr>
                <w:vertAlign w:val="superscript"/>
              </w:rPr>
              <w:t>4</w:t>
            </w:r>
            <w:r w:rsidRPr="00306471">
              <w:t xml:space="preserve"> Šo noteikumu 31.</w:t>
            </w:r>
            <w:r w:rsidRPr="00306471">
              <w:rPr>
                <w:vertAlign w:val="superscript"/>
              </w:rPr>
              <w:t>3</w:t>
            </w:r>
            <w:r w:rsidRPr="00306471">
              <w:t xml:space="preserve"> punktā minētos ziņojumus Eiropas Komisijai </w:t>
            </w:r>
            <w:proofErr w:type="spellStart"/>
            <w:r w:rsidRPr="00306471">
              <w:t>nosūta</w:t>
            </w:r>
            <w:proofErr w:type="spellEnd"/>
            <w:r w:rsidRPr="00306471">
              <w:t xml:space="preserve"> 18 mēnešu laikā pēc ziņojumos norādītā laika posma beigām. Šo noteikumu 31.</w:t>
            </w:r>
            <w:r w:rsidRPr="00306471">
              <w:rPr>
                <w:vertAlign w:val="superscript"/>
              </w:rPr>
              <w:t xml:space="preserve">3 </w:t>
            </w:r>
            <w:r w:rsidRPr="00306471">
              <w:t>1. punktā minētajā ziņojumā norāda, kā tika iegūti bateriju un akumulatoru atkritumu savākšanas normas noteikšanai nepieciešamie dati.”</w:t>
            </w:r>
          </w:p>
          <w:p w14:paraId="13C3F507" w14:textId="0D3253DE" w:rsidR="00721708" w:rsidRPr="00306471" w:rsidRDefault="006E6888" w:rsidP="006B5081">
            <w:pPr>
              <w:ind w:firstLine="720"/>
              <w:rPr>
                <w:b/>
              </w:rPr>
            </w:pPr>
            <w:r w:rsidRPr="00306471">
              <w:t xml:space="preserve"> </w:t>
            </w:r>
          </w:p>
        </w:tc>
        <w:tc>
          <w:tcPr>
            <w:tcW w:w="4704" w:type="dxa"/>
            <w:tcBorders>
              <w:top w:val="single" w:sz="6" w:space="0" w:color="000000"/>
              <w:left w:val="single" w:sz="6" w:space="0" w:color="000000"/>
              <w:bottom w:val="single" w:sz="6" w:space="0" w:color="000000"/>
              <w:right w:val="single" w:sz="6" w:space="0" w:color="000000"/>
            </w:tcBorders>
            <w:vAlign w:val="center"/>
          </w:tcPr>
          <w:p w14:paraId="2239B122" w14:textId="101C908C" w:rsidR="00721708" w:rsidRPr="006B5081" w:rsidRDefault="00721708" w:rsidP="006B5081">
            <w:pPr>
              <w:ind w:firstLine="567"/>
              <w:jc w:val="both"/>
              <w:rPr>
                <w:b/>
              </w:rPr>
            </w:pPr>
            <w:r w:rsidRPr="00306471">
              <w:rPr>
                <w:b/>
              </w:rPr>
              <w:t>Tieslietu ministrija</w:t>
            </w:r>
          </w:p>
          <w:p w14:paraId="5F9BBA20" w14:textId="2AC5E452" w:rsidR="00721708" w:rsidRPr="00306471" w:rsidRDefault="00721708" w:rsidP="006E54DB">
            <w:pPr>
              <w:ind w:firstLine="567"/>
              <w:jc w:val="both"/>
            </w:pPr>
            <w:r w:rsidRPr="00306471">
              <w:t xml:space="preserve">4. Projekta anotācijas V sadaļas 1. tabulā norādīts, ka projekta 3. un 4. punktā pārņemtas Eiropas Parlamenta un Padomes 2018. gada 30. maija Direktīvas (ES) 2018/849, ar ko groza Direktīvas 2000/53/EK par nolietotiem transportlīdzekļiem, 2006/66/EK par baterijām un akumulatoriem, un bateriju un akumulatoru atkritumiem un 2012/19/ES par elektrisko un elektronisko iekārtu atkritumiem (turpmāk – Direktīva 2018/849) 2. panta 1. un 2. punkta prasības, kurās norādīts, ka “dalībvalstis elektroniski </w:t>
            </w:r>
            <w:proofErr w:type="spellStart"/>
            <w:r w:rsidRPr="00306471">
              <w:t>pārsūta</w:t>
            </w:r>
            <w:proofErr w:type="spellEnd"/>
            <w:r w:rsidRPr="00306471">
              <w:t xml:space="preserve"> Komisijai ziņojumus 18 mēnešu laikā </w:t>
            </w:r>
            <w:r w:rsidRPr="00306471">
              <w:rPr>
                <w:u w:val="single"/>
              </w:rPr>
              <w:t>pēc tā pārskata gada beigām</w:t>
            </w:r>
            <w:r w:rsidRPr="00306471">
              <w:t>, par kuru tie ir savākti”. Vēršam uzmanību, ka projektā kā atskaites brīdis noteikts “ziņojumā norādītais laika posms”, nevis “pārskata gada beigas”. Attiecīgi lūdzam precizēt projektu atbilstoši Direktīvas 2018/849 2. panta 1. un 2. punkta prasībām.</w:t>
            </w:r>
          </w:p>
        </w:tc>
        <w:tc>
          <w:tcPr>
            <w:tcW w:w="1984" w:type="dxa"/>
            <w:tcBorders>
              <w:top w:val="single" w:sz="6" w:space="0" w:color="000000"/>
              <w:left w:val="single" w:sz="6" w:space="0" w:color="000000"/>
              <w:bottom w:val="single" w:sz="6" w:space="0" w:color="000000"/>
              <w:right w:val="single" w:sz="6" w:space="0" w:color="000000"/>
            </w:tcBorders>
          </w:tcPr>
          <w:p w14:paraId="74403A62" w14:textId="6F8AD579" w:rsidR="00721708" w:rsidRPr="00306471" w:rsidRDefault="00306471" w:rsidP="00306471">
            <w:pPr>
              <w:pStyle w:val="naisc"/>
              <w:spacing w:before="0" w:after="0"/>
              <w:ind w:firstLine="21"/>
              <w:jc w:val="left"/>
              <w:rPr>
                <w:b/>
              </w:rPr>
            </w:pPr>
            <w:r w:rsidRPr="00306471">
              <w:rPr>
                <w:b/>
              </w:rPr>
              <w:t>Iebildums ir ņemts vērā.</w:t>
            </w:r>
            <w:r w:rsidR="005350F0">
              <w:rPr>
                <w:b/>
              </w:rPr>
              <w:t xml:space="preserve"> Veicot noteikumu projekta precizēšanu, ir mainījusies tā punktu numerācija.</w:t>
            </w:r>
          </w:p>
        </w:tc>
        <w:tc>
          <w:tcPr>
            <w:tcW w:w="4227" w:type="dxa"/>
            <w:tcBorders>
              <w:top w:val="single" w:sz="4" w:space="0" w:color="auto"/>
              <w:left w:val="single" w:sz="4" w:space="0" w:color="auto"/>
              <w:bottom w:val="single" w:sz="4" w:space="0" w:color="auto"/>
            </w:tcBorders>
          </w:tcPr>
          <w:p w14:paraId="1912CD71" w14:textId="652BD09B" w:rsidR="00306471" w:rsidRPr="00306471" w:rsidRDefault="005350F0" w:rsidP="006B5081">
            <w:pPr>
              <w:ind w:firstLine="720"/>
            </w:pPr>
            <w:r>
              <w:t>5</w:t>
            </w:r>
            <w:r w:rsidR="00306471" w:rsidRPr="00306471">
              <w:t>.</w:t>
            </w:r>
            <w:r>
              <w:t xml:space="preserve"> </w:t>
            </w:r>
            <w:r w:rsidR="00306471" w:rsidRPr="00306471">
              <w:t>Papildināt noteikumus ar 31.</w:t>
            </w:r>
            <w:r w:rsidR="00306471" w:rsidRPr="00306471">
              <w:rPr>
                <w:vertAlign w:val="superscript"/>
              </w:rPr>
              <w:t>4</w:t>
            </w:r>
            <w:r w:rsidR="00306471" w:rsidRPr="00306471">
              <w:t xml:space="preserve"> punktu šādā redakcijā:</w:t>
            </w:r>
          </w:p>
          <w:p w14:paraId="01602B6A" w14:textId="5FFE3826" w:rsidR="00306471" w:rsidRPr="00306471" w:rsidRDefault="00306471" w:rsidP="006B5081">
            <w:pPr>
              <w:ind w:firstLine="720"/>
            </w:pPr>
            <w:r w:rsidRPr="00306471">
              <w:t>“31.</w:t>
            </w:r>
            <w:r w:rsidRPr="00306471">
              <w:rPr>
                <w:vertAlign w:val="superscript"/>
              </w:rPr>
              <w:t>4</w:t>
            </w:r>
            <w:r w:rsidRPr="00306471">
              <w:t xml:space="preserve"> Šo noteikumu 31.</w:t>
            </w:r>
            <w:r w:rsidRPr="00306471">
              <w:rPr>
                <w:vertAlign w:val="superscript"/>
              </w:rPr>
              <w:t>3</w:t>
            </w:r>
            <w:r w:rsidRPr="00306471">
              <w:t xml:space="preserve"> punktā minētos ziņojumus Eiropas Komisijai </w:t>
            </w:r>
            <w:proofErr w:type="spellStart"/>
            <w:r w:rsidRPr="00306471">
              <w:t>nosūta</w:t>
            </w:r>
            <w:proofErr w:type="spellEnd"/>
            <w:r w:rsidRPr="00306471">
              <w:t xml:space="preserve"> 18 mēnešu laikā pēc</w:t>
            </w:r>
            <w:r>
              <w:t xml:space="preserve"> tā </w:t>
            </w:r>
            <w:r w:rsidRPr="00306471">
              <w:rPr>
                <w:b/>
              </w:rPr>
              <w:t>pārskata gada beigām, par kuru ir savākti šo noteikumu 31.</w:t>
            </w:r>
            <w:r w:rsidRPr="00306471">
              <w:rPr>
                <w:b/>
                <w:vertAlign w:val="superscript"/>
              </w:rPr>
              <w:t>3</w:t>
            </w:r>
            <w:r w:rsidRPr="00306471">
              <w:rPr>
                <w:b/>
              </w:rPr>
              <w:t xml:space="preserve"> punktā minētajos ziņojumos iekļautie dati</w:t>
            </w:r>
            <w:r w:rsidRPr="00306471">
              <w:t>. Šo noteikumu 31.</w:t>
            </w:r>
            <w:r w:rsidRPr="00306471">
              <w:rPr>
                <w:vertAlign w:val="superscript"/>
              </w:rPr>
              <w:t xml:space="preserve">3 </w:t>
            </w:r>
            <w:r w:rsidRPr="00306471">
              <w:t>1. punktā minētajā ziņojumā norāda, kā tika iegūti bateriju un akumulatoru atkritumu savākšanas normas noteikšanai nepieciešamie dati.”</w:t>
            </w:r>
          </w:p>
          <w:p w14:paraId="5F0CBCDB" w14:textId="77777777" w:rsidR="00721708" w:rsidRPr="00306471" w:rsidRDefault="00721708" w:rsidP="006B5081">
            <w:pPr>
              <w:rPr>
                <w:b/>
              </w:rPr>
            </w:pPr>
          </w:p>
        </w:tc>
      </w:tr>
      <w:tr w:rsidR="008B44E2" w:rsidRPr="00306471" w14:paraId="681BAF93" w14:textId="77777777" w:rsidTr="00823C79">
        <w:tc>
          <w:tcPr>
            <w:tcW w:w="14567" w:type="dxa"/>
            <w:gridSpan w:val="5"/>
            <w:tcBorders>
              <w:top w:val="single" w:sz="6" w:space="0" w:color="000000"/>
              <w:left w:val="single" w:sz="6" w:space="0" w:color="000000"/>
              <w:bottom w:val="single" w:sz="6" w:space="0" w:color="000000"/>
            </w:tcBorders>
          </w:tcPr>
          <w:p w14:paraId="2372044C" w14:textId="3FA880B0" w:rsidR="008B44E2" w:rsidRDefault="008B44E2" w:rsidP="00306471">
            <w:pPr>
              <w:ind w:firstLine="720"/>
              <w:jc w:val="both"/>
            </w:pPr>
            <w:r>
              <w:rPr>
                <w:b/>
              </w:rPr>
              <w:t>Pēc 11.01</w:t>
            </w:r>
            <w:r w:rsidR="006B5081">
              <w:rPr>
                <w:b/>
              </w:rPr>
              <w:t xml:space="preserve">.2019. </w:t>
            </w:r>
            <w:proofErr w:type="spellStart"/>
            <w:r w:rsidR="006B5081">
              <w:rPr>
                <w:b/>
              </w:rPr>
              <w:t>starpministriju</w:t>
            </w:r>
            <w:proofErr w:type="spellEnd"/>
            <w:r w:rsidR="006B5081">
              <w:rPr>
                <w:b/>
              </w:rPr>
              <w:t xml:space="preserve"> saskaņošanas</w:t>
            </w:r>
            <w:r>
              <w:rPr>
                <w:b/>
              </w:rPr>
              <w:t xml:space="preserve"> saņemtie iebildumi</w:t>
            </w:r>
          </w:p>
        </w:tc>
      </w:tr>
      <w:tr w:rsidR="008B44E2" w:rsidRPr="00306471" w14:paraId="3493DCB4" w14:textId="77777777" w:rsidTr="006B5081">
        <w:tc>
          <w:tcPr>
            <w:tcW w:w="675" w:type="dxa"/>
            <w:tcBorders>
              <w:top w:val="single" w:sz="6" w:space="0" w:color="000000"/>
              <w:left w:val="single" w:sz="6" w:space="0" w:color="000000"/>
              <w:bottom w:val="single" w:sz="6" w:space="0" w:color="000000"/>
              <w:right w:val="single" w:sz="6" w:space="0" w:color="000000"/>
            </w:tcBorders>
          </w:tcPr>
          <w:p w14:paraId="34CC4F0B" w14:textId="55B57EA1" w:rsidR="008B44E2" w:rsidRDefault="00531D7A" w:rsidP="006E54DB">
            <w:pPr>
              <w:pStyle w:val="naisc"/>
              <w:spacing w:before="0" w:after="0"/>
              <w:jc w:val="both"/>
              <w:rPr>
                <w:b/>
              </w:rPr>
            </w:pPr>
            <w:r>
              <w:rPr>
                <w:b/>
              </w:rPr>
              <w:t>6</w:t>
            </w:r>
            <w:r w:rsidR="008B44E2">
              <w:rPr>
                <w:b/>
              </w:rPr>
              <w:t xml:space="preserve">. </w:t>
            </w:r>
          </w:p>
        </w:tc>
        <w:tc>
          <w:tcPr>
            <w:tcW w:w="2977" w:type="dxa"/>
            <w:tcBorders>
              <w:top w:val="single" w:sz="6" w:space="0" w:color="000000"/>
              <w:left w:val="single" w:sz="6" w:space="0" w:color="000000"/>
              <w:bottom w:val="single" w:sz="6" w:space="0" w:color="000000"/>
              <w:right w:val="single" w:sz="6" w:space="0" w:color="000000"/>
            </w:tcBorders>
          </w:tcPr>
          <w:p w14:paraId="1D0128F2" w14:textId="1845A324" w:rsidR="008B44E2" w:rsidRPr="00306471" w:rsidRDefault="00BE28F0" w:rsidP="00BE28F0">
            <w:pPr>
              <w:ind w:firstLine="720"/>
              <w:jc w:val="both"/>
            </w:pPr>
            <w:r w:rsidRPr="00BE28F0">
              <w:rPr>
                <w:szCs w:val="28"/>
              </w:rPr>
              <w:t>44.</w:t>
            </w:r>
            <w:r w:rsidRPr="00BE28F0">
              <w:rPr>
                <w:szCs w:val="28"/>
                <w:vertAlign w:val="superscript"/>
              </w:rPr>
              <w:t>7</w:t>
            </w:r>
            <w:r w:rsidRPr="00BE28F0">
              <w:rPr>
                <w:szCs w:val="28"/>
              </w:rPr>
              <w:t xml:space="preserve"> Vides aizsardzības un reģionālās </w:t>
            </w:r>
            <w:r w:rsidRPr="00BE28F0">
              <w:rPr>
                <w:szCs w:val="28"/>
              </w:rPr>
              <w:lastRenderedPageBreak/>
              <w:t>attīstības ministrija iesaka nacionālajai standartizācijas institūcijai atbilstoši normatīvajiem aktiem standartizācijas jomā to standartu sarakstu, kurus var piemērot šo noteikumu 44.</w:t>
            </w:r>
            <w:r w:rsidRPr="00BE28F0">
              <w:rPr>
                <w:szCs w:val="28"/>
                <w:vertAlign w:val="superscript"/>
              </w:rPr>
              <w:t>4</w:t>
            </w:r>
            <w:r w:rsidRPr="00BE28F0">
              <w:rPr>
                <w:szCs w:val="28"/>
              </w:rPr>
              <w:t xml:space="preserve"> un 44.</w:t>
            </w:r>
            <w:r w:rsidRPr="00BE28F0">
              <w:rPr>
                <w:szCs w:val="28"/>
                <w:vertAlign w:val="superscript"/>
              </w:rPr>
              <w:t>5</w:t>
            </w:r>
            <w:r w:rsidRPr="00BE28F0">
              <w:rPr>
                <w:szCs w:val="28"/>
              </w:rPr>
              <w:t> punktā minēto prasību izpildei (turpmāk – piemērojamie standarti). Nacionālā standartizācijas institūcija savā oficiālajā tīmekļvietnē publicē sarakstu ar piemērojamiem standartiem, kas adaptēti nacionālo standartu statusā un kurus var piemērot šo noteikumu 44.</w:t>
            </w:r>
            <w:r w:rsidRPr="00BE28F0">
              <w:rPr>
                <w:szCs w:val="28"/>
                <w:vertAlign w:val="superscript"/>
              </w:rPr>
              <w:t>4</w:t>
            </w:r>
            <w:r w:rsidRPr="00BE28F0">
              <w:rPr>
                <w:szCs w:val="28"/>
              </w:rPr>
              <w:t>. un 44.</w:t>
            </w:r>
            <w:r w:rsidRPr="00BE28F0">
              <w:rPr>
                <w:szCs w:val="28"/>
                <w:vertAlign w:val="superscript"/>
              </w:rPr>
              <w:t>5</w:t>
            </w:r>
            <w:r w:rsidRPr="00BE28F0">
              <w:rPr>
                <w:szCs w:val="28"/>
              </w:rPr>
              <w:t> punktā minēto prasību izpildei. Ja izmantotās metodes atbilst piemērojamo standartu prasībām un nodrošina šo noteikumu 3.pielikumā noteikto emisiju gaisā un emisiju robežvērtību noteikšanu, tās uzskatāmas par atbilstošām šo noteikumu 44.</w:t>
            </w:r>
            <w:r w:rsidRPr="00BE28F0">
              <w:rPr>
                <w:szCs w:val="28"/>
                <w:vertAlign w:val="superscript"/>
              </w:rPr>
              <w:t>4</w:t>
            </w:r>
            <w:r w:rsidRPr="00BE28F0">
              <w:rPr>
                <w:szCs w:val="28"/>
              </w:rPr>
              <w:t xml:space="preserve"> un 44.</w:t>
            </w:r>
            <w:r w:rsidRPr="00BE28F0">
              <w:rPr>
                <w:szCs w:val="28"/>
                <w:vertAlign w:val="superscript"/>
              </w:rPr>
              <w:t>5</w:t>
            </w:r>
            <w:r w:rsidRPr="00BE28F0">
              <w:rPr>
                <w:szCs w:val="28"/>
              </w:rPr>
              <w:t xml:space="preserve"> punktā minēto prasību izpildei.</w:t>
            </w:r>
          </w:p>
        </w:tc>
        <w:tc>
          <w:tcPr>
            <w:tcW w:w="4704" w:type="dxa"/>
            <w:tcBorders>
              <w:top w:val="single" w:sz="6" w:space="0" w:color="000000"/>
              <w:left w:val="single" w:sz="6" w:space="0" w:color="000000"/>
              <w:bottom w:val="single" w:sz="6" w:space="0" w:color="000000"/>
              <w:right w:val="single" w:sz="6" w:space="0" w:color="000000"/>
            </w:tcBorders>
          </w:tcPr>
          <w:p w14:paraId="74B9CAC1" w14:textId="77777777" w:rsidR="008B44E2" w:rsidRDefault="008B44E2" w:rsidP="006B5081">
            <w:pPr>
              <w:jc w:val="both"/>
              <w:rPr>
                <w:b/>
              </w:rPr>
            </w:pPr>
            <w:r>
              <w:rPr>
                <w:b/>
              </w:rPr>
              <w:lastRenderedPageBreak/>
              <w:t>Ekonomikas ministrija:</w:t>
            </w:r>
          </w:p>
          <w:p w14:paraId="3453BFB1" w14:textId="77777777" w:rsidR="008B44E2" w:rsidRPr="008B44E2" w:rsidRDefault="008B44E2" w:rsidP="006B5081">
            <w:pPr>
              <w:jc w:val="both"/>
              <w:rPr>
                <w:szCs w:val="28"/>
              </w:rPr>
            </w:pPr>
            <w:r w:rsidRPr="008B44E2">
              <w:rPr>
                <w:szCs w:val="28"/>
              </w:rPr>
              <w:lastRenderedPageBreak/>
              <w:t>1. Atkārtoti vēršam uzmanību Projekta 9.punkta 6.apakšpunktā noteiktajam -Operators nodrošina, ka šo noteikumu 44.</w:t>
            </w:r>
            <w:r w:rsidRPr="008B44E2">
              <w:rPr>
                <w:szCs w:val="28"/>
                <w:vertAlign w:val="superscript"/>
              </w:rPr>
              <w:t>4</w:t>
            </w:r>
            <w:r w:rsidRPr="008B44E2">
              <w:rPr>
                <w:szCs w:val="28"/>
              </w:rPr>
              <w:t xml:space="preserve"> un 44.</w:t>
            </w:r>
            <w:r w:rsidRPr="008B44E2">
              <w:rPr>
                <w:szCs w:val="28"/>
                <w:vertAlign w:val="superscript"/>
              </w:rPr>
              <w:t>5</w:t>
            </w:r>
            <w:r w:rsidRPr="008B44E2">
              <w:rPr>
                <w:szCs w:val="28"/>
              </w:rPr>
              <w:t xml:space="preserve"> punktā minēto emisiju </w:t>
            </w:r>
            <w:r w:rsidRPr="008B44E2">
              <w:rPr>
                <w:szCs w:val="28"/>
                <w:u w:val="single"/>
              </w:rPr>
              <w:t>monitoringu veic izmantojot metodes, kas atbilst Eiropas Standartizācijas komitejas (CEN) standartiem vai, ja CEN izstrādāti standarti nav pieejami, Starptautiskās standartizācijas organizācijas (ISO), nacionālos vai starptautiskajiem standartiem, kas nodrošina, ka tiek iegūti līdzvērtīgas zinātniskās kvalitātes dati.</w:t>
            </w:r>
            <w:r w:rsidRPr="008B44E2">
              <w:rPr>
                <w:szCs w:val="28"/>
              </w:rPr>
              <w:t xml:space="preserve"> </w:t>
            </w:r>
          </w:p>
          <w:p w14:paraId="0BEDB62E" w14:textId="77777777" w:rsidR="008B44E2" w:rsidRPr="008B44E2" w:rsidRDefault="008B44E2" w:rsidP="006B5081">
            <w:pPr>
              <w:jc w:val="both"/>
              <w:rPr>
                <w:szCs w:val="28"/>
              </w:rPr>
            </w:pPr>
            <w:r w:rsidRPr="008B44E2">
              <w:rPr>
                <w:szCs w:val="28"/>
              </w:rPr>
              <w:t>No Projekta saprotams, ka ar augstāk minēto normu ir paredzēts</w:t>
            </w:r>
            <w:r w:rsidRPr="008B44E2">
              <w:rPr>
                <w:sz w:val="22"/>
              </w:rPr>
              <w:t xml:space="preserve"> </w:t>
            </w:r>
            <w:r w:rsidRPr="008B44E2">
              <w:rPr>
                <w:szCs w:val="28"/>
              </w:rPr>
              <w:t xml:space="preserve">nacionālajā tiesību sistēmā pārņemt Eiropas Parlamenta un Padomes direktīvas 2010/75/ES </w:t>
            </w:r>
            <w:r w:rsidRPr="008B44E2">
              <w:rPr>
                <w:i/>
                <w:szCs w:val="28"/>
              </w:rPr>
              <w:t>par rūpnieciskajām emisijām (piesārņojuma integrēta novēršana un kontrole)</w:t>
            </w:r>
            <w:r w:rsidRPr="008B44E2">
              <w:rPr>
                <w:szCs w:val="28"/>
              </w:rPr>
              <w:t xml:space="preserve"> (turpmāk – Direktīva) 70.panta prasības. Pie šādas Direktīvas prasību pārņemšanas, ir secināms, ka noteikumu projektā standartu piemērošana tiek noteikta kā obligātā (tiešās atsauces uz standartiem).</w:t>
            </w:r>
          </w:p>
          <w:p w14:paraId="508C9E7C" w14:textId="67E146C6" w:rsidR="008B44E2" w:rsidRPr="008B44E2" w:rsidRDefault="008B44E2" w:rsidP="006B5081">
            <w:pPr>
              <w:jc w:val="both"/>
              <w:rPr>
                <w:szCs w:val="28"/>
              </w:rPr>
            </w:pPr>
            <w:r w:rsidRPr="008B44E2">
              <w:rPr>
                <w:szCs w:val="28"/>
              </w:rPr>
              <w:t>Līdz ar to, uzturam Ekonomikas ministrijas iepriekšējā atzinumā sniegto iebildumu par nepieciešamību precizēt Projektu, norādot, kuri tieši standarti nodrošinās Projektā noteikto prasību izpildi. Turklāt, ja Projektā paredzams izmantot tiešās atsauces uz standartiem, tad būtu nepieciešams svītrot</w:t>
            </w:r>
            <w:r w:rsidRPr="008B44E2">
              <w:rPr>
                <w:b/>
                <w:szCs w:val="28"/>
              </w:rPr>
              <w:t xml:space="preserve"> </w:t>
            </w:r>
            <w:r w:rsidRPr="008B44E2">
              <w:rPr>
                <w:szCs w:val="28"/>
              </w:rPr>
              <w:t>Projekta 44.</w:t>
            </w:r>
            <w:r w:rsidRPr="008B44E2">
              <w:rPr>
                <w:szCs w:val="28"/>
                <w:vertAlign w:val="superscript"/>
              </w:rPr>
              <w:t>6</w:t>
            </w:r>
            <w:r w:rsidRPr="008B44E2">
              <w:rPr>
                <w:szCs w:val="28"/>
              </w:rPr>
              <w:t xml:space="preserve"> apakšpunkta otro teikumu un 44.</w:t>
            </w:r>
            <w:r w:rsidRPr="008B44E2">
              <w:rPr>
                <w:szCs w:val="28"/>
                <w:vertAlign w:val="superscript"/>
              </w:rPr>
              <w:t>7</w:t>
            </w:r>
            <w:r w:rsidRPr="008B44E2">
              <w:rPr>
                <w:szCs w:val="28"/>
              </w:rPr>
              <w:t xml:space="preserve"> apakšpunktu.</w:t>
            </w:r>
          </w:p>
        </w:tc>
        <w:tc>
          <w:tcPr>
            <w:tcW w:w="1984" w:type="dxa"/>
            <w:tcBorders>
              <w:top w:val="single" w:sz="6" w:space="0" w:color="000000"/>
              <w:left w:val="single" w:sz="6" w:space="0" w:color="000000"/>
              <w:bottom w:val="single" w:sz="6" w:space="0" w:color="000000"/>
              <w:right w:val="single" w:sz="6" w:space="0" w:color="000000"/>
            </w:tcBorders>
          </w:tcPr>
          <w:p w14:paraId="3DA8DB55" w14:textId="69CBE390" w:rsidR="008B44E2" w:rsidRPr="00306471" w:rsidRDefault="008B44E2" w:rsidP="00BE28F0">
            <w:pPr>
              <w:pStyle w:val="naisc"/>
              <w:spacing w:before="0" w:after="0"/>
              <w:ind w:firstLine="21"/>
              <w:jc w:val="left"/>
              <w:rPr>
                <w:b/>
              </w:rPr>
            </w:pPr>
            <w:r>
              <w:rPr>
                <w:b/>
              </w:rPr>
              <w:lastRenderedPageBreak/>
              <w:t>Iebildums</w:t>
            </w:r>
            <w:r w:rsidR="00BE28F0">
              <w:rPr>
                <w:b/>
              </w:rPr>
              <w:t xml:space="preserve"> ir ņemts vērā</w:t>
            </w:r>
            <w:r>
              <w:rPr>
                <w:b/>
              </w:rPr>
              <w:t xml:space="preserve">. </w:t>
            </w:r>
            <w:r w:rsidR="00F22B5E">
              <w:rPr>
                <w:b/>
              </w:rPr>
              <w:lastRenderedPageBreak/>
              <w:t xml:space="preserve">Iebildums tika apspriests </w:t>
            </w:r>
            <w:proofErr w:type="spellStart"/>
            <w:r w:rsidR="00F22B5E">
              <w:rPr>
                <w:b/>
              </w:rPr>
              <w:t>starpministriju</w:t>
            </w:r>
            <w:proofErr w:type="spellEnd"/>
            <w:r w:rsidR="00F22B5E">
              <w:rPr>
                <w:b/>
              </w:rPr>
              <w:t xml:space="preserve"> sanāksmē 2019.gada 14.februārī, kurā tika panākta vienošanās. </w:t>
            </w:r>
          </w:p>
        </w:tc>
        <w:tc>
          <w:tcPr>
            <w:tcW w:w="4227" w:type="dxa"/>
            <w:tcBorders>
              <w:top w:val="single" w:sz="4" w:space="0" w:color="auto"/>
              <w:left w:val="single" w:sz="4" w:space="0" w:color="auto"/>
              <w:bottom w:val="single" w:sz="4" w:space="0" w:color="auto"/>
            </w:tcBorders>
          </w:tcPr>
          <w:p w14:paraId="27C94E13" w14:textId="77777777" w:rsidR="008B44E2" w:rsidRDefault="00BE28F0" w:rsidP="00BE28F0">
            <w:pPr>
              <w:ind w:firstLine="720"/>
            </w:pPr>
            <w:r>
              <w:lastRenderedPageBreak/>
              <w:t>Noteikumu projekta 9.punktā ietvertais 44.</w:t>
            </w:r>
            <w:r w:rsidRPr="00902D3A">
              <w:rPr>
                <w:vertAlign w:val="superscript"/>
              </w:rPr>
              <w:t>7</w:t>
            </w:r>
            <w:r>
              <w:t xml:space="preserve"> punkts svītrots.</w:t>
            </w:r>
          </w:p>
          <w:p w14:paraId="5D10532A" w14:textId="5B978C74" w:rsidR="00BE28F0" w:rsidRDefault="00BE28F0" w:rsidP="00BE28F0">
            <w:r>
              <w:lastRenderedPageBreak/>
              <w:t xml:space="preserve">Noteikumu projekta anotācijas </w:t>
            </w:r>
            <w:r w:rsidR="004B1BBD">
              <w:t>2.</w:t>
            </w:r>
            <w:r w:rsidR="00A625EF">
              <w:t>1.1.</w:t>
            </w:r>
            <w:r w:rsidR="004B1BBD">
              <w:t>punkts ir papildināts šādā redakcijā:</w:t>
            </w:r>
          </w:p>
          <w:p w14:paraId="2D84D42A" w14:textId="42800D4A" w:rsidR="004B1BBD" w:rsidRDefault="004B1BBD" w:rsidP="004B1BBD">
            <w:pPr>
              <w:pStyle w:val="tv2131"/>
              <w:spacing w:line="240" w:lineRule="auto"/>
              <w:ind w:right="135"/>
              <w:jc w:val="both"/>
              <w:rPr>
                <w:b/>
                <w:color w:val="auto"/>
                <w:sz w:val="24"/>
                <w:szCs w:val="24"/>
                <w:lang w:val="lv-LV"/>
              </w:rPr>
            </w:pPr>
            <w:r w:rsidRPr="004B1BBD">
              <w:rPr>
                <w:lang w:val="lv-LV"/>
              </w:rPr>
              <w:t>“</w:t>
            </w:r>
            <w:r w:rsidRPr="00E40CFD">
              <w:rPr>
                <w:b/>
                <w:color w:val="auto"/>
                <w:sz w:val="24"/>
                <w:szCs w:val="24"/>
                <w:lang w:val="lv-LV"/>
              </w:rPr>
              <w:t>Kā norādīts Eiropas Komisijas pasūtītajā pētījuma “</w:t>
            </w:r>
            <w:proofErr w:type="spellStart"/>
            <w:r w:rsidRPr="00E40CFD">
              <w:rPr>
                <w:b/>
                <w:color w:val="auto"/>
                <w:sz w:val="24"/>
                <w:szCs w:val="24"/>
                <w:lang w:val="lv-LV"/>
              </w:rPr>
              <w:t>Analysis</w:t>
            </w:r>
            <w:proofErr w:type="spellEnd"/>
            <w:r w:rsidRPr="00E40CFD">
              <w:rPr>
                <w:b/>
                <w:color w:val="auto"/>
                <w:sz w:val="24"/>
                <w:szCs w:val="24"/>
                <w:lang w:val="lv-LV"/>
              </w:rPr>
              <w:t xml:space="preserve"> </w:t>
            </w:r>
            <w:proofErr w:type="spellStart"/>
            <w:r w:rsidRPr="00E40CFD">
              <w:rPr>
                <w:b/>
                <w:color w:val="auto"/>
                <w:sz w:val="24"/>
                <w:szCs w:val="24"/>
                <w:lang w:val="lv-LV"/>
              </w:rPr>
              <w:t>of</w:t>
            </w:r>
            <w:proofErr w:type="spellEnd"/>
            <w:r w:rsidRPr="00E40CFD">
              <w:rPr>
                <w:b/>
                <w:color w:val="auto"/>
                <w:sz w:val="24"/>
                <w:szCs w:val="24"/>
                <w:lang w:val="lv-LV"/>
              </w:rPr>
              <w:t xml:space="preserve"> </w:t>
            </w:r>
            <w:proofErr w:type="spellStart"/>
            <w:r w:rsidRPr="00E40CFD">
              <w:rPr>
                <w:b/>
                <w:color w:val="auto"/>
                <w:sz w:val="24"/>
                <w:szCs w:val="24"/>
                <w:lang w:val="lv-LV"/>
              </w:rPr>
              <w:t>the</w:t>
            </w:r>
            <w:proofErr w:type="spellEnd"/>
            <w:r w:rsidRPr="00E40CFD">
              <w:rPr>
                <w:b/>
                <w:color w:val="auto"/>
                <w:sz w:val="24"/>
                <w:szCs w:val="24"/>
                <w:lang w:val="lv-LV"/>
              </w:rPr>
              <w:t xml:space="preserve"> </w:t>
            </w:r>
            <w:proofErr w:type="spellStart"/>
            <w:r w:rsidRPr="00E40CFD">
              <w:rPr>
                <w:b/>
                <w:color w:val="auto"/>
                <w:sz w:val="24"/>
                <w:szCs w:val="24"/>
                <w:lang w:val="lv-LV"/>
              </w:rPr>
              <w:t>Simplification</w:t>
            </w:r>
            <w:proofErr w:type="spellEnd"/>
            <w:r w:rsidRPr="00E40CFD">
              <w:rPr>
                <w:b/>
                <w:color w:val="auto"/>
                <w:sz w:val="24"/>
                <w:szCs w:val="24"/>
                <w:lang w:val="lv-LV"/>
              </w:rPr>
              <w:t xml:space="preserve"> </w:t>
            </w:r>
            <w:proofErr w:type="spellStart"/>
            <w:r w:rsidRPr="00E40CFD">
              <w:rPr>
                <w:b/>
                <w:color w:val="auto"/>
                <w:sz w:val="24"/>
                <w:szCs w:val="24"/>
                <w:lang w:val="lv-LV"/>
              </w:rPr>
              <w:t>of</w:t>
            </w:r>
            <w:proofErr w:type="spellEnd"/>
            <w:r w:rsidRPr="00E40CFD">
              <w:rPr>
                <w:b/>
                <w:color w:val="auto"/>
                <w:sz w:val="24"/>
                <w:szCs w:val="24"/>
                <w:lang w:val="lv-LV"/>
              </w:rPr>
              <w:t xml:space="preserve"> </w:t>
            </w:r>
            <w:proofErr w:type="spellStart"/>
            <w:r w:rsidRPr="00E40CFD">
              <w:rPr>
                <w:b/>
                <w:color w:val="auto"/>
                <w:sz w:val="24"/>
                <w:szCs w:val="24"/>
                <w:lang w:val="lv-LV"/>
              </w:rPr>
              <w:t>Titanium</w:t>
            </w:r>
            <w:proofErr w:type="spellEnd"/>
            <w:r w:rsidRPr="00E40CFD">
              <w:rPr>
                <w:b/>
                <w:color w:val="auto"/>
                <w:sz w:val="24"/>
                <w:szCs w:val="24"/>
                <w:lang w:val="lv-LV"/>
              </w:rPr>
              <w:t xml:space="preserve"> </w:t>
            </w:r>
            <w:proofErr w:type="spellStart"/>
            <w:r w:rsidRPr="00E40CFD">
              <w:rPr>
                <w:b/>
                <w:color w:val="auto"/>
                <w:sz w:val="24"/>
                <w:szCs w:val="24"/>
                <w:lang w:val="lv-LV"/>
              </w:rPr>
              <w:t>Dioxide</w:t>
            </w:r>
            <w:proofErr w:type="spellEnd"/>
            <w:r w:rsidRPr="00E40CFD">
              <w:rPr>
                <w:b/>
                <w:color w:val="auto"/>
                <w:sz w:val="24"/>
                <w:szCs w:val="24"/>
                <w:lang w:val="lv-LV"/>
              </w:rPr>
              <w:t xml:space="preserve"> </w:t>
            </w:r>
            <w:proofErr w:type="spellStart"/>
            <w:r w:rsidRPr="00E40CFD">
              <w:rPr>
                <w:b/>
                <w:color w:val="auto"/>
                <w:sz w:val="24"/>
                <w:szCs w:val="24"/>
                <w:lang w:val="lv-LV"/>
              </w:rPr>
              <w:t>Directives</w:t>
            </w:r>
            <w:proofErr w:type="spellEnd"/>
            <w:r w:rsidRPr="00E40CFD">
              <w:rPr>
                <w:b/>
                <w:color w:val="auto"/>
                <w:sz w:val="24"/>
                <w:szCs w:val="24"/>
                <w:lang w:val="lv-LV"/>
              </w:rPr>
              <w:t>”</w:t>
            </w:r>
            <w:r w:rsidRPr="00E40CFD">
              <w:rPr>
                <w:rStyle w:val="FootnoteReference"/>
                <w:b/>
                <w:color w:val="auto"/>
                <w:sz w:val="24"/>
                <w:szCs w:val="24"/>
                <w:lang w:val="lv-LV"/>
              </w:rPr>
              <w:footnoteReference w:id="2"/>
            </w:r>
            <w:r w:rsidRPr="00E40CFD">
              <w:rPr>
                <w:b/>
                <w:color w:val="auto"/>
                <w:sz w:val="24"/>
                <w:szCs w:val="24"/>
                <w:lang w:val="lv-LV"/>
              </w:rPr>
              <w:t xml:space="preserve">, titāna dioksīda pigments tiek izmantots dažāda veida produktos, tajā skaitā tipogrāfijas krāsām, plastmasām un pārtikai. Katru gadu Eiropas Savienībā tiek saražoti 1.5 miljoni tonnu titāna dioksīda. Kopumā 12 Eiropas Savienības valstīs ir izvietotas 19 titāna dioksīda ražošanas uzņēmumi. Titāna dioksīda ražošanā tiek izmantoti </w:t>
            </w:r>
            <w:r w:rsidR="00C90766">
              <w:rPr>
                <w:b/>
                <w:color w:val="auto"/>
                <w:sz w:val="24"/>
                <w:szCs w:val="24"/>
                <w:lang w:val="lv-LV"/>
              </w:rPr>
              <w:t>divu</w:t>
            </w:r>
            <w:r w:rsidR="00C90766" w:rsidRPr="00E40CFD">
              <w:rPr>
                <w:b/>
                <w:color w:val="auto"/>
                <w:sz w:val="24"/>
                <w:szCs w:val="24"/>
                <w:lang w:val="lv-LV"/>
              </w:rPr>
              <w:t xml:space="preserve"> veid</w:t>
            </w:r>
            <w:r w:rsidR="00C90766">
              <w:rPr>
                <w:b/>
                <w:color w:val="auto"/>
                <w:sz w:val="24"/>
                <w:szCs w:val="24"/>
                <w:lang w:val="lv-LV"/>
              </w:rPr>
              <w:t>u</w:t>
            </w:r>
            <w:r w:rsidR="00C90766" w:rsidRPr="00E40CFD">
              <w:rPr>
                <w:b/>
                <w:color w:val="auto"/>
                <w:sz w:val="24"/>
                <w:szCs w:val="24"/>
                <w:lang w:val="lv-LV"/>
              </w:rPr>
              <w:t xml:space="preserve"> </w:t>
            </w:r>
            <w:r w:rsidRPr="00E40CFD">
              <w:rPr>
                <w:b/>
                <w:color w:val="auto"/>
                <w:sz w:val="24"/>
                <w:szCs w:val="24"/>
                <w:lang w:val="lv-LV"/>
              </w:rPr>
              <w:t>procesi: hlorīdu process un sulfātu process.  Jāatzīmē, ka Latvijā nav titāna dioksīda ražošanas uzņēmumu, un nav paredzams, ka Latvijā varētu tikt izveidoti šādi rūpniecības uzņēmumi.</w:t>
            </w:r>
            <w:r w:rsidR="00A625EF">
              <w:rPr>
                <w:b/>
                <w:color w:val="auto"/>
                <w:sz w:val="24"/>
                <w:szCs w:val="24"/>
                <w:lang w:val="lv-LV"/>
              </w:rPr>
              <w:t>”</w:t>
            </w:r>
          </w:p>
          <w:p w14:paraId="27FFE70B" w14:textId="5A6E9405" w:rsidR="00A625EF" w:rsidRDefault="00A625EF" w:rsidP="004B1BBD">
            <w:pPr>
              <w:pStyle w:val="tv2131"/>
              <w:spacing w:line="240" w:lineRule="auto"/>
              <w:ind w:right="135"/>
              <w:jc w:val="both"/>
              <w:rPr>
                <w:b/>
                <w:color w:val="auto"/>
                <w:sz w:val="24"/>
                <w:szCs w:val="24"/>
                <w:lang w:val="lv-LV"/>
              </w:rPr>
            </w:pPr>
            <w:r>
              <w:rPr>
                <w:b/>
                <w:color w:val="auto"/>
                <w:sz w:val="24"/>
                <w:szCs w:val="24"/>
                <w:lang w:val="lv-LV"/>
              </w:rPr>
              <w:t>Noteikumu projekta anotācijas 2.2.1.punkts ir papildināts šādā redakcijā:</w:t>
            </w:r>
          </w:p>
          <w:p w14:paraId="11F30F05" w14:textId="79A2F1E0" w:rsidR="004B1BBD" w:rsidRPr="006B5081" w:rsidRDefault="00A625EF" w:rsidP="006B5081">
            <w:pPr>
              <w:pStyle w:val="tv2131"/>
              <w:spacing w:line="240" w:lineRule="auto"/>
              <w:jc w:val="both"/>
              <w:rPr>
                <w:color w:val="auto"/>
                <w:sz w:val="24"/>
                <w:szCs w:val="24"/>
                <w:lang w:val="lv-LV"/>
              </w:rPr>
            </w:pPr>
            <w:r>
              <w:rPr>
                <w:b/>
                <w:color w:val="auto"/>
                <w:sz w:val="24"/>
                <w:szCs w:val="24"/>
                <w:lang w:val="lv-LV"/>
              </w:rPr>
              <w:t>“</w:t>
            </w:r>
            <w:r w:rsidRPr="00D96A39">
              <w:rPr>
                <w:b/>
                <w:color w:val="auto"/>
                <w:sz w:val="24"/>
                <w:szCs w:val="24"/>
                <w:lang w:val="lv-LV"/>
              </w:rPr>
              <w:t xml:space="preserve">Pētījuma </w:t>
            </w:r>
            <w:r w:rsidRPr="00D96A39">
              <w:rPr>
                <w:rStyle w:val="FootnoteReference"/>
                <w:b/>
                <w:color w:val="auto"/>
                <w:sz w:val="24"/>
                <w:szCs w:val="24"/>
                <w:lang w:val="lv-LV"/>
              </w:rPr>
              <w:footnoteReference w:id="3"/>
            </w:r>
            <w:r w:rsidRPr="00D96A39">
              <w:rPr>
                <w:b/>
                <w:color w:val="auto"/>
                <w:sz w:val="24"/>
                <w:szCs w:val="24"/>
                <w:lang w:val="lv-LV"/>
              </w:rPr>
              <w:t xml:space="preserve"> 5.nodaļā ir detalizēti aprakstīti titāna dioksīda rūpniecības radītā piesārņojuma monitoringa jautājumi, tajā skaitā, piemērojamie standarti, kurus ir izstrādājušas dažādas starptautiskās un nacionālās standartizācijas organizācijas.  Minētā </w:t>
            </w:r>
            <w:r w:rsidRPr="00D96A39">
              <w:rPr>
                <w:b/>
                <w:color w:val="auto"/>
                <w:sz w:val="24"/>
                <w:szCs w:val="24"/>
                <w:lang w:val="lv-LV"/>
              </w:rPr>
              <w:lastRenderedPageBreak/>
              <w:t xml:space="preserve">pētījuma 5-4.tabulā ir sniegta informācija par titāna dioksīda radītā gaisa piesārņojuma (cietās daļiņas, sēra dioksīds, sēra trioksīds, hlors) mērījumos izmantojamiem Eiropas Standartizācijas organizācijas (turpmāk - CEN),  Starptautiskās standartizācijas organizācijas (turpmāk - ISO) un nacionāliem standartiem. Savukārt minētā pētījuma 5-5.tabulā ir sniegts plašs pārskats par ūdens paraugu ņemšanai un analīzēm piemērojamiem CEN standartiem (ietver prasības gan ķīmisko vielu analīžu veikšanai (hroms, dzīvsudrabs, arsēns, skābekļa saturs, hlorīdi, u.tml., gan toksiskuma un </w:t>
            </w:r>
            <w:proofErr w:type="spellStart"/>
            <w:r w:rsidRPr="00D96A39">
              <w:rPr>
                <w:b/>
                <w:color w:val="auto"/>
                <w:sz w:val="24"/>
                <w:szCs w:val="24"/>
                <w:lang w:val="lv-LV"/>
              </w:rPr>
              <w:t>ekotoksiskuma</w:t>
            </w:r>
            <w:proofErr w:type="spellEnd"/>
            <w:r w:rsidRPr="00D96A39">
              <w:rPr>
                <w:b/>
                <w:color w:val="auto"/>
                <w:sz w:val="24"/>
                <w:szCs w:val="24"/>
                <w:lang w:val="lv-LV"/>
              </w:rPr>
              <w:t xml:space="preserve"> noteikšanai). Ņemot vērā Pētījumā sniegto informāciju, gan komersantam, kurš vēlētos izveidot titāna dioksīda ražotni, gan Valsts vides dienestam, kurš veiktu izveidotās ražotnes darbības kontroli attiecībā uz normatīvajos aktos noteikto prasību izpildi, ir pieejama pietiekami plaša informācija par titāna dioksīda ražošanas monitoringā izmantojamiem standartiem.  Tāpēc ir pamatoti noteikumu projektā ietvert direktīvā 2010/75/ES paredzēto regulējumu, ar kuru noteikts, ka prioritāri ir jāizmanto CEN standarti, bet ja CEN izstrādāti standarti nav pieejami, tad jāizmanto ISO, nacionālie vai </w:t>
            </w:r>
            <w:r w:rsidRPr="00D96A39">
              <w:rPr>
                <w:b/>
                <w:color w:val="auto"/>
                <w:sz w:val="24"/>
                <w:szCs w:val="24"/>
                <w:lang w:val="lv-LV"/>
              </w:rPr>
              <w:lastRenderedPageBreak/>
              <w:t>starptautiskie standarti, kas nodrošina, ka tiek iegūti līdzvērtīgas zinātniskās kvalitātes dati.</w:t>
            </w:r>
            <w:r>
              <w:rPr>
                <w:iCs/>
                <w:sz w:val="24"/>
                <w:szCs w:val="24"/>
                <w:lang w:val="lv-LV"/>
              </w:rPr>
              <w:t xml:space="preserve"> </w:t>
            </w:r>
          </w:p>
        </w:tc>
      </w:tr>
    </w:tbl>
    <w:p w14:paraId="30C951A5" w14:textId="06F66446" w:rsidR="00752EA6" w:rsidRPr="00721708" w:rsidRDefault="00752EA6"/>
    <w:p w14:paraId="364DF4A5" w14:textId="4E111508" w:rsidR="00306471" w:rsidRPr="003E1F78" w:rsidRDefault="00752EA6" w:rsidP="00306471">
      <w:r w:rsidRPr="003E1F78">
        <w:t>Atbildīgā amatpersona</w:t>
      </w:r>
      <w:r w:rsidRPr="003E1F78">
        <w:tab/>
      </w:r>
      <w:r w:rsidRPr="003E1F78">
        <w:tab/>
      </w:r>
      <w:r w:rsidRPr="003E1F78">
        <w:tab/>
      </w:r>
      <w:r w:rsidRPr="003E1F78">
        <w:tab/>
      </w:r>
      <w:r w:rsidRPr="003E1F78">
        <w:tab/>
      </w:r>
      <w:r w:rsidRPr="003E1F78">
        <w:tab/>
      </w:r>
      <w:r w:rsidRPr="003E1F78">
        <w:tab/>
      </w:r>
      <w:r w:rsidRPr="003E1F78">
        <w:tab/>
      </w:r>
      <w:r w:rsidRPr="003E1F78">
        <w:tab/>
      </w:r>
      <w:r w:rsidR="003E1F78">
        <w:t xml:space="preserve">    </w:t>
      </w:r>
      <w:r w:rsidRPr="003E1F78">
        <w:tab/>
      </w:r>
      <w:proofErr w:type="spellStart"/>
      <w:r w:rsidRPr="003E1F78">
        <w:t>I.Doniņa</w:t>
      </w:r>
      <w:proofErr w:type="spellEnd"/>
    </w:p>
    <w:p w14:paraId="67AF1F47" w14:textId="36BCE944" w:rsidR="003E1F78" w:rsidRPr="003E1F78" w:rsidRDefault="003E1F78" w:rsidP="003E1F78">
      <w:pPr>
        <w:jc w:val="center"/>
      </w:pPr>
    </w:p>
    <w:sectPr w:rsidR="003E1F78" w:rsidRPr="003E1F78" w:rsidSect="00A67507">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641304" w14:textId="77777777" w:rsidR="000D2158" w:rsidRDefault="000D2158" w:rsidP="00752EA6">
      <w:r>
        <w:separator/>
      </w:r>
    </w:p>
  </w:endnote>
  <w:endnote w:type="continuationSeparator" w:id="0">
    <w:p w14:paraId="410D62B6" w14:textId="77777777" w:rsidR="000D2158" w:rsidRDefault="000D2158" w:rsidP="00752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23E54F" w14:textId="77777777" w:rsidR="00FB68CA" w:rsidRDefault="00FB68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DB834" w14:textId="1B236CDE" w:rsidR="005F33DF" w:rsidRPr="001704BD" w:rsidRDefault="004E1698" w:rsidP="005F33DF">
    <w:pPr>
      <w:rPr>
        <w:sz w:val="20"/>
        <w:szCs w:val="20"/>
      </w:rPr>
    </w:pPr>
    <w:r>
      <w:rPr>
        <w:sz w:val="20"/>
        <w:szCs w:val="20"/>
      </w:rPr>
      <w:t>VARAMIzz_2</w:t>
    </w:r>
    <w:r w:rsidR="003331FE">
      <w:rPr>
        <w:sz w:val="20"/>
        <w:szCs w:val="20"/>
      </w:rPr>
      <w:t>8</w:t>
    </w:r>
    <w:r w:rsidR="008B44E2">
      <w:rPr>
        <w:sz w:val="20"/>
        <w:szCs w:val="20"/>
      </w:rPr>
      <w:t>02</w:t>
    </w:r>
    <w:r w:rsidR="005F33DF">
      <w:rPr>
        <w:sz w:val="20"/>
        <w:szCs w:val="20"/>
      </w:rPr>
      <w:t>19_groz485</w:t>
    </w:r>
  </w:p>
  <w:p w14:paraId="1E17E438" w14:textId="7642344F" w:rsidR="00752EA6" w:rsidRPr="001704BD" w:rsidRDefault="00752EA6" w:rsidP="003E1F78">
    <w:pP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49A6F2" w14:textId="39143C4B" w:rsidR="00E97771" w:rsidRPr="001704BD" w:rsidRDefault="004E1698" w:rsidP="003E1F78">
    <w:pPr>
      <w:rPr>
        <w:sz w:val="20"/>
        <w:szCs w:val="20"/>
      </w:rPr>
    </w:pPr>
    <w:r>
      <w:rPr>
        <w:sz w:val="20"/>
        <w:szCs w:val="20"/>
      </w:rPr>
      <w:t>VARAMIzz_2</w:t>
    </w:r>
    <w:r w:rsidR="003331FE">
      <w:rPr>
        <w:sz w:val="20"/>
        <w:szCs w:val="20"/>
      </w:rPr>
      <w:t>8</w:t>
    </w:r>
    <w:r w:rsidR="008B44E2">
      <w:rPr>
        <w:sz w:val="20"/>
        <w:szCs w:val="20"/>
      </w:rPr>
      <w:t>02</w:t>
    </w:r>
    <w:r w:rsidR="005F33DF">
      <w:rPr>
        <w:sz w:val="20"/>
        <w:szCs w:val="20"/>
      </w:rPr>
      <w:t>19_groz485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12A33F" w14:textId="77777777" w:rsidR="000D2158" w:rsidRDefault="000D2158" w:rsidP="00752EA6">
      <w:r>
        <w:separator/>
      </w:r>
    </w:p>
  </w:footnote>
  <w:footnote w:type="continuationSeparator" w:id="0">
    <w:p w14:paraId="107B08C3" w14:textId="77777777" w:rsidR="000D2158" w:rsidRDefault="000D2158" w:rsidP="00752EA6">
      <w:r>
        <w:continuationSeparator/>
      </w:r>
    </w:p>
  </w:footnote>
  <w:footnote w:id="1">
    <w:p w14:paraId="6FEFAFC9" w14:textId="77777777" w:rsidR="00531D7A" w:rsidRDefault="00531D7A" w:rsidP="001C5888">
      <w:pPr>
        <w:pStyle w:val="FootnoteText"/>
      </w:pPr>
      <w:r>
        <w:rPr>
          <w:rStyle w:val="FootnoteReference"/>
        </w:rPr>
        <w:footnoteRef/>
      </w:r>
      <w:r>
        <w:t xml:space="preserve"> </w:t>
      </w:r>
      <w:r w:rsidRPr="007A00DE">
        <w:t>http://ec.europa.eu/environment/waste/pdf/tio2_simplification_report_iss3.pdf</w:t>
      </w:r>
    </w:p>
  </w:footnote>
  <w:footnote w:id="2">
    <w:p w14:paraId="5BCC1D08" w14:textId="77777777" w:rsidR="004B1BBD" w:rsidRDefault="004B1BBD" w:rsidP="004B1BBD">
      <w:pPr>
        <w:pStyle w:val="FootnoteText"/>
      </w:pPr>
      <w:r>
        <w:rPr>
          <w:rStyle w:val="FootnoteReference"/>
        </w:rPr>
        <w:footnoteRef/>
      </w:r>
      <w:r>
        <w:t xml:space="preserve"> </w:t>
      </w:r>
      <w:r w:rsidRPr="007A00DE">
        <w:t>http://ec.europa.eu/environment/waste/pdf/tio2_simplification_report_iss3.pdf</w:t>
      </w:r>
    </w:p>
  </w:footnote>
  <w:footnote w:id="3">
    <w:p w14:paraId="4F4FBFA6" w14:textId="77777777" w:rsidR="00A625EF" w:rsidRDefault="00A625EF" w:rsidP="00A625EF">
      <w:pPr>
        <w:pStyle w:val="FootnoteText"/>
      </w:pPr>
      <w:r>
        <w:rPr>
          <w:rStyle w:val="FootnoteReference"/>
        </w:rPr>
        <w:footnoteRef/>
      </w:r>
      <w:r>
        <w:t xml:space="preserve"> </w:t>
      </w:r>
      <w:r w:rsidRPr="007A00DE">
        <w:t>http://ec.europa.eu/environment/waste/pdf/tio2_simplification_report_iss3.pdf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92B553" w14:textId="77777777" w:rsidR="00FB68CA" w:rsidRDefault="00FB68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2267576"/>
      <w:docPartObj>
        <w:docPartGallery w:val="Page Numbers (Top of Page)"/>
        <w:docPartUnique/>
      </w:docPartObj>
    </w:sdtPr>
    <w:sdtEndPr>
      <w:rPr>
        <w:noProof/>
      </w:rPr>
    </w:sdtEndPr>
    <w:sdtContent>
      <w:p w14:paraId="56622893" w14:textId="77777777" w:rsidR="00752EA6" w:rsidRDefault="00752EA6">
        <w:pPr>
          <w:pStyle w:val="Header"/>
          <w:jc w:val="center"/>
        </w:pPr>
        <w:r>
          <w:fldChar w:fldCharType="begin"/>
        </w:r>
        <w:r>
          <w:instrText xml:space="preserve"> PAGE   \* MERGEFORMAT </w:instrText>
        </w:r>
        <w:r>
          <w:fldChar w:fldCharType="separate"/>
        </w:r>
        <w:r w:rsidR="00841FDB">
          <w:rPr>
            <w:noProof/>
          </w:rPr>
          <w:t>2</w:t>
        </w:r>
        <w:r>
          <w:rPr>
            <w:noProof/>
          </w:rPr>
          <w:fldChar w:fldCharType="end"/>
        </w:r>
      </w:p>
    </w:sdtContent>
  </w:sdt>
  <w:p w14:paraId="0EBB772E" w14:textId="77777777" w:rsidR="00752EA6" w:rsidRDefault="00752EA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840E40" w14:textId="77777777" w:rsidR="00FB68CA" w:rsidRDefault="00FB68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985D16"/>
    <w:multiLevelType w:val="hybridMultilevel"/>
    <w:tmpl w:val="094AB26C"/>
    <w:lvl w:ilvl="0" w:tplc="DB88A8B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41773ABA"/>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2" w15:restartNumberingAfterBreak="0">
    <w:nsid w:val="776077F7"/>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abstractNum w:abstractNumId="3" w15:restartNumberingAfterBreak="0">
    <w:nsid w:val="7EA5625B"/>
    <w:multiLevelType w:val="multilevel"/>
    <w:tmpl w:val="355C7320"/>
    <w:lvl w:ilvl="0">
      <w:start w:val="2"/>
      <w:numFmt w:val="decimal"/>
      <w:lvlText w:val="%1."/>
      <w:lvlJc w:val="left"/>
      <w:pPr>
        <w:ind w:left="540" w:hanging="540"/>
      </w:pPr>
      <w:rPr>
        <w:rFonts w:hint="default"/>
        <w:color w:val="auto"/>
        <w:sz w:val="24"/>
      </w:rPr>
    </w:lvl>
    <w:lvl w:ilvl="1">
      <w:start w:val="1"/>
      <w:numFmt w:val="decimal"/>
      <w:lvlText w:val="%1.%2."/>
      <w:lvlJc w:val="left"/>
      <w:pPr>
        <w:ind w:left="870" w:hanging="720"/>
      </w:pPr>
      <w:rPr>
        <w:rFonts w:hint="default"/>
        <w:color w:val="auto"/>
        <w:sz w:val="24"/>
      </w:rPr>
    </w:lvl>
    <w:lvl w:ilvl="2">
      <w:start w:val="1"/>
      <w:numFmt w:val="decimal"/>
      <w:lvlText w:val="%1.%2.%3."/>
      <w:lvlJc w:val="left"/>
      <w:pPr>
        <w:ind w:left="1712" w:hanging="720"/>
      </w:pPr>
      <w:rPr>
        <w:rFonts w:hint="default"/>
        <w:color w:val="auto"/>
        <w:sz w:val="24"/>
      </w:rPr>
    </w:lvl>
    <w:lvl w:ilvl="3">
      <w:start w:val="1"/>
      <w:numFmt w:val="decimal"/>
      <w:lvlText w:val="%1.%2.%3.%4."/>
      <w:lvlJc w:val="left"/>
      <w:pPr>
        <w:ind w:left="1530" w:hanging="1080"/>
      </w:pPr>
      <w:rPr>
        <w:rFonts w:hint="default"/>
        <w:color w:val="auto"/>
        <w:sz w:val="24"/>
      </w:rPr>
    </w:lvl>
    <w:lvl w:ilvl="4">
      <w:start w:val="1"/>
      <w:numFmt w:val="decimal"/>
      <w:lvlText w:val="%1.%2.%3.%4.%5."/>
      <w:lvlJc w:val="left"/>
      <w:pPr>
        <w:ind w:left="1680" w:hanging="1080"/>
      </w:pPr>
      <w:rPr>
        <w:rFonts w:hint="default"/>
        <w:color w:val="auto"/>
        <w:sz w:val="24"/>
      </w:rPr>
    </w:lvl>
    <w:lvl w:ilvl="5">
      <w:start w:val="1"/>
      <w:numFmt w:val="decimal"/>
      <w:lvlText w:val="%1.%2.%3.%4.%5.%6."/>
      <w:lvlJc w:val="left"/>
      <w:pPr>
        <w:ind w:left="2190" w:hanging="1440"/>
      </w:pPr>
      <w:rPr>
        <w:rFonts w:hint="default"/>
        <w:color w:val="auto"/>
        <w:sz w:val="24"/>
      </w:rPr>
    </w:lvl>
    <w:lvl w:ilvl="6">
      <w:start w:val="1"/>
      <w:numFmt w:val="decimal"/>
      <w:lvlText w:val="%1.%2.%3.%4.%5.%6.%7."/>
      <w:lvlJc w:val="left"/>
      <w:pPr>
        <w:ind w:left="2700" w:hanging="1800"/>
      </w:pPr>
      <w:rPr>
        <w:rFonts w:hint="default"/>
        <w:color w:val="auto"/>
        <w:sz w:val="24"/>
      </w:rPr>
    </w:lvl>
    <w:lvl w:ilvl="7">
      <w:start w:val="1"/>
      <w:numFmt w:val="decimal"/>
      <w:lvlText w:val="%1.%2.%3.%4.%5.%6.%7.%8."/>
      <w:lvlJc w:val="left"/>
      <w:pPr>
        <w:ind w:left="2850" w:hanging="1800"/>
      </w:pPr>
      <w:rPr>
        <w:rFonts w:hint="default"/>
        <w:color w:val="auto"/>
        <w:sz w:val="24"/>
      </w:rPr>
    </w:lvl>
    <w:lvl w:ilvl="8">
      <w:start w:val="1"/>
      <w:numFmt w:val="decimal"/>
      <w:lvlText w:val="%1.%2.%3.%4.%5.%6.%7.%8.%9."/>
      <w:lvlJc w:val="left"/>
      <w:pPr>
        <w:ind w:left="3360" w:hanging="2160"/>
      </w:pPr>
      <w:rPr>
        <w:rFonts w:hint="default"/>
        <w:color w:val="auto"/>
        <w:sz w:val="24"/>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EA6"/>
    <w:rsid w:val="00004037"/>
    <w:rsid w:val="00015205"/>
    <w:rsid w:val="00096775"/>
    <w:rsid w:val="000D2158"/>
    <w:rsid w:val="000D6C3A"/>
    <w:rsid w:val="00102BF2"/>
    <w:rsid w:val="001118DD"/>
    <w:rsid w:val="0011541B"/>
    <w:rsid w:val="001353A3"/>
    <w:rsid w:val="001704BD"/>
    <w:rsid w:val="001B169D"/>
    <w:rsid w:val="001C5888"/>
    <w:rsid w:val="001D351A"/>
    <w:rsid w:val="001E5D93"/>
    <w:rsid w:val="001F2FFB"/>
    <w:rsid w:val="002021A6"/>
    <w:rsid w:val="002112BF"/>
    <w:rsid w:val="002700D1"/>
    <w:rsid w:val="002C4DB3"/>
    <w:rsid w:val="002D43FB"/>
    <w:rsid w:val="002E5D8A"/>
    <w:rsid w:val="00306471"/>
    <w:rsid w:val="00322EC3"/>
    <w:rsid w:val="003331FE"/>
    <w:rsid w:val="00372924"/>
    <w:rsid w:val="003E1F78"/>
    <w:rsid w:val="003E2282"/>
    <w:rsid w:val="00443DFB"/>
    <w:rsid w:val="00495E90"/>
    <w:rsid w:val="004B1BBD"/>
    <w:rsid w:val="004E1698"/>
    <w:rsid w:val="005052C2"/>
    <w:rsid w:val="00510B21"/>
    <w:rsid w:val="00531D7A"/>
    <w:rsid w:val="005350F0"/>
    <w:rsid w:val="005513AF"/>
    <w:rsid w:val="00574C19"/>
    <w:rsid w:val="00593FD3"/>
    <w:rsid w:val="005F33DF"/>
    <w:rsid w:val="00651A12"/>
    <w:rsid w:val="00662CB7"/>
    <w:rsid w:val="00680277"/>
    <w:rsid w:val="006B5081"/>
    <w:rsid w:val="006D6E3C"/>
    <w:rsid w:val="006E54DB"/>
    <w:rsid w:val="006E6888"/>
    <w:rsid w:val="006F566F"/>
    <w:rsid w:val="00721708"/>
    <w:rsid w:val="00724A5E"/>
    <w:rsid w:val="00725263"/>
    <w:rsid w:val="00752EA6"/>
    <w:rsid w:val="007C7EDD"/>
    <w:rsid w:val="007F12B1"/>
    <w:rsid w:val="00825513"/>
    <w:rsid w:val="00841FDB"/>
    <w:rsid w:val="008B44E2"/>
    <w:rsid w:val="008C1A21"/>
    <w:rsid w:val="00902D3A"/>
    <w:rsid w:val="009259FD"/>
    <w:rsid w:val="0094097B"/>
    <w:rsid w:val="009A65E9"/>
    <w:rsid w:val="009E2477"/>
    <w:rsid w:val="00A1259B"/>
    <w:rsid w:val="00A24724"/>
    <w:rsid w:val="00A51BC1"/>
    <w:rsid w:val="00A625EF"/>
    <w:rsid w:val="00A67507"/>
    <w:rsid w:val="00A6772E"/>
    <w:rsid w:val="00AA5B1B"/>
    <w:rsid w:val="00AB05E4"/>
    <w:rsid w:val="00AF71BC"/>
    <w:rsid w:val="00B54F22"/>
    <w:rsid w:val="00B9502D"/>
    <w:rsid w:val="00BC1A3B"/>
    <w:rsid w:val="00BE28F0"/>
    <w:rsid w:val="00BE3AFD"/>
    <w:rsid w:val="00C10C81"/>
    <w:rsid w:val="00C3404A"/>
    <w:rsid w:val="00C55D62"/>
    <w:rsid w:val="00C824D7"/>
    <w:rsid w:val="00C90766"/>
    <w:rsid w:val="00C9788B"/>
    <w:rsid w:val="00CD682C"/>
    <w:rsid w:val="00D23E3B"/>
    <w:rsid w:val="00DA1A52"/>
    <w:rsid w:val="00DF533F"/>
    <w:rsid w:val="00E55A09"/>
    <w:rsid w:val="00E67A5C"/>
    <w:rsid w:val="00E97771"/>
    <w:rsid w:val="00F22B5E"/>
    <w:rsid w:val="00F44FBF"/>
    <w:rsid w:val="00F60657"/>
    <w:rsid w:val="00FB0C32"/>
    <w:rsid w:val="00FB68CA"/>
    <w:rsid w:val="00FF25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51D1"/>
  <w15:chartTrackingRefBased/>
  <w15:docId w15:val="{B711443B-20AB-4CC0-A1F2-7B79DFD03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2EA6"/>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52EA6"/>
    <w:pPr>
      <w:spacing w:before="100" w:beforeAutospacing="1" w:after="100" w:afterAutospacing="1"/>
    </w:pPr>
  </w:style>
  <w:style w:type="paragraph" w:customStyle="1" w:styleId="naisf">
    <w:name w:val="naisf"/>
    <w:basedOn w:val="Normal"/>
    <w:rsid w:val="00752EA6"/>
    <w:pPr>
      <w:spacing w:before="75" w:after="75"/>
      <w:ind w:firstLine="375"/>
      <w:jc w:val="both"/>
    </w:pPr>
  </w:style>
  <w:style w:type="paragraph" w:customStyle="1" w:styleId="naiskr">
    <w:name w:val="naiskr"/>
    <w:basedOn w:val="Normal"/>
    <w:rsid w:val="00752EA6"/>
    <w:pPr>
      <w:spacing w:before="75" w:after="75"/>
    </w:pPr>
  </w:style>
  <w:style w:type="paragraph" w:customStyle="1" w:styleId="naisc">
    <w:name w:val="naisc"/>
    <w:basedOn w:val="Normal"/>
    <w:rsid w:val="00752EA6"/>
    <w:pPr>
      <w:spacing w:before="75" w:after="75"/>
      <w:jc w:val="center"/>
    </w:pPr>
  </w:style>
  <w:style w:type="paragraph" w:styleId="Header">
    <w:name w:val="header"/>
    <w:basedOn w:val="Normal"/>
    <w:link w:val="HeaderChar"/>
    <w:uiPriority w:val="99"/>
    <w:unhideWhenUsed/>
    <w:rsid w:val="00752EA6"/>
    <w:pPr>
      <w:tabs>
        <w:tab w:val="center" w:pos="4153"/>
        <w:tab w:val="right" w:pos="8306"/>
      </w:tabs>
    </w:pPr>
  </w:style>
  <w:style w:type="character" w:customStyle="1" w:styleId="HeaderChar">
    <w:name w:val="Header Char"/>
    <w:basedOn w:val="DefaultParagraphFont"/>
    <w:link w:val="Header"/>
    <w:uiPriority w:val="99"/>
    <w:rsid w:val="00752EA6"/>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752EA6"/>
    <w:pPr>
      <w:tabs>
        <w:tab w:val="center" w:pos="4153"/>
        <w:tab w:val="right" w:pos="8306"/>
      </w:tabs>
    </w:pPr>
  </w:style>
  <w:style w:type="character" w:customStyle="1" w:styleId="FooterChar">
    <w:name w:val="Footer Char"/>
    <w:basedOn w:val="DefaultParagraphFont"/>
    <w:link w:val="Footer"/>
    <w:uiPriority w:val="99"/>
    <w:rsid w:val="00752EA6"/>
    <w:rPr>
      <w:rFonts w:ascii="Times New Roman" w:eastAsia="Times New Roman" w:hAnsi="Times New Roman" w:cs="Times New Roman"/>
      <w:sz w:val="24"/>
      <w:szCs w:val="24"/>
      <w:lang w:eastAsia="lv-LV"/>
    </w:rPr>
  </w:style>
  <w:style w:type="character" w:styleId="Hyperlink">
    <w:name w:val="Hyperlink"/>
    <w:basedOn w:val="DefaultParagraphFont"/>
    <w:uiPriority w:val="99"/>
    <w:unhideWhenUsed/>
    <w:rsid w:val="003E1F78"/>
    <w:rPr>
      <w:color w:val="0563C1" w:themeColor="hyperlink"/>
      <w:u w:val="single"/>
    </w:rPr>
  </w:style>
  <w:style w:type="character" w:styleId="CommentReference">
    <w:name w:val="annotation reference"/>
    <w:basedOn w:val="DefaultParagraphFont"/>
    <w:uiPriority w:val="99"/>
    <w:semiHidden/>
    <w:unhideWhenUsed/>
    <w:rsid w:val="002E5D8A"/>
    <w:rPr>
      <w:sz w:val="16"/>
      <w:szCs w:val="16"/>
    </w:rPr>
  </w:style>
  <w:style w:type="paragraph" w:styleId="CommentText">
    <w:name w:val="annotation text"/>
    <w:basedOn w:val="Normal"/>
    <w:link w:val="CommentTextChar"/>
    <w:uiPriority w:val="99"/>
    <w:semiHidden/>
    <w:unhideWhenUsed/>
    <w:rsid w:val="002E5D8A"/>
    <w:rPr>
      <w:sz w:val="20"/>
      <w:szCs w:val="20"/>
    </w:rPr>
  </w:style>
  <w:style w:type="character" w:customStyle="1" w:styleId="CommentTextChar">
    <w:name w:val="Comment Text Char"/>
    <w:basedOn w:val="DefaultParagraphFont"/>
    <w:link w:val="CommentText"/>
    <w:uiPriority w:val="99"/>
    <w:semiHidden/>
    <w:rsid w:val="002E5D8A"/>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2E5D8A"/>
    <w:rPr>
      <w:b/>
      <w:bCs/>
    </w:rPr>
  </w:style>
  <w:style w:type="character" w:customStyle="1" w:styleId="CommentSubjectChar">
    <w:name w:val="Comment Subject Char"/>
    <w:basedOn w:val="CommentTextChar"/>
    <w:link w:val="CommentSubject"/>
    <w:uiPriority w:val="99"/>
    <w:semiHidden/>
    <w:rsid w:val="002E5D8A"/>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2E5D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D8A"/>
    <w:rPr>
      <w:rFonts w:ascii="Segoe UI" w:eastAsia="Times New Roman" w:hAnsi="Segoe UI" w:cs="Segoe UI"/>
      <w:sz w:val="18"/>
      <w:szCs w:val="18"/>
      <w:lang w:eastAsia="lv-LV"/>
    </w:rPr>
  </w:style>
  <w:style w:type="paragraph" w:styleId="ListParagraph">
    <w:name w:val="List Paragraph"/>
    <w:basedOn w:val="Normal"/>
    <w:uiPriority w:val="34"/>
    <w:qFormat/>
    <w:rsid w:val="002700D1"/>
    <w:pPr>
      <w:spacing w:after="160" w:line="259" w:lineRule="auto"/>
      <w:ind w:left="720"/>
      <w:contextualSpacing/>
    </w:pPr>
    <w:rPr>
      <w:rFonts w:asciiTheme="minorHAnsi" w:eastAsiaTheme="minorHAnsi" w:hAnsiTheme="minorHAnsi" w:cstheme="minorBidi"/>
      <w:sz w:val="22"/>
      <w:szCs w:val="22"/>
      <w:lang w:eastAsia="en-US"/>
    </w:rPr>
  </w:style>
  <w:style w:type="paragraph" w:customStyle="1" w:styleId="tv2131">
    <w:name w:val="tv2131"/>
    <w:basedOn w:val="Normal"/>
    <w:rsid w:val="006E6888"/>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E6888"/>
    <w:rPr>
      <w:sz w:val="20"/>
      <w:szCs w:val="20"/>
    </w:rPr>
  </w:style>
  <w:style w:type="character" w:customStyle="1" w:styleId="FootnoteTextChar">
    <w:name w:val="Footnote Text Char"/>
    <w:basedOn w:val="DefaultParagraphFont"/>
    <w:link w:val="FootnoteText"/>
    <w:uiPriority w:val="99"/>
    <w:semiHidden/>
    <w:rsid w:val="006E6888"/>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semiHidden/>
    <w:unhideWhenUsed/>
    <w:rsid w:val="006E6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842001">
      <w:bodyDiv w:val="1"/>
      <w:marLeft w:val="0"/>
      <w:marRight w:val="0"/>
      <w:marTop w:val="0"/>
      <w:marBottom w:val="0"/>
      <w:divBdr>
        <w:top w:val="none" w:sz="0" w:space="0" w:color="auto"/>
        <w:left w:val="none" w:sz="0" w:space="0" w:color="auto"/>
        <w:bottom w:val="none" w:sz="0" w:space="0" w:color="auto"/>
        <w:right w:val="none" w:sz="0" w:space="0" w:color="auto"/>
      </w:divBdr>
    </w:div>
    <w:div w:id="1073548709">
      <w:bodyDiv w:val="1"/>
      <w:marLeft w:val="0"/>
      <w:marRight w:val="0"/>
      <w:marTop w:val="0"/>
      <w:marBottom w:val="0"/>
      <w:divBdr>
        <w:top w:val="none" w:sz="0" w:space="0" w:color="auto"/>
        <w:left w:val="none" w:sz="0" w:space="0" w:color="auto"/>
        <w:bottom w:val="none" w:sz="0" w:space="0" w:color="auto"/>
        <w:right w:val="none" w:sz="0" w:space="0" w:color="auto"/>
      </w:divBdr>
    </w:div>
    <w:div w:id="1097285680">
      <w:bodyDiv w:val="1"/>
      <w:marLeft w:val="0"/>
      <w:marRight w:val="0"/>
      <w:marTop w:val="0"/>
      <w:marBottom w:val="0"/>
      <w:divBdr>
        <w:top w:val="none" w:sz="0" w:space="0" w:color="auto"/>
        <w:left w:val="none" w:sz="0" w:space="0" w:color="auto"/>
        <w:bottom w:val="none" w:sz="0" w:space="0" w:color="auto"/>
        <w:right w:val="none" w:sz="0" w:space="0" w:color="auto"/>
      </w:divBdr>
    </w:div>
    <w:div w:id="1309242022">
      <w:bodyDiv w:val="1"/>
      <w:marLeft w:val="0"/>
      <w:marRight w:val="0"/>
      <w:marTop w:val="0"/>
      <w:marBottom w:val="0"/>
      <w:divBdr>
        <w:top w:val="none" w:sz="0" w:space="0" w:color="auto"/>
        <w:left w:val="none" w:sz="0" w:space="0" w:color="auto"/>
        <w:bottom w:val="none" w:sz="0" w:space="0" w:color="auto"/>
        <w:right w:val="none" w:sz="0" w:space="0" w:color="auto"/>
      </w:divBdr>
    </w:div>
    <w:div w:id="171720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CAE85-C763-49D6-9AB6-EA3C5BF65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11363</Words>
  <Characters>6478</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Ministru kabineta noteikumu projektu ,,Grozījumi Ministru kabineta 2011. gada 21. jūnija noteikumos Nr. 485,,Atsevišķu veidu bīstamo atkritumu apsaimniekošanas kārtība”” (VSS - – 1214)</vt:lpstr>
    </vt:vector>
  </TitlesOfParts>
  <Company>VARAM</Company>
  <LinksUpToDate>false</LinksUpToDate>
  <CharactersWithSpaces>17806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2011. gada 21. jūnija noteikumos Nr. 485,,Atsevišķu veidu bīstamo atkritumu apsaimniekošanas kārtība”” (VSS - – 1214)</dc:title>
  <dc:subject>Izziņa</dc:subject>
  <dc:creator>Ilze Doniņa</dc:creator>
  <cp:keywords/>
  <dc:description>ilze.donina@varam.gov.lv, 67026515</dc:description>
  <cp:lastModifiedBy>Dmitrijs Dmitrijevs</cp:lastModifiedBy>
  <cp:revision>4</cp:revision>
  <dcterms:created xsi:type="dcterms:W3CDTF">2019-04-30T10:08:00Z</dcterms:created>
  <dcterms:modified xsi:type="dcterms:W3CDTF">2019-04-30T11:01:00Z</dcterms:modified>
</cp:coreProperties>
</file>