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2A3B5" w14:textId="6A77C512" w:rsidR="00DF0D9F" w:rsidRPr="00364EDD" w:rsidRDefault="00965309" w:rsidP="00DF0D9F">
      <w:pPr>
        <w:pStyle w:val="Footer"/>
        <w:ind w:firstLine="0"/>
        <w:jc w:val="center"/>
        <w:rPr>
          <w:b/>
          <w:szCs w:val="28"/>
        </w:rPr>
      </w:pPr>
      <w:r w:rsidRPr="00364EDD">
        <w:rPr>
          <w:b/>
          <w:szCs w:val="28"/>
        </w:rPr>
        <w:t>Ministru kabineta noteikumu projekta</w:t>
      </w:r>
      <w:r w:rsidR="000C6111" w:rsidRPr="00364EDD">
        <w:rPr>
          <w:b/>
          <w:szCs w:val="28"/>
        </w:rPr>
        <w:t xml:space="preserve"> </w:t>
      </w:r>
      <w:r w:rsidR="00583874" w:rsidRPr="00364EDD">
        <w:rPr>
          <w:b/>
          <w:szCs w:val="28"/>
        </w:rPr>
        <w:t>“</w:t>
      </w:r>
      <w:r w:rsidR="00716858" w:rsidRPr="00364EDD">
        <w:rPr>
          <w:b/>
          <w:szCs w:val="28"/>
        </w:rPr>
        <w:t xml:space="preserve">Valsts materiālajās rezervēs </w:t>
      </w:r>
      <w:r w:rsidR="00334287" w:rsidRPr="00364EDD">
        <w:rPr>
          <w:b/>
          <w:szCs w:val="28"/>
        </w:rPr>
        <w:t xml:space="preserve">ietilpstošo </w:t>
      </w:r>
      <w:r w:rsidR="00716858" w:rsidRPr="00364EDD">
        <w:rPr>
          <w:b/>
          <w:szCs w:val="28"/>
        </w:rPr>
        <w:t>zāļu un medicīnisk</w:t>
      </w:r>
      <w:r w:rsidR="00E574AF" w:rsidRPr="00364EDD">
        <w:rPr>
          <w:b/>
          <w:szCs w:val="28"/>
        </w:rPr>
        <w:t>o</w:t>
      </w:r>
      <w:r w:rsidR="00716858" w:rsidRPr="00364EDD">
        <w:rPr>
          <w:b/>
          <w:szCs w:val="28"/>
        </w:rPr>
        <w:t xml:space="preserve"> ierīču atsavināšanas kārtība</w:t>
      </w:r>
      <w:r w:rsidR="00583874" w:rsidRPr="00364EDD">
        <w:rPr>
          <w:b/>
          <w:szCs w:val="28"/>
        </w:rPr>
        <w:t xml:space="preserve">” </w:t>
      </w:r>
      <w:r w:rsidR="00DF0D9F" w:rsidRPr="00364EDD">
        <w:rPr>
          <w:b/>
          <w:szCs w:val="28"/>
        </w:rPr>
        <w:t>sākotnējās ietekmes novērtējuma ziņojums (anotācija)</w:t>
      </w:r>
      <w:r w:rsidR="00583874" w:rsidRPr="00364EDD">
        <w:rPr>
          <w:b/>
          <w:szCs w:val="28"/>
        </w:rPr>
        <w:t xml:space="preserve"> </w:t>
      </w:r>
    </w:p>
    <w:p w14:paraId="6D7F5C46" w14:textId="77777777" w:rsidR="00965309" w:rsidRPr="00364EDD" w:rsidRDefault="00DF0D9F" w:rsidP="00DF0D9F">
      <w:pPr>
        <w:jc w:val="center"/>
        <w:rPr>
          <w:b/>
          <w:bCs/>
          <w:szCs w:val="28"/>
          <w:lang w:eastAsia="lv-LV"/>
        </w:rPr>
      </w:pPr>
      <w:r w:rsidRPr="00364EDD">
        <w:rPr>
          <w:b/>
          <w:bCs/>
          <w:szCs w:val="28"/>
          <w:lang w:eastAsia="lv-LV"/>
        </w:rPr>
        <w:t xml:space="preserve"> </w:t>
      </w:r>
    </w:p>
    <w:tbl>
      <w:tblPr>
        <w:tblW w:w="5161"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712"/>
        <w:gridCol w:w="5701"/>
      </w:tblGrid>
      <w:tr w:rsidR="006344D1" w:rsidRPr="00364EDD" w14:paraId="115AD24B" w14:textId="77777777" w:rsidTr="006344D1">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A03DDA5" w14:textId="77777777" w:rsidR="006344D1" w:rsidRPr="00364EDD" w:rsidRDefault="006344D1" w:rsidP="001B36A4">
            <w:pPr>
              <w:spacing w:before="100" w:beforeAutospacing="1" w:after="100" w:afterAutospacing="1" w:line="293" w:lineRule="atLeast"/>
              <w:jc w:val="center"/>
              <w:rPr>
                <w:rFonts w:eastAsia="Times New Roman"/>
                <w:b/>
                <w:bCs/>
                <w:sz w:val="24"/>
                <w:szCs w:val="24"/>
                <w:lang w:eastAsia="lv-LV"/>
              </w:rPr>
            </w:pPr>
            <w:r w:rsidRPr="00364EDD">
              <w:rPr>
                <w:rFonts w:eastAsia="Times New Roman"/>
                <w:b/>
                <w:bCs/>
                <w:sz w:val="24"/>
                <w:szCs w:val="24"/>
                <w:lang w:eastAsia="lv-LV"/>
              </w:rPr>
              <w:t>Tiesību akta projekta anotācijas kopsavilkums</w:t>
            </w:r>
          </w:p>
        </w:tc>
      </w:tr>
      <w:tr w:rsidR="006344D1" w:rsidRPr="00364EDD" w14:paraId="75A4024D" w14:textId="77777777" w:rsidTr="006344D1">
        <w:tc>
          <w:tcPr>
            <w:tcW w:w="1972" w:type="pct"/>
            <w:tcBorders>
              <w:top w:val="outset" w:sz="6" w:space="0" w:color="414142"/>
              <w:left w:val="outset" w:sz="6" w:space="0" w:color="414142"/>
              <w:bottom w:val="outset" w:sz="6" w:space="0" w:color="414142"/>
              <w:right w:val="outset" w:sz="6" w:space="0" w:color="414142"/>
            </w:tcBorders>
            <w:hideMark/>
          </w:tcPr>
          <w:p w14:paraId="6442486F" w14:textId="77777777" w:rsidR="006344D1" w:rsidRPr="00364EDD" w:rsidRDefault="006344D1" w:rsidP="001B36A4">
            <w:pPr>
              <w:rPr>
                <w:rFonts w:eastAsia="Times New Roman"/>
                <w:szCs w:val="28"/>
                <w:lang w:eastAsia="lv-LV"/>
              </w:rPr>
            </w:pPr>
            <w:r w:rsidRPr="00364EDD">
              <w:rPr>
                <w:rFonts w:eastAsia="Times New Roman"/>
                <w:szCs w:val="28"/>
                <w:lang w:eastAsia="lv-LV"/>
              </w:rPr>
              <w:t>Mērķis, risinājums un projekta spēkā stāšanās laiks (500 zīmes bez atstarpēm)</w:t>
            </w:r>
          </w:p>
        </w:tc>
        <w:tc>
          <w:tcPr>
            <w:tcW w:w="3028" w:type="pct"/>
            <w:tcBorders>
              <w:top w:val="outset" w:sz="6" w:space="0" w:color="414142"/>
              <w:left w:val="outset" w:sz="6" w:space="0" w:color="414142"/>
              <w:bottom w:val="outset" w:sz="6" w:space="0" w:color="414142"/>
              <w:right w:val="outset" w:sz="6" w:space="0" w:color="414142"/>
            </w:tcBorders>
            <w:hideMark/>
          </w:tcPr>
          <w:p w14:paraId="5DE1A536" w14:textId="6004082F" w:rsidR="0004231E" w:rsidRPr="00364EDD" w:rsidRDefault="006344D1" w:rsidP="009C6E84">
            <w:pPr>
              <w:tabs>
                <w:tab w:val="left" w:pos="1134"/>
              </w:tabs>
              <w:rPr>
                <w:szCs w:val="28"/>
              </w:rPr>
            </w:pPr>
            <w:r w:rsidRPr="00364EDD">
              <w:rPr>
                <w:szCs w:val="28"/>
              </w:rPr>
              <w:t xml:space="preserve">Ministru kabineta noteikumu projekts </w:t>
            </w:r>
            <w:r w:rsidR="00583874" w:rsidRPr="00364EDD">
              <w:rPr>
                <w:szCs w:val="28"/>
              </w:rPr>
              <w:t>“</w:t>
            </w:r>
            <w:r w:rsidR="00716858" w:rsidRPr="00364EDD">
              <w:rPr>
                <w:szCs w:val="28"/>
              </w:rPr>
              <w:t xml:space="preserve">Valsts materiālajās rezervēs </w:t>
            </w:r>
            <w:r w:rsidR="00EE1B7E" w:rsidRPr="00364EDD">
              <w:rPr>
                <w:szCs w:val="28"/>
              </w:rPr>
              <w:t xml:space="preserve">ietilpstošo </w:t>
            </w:r>
            <w:r w:rsidR="00716858" w:rsidRPr="00364EDD">
              <w:rPr>
                <w:szCs w:val="28"/>
              </w:rPr>
              <w:t>zāļu un medicīnisk</w:t>
            </w:r>
            <w:r w:rsidR="00D03ED6" w:rsidRPr="00364EDD">
              <w:rPr>
                <w:szCs w:val="28"/>
              </w:rPr>
              <w:t>o</w:t>
            </w:r>
            <w:r w:rsidR="00716858" w:rsidRPr="00364EDD">
              <w:rPr>
                <w:szCs w:val="28"/>
              </w:rPr>
              <w:t xml:space="preserve"> ierīču atsavināšanas kārtība</w:t>
            </w:r>
            <w:r w:rsidR="00583874" w:rsidRPr="00364EDD">
              <w:rPr>
                <w:szCs w:val="28"/>
              </w:rPr>
              <w:t xml:space="preserve">” </w:t>
            </w:r>
            <w:r w:rsidRPr="00364EDD">
              <w:rPr>
                <w:szCs w:val="28"/>
              </w:rPr>
              <w:t xml:space="preserve">(turpmāk – noteikumu projekts) paredz noteikt vienotu kārtību, kādā </w:t>
            </w:r>
            <w:r w:rsidR="00716858" w:rsidRPr="00364EDD">
              <w:rPr>
                <w:szCs w:val="28"/>
              </w:rPr>
              <w:t xml:space="preserve">atsavina valsts materiālajās rezervēs </w:t>
            </w:r>
            <w:r w:rsidR="00D41A5F" w:rsidRPr="00364EDD">
              <w:rPr>
                <w:szCs w:val="28"/>
              </w:rPr>
              <w:t xml:space="preserve">ietilpstošās </w:t>
            </w:r>
            <w:r w:rsidR="00716858" w:rsidRPr="00364EDD">
              <w:rPr>
                <w:szCs w:val="28"/>
              </w:rPr>
              <w:t>zāles un medicīniskās ierīces</w:t>
            </w:r>
            <w:r w:rsidR="000A4DBF" w:rsidRPr="00364EDD">
              <w:rPr>
                <w:szCs w:val="28"/>
              </w:rPr>
              <w:t>.</w:t>
            </w:r>
          </w:p>
          <w:p w14:paraId="4FD8EB4E" w14:textId="10C158E8" w:rsidR="004F7F74" w:rsidRPr="00364EDD" w:rsidRDefault="004F7F74" w:rsidP="004F7F74">
            <w:pPr>
              <w:tabs>
                <w:tab w:val="left" w:pos="1134"/>
              </w:tabs>
              <w:rPr>
                <w:bCs/>
                <w:iCs/>
                <w:szCs w:val="28"/>
              </w:rPr>
            </w:pPr>
            <w:r w:rsidRPr="00364EDD">
              <w:rPr>
                <w:bCs/>
                <w:iCs/>
                <w:szCs w:val="28"/>
              </w:rPr>
              <w:t xml:space="preserve">Noteikumu mērķis ir pēc iespējas samazināt no valsts budžeta līdzekļiem nepieciešamo finansējumu jaunu valsts materiālajās rezervēs ietilpstošo zāļu un medicīnisko ierīču iegādei, pārdodot esošos resursus, kas drīzumā kļūs nederīgi, un aizstātu pret jaunākiem resursiem. Tādējādi nodrošinot </w:t>
            </w:r>
            <w:r w:rsidR="005451B0" w:rsidRPr="00364EDD">
              <w:rPr>
                <w:bCs/>
                <w:iCs/>
                <w:szCs w:val="28"/>
              </w:rPr>
              <w:t xml:space="preserve">valsts </w:t>
            </w:r>
            <w:r w:rsidRPr="00364EDD">
              <w:rPr>
                <w:bCs/>
                <w:iCs/>
                <w:szCs w:val="28"/>
              </w:rPr>
              <w:t>materiālo rezervju gatavību izmantošanai katastrofu, militāru un citu apdraudējumu gadījumos.</w:t>
            </w:r>
          </w:p>
          <w:p w14:paraId="348BEF1F" w14:textId="77777777" w:rsidR="00D67796" w:rsidRPr="00364EDD" w:rsidRDefault="00D67796" w:rsidP="00D67796">
            <w:pPr>
              <w:ind w:firstLine="539"/>
              <w:rPr>
                <w:szCs w:val="28"/>
              </w:rPr>
            </w:pPr>
          </w:p>
          <w:p w14:paraId="77613E51" w14:textId="655BDC19" w:rsidR="006344D1" w:rsidRPr="00364EDD" w:rsidRDefault="000A4DBF" w:rsidP="00D67796">
            <w:pPr>
              <w:ind w:firstLine="539"/>
              <w:rPr>
                <w:szCs w:val="28"/>
              </w:rPr>
            </w:pPr>
            <w:r w:rsidRPr="00364EDD">
              <w:rPr>
                <w:szCs w:val="28"/>
              </w:rPr>
              <w:t>N</w:t>
            </w:r>
            <w:r w:rsidR="0076711D" w:rsidRPr="00364EDD">
              <w:rPr>
                <w:szCs w:val="28"/>
              </w:rPr>
              <w:t>oteikumu</w:t>
            </w:r>
            <w:r w:rsidR="006344D1" w:rsidRPr="00364EDD">
              <w:rPr>
                <w:szCs w:val="28"/>
              </w:rPr>
              <w:t xml:space="preserve"> projekts </w:t>
            </w:r>
            <w:r w:rsidRPr="00364EDD">
              <w:rPr>
                <w:szCs w:val="28"/>
              </w:rPr>
              <w:t xml:space="preserve">stāsies spēkā </w:t>
            </w:r>
            <w:r w:rsidR="00D16A1E" w:rsidRPr="00364EDD">
              <w:rPr>
                <w:szCs w:val="28"/>
              </w:rPr>
              <w:t>Oficiālo publikāciju un tiesiskās informācijas likumā noteiktajā kārtībā</w:t>
            </w:r>
            <w:r w:rsidR="006344D1" w:rsidRPr="00364EDD">
              <w:rPr>
                <w:szCs w:val="28"/>
              </w:rPr>
              <w:t>.</w:t>
            </w:r>
          </w:p>
          <w:p w14:paraId="68A0A342" w14:textId="77777777" w:rsidR="0004231E" w:rsidRPr="00364EDD" w:rsidRDefault="0004231E" w:rsidP="005612EA">
            <w:pPr>
              <w:tabs>
                <w:tab w:val="left" w:pos="1134"/>
              </w:tabs>
              <w:rPr>
                <w:rFonts w:eastAsia="Times New Roman"/>
                <w:szCs w:val="28"/>
                <w:lang w:eastAsia="lv-LV"/>
              </w:rPr>
            </w:pPr>
          </w:p>
        </w:tc>
      </w:tr>
    </w:tbl>
    <w:p w14:paraId="2FF93052" w14:textId="77777777" w:rsidR="006344D1" w:rsidRPr="00364EDD" w:rsidRDefault="006344D1" w:rsidP="00DF0D9F">
      <w:pPr>
        <w:jc w:val="center"/>
        <w:rPr>
          <w:szCs w:val="28"/>
        </w:rPr>
      </w:pPr>
    </w:p>
    <w:tbl>
      <w:tblPr>
        <w:tblStyle w:val="TableGrid"/>
        <w:tblpPr w:leftFromText="180" w:rightFromText="180" w:vertAnchor="text" w:tblpXSpec="right" w:tblpY="1"/>
        <w:tblOverlap w:val="never"/>
        <w:tblW w:w="5164" w:type="pct"/>
        <w:tblLook w:val="00A0" w:firstRow="1" w:lastRow="0" w:firstColumn="1" w:lastColumn="0" w:noHBand="0" w:noVBand="0"/>
      </w:tblPr>
      <w:tblGrid>
        <w:gridCol w:w="721"/>
        <w:gridCol w:w="3052"/>
        <w:gridCol w:w="5819"/>
      </w:tblGrid>
      <w:tr w:rsidR="00965309" w:rsidRPr="00364EDD" w14:paraId="1F956FEC" w14:textId="77777777" w:rsidTr="00217FB7">
        <w:trPr>
          <w:trHeight w:val="405"/>
        </w:trPr>
        <w:tc>
          <w:tcPr>
            <w:tcW w:w="5000" w:type="pct"/>
            <w:gridSpan w:val="3"/>
          </w:tcPr>
          <w:p w14:paraId="05BF8672" w14:textId="77777777" w:rsidR="00965309" w:rsidRPr="00364EDD" w:rsidRDefault="00965309" w:rsidP="00217FB7">
            <w:pPr>
              <w:spacing w:before="100" w:beforeAutospacing="1" w:after="100" w:afterAutospacing="1"/>
              <w:ind w:firstLine="0"/>
              <w:jc w:val="center"/>
              <w:rPr>
                <w:b/>
                <w:bCs/>
                <w:szCs w:val="28"/>
                <w:lang w:eastAsia="lv-LV"/>
              </w:rPr>
            </w:pPr>
            <w:r w:rsidRPr="00364EDD">
              <w:rPr>
                <w:b/>
                <w:bCs/>
                <w:szCs w:val="28"/>
                <w:lang w:eastAsia="lv-LV"/>
              </w:rPr>
              <w:t>I. Tiesību akta projekta izstrādes nepieciešamība</w:t>
            </w:r>
          </w:p>
        </w:tc>
      </w:tr>
      <w:tr w:rsidR="00965309" w:rsidRPr="00364EDD" w14:paraId="5241DD85" w14:textId="77777777" w:rsidTr="00217FB7">
        <w:trPr>
          <w:trHeight w:val="405"/>
        </w:trPr>
        <w:tc>
          <w:tcPr>
            <w:tcW w:w="376" w:type="pct"/>
          </w:tcPr>
          <w:p w14:paraId="42F38687" w14:textId="77777777" w:rsidR="00965309" w:rsidRPr="00364EDD" w:rsidRDefault="00965309" w:rsidP="00217FB7">
            <w:pPr>
              <w:spacing w:before="100" w:beforeAutospacing="1" w:after="100" w:afterAutospacing="1"/>
              <w:ind w:firstLine="0"/>
              <w:jc w:val="center"/>
              <w:rPr>
                <w:szCs w:val="28"/>
                <w:lang w:eastAsia="lv-LV"/>
              </w:rPr>
            </w:pPr>
            <w:r w:rsidRPr="00364EDD">
              <w:rPr>
                <w:szCs w:val="28"/>
                <w:lang w:eastAsia="lv-LV"/>
              </w:rPr>
              <w:t>1.</w:t>
            </w:r>
          </w:p>
        </w:tc>
        <w:tc>
          <w:tcPr>
            <w:tcW w:w="1591" w:type="pct"/>
          </w:tcPr>
          <w:p w14:paraId="137CC210" w14:textId="77777777" w:rsidR="00965309" w:rsidRPr="00364EDD" w:rsidRDefault="00965309" w:rsidP="00217FB7">
            <w:pPr>
              <w:ind w:firstLine="0"/>
              <w:jc w:val="left"/>
              <w:rPr>
                <w:szCs w:val="28"/>
                <w:lang w:eastAsia="lv-LV"/>
              </w:rPr>
            </w:pPr>
            <w:r w:rsidRPr="00364EDD">
              <w:rPr>
                <w:szCs w:val="28"/>
                <w:lang w:eastAsia="lv-LV"/>
              </w:rPr>
              <w:t>Pamatojums</w:t>
            </w:r>
          </w:p>
        </w:tc>
        <w:tc>
          <w:tcPr>
            <w:tcW w:w="3033" w:type="pct"/>
          </w:tcPr>
          <w:p w14:paraId="342D8B32" w14:textId="15BAC9B2" w:rsidR="00965309" w:rsidRPr="00364EDD" w:rsidRDefault="00D74B88" w:rsidP="00EF0337">
            <w:pPr>
              <w:pStyle w:val="Heading5"/>
              <w:ind w:firstLine="513"/>
              <w:jc w:val="both"/>
              <w:rPr>
                <w:b w:val="0"/>
                <w:lang w:eastAsia="lv-LV"/>
              </w:rPr>
            </w:pPr>
            <w:r w:rsidRPr="00364EDD">
              <w:rPr>
                <w:b w:val="0"/>
              </w:rPr>
              <w:t>Valsts materiālo rezervju</w:t>
            </w:r>
            <w:r w:rsidR="00CD6044" w:rsidRPr="00364EDD">
              <w:rPr>
                <w:b w:val="0"/>
              </w:rPr>
              <w:t xml:space="preserve"> likum</w:t>
            </w:r>
            <w:r w:rsidR="003C3021" w:rsidRPr="00364EDD">
              <w:rPr>
                <w:b w:val="0"/>
              </w:rPr>
              <w:t>a</w:t>
            </w:r>
            <w:r w:rsidR="00635085" w:rsidRPr="00364EDD">
              <w:rPr>
                <w:b w:val="0"/>
              </w:rPr>
              <w:t xml:space="preserve"> </w:t>
            </w:r>
            <w:r w:rsidR="006875A8" w:rsidRPr="00364EDD">
              <w:rPr>
                <w:b w:val="0"/>
              </w:rPr>
              <w:t>8</w:t>
            </w:r>
            <w:r w:rsidRPr="00364EDD">
              <w:rPr>
                <w:b w:val="0"/>
                <w:iCs/>
                <w:lang w:eastAsia="lv-LV"/>
              </w:rPr>
              <w:t xml:space="preserve">.panta </w:t>
            </w:r>
            <w:r w:rsidR="00E227DC" w:rsidRPr="00364EDD">
              <w:rPr>
                <w:b w:val="0"/>
                <w:iCs/>
                <w:lang w:eastAsia="lv-LV"/>
              </w:rPr>
              <w:t>otrā</w:t>
            </w:r>
            <w:r w:rsidR="00D67796" w:rsidRPr="00364EDD">
              <w:rPr>
                <w:b w:val="0"/>
                <w:iCs/>
                <w:lang w:eastAsia="lv-LV"/>
              </w:rPr>
              <w:t xml:space="preserve"> </w:t>
            </w:r>
            <w:r w:rsidRPr="00364EDD">
              <w:rPr>
                <w:b w:val="0"/>
                <w:iCs/>
                <w:lang w:eastAsia="lv-LV"/>
              </w:rPr>
              <w:t xml:space="preserve">daļa </w:t>
            </w:r>
          </w:p>
        </w:tc>
      </w:tr>
      <w:tr w:rsidR="00965309" w:rsidRPr="00364EDD" w14:paraId="1CAE42CD" w14:textId="77777777" w:rsidTr="009509DE">
        <w:trPr>
          <w:trHeight w:val="1406"/>
        </w:trPr>
        <w:tc>
          <w:tcPr>
            <w:tcW w:w="376" w:type="pct"/>
          </w:tcPr>
          <w:p w14:paraId="43DC27C9" w14:textId="77777777" w:rsidR="00965309" w:rsidRPr="00364EDD" w:rsidRDefault="00965309" w:rsidP="00217FB7">
            <w:pPr>
              <w:spacing w:before="100" w:beforeAutospacing="1" w:after="100" w:afterAutospacing="1"/>
              <w:ind w:firstLine="0"/>
              <w:jc w:val="center"/>
              <w:rPr>
                <w:szCs w:val="28"/>
                <w:lang w:eastAsia="lv-LV"/>
              </w:rPr>
            </w:pPr>
            <w:r w:rsidRPr="00364EDD">
              <w:rPr>
                <w:szCs w:val="28"/>
                <w:lang w:eastAsia="lv-LV"/>
              </w:rPr>
              <w:t>2.</w:t>
            </w:r>
          </w:p>
        </w:tc>
        <w:tc>
          <w:tcPr>
            <w:tcW w:w="1591" w:type="pct"/>
          </w:tcPr>
          <w:p w14:paraId="6FEF1625" w14:textId="77777777" w:rsidR="00965309" w:rsidRPr="00364EDD" w:rsidRDefault="00965309" w:rsidP="00217FB7">
            <w:pPr>
              <w:ind w:firstLine="0"/>
              <w:jc w:val="left"/>
              <w:rPr>
                <w:szCs w:val="28"/>
                <w:lang w:eastAsia="lv-LV"/>
              </w:rPr>
            </w:pPr>
            <w:r w:rsidRPr="00364EDD">
              <w:rPr>
                <w:szCs w:val="28"/>
                <w:lang w:eastAsia="lv-LV"/>
              </w:rPr>
              <w:t>Pašreizējā situācija un problēmas, kuru risināšanai tiesību akta projekts izstrādāts, tiesiskā regulējuma mērķis un būtība</w:t>
            </w:r>
          </w:p>
        </w:tc>
        <w:tc>
          <w:tcPr>
            <w:tcW w:w="3033" w:type="pct"/>
          </w:tcPr>
          <w:p w14:paraId="50FF4EB5" w14:textId="1720DAE2" w:rsidR="00397A24" w:rsidRPr="00364EDD" w:rsidRDefault="00203145" w:rsidP="004B08A6">
            <w:pPr>
              <w:ind w:firstLine="400"/>
              <w:rPr>
                <w:iCs/>
                <w:szCs w:val="28"/>
              </w:rPr>
            </w:pPr>
            <w:r w:rsidRPr="00364EDD">
              <w:rPr>
                <w:iCs/>
                <w:szCs w:val="28"/>
              </w:rPr>
              <w:t>Ministru kabineta 2009.gada 15.decembra noteikum</w:t>
            </w:r>
            <w:r w:rsidR="00397A24" w:rsidRPr="00364EDD">
              <w:rPr>
                <w:iCs/>
                <w:szCs w:val="28"/>
              </w:rPr>
              <w:t>i</w:t>
            </w:r>
            <w:r w:rsidRPr="00364EDD">
              <w:rPr>
                <w:iCs/>
                <w:szCs w:val="28"/>
              </w:rPr>
              <w:t xml:space="preserve"> Nr.1480 </w:t>
            </w:r>
            <w:r w:rsidR="00DE3B73" w:rsidRPr="00364EDD">
              <w:rPr>
                <w:iCs/>
                <w:szCs w:val="28"/>
              </w:rPr>
              <w:t>“</w:t>
            </w:r>
            <w:r w:rsidRPr="00364EDD">
              <w:rPr>
                <w:iCs/>
                <w:szCs w:val="28"/>
              </w:rPr>
              <w:t xml:space="preserve">Neatliekamās medicīniskās palīdzības dienesta nolikums” </w:t>
            </w:r>
            <w:r w:rsidR="00397A24" w:rsidRPr="00364EDD">
              <w:rPr>
                <w:iCs/>
                <w:szCs w:val="28"/>
              </w:rPr>
              <w:t xml:space="preserve">nosaka   Neatliekamās medicīniskās palīdzības dienesta (turpmāk – atbildīgā </w:t>
            </w:r>
            <w:r w:rsidR="006B2A92" w:rsidRPr="00364EDD">
              <w:rPr>
                <w:iCs/>
                <w:szCs w:val="28"/>
              </w:rPr>
              <w:t>institūcija</w:t>
            </w:r>
            <w:r w:rsidR="00397A24" w:rsidRPr="00364EDD">
              <w:rPr>
                <w:iCs/>
                <w:szCs w:val="28"/>
              </w:rPr>
              <w:t xml:space="preserve">) funkcijas, tai skaitā – glabāt medicīnisko ierīču un medikamentu valsts </w:t>
            </w:r>
            <w:r w:rsidRPr="00364EDD">
              <w:rPr>
                <w:iCs/>
                <w:szCs w:val="28"/>
              </w:rPr>
              <w:t>materiālās rezerv</w:t>
            </w:r>
            <w:r w:rsidR="00397A24" w:rsidRPr="00364EDD">
              <w:rPr>
                <w:iCs/>
                <w:szCs w:val="28"/>
              </w:rPr>
              <w:t>es.</w:t>
            </w:r>
          </w:p>
          <w:p w14:paraId="7EDF6EB0" w14:textId="01F69375" w:rsidR="002E485F" w:rsidRPr="00364EDD" w:rsidRDefault="00AC62DD" w:rsidP="004B08A6">
            <w:pPr>
              <w:ind w:firstLine="400"/>
              <w:rPr>
                <w:iCs/>
                <w:szCs w:val="28"/>
              </w:rPr>
            </w:pPr>
            <w:r w:rsidRPr="00364EDD">
              <w:rPr>
                <w:iCs/>
                <w:szCs w:val="28"/>
              </w:rPr>
              <w:t>201</w:t>
            </w:r>
            <w:r w:rsidR="007258A2" w:rsidRPr="00364EDD">
              <w:rPr>
                <w:iCs/>
                <w:szCs w:val="28"/>
              </w:rPr>
              <w:t>9</w:t>
            </w:r>
            <w:r w:rsidRPr="00364EDD">
              <w:rPr>
                <w:iCs/>
                <w:szCs w:val="28"/>
              </w:rPr>
              <w:t>.gada 1.</w:t>
            </w:r>
            <w:r w:rsidR="007258A2" w:rsidRPr="00364EDD">
              <w:rPr>
                <w:iCs/>
                <w:szCs w:val="28"/>
              </w:rPr>
              <w:t>janvārī</w:t>
            </w:r>
            <w:r w:rsidRPr="00364EDD">
              <w:rPr>
                <w:iCs/>
                <w:szCs w:val="28"/>
              </w:rPr>
              <w:t xml:space="preserve"> stā</w:t>
            </w:r>
            <w:r w:rsidR="00FE20DE" w:rsidRPr="00364EDD">
              <w:rPr>
                <w:iCs/>
                <w:szCs w:val="28"/>
              </w:rPr>
              <w:t>jās</w:t>
            </w:r>
            <w:r w:rsidRPr="00364EDD">
              <w:rPr>
                <w:iCs/>
                <w:szCs w:val="28"/>
              </w:rPr>
              <w:t xml:space="preserve"> spēkā </w:t>
            </w:r>
            <w:r w:rsidR="007258A2" w:rsidRPr="00364EDD">
              <w:rPr>
                <w:iCs/>
                <w:szCs w:val="28"/>
              </w:rPr>
              <w:t>Valsts materiālo rezervju likums</w:t>
            </w:r>
            <w:r w:rsidR="00762DBF" w:rsidRPr="00364EDD">
              <w:rPr>
                <w:iCs/>
                <w:szCs w:val="28"/>
              </w:rPr>
              <w:t xml:space="preserve"> (turpmāk </w:t>
            </w:r>
            <w:r w:rsidR="00762DBF" w:rsidRPr="00364EDD">
              <w:rPr>
                <w:szCs w:val="28"/>
              </w:rPr>
              <w:t>–</w:t>
            </w:r>
            <w:r w:rsidR="00762DBF" w:rsidRPr="00364EDD">
              <w:rPr>
                <w:iCs/>
                <w:szCs w:val="28"/>
              </w:rPr>
              <w:t xml:space="preserve"> likums)</w:t>
            </w:r>
            <w:r w:rsidR="007258A2" w:rsidRPr="00364EDD">
              <w:rPr>
                <w:iCs/>
                <w:szCs w:val="28"/>
              </w:rPr>
              <w:t>.</w:t>
            </w:r>
            <w:r w:rsidRPr="00364EDD">
              <w:rPr>
                <w:iCs/>
                <w:szCs w:val="28"/>
              </w:rPr>
              <w:t xml:space="preserve"> Saskaņā ar </w:t>
            </w:r>
            <w:r w:rsidR="007258A2" w:rsidRPr="00364EDD">
              <w:rPr>
                <w:iCs/>
                <w:szCs w:val="28"/>
              </w:rPr>
              <w:t xml:space="preserve">likuma </w:t>
            </w:r>
            <w:r w:rsidR="00CB1055" w:rsidRPr="00364EDD">
              <w:rPr>
                <w:iCs/>
                <w:szCs w:val="28"/>
              </w:rPr>
              <w:t>8</w:t>
            </w:r>
            <w:r w:rsidR="00D67796" w:rsidRPr="00364EDD">
              <w:rPr>
                <w:iCs/>
                <w:szCs w:val="28"/>
                <w:lang w:eastAsia="lv-LV"/>
              </w:rPr>
              <w:t xml:space="preserve">.panta </w:t>
            </w:r>
            <w:r w:rsidR="00CB1055" w:rsidRPr="00364EDD">
              <w:rPr>
                <w:iCs/>
                <w:szCs w:val="28"/>
                <w:lang w:eastAsia="lv-LV"/>
              </w:rPr>
              <w:t>otr</w:t>
            </w:r>
            <w:r w:rsidR="00D67796" w:rsidRPr="00364EDD">
              <w:rPr>
                <w:iCs/>
                <w:szCs w:val="28"/>
                <w:lang w:eastAsia="lv-LV"/>
              </w:rPr>
              <w:t xml:space="preserve">o daļu </w:t>
            </w:r>
            <w:r w:rsidR="00EF5FCB" w:rsidRPr="00364EDD">
              <w:rPr>
                <w:bCs/>
                <w:iCs/>
                <w:szCs w:val="28"/>
              </w:rPr>
              <w:t xml:space="preserve">Ministru kabinets nosaka </w:t>
            </w:r>
            <w:r w:rsidR="007258A2" w:rsidRPr="00364EDD">
              <w:rPr>
                <w:rFonts w:eastAsia="Times New Roman"/>
                <w:szCs w:val="28"/>
                <w:lang w:eastAsia="lv-LV"/>
              </w:rPr>
              <w:t xml:space="preserve">kārtību, kādā </w:t>
            </w:r>
            <w:r w:rsidR="006E7F37" w:rsidRPr="00364EDD">
              <w:rPr>
                <w:rFonts w:eastAsia="Times New Roman"/>
                <w:szCs w:val="28"/>
                <w:lang w:eastAsia="lv-LV"/>
              </w:rPr>
              <w:t>atsavina valsts materiālajās rezervēs esošās zāles un medicīniskās</w:t>
            </w:r>
            <w:r w:rsidR="00C35F45" w:rsidRPr="00364EDD">
              <w:rPr>
                <w:rFonts w:eastAsia="Times New Roman"/>
                <w:szCs w:val="28"/>
                <w:lang w:eastAsia="lv-LV"/>
              </w:rPr>
              <w:t xml:space="preserve"> ierīces</w:t>
            </w:r>
            <w:r w:rsidR="00E0087E" w:rsidRPr="00364EDD">
              <w:rPr>
                <w:rFonts w:eastAsia="Times New Roman"/>
                <w:szCs w:val="28"/>
                <w:lang w:eastAsia="lv-LV"/>
              </w:rPr>
              <w:t xml:space="preserve"> (turpmāk – zāles un medicīniskās ierīces)</w:t>
            </w:r>
            <w:r w:rsidR="00F86830" w:rsidRPr="00364EDD">
              <w:rPr>
                <w:iCs/>
                <w:szCs w:val="28"/>
              </w:rPr>
              <w:t>.</w:t>
            </w:r>
          </w:p>
          <w:p w14:paraId="5CA659A9" w14:textId="5F6904B0" w:rsidR="00D57363" w:rsidRPr="00364EDD" w:rsidRDefault="00F309CE" w:rsidP="008D4B3A">
            <w:pPr>
              <w:spacing w:after="120"/>
              <w:ind w:right="142"/>
              <w:rPr>
                <w:rFonts w:eastAsia="Times New Roman"/>
                <w:szCs w:val="28"/>
                <w:lang w:eastAsia="lv-LV"/>
              </w:rPr>
            </w:pPr>
            <w:r w:rsidRPr="00364EDD">
              <w:rPr>
                <w:rFonts w:eastAsiaTheme="minorHAnsi"/>
                <w:szCs w:val="28"/>
                <w:lang w:eastAsia="lv-LV"/>
              </w:rPr>
              <w:lastRenderedPageBreak/>
              <w:t>Šobrīd spēkā esošie</w:t>
            </w:r>
            <w:r w:rsidR="004F4946" w:rsidRPr="00364EDD">
              <w:rPr>
                <w:rFonts w:eastAsiaTheme="minorHAnsi"/>
                <w:szCs w:val="28"/>
                <w:lang w:eastAsia="lv-LV"/>
              </w:rPr>
              <w:t xml:space="preserve"> (spēkā līdz noteikumu projekta stāšanās spēkā, bet ne ilgāk kā līdz 2019.gada 1.jūlijam) </w:t>
            </w:r>
            <w:r w:rsidR="002E485F" w:rsidRPr="00364EDD">
              <w:rPr>
                <w:rFonts w:eastAsiaTheme="minorHAnsi"/>
                <w:szCs w:val="28"/>
                <w:lang w:eastAsia="lv-LV"/>
              </w:rPr>
              <w:t>Ministru kabineta 2007.gada 18.decembra noteikumi Nr.877 „</w:t>
            </w:r>
            <w:hyperlink r:id="rId8" w:tgtFrame="_blank" w:history="1">
              <w:r w:rsidR="002E485F" w:rsidRPr="00364EDD">
                <w:rPr>
                  <w:rFonts w:eastAsia="Times New Roman"/>
                  <w:szCs w:val="28"/>
                  <w:lang w:eastAsia="lv-LV"/>
                </w:rPr>
                <w:t>Valsts materiālo rezervju glabāšanas, uzskaites, atjaunināšanas, iznomāšanas, aizdošanas, realizācijas un norakstīšanas kārtība</w:t>
              </w:r>
            </w:hyperlink>
            <w:r w:rsidR="002E485F" w:rsidRPr="00364EDD">
              <w:rPr>
                <w:rFonts w:eastAsia="Times New Roman"/>
                <w:szCs w:val="28"/>
                <w:lang w:eastAsia="lv-LV"/>
              </w:rPr>
              <w:t xml:space="preserve">” nosaka kārtību, kādā glabā, uzskaita, atjaunina, iznomā, aizdod, realizē un noraksta (pārstrādā un apglabā) valsts materiālās rezerves (turpmāk - materiālās rezerves). </w:t>
            </w:r>
          </w:p>
          <w:p w14:paraId="2DDAF727" w14:textId="5AFA4379" w:rsidR="004F7F74" w:rsidRPr="00364EDD" w:rsidRDefault="004F7F74" w:rsidP="008D4B3A">
            <w:pPr>
              <w:spacing w:after="120"/>
              <w:ind w:right="142"/>
              <w:rPr>
                <w:rFonts w:eastAsia="Times New Roman"/>
                <w:szCs w:val="28"/>
                <w:lang w:eastAsia="lv-LV"/>
              </w:rPr>
            </w:pPr>
            <w:r w:rsidRPr="00364EDD">
              <w:rPr>
                <w:rFonts w:eastAsia="Times New Roman"/>
                <w:szCs w:val="28"/>
                <w:lang w:eastAsia="lv-LV"/>
              </w:rPr>
              <w:t>Līdz ar to ir nepieciešams izstrādāt jaunu tiesisko regulējumu, kas noteiks materiālajās rezervēs ietilpstošo zāļu un medicīnisko ierīču atsavināšanas kārtību</w:t>
            </w:r>
            <w:r w:rsidR="0083511D" w:rsidRPr="00364EDD">
              <w:rPr>
                <w:rFonts w:eastAsia="Times New Roman"/>
                <w:szCs w:val="28"/>
                <w:lang w:eastAsia="lv-LV"/>
              </w:rPr>
              <w:t xml:space="preserve">, neradot situāciju, kad attiecīgajā jomā ir konstatējams tiesiskā regulējuma trūkums, kā arī </w:t>
            </w:r>
            <w:r w:rsidR="0083511D" w:rsidRPr="00364EDD">
              <w:t xml:space="preserve">efektīvi </w:t>
            </w:r>
            <w:r w:rsidR="0083511D" w:rsidRPr="00364EDD">
              <w:rPr>
                <w:rFonts w:eastAsia="Times New Roman"/>
                <w:szCs w:val="28"/>
                <w:lang w:eastAsia="lv-LV"/>
              </w:rPr>
              <w:t>nodrošinot materiālo rezervju gatavību izmantošanai katastrofu, militāru un citu apdraudējumu gadījumos.</w:t>
            </w:r>
          </w:p>
          <w:p w14:paraId="7C3A6538" w14:textId="6B8392DE" w:rsidR="00780F4E" w:rsidRPr="00364EDD" w:rsidRDefault="000B1F6F" w:rsidP="008D4B3A">
            <w:pPr>
              <w:spacing w:after="120"/>
              <w:ind w:right="142"/>
              <w:rPr>
                <w:rFonts w:eastAsia="Times New Roman"/>
                <w:szCs w:val="28"/>
                <w:lang w:eastAsia="lv-LV"/>
              </w:rPr>
            </w:pPr>
            <w:r w:rsidRPr="00364EDD">
              <w:rPr>
                <w:rFonts w:eastAsia="Times New Roman"/>
                <w:szCs w:val="28"/>
                <w:lang w:eastAsia="lv-LV"/>
              </w:rPr>
              <w:t xml:space="preserve">Noteikumu projekts paredz </w:t>
            </w:r>
            <w:r w:rsidR="00495905" w:rsidRPr="00364EDD">
              <w:rPr>
                <w:rFonts w:eastAsia="Times New Roman"/>
                <w:szCs w:val="28"/>
                <w:lang w:eastAsia="lv-LV"/>
              </w:rPr>
              <w:t xml:space="preserve">atsavināt </w:t>
            </w:r>
            <w:r w:rsidRPr="00364EDD">
              <w:rPr>
                <w:rFonts w:eastAsia="Times New Roman"/>
                <w:szCs w:val="28"/>
                <w:lang w:eastAsia="lv-LV"/>
              </w:rPr>
              <w:t>z</w:t>
            </w:r>
            <w:r w:rsidR="00AE77E3" w:rsidRPr="00364EDD">
              <w:rPr>
                <w:rFonts w:eastAsia="Times New Roman"/>
                <w:szCs w:val="28"/>
                <w:lang w:eastAsia="lv-LV"/>
              </w:rPr>
              <w:t>āles un medicīniskās ierīces</w:t>
            </w:r>
            <w:r w:rsidR="00571C7E" w:rsidRPr="00364EDD">
              <w:rPr>
                <w:rFonts w:eastAsia="Times New Roman"/>
                <w:szCs w:val="28"/>
                <w:lang w:eastAsia="lv-LV"/>
              </w:rPr>
              <w:t>, tās pārdodot vai nododot bez atlīdzības</w:t>
            </w:r>
            <w:r w:rsidR="008B1926" w:rsidRPr="00364EDD">
              <w:rPr>
                <w:rFonts w:eastAsia="Times New Roman"/>
                <w:szCs w:val="28"/>
                <w:lang w:eastAsia="lv-LV"/>
              </w:rPr>
              <w:t xml:space="preserve">, </w:t>
            </w:r>
            <w:r w:rsidR="006B2A92" w:rsidRPr="00364EDD">
              <w:rPr>
                <w:rFonts w:eastAsia="Times New Roman"/>
                <w:szCs w:val="28"/>
                <w:lang w:eastAsia="lv-LV"/>
              </w:rPr>
              <w:t>ja</w:t>
            </w:r>
            <w:r w:rsidR="00780F4E" w:rsidRPr="00364EDD">
              <w:rPr>
                <w:rFonts w:eastAsia="Times New Roman"/>
                <w:szCs w:val="28"/>
                <w:lang w:eastAsia="lv-LV"/>
              </w:rPr>
              <w:t>:</w:t>
            </w:r>
            <w:r w:rsidR="00780F4E" w:rsidRPr="00364EDD">
              <w:rPr>
                <w:rFonts w:eastAsia="Times New Roman"/>
                <w:szCs w:val="28"/>
                <w:lang w:eastAsia="lv-LV"/>
              </w:rPr>
              <w:br/>
              <w:t>-</w:t>
            </w:r>
            <w:r w:rsidR="006B2A92" w:rsidRPr="00364EDD">
              <w:rPr>
                <w:rFonts w:eastAsia="Times New Roman"/>
                <w:szCs w:val="28"/>
                <w:lang w:eastAsia="lv-LV"/>
              </w:rPr>
              <w:t xml:space="preserve"> to derīguma termiņš ir mazāks par gadu un tās nevar izmantot atbildīgās </w:t>
            </w:r>
            <w:r w:rsidR="00251457" w:rsidRPr="00364EDD">
              <w:rPr>
                <w:rFonts w:eastAsia="Times New Roman"/>
                <w:szCs w:val="28"/>
                <w:lang w:eastAsia="lv-LV"/>
              </w:rPr>
              <w:t>institūcijas</w:t>
            </w:r>
            <w:r w:rsidR="006B2A92" w:rsidRPr="00364EDD">
              <w:rPr>
                <w:rFonts w:eastAsia="Times New Roman"/>
                <w:szCs w:val="28"/>
                <w:lang w:eastAsia="lv-LV"/>
              </w:rPr>
              <w:t xml:space="preserve"> pamatdarbības nodrošināšanai</w:t>
            </w:r>
            <w:r w:rsidR="00780F4E" w:rsidRPr="00364EDD">
              <w:rPr>
                <w:rFonts w:eastAsia="Times New Roman"/>
                <w:szCs w:val="28"/>
                <w:lang w:eastAsia="lv-LV"/>
              </w:rPr>
              <w:t>;</w:t>
            </w:r>
          </w:p>
          <w:p w14:paraId="20B4A10E" w14:textId="5AE5ABAD" w:rsidR="00780F4E" w:rsidRPr="00364EDD" w:rsidRDefault="00780F4E" w:rsidP="008D4B3A">
            <w:pPr>
              <w:spacing w:after="120"/>
              <w:ind w:right="142"/>
              <w:rPr>
                <w:rFonts w:eastAsia="Times New Roman"/>
                <w:szCs w:val="28"/>
                <w:lang w:eastAsia="lv-LV"/>
              </w:rPr>
            </w:pPr>
            <w:r w:rsidRPr="00364EDD">
              <w:rPr>
                <w:rFonts w:eastAsia="Times New Roman"/>
                <w:szCs w:val="28"/>
                <w:lang w:eastAsia="lv-LV"/>
              </w:rPr>
              <w:t xml:space="preserve">- </w:t>
            </w:r>
            <w:r w:rsidR="00344F39" w:rsidRPr="00364EDD">
              <w:rPr>
                <w:rFonts w:eastAsia="Times New Roman"/>
                <w:szCs w:val="28"/>
                <w:lang w:eastAsia="lv-LV"/>
              </w:rPr>
              <w:t xml:space="preserve">tās </w:t>
            </w:r>
            <w:r w:rsidR="0008708F" w:rsidRPr="00364EDD">
              <w:rPr>
                <w:rFonts w:eastAsia="Times New Roman"/>
                <w:szCs w:val="28"/>
                <w:lang w:eastAsia="lv-LV"/>
              </w:rPr>
              <w:t xml:space="preserve">ir </w:t>
            </w:r>
            <w:r w:rsidR="00344F39" w:rsidRPr="00364EDD">
              <w:rPr>
                <w:rFonts w:eastAsia="Times New Roman"/>
                <w:szCs w:val="28"/>
                <w:lang w:eastAsia="lv-LV"/>
              </w:rPr>
              <w:t>izslēgtas no valsts materiālo rezervju nomenklatūras</w:t>
            </w:r>
            <w:r w:rsidR="004F7F74" w:rsidRPr="00364EDD">
              <w:rPr>
                <w:rFonts w:eastAsia="Times New Roman"/>
                <w:szCs w:val="28"/>
                <w:lang w:eastAsia="lv-LV"/>
              </w:rPr>
              <w:t>.</w:t>
            </w:r>
          </w:p>
          <w:p w14:paraId="4D1A3641" w14:textId="52A4FB75" w:rsidR="008B1926" w:rsidRPr="00364EDD" w:rsidRDefault="004F7F74" w:rsidP="009509DE">
            <w:pPr>
              <w:spacing w:after="120"/>
              <w:ind w:right="142" w:firstLine="0"/>
              <w:rPr>
                <w:rFonts w:eastAsia="Times New Roman"/>
                <w:szCs w:val="28"/>
                <w:lang w:eastAsia="lv-LV"/>
              </w:rPr>
            </w:pPr>
            <w:r w:rsidRPr="00364EDD">
              <w:rPr>
                <w:rFonts w:eastAsia="Times New Roman"/>
                <w:szCs w:val="28"/>
                <w:lang w:eastAsia="lv-LV"/>
              </w:rPr>
              <w:t>T</w:t>
            </w:r>
            <w:r w:rsidR="00D63C4A" w:rsidRPr="00364EDD">
              <w:rPr>
                <w:rFonts w:eastAsia="Times New Roman"/>
                <w:szCs w:val="28"/>
                <w:lang w:eastAsia="lv-LV"/>
              </w:rPr>
              <w:t xml:space="preserve">ādējādi </w:t>
            </w:r>
            <w:r w:rsidRPr="00364EDD">
              <w:rPr>
                <w:rFonts w:eastAsia="Times New Roman"/>
                <w:szCs w:val="28"/>
                <w:lang w:eastAsia="lv-LV"/>
              </w:rPr>
              <w:t xml:space="preserve">ir paredzēts </w:t>
            </w:r>
            <w:r w:rsidR="00D63C4A" w:rsidRPr="00364EDD">
              <w:rPr>
                <w:rFonts w:eastAsia="Times New Roman"/>
                <w:szCs w:val="28"/>
                <w:lang w:eastAsia="lv-LV"/>
              </w:rPr>
              <w:t xml:space="preserve">maksimāli </w:t>
            </w:r>
            <w:r w:rsidRPr="00364EDD">
              <w:rPr>
                <w:rFonts w:eastAsia="Times New Roman"/>
                <w:szCs w:val="28"/>
                <w:lang w:eastAsia="lv-LV"/>
              </w:rPr>
              <w:t xml:space="preserve">samazināt </w:t>
            </w:r>
            <w:r w:rsidR="00D63C4A" w:rsidRPr="00364EDD">
              <w:rPr>
                <w:rFonts w:eastAsia="Times New Roman"/>
                <w:szCs w:val="28"/>
                <w:lang w:eastAsia="lv-LV"/>
              </w:rPr>
              <w:t>izdevumus, kas būtu nepieciešami norakstīto resursu utilizācijai</w:t>
            </w:r>
            <w:r w:rsidR="00736ED4" w:rsidRPr="00364EDD">
              <w:rPr>
                <w:rFonts w:eastAsia="Times New Roman"/>
                <w:szCs w:val="28"/>
                <w:lang w:eastAsia="lv-LV"/>
              </w:rPr>
              <w:t>, un gūt ieņēmumus</w:t>
            </w:r>
            <w:r w:rsidR="008B1926" w:rsidRPr="00364EDD">
              <w:rPr>
                <w:rFonts w:eastAsia="Times New Roman"/>
                <w:szCs w:val="28"/>
                <w:lang w:eastAsia="lv-LV"/>
              </w:rPr>
              <w:t xml:space="preserve"> </w:t>
            </w:r>
            <w:r w:rsidR="00BE0B24" w:rsidRPr="00364EDD">
              <w:rPr>
                <w:rFonts w:eastAsia="Times New Roman"/>
                <w:szCs w:val="28"/>
                <w:lang w:eastAsia="lv-LV"/>
              </w:rPr>
              <w:t xml:space="preserve">jaunu </w:t>
            </w:r>
            <w:r w:rsidR="00251457" w:rsidRPr="00364EDD">
              <w:rPr>
                <w:rFonts w:eastAsia="Times New Roman"/>
                <w:szCs w:val="28"/>
                <w:lang w:eastAsia="lv-LV"/>
              </w:rPr>
              <w:t xml:space="preserve">materiālo rezervju </w:t>
            </w:r>
            <w:r w:rsidR="00BE0B24" w:rsidRPr="00364EDD">
              <w:rPr>
                <w:rFonts w:eastAsia="Times New Roman"/>
                <w:szCs w:val="28"/>
                <w:lang w:eastAsia="lv-LV"/>
              </w:rPr>
              <w:t>iegādei</w:t>
            </w:r>
            <w:r w:rsidR="00F862E1" w:rsidRPr="00364EDD">
              <w:rPr>
                <w:rFonts w:eastAsia="Times New Roman"/>
                <w:szCs w:val="28"/>
                <w:lang w:eastAsia="lv-LV"/>
              </w:rPr>
              <w:t xml:space="preserve">, </w:t>
            </w:r>
            <w:r w:rsidR="00251457" w:rsidRPr="00364EDD">
              <w:rPr>
                <w:rFonts w:eastAsia="Times New Roman"/>
                <w:szCs w:val="28"/>
                <w:lang w:eastAsia="lv-LV"/>
              </w:rPr>
              <w:t xml:space="preserve">tai skaitā to atjaunināšanai, </w:t>
            </w:r>
            <w:r w:rsidR="00B61D0B" w:rsidRPr="00364EDD">
              <w:rPr>
                <w:rFonts w:eastAsia="Times New Roman"/>
                <w:szCs w:val="28"/>
                <w:lang w:eastAsia="lv-LV"/>
              </w:rPr>
              <w:t xml:space="preserve">un materiālo rezervju uzturēšanai, </w:t>
            </w:r>
            <w:r w:rsidR="00F862E1" w:rsidRPr="00364EDD">
              <w:rPr>
                <w:rFonts w:eastAsia="Times New Roman"/>
                <w:szCs w:val="28"/>
                <w:lang w:eastAsia="lv-LV"/>
              </w:rPr>
              <w:t xml:space="preserve">nodrošinot </w:t>
            </w:r>
            <w:r w:rsidR="00736ED4" w:rsidRPr="00364EDD">
              <w:rPr>
                <w:rFonts w:eastAsia="Times New Roman"/>
                <w:szCs w:val="28"/>
                <w:lang w:eastAsia="lv-LV"/>
              </w:rPr>
              <w:t xml:space="preserve">materiālo rezervju </w:t>
            </w:r>
            <w:r w:rsidR="00A927AD" w:rsidRPr="00364EDD">
              <w:rPr>
                <w:rFonts w:eastAsia="Times New Roman"/>
                <w:szCs w:val="28"/>
                <w:lang w:eastAsia="lv-LV"/>
              </w:rPr>
              <w:t>gatavību izmantošanai katastrofu, militāru un citu apdraudējumu gadījumos</w:t>
            </w:r>
            <w:r w:rsidR="008B1926" w:rsidRPr="00364EDD">
              <w:rPr>
                <w:rFonts w:eastAsia="Times New Roman"/>
                <w:szCs w:val="28"/>
                <w:lang w:eastAsia="lv-LV"/>
              </w:rPr>
              <w:t>.</w:t>
            </w:r>
          </w:p>
          <w:p w14:paraId="4F6D2366" w14:textId="5809D73F" w:rsidR="0007077D" w:rsidRPr="00364EDD" w:rsidRDefault="008B1926" w:rsidP="008D4B3A">
            <w:pPr>
              <w:spacing w:after="120"/>
              <w:ind w:right="142"/>
              <w:rPr>
                <w:rFonts w:eastAsia="Times New Roman"/>
                <w:szCs w:val="28"/>
                <w:lang w:eastAsia="lv-LV"/>
              </w:rPr>
            </w:pPr>
            <w:r w:rsidRPr="00364EDD">
              <w:rPr>
                <w:rFonts w:eastAsia="Times New Roman"/>
                <w:szCs w:val="28"/>
                <w:lang w:eastAsia="lv-LV"/>
              </w:rPr>
              <w:t xml:space="preserve">Lai arī ieņēmumi no materiālo rezervju </w:t>
            </w:r>
            <w:r w:rsidR="006B117D" w:rsidRPr="00364EDD">
              <w:rPr>
                <w:rFonts w:eastAsia="Times New Roman"/>
                <w:szCs w:val="28"/>
                <w:lang w:eastAsia="lv-LV"/>
              </w:rPr>
              <w:t xml:space="preserve">pārdošanas </w:t>
            </w:r>
            <w:r w:rsidRPr="00364EDD">
              <w:rPr>
                <w:rFonts w:eastAsia="Times New Roman"/>
                <w:szCs w:val="28"/>
                <w:lang w:eastAsia="lv-LV"/>
              </w:rPr>
              <w:t>nenosedz iz</w:t>
            </w:r>
            <w:r w:rsidR="00B57631" w:rsidRPr="00364EDD">
              <w:rPr>
                <w:rFonts w:eastAsia="Times New Roman"/>
                <w:szCs w:val="28"/>
                <w:lang w:eastAsia="lv-LV"/>
              </w:rPr>
              <w:t>devumus</w:t>
            </w:r>
            <w:r w:rsidRPr="00364EDD">
              <w:rPr>
                <w:rFonts w:eastAsia="Times New Roman"/>
                <w:szCs w:val="28"/>
                <w:lang w:eastAsia="lv-LV"/>
              </w:rPr>
              <w:t xml:space="preserve">, </w:t>
            </w:r>
            <w:r w:rsidR="006B117D" w:rsidRPr="00364EDD">
              <w:rPr>
                <w:rFonts w:eastAsia="Times New Roman"/>
                <w:szCs w:val="28"/>
                <w:lang w:eastAsia="lv-LV"/>
              </w:rPr>
              <w:t xml:space="preserve">kas </w:t>
            </w:r>
            <w:r w:rsidR="00B57631" w:rsidRPr="00364EDD">
              <w:rPr>
                <w:rFonts w:eastAsia="Times New Roman"/>
                <w:szCs w:val="28"/>
                <w:lang w:eastAsia="lv-LV"/>
              </w:rPr>
              <w:t>nepieciešami</w:t>
            </w:r>
            <w:r w:rsidRPr="00364EDD">
              <w:rPr>
                <w:rFonts w:eastAsia="Times New Roman"/>
                <w:szCs w:val="28"/>
                <w:lang w:eastAsia="lv-LV"/>
              </w:rPr>
              <w:t xml:space="preserve">, lai </w:t>
            </w:r>
            <w:r w:rsidR="006B117D" w:rsidRPr="00364EDD">
              <w:rPr>
                <w:rFonts w:eastAsia="Times New Roman"/>
                <w:szCs w:val="28"/>
                <w:lang w:eastAsia="lv-LV"/>
              </w:rPr>
              <w:t>pārdotos</w:t>
            </w:r>
            <w:r w:rsidR="00943B90" w:rsidRPr="00364EDD">
              <w:rPr>
                <w:rFonts w:eastAsia="Times New Roman"/>
                <w:szCs w:val="28"/>
                <w:lang w:eastAsia="lv-LV"/>
              </w:rPr>
              <w:t xml:space="preserve"> </w:t>
            </w:r>
            <w:r w:rsidR="004405B0" w:rsidRPr="00364EDD">
              <w:rPr>
                <w:rFonts w:eastAsia="Times New Roman"/>
                <w:szCs w:val="28"/>
                <w:lang w:eastAsia="lv-LV"/>
              </w:rPr>
              <w:t>vai</w:t>
            </w:r>
            <w:r w:rsidR="00943B90" w:rsidRPr="00364EDD">
              <w:rPr>
                <w:rFonts w:eastAsia="Times New Roman"/>
                <w:szCs w:val="28"/>
                <w:lang w:eastAsia="lv-LV"/>
              </w:rPr>
              <w:t xml:space="preserve"> pamatdarbības nodrošināšanai izlietotos </w:t>
            </w:r>
            <w:r w:rsidRPr="00364EDD">
              <w:rPr>
                <w:rFonts w:eastAsia="Times New Roman"/>
                <w:szCs w:val="28"/>
                <w:lang w:eastAsia="lv-LV"/>
              </w:rPr>
              <w:t xml:space="preserve">resursus aizstātu ar jauniem, jo </w:t>
            </w:r>
            <w:r w:rsidR="006B117D" w:rsidRPr="00364EDD">
              <w:rPr>
                <w:rFonts w:eastAsia="Times New Roman"/>
                <w:szCs w:val="28"/>
                <w:lang w:eastAsia="lv-LV"/>
              </w:rPr>
              <w:t xml:space="preserve">pārdošanas </w:t>
            </w:r>
            <w:r w:rsidRPr="00364EDD">
              <w:rPr>
                <w:rFonts w:eastAsia="Times New Roman"/>
                <w:szCs w:val="28"/>
                <w:lang w:eastAsia="lv-LV"/>
              </w:rPr>
              <w:t>cena zālēm vai medicīn</w:t>
            </w:r>
            <w:r w:rsidR="00F91E6F" w:rsidRPr="00364EDD">
              <w:rPr>
                <w:rFonts w:eastAsia="Times New Roman"/>
                <w:szCs w:val="28"/>
                <w:lang w:eastAsia="lv-LV"/>
              </w:rPr>
              <w:t>iskajām</w:t>
            </w:r>
            <w:r w:rsidRPr="00364EDD">
              <w:rPr>
                <w:rFonts w:eastAsia="Times New Roman"/>
                <w:szCs w:val="28"/>
                <w:lang w:eastAsia="lv-LV"/>
              </w:rPr>
              <w:t xml:space="preserve"> ierīcēm, kurām līdz derīguma </w:t>
            </w:r>
            <w:r w:rsidRPr="00364EDD">
              <w:rPr>
                <w:rFonts w:eastAsia="Times New Roman"/>
                <w:szCs w:val="28"/>
                <w:lang w:eastAsia="lv-LV"/>
              </w:rPr>
              <w:lastRenderedPageBreak/>
              <w:t xml:space="preserve">termiņa beigām ir atlicis </w:t>
            </w:r>
            <w:r w:rsidR="00F91E6F" w:rsidRPr="00364EDD">
              <w:rPr>
                <w:rFonts w:eastAsia="Times New Roman"/>
                <w:szCs w:val="28"/>
                <w:lang w:eastAsia="lv-LV"/>
              </w:rPr>
              <w:t>mazāk</w:t>
            </w:r>
            <w:r w:rsidR="00767BA9" w:rsidRPr="00364EDD">
              <w:rPr>
                <w:rFonts w:eastAsia="Times New Roman"/>
                <w:szCs w:val="28"/>
                <w:lang w:eastAsia="lv-LV"/>
              </w:rPr>
              <w:t xml:space="preserve"> par gadu</w:t>
            </w:r>
            <w:r w:rsidR="00F91E6F" w:rsidRPr="00364EDD">
              <w:rPr>
                <w:rFonts w:eastAsia="Times New Roman"/>
                <w:szCs w:val="28"/>
                <w:lang w:eastAsia="lv-LV"/>
              </w:rPr>
              <w:t xml:space="preserve">, </w:t>
            </w:r>
            <w:r w:rsidRPr="00364EDD">
              <w:rPr>
                <w:rFonts w:eastAsia="Times New Roman"/>
                <w:szCs w:val="28"/>
                <w:lang w:eastAsia="lv-LV"/>
              </w:rPr>
              <w:t>ir zemāka kā tikko ražot</w:t>
            </w:r>
            <w:r w:rsidR="00D16A1E" w:rsidRPr="00364EDD">
              <w:rPr>
                <w:rFonts w:eastAsia="Times New Roman"/>
                <w:szCs w:val="28"/>
                <w:lang w:eastAsia="lv-LV"/>
              </w:rPr>
              <w:t>ā</w:t>
            </w:r>
            <w:r w:rsidRPr="00364EDD">
              <w:rPr>
                <w:rFonts w:eastAsia="Times New Roman"/>
                <w:szCs w:val="28"/>
                <w:lang w:eastAsia="lv-LV"/>
              </w:rPr>
              <w:t xml:space="preserve">m, tomēr daļēju materiālo rezervju atjaunināšanu par šiem līdzekļiem ir iespējams veikt. </w:t>
            </w:r>
          </w:p>
          <w:p w14:paraId="13C73646" w14:textId="12B6883B" w:rsidR="00F54C44" w:rsidRPr="00364EDD" w:rsidRDefault="008B1926" w:rsidP="008D4B3A">
            <w:pPr>
              <w:spacing w:after="120"/>
              <w:ind w:right="142"/>
              <w:rPr>
                <w:rFonts w:eastAsia="Times New Roman"/>
                <w:szCs w:val="28"/>
                <w:lang w:eastAsia="lv-LV"/>
              </w:rPr>
            </w:pPr>
            <w:r w:rsidRPr="00364EDD">
              <w:rPr>
                <w:rFonts w:eastAsia="Times New Roman"/>
                <w:szCs w:val="28"/>
                <w:lang w:eastAsia="lv-LV"/>
              </w:rPr>
              <w:t xml:space="preserve">Tādēļ arī turpmāk ir būtiski gūt šādus ieņēmumus, kas, turklāt, saskaņā ar </w:t>
            </w:r>
            <w:r w:rsidR="00B41A53" w:rsidRPr="00364EDD">
              <w:rPr>
                <w:rFonts w:eastAsia="Times New Roman"/>
                <w:szCs w:val="28"/>
                <w:lang w:eastAsia="lv-LV"/>
              </w:rPr>
              <w:t xml:space="preserve">Valsts materiālo rezervju </w:t>
            </w:r>
            <w:r w:rsidRPr="00364EDD">
              <w:rPr>
                <w:rFonts w:eastAsia="Times New Roman"/>
                <w:szCs w:val="28"/>
                <w:lang w:eastAsia="lv-LV"/>
              </w:rPr>
              <w:t xml:space="preserve">likuma </w:t>
            </w:r>
            <w:r w:rsidR="00DE35DD" w:rsidRPr="00364EDD">
              <w:rPr>
                <w:rFonts w:eastAsia="Times New Roman"/>
                <w:szCs w:val="28"/>
                <w:lang w:eastAsia="lv-LV"/>
              </w:rPr>
              <w:t>6</w:t>
            </w:r>
            <w:r w:rsidRPr="00364EDD">
              <w:rPr>
                <w:rFonts w:eastAsia="Times New Roman"/>
                <w:szCs w:val="28"/>
                <w:lang w:eastAsia="lv-LV"/>
              </w:rPr>
              <w:t xml:space="preserve">.panta </w:t>
            </w:r>
            <w:r w:rsidR="00E53DCB" w:rsidRPr="00364EDD">
              <w:rPr>
                <w:rFonts w:eastAsia="Times New Roman"/>
                <w:szCs w:val="28"/>
                <w:lang w:eastAsia="lv-LV"/>
              </w:rPr>
              <w:t xml:space="preserve">pirmās daļas </w:t>
            </w:r>
            <w:r w:rsidRPr="00364EDD">
              <w:rPr>
                <w:rFonts w:eastAsia="Times New Roman"/>
                <w:szCs w:val="28"/>
                <w:lang w:eastAsia="lv-LV"/>
              </w:rPr>
              <w:t xml:space="preserve">2.punktu ir viens no materiālo rezervju </w:t>
            </w:r>
            <w:r w:rsidR="00A77E3C" w:rsidRPr="00364EDD">
              <w:rPr>
                <w:rFonts w:eastAsia="Times New Roman"/>
                <w:szCs w:val="28"/>
                <w:lang w:eastAsia="lv-LV"/>
              </w:rPr>
              <w:t xml:space="preserve">veidošanas un pārvaldīšanas </w:t>
            </w:r>
            <w:r w:rsidRPr="00364EDD">
              <w:rPr>
                <w:rFonts w:eastAsia="Times New Roman"/>
                <w:szCs w:val="28"/>
                <w:lang w:eastAsia="lv-LV"/>
              </w:rPr>
              <w:t xml:space="preserve">finansēšanas avotiem, </w:t>
            </w:r>
            <w:r w:rsidR="00AD27BF" w:rsidRPr="00364EDD">
              <w:rPr>
                <w:rFonts w:eastAsia="Times New Roman"/>
                <w:szCs w:val="28"/>
                <w:lang w:eastAsia="lv-LV"/>
              </w:rPr>
              <w:t xml:space="preserve">savukārt </w:t>
            </w:r>
            <w:r w:rsidRPr="00364EDD">
              <w:rPr>
                <w:rFonts w:eastAsia="Times New Roman"/>
                <w:szCs w:val="28"/>
                <w:lang w:eastAsia="lv-LV"/>
              </w:rPr>
              <w:t xml:space="preserve">valsts budžeta dotācijas </w:t>
            </w:r>
            <w:r w:rsidR="00AD27BF" w:rsidRPr="00364EDD">
              <w:rPr>
                <w:rFonts w:eastAsia="Times New Roman"/>
                <w:szCs w:val="28"/>
                <w:lang w:eastAsia="lv-LV"/>
              </w:rPr>
              <w:t xml:space="preserve">nav </w:t>
            </w:r>
            <w:r w:rsidRPr="00364EDD">
              <w:rPr>
                <w:rFonts w:eastAsia="Times New Roman"/>
                <w:szCs w:val="28"/>
                <w:lang w:eastAsia="lv-LV"/>
              </w:rPr>
              <w:t>piešķirt</w:t>
            </w:r>
            <w:r w:rsidR="00AD27BF" w:rsidRPr="00364EDD">
              <w:rPr>
                <w:rFonts w:eastAsia="Times New Roman"/>
                <w:szCs w:val="28"/>
                <w:lang w:eastAsia="lv-LV"/>
              </w:rPr>
              <w:t>as</w:t>
            </w:r>
            <w:r w:rsidRPr="00364EDD">
              <w:rPr>
                <w:rFonts w:eastAsia="Times New Roman"/>
                <w:szCs w:val="28"/>
                <w:lang w:eastAsia="lv-LV"/>
              </w:rPr>
              <w:t>, lai pilnībā nokomplektēt</w:t>
            </w:r>
            <w:r w:rsidR="00D16A1E" w:rsidRPr="00364EDD">
              <w:rPr>
                <w:rFonts w:eastAsia="Times New Roman"/>
                <w:szCs w:val="28"/>
                <w:lang w:eastAsia="lv-LV"/>
              </w:rPr>
              <w:t>u</w:t>
            </w:r>
            <w:r w:rsidRPr="00364EDD">
              <w:rPr>
                <w:rFonts w:eastAsia="Times New Roman"/>
                <w:szCs w:val="28"/>
                <w:lang w:eastAsia="lv-LV"/>
              </w:rPr>
              <w:t xml:space="preserve"> </w:t>
            </w:r>
            <w:r w:rsidR="00363DCC" w:rsidRPr="00364EDD">
              <w:rPr>
                <w:rFonts w:eastAsia="Times New Roman"/>
                <w:szCs w:val="28"/>
                <w:lang w:eastAsia="lv-LV"/>
              </w:rPr>
              <w:t>materiālās rezerves atbilstoši valsts materiālo rezervju nomenklatūrā noteiktajam</w:t>
            </w:r>
            <w:r w:rsidRPr="00364EDD">
              <w:rPr>
                <w:rFonts w:eastAsia="Times New Roman"/>
                <w:szCs w:val="28"/>
                <w:lang w:eastAsia="lv-LV"/>
              </w:rPr>
              <w:t>, kā arī veiktu resursu atjaunināšanu</w:t>
            </w:r>
            <w:r w:rsidR="00E51AA6" w:rsidRPr="00364EDD">
              <w:rPr>
                <w:rFonts w:eastAsia="Times New Roman"/>
                <w:szCs w:val="28"/>
                <w:lang w:eastAsia="lv-LV"/>
              </w:rPr>
              <w:t xml:space="preserve"> un uzturēšanu</w:t>
            </w:r>
            <w:r w:rsidR="00DE35DD" w:rsidRPr="00364EDD">
              <w:rPr>
                <w:rFonts w:eastAsia="Times New Roman"/>
                <w:szCs w:val="28"/>
                <w:lang w:eastAsia="lv-LV"/>
              </w:rPr>
              <w:t>. T</w:t>
            </w:r>
            <w:r w:rsidRPr="00364EDD">
              <w:rPr>
                <w:rFonts w:eastAsia="Times New Roman"/>
                <w:szCs w:val="28"/>
                <w:lang w:eastAsia="lv-LV"/>
              </w:rPr>
              <w:t xml:space="preserve">ā rezultātā, šobrīd tiek veikta </w:t>
            </w:r>
            <w:r w:rsidR="00C914CA" w:rsidRPr="00364EDD">
              <w:rPr>
                <w:rFonts w:eastAsia="Times New Roman"/>
                <w:szCs w:val="28"/>
                <w:lang w:eastAsia="lv-LV"/>
              </w:rPr>
              <w:t xml:space="preserve">materiālo rezervju iegāde un atjaunināšana </w:t>
            </w:r>
            <w:r w:rsidRPr="00364EDD">
              <w:rPr>
                <w:rFonts w:eastAsia="Times New Roman"/>
                <w:szCs w:val="28"/>
                <w:lang w:eastAsia="lv-LV"/>
              </w:rPr>
              <w:t xml:space="preserve">tikai attiecībā </w:t>
            </w:r>
            <w:r w:rsidR="00B86329" w:rsidRPr="00364EDD">
              <w:rPr>
                <w:rFonts w:eastAsia="Times New Roman"/>
                <w:szCs w:val="28"/>
                <w:lang w:eastAsia="lv-LV"/>
              </w:rPr>
              <w:t xml:space="preserve">uz prioritāri nepieciešamākajiem </w:t>
            </w:r>
            <w:r w:rsidRPr="00364EDD">
              <w:rPr>
                <w:rFonts w:eastAsia="Times New Roman"/>
                <w:szCs w:val="28"/>
                <w:lang w:eastAsia="lv-LV"/>
              </w:rPr>
              <w:t>resursiem</w:t>
            </w:r>
            <w:r w:rsidR="00B86329" w:rsidRPr="00364EDD">
              <w:rPr>
                <w:rFonts w:eastAsia="Times New Roman"/>
                <w:szCs w:val="28"/>
                <w:lang w:eastAsia="lv-LV"/>
              </w:rPr>
              <w:t xml:space="preserve"> pie</w:t>
            </w:r>
            <w:r w:rsidR="008937C8" w:rsidRPr="00364EDD">
              <w:rPr>
                <w:rFonts w:eastAsia="Times New Roman"/>
                <w:szCs w:val="28"/>
                <w:lang w:eastAsia="lv-LV"/>
              </w:rPr>
              <w:t>ejamā</w:t>
            </w:r>
            <w:r w:rsidR="00B86329" w:rsidRPr="00364EDD">
              <w:rPr>
                <w:rFonts w:eastAsia="Times New Roman"/>
                <w:szCs w:val="28"/>
                <w:lang w:eastAsia="lv-LV"/>
              </w:rPr>
              <w:t xml:space="preserve"> finansējuma </w:t>
            </w:r>
            <w:r w:rsidR="00055DF3" w:rsidRPr="00364EDD">
              <w:rPr>
                <w:rFonts w:eastAsia="Times New Roman"/>
                <w:szCs w:val="28"/>
                <w:lang w:eastAsia="lv-LV"/>
              </w:rPr>
              <w:t xml:space="preserve">(pašu ieņēmumi) </w:t>
            </w:r>
            <w:r w:rsidR="00B86329" w:rsidRPr="00364EDD">
              <w:rPr>
                <w:rFonts w:eastAsia="Times New Roman"/>
                <w:szCs w:val="28"/>
                <w:lang w:eastAsia="lv-LV"/>
              </w:rPr>
              <w:t xml:space="preserve">ietvaros. </w:t>
            </w:r>
          </w:p>
          <w:p w14:paraId="28FA0DB0" w14:textId="5C79D439" w:rsidR="00EC77EB" w:rsidRPr="00364EDD" w:rsidRDefault="00DE35DD" w:rsidP="008D4B3A">
            <w:pPr>
              <w:spacing w:after="120"/>
              <w:ind w:right="142"/>
              <w:rPr>
                <w:rFonts w:eastAsia="Times New Roman"/>
                <w:szCs w:val="28"/>
                <w:lang w:eastAsia="lv-LV"/>
              </w:rPr>
            </w:pPr>
            <w:r w:rsidRPr="00364EDD">
              <w:rPr>
                <w:rFonts w:eastAsia="Times New Roman"/>
                <w:szCs w:val="28"/>
                <w:lang w:eastAsia="lv-LV"/>
              </w:rPr>
              <w:t xml:space="preserve">Svarīgi arī turpmāk </w:t>
            </w:r>
            <w:r w:rsidR="008B1926" w:rsidRPr="00364EDD">
              <w:rPr>
                <w:rFonts w:eastAsia="Times New Roman"/>
                <w:szCs w:val="28"/>
                <w:lang w:eastAsia="lv-LV"/>
              </w:rPr>
              <w:t>gūt ieņēmu</w:t>
            </w:r>
            <w:r w:rsidRPr="00364EDD">
              <w:rPr>
                <w:rFonts w:eastAsia="Times New Roman"/>
                <w:szCs w:val="28"/>
                <w:lang w:eastAsia="lv-LV"/>
              </w:rPr>
              <w:t>mus</w:t>
            </w:r>
            <w:r w:rsidR="008B1926" w:rsidRPr="00364EDD">
              <w:rPr>
                <w:rFonts w:eastAsia="Times New Roman"/>
                <w:szCs w:val="28"/>
                <w:lang w:eastAsia="lv-LV"/>
              </w:rPr>
              <w:t xml:space="preserve"> no </w:t>
            </w:r>
            <w:r w:rsidR="004C4A34" w:rsidRPr="00364EDD">
              <w:rPr>
                <w:rFonts w:eastAsia="Times New Roman"/>
                <w:szCs w:val="28"/>
                <w:lang w:eastAsia="lv-LV"/>
              </w:rPr>
              <w:t>zāļu un medicīnisko ierīču</w:t>
            </w:r>
            <w:r w:rsidR="008B1926" w:rsidRPr="00364EDD">
              <w:rPr>
                <w:rFonts w:eastAsia="Times New Roman"/>
                <w:szCs w:val="28"/>
                <w:lang w:eastAsia="lv-LV"/>
              </w:rPr>
              <w:t xml:space="preserve"> </w:t>
            </w:r>
            <w:r w:rsidR="00CE4B4F" w:rsidRPr="00364EDD">
              <w:rPr>
                <w:rFonts w:eastAsia="Times New Roman"/>
                <w:szCs w:val="28"/>
                <w:lang w:eastAsia="lv-LV"/>
              </w:rPr>
              <w:t>pārdošanas</w:t>
            </w:r>
            <w:r w:rsidR="008B1926" w:rsidRPr="00364EDD">
              <w:rPr>
                <w:rFonts w:eastAsia="Times New Roman"/>
                <w:szCs w:val="28"/>
                <w:lang w:eastAsia="lv-LV"/>
              </w:rPr>
              <w:t>,</w:t>
            </w:r>
            <w:r w:rsidRPr="00364EDD">
              <w:rPr>
                <w:rFonts w:eastAsia="Times New Roman"/>
                <w:szCs w:val="28"/>
                <w:lang w:eastAsia="lv-LV"/>
              </w:rPr>
              <w:t xml:space="preserve"> lai nodrošinātu lietderīgu rīcību ar valsts mantu</w:t>
            </w:r>
            <w:r w:rsidR="00567CC2" w:rsidRPr="00364EDD">
              <w:rPr>
                <w:rFonts w:eastAsia="Times New Roman"/>
                <w:szCs w:val="28"/>
                <w:lang w:eastAsia="lv-LV"/>
              </w:rPr>
              <w:t xml:space="preserve">, izvairītos no </w:t>
            </w:r>
            <w:r w:rsidR="004C4A34" w:rsidRPr="00364EDD">
              <w:rPr>
                <w:rFonts w:eastAsia="Times New Roman"/>
                <w:szCs w:val="28"/>
                <w:lang w:eastAsia="lv-LV"/>
              </w:rPr>
              <w:t xml:space="preserve">to </w:t>
            </w:r>
            <w:r w:rsidR="00567CC2" w:rsidRPr="00364EDD">
              <w:rPr>
                <w:rFonts w:eastAsia="Times New Roman"/>
                <w:szCs w:val="28"/>
                <w:lang w:eastAsia="lv-LV"/>
              </w:rPr>
              <w:t>norakstīšanas un papildus izmaksām utilizācijai</w:t>
            </w:r>
            <w:r w:rsidR="004C4A34" w:rsidRPr="00364EDD">
              <w:rPr>
                <w:rFonts w:eastAsia="Times New Roman"/>
                <w:szCs w:val="28"/>
                <w:lang w:eastAsia="lv-LV"/>
              </w:rPr>
              <w:t>, kā arī nodrošinātu materiālo rezervju veidošanu un pārvaldīšanu atbilstoši likumā noteiktajam</w:t>
            </w:r>
            <w:r w:rsidR="00567CC2" w:rsidRPr="00364EDD">
              <w:rPr>
                <w:rFonts w:eastAsia="Times New Roman"/>
                <w:szCs w:val="28"/>
                <w:lang w:eastAsia="lv-LV"/>
              </w:rPr>
              <w:t>.</w:t>
            </w:r>
            <w:r w:rsidR="008B1926" w:rsidRPr="00364EDD">
              <w:rPr>
                <w:rFonts w:eastAsia="Times New Roman"/>
                <w:szCs w:val="28"/>
                <w:lang w:eastAsia="lv-LV"/>
              </w:rPr>
              <w:t xml:space="preserve"> </w:t>
            </w:r>
          </w:p>
          <w:p w14:paraId="48CF82C5" w14:textId="5A7FB612" w:rsidR="00F54C44" w:rsidRPr="00364EDD" w:rsidRDefault="00F54C44" w:rsidP="008D4B3A">
            <w:pPr>
              <w:spacing w:after="120"/>
              <w:ind w:right="142"/>
              <w:rPr>
                <w:rFonts w:eastAsia="Times New Roman"/>
                <w:szCs w:val="28"/>
                <w:lang w:eastAsia="lv-LV"/>
              </w:rPr>
            </w:pPr>
            <w:r w:rsidRPr="00364EDD">
              <w:rPr>
                <w:rFonts w:eastAsia="Times New Roman"/>
                <w:szCs w:val="28"/>
                <w:lang w:eastAsia="lv-LV"/>
              </w:rPr>
              <w:t>Atbildīgā institūcija nodrošina zāļu un medicīnisko ierīču glabāšanu atbilstoši ražotāja norādījumiem, līdz ar to visu glabāšanas laiku tiek saglabāta zāļu un medicīnisko ierīču kvalitāte. Attiecībā uz zālēm piegādātājs ir jau veicis normatīvajos aktos paredzētās darbības zāļu drošuma jomā, tai skaitā attiecīgos zāļu verifikācijas nosacījumus. Līdz ar to potenciālajiem zāļu un medicīnisko ierīču pircējiem tiek piedāvāts drošs un kvalitatīvs produkts.</w:t>
            </w:r>
          </w:p>
          <w:p w14:paraId="61D2C0DB" w14:textId="64F5C7FB" w:rsidR="00EC77EB" w:rsidRPr="00364EDD" w:rsidRDefault="00EC77EB" w:rsidP="008D4B3A">
            <w:pPr>
              <w:spacing w:after="120"/>
              <w:ind w:right="142"/>
              <w:rPr>
                <w:bCs/>
                <w:szCs w:val="28"/>
              </w:rPr>
            </w:pPr>
            <w:r w:rsidRPr="00364EDD">
              <w:rPr>
                <w:rFonts w:eastAsia="Times New Roman"/>
                <w:szCs w:val="28"/>
                <w:lang w:eastAsia="lv-LV"/>
              </w:rPr>
              <w:t>Noteikumu projekts paredz</w:t>
            </w:r>
            <w:r w:rsidR="00EF5FCB" w:rsidRPr="00364EDD">
              <w:rPr>
                <w:szCs w:val="28"/>
                <w:lang w:eastAsia="lv-LV"/>
              </w:rPr>
              <w:t xml:space="preserve"> paplašināt loku</w:t>
            </w:r>
            <w:r w:rsidR="00D16A1E" w:rsidRPr="00364EDD">
              <w:rPr>
                <w:szCs w:val="28"/>
                <w:lang w:eastAsia="lv-LV"/>
              </w:rPr>
              <w:t>,</w:t>
            </w:r>
            <w:r w:rsidR="00EF5FCB" w:rsidRPr="00364EDD">
              <w:rPr>
                <w:szCs w:val="28"/>
                <w:lang w:eastAsia="lv-LV"/>
              </w:rPr>
              <w:t xml:space="preserve"> kam </w:t>
            </w:r>
            <w:r w:rsidRPr="00364EDD">
              <w:rPr>
                <w:szCs w:val="28"/>
                <w:lang w:eastAsia="lv-LV"/>
              </w:rPr>
              <w:t xml:space="preserve">var pārdot </w:t>
            </w:r>
            <w:r w:rsidR="00EF5FCB" w:rsidRPr="00364EDD">
              <w:rPr>
                <w:szCs w:val="28"/>
                <w:lang w:eastAsia="lv-LV"/>
              </w:rPr>
              <w:t xml:space="preserve">zāles un medicīniskās ierīces. Praksē ir bijuši gadījumi, kad interesi par zālēm </w:t>
            </w:r>
            <w:r w:rsidR="00EF5FCB" w:rsidRPr="00364EDD">
              <w:rPr>
                <w:szCs w:val="28"/>
              </w:rPr>
              <w:t xml:space="preserve">un medicīniskajām ierīcēm izrāda </w:t>
            </w:r>
            <w:r w:rsidR="00EF5FCB" w:rsidRPr="00364EDD">
              <w:rPr>
                <w:bCs/>
                <w:szCs w:val="28"/>
              </w:rPr>
              <w:t>veterinārmedicīniskās prakses iestādes.</w:t>
            </w:r>
          </w:p>
          <w:p w14:paraId="432F94FD" w14:textId="77777777" w:rsidR="008D4B3A" w:rsidRPr="00364EDD" w:rsidRDefault="005C490D" w:rsidP="008D4B3A">
            <w:pPr>
              <w:spacing w:after="120"/>
              <w:ind w:right="142"/>
              <w:rPr>
                <w:rFonts w:eastAsia="Times New Roman"/>
                <w:szCs w:val="28"/>
                <w:lang w:eastAsia="lv-LV"/>
              </w:rPr>
            </w:pPr>
            <w:r w:rsidRPr="00364EDD">
              <w:rPr>
                <w:rFonts w:eastAsia="Times New Roman"/>
                <w:szCs w:val="28"/>
                <w:lang w:eastAsia="lv-LV"/>
              </w:rPr>
              <w:t>I</w:t>
            </w:r>
            <w:r w:rsidR="008B1926" w:rsidRPr="00364EDD">
              <w:rPr>
                <w:rFonts w:eastAsia="Times New Roman"/>
                <w:szCs w:val="28"/>
                <w:lang w:eastAsia="lv-LV"/>
              </w:rPr>
              <w:t xml:space="preserve">espēja gūt </w:t>
            </w:r>
            <w:r w:rsidRPr="00364EDD">
              <w:rPr>
                <w:rFonts w:eastAsia="Times New Roman"/>
                <w:szCs w:val="28"/>
                <w:lang w:eastAsia="lv-LV"/>
              </w:rPr>
              <w:t>finanšu</w:t>
            </w:r>
            <w:r w:rsidR="008B1926" w:rsidRPr="00364EDD">
              <w:rPr>
                <w:rFonts w:eastAsia="Times New Roman"/>
                <w:szCs w:val="28"/>
                <w:lang w:eastAsia="lv-LV"/>
              </w:rPr>
              <w:t xml:space="preserve"> līdzekļus</w:t>
            </w:r>
            <w:r w:rsidRPr="00364EDD">
              <w:rPr>
                <w:rFonts w:eastAsia="Times New Roman"/>
                <w:szCs w:val="28"/>
                <w:lang w:eastAsia="lv-LV"/>
              </w:rPr>
              <w:t xml:space="preserve"> no zāļu un </w:t>
            </w:r>
            <w:r w:rsidRPr="00364EDD">
              <w:rPr>
                <w:rFonts w:eastAsia="Times New Roman"/>
                <w:szCs w:val="28"/>
                <w:lang w:eastAsia="lv-LV"/>
              </w:rPr>
              <w:lastRenderedPageBreak/>
              <w:t xml:space="preserve">medicīnisko ierīču atsavināšanas kaut daļēji nodrošinās iespēju </w:t>
            </w:r>
            <w:r w:rsidR="00D81EFA" w:rsidRPr="00364EDD">
              <w:rPr>
                <w:rFonts w:eastAsia="Times New Roman"/>
                <w:szCs w:val="28"/>
                <w:lang w:eastAsia="lv-LV"/>
              </w:rPr>
              <w:t xml:space="preserve">Veselības ministrijai </w:t>
            </w:r>
            <w:r w:rsidRPr="00364EDD">
              <w:rPr>
                <w:rFonts w:eastAsia="Times New Roman"/>
                <w:szCs w:val="28"/>
                <w:lang w:eastAsia="lv-LV"/>
              </w:rPr>
              <w:t xml:space="preserve">īstenot nepieciešamos pasākumus materiālo rezervju veidošanas un pārvaldīšanas jomā, tomēr bez finanšu līdzekļu piešķiršanas no valsts budžeta līdzekļiem, ir </w:t>
            </w:r>
            <w:r w:rsidR="008B1926" w:rsidRPr="00364EDD">
              <w:rPr>
                <w:rFonts w:eastAsia="Times New Roman"/>
                <w:szCs w:val="28"/>
                <w:lang w:eastAsia="lv-LV"/>
              </w:rPr>
              <w:t>apdraudē</w:t>
            </w:r>
            <w:r w:rsidRPr="00364EDD">
              <w:rPr>
                <w:rFonts w:eastAsia="Times New Roman"/>
                <w:szCs w:val="28"/>
                <w:lang w:eastAsia="lv-LV"/>
              </w:rPr>
              <w:t>ta turpmāka materiālo rezervju veidošana un pārvaldīšana, un attiecīgi materiālo rezervju iesaistīšana katastrofu, militāru un citu apdraudējumu gadījumos</w:t>
            </w:r>
            <w:r w:rsidR="007343A1" w:rsidRPr="00364EDD">
              <w:rPr>
                <w:rFonts w:eastAsia="Times New Roman"/>
                <w:szCs w:val="28"/>
                <w:lang w:eastAsia="lv-LV"/>
              </w:rPr>
              <w:t xml:space="preserve">. </w:t>
            </w:r>
          </w:p>
          <w:p w14:paraId="7ED85D8F" w14:textId="73E6E722" w:rsidR="008D4B3A" w:rsidRPr="00364EDD" w:rsidRDefault="00E247A0" w:rsidP="008D4B3A">
            <w:pPr>
              <w:spacing w:after="120"/>
              <w:ind w:right="142"/>
              <w:rPr>
                <w:color w:val="000000" w:themeColor="text1"/>
                <w:szCs w:val="28"/>
                <w:lang w:eastAsia="lv-LV"/>
              </w:rPr>
            </w:pPr>
            <w:r w:rsidRPr="00364EDD">
              <w:rPr>
                <w:color w:val="000000" w:themeColor="text1"/>
                <w:szCs w:val="28"/>
                <w:lang w:eastAsia="lv-LV"/>
              </w:rPr>
              <w:t>Noteikumu projekts</w:t>
            </w:r>
            <w:r w:rsidR="003F51CB" w:rsidRPr="00364EDD">
              <w:rPr>
                <w:color w:val="000000" w:themeColor="text1"/>
                <w:szCs w:val="28"/>
                <w:lang w:eastAsia="lv-LV"/>
              </w:rPr>
              <w:t xml:space="preserve"> paredz, ka </w:t>
            </w:r>
            <w:r w:rsidR="00613376" w:rsidRPr="00364EDD">
              <w:rPr>
                <w:color w:val="000000" w:themeColor="text1"/>
                <w:szCs w:val="28"/>
                <w:lang w:eastAsia="lv-LV"/>
              </w:rPr>
              <w:t>atbildīgās institūcijas</w:t>
            </w:r>
            <w:r w:rsidR="003F51CB" w:rsidRPr="00364EDD">
              <w:rPr>
                <w:color w:val="000000" w:themeColor="text1"/>
                <w:szCs w:val="28"/>
                <w:lang w:eastAsia="lv-LV"/>
              </w:rPr>
              <w:t xml:space="preserve"> izveidota </w:t>
            </w:r>
            <w:r w:rsidR="00525913" w:rsidRPr="00364EDD">
              <w:rPr>
                <w:color w:val="000000" w:themeColor="text1"/>
                <w:szCs w:val="28"/>
                <w:lang w:eastAsia="lv-LV"/>
              </w:rPr>
              <w:t xml:space="preserve">novērtēšanas </w:t>
            </w:r>
            <w:r w:rsidR="003F51CB" w:rsidRPr="00364EDD">
              <w:rPr>
                <w:color w:val="000000" w:themeColor="text1"/>
                <w:szCs w:val="28"/>
                <w:lang w:eastAsia="lv-LV"/>
              </w:rPr>
              <w:t xml:space="preserve">komisija noteiks zāļu </w:t>
            </w:r>
            <w:r w:rsidR="00BD0DC5" w:rsidRPr="00364EDD">
              <w:rPr>
                <w:color w:val="000000" w:themeColor="text1"/>
                <w:szCs w:val="28"/>
                <w:lang w:eastAsia="lv-LV"/>
              </w:rPr>
              <w:t xml:space="preserve">un medicīnisko ierīču </w:t>
            </w:r>
            <w:r w:rsidR="003F51CB" w:rsidRPr="00364EDD">
              <w:rPr>
                <w:color w:val="000000" w:themeColor="text1"/>
                <w:szCs w:val="28"/>
                <w:lang w:eastAsia="lv-LV"/>
              </w:rPr>
              <w:t>pārdošanas cenu,</w:t>
            </w:r>
            <w:r w:rsidR="00F2747F" w:rsidRPr="00364EDD">
              <w:rPr>
                <w:color w:val="000000" w:themeColor="text1"/>
                <w:szCs w:val="28"/>
                <w:lang w:eastAsia="lv-LV"/>
              </w:rPr>
              <w:t xml:space="preserve"> ievērojot to</w:t>
            </w:r>
            <w:r w:rsidR="0015758D" w:rsidRPr="00364EDD">
              <w:rPr>
                <w:color w:val="000000" w:themeColor="text1"/>
                <w:szCs w:val="28"/>
                <w:lang w:eastAsia="lv-LV"/>
              </w:rPr>
              <w:t xml:space="preserve"> iegādes vērtību un atlikušo</w:t>
            </w:r>
            <w:r w:rsidR="00F2747F" w:rsidRPr="00364EDD">
              <w:rPr>
                <w:color w:val="000000" w:themeColor="text1"/>
                <w:szCs w:val="28"/>
                <w:lang w:eastAsia="lv-LV"/>
              </w:rPr>
              <w:t xml:space="preserve"> derīguma termiņus,</w:t>
            </w:r>
            <w:r w:rsidR="003F51CB" w:rsidRPr="00364EDD">
              <w:rPr>
                <w:color w:val="000000" w:themeColor="text1"/>
                <w:szCs w:val="28"/>
                <w:lang w:eastAsia="lv-LV"/>
              </w:rPr>
              <w:t xml:space="preserve"> </w:t>
            </w:r>
            <w:r w:rsidR="0015758D" w:rsidRPr="00364EDD">
              <w:rPr>
                <w:color w:val="000000" w:themeColor="text1"/>
                <w:szCs w:val="28"/>
                <w:lang w:eastAsia="lv-LV"/>
              </w:rPr>
              <w:t xml:space="preserve">kā arī citus apstākļus, ja tie var ietekmēt pārdošanas cenu, piemēram, </w:t>
            </w:r>
            <w:r w:rsidR="00493585" w:rsidRPr="00364EDD">
              <w:rPr>
                <w:color w:val="000000" w:themeColor="text1"/>
                <w:szCs w:val="28"/>
                <w:lang w:eastAsia="lv-LV"/>
              </w:rPr>
              <w:t xml:space="preserve">(nenozīmīgi) </w:t>
            </w:r>
            <w:r w:rsidR="0015758D" w:rsidRPr="00364EDD">
              <w:rPr>
                <w:color w:val="000000" w:themeColor="text1"/>
                <w:szCs w:val="28"/>
                <w:lang w:eastAsia="lv-LV"/>
              </w:rPr>
              <w:t>bojāts sekundārais zāļu iepak</w:t>
            </w:r>
            <w:r w:rsidR="003E4DB6" w:rsidRPr="00364EDD">
              <w:rPr>
                <w:color w:val="000000" w:themeColor="text1"/>
                <w:szCs w:val="28"/>
                <w:lang w:eastAsia="lv-LV"/>
              </w:rPr>
              <w:t>ojums</w:t>
            </w:r>
            <w:r w:rsidR="00C03EEE" w:rsidRPr="00364EDD">
              <w:rPr>
                <w:color w:val="000000" w:themeColor="text1"/>
                <w:szCs w:val="28"/>
                <w:lang w:eastAsia="lv-LV"/>
              </w:rPr>
              <w:t xml:space="preserve">, kas nav ietekmējis zāļu kvalitāti vai drošumu. </w:t>
            </w:r>
            <w:r w:rsidR="003E4DB6" w:rsidRPr="00364EDD">
              <w:rPr>
                <w:color w:val="000000" w:themeColor="text1"/>
                <w:szCs w:val="28"/>
                <w:lang w:eastAsia="lv-LV"/>
              </w:rPr>
              <w:t>S</w:t>
            </w:r>
            <w:r w:rsidR="003F51CB" w:rsidRPr="00364EDD">
              <w:rPr>
                <w:color w:val="000000" w:themeColor="text1"/>
                <w:szCs w:val="28"/>
                <w:lang w:eastAsia="lv-LV"/>
              </w:rPr>
              <w:t xml:space="preserve">avukārt </w:t>
            </w:r>
            <w:r w:rsidR="001951F3" w:rsidRPr="00364EDD">
              <w:rPr>
                <w:color w:val="000000" w:themeColor="text1"/>
                <w:szCs w:val="28"/>
                <w:lang w:eastAsia="lv-LV"/>
              </w:rPr>
              <w:t xml:space="preserve">atbildīgās institūcijas </w:t>
            </w:r>
            <w:r w:rsidR="003F51CB" w:rsidRPr="00364EDD">
              <w:rPr>
                <w:color w:val="000000" w:themeColor="text1"/>
                <w:szCs w:val="28"/>
                <w:lang w:eastAsia="lv-LV"/>
              </w:rPr>
              <w:t>vadītājs to apstiprinās</w:t>
            </w:r>
            <w:r w:rsidR="00C21F9F" w:rsidRPr="00364EDD">
              <w:rPr>
                <w:color w:val="000000" w:themeColor="text1"/>
                <w:szCs w:val="28"/>
                <w:lang w:eastAsia="lv-LV"/>
              </w:rPr>
              <w:t>.</w:t>
            </w:r>
            <w:r w:rsidR="003F51CB" w:rsidRPr="00364EDD">
              <w:rPr>
                <w:color w:val="000000" w:themeColor="text1"/>
                <w:szCs w:val="28"/>
                <w:lang w:eastAsia="lv-LV"/>
              </w:rPr>
              <w:t xml:space="preserve"> </w:t>
            </w:r>
            <w:r w:rsidR="00C21F9F" w:rsidRPr="00364EDD">
              <w:rPr>
                <w:color w:val="000000" w:themeColor="text1"/>
                <w:szCs w:val="28"/>
                <w:lang w:eastAsia="lv-LV"/>
              </w:rPr>
              <w:t>Vienlaicīgi tiesību normā</w:t>
            </w:r>
            <w:r w:rsidR="00FD597D" w:rsidRPr="00364EDD">
              <w:rPr>
                <w:color w:val="000000" w:themeColor="text1"/>
                <w:szCs w:val="28"/>
                <w:lang w:eastAsia="lv-LV"/>
              </w:rPr>
              <w:t>s</w:t>
            </w:r>
            <w:r w:rsidR="00C21F9F" w:rsidRPr="00364EDD">
              <w:rPr>
                <w:color w:val="000000" w:themeColor="text1"/>
                <w:szCs w:val="28"/>
                <w:lang w:eastAsia="lv-LV"/>
              </w:rPr>
              <w:t xml:space="preserve"> iestrādāta iespēja atbildīgās institūcijas vadītajam nepieciešamības gadījumā </w:t>
            </w:r>
            <w:r w:rsidR="003F51CB" w:rsidRPr="00364EDD">
              <w:rPr>
                <w:color w:val="000000" w:themeColor="text1"/>
                <w:szCs w:val="28"/>
                <w:lang w:eastAsia="lv-LV"/>
              </w:rPr>
              <w:t>lūg</w:t>
            </w:r>
            <w:r w:rsidR="00F51411" w:rsidRPr="00364EDD">
              <w:rPr>
                <w:color w:val="000000" w:themeColor="text1"/>
                <w:szCs w:val="28"/>
                <w:lang w:eastAsia="lv-LV"/>
              </w:rPr>
              <w:t>t</w:t>
            </w:r>
            <w:r w:rsidR="003F51CB" w:rsidRPr="00364EDD">
              <w:rPr>
                <w:color w:val="000000" w:themeColor="text1"/>
                <w:szCs w:val="28"/>
                <w:lang w:eastAsia="lv-LV"/>
              </w:rPr>
              <w:t xml:space="preserve"> </w:t>
            </w:r>
            <w:r w:rsidR="00AA7C60" w:rsidRPr="00364EDD">
              <w:rPr>
                <w:color w:val="000000" w:themeColor="text1"/>
                <w:szCs w:val="28"/>
                <w:lang w:eastAsia="lv-LV"/>
              </w:rPr>
              <w:t xml:space="preserve">zāles un medicīniskās ierīces </w:t>
            </w:r>
            <w:r w:rsidR="003F51CB" w:rsidRPr="00364EDD">
              <w:rPr>
                <w:color w:val="000000" w:themeColor="text1"/>
                <w:szCs w:val="28"/>
                <w:lang w:eastAsia="lv-LV"/>
              </w:rPr>
              <w:t xml:space="preserve">pārvērtēt citā </w:t>
            </w:r>
            <w:r w:rsidR="00BD0DC5" w:rsidRPr="00364EDD">
              <w:rPr>
                <w:color w:val="000000" w:themeColor="text1"/>
                <w:szCs w:val="28"/>
                <w:lang w:eastAsia="lv-LV"/>
              </w:rPr>
              <w:t xml:space="preserve">komisijas </w:t>
            </w:r>
            <w:r w:rsidR="003F51CB" w:rsidRPr="00364EDD">
              <w:rPr>
                <w:color w:val="000000" w:themeColor="text1"/>
                <w:szCs w:val="28"/>
                <w:lang w:eastAsia="lv-LV"/>
              </w:rPr>
              <w:t>sastāvā</w:t>
            </w:r>
            <w:r w:rsidR="00C21F9F" w:rsidRPr="00364EDD">
              <w:rPr>
                <w:color w:val="000000" w:themeColor="text1"/>
                <w:szCs w:val="28"/>
                <w:lang w:eastAsia="lv-LV"/>
              </w:rPr>
              <w:t xml:space="preserve">, piemēram, ja rodas šaubas par zāļu vai medicīnisko ierīču korektu vērtējumu, piemēram, atklājas, ka kāds no komisijas locekļiem ir bijis interešu konflikta situācijā vai arī zālēm novērtētā cena ir </w:t>
            </w:r>
            <w:r w:rsidR="0065780B" w:rsidRPr="00364EDD">
              <w:rPr>
                <w:color w:val="000000" w:themeColor="text1"/>
                <w:szCs w:val="28"/>
                <w:lang w:eastAsia="lv-LV"/>
              </w:rPr>
              <w:t xml:space="preserve">acīmredzami </w:t>
            </w:r>
            <w:r w:rsidR="00C21F9F" w:rsidRPr="00364EDD">
              <w:rPr>
                <w:color w:val="000000" w:themeColor="text1"/>
                <w:szCs w:val="28"/>
                <w:lang w:eastAsia="lv-LV"/>
              </w:rPr>
              <w:t xml:space="preserve">neadekvāti zema vai augsta. </w:t>
            </w:r>
            <w:r w:rsidR="0065780B" w:rsidRPr="00364EDD">
              <w:rPr>
                <w:color w:val="000000" w:themeColor="text1"/>
                <w:szCs w:val="28"/>
                <w:lang w:eastAsia="lv-LV"/>
              </w:rPr>
              <w:t>Minētais nosacījums būtu uzskatāms par izņēmumu, jo šīs tiesību normas mērķis nav likt atbildīgās institūcijas vadītājam bez acīmredzama iemesla apšaubīt vai vienpersoniski pārvērtēt komisijas veikto darbu.</w:t>
            </w:r>
          </w:p>
          <w:p w14:paraId="56A01499" w14:textId="564BE4BF" w:rsidR="00FD597D" w:rsidRPr="00364EDD" w:rsidRDefault="00FD597D" w:rsidP="008D4B3A">
            <w:pPr>
              <w:spacing w:after="120"/>
              <w:ind w:right="142"/>
              <w:rPr>
                <w:color w:val="000000" w:themeColor="text1"/>
                <w:szCs w:val="28"/>
                <w:lang w:eastAsia="lv-LV"/>
              </w:rPr>
            </w:pPr>
            <w:r w:rsidRPr="00364EDD">
              <w:rPr>
                <w:color w:val="000000" w:themeColor="text1"/>
                <w:szCs w:val="28"/>
                <w:lang w:eastAsia="lv-LV"/>
              </w:rPr>
              <w:t xml:space="preserve">Ņemot vērā, ka </w:t>
            </w:r>
            <w:proofErr w:type="spellStart"/>
            <w:r w:rsidRPr="00364EDD">
              <w:rPr>
                <w:color w:val="000000" w:themeColor="text1"/>
                <w:szCs w:val="28"/>
                <w:lang w:eastAsia="lv-LV"/>
              </w:rPr>
              <w:t>nevienmēr</w:t>
            </w:r>
            <w:proofErr w:type="spellEnd"/>
            <w:r w:rsidRPr="00364EDD">
              <w:rPr>
                <w:color w:val="000000" w:themeColor="text1"/>
                <w:szCs w:val="28"/>
                <w:lang w:eastAsia="lv-LV"/>
              </w:rPr>
              <w:t xml:space="preserve"> atbildīgās institūcijas amatpersonas var pilnībā pārzināt atsevišķu zāļu vai medicīnisko ierīču īpatnības, kas var ietekmēt to pārdošanas cenu tiesību normās iestrādāta iespēja pieaicināt arī citu institūciju pārstāvjus, kuriem ir specifiskas zināšanas attiecīgajā jautājumā</w:t>
            </w:r>
            <w:r w:rsidR="00C94DAF" w:rsidRPr="00364EDD">
              <w:rPr>
                <w:color w:val="000000" w:themeColor="text1"/>
                <w:szCs w:val="28"/>
                <w:lang w:eastAsia="lv-LV"/>
              </w:rPr>
              <w:t xml:space="preserve"> vai ekspertus attiecīgajā jomā, proti, kas nepārstāv konkrētas institūcijas</w:t>
            </w:r>
            <w:r w:rsidRPr="00364EDD">
              <w:rPr>
                <w:color w:val="000000" w:themeColor="text1"/>
                <w:szCs w:val="28"/>
                <w:lang w:eastAsia="lv-LV"/>
              </w:rPr>
              <w:t xml:space="preserve">. </w:t>
            </w:r>
          </w:p>
          <w:p w14:paraId="550ED741" w14:textId="7C3E032D" w:rsidR="008D4B3A" w:rsidRPr="00364EDD" w:rsidRDefault="003F51CB" w:rsidP="008D4B3A">
            <w:pPr>
              <w:spacing w:after="120"/>
              <w:ind w:right="142"/>
              <w:rPr>
                <w:color w:val="000000" w:themeColor="text1"/>
                <w:szCs w:val="28"/>
                <w:lang w:eastAsia="lv-LV"/>
              </w:rPr>
            </w:pPr>
            <w:r w:rsidRPr="00364EDD">
              <w:rPr>
                <w:color w:val="000000" w:themeColor="text1"/>
                <w:szCs w:val="28"/>
                <w:lang w:eastAsia="lv-LV"/>
              </w:rPr>
              <w:t xml:space="preserve">Sludinājums par iespēju iegādāties zāles </w:t>
            </w:r>
            <w:r w:rsidRPr="00364EDD">
              <w:rPr>
                <w:color w:val="000000" w:themeColor="text1"/>
                <w:szCs w:val="28"/>
                <w:lang w:eastAsia="lv-LV"/>
              </w:rPr>
              <w:lastRenderedPageBreak/>
              <w:t xml:space="preserve">vai medicīniskās ierīces tiks ievietots </w:t>
            </w:r>
            <w:r w:rsidR="0081132D" w:rsidRPr="00364EDD">
              <w:rPr>
                <w:color w:val="000000" w:themeColor="text1"/>
                <w:szCs w:val="28"/>
                <w:lang w:eastAsia="lv-LV"/>
              </w:rPr>
              <w:t>atbildīgās institūcijas</w:t>
            </w:r>
            <w:r w:rsidRPr="00364EDD">
              <w:rPr>
                <w:color w:val="000000" w:themeColor="text1"/>
                <w:szCs w:val="28"/>
                <w:lang w:eastAsia="lv-LV"/>
              </w:rPr>
              <w:t xml:space="preserve"> </w:t>
            </w:r>
            <w:r w:rsidR="00D16A1E" w:rsidRPr="00364EDD">
              <w:rPr>
                <w:color w:val="000000" w:themeColor="text1"/>
                <w:szCs w:val="28"/>
                <w:lang w:eastAsia="lv-LV"/>
              </w:rPr>
              <w:t>tīmekļvietnē</w:t>
            </w:r>
            <w:r w:rsidRPr="00364EDD">
              <w:rPr>
                <w:color w:val="000000" w:themeColor="text1"/>
                <w:szCs w:val="28"/>
                <w:lang w:eastAsia="lv-LV"/>
              </w:rPr>
              <w:t>, taču tas nelie</w:t>
            </w:r>
            <w:r w:rsidR="00D16A1E" w:rsidRPr="00364EDD">
              <w:rPr>
                <w:color w:val="000000" w:themeColor="text1"/>
                <w:szCs w:val="28"/>
                <w:lang w:eastAsia="lv-LV"/>
              </w:rPr>
              <w:t>dz</w:t>
            </w:r>
            <w:r w:rsidRPr="00364EDD">
              <w:rPr>
                <w:color w:val="000000" w:themeColor="text1"/>
                <w:szCs w:val="28"/>
                <w:lang w:eastAsia="lv-LV"/>
              </w:rPr>
              <w:t xml:space="preserve"> </w:t>
            </w:r>
            <w:r w:rsidR="0081132D" w:rsidRPr="00364EDD">
              <w:rPr>
                <w:color w:val="000000" w:themeColor="text1"/>
                <w:szCs w:val="28"/>
                <w:lang w:eastAsia="lv-LV"/>
              </w:rPr>
              <w:t>tai</w:t>
            </w:r>
            <w:r w:rsidRPr="00364EDD">
              <w:rPr>
                <w:color w:val="000000" w:themeColor="text1"/>
                <w:szCs w:val="28"/>
                <w:lang w:eastAsia="lv-LV"/>
              </w:rPr>
              <w:t xml:space="preserve"> uzrunāt potenciālos pircējus aktīvā veidā, piemēram, izsūtot elektroniskas vēstules</w:t>
            </w:r>
            <w:r w:rsidR="00C03EEE" w:rsidRPr="00364EDD">
              <w:rPr>
                <w:color w:val="000000" w:themeColor="text1"/>
                <w:szCs w:val="28"/>
                <w:lang w:eastAsia="lv-LV"/>
              </w:rPr>
              <w:t xml:space="preserve"> potenciālajiem pircējiem, kas iepriekš ir izrādījuši interesi vai </w:t>
            </w:r>
            <w:r w:rsidR="009509DE" w:rsidRPr="00364EDD">
              <w:rPr>
                <w:color w:val="000000" w:themeColor="text1"/>
                <w:szCs w:val="28"/>
                <w:lang w:eastAsia="lv-LV"/>
              </w:rPr>
              <w:t>veikuši pirkumus</w:t>
            </w:r>
            <w:r w:rsidRPr="00364EDD">
              <w:rPr>
                <w:color w:val="000000" w:themeColor="text1"/>
                <w:szCs w:val="28"/>
                <w:lang w:eastAsia="lv-LV"/>
              </w:rPr>
              <w:t>.</w:t>
            </w:r>
          </w:p>
          <w:p w14:paraId="2C9F14BB" w14:textId="55176B22" w:rsidR="00C03EEE" w:rsidRPr="00364EDD" w:rsidRDefault="00C03EEE" w:rsidP="008D4B3A">
            <w:pPr>
              <w:spacing w:after="120"/>
              <w:ind w:right="142"/>
              <w:rPr>
                <w:color w:val="000000" w:themeColor="text1"/>
                <w:szCs w:val="28"/>
                <w:lang w:eastAsia="lv-LV"/>
              </w:rPr>
            </w:pPr>
            <w:r w:rsidRPr="00364EDD">
              <w:rPr>
                <w:color w:val="000000" w:themeColor="text1"/>
                <w:szCs w:val="28"/>
                <w:lang w:eastAsia="lv-LV"/>
              </w:rPr>
              <w:t>Lai potenciālajiem pircējiem atvieglotu pieteikšanos</w:t>
            </w:r>
            <w:r w:rsidR="00D67959" w:rsidRPr="00364EDD">
              <w:rPr>
                <w:color w:val="000000" w:themeColor="text1"/>
                <w:szCs w:val="28"/>
                <w:lang w:eastAsia="lv-LV"/>
              </w:rPr>
              <w:t>,</w:t>
            </w:r>
            <w:r w:rsidRPr="00364EDD">
              <w:rPr>
                <w:color w:val="000000" w:themeColor="text1"/>
                <w:szCs w:val="28"/>
                <w:lang w:eastAsia="lv-LV"/>
              </w:rPr>
              <w:t xml:space="preserve"> </w:t>
            </w:r>
            <w:r w:rsidR="00EE74EE" w:rsidRPr="00364EDD">
              <w:rPr>
                <w:color w:val="000000" w:themeColor="text1"/>
                <w:szCs w:val="28"/>
                <w:lang w:eastAsia="lv-LV"/>
              </w:rPr>
              <w:t>atbildīgā institūcija</w:t>
            </w:r>
            <w:r w:rsidRPr="00364EDD">
              <w:rPr>
                <w:color w:val="000000" w:themeColor="text1"/>
                <w:szCs w:val="28"/>
                <w:lang w:eastAsia="lv-LV"/>
              </w:rPr>
              <w:t xml:space="preserve"> savā tīmekļa vietā ievietos arī </w:t>
            </w:r>
            <w:r w:rsidR="007B45D6" w:rsidRPr="00364EDD">
              <w:rPr>
                <w:color w:val="000000" w:themeColor="text1"/>
                <w:szCs w:val="28"/>
                <w:lang w:eastAsia="lv-LV"/>
              </w:rPr>
              <w:t xml:space="preserve">informatīvu </w:t>
            </w:r>
            <w:r w:rsidRPr="00364EDD">
              <w:rPr>
                <w:color w:val="000000" w:themeColor="text1"/>
                <w:szCs w:val="28"/>
                <w:lang w:eastAsia="lv-LV"/>
              </w:rPr>
              <w:t xml:space="preserve">pieteikšanās formu, kurā cita starpā ietvers informāciju, kas potenciālajam pircējam ir </w:t>
            </w:r>
            <w:r w:rsidR="00E53DCB" w:rsidRPr="00364EDD">
              <w:rPr>
                <w:color w:val="000000" w:themeColor="text1"/>
                <w:szCs w:val="28"/>
                <w:lang w:eastAsia="lv-LV"/>
              </w:rPr>
              <w:t>svarīgi zināt</w:t>
            </w:r>
            <w:r w:rsidR="007B45D6" w:rsidRPr="00364EDD">
              <w:rPr>
                <w:color w:val="000000" w:themeColor="text1"/>
                <w:szCs w:val="28"/>
                <w:lang w:eastAsia="lv-LV"/>
              </w:rPr>
              <w:t xml:space="preserve"> iegādājoties piedāvātās zāles vai medicīniskās ierīces</w:t>
            </w:r>
            <w:r w:rsidRPr="00364EDD">
              <w:rPr>
                <w:color w:val="000000" w:themeColor="text1"/>
                <w:szCs w:val="28"/>
                <w:lang w:eastAsia="lv-LV"/>
              </w:rPr>
              <w:t>, piemēram, atsevišķiem medikamentu veidiem nepieciešamo transportēšanas nosacījumu izpildi, tai skaitā attiecīga</w:t>
            </w:r>
            <w:r w:rsidR="009C196D" w:rsidRPr="00364EDD">
              <w:rPr>
                <w:color w:val="000000" w:themeColor="text1"/>
                <w:szCs w:val="28"/>
                <w:lang w:eastAsia="lv-LV"/>
              </w:rPr>
              <w:t>s</w:t>
            </w:r>
            <w:r w:rsidRPr="00364EDD">
              <w:rPr>
                <w:color w:val="000000" w:themeColor="text1"/>
                <w:szCs w:val="28"/>
                <w:lang w:eastAsia="lv-LV"/>
              </w:rPr>
              <w:t xml:space="preserve"> temperatūras </w:t>
            </w:r>
            <w:r w:rsidR="007B45D6" w:rsidRPr="00364EDD">
              <w:rPr>
                <w:color w:val="000000" w:themeColor="text1"/>
                <w:szCs w:val="28"/>
                <w:lang w:eastAsia="lv-LV"/>
              </w:rPr>
              <w:t xml:space="preserve">(aukstum ķēdes) </w:t>
            </w:r>
            <w:r w:rsidRPr="00364EDD">
              <w:rPr>
                <w:color w:val="000000" w:themeColor="text1"/>
                <w:szCs w:val="28"/>
                <w:lang w:eastAsia="lv-LV"/>
              </w:rPr>
              <w:t xml:space="preserve">nodrošināšanas nepieciešamību, </w:t>
            </w:r>
            <w:r w:rsidR="007B45D6" w:rsidRPr="00364EDD">
              <w:rPr>
                <w:color w:val="000000" w:themeColor="text1"/>
                <w:szCs w:val="28"/>
                <w:lang w:eastAsia="lv-LV"/>
              </w:rPr>
              <w:t>lai saglabātu zāļu kvalitāti saskaņā ar to ražotāja norādījumiem</w:t>
            </w:r>
            <w:r w:rsidRPr="00364EDD">
              <w:rPr>
                <w:color w:val="000000" w:themeColor="text1"/>
                <w:szCs w:val="28"/>
                <w:lang w:eastAsia="lv-LV"/>
              </w:rPr>
              <w:t xml:space="preserve">. </w:t>
            </w:r>
          </w:p>
          <w:p w14:paraId="6C2C7B49" w14:textId="7ABD81A2" w:rsidR="008D4B3A" w:rsidRPr="00364EDD" w:rsidRDefault="003F51CB" w:rsidP="006D3345">
            <w:pPr>
              <w:spacing w:after="120"/>
              <w:ind w:right="142"/>
              <w:rPr>
                <w:color w:val="000000" w:themeColor="text1"/>
                <w:szCs w:val="28"/>
                <w:lang w:eastAsia="lv-LV"/>
              </w:rPr>
            </w:pPr>
            <w:r w:rsidRPr="00364EDD">
              <w:rPr>
                <w:color w:val="000000" w:themeColor="text1"/>
                <w:szCs w:val="28"/>
                <w:lang w:eastAsia="lv-LV"/>
              </w:rPr>
              <w:t>Ja zāles</w:t>
            </w:r>
            <w:r w:rsidR="00BB386E" w:rsidRPr="00364EDD">
              <w:rPr>
                <w:color w:val="000000" w:themeColor="text1"/>
                <w:szCs w:val="28"/>
                <w:lang w:eastAsia="lv-LV"/>
              </w:rPr>
              <w:t xml:space="preserve"> vai medicīniskās ierīces</w:t>
            </w:r>
            <w:r w:rsidRPr="00364EDD">
              <w:rPr>
                <w:color w:val="000000" w:themeColor="text1"/>
                <w:szCs w:val="28"/>
                <w:lang w:eastAsia="lv-LV"/>
              </w:rPr>
              <w:t xml:space="preserve"> </w:t>
            </w:r>
            <w:r w:rsidR="00E827E4" w:rsidRPr="00364EDD">
              <w:rPr>
                <w:color w:val="000000" w:themeColor="text1"/>
                <w:szCs w:val="28"/>
                <w:lang w:eastAsia="lv-LV"/>
              </w:rPr>
              <w:t xml:space="preserve">netiks </w:t>
            </w:r>
            <w:r w:rsidR="005B7471" w:rsidRPr="00364EDD">
              <w:rPr>
                <w:color w:val="000000" w:themeColor="text1"/>
                <w:szCs w:val="28"/>
                <w:lang w:eastAsia="lv-LV"/>
              </w:rPr>
              <w:t>pārdotas</w:t>
            </w:r>
            <w:r w:rsidR="00E827E4" w:rsidRPr="00364EDD">
              <w:rPr>
                <w:color w:val="000000" w:themeColor="text1"/>
                <w:szCs w:val="28"/>
                <w:lang w:eastAsia="lv-LV"/>
              </w:rPr>
              <w:t xml:space="preserve"> </w:t>
            </w:r>
            <w:r w:rsidR="004F2459" w:rsidRPr="00364EDD">
              <w:rPr>
                <w:color w:val="000000" w:themeColor="text1"/>
                <w:szCs w:val="28"/>
                <w:lang w:eastAsia="lv-LV"/>
              </w:rPr>
              <w:t>sešu mēnešu laikā no sludinājuma brīža</w:t>
            </w:r>
            <w:r w:rsidRPr="00364EDD">
              <w:rPr>
                <w:color w:val="000000" w:themeColor="text1"/>
                <w:szCs w:val="28"/>
                <w:lang w:eastAsia="lv-LV"/>
              </w:rPr>
              <w:t>, lai mazinātu iespējamību, ka tās tiek norakstītas (utilizētas)</w:t>
            </w:r>
            <w:r w:rsidR="00E827E4" w:rsidRPr="00364EDD">
              <w:rPr>
                <w:color w:val="000000" w:themeColor="text1"/>
                <w:szCs w:val="28"/>
                <w:lang w:eastAsia="lv-LV"/>
              </w:rPr>
              <w:t>,</w:t>
            </w:r>
            <w:r w:rsidRPr="00364EDD">
              <w:rPr>
                <w:color w:val="000000" w:themeColor="text1"/>
                <w:szCs w:val="28"/>
                <w:lang w:eastAsia="lv-LV"/>
              </w:rPr>
              <w:t xml:space="preserve"> ir paredzēta iespēja tās nodot bez atlīdzības </w:t>
            </w:r>
            <w:r w:rsidR="005B7471" w:rsidRPr="00364EDD">
              <w:rPr>
                <w:color w:val="000000" w:themeColor="text1"/>
                <w:szCs w:val="28"/>
                <w:lang w:eastAsia="lv-LV"/>
              </w:rPr>
              <w:t>valsts, atvasinātu publisku personu, kā arī citu publisko tiesību subjektu, sabiedriskā labuma organizāciju vai sociālo uzņēmumu īpašumā,</w:t>
            </w:r>
            <w:r w:rsidR="0015758D" w:rsidRPr="00364EDD">
              <w:rPr>
                <w:color w:val="000000" w:themeColor="text1"/>
                <w:szCs w:val="28"/>
                <w:lang w:eastAsia="lv-LV"/>
              </w:rPr>
              <w:t xml:space="preserve"> tai skaitā nodot tās zinātniskajai izpētei, </w:t>
            </w:r>
            <w:r w:rsidR="005B7471" w:rsidRPr="00364EDD">
              <w:rPr>
                <w:color w:val="000000" w:themeColor="text1"/>
                <w:szCs w:val="28"/>
                <w:lang w:eastAsia="lv-LV"/>
              </w:rPr>
              <w:t>ja tā</w:t>
            </w:r>
            <w:r w:rsidR="0015758D" w:rsidRPr="00364EDD">
              <w:rPr>
                <w:color w:val="000000" w:themeColor="text1"/>
                <w:szCs w:val="28"/>
                <w:lang w:eastAsia="lv-LV"/>
              </w:rPr>
              <w:t>m</w:t>
            </w:r>
            <w:r w:rsidR="005B7471" w:rsidRPr="00364EDD">
              <w:rPr>
                <w:color w:val="000000" w:themeColor="text1"/>
                <w:szCs w:val="28"/>
                <w:lang w:eastAsia="lv-LV"/>
              </w:rPr>
              <w:t xml:space="preserve"> ir tiesī</w:t>
            </w:r>
            <w:r w:rsidR="0015758D" w:rsidRPr="00364EDD">
              <w:rPr>
                <w:color w:val="000000" w:themeColor="text1"/>
                <w:szCs w:val="28"/>
                <w:lang w:eastAsia="lv-LV"/>
              </w:rPr>
              <w:t xml:space="preserve">bas </w:t>
            </w:r>
            <w:r w:rsidR="005B7471" w:rsidRPr="00364EDD">
              <w:rPr>
                <w:color w:val="000000" w:themeColor="text1"/>
                <w:szCs w:val="28"/>
                <w:lang w:eastAsia="lv-LV"/>
              </w:rPr>
              <w:t>iegādāties zāles</w:t>
            </w:r>
            <w:r w:rsidRPr="00364EDD">
              <w:rPr>
                <w:color w:val="000000" w:themeColor="text1"/>
                <w:szCs w:val="28"/>
                <w:lang w:eastAsia="lv-LV"/>
              </w:rPr>
              <w:t>.</w:t>
            </w:r>
            <w:r w:rsidR="0074397B" w:rsidRPr="00364EDD">
              <w:rPr>
                <w:color w:val="000000" w:themeColor="text1"/>
                <w:szCs w:val="28"/>
                <w:lang w:eastAsia="lv-LV"/>
              </w:rPr>
              <w:t xml:space="preserve"> </w:t>
            </w:r>
            <w:r w:rsidR="006D3345" w:rsidRPr="00364EDD">
              <w:rPr>
                <w:color w:val="000000" w:themeColor="text1"/>
                <w:szCs w:val="28"/>
                <w:lang w:eastAsia="lv-LV"/>
              </w:rPr>
              <w:t xml:space="preserve">Minētais personu loks ir ekvivalents, kāds paredzēts Publiskas personas mantas atsavināšanas likumā, kurām manta var tikt nodota bez atlīdzības, taču tām ir jābūt tiesīgām iegādāties zāles. </w:t>
            </w:r>
            <w:r w:rsidR="007B45D6" w:rsidRPr="00364EDD">
              <w:rPr>
                <w:color w:val="000000" w:themeColor="text1"/>
                <w:szCs w:val="28"/>
                <w:lang w:eastAsia="lv-LV"/>
              </w:rPr>
              <w:t xml:space="preserve">Zāles </w:t>
            </w:r>
            <w:r w:rsidR="00EE2171" w:rsidRPr="00364EDD">
              <w:rPr>
                <w:color w:val="000000" w:themeColor="text1"/>
                <w:szCs w:val="28"/>
                <w:lang w:eastAsia="lv-LV"/>
              </w:rPr>
              <w:t xml:space="preserve">saskaņā ar Farmācijas likumu </w:t>
            </w:r>
            <w:r w:rsidR="00CA6EB6" w:rsidRPr="00364EDD">
              <w:rPr>
                <w:color w:val="000000" w:themeColor="text1"/>
                <w:szCs w:val="28"/>
                <w:lang w:eastAsia="lv-LV"/>
              </w:rPr>
              <w:t>būtu tiesīgas</w:t>
            </w:r>
            <w:r w:rsidR="007B45D6" w:rsidRPr="00364EDD">
              <w:rPr>
                <w:color w:val="000000" w:themeColor="text1"/>
                <w:szCs w:val="28"/>
                <w:lang w:eastAsia="lv-LV"/>
              </w:rPr>
              <w:t xml:space="preserve"> iegādāties </w:t>
            </w:r>
            <w:r w:rsidR="00EE2171" w:rsidRPr="00364EDD">
              <w:rPr>
                <w:color w:val="000000" w:themeColor="text1"/>
                <w:szCs w:val="28"/>
                <w:lang w:eastAsia="lv-LV"/>
              </w:rPr>
              <w:t xml:space="preserve">ārstniecības iestādes, sociālās aprūpes institūcijas, praktizējoši veterinārārsti, prakses ārsti un veterinārmedicīniskās aprūpes komersanti to darbības nodrošināšanai. Pie minētajām personām un iestādēm ir pieskaitāmas arī tādas, kuras ir saņēmušas Zāļu valsts aģentūras atļauju. Piemēram, šobrīd Zāļu valsts aģentūras ir izsniegusi divām Latvijas izglītības iestādēm atļauju iegādāties zāles zinātniskās izpētes nolūkiem. </w:t>
            </w:r>
            <w:r w:rsidR="009509DE" w:rsidRPr="00364EDD">
              <w:rPr>
                <w:color w:val="000000" w:themeColor="text1"/>
                <w:szCs w:val="28"/>
                <w:lang w:eastAsia="lv-LV"/>
              </w:rPr>
              <w:t xml:space="preserve">Savukārt, lai iegādātos medicīniskās ierīces normatīvie akti neparedz ierobežojumus. </w:t>
            </w:r>
            <w:r w:rsidR="00EE2171" w:rsidRPr="00364EDD">
              <w:rPr>
                <w:color w:val="000000" w:themeColor="text1"/>
                <w:szCs w:val="28"/>
                <w:lang w:eastAsia="lv-LV"/>
              </w:rPr>
              <w:lastRenderedPageBreak/>
              <w:t xml:space="preserve">Šādas atsavināšanas gadījumā </w:t>
            </w:r>
            <w:r w:rsidR="0074397B" w:rsidRPr="00364EDD">
              <w:rPr>
                <w:color w:val="000000" w:themeColor="text1"/>
                <w:szCs w:val="28"/>
                <w:lang w:eastAsia="lv-LV"/>
              </w:rPr>
              <w:t>netiks gūti ieņēmumi no zāļu un medicīnisko ierīču atsavināšanas, bet vienlaicīgi tiks ietaupīt</w:t>
            </w:r>
            <w:r w:rsidR="00BB54B5" w:rsidRPr="00364EDD">
              <w:rPr>
                <w:color w:val="000000" w:themeColor="text1"/>
                <w:szCs w:val="28"/>
                <w:lang w:eastAsia="lv-LV"/>
              </w:rPr>
              <w:t>i</w:t>
            </w:r>
            <w:r w:rsidR="0074397B" w:rsidRPr="00364EDD">
              <w:rPr>
                <w:color w:val="000000" w:themeColor="text1"/>
                <w:szCs w:val="28"/>
                <w:lang w:eastAsia="lv-LV"/>
              </w:rPr>
              <w:t xml:space="preserve"> valsts budžeta līdzekļi, kas būtu </w:t>
            </w:r>
            <w:r w:rsidR="00312F31" w:rsidRPr="00364EDD">
              <w:rPr>
                <w:color w:val="000000" w:themeColor="text1"/>
                <w:szCs w:val="28"/>
                <w:lang w:eastAsia="lv-LV"/>
              </w:rPr>
              <w:t>nepieciešami</w:t>
            </w:r>
            <w:r w:rsidR="0074397B" w:rsidRPr="00364EDD">
              <w:rPr>
                <w:color w:val="000000" w:themeColor="text1"/>
                <w:szCs w:val="28"/>
                <w:lang w:eastAsia="lv-LV"/>
              </w:rPr>
              <w:t>, lai nodrošinātu norakstīto resursu utilizāciju.</w:t>
            </w:r>
          </w:p>
          <w:p w14:paraId="4D89735D" w14:textId="4AE33D08" w:rsidR="008D4B3A" w:rsidRPr="00364EDD" w:rsidRDefault="003E4DB6" w:rsidP="008D4B3A">
            <w:pPr>
              <w:spacing w:after="120"/>
              <w:ind w:right="142"/>
              <w:rPr>
                <w:color w:val="000000" w:themeColor="text1"/>
                <w:szCs w:val="28"/>
                <w:lang w:eastAsia="lv-LV"/>
              </w:rPr>
            </w:pPr>
            <w:r w:rsidRPr="00364EDD">
              <w:rPr>
                <w:color w:val="000000" w:themeColor="text1"/>
                <w:szCs w:val="28"/>
                <w:lang w:eastAsia="lv-LV"/>
              </w:rPr>
              <w:t xml:space="preserve">Minētais gan jāuzskata par izņēmuma gadījumu un primārā </w:t>
            </w:r>
            <w:r w:rsidR="004F2B9D" w:rsidRPr="00364EDD">
              <w:rPr>
                <w:color w:val="000000" w:themeColor="text1"/>
                <w:szCs w:val="28"/>
                <w:lang w:eastAsia="lv-LV"/>
              </w:rPr>
              <w:t xml:space="preserve">atsavināšanas </w:t>
            </w:r>
            <w:r w:rsidRPr="00364EDD">
              <w:rPr>
                <w:color w:val="000000" w:themeColor="text1"/>
                <w:szCs w:val="28"/>
                <w:lang w:eastAsia="lv-LV"/>
              </w:rPr>
              <w:t xml:space="preserve">darbība ir zāļu </w:t>
            </w:r>
            <w:r w:rsidR="00487337" w:rsidRPr="00364EDD">
              <w:rPr>
                <w:color w:val="000000" w:themeColor="text1"/>
                <w:szCs w:val="28"/>
                <w:lang w:eastAsia="lv-LV"/>
              </w:rPr>
              <w:t xml:space="preserve">un medicīnisko ierīču </w:t>
            </w:r>
            <w:r w:rsidRPr="00364EDD">
              <w:rPr>
                <w:color w:val="000000" w:themeColor="text1"/>
                <w:szCs w:val="28"/>
                <w:lang w:eastAsia="lv-LV"/>
              </w:rPr>
              <w:t>pārdošana</w:t>
            </w:r>
            <w:r w:rsidR="00487337" w:rsidRPr="00364EDD">
              <w:rPr>
                <w:color w:val="000000" w:themeColor="text1"/>
                <w:szCs w:val="28"/>
                <w:lang w:eastAsia="lv-LV"/>
              </w:rPr>
              <w:t>,</w:t>
            </w:r>
            <w:r w:rsidRPr="00364EDD">
              <w:rPr>
                <w:color w:val="000000" w:themeColor="text1"/>
                <w:szCs w:val="28"/>
                <w:lang w:eastAsia="lv-LV"/>
              </w:rPr>
              <w:t xml:space="preserve"> nevis </w:t>
            </w:r>
            <w:r w:rsidR="00A214AD" w:rsidRPr="00364EDD">
              <w:rPr>
                <w:color w:val="000000" w:themeColor="text1"/>
                <w:szCs w:val="28"/>
                <w:lang w:eastAsia="lv-LV"/>
              </w:rPr>
              <w:t xml:space="preserve">darbības, kas vērstas uz </w:t>
            </w:r>
            <w:r w:rsidRPr="00364EDD">
              <w:rPr>
                <w:color w:val="000000" w:themeColor="text1"/>
                <w:szCs w:val="28"/>
                <w:lang w:eastAsia="lv-LV"/>
              </w:rPr>
              <w:t>to nodošan</w:t>
            </w:r>
            <w:r w:rsidR="00D03ED6" w:rsidRPr="00364EDD">
              <w:rPr>
                <w:color w:val="000000" w:themeColor="text1"/>
                <w:szCs w:val="28"/>
                <w:lang w:eastAsia="lv-LV"/>
              </w:rPr>
              <w:t>u</w:t>
            </w:r>
            <w:r w:rsidRPr="00364EDD">
              <w:rPr>
                <w:color w:val="000000" w:themeColor="text1"/>
                <w:szCs w:val="28"/>
                <w:lang w:eastAsia="lv-LV"/>
              </w:rPr>
              <w:t xml:space="preserve"> bez atlīdzības.</w:t>
            </w:r>
            <w:r w:rsidR="00A214AD" w:rsidRPr="00364EDD">
              <w:rPr>
                <w:color w:val="000000" w:themeColor="text1"/>
                <w:szCs w:val="28"/>
                <w:lang w:eastAsia="lv-LV"/>
              </w:rPr>
              <w:t xml:space="preserve"> </w:t>
            </w:r>
            <w:r w:rsidR="004F2B9D" w:rsidRPr="00364EDD">
              <w:rPr>
                <w:color w:val="000000" w:themeColor="text1"/>
                <w:szCs w:val="28"/>
                <w:lang w:eastAsia="lv-LV"/>
              </w:rPr>
              <w:t>Līdz ar to tiesiskais regulējums neparedz šādas darbības aktīvu publicēšanas kārtību un šāda veida atsavināšana varētu notikt izvērtējot individuāli sniegtus palīdzības lūgumus, tai skaitā izvērtējot saņēmēja tiesī</w:t>
            </w:r>
            <w:r w:rsidR="00903D35" w:rsidRPr="00364EDD">
              <w:rPr>
                <w:color w:val="000000" w:themeColor="text1"/>
                <w:szCs w:val="28"/>
                <w:lang w:eastAsia="lv-LV"/>
              </w:rPr>
              <w:t>b</w:t>
            </w:r>
            <w:r w:rsidR="004F2B9D" w:rsidRPr="00364EDD">
              <w:rPr>
                <w:color w:val="000000" w:themeColor="text1"/>
                <w:szCs w:val="28"/>
                <w:lang w:eastAsia="lv-LV"/>
              </w:rPr>
              <w:t>as iegādāties zāles</w:t>
            </w:r>
            <w:r w:rsidR="00903D35" w:rsidRPr="00364EDD">
              <w:rPr>
                <w:color w:val="000000" w:themeColor="text1"/>
                <w:szCs w:val="28"/>
                <w:lang w:eastAsia="lv-LV"/>
              </w:rPr>
              <w:t xml:space="preserve"> </w:t>
            </w:r>
            <w:r w:rsidR="004F2B9D" w:rsidRPr="00364EDD">
              <w:rPr>
                <w:color w:val="000000" w:themeColor="text1"/>
                <w:szCs w:val="28"/>
                <w:lang w:eastAsia="lv-LV"/>
              </w:rPr>
              <w:t>un potenciālo rīcību ar tām.</w:t>
            </w:r>
          </w:p>
          <w:p w14:paraId="48DB51A1" w14:textId="25777FA6" w:rsidR="00831C6F" w:rsidRPr="00364EDD" w:rsidRDefault="00A214AD" w:rsidP="00DD0E52">
            <w:pPr>
              <w:shd w:val="clear" w:color="auto" w:fill="FFFFFF"/>
              <w:ind w:firstLine="0"/>
              <w:rPr>
                <w:rFonts w:ascii="Arial" w:eastAsia="Times New Roman" w:hAnsi="Arial" w:cs="Arial"/>
                <w:color w:val="414142"/>
                <w:sz w:val="20"/>
                <w:szCs w:val="20"/>
                <w:lang w:eastAsia="lv-LV"/>
              </w:rPr>
            </w:pPr>
            <w:r w:rsidRPr="00364EDD">
              <w:rPr>
                <w:color w:val="000000" w:themeColor="text1"/>
                <w:szCs w:val="28"/>
                <w:lang w:eastAsia="lv-LV"/>
              </w:rPr>
              <w:t>Ja zāles un medicīniskās ierīces nav atsavinātas līdz to derīguma termiņa beigām, atbildīgā institūcija tās noraksta atbilstoši grāmatvedību reglamentējošiem normatīvajiem aktiem</w:t>
            </w:r>
            <w:r w:rsidR="00831C6F" w:rsidRPr="00364EDD">
              <w:rPr>
                <w:color w:val="000000" w:themeColor="text1"/>
                <w:szCs w:val="28"/>
                <w:lang w:eastAsia="lv-LV"/>
              </w:rPr>
              <w:t>, tajā skaitā, saskaņā ar</w:t>
            </w:r>
            <w:r w:rsidR="00831C6F" w:rsidRPr="00364EDD">
              <w:rPr>
                <w:szCs w:val="28"/>
              </w:rPr>
              <w:t xml:space="preserve"> likumu “</w:t>
            </w:r>
            <w:r w:rsidR="00831C6F" w:rsidRPr="00364EDD">
              <w:rPr>
                <w:color w:val="000000" w:themeColor="text1"/>
                <w:szCs w:val="28"/>
                <w:lang w:eastAsia="lv-LV"/>
              </w:rPr>
              <w:t xml:space="preserve">Par grāmatvedību”, </w:t>
            </w:r>
            <w:r w:rsidR="00831C6F" w:rsidRPr="00364EDD">
              <w:rPr>
                <w:szCs w:val="28"/>
              </w:rPr>
              <w:t xml:space="preserve"> </w:t>
            </w:r>
            <w:hyperlink r:id="rId9" w:tgtFrame="_blank" w:history="1">
              <w:r w:rsidR="00831C6F" w:rsidRPr="00364EDD">
                <w:rPr>
                  <w:rStyle w:val="Hyperlink"/>
                  <w:color w:val="auto"/>
                  <w:szCs w:val="28"/>
                  <w:u w:val="none"/>
                  <w:lang w:eastAsia="lv-LV"/>
                </w:rPr>
                <w:t>Likumu par budžetu un finanšu vadību</w:t>
              </w:r>
            </w:hyperlink>
            <w:r w:rsidR="00831C6F" w:rsidRPr="00364EDD">
              <w:rPr>
                <w:szCs w:val="28"/>
                <w:lang w:eastAsia="lv-LV"/>
              </w:rPr>
              <w:t xml:space="preserve"> un </w:t>
            </w:r>
            <w:r w:rsidR="00831C6F" w:rsidRPr="00364EDD">
              <w:rPr>
                <w:rFonts w:eastAsia="Times New Roman"/>
                <w:bCs/>
                <w:szCs w:val="28"/>
                <w:lang w:eastAsia="lv-LV"/>
              </w:rPr>
              <w:t xml:space="preserve"> M</w:t>
            </w:r>
            <w:r w:rsidR="00831C6F" w:rsidRPr="00364EDD">
              <w:rPr>
                <w:rFonts w:eastAsia="Times New Roman"/>
                <w:bCs/>
                <w:color w:val="414142"/>
                <w:szCs w:val="28"/>
                <w:lang w:eastAsia="lv-LV"/>
              </w:rPr>
              <w:t xml:space="preserve">inistru kabineta 2018.gada 13.februāra noteikumiem Nr.87 “Grāmatvedības uzskaites kārtība budžeta iestādēs”, kā arī atbildīgās institūcijas </w:t>
            </w:r>
            <w:r w:rsidR="00B41A53" w:rsidRPr="00364EDD">
              <w:rPr>
                <w:rFonts w:eastAsia="Times New Roman"/>
                <w:bCs/>
                <w:color w:val="414142"/>
                <w:szCs w:val="28"/>
                <w:lang w:eastAsia="lv-LV"/>
              </w:rPr>
              <w:t>iekšējiem</w:t>
            </w:r>
            <w:r w:rsidR="00831C6F" w:rsidRPr="00364EDD">
              <w:rPr>
                <w:rFonts w:eastAsia="Times New Roman"/>
                <w:bCs/>
                <w:color w:val="414142"/>
                <w:szCs w:val="28"/>
                <w:lang w:eastAsia="lv-LV"/>
              </w:rPr>
              <w:t xml:space="preserve"> normatīvajiem aktiem.</w:t>
            </w:r>
          </w:p>
          <w:p w14:paraId="0E45893B" w14:textId="0AA948B5" w:rsidR="00965309" w:rsidRPr="00364EDD" w:rsidRDefault="00831C6F" w:rsidP="00CC3B2C">
            <w:pPr>
              <w:spacing w:after="120"/>
              <w:ind w:right="142"/>
              <w:rPr>
                <w:rFonts w:eastAsia="Times New Roman"/>
                <w:szCs w:val="28"/>
                <w:lang w:eastAsia="lv-LV"/>
              </w:rPr>
            </w:pPr>
            <w:r w:rsidRPr="00364EDD">
              <w:rPr>
                <w:color w:val="000000" w:themeColor="text1"/>
                <w:szCs w:val="28"/>
                <w:lang w:eastAsia="lv-LV"/>
              </w:rPr>
              <w:t xml:space="preserve"> </w:t>
            </w:r>
            <w:r w:rsidR="00A214AD" w:rsidRPr="00364EDD">
              <w:rPr>
                <w:color w:val="000000" w:themeColor="text1"/>
                <w:szCs w:val="28"/>
                <w:lang w:eastAsia="lv-LV"/>
              </w:rPr>
              <w:t xml:space="preserve"> </w:t>
            </w:r>
          </w:p>
        </w:tc>
      </w:tr>
      <w:tr w:rsidR="002F0C83" w:rsidRPr="00364EDD" w14:paraId="6E771158" w14:textId="77777777" w:rsidTr="00217FB7">
        <w:trPr>
          <w:trHeight w:val="465"/>
        </w:trPr>
        <w:tc>
          <w:tcPr>
            <w:tcW w:w="376" w:type="pct"/>
          </w:tcPr>
          <w:p w14:paraId="644565F2" w14:textId="1C34868A" w:rsidR="00965309" w:rsidRPr="00364EDD" w:rsidRDefault="00965309" w:rsidP="00217FB7">
            <w:pPr>
              <w:spacing w:before="100" w:beforeAutospacing="1" w:after="100" w:afterAutospacing="1"/>
              <w:ind w:firstLine="0"/>
              <w:jc w:val="center"/>
              <w:rPr>
                <w:szCs w:val="28"/>
                <w:lang w:eastAsia="lv-LV"/>
              </w:rPr>
            </w:pPr>
            <w:r w:rsidRPr="00364EDD">
              <w:rPr>
                <w:szCs w:val="28"/>
                <w:lang w:eastAsia="lv-LV"/>
              </w:rPr>
              <w:lastRenderedPageBreak/>
              <w:t>3.</w:t>
            </w:r>
          </w:p>
        </w:tc>
        <w:tc>
          <w:tcPr>
            <w:tcW w:w="1591" w:type="pct"/>
          </w:tcPr>
          <w:p w14:paraId="5564ECF3" w14:textId="30AF78CB" w:rsidR="00965309" w:rsidRPr="00364EDD" w:rsidRDefault="00965309" w:rsidP="00217FB7">
            <w:pPr>
              <w:ind w:firstLine="0"/>
              <w:jc w:val="left"/>
              <w:rPr>
                <w:szCs w:val="28"/>
                <w:lang w:eastAsia="lv-LV"/>
              </w:rPr>
            </w:pPr>
            <w:r w:rsidRPr="00364EDD">
              <w:rPr>
                <w:szCs w:val="28"/>
                <w:lang w:eastAsia="lv-LV"/>
              </w:rPr>
              <w:t>Projekta izstrādē iesaistītās institūcijas</w:t>
            </w:r>
            <w:r w:rsidR="00901F01" w:rsidRPr="00364EDD">
              <w:rPr>
                <w:szCs w:val="28"/>
                <w:lang w:eastAsia="lv-LV"/>
              </w:rPr>
              <w:t xml:space="preserve"> </w:t>
            </w:r>
            <w:r w:rsidR="00901F01" w:rsidRPr="00364EDD">
              <w:t xml:space="preserve"> </w:t>
            </w:r>
            <w:r w:rsidR="00901F01" w:rsidRPr="00364EDD">
              <w:rPr>
                <w:szCs w:val="28"/>
                <w:lang w:eastAsia="lv-LV"/>
              </w:rPr>
              <w:t>un publiskas personas kapitālsabiedrības</w:t>
            </w:r>
          </w:p>
        </w:tc>
        <w:tc>
          <w:tcPr>
            <w:tcW w:w="3033" w:type="pct"/>
          </w:tcPr>
          <w:p w14:paraId="1BE2FFAB" w14:textId="2446AB74" w:rsidR="00965309" w:rsidRPr="00364EDD" w:rsidRDefault="00E64875" w:rsidP="009C6E84">
            <w:pPr>
              <w:ind w:firstLine="0"/>
              <w:rPr>
                <w:szCs w:val="28"/>
                <w:lang w:eastAsia="lv-LV"/>
              </w:rPr>
            </w:pPr>
            <w:r w:rsidRPr="00364EDD">
              <w:rPr>
                <w:szCs w:val="28"/>
                <w:lang w:eastAsia="lv-LV"/>
              </w:rPr>
              <w:t>Veselības</w:t>
            </w:r>
            <w:r w:rsidR="00965309" w:rsidRPr="00364EDD">
              <w:rPr>
                <w:szCs w:val="28"/>
                <w:lang w:eastAsia="lv-LV"/>
              </w:rPr>
              <w:t xml:space="preserve"> ministrija</w:t>
            </w:r>
            <w:r w:rsidR="00390C55" w:rsidRPr="00364EDD">
              <w:rPr>
                <w:szCs w:val="28"/>
                <w:lang w:eastAsia="lv-LV"/>
              </w:rPr>
              <w:t xml:space="preserve">, </w:t>
            </w:r>
            <w:r w:rsidRPr="00364EDD">
              <w:rPr>
                <w:szCs w:val="28"/>
                <w:lang w:eastAsia="lv-LV"/>
              </w:rPr>
              <w:t>Neatliekamās medicīniskās palīdzības</w:t>
            </w:r>
            <w:r w:rsidR="00390C55" w:rsidRPr="00364EDD">
              <w:rPr>
                <w:szCs w:val="28"/>
                <w:lang w:eastAsia="lv-LV"/>
              </w:rPr>
              <w:t xml:space="preserve"> dienests</w:t>
            </w:r>
            <w:r w:rsidR="009C6E84" w:rsidRPr="00364EDD">
              <w:rPr>
                <w:szCs w:val="28"/>
                <w:lang w:eastAsia="lv-LV"/>
              </w:rPr>
              <w:t>, Nodrošinājuma valsts aģentūra</w:t>
            </w:r>
          </w:p>
        </w:tc>
      </w:tr>
      <w:tr w:rsidR="002F0C83" w:rsidRPr="00364EDD" w14:paraId="50DDF13B" w14:textId="77777777" w:rsidTr="00217FB7">
        <w:tc>
          <w:tcPr>
            <w:tcW w:w="376" w:type="pct"/>
          </w:tcPr>
          <w:p w14:paraId="68E14F15" w14:textId="77777777" w:rsidR="00965309" w:rsidRPr="00364EDD" w:rsidRDefault="00965309" w:rsidP="00217FB7">
            <w:pPr>
              <w:spacing w:before="100" w:beforeAutospacing="1" w:after="100" w:afterAutospacing="1"/>
              <w:ind w:firstLine="0"/>
              <w:jc w:val="center"/>
              <w:rPr>
                <w:szCs w:val="28"/>
                <w:lang w:eastAsia="lv-LV"/>
              </w:rPr>
            </w:pPr>
            <w:r w:rsidRPr="00364EDD">
              <w:rPr>
                <w:szCs w:val="28"/>
                <w:lang w:eastAsia="lv-LV"/>
              </w:rPr>
              <w:t>4.</w:t>
            </w:r>
          </w:p>
        </w:tc>
        <w:tc>
          <w:tcPr>
            <w:tcW w:w="1591" w:type="pct"/>
          </w:tcPr>
          <w:p w14:paraId="26A3CB0C" w14:textId="77777777" w:rsidR="00965309" w:rsidRPr="00364EDD" w:rsidRDefault="00965309" w:rsidP="00217FB7">
            <w:pPr>
              <w:ind w:firstLine="0"/>
              <w:jc w:val="left"/>
              <w:rPr>
                <w:szCs w:val="28"/>
                <w:lang w:eastAsia="lv-LV"/>
              </w:rPr>
            </w:pPr>
            <w:r w:rsidRPr="00364EDD">
              <w:rPr>
                <w:szCs w:val="28"/>
                <w:lang w:eastAsia="lv-LV"/>
              </w:rPr>
              <w:t>Cita informācija</w:t>
            </w:r>
          </w:p>
        </w:tc>
        <w:tc>
          <w:tcPr>
            <w:tcW w:w="3033" w:type="pct"/>
          </w:tcPr>
          <w:p w14:paraId="74B14CD8" w14:textId="77777777" w:rsidR="00965309" w:rsidRPr="00364EDD" w:rsidRDefault="00965309" w:rsidP="00217FB7">
            <w:pPr>
              <w:tabs>
                <w:tab w:val="center" w:pos="3516"/>
              </w:tabs>
              <w:spacing w:before="100" w:beforeAutospacing="1" w:after="100" w:afterAutospacing="1"/>
              <w:ind w:firstLine="0"/>
              <w:jc w:val="left"/>
              <w:rPr>
                <w:szCs w:val="28"/>
                <w:lang w:eastAsia="lv-LV"/>
              </w:rPr>
            </w:pPr>
            <w:r w:rsidRPr="00364EDD">
              <w:rPr>
                <w:szCs w:val="28"/>
                <w:lang w:eastAsia="lv-LV"/>
              </w:rPr>
              <w:t>Nav.</w:t>
            </w:r>
            <w:r w:rsidR="00D52F89" w:rsidRPr="00364EDD">
              <w:rPr>
                <w:szCs w:val="28"/>
                <w:lang w:eastAsia="lv-LV"/>
              </w:rPr>
              <w:tab/>
            </w:r>
          </w:p>
        </w:tc>
      </w:tr>
    </w:tbl>
    <w:p w14:paraId="6CC5695F" w14:textId="77777777" w:rsidR="008F4F24" w:rsidRPr="00364EDD" w:rsidRDefault="008F4F24" w:rsidP="00F50C84">
      <w:pPr>
        <w:ind w:firstLine="0"/>
        <w:jc w:val="left"/>
        <w:rPr>
          <w:szCs w:val="28"/>
          <w:lang w:eastAsia="lv-LV"/>
        </w:rPr>
      </w:pPr>
    </w:p>
    <w:p w14:paraId="51DE1B91" w14:textId="77777777" w:rsidR="00394F72" w:rsidRPr="00364EDD" w:rsidRDefault="00394F72" w:rsidP="00F50C84">
      <w:pPr>
        <w:ind w:firstLine="0"/>
        <w:jc w:val="left"/>
        <w:rPr>
          <w:szCs w:val="28"/>
          <w:lang w:eastAsia="lv-LV"/>
        </w:rPr>
      </w:pPr>
    </w:p>
    <w:tbl>
      <w:tblPr>
        <w:tblStyle w:val="TableGrid"/>
        <w:tblW w:w="9356" w:type="dxa"/>
        <w:tblInd w:w="-289" w:type="dxa"/>
        <w:tblLook w:val="04A0" w:firstRow="1" w:lastRow="0" w:firstColumn="1" w:lastColumn="0" w:noHBand="0" w:noVBand="1"/>
      </w:tblPr>
      <w:tblGrid>
        <w:gridCol w:w="710"/>
        <w:gridCol w:w="2976"/>
        <w:gridCol w:w="5670"/>
      </w:tblGrid>
      <w:tr w:rsidR="002F0C83" w:rsidRPr="00364EDD" w14:paraId="010B78D5" w14:textId="77777777" w:rsidTr="00B35A2B">
        <w:tc>
          <w:tcPr>
            <w:tcW w:w="9356" w:type="dxa"/>
            <w:gridSpan w:val="3"/>
          </w:tcPr>
          <w:p w14:paraId="50D4714D" w14:textId="77777777" w:rsidR="00D1691E" w:rsidRPr="00364EDD" w:rsidRDefault="00D1691E" w:rsidP="00485A47">
            <w:pPr>
              <w:pStyle w:val="NormalWeb"/>
              <w:tabs>
                <w:tab w:val="left" w:pos="552"/>
              </w:tabs>
              <w:spacing w:before="0" w:beforeAutospacing="0" w:after="0" w:afterAutospacing="0"/>
              <w:ind w:firstLine="525"/>
              <w:jc w:val="center"/>
              <w:rPr>
                <w:bCs/>
                <w:sz w:val="28"/>
                <w:szCs w:val="28"/>
              </w:rPr>
            </w:pPr>
            <w:r w:rsidRPr="00364EDD">
              <w:rPr>
                <w:b/>
                <w:bCs/>
                <w:sz w:val="28"/>
                <w:szCs w:val="28"/>
              </w:rPr>
              <w:t>II. Tiesību akta projekta ietekme uz sabiedrību, tautsaimniecības attīstību un administratīvo slogu</w:t>
            </w:r>
          </w:p>
        </w:tc>
      </w:tr>
      <w:tr w:rsidR="002F0C83" w:rsidRPr="00364EDD" w14:paraId="5E025941" w14:textId="77777777" w:rsidTr="00B35A2B">
        <w:tc>
          <w:tcPr>
            <w:tcW w:w="710" w:type="dxa"/>
          </w:tcPr>
          <w:p w14:paraId="30273F66" w14:textId="77777777" w:rsidR="00D1691E" w:rsidRPr="00364EDD" w:rsidRDefault="00D1691E" w:rsidP="007A7ADE">
            <w:pPr>
              <w:spacing w:before="100" w:beforeAutospacing="1" w:after="100" w:afterAutospacing="1"/>
              <w:ind w:firstLine="0"/>
              <w:jc w:val="center"/>
              <w:rPr>
                <w:szCs w:val="28"/>
              </w:rPr>
            </w:pPr>
            <w:r w:rsidRPr="00364EDD">
              <w:rPr>
                <w:szCs w:val="28"/>
              </w:rPr>
              <w:t>1.</w:t>
            </w:r>
          </w:p>
        </w:tc>
        <w:tc>
          <w:tcPr>
            <w:tcW w:w="2976" w:type="dxa"/>
          </w:tcPr>
          <w:p w14:paraId="26DFB677" w14:textId="77777777" w:rsidR="00D1691E" w:rsidRPr="00364EDD" w:rsidRDefault="00D1691E" w:rsidP="007A7ADE">
            <w:pPr>
              <w:spacing w:before="100" w:beforeAutospacing="1" w:after="100" w:afterAutospacing="1"/>
              <w:ind w:firstLine="136"/>
              <w:rPr>
                <w:szCs w:val="28"/>
              </w:rPr>
            </w:pPr>
            <w:r w:rsidRPr="00364EDD">
              <w:rPr>
                <w:szCs w:val="28"/>
              </w:rPr>
              <w:t>Sabiedrības mērķgrupas, kuras tiesiskais regulējums ietekmē vai varētu ietekmēt</w:t>
            </w:r>
          </w:p>
          <w:p w14:paraId="6CB7F27C" w14:textId="1C7746B1" w:rsidR="00F86830" w:rsidRPr="00364EDD" w:rsidRDefault="00F86830" w:rsidP="007A7ADE">
            <w:pPr>
              <w:spacing w:before="100" w:beforeAutospacing="1" w:after="100" w:afterAutospacing="1"/>
              <w:ind w:firstLine="136"/>
              <w:rPr>
                <w:szCs w:val="28"/>
              </w:rPr>
            </w:pPr>
          </w:p>
        </w:tc>
        <w:tc>
          <w:tcPr>
            <w:tcW w:w="5670" w:type="dxa"/>
          </w:tcPr>
          <w:p w14:paraId="67DE80DC" w14:textId="0539D3FC" w:rsidR="00D1691E" w:rsidRPr="00364EDD" w:rsidRDefault="00C5446A" w:rsidP="00B86329">
            <w:pPr>
              <w:ind w:firstLine="0"/>
              <w:rPr>
                <w:szCs w:val="28"/>
              </w:rPr>
            </w:pPr>
            <w:r w:rsidRPr="00364EDD">
              <w:rPr>
                <w:color w:val="000000" w:themeColor="text1"/>
                <w:szCs w:val="28"/>
                <w:lang w:eastAsia="lv-LV"/>
              </w:rPr>
              <w:t>Ārstniecības iestādes, sociālās aprūpes institūcijas, praktizējoši veterinārārsti, prakses ārsti un veterinārmedicīniskās aprūpes komersanti, kā arī personas un iestādes, kuras ir saņēmušas atļauju zāļu iegādei</w:t>
            </w:r>
            <w:r w:rsidR="00454C80" w:rsidRPr="00364EDD">
              <w:rPr>
                <w:color w:val="000000" w:themeColor="text1"/>
                <w:szCs w:val="28"/>
                <w:lang w:eastAsia="lv-LV"/>
              </w:rPr>
              <w:t>.</w:t>
            </w:r>
            <w:r w:rsidR="00F54C44" w:rsidRPr="00364EDD">
              <w:rPr>
                <w:szCs w:val="28"/>
              </w:rPr>
              <w:t xml:space="preserve"> </w:t>
            </w:r>
            <w:r w:rsidRPr="00364EDD">
              <w:rPr>
                <w:szCs w:val="28"/>
              </w:rPr>
              <w:t xml:space="preserve">Ikviena persona vai iestāde, kas vēlas iegādāties valsts materiālajās rezervēs ietilpstošās </w:t>
            </w:r>
            <w:r w:rsidR="001215CC" w:rsidRPr="00364EDD">
              <w:rPr>
                <w:szCs w:val="28"/>
              </w:rPr>
              <w:t>medicīniskās ierīces</w:t>
            </w:r>
            <w:r w:rsidR="006810BE" w:rsidRPr="00364EDD">
              <w:rPr>
                <w:szCs w:val="28"/>
              </w:rPr>
              <w:t>.</w:t>
            </w:r>
            <w:r w:rsidR="0083511D" w:rsidRPr="00364EDD">
              <w:rPr>
                <w:szCs w:val="28"/>
              </w:rPr>
              <w:t xml:space="preserve"> </w:t>
            </w:r>
            <w:r w:rsidR="0083511D" w:rsidRPr="00364EDD">
              <w:rPr>
                <w:iCs/>
                <w:szCs w:val="28"/>
              </w:rPr>
              <w:t xml:space="preserve">Neatliekamās medicīniskās palīdzības </w:t>
            </w:r>
            <w:r w:rsidR="0083511D" w:rsidRPr="00364EDD">
              <w:rPr>
                <w:iCs/>
                <w:szCs w:val="28"/>
              </w:rPr>
              <w:lastRenderedPageBreak/>
              <w:t>dienest</w:t>
            </w:r>
            <w:r w:rsidR="00106A07" w:rsidRPr="00364EDD">
              <w:rPr>
                <w:iCs/>
                <w:szCs w:val="28"/>
              </w:rPr>
              <w:t>ā</w:t>
            </w:r>
            <w:r w:rsidR="0083511D" w:rsidRPr="00364EDD">
              <w:rPr>
                <w:iCs/>
                <w:szCs w:val="28"/>
              </w:rPr>
              <w:t xml:space="preserve"> </w:t>
            </w:r>
            <w:r w:rsidR="00106A07" w:rsidRPr="00364EDD">
              <w:rPr>
                <w:iCs/>
                <w:szCs w:val="28"/>
              </w:rPr>
              <w:t>nodarbinātās personas</w:t>
            </w:r>
            <w:r w:rsidR="0083511D" w:rsidRPr="00364EDD">
              <w:rPr>
                <w:iCs/>
                <w:szCs w:val="28"/>
              </w:rPr>
              <w:t xml:space="preserve">, kas nodrošinās noteikumu izpildi. </w:t>
            </w:r>
          </w:p>
        </w:tc>
      </w:tr>
      <w:tr w:rsidR="002F0C83" w:rsidRPr="00364EDD" w14:paraId="47D2A4CC" w14:textId="77777777" w:rsidTr="00B35A2B">
        <w:trPr>
          <w:trHeight w:val="284"/>
        </w:trPr>
        <w:tc>
          <w:tcPr>
            <w:tcW w:w="710" w:type="dxa"/>
          </w:tcPr>
          <w:p w14:paraId="1B26EA95" w14:textId="77777777" w:rsidR="00D1691E" w:rsidRPr="00364EDD" w:rsidRDefault="00D1691E" w:rsidP="007A7ADE">
            <w:pPr>
              <w:spacing w:before="100" w:beforeAutospacing="1" w:after="100" w:afterAutospacing="1"/>
              <w:ind w:firstLine="0"/>
              <w:jc w:val="center"/>
              <w:rPr>
                <w:szCs w:val="28"/>
              </w:rPr>
            </w:pPr>
            <w:r w:rsidRPr="00364EDD">
              <w:rPr>
                <w:szCs w:val="28"/>
              </w:rPr>
              <w:lastRenderedPageBreak/>
              <w:t>2.</w:t>
            </w:r>
          </w:p>
        </w:tc>
        <w:tc>
          <w:tcPr>
            <w:tcW w:w="2976" w:type="dxa"/>
          </w:tcPr>
          <w:p w14:paraId="3F02130C" w14:textId="77777777" w:rsidR="00D1691E" w:rsidRPr="00364EDD" w:rsidRDefault="00D1691E" w:rsidP="006677FF">
            <w:pPr>
              <w:spacing w:before="100" w:beforeAutospacing="1" w:after="100" w:afterAutospacing="1"/>
              <w:ind w:firstLine="136"/>
              <w:rPr>
                <w:szCs w:val="28"/>
              </w:rPr>
            </w:pPr>
            <w:r w:rsidRPr="00364EDD">
              <w:rPr>
                <w:szCs w:val="28"/>
              </w:rPr>
              <w:t>Tiesiskā regulējuma ietekme uz tautsaimniecību</w:t>
            </w:r>
            <w:r w:rsidR="006677FF" w:rsidRPr="00364EDD">
              <w:rPr>
                <w:szCs w:val="28"/>
              </w:rPr>
              <w:t xml:space="preserve"> </w:t>
            </w:r>
            <w:r w:rsidRPr="00364EDD">
              <w:rPr>
                <w:szCs w:val="28"/>
              </w:rPr>
              <w:t>un administratīvo slogu</w:t>
            </w:r>
          </w:p>
        </w:tc>
        <w:tc>
          <w:tcPr>
            <w:tcW w:w="5670" w:type="dxa"/>
          </w:tcPr>
          <w:p w14:paraId="4DA180AF" w14:textId="38D667E3" w:rsidR="00D1691E" w:rsidRPr="00364EDD" w:rsidRDefault="00F069F1" w:rsidP="003F5F0C">
            <w:pPr>
              <w:ind w:firstLine="340"/>
              <w:rPr>
                <w:szCs w:val="28"/>
              </w:rPr>
            </w:pPr>
            <w:r w:rsidRPr="00364EDD">
              <w:rPr>
                <w:szCs w:val="28"/>
              </w:rPr>
              <w:t xml:space="preserve">Ietekme uz tautsaimniecību un </w:t>
            </w:r>
            <w:r w:rsidR="003F5F0C" w:rsidRPr="00364EDD">
              <w:rPr>
                <w:szCs w:val="28"/>
              </w:rPr>
              <w:t>a</w:t>
            </w:r>
            <w:r w:rsidRPr="00364EDD">
              <w:rPr>
                <w:szCs w:val="28"/>
              </w:rPr>
              <w:t xml:space="preserve">dministratīvo </w:t>
            </w:r>
            <w:r w:rsidR="007673B9" w:rsidRPr="00364EDD">
              <w:rPr>
                <w:szCs w:val="28"/>
              </w:rPr>
              <w:t>slog</w:t>
            </w:r>
            <w:r w:rsidR="003F5F0C" w:rsidRPr="00364EDD">
              <w:rPr>
                <w:szCs w:val="28"/>
              </w:rPr>
              <w:t>u</w:t>
            </w:r>
            <w:r w:rsidR="007673B9" w:rsidRPr="00364EDD">
              <w:rPr>
                <w:szCs w:val="28"/>
              </w:rPr>
              <w:t xml:space="preserve"> nemainās</w:t>
            </w:r>
            <w:r w:rsidRPr="00364EDD">
              <w:rPr>
                <w:szCs w:val="28"/>
              </w:rPr>
              <w:t>, jo</w:t>
            </w:r>
            <w:r w:rsidR="007673B9" w:rsidRPr="00364EDD">
              <w:rPr>
                <w:szCs w:val="28"/>
              </w:rPr>
              <w:t xml:space="preserve"> </w:t>
            </w:r>
            <w:r w:rsidRPr="00364EDD">
              <w:rPr>
                <w:szCs w:val="28"/>
              </w:rPr>
              <w:t xml:space="preserve"> </w:t>
            </w:r>
            <w:r w:rsidR="007673B9" w:rsidRPr="00364EDD">
              <w:rPr>
                <w:szCs w:val="28"/>
              </w:rPr>
              <w:t>sabiedrības grupām un institūcijām projekta tiesiskais regulējums nemaina tiesības un pienākumus, kā arī veicamās darbības</w:t>
            </w:r>
            <w:r w:rsidR="00106A07" w:rsidRPr="00364EDD">
              <w:rPr>
                <w:szCs w:val="28"/>
              </w:rPr>
              <w:t>.</w:t>
            </w:r>
            <w:r w:rsidRPr="00364EDD">
              <w:rPr>
                <w:szCs w:val="28"/>
              </w:rPr>
              <w:t xml:space="preserve"> Neatliekamās medicīniskās palīdzības dienest</w:t>
            </w:r>
            <w:r w:rsidR="00106A07" w:rsidRPr="00364EDD">
              <w:rPr>
                <w:szCs w:val="28"/>
              </w:rPr>
              <w:t xml:space="preserve">s esošo resursu ietvarā </w:t>
            </w:r>
            <w:r w:rsidRPr="00364EDD">
              <w:rPr>
                <w:szCs w:val="28"/>
              </w:rPr>
              <w:t xml:space="preserve">turpmāk </w:t>
            </w:r>
            <w:r w:rsidR="00106A07" w:rsidRPr="00364EDD">
              <w:rPr>
                <w:szCs w:val="28"/>
              </w:rPr>
              <w:t>izpildīs noteikumu projekta prasības attiecībā uz valsts materiālajās rezervēs ietilpstošo zāļu un medicīnisko ierīču atsavināšan</w:t>
            </w:r>
            <w:r w:rsidR="003F5F0C" w:rsidRPr="00364EDD">
              <w:rPr>
                <w:szCs w:val="28"/>
              </w:rPr>
              <w:t>u</w:t>
            </w:r>
            <w:r w:rsidR="00106A07" w:rsidRPr="00364EDD">
              <w:rPr>
                <w:szCs w:val="28"/>
              </w:rPr>
              <w:t xml:space="preserve"> bez Nodrošinājuma valsts aģentūras līdzdalības.</w:t>
            </w:r>
          </w:p>
        </w:tc>
      </w:tr>
      <w:tr w:rsidR="002F0C83" w:rsidRPr="00364EDD" w14:paraId="10945BB8" w14:textId="77777777" w:rsidTr="00B35A2B">
        <w:trPr>
          <w:trHeight w:val="284"/>
        </w:trPr>
        <w:tc>
          <w:tcPr>
            <w:tcW w:w="710" w:type="dxa"/>
          </w:tcPr>
          <w:p w14:paraId="7708FD2C" w14:textId="77777777" w:rsidR="00D1691E" w:rsidRPr="00364EDD" w:rsidRDefault="00D1691E" w:rsidP="007A7ADE">
            <w:pPr>
              <w:spacing w:before="100" w:beforeAutospacing="1" w:after="100" w:afterAutospacing="1"/>
              <w:ind w:firstLine="0"/>
              <w:jc w:val="center"/>
              <w:rPr>
                <w:szCs w:val="28"/>
              </w:rPr>
            </w:pPr>
            <w:r w:rsidRPr="00364EDD">
              <w:rPr>
                <w:szCs w:val="28"/>
              </w:rPr>
              <w:t>3.</w:t>
            </w:r>
          </w:p>
        </w:tc>
        <w:tc>
          <w:tcPr>
            <w:tcW w:w="2976" w:type="dxa"/>
          </w:tcPr>
          <w:p w14:paraId="2EE583BC" w14:textId="77777777" w:rsidR="00D1691E" w:rsidRPr="00364EDD" w:rsidRDefault="00D1691E" w:rsidP="007A7ADE">
            <w:pPr>
              <w:spacing w:before="100" w:beforeAutospacing="1" w:after="100" w:afterAutospacing="1"/>
              <w:ind w:firstLine="136"/>
              <w:rPr>
                <w:szCs w:val="28"/>
              </w:rPr>
            </w:pPr>
            <w:r w:rsidRPr="00364EDD">
              <w:rPr>
                <w:szCs w:val="28"/>
              </w:rPr>
              <w:t>Administratīvo izmaksu monetārs novērtējums</w:t>
            </w:r>
          </w:p>
        </w:tc>
        <w:tc>
          <w:tcPr>
            <w:tcW w:w="5670" w:type="dxa"/>
          </w:tcPr>
          <w:p w14:paraId="35FB9BCA" w14:textId="77777777" w:rsidR="00D1691E" w:rsidRPr="00364EDD" w:rsidRDefault="00372AE8" w:rsidP="007673B9">
            <w:pPr>
              <w:spacing w:before="100" w:beforeAutospacing="1" w:after="100" w:afterAutospacing="1"/>
              <w:ind w:firstLine="340"/>
              <w:rPr>
                <w:szCs w:val="28"/>
              </w:rPr>
            </w:pPr>
            <w:r w:rsidRPr="00364EDD">
              <w:rPr>
                <w:szCs w:val="28"/>
              </w:rPr>
              <w:t>Projekts šo jomu neskar.</w:t>
            </w:r>
          </w:p>
        </w:tc>
      </w:tr>
      <w:tr w:rsidR="002F0C83" w:rsidRPr="00364EDD" w14:paraId="384B6E18" w14:textId="77777777" w:rsidTr="00B35A2B">
        <w:trPr>
          <w:trHeight w:val="284"/>
        </w:trPr>
        <w:tc>
          <w:tcPr>
            <w:tcW w:w="710" w:type="dxa"/>
          </w:tcPr>
          <w:p w14:paraId="268F5253" w14:textId="77777777" w:rsidR="00D1691E" w:rsidRPr="00364EDD" w:rsidRDefault="00372AE8" w:rsidP="007A7ADE">
            <w:pPr>
              <w:spacing w:before="100" w:beforeAutospacing="1" w:after="100" w:afterAutospacing="1"/>
              <w:ind w:firstLine="0"/>
              <w:jc w:val="center"/>
              <w:rPr>
                <w:szCs w:val="28"/>
              </w:rPr>
            </w:pPr>
            <w:r w:rsidRPr="00364EDD">
              <w:rPr>
                <w:szCs w:val="28"/>
              </w:rPr>
              <w:t>4.</w:t>
            </w:r>
          </w:p>
        </w:tc>
        <w:tc>
          <w:tcPr>
            <w:tcW w:w="2976" w:type="dxa"/>
          </w:tcPr>
          <w:p w14:paraId="635601A2" w14:textId="77777777" w:rsidR="00D1691E" w:rsidRPr="00364EDD" w:rsidRDefault="00372AE8" w:rsidP="001F5735">
            <w:pPr>
              <w:spacing w:before="100" w:beforeAutospacing="1" w:after="100" w:afterAutospacing="1"/>
              <w:ind w:firstLine="131"/>
              <w:rPr>
                <w:szCs w:val="28"/>
              </w:rPr>
            </w:pPr>
            <w:r w:rsidRPr="00364EDD">
              <w:rPr>
                <w:szCs w:val="28"/>
              </w:rPr>
              <w:t>Atbilstības izmaksu monetārs novērtējums</w:t>
            </w:r>
          </w:p>
        </w:tc>
        <w:tc>
          <w:tcPr>
            <w:tcW w:w="5670" w:type="dxa"/>
          </w:tcPr>
          <w:p w14:paraId="758988A1" w14:textId="6F47FDA3" w:rsidR="00D1691E" w:rsidRPr="00364EDD" w:rsidRDefault="001112B3" w:rsidP="007A7ADE">
            <w:pPr>
              <w:spacing w:before="100" w:beforeAutospacing="1" w:after="100" w:afterAutospacing="1"/>
              <w:ind w:firstLine="340"/>
              <w:rPr>
                <w:szCs w:val="28"/>
              </w:rPr>
            </w:pPr>
            <w:r w:rsidRPr="00364EDD">
              <w:rPr>
                <w:szCs w:val="28"/>
              </w:rPr>
              <w:t>Projekts šo jomu neskar.</w:t>
            </w:r>
          </w:p>
        </w:tc>
      </w:tr>
      <w:tr w:rsidR="002F0C83" w:rsidRPr="00364EDD" w14:paraId="4F937635" w14:textId="77777777" w:rsidTr="00B35A2B">
        <w:trPr>
          <w:trHeight w:val="284"/>
        </w:trPr>
        <w:tc>
          <w:tcPr>
            <w:tcW w:w="710" w:type="dxa"/>
          </w:tcPr>
          <w:p w14:paraId="40CB4DE2" w14:textId="77777777" w:rsidR="00372AE8" w:rsidRPr="00364EDD" w:rsidRDefault="00372AE8" w:rsidP="00372AE8">
            <w:pPr>
              <w:spacing w:before="100" w:beforeAutospacing="1" w:after="100" w:afterAutospacing="1"/>
              <w:ind w:firstLine="0"/>
              <w:jc w:val="center"/>
              <w:rPr>
                <w:szCs w:val="28"/>
              </w:rPr>
            </w:pPr>
            <w:r w:rsidRPr="00364EDD">
              <w:rPr>
                <w:szCs w:val="28"/>
              </w:rPr>
              <w:t>5.</w:t>
            </w:r>
          </w:p>
        </w:tc>
        <w:tc>
          <w:tcPr>
            <w:tcW w:w="2976" w:type="dxa"/>
          </w:tcPr>
          <w:p w14:paraId="5277B5A9" w14:textId="77777777" w:rsidR="00372AE8" w:rsidRPr="00364EDD" w:rsidRDefault="00372AE8" w:rsidP="00372AE8">
            <w:pPr>
              <w:spacing w:before="100" w:beforeAutospacing="1" w:after="100" w:afterAutospacing="1"/>
              <w:ind w:firstLine="131"/>
              <w:rPr>
                <w:szCs w:val="28"/>
              </w:rPr>
            </w:pPr>
            <w:r w:rsidRPr="00364EDD">
              <w:rPr>
                <w:szCs w:val="28"/>
              </w:rPr>
              <w:t>Cita informācija</w:t>
            </w:r>
          </w:p>
        </w:tc>
        <w:tc>
          <w:tcPr>
            <w:tcW w:w="5670" w:type="dxa"/>
          </w:tcPr>
          <w:p w14:paraId="5580F713" w14:textId="7264BB41" w:rsidR="00372AE8" w:rsidRPr="00364EDD" w:rsidRDefault="001112B3" w:rsidP="00372AE8">
            <w:pPr>
              <w:spacing w:before="100" w:beforeAutospacing="1" w:after="100" w:afterAutospacing="1"/>
              <w:ind w:firstLine="340"/>
              <w:rPr>
                <w:szCs w:val="28"/>
              </w:rPr>
            </w:pPr>
            <w:r w:rsidRPr="00364EDD">
              <w:rPr>
                <w:szCs w:val="28"/>
              </w:rPr>
              <w:t>Nav.</w:t>
            </w:r>
          </w:p>
        </w:tc>
      </w:tr>
    </w:tbl>
    <w:p w14:paraId="0F76B3F2" w14:textId="77777777" w:rsidR="0037222C" w:rsidRPr="00364EDD" w:rsidRDefault="0037222C" w:rsidP="0037222C">
      <w:pPr>
        <w:shd w:val="clear" w:color="auto" w:fill="FFFFFF"/>
        <w:ind w:firstLine="301"/>
        <w:rPr>
          <w:rFonts w:eastAsia="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37222C" w:rsidRPr="00364EDD" w14:paraId="123FA725" w14:textId="77777777" w:rsidTr="008A64FF">
        <w:tc>
          <w:tcPr>
            <w:tcW w:w="9061" w:type="dxa"/>
          </w:tcPr>
          <w:p w14:paraId="57E1F34D" w14:textId="77777777" w:rsidR="0037222C" w:rsidRPr="00364EDD" w:rsidRDefault="0037222C" w:rsidP="008A64FF">
            <w:pPr>
              <w:jc w:val="center"/>
              <w:rPr>
                <w:rFonts w:eastAsia="Times New Roman"/>
                <w:b/>
                <w:szCs w:val="28"/>
                <w:lang w:eastAsia="lv-LV"/>
              </w:rPr>
            </w:pPr>
            <w:r w:rsidRPr="00364EDD">
              <w:rPr>
                <w:rFonts w:eastAsia="Times New Roman"/>
                <w:b/>
                <w:szCs w:val="28"/>
                <w:lang w:eastAsia="lv-LV"/>
              </w:rPr>
              <w:t>III. Tiesību akta projekta ietekme uz valsts budžetu un pašvaldību budžetiem</w:t>
            </w:r>
          </w:p>
        </w:tc>
      </w:tr>
      <w:tr w:rsidR="0037222C" w:rsidRPr="00364EDD" w14:paraId="10A2F58C" w14:textId="77777777" w:rsidTr="008A64FF">
        <w:tc>
          <w:tcPr>
            <w:tcW w:w="9061" w:type="dxa"/>
          </w:tcPr>
          <w:p w14:paraId="2EFBE593" w14:textId="77777777" w:rsidR="0037222C" w:rsidRPr="00364EDD" w:rsidRDefault="0037222C" w:rsidP="008A64FF">
            <w:pPr>
              <w:jc w:val="center"/>
              <w:rPr>
                <w:rFonts w:eastAsia="Times New Roman"/>
                <w:szCs w:val="28"/>
                <w:lang w:eastAsia="lv-LV"/>
              </w:rPr>
            </w:pPr>
            <w:r w:rsidRPr="00364EDD">
              <w:rPr>
                <w:rFonts w:eastAsia="Times New Roman"/>
                <w:szCs w:val="28"/>
                <w:lang w:eastAsia="lv-LV"/>
              </w:rPr>
              <w:t>Projekts šo jomu neskar</w:t>
            </w:r>
          </w:p>
        </w:tc>
      </w:tr>
    </w:tbl>
    <w:p w14:paraId="56B2B7BA" w14:textId="77777777" w:rsidR="0037222C" w:rsidRPr="00364EDD" w:rsidRDefault="0037222C" w:rsidP="0037222C">
      <w:pPr>
        <w:shd w:val="clear" w:color="auto" w:fill="FFFFFF"/>
        <w:ind w:firstLine="301"/>
        <w:rPr>
          <w:rFonts w:eastAsia="Times New Roman"/>
          <w:szCs w:val="28"/>
          <w:lang w:eastAsia="lv-LV"/>
        </w:rPr>
      </w:pPr>
    </w:p>
    <w:p w14:paraId="213F396F" w14:textId="77777777" w:rsidR="0037222C" w:rsidRPr="00364EDD" w:rsidRDefault="0037222C" w:rsidP="0037222C">
      <w:pPr>
        <w:shd w:val="clear" w:color="auto" w:fill="FFFFFF"/>
        <w:ind w:firstLine="301"/>
        <w:rPr>
          <w:rFonts w:eastAsia="Times New Roman"/>
          <w:color w:val="414142"/>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7222C" w:rsidRPr="00364EDD" w14:paraId="1DEAEEFE" w14:textId="77777777" w:rsidTr="008A64FF">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8B0928" w14:textId="77777777" w:rsidR="0037222C" w:rsidRPr="00364EDD" w:rsidRDefault="0037222C" w:rsidP="008A64FF">
            <w:pPr>
              <w:spacing w:before="100" w:beforeAutospacing="1" w:after="100" w:afterAutospacing="1" w:line="293" w:lineRule="atLeast"/>
              <w:jc w:val="center"/>
              <w:rPr>
                <w:rFonts w:eastAsia="Times New Roman"/>
                <w:b/>
                <w:bCs/>
                <w:szCs w:val="28"/>
                <w:lang w:eastAsia="lv-LV"/>
              </w:rPr>
            </w:pPr>
            <w:r w:rsidRPr="00364EDD">
              <w:rPr>
                <w:rFonts w:eastAsia="Times New Roman"/>
                <w:b/>
                <w:bCs/>
                <w:szCs w:val="28"/>
                <w:lang w:eastAsia="lv-LV"/>
              </w:rPr>
              <w:t>IV. Tiesību akta projekta ietekme uz spēkā esošo tiesību normu sistēmu</w:t>
            </w:r>
          </w:p>
        </w:tc>
      </w:tr>
      <w:tr w:rsidR="0037222C" w:rsidRPr="00364EDD" w14:paraId="08BCB526" w14:textId="77777777" w:rsidTr="008A64FF">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8DF473C" w14:textId="77777777" w:rsidR="0037222C" w:rsidRPr="00364EDD" w:rsidRDefault="0037222C" w:rsidP="008A64FF">
            <w:pPr>
              <w:spacing w:before="100" w:beforeAutospacing="1" w:after="100" w:afterAutospacing="1" w:line="293" w:lineRule="atLeast"/>
              <w:jc w:val="center"/>
              <w:rPr>
                <w:rFonts w:eastAsia="Times New Roman"/>
                <w:b/>
                <w:bCs/>
                <w:szCs w:val="28"/>
                <w:lang w:eastAsia="lv-LV"/>
              </w:rPr>
            </w:pPr>
            <w:r w:rsidRPr="00364EDD">
              <w:rPr>
                <w:rFonts w:eastAsia="Times New Roman"/>
                <w:szCs w:val="28"/>
                <w:lang w:eastAsia="lv-LV"/>
              </w:rPr>
              <w:t>Projekts šo jomu neskar</w:t>
            </w:r>
          </w:p>
        </w:tc>
      </w:tr>
    </w:tbl>
    <w:p w14:paraId="4A7E18F1" w14:textId="77777777" w:rsidR="0037222C" w:rsidRPr="00364EDD" w:rsidRDefault="0037222C" w:rsidP="0037222C">
      <w:pPr>
        <w:shd w:val="clear" w:color="auto" w:fill="FFFFFF"/>
        <w:ind w:firstLine="301"/>
        <w:rPr>
          <w:rFonts w:eastAsia="Times New Roman"/>
          <w:color w:val="414142"/>
          <w:szCs w:val="28"/>
          <w:lang w:eastAsia="lv-LV"/>
        </w:rPr>
      </w:pPr>
    </w:p>
    <w:p w14:paraId="628FC0D9" w14:textId="77777777" w:rsidR="0037222C" w:rsidRPr="00364EDD" w:rsidRDefault="0037222C" w:rsidP="0037222C">
      <w:pPr>
        <w:shd w:val="clear" w:color="auto" w:fill="FFFFFF"/>
        <w:ind w:firstLine="301"/>
        <w:rPr>
          <w:rFonts w:eastAsia="Times New Roman"/>
          <w:color w:val="414142"/>
          <w:szCs w:val="28"/>
          <w:lang w:eastAsia="lv-LV"/>
        </w:rPr>
      </w:pPr>
    </w:p>
    <w:tbl>
      <w:tblPr>
        <w:tblStyle w:val="TableGrid"/>
        <w:tblW w:w="0" w:type="auto"/>
        <w:tblLook w:val="04A0" w:firstRow="1" w:lastRow="0" w:firstColumn="1" w:lastColumn="0" w:noHBand="0" w:noVBand="1"/>
      </w:tblPr>
      <w:tblGrid>
        <w:gridCol w:w="9061"/>
      </w:tblGrid>
      <w:tr w:rsidR="0037222C" w:rsidRPr="00364EDD" w14:paraId="7AD476E9" w14:textId="77777777" w:rsidTr="008A64FF">
        <w:tc>
          <w:tcPr>
            <w:tcW w:w="9061" w:type="dxa"/>
          </w:tcPr>
          <w:p w14:paraId="3FE622DE" w14:textId="77777777" w:rsidR="0037222C" w:rsidRPr="00364EDD" w:rsidRDefault="0037222C" w:rsidP="008A64FF">
            <w:pPr>
              <w:jc w:val="center"/>
              <w:rPr>
                <w:rFonts w:eastAsia="Times New Roman"/>
                <w:b/>
                <w:szCs w:val="28"/>
                <w:lang w:eastAsia="lv-LV"/>
              </w:rPr>
            </w:pPr>
            <w:r w:rsidRPr="00364EDD">
              <w:rPr>
                <w:rFonts w:eastAsia="Times New Roman"/>
                <w:b/>
                <w:szCs w:val="28"/>
                <w:lang w:eastAsia="lv-LV"/>
              </w:rPr>
              <w:t>V. Tiesību akta projekta atbilstība Latvijas Republikas starptautiskajām saistībām</w:t>
            </w:r>
          </w:p>
        </w:tc>
      </w:tr>
      <w:tr w:rsidR="0037222C" w:rsidRPr="00364EDD" w14:paraId="6E17C063" w14:textId="77777777" w:rsidTr="008A64FF">
        <w:tc>
          <w:tcPr>
            <w:tcW w:w="9061" w:type="dxa"/>
          </w:tcPr>
          <w:p w14:paraId="43E2C7CC" w14:textId="77777777" w:rsidR="0037222C" w:rsidRPr="00364EDD" w:rsidRDefault="0037222C" w:rsidP="008A64FF">
            <w:pPr>
              <w:jc w:val="center"/>
              <w:rPr>
                <w:rFonts w:eastAsia="Times New Roman"/>
                <w:szCs w:val="28"/>
                <w:lang w:eastAsia="lv-LV"/>
              </w:rPr>
            </w:pPr>
            <w:r w:rsidRPr="00364EDD">
              <w:rPr>
                <w:rFonts w:eastAsia="Times New Roman"/>
                <w:szCs w:val="28"/>
                <w:lang w:eastAsia="lv-LV"/>
              </w:rPr>
              <w:t>Projekts šo jomu neskar</w:t>
            </w:r>
          </w:p>
        </w:tc>
      </w:tr>
    </w:tbl>
    <w:p w14:paraId="203C89A8" w14:textId="77777777" w:rsidR="0037222C" w:rsidRPr="00364EDD" w:rsidRDefault="0037222C" w:rsidP="0037222C">
      <w:pPr>
        <w:shd w:val="clear" w:color="auto" w:fill="FFFFFF"/>
        <w:ind w:firstLine="301"/>
        <w:rPr>
          <w:rFonts w:eastAsia="Times New Roman"/>
          <w:color w:val="414142"/>
          <w:sz w:val="24"/>
          <w:szCs w:val="24"/>
          <w:lang w:eastAsia="lv-LV"/>
        </w:rPr>
      </w:pPr>
    </w:p>
    <w:p w14:paraId="6C71BAB2" w14:textId="77777777" w:rsidR="00B35A2B" w:rsidRPr="00364EDD" w:rsidRDefault="00B35A2B" w:rsidP="00F50C84">
      <w:pPr>
        <w:ind w:firstLine="0"/>
        <w:jc w:val="left"/>
        <w:rPr>
          <w:szCs w:val="28"/>
          <w:lang w:eastAsia="lv-LV"/>
        </w:rPr>
      </w:pPr>
    </w:p>
    <w:tbl>
      <w:tblPr>
        <w:tblStyle w:val="TableGrid"/>
        <w:tblW w:w="9895" w:type="dxa"/>
        <w:tblInd w:w="-289" w:type="dxa"/>
        <w:tblLayout w:type="fixed"/>
        <w:tblLook w:val="04A0" w:firstRow="1" w:lastRow="0" w:firstColumn="1" w:lastColumn="0" w:noHBand="0" w:noVBand="1"/>
      </w:tblPr>
      <w:tblGrid>
        <w:gridCol w:w="426"/>
        <w:gridCol w:w="1763"/>
        <w:gridCol w:w="7706"/>
      </w:tblGrid>
      <w:tr w:rsidR="002F0C83" w:rsidRPr="00364EDD" w14:paraId="3C976996" w14:textId="77777777" w:rsidTr="00DD0E52">
        <w:tc>
          <w:tcPr>
            <w:tcW w:w="9895" w:type="dxa"/>
            <w:gridSpan w:val="3"/>
          </w:tcPr>
          <w:p w14:paraId="62143739" w14:textId="77777777" w:rsidR="00394F72" w:rsidRPr="00364EDD" w:rsidRDefault="00394F72" w:rsidP="00485A47">
            <w:pPr>
              <w:pStyle w:val="NormalWeb"/>
              <w:tabs>
                <w:tab w:val="left" w:pos="552"/>
                <w:tab w:val="left" w:pos="2145"/>
                <w:tab w:val="center" w:pos="5043"/>
              </w:tabs>
              <w:spacing w:before="0" w:beforeAutospacing="0" w:after="0" w:afterAutospacing="0"/>
              <w:ind w:firstLine="525"/>
              <w:jc w:val="center"/>
              <w:rPr>
                <w:b/>
                <w:bCs/>
                <w:sz w:val="28"/>
                <w:szCs w:val="28"/>
              </w:rPr>
            </w:pPr>
            <w:r w:rsidRPr="00364EDD">
              <w:rPr>
                <w:b/>
                <w:bCs/>
                <w:sz w:val="28"/>
                <w:szCs w:val="28"/>
              </w:rPr>
              <w:t>VI. Sabiedrības līdzdalība un komunikācijas aktivitātes</w:t>
            </w:r>
          </w:p>
        </w:tc>
      </w:tr>
      <w:tr w:rsidR="002F0C83" w:rsidRPr="00364EDD" w14:paraId="4F0B5F71" w14:textId="77777777" w:rsidTr="00DD0E52">
        <w:tc>
          <w:tcPr>
            <w:tcW w:w="426" w:type="dxa"/>
          </w:tcPr>
          <w:p w14:paraId="17BA7E34" w14:textId="77777777" w:rsidR="00394F72" w:rsidRPr="00364EDD" w:rsidRDefault="00394F72" w:rsidP="00592E2E">
            <w:pPr>
              <w:spacing w:before="100" w:beforeAutospacing="1" w:after="100" w:afterAutospacing="1"/>
              <w:ind w:firstLine="29"/>
              <w:rPr>
                <w:szCs w:val="28"/>
              </w:rPr>
            </w:pPr>
            <w:r w:rsidRPr="00364EDD">
              <w:rPr>
                <w:szCs w:val="28"/>
              </w:rPr>
              <w:t>1.</w:t>
            </w:r>
          </w:p>
        </w:tc>
        <w:tc>
          <w:tcPr>
            <w:tcW w:w="1763" w:type="dxa"/>
          </w:tcPr>
          <w:p w14:paraId="68885B24" w14:textId="77777777" w:rsidR="00394F72" w:rsidRPr="00364EDD" w:rsidRDefault="00394F72" w:rsidP="0011361F">
            <w:pPr>
              <w:spacing w:before="100" w:beforeAutospacing="1" w:after="100" w:afterAutospacing="1"/>
              <w:ind w:left="-86" w:firstLine="284"/>
              <w:jc w:val="left"/>
              <w:rPr>
                <w:szCs w:val="28"/>
              </w:rPr>
            </w:pPr>
            <w:r w:rsidRPr="00364EDD">
              <w:rPr>
                <w:szCs w:val="28"/>
                <w:shd w:val="clear" w:color="auto" w:fill="FFFFFF"/>
              </w:rPr>
              <w:t>Plānotās sabiedrības līdzdalības un komunikācijas aktivitātes saistībā ar projektu</w:t>
            </w:r>
          </w:p>
        </w:tc>
        <w:tc>
          <w:tcPr>
            <w:tcW w:w="7706" w:type="dxa"/>
          </w:tcPr>
          <w:p w14:paraId="521D7481" w14:textId="2A7FAEB4" w:rsidR="00394F72" w:rsidRPr="00364EDD" w:rsidRDefault="000C7EC8" w:rsidP="000C7EC8">
            <w:pPr>
              <w:rPr>
                <w:szCs w:val="28"/>
              </w:rPr>
            </w:pPr>
            <w:r w:rsidRPr="00364EDD">
              <w:rPr>
                <w:szCs w:val="28"/>
              </w:rPr>
              <w:t xml:space="preserve">Sabiedrības informēšanu saistībā ar projekta izstrādi notika ar sabiedriskās apspriedes starpniecību. Turklāt noteikumu projekts un elektronisks uzaicinājums piedalīties sabiedriskajā apspriedē tika nosūtīts Farmācijas jomas konsultatīvās padomes sastāvam (nevalstiskajam organizācijām), Latvijas Lielo slimnīcu asociācijai un Latvijas Veterinārārstu biedrībai. </w:t>
            </w:r>
          </w:p>
        </w:tc>
      </w:tr>
      <w:tr w:rsidR="002F0C83" w:rsidRPr="00364EDD" w14:paraId="2E285B62" w14:textId="77777777" w:rsidTr="00DD0E52">
        <w:trPr>
          <w:trHeight w:val="284"/>
        </w:trPr>
        <w:tc>
          <w:tcPr>
            <w:tcW w:w="426" w:type="dxa"/>
          </w:tcPr>
          <w:p w14:paraId="02593F15" w14:textId="77777777" w:rsidR="00394F72" w:rsidRPr="00364EDD" w:rsidRDefault="00394F72" w:rsidP="00592E2E">
            <w:pPr>
              <w:spacing w:before="100" w:beforeAutospacing="1" w:after="100" w:afterAutospacing="1"/>
              <w:ind w:firstLine="29"/>
              <w:rPr>
                <w:szCs w:val="28"/>
              </w:rPr>
            </w:pPr>
            <w:r w:rsidRPr="00364EDD">
              <w:rPr>
                <w:szCs w:val="28"/>
              </w:rPr>
              <w:t>2</w:t>
            </w:r>
            <w:r w:rsidRPr="00364EDD">
              <w:rPr>
                <w:szCs w:val="28"/>
              </w:rPr>
              <w:lastRenderedPageBreak/>
              <w:t>.</w:t>
            </w:r>
          </w:p>
        </w:tc>
        <w:tc>
          <w:tcPr>
            <w:tcW w:w="1763" w:type="dxa"/>
          </w:tcPr>
          <w:p w14:paraId="34D5B19E" w14:textId="77777777" w:rsidR="00394F72" w:rsidRPr="00364EDD" w:rsidRDefault="00394F72" w:rsidP="00364EDD">
            <w:pPr>
              <w:spacing w:before="100" w:beforeAutospacing="1" w:after="100" w:afterAutospacing="1"/>
              <w:ind w:left="-86" w:firstLine="0"/>
              <w:jc w:val="left"/>
              <w:rPr>
                <w:szCs w:val="28"/>
              </w:rPr>
            </w:pPr>
            <w:r w:rsidRPr="00364EDD">
              <w:rPr>
                <w:szCs w:val="28"/>
                <w:shd w:val="clear" w:color="auto" w:fill="FFFFFF"/>
              </w:rPr>
              <w:lastRenderedPageBreak/>
              <w:t xml:space="preserve">Sabiedrības </w:t>
            </w:r>
            <w:r w:rsidRPr="00364EDD">
              <w:rPr>
                <w:szCs w:val="28"/>
                <w:shd w:val="clear" w:color="auto" w:fill="FFFFFF"/>
              </w:rPr>
              <w:lastRenderedPageBreak/>
              <w:t>līdzdalība projekta izstrādē</w:t>
            </w:r>
          </w:p>
        </w:tc>
        <w:tc>
          <w:tcPr>
            <w:tcW w:w="7706" w:type="dxa"/>
          </w:tcPr>
          <w:p w14:paraId="1F1BC8B0" w14:textId="49CDA767" w:rsidR="000C7EC8" w:rsidRPr="00364EDD" w:rsidRDefault="000C7EC8" w:rsidP="000C7EC8">
            <w:pPr>
              <w:ind w:left="57" w:firstLine="284"/>
              <w:rPr>
                <w:szCs w:val="28"/>
              </w:rPr>
            </w:pPr>
            <w:r w:rsidRPr="00364EDD">
              <w:rPr>
                <w:szCs w:val="28"/>
              </w:rPr>
              <w:lastRenderedPageBreak/>
              <w:t xml:space="preserve">Paziņojums par sabiedrisko apspriedi ievietots 2019.gada </w:t>
            </w:r>
            <w:r w:rsidRPr="00364EDD">
              <w:rPr>
                <w:szCs w:val="28"/>
              </w:rPr>
              <w:lastRenderedPageBreak/>
              <w:t>11.martā Veselības ministrijas tīmekļa vietnē (http://www.vm.gov.lv/lv/aktualitates/sabiedribas_lidzdaliba/sabiedriska_apspriede/)</w:t>
            </w:r>
            <w:bookmarkStart w:id="0" w:name="_GoBack"/>
            <w:bookmarkEnd w:id="0"/>
            <w:r w:rsidRPr="00364EDD">
              <w:rPr>
                <w:szCs w:val="28"/>
              </w:rPr>
              <w:t>.</w:t>
            </w:r>
          </w:p>
          <w:p w14:paraId="16BC97C6" w14:textId="07EED531" w:rsidR="000C7EC8" w:rsidRPr="00364EDD" w:rsidRDefault="000C7EC8" w:rsidP="000C7EC8">
            <w:pPr>
              <w:ind w:left="57" w:firstLine="284"/>
              <w:rPr>
                <w:szCs w:val="28"/>
              </w:rPr>
            </w:pPr>
            <w:r w:rsidRPr="00364EDD">
              <w:rPr>
                <w:szCs w:val="28"/>
              </w:rPr>
              <w:t>Sabiedriskā apspriede notika 2019.gada 27.martā.</w:t>
            </w:r>
          </w:p>
          <w:p w14:paraId="039E3FA6" w14:textId="77777777" w:rsidR="000C7EC8" w:rsidRPr="00364EDD" w:rsidRDefault="000C7EC8" w:rsidP="00035347">
            <w:pPr>
              <w:ind w:left="57" w:firstLine="284"/>
              <w:rPr>
                <w:szCs w:val="28"/>
              </w:rPr>
            </w:pPr>
          </w:p>
          <w:p w14:paraId="050BBB98" w14:textId="1BD969A4" w:rsidR="00394F72" w:rsidRPr="00364EDD" w:rsidRDefault="00C5446A" w:rsidP="00035347">
            <w:pPr>
              <w:ind w:left="57" w:firstLine="284"/>
              <w:rPr>
                <w:szCs w:val="28"/>
              </w:rPr>
            </w:pPr>
            <w:r w:rsidRPr="00364EDD">
              <w:rPr>
                <w:szCs w:val="28"/>
              </w:rPr>
              <w:t xml:space="preserve">Sabiedriskajā apspriedē tika uzklausītas ieinteresētās puses </w:t>
            </w:r>
            <w:r w:rsidR="00364EDD" w:rsidRPr="00364EDD">
              <w:rPr>
                <w:szCs w:val="28"/>
              </w:rPr>
              <w:t xml:space="preserve">(Farmācijas jomas konsultatīvās padomes pārstāvošās nevalstiskās organizācijas) </w:t>
            </w:r>
            <w:r w:rsidRPr="00364EDD">
              <w:rPr>
                <w:szCs w:val="28"/>
              </w:rPr>
              <w:t xml:space="preserve">un izvērtēti viņu sniegtie viedokļi, iebildumi un priekšlikumi.  </w:t>
            </w:r>
          </w:p>
        </w:tc>
      </w:tr>
      <w:tr w:rsidR="002F0C83" w:rsidRPr="00364EDD" w14:paraId="5F18879D" w14:textId="77777777" w:rsidTr="00DD0E52">
        <w:trPr>
          <w:trHeight w:val="284"/>
        </w:trPr>
        <w:tc>
          <w:tcPr>
            <w:tcW w:w="426" w:type="dxa"/>
          </w:tcPr>
          <w:p w14:paraId="5D469C09" w14:textId="77777777" w:rsidR="00394F72" w:rsidRPr="00364EDD" w:rsidRDefault="00394F72" w:rsidP="00592E2E">
            <w:pPr>
              <w:spacing w:before="100" w:beforeAutospacing="1" w:after="100" w:afterAutospacing="1"/>
              <w:ind w:firstLine="29"/>
              <w:rPr>
                <w:szCs w:val="28"/>
              </w:rPr>
            </w:pPr>
            <w:r w:rsidRPr="00364EDD">
              <w:rPr>
                <w:szCs w:val="28"/>
              </w:rPr>
              <w:lastRenderedPageBreak/>
              <w:t>3.</w:t>
            </w:r>
          </w:p>
        </w:tc>
        <w:tc>
          <w:tcPr>
            <w:tcW w:w="1763" w:type="dxa"/>
          </w:tcPr>
          <w:p w14:paraId="78DCF283" w14:textId="77777777" w:rsidR="00394F72" w:rsidRPr="00364EDD" w:rsidRDefault="00394F72" w:rsidP="0011361F">
            <w:pPr>
              <w:spacing w:before="100" w:beforeAutospacing="1" w:after="100" w:afterAutospacing="1"/>
              <w:ind w:left="-86" w:firstLine="284"/>
              <w:jc w:val="left"/>
              <w:rPr>
                <w:szCs w:val="28"/>
              </w:rPr>
            </w:pPr>
            <w:r w:rsidRPr="00364EDD">
              <w:rPr>
                <w:szCs w:val="28"/>
                <w:shd w:val="clear" w:color="auto" w:fill="FFFFFF"/>
              </w:rPr>
              <w:t>Sabiedrības līdzdalības rezultāti</w:t>
            </w:r>
          </w:p>
        </w:tc>
        <w:tc>
          <w:tcPr>
            <w:tcW w:w="7706" w:type="dxa"/>
          </w:tcPr>
          <w:p w14:paraId="4F508559" w14:textId="39FE58F1" w:rsidR="00394F72" w:rsidRPr="00364EDD" w:rsidRDefault="00C5446A" w:rsidP="00AD305A">
            <w:pPr>
              <w:ind w:left="57" w:firstLine="284"/>
              <w:rPr>
                <w:szCs w:val="28"/>
              </w:rPr>
            </w:pPr>
            <w:r w:rsidRPr="00364EDD">
              <w:rPr>
                <w:szCs w:val="28"/>
              </w:rPr>
              <w:t>Atbilstoši sabiedriskajā ap</w:t>
            </w:r>
            <w:r w:rsidR="00AD305A" w:rsidRPr="00364EDD">
              <w:rPr>
                <w:szCs w:val="28"/>
              </w:rPr>
              <w:t>sp</w:t>
            </w:r>
            <w:r w:rsidRPr="00364EDD">
              <w:rPr>
                <w:szCs w:val="28"/>
              </w:rPr>
              <w:t>riedē izteiktajiem priekšlikumiem tika precizēta anotācija</w:t>
            </w:r>
            <w:r w:rsidR="000C7EC8" w:rsidRPr="00364EDD">
              <w:rPr>
                <w:szCs w:val="28"/>
              </w:rPr>
              <w:t xml:space="preserve">, proti, izskaidrots, ka </w:t>
            </w:r>
            <w:r w:rsidR="00364EDD" w:rsidRPr="00364EDD">
              <w:rPr>
                <w:szCs w:val="28"/>
              </w:rPr>
              <w:t>valsts materiālajās rezervēs ietilpstošo zāļu un medicīnisko ierīču kvalitāte tiek saglabāta atbilstoši ražotāja norādītajam un to iegāde ir droša, kā arī ņemts vērā priekšlikums paredzēt atbildīgās institūcijas izstrādātu informatīvu pirkuma pietiekšanās formu.</w:t>
            </w:r>
          </w:p>
        </w:tc>
      </w:tr>
      <w:tr w:rsidR="002F0C83" w:rsidRPr="00364EDD" w14:paraId="34D6D15B" w14:textId="77777777" w:rsidTr="00DD0E52">
        <w:trPr>
          <w:trHeight w:val="284"/>
        </w:trPr>
        <w:tc>
          <w:tcPr>
            <w:tcW w:w="426" w:type="dxa"/>
          </w:tcPr>
          <w:p w14:paraId="4B177B89" w14:textId="77777777" w:rsidR="00394F72" w:rsidRPr="00364EDD" w:rsidRDefault="00394F72" w:rsidP="00592E2E">
            <w:pPr>
              <w:spacing w:before="100" w:beforeAutospacing="1" w:after="100" w:afterAutospacing="1"/>
              <w:ind w:firstLine="29"/>
              <w:rPr>
                <w:szCs w:val="28"/>
              </w:rPr>
            </w:pPr>
            <w:r w:rsidRPr="00364EDD">
              <w:rPr>
                <w:szCs w:val="28"/>
              </w:rPr>
              <w:t>4.</w:t>
            </w:r>
          </w:p>
        </w:tc>
        <w:tc>
          <w:tcPr>
            <w:tcW w:w="1763" w:type="dxa"/>
          </w:tcPr>
          <w:p w14:paraId="5EEB0704" w14:textId="77777777" w:rsidR="00394F72" w:rsidRPr="00364EDD" w:rsidRDefault="00394F72" w:rsidP="0011361F">
            <w:pPr>
              <w:spacing w:before="100" w:beforeAutospacing="1" w:after="100" w:afterAutospacing="1"/>
              <w:ind w:left="-86" w:firstLine="284"/>
              <w:jc w:val="left"/>
              <w:rPr>
                <w:szCs w:val="28"/>
              </w:rPr>
            </w:pPr>
            <w:r w:rsidRPr="00364EDD">
              <w:rPr>
                <w:szCs w:val="28"/>
                <w:shd w:val="clear" w:color="auto" w:fill="FFFFFF"/>
              </w:rPr>
              <w:t>Cita informācija</w:t>
            </w:r>
          </w:p>
        </w:tc>
        <w:tc>
          <w:tcPr>
            <w:tcW w:w="7706" w:type="dxa"/>
          </w:tcPr>
          <w:p w14:paraId="797912E5" w14:textId="55317419" w:rsidR="00394F72" w:rsidRPr="00364EDD" w:rsidRDefault="00F069F1" w:rsidP="00485A47">
            <w:pPr>
              <w:spacing w:before="100" w:beforeAutospacing="1" w:after="100" w:afterAutospacing="1"/>
              <w:ind w:firstLine="345"/>
              <w:rPr>
                <w:szCs w:val="28"/>
              </w:rPr>
            </w:pPr>
            <w:r w:rsidRPr="00364EDD">
              <w:rPr>
                <w:szCs w:val="28"/>
              </w:rPr>
              <w:t>Nav</w:t>
            </w:r>
          </w:p>
        </w:tc>
      </w:tr>
    </w:tbl>
    <w:p w14:paraId="302A54C5" w14:textId="77777777" w:rsidR="008D64D3" w:rsidRPr="00364EDD" w:rsidRDefault="008D64D3" w:rsidP="00F50C84">
      <w:pPr>
        <w:ind w:firstLine="0"/>
        <w:jc w:val="left"/>
        <w:rPr>
          <w:szCs w:val="28"/>
          <w:lang w:eastAsia="lv-LV"/>
        </w:rPr>
      </w:pPr>
    </w:p>
    <w:p w14:paraId="6302D2B2" w14:textId="77777777" w:rsidR="008D64D3" w:rsidRPr="00364EDD" w:rsidRDefault="008D64D3" w:rsidP="00F50C84">
      <w:pPr>
        <w:ind w:firstLine="0"/>
        <w:jc w:val="left"/>
        <w:rPr>
          <w:szCs w:val="28"/>
          <w:lang w:eastAsia="lv-LV"/>
        </w:rPr>
      </w:pPr>
    </w:p>
    <w:tbl>
      <w:tblPr>
        <w:tblStyle w:val="TableGrid"/>
        <w:tblW w:w="5320" w:type="pct"/>
        <w:tblInd w:w="-289" w:type="dxa"/>
        <w:tblLook w:val="00A0" w:firstRow="1" w:lastRow="0" w:firstColumn="1" w:lastColumn="0" w:noHBand="0" w:noVBand="0"/>
      </w:tblPr>
      <w:tblGrid>
        <w:gridCol w:w="964"/>
        <w:gridCol w:w="3251"/>
        <w:gridCol w:w="5666"/>
      </w:tblGrid>
      <w:tr w:rsidR="002F0C83" w:rsidRPr="00364EDD" w14:paraId="583EA3E9" w14:textId="77777777" w:rsidTr="00B35A2B">
        <w:trPr>
          <w:trHeight w:val="375"/>
        </w:trPr>
        <w:tc>
          <w:tcPr>
            <w:tcW w:w="5000" w:type="pct"/>
            <w:gridSpan w:val="3"/>
          </w:tcPr>
          <w:p w14:paraId="7E59DB4A" w14:textId="77777777" w:rsidR="00965309" w:rsidRPr="00364EDD" w:rsidRDefault="00510DE8" w:rsidP="00862D0F">
            <w:pPr>
              <w:spacing w:before="100" w:beforeAutospacing="1" w:after="100" w:afterAutospacing="1"/>
              <w:ind w:firstLine="0"/>
              <w:jc w:val="center"/>
              <w:rPr>
                <w:b/>
                <w:bCs/>
                <w:szCs w:val="28"/>
                <w:lang w:eastAsia="lv-LV"/>
              </w:rPr>
            </w:pPr>
            <w:r w:rsidRPr="00364EDD">
              <w:rPr>
                <w:b/>
                <w:bCs/>
                <w:szCs w:val="28"/>
                <w:lang w:eastAsia="lv-LV"/>
              </w:rPr>
              <w:t>VII</w:t>
            </w:r>
            <w:r w:rsidR="00965309" w:rsidRPr="00364EDD">
              <w:rPr>
                <w:b/>
                <w:bCs/>
                <w:szCs w:val="28"/>
                <w:lang w:eastAsia="lv-LV"/>
              </w:rPr>
              <w:t>. Tiesību akta projekta izpildes nodrošināšana un tās ietekme uz institūcijām</w:t>
            </w:r>
          </w:p>
        </w:tc>
      </w:tr>
      <w:tr w:rsidR="002F0C83" w:rsidRPr="00364EDD" w14:paraId="0472BB1C" w14:textId="77777777" w:rsidTr="00B35A2B">
        <w:trPr>
          <w:trHeight w:val="420"/>
        </w:trPr>
        <w:tc>
          <w:tcPr>
            <w:tcW w:w="488" w:type="pct"/>
          </w:tcPr>
          <w:p w14:paraId="76230F90" w14:textId="77777777" w:rsidR="00965309" w:rsidRPr="00364EDD" w:rsidRDefault="00965309" w:rsidP="00862D0F">
            <w:pPr>
              <w:ind w:firstLine="0"/>
              <w:jc w:val="left"/>
              <w:rPr>
                <w:szCs w:val="28"/>
                <w:lang w:eastAsia="lv-LV"/>
              </w:rPr>
            </w:pPr>
            <w:r w:rsidRPr="00364EDD">
              <w:rPr>
                <w:szCs w:val="28"/>
                <w:lang w:eastAsia="lv-LV"/>
              </w:rPr>
              <w:t>1.</w:t>
            </w:r>
          </w:p>
        </w:tc>
        <w:tc>
          <w:tcPr>
            <w:tcW w:w="1645" w:type="pct"/>
          </w:tcPr>
          <w:p w14:paraId="3A18F30F" w14:textId="77777777" w:rsidR="00965309" w:rsidRPr="00364EDD" w:rsidRDefault="00965309" w:rsidP="00862D0F">
            <w:pPr>
              <w:ind w:firstLine="0"/>
              <w:jc w:val="left"/>
              <w:rPr>
                <w:szCs w:val="28"/>
                <w:lang w:eastAsia="lv-LV"/>
              </w:rPr>
            </w:pPr>
            <w:r w:rsidRPr="00364EDD">
              <w:rPr>
                <w:szCs w:val="28"/>
                <w:lang w:eastAsia="lv-LV"/>
              </w:rPr>
              <w:t>Projekta izpildē iesaistītās institūcijas</w:t>
            </w:r>
          </w:p>
        </w:tc>
        <w:tc>
          <w:tcPr>
            <w:tcW w:w="2867" w:type="pct"/>
          </w:tcPr>
          <w:p w14:paraId="6A316814" w14:textId="0335E012" w:rsidR="00965309" w:rsidRPr="00364EDD" w:rsidRDefault="00BB386E" w:rsidP="006F2559">
            <w:pPr>
              <w:ind w:hanging="105"/>
              <w:rPr>
                <w:szCs w:val="28"/>
                <w:lang w:eastAsia="lv-LV"/>
              </w:rPr>
            </w:pPr>
            <w:r w:rsidRPr="00364EDD">
              <w:rPr>
                <w:szCs w:val="28"/>
                <w:lang w:eastAsia="lv-LV"/>
              </w:rPr>
              <w:t>Neatliekamās medicīniskās palīdzības dienests</w:t>
            </w:r>
          </w:p>
        </w:tc>
      </w:tr>
      <w:tr w:rsidR="002F0C83" w:rsidRPr="00364EDD" w14:paraId="159F9FC9" w14:textId="77777777" w:rsidTr="00B35A2B">
        <w:trPr>
          <w:trHeight w:val="450"/>
        </w:trPr>
        <w:tc>
          <w:tcPr>
            <w:tcW w:w="488" w:type="pct"/>
          </w:tcPr>
          <w:p w14:paraId="4080CD9B" w14:textId="77777777" w:rsidR="00965309" w:rsidRPr="00364EDD" w:rsidRDefault="00965309" w:rsidP="00862D0F">
            <w:pPr>
              <w:ind w:firstLine="0"/>
              <w:jc w:val="left"/>
              <w:rPr>
                <w:szCs w:val="28"/>
                <w:lang w:eastAsia="lv-LV"/>
              </w:rPr>
            </w:pPr>
            <w:r w:rsidRPr="00364EDD">
              <w:rPr>
                <w:szCs w:val="28"/>
                <w:lang w:eastAsia="lv-LV"/>
              </w:rPr>
              <w:t>2.</w:t>
            </w:r>
          </w:p>
        </w:tc>
        <w:tc>
          <w:tcPr>
            <w:tcW w:w="1645" w:type="pct"/>
          </w:tcPr>
          <w:p w14:paraId="285C8223" w14:textId="77777777" w:rsidR="00965309" w:rsidRPr="00364EDD" w:rsidRDefault="00965309" w:rsidP="00FF7CC5">
            <w:pPr>
              <w:ind w:firstLine="0"/>
              <w:rPr>
                <w:szCs w:val="28"/>
                <w:lang w:eastAsia="lv-LV"/>
              </w:rPr>
            </w:pPr>
            <w:r w:rsidRPr="00364EDD">
              <w:rPr>
                <w:szCs w:val="28"/>
                <w:lang w:eastAsia="lv-LV"/>
              </w:rPr>
              <w:t>Projekta izpildes ietekme uz pārvaldes funkcijām un institucionālo struktūru.</w:t>
            </w:r>
            <w:r w:rsidR="00FF7CC5" w:rsidRPr="00364EDD">
              <w:rPr>
                <w:szCs w:val="28"/>
                <w:lang w:eastAsia="lv-LV"/>
              </w:rPr>
              <w:t xml:space="preserve"> </w:t>
            </w:r>
            <w:r w:rsidRPr="00364EDD">
              <w:rPr>
                <w:szCs w:val="28"/>
                <w:lang w:eastAsia="lv-LV"/>
              </w:rPr>
              <w:t>Jaunu institūciju izveide, esošu institūciju likvidācija vai reorganizācija, to ietekme uz institūcijas cilvēkresursiem.</w:t>
            </w:r>
          </w:p>
        </w:tc>
        <w:tc>
          <w:tcPr>
            <w:tcW w:w="2867" w:type="pct"/>
          </w:tcPr>
          <w:p w14:paraId="7FF92F7C" w14:textId="77777777" w:rsidR="00965309" w:rsidRPr="00364EDD" w:rsidRDefault="00390C55" w:rsidP="002467CA">
            <w:pPr>
              <w:ind w:left="98" w:right="140" w:hanging="105"/>
              <w:rPr>
                <w:szCs w:val="28"/>
              </w:rPr>
            </w:pPr>
            <w:r w:rsidRPr="00364EDD">
              <w:rPr>
                <w:rFonts w:eastAsia="Times New Roman"/>
                <w:bCs/>
                <w:szCs w:val="28"/>
                <w:lang w:eastAsia="lv-LV"/>
              </w:rPr>
              <w:t>Jaunas funkcijas un uzdevumi netiek radīti</w:t>
            </w:r>
            <w:r w:rsidR="002467CA" w:rsidRPr="00364EDD">
              <w:rPr>
                <w:rFonts w:eastAsia="Times New Roman"/>
                <w:bCs/>
                <w:szCs w:val="28"/>
                <w:lang w:eastAsia="lv-LV"/>
              </w:rPr>
              <w:t>, i</w:t>
            </w:r>
            <w:r w:rsidRPr="00364EDD">
              <w:rPr>
                <w:rFonts w:eastAsia="Times New Roman"/>
                <w:bCs/>
                <w:szCs w:val="28"/>
                <w:lang w:eastAsia="lv-LV"/>
              </w:rPr>
              <w:t>nstit</w:t>
            </w:r>
            <w:r w:rsidR="0071489B" w:rsidRPr="00364EDD">
              <w:rPr>
                <w:rFonts w:eastAsia="Times New Roman"/>
                <w:bCs/>
                <w:szCs w:val="28"/>
                <w:lang w:eastAsia="lv-LV"/>
              </w:rPr>
              <w:t>ūcijai pieejamos cilvēkresursus</w:t>
            </w:r>
            <w:r w:rsidR="002467CA" w:rsidRPr="00364EDD">
              <w:rPr>
                <w:rFonts w:eastAsia="Times New Roman"/>
                <w:bCs/>
                <w:szCs w:val="28"/>
                <w:lang w:eastAsia="lv-LV"/>
              </w:rPr>
              <w:t xml:space="preserve"> </w:t>
            </w:r>
            <w:r w:rsidRPr="00364EDD">
              <w:rPr>
                <w:rFonts w:eastAsia="Times New Roman"/>
                <w:bCs/>
                <w:szCs w:val="28"/>
                <w:lang w:eastAsia="lv-LV"/>
              </w:rPr>
              <w:t>neietekmē</w:t>
            </w:r>
            <w:r w:rsidR="002467CA" w:rsidRPr="00364EDD">
              <w:rPr>
                <w:rFonts w:eastAsia="Times New Roman"/>
                <w:bCs/>
                <w:szCs w:val="28"/>
                <w:lang w:eastAsia="lv-LV"/>
              </w:rPr>
              <w:t>,</w:t>
            </w:r>
            <w:r w:rsidR="00B701C1" w:rsidRPr="00364EDD">
              <w:rPr>
                <w:rFonts w:eastAsia="Times New Roman"/>
                <w:bCs/>
                <w:szCs w:val="28"/>
                <w:lang w:eastAsia="lv-LV"/>
              </w:rPr>
              <w:t xml:space="preserve"> </w:t>
            </w:r>
            <w:r w:rsidR="002467CA" w:rsidRPr="00364EDD">
              <w:rPr>
                <w:rFonts w:eastAsia="Times New Roman"/>
                <w:bCs/>
                <w:szCs w:val="28"/>
                <w:lang w:eastAsia="lv-LV"/>
              </w:rPr>
              <w:t>j</w:t>
            </w:r>
            <w:r w:rsidRPr="00364EDD">
              <w:rPr>
                <w:rFonts w:eastAsia="Times New Roman"/>
                <w:bCs/>
                <w:szCs w:val="28"/>
                <w:lang w:eastAsia="lv-LV"/>
              </w:rPr>
              <w:t xml:space="preserve">aunas institūcijas netiks veidotas. </w:t>
            </w:r>
            <w:r w:rsidR="002467CA" w:rsidRPr="00364EDD">
              <w:rPr>
                <w:rFonts w:eastAsia="Times New Roman"/>
                <w:bCs/>
                <w:szCs w:val="28"/>
                <w:lang w:eastAsia="lv-LV"/>
              </w:rPr>
              <w:t>E</w:t>
            </w:r>
            <w:r w:rsidRPr="00364EDD">
              <w:rPr>
                <w:szCs w:val="28"/>
              </w:rPr>
              <w:t>sošo institūciju likvidācija vai reorganizācija nav plānota.</w:t>
            </w:r>
            <w:r w:rsidR="00B701C1" w:rsidRPr="00364EDD">
              <w:rPr>
                <w:szCs w:val="28"/>
              </w:rPr>
              <w:t xml:space="preserve"> </w:t>
            </w:r>
          </w:p>
        </w:tc>
      </w:tr>
      <w:tr w:rsidR="002F0C83" w:rsidRPr="00364EDD" w14:paraId="45F7FAA8" w14:textId="77777777" w:rsidTr="00B35A2B">
        <w:trPr>
          <w:trHeight w:val="390"/>
        </w:trPr>
        <w:tc>
          <w:tcPr>
            <w:tcW w:w="488" w:type="pct"/>
          </w:tcPr>
          <w:p w14:paraId="27C19FB0" w14:textId="77777777" w:rsidR="00965309" w:rsidRPr="00364EDD" w:rsidRDefault="00965309" w:rsidP="00862D0F">
            <w:pPr>
              <w:ind w:firstLine="0"/>
              <w:jc w:val="left"/>
              <w:rPr>
                <w:szCs w:val="28"/>
                <w:lang w:eastAsia="lv-LV"/>
              </w:rPr>
            </w:pPr>
            <w:r w:rsidRPr="00364EDD">
              <w:rPr>
                <w:szCs w:val="28"/>
                <w:lang w:eastAsia="lv-LV"/>
              </w:rPr>
              <w:t>3.</w:t>
            </w:r>
          </w:p>
        </w:tc>
        <w:tc>
          <w:tcPr>
            <w:tcW w:w="1645" w:type="pct"/>
          </w:tcPr>
          <w:p w14:paraId="4A17E938" w14:textId="77777777" w:rsidR="00965309" w:rsidRPr="00364EDD" w:rsidRDefault="00965309" w:rsidP="00862D0F">
            <w:pPr>
              <w:ind w:firstLine="0"/>
              <w:jc w:val="left"/>
              <w:rPr>
                <w:szCs w:val="28"/>
                <w:lang w:eastAsia="lv-LV"/>
              </w:rPr>
            </w:pPr>
            <w:r w:rsidRPr="00364EDD">
              <w:rPr>
                <w:szCs w:val="28"/>
                <w:lang w:eastAsia="lv-LV"/>
              </w:rPr>
              <w:t>Cita informācija</w:t>
            </w:r>
          </w:p>
        </w:tc>
        <w:tc>
          <w:tcPr>
            <w:tcW w:w="2867" w:type="pct"/>
          </w:tcPr>
          <w:p w14:paraId="125AF1B9" w14:textId="77777777" w:rsidR="00965309" w:rsidRPr="00364EDD" w:rsidRDefault="00965309" w:rsidP="00862D0F">
            <w:pPr>
              <w:spacing w:before="100" w:beforeAutospacing="1" w:after="100" w:afterAutospacing="1"/>
              <w:ind w:firstLine="0"/>
              <w:jc w:val="left"/>
              <w:rPr>
                <w:szCs w:val="28"/>
                <w:lang w:eastAsia="lv-LV"/>
              </w:rPr>
            </w:pPr>
            <w:r w:rsidRPr="00364EDD">
              <w:rPr>
                <w:szCs w:val="28"/>
                <w:lang w:eastAsia="lv-LV"/>
              </w:rPr>
              <w:t>Nav.</w:t>
            </w:r>
          </w:p>
        </w:tc>
      </w:tr>
    </w:tbl>
    <w:p w14:paraId="6D6B36BB" w14:textId="77777777" w:rsidR="00716858" w:rsidRPr="00364EDD" w:rsidRDefault="00716858" w:rsidP="00716858">
      <w:pPr>
        <w:ind w:firstLine="0"/>
        <w:rPr>
          <w:szCs w:val="28"/>
        </w:rPr>
      </w:pPr>
    </w:p>
    <w:p w14:paraId="68CC1130" w14:textId="6DA6E725" w:rsidR="00716858" w:rsidRPr="00364EDD" w:rsidRDefault="00716858" w:rsidP="00716858">
      <w:pPr>
        <w:ind w:firstLine="0"/>
        <w:rPr>
          <w:szCs w:val="28"/>
        </w:rPr>
      </w:pPr>
    </w:p>
    <w:p w14:paraId="2FCFC293" w14:textId="1A4E8164" w:rsidR="00716858" w:rsidRPr="00364EDD" w:rsidRDefault="00716858" w:rsidP="00716858">
      <w:pPr>
        <w:ind w:firstLine="0"/>
        <w:rPr>
          <w:szCs w:val="28"/>
        </w:rPr>
      </w:pPr>
      <w:r w:rsidRPr="00364EDD">
        <w:rPr>
          <w:szCs w:val="28"/>
        </w:rPr>
        <w:t xml:space="preserve">Ministru prezidents                                                            Arturs Krišjānis Kariņš </w:t>
      </w:r>
    </w:p>
    <w:p w14:paraId="50684E5A" w14:textId="77777777" w:rsidR="00716858" w:rsidRPr="00364EDD" w:rsidRDefault="00716858" w:rsidP="00716858">
      <w:pPr>
        <w:ind w:firstLine="0"/>
        <w:rPr>
          <w:szCs w:val="28"/>
        </w:rPr>
      </w:pPr>
    </w:p>
    <w:p w14:paraId="4C92C170" w14:textId="7A0E13AD" w:rsidR="00716858" w:rsidRPr="00364EDD" w:rsidRDefault="00716858" w:rsidP="00716858">
      <w:pPr>
        <w:ind w:firstLine="0"/>
        <w:rPr>
          <w:szCs w:val="28"/>
        </w:rPr>
      </w:pPr>
      <w:r w:rsidRPr="00364EDD">
        <w:rPr>
          <w:szCs w:val="28"/>
        </w:rPr>
        <w:t xml:space="preserve">Veselības ministre </w:t>
      </w:r>
      <w:r w:rsidRPr="00364EDD">
        <w:rPr>
          <w:szCs w:val="28"/>
        </w:rPr>
        <w:tab/>
        <w:t xml:space="preserve">    </w:t>
      </w:r>
      <w:r w:rsidRPr="00364EDD">
        <w:rPr>
          <w:szCs w:val="28"/>
        </w:rPr>
        <w:tab/>
      </w:r>
      <w:r w:rsidRPr="00364EDD">
        <w:rPr>
          <w:szCs w:val="28"/>
        </w:rPr>
        <w:tab/>
      </w:r>
      <w:r w:rsidRPr="00364EDD">
        <w:rPr>
          <w:szCs w:val="28"/>
        </w:rPr>
        <w:tab/>
      </w:r>
      <w:r w:rsidRPr="00364EDD">
        <w:rPr>
          <w:szCs w:val="28"/>
        </w:rPr>
        <w:tab/>
      </w:r>
      <w:r w:rsidRPr="00364EDD">
        <w:rPr>
          <w:szCs w:val="28"/>
        </w:rPr>
        <w:tab/>
      </w:r>
      <w:r w:rsidRPr="00364EDD">
        <w:rPr>
          <w:szCs w:val="28"/>
        </w:rPr>
        <w:tab/>
      </w:r>
      <w:r w:rsidRPr="00364EDD">
        <w:rPr>
          <w:szCs w:val="28"/>
        </w:rPr>
        <w:tab/>
        <w:t xml:space="preserve">  Ilze Viņķele </w:t>
      </w:r>
    </w:p>
    <w:p w14:paraId="0915D208" w14:textId="77777777" w:rsidR="00222052" w:rsidRPr="00364EDD" w:rsidRDefault="00222052" w:rsidP="00716858">
      <w:pPr>
        <w:ind w:firstLine="0"/>
        <w:rPr>
          <w:szCs w:val="28"/>
        </w:rPr>
      </w:pPr>
    </w:p>
    <w:p w14:paraId="3513D15C" w14:textId="77777777" w:rsidR="00716858" w:rsidRPr="00364EDD" w:rsidRDefault="00716858" w:rsidP="00716858">
      <w:pPr>
        <w:ind w:firstLine="0"/>
        <w:rPr>
          <w:szCs w:val="28"/>
        </w:rPr>
      </w:pPr>
    </w:p>
    <w:p w14:paraId="545390EF" w14:textId="3D54900F" w:rsidR="00716858" w:rsidRPr="00364EDD" w:rsidRDefault="00716858" w:rsidP="00716858">
      <w:pPr>
        <w:ind w:firstLine="0"/>
        <w:rPr>
          <w:szCs w:val="28"/>
        </w:rPr>
      </w:pPr>
      <w:r w:rsidRPr="00364EDD">
        <w:rPr>
          <w:szCs w:val="28"/>
        </w:rPr>
        <w:t>Iesniedzējs: Veselības ministre</w:t>
      </w:r>
      <w:r w:rsidRPr="00364EDD">
        <w:rPr>
          <w:szCs w:val="28"/>
        </w:rPr>
        <w:tab/>
        <w:t xml:space="preserve">      </w:t>
      </w:r>
      <w:r w:rsidRPr="00364EDD">
        <w:rPr>
          <w:szCs w:val="28"/>
        </w:rPr>
        <w:tab/>
      </w:r>
      <w:r w:rsidRPr="00364EDD">
        <w:rPr>
          <w:szCs w:val="28"/>
        </w:rPr>
        <w:tab/>
      </w:r>
      <w:r w:rsidRPr="00364EDD">
        <w:rPr>
          <w:szCs w:val="28"/>
        </w:rPr>
        <w:tab/>
      </w:r>
      <w:r w:rsidRPr="00364EDD">
        <w:rPr>
          <w:szCs w:val="28"/>
        </w:rPr>
        <w:tab/>
      </w:r>
      <w:r w:rsidRPr="00364EDD">
        <w:rPr>
          <w:szCs w:val="28"/>
        </w:rPr>
        <w:tab/>
        <w:t xml:space="preserve">  Ilze Viņķele </w:t>
      </w:r>
    </w:p>
    <w:p w14:paraId="702773B3" w14:textId="77777777" w:rsidR="00716858" w:rsidRPr="00364EDD" w:rsidRDefault="00716858" w:rsidP="00716858">
      <w:pPr>
        <w:ind w:firstLine="0"/>
        <w:rPr>
          <w:szCs w:val="28"/>
        </w:rPr>
      </w:pPr>
    </w:p>
    <w:p w14:paraId="24EC0ADA" w14:textId="16C9231B" w:rsidR="00716858" w:rsidRPr="00364EDD" w:rsidRDefault="00716858" w:rsidP="00716858">
      <w:pPr>
        <w:ind w:firstLine="0"/>
        <w:rPr>
          <w:szCs w:val="28"/>
        </w:rPr>
      </w:pPr>
      <w:r w:rsidRPr="00364EDD">
        <w:rPr>
          <w:szCs w:val="28"/>
        </w:rPr>
        <w:t>Vīza: Valsts sekretāre                                                  Daina Mūrmane-Umbraško</w:t>
      </w:r>
    </w:p>
    <w:sectPr w:rsidR="00716858" w:rsidRPr="00364EDD" w:rsidSect="00E86A6C">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31634" w14:textId="77777777" w:rsidR="003335F5" w:rsidRDefault="003335F5" w:rsidP="00F3628F">
      <w:r>
        <w:separator/>
      </w:r>
    </w:p>
  </w:endnote>
  <w:endnote w:type="continuationSeparator" w:id="0">
    <w:p w14:paraId="2F1AEDAC" w14:textId="77777777" w:rsidR="003335F5" w:rsidRDefault="003335F5"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889F" w14:textId="3CC096B1" w:rsidR="00965309" w:rsidRPr="00474F82" w:rsidRDefault="00474F82" w:rsidP="00474F82">
    <w:pPr>
      <w:pStyle w:val="Footer"/>
      <w:ind w:firstLine="0"/>
      <w:rPr>
        <w:sz w:val="20"/>
      </w:rPr>
    </w:pPr>
    <w:r w:rsidRPr="00474F82">
      <w:rPr>
        <w:sz w:val="20"/>
      </w:rPr>
      <w:t>VManot_140519_VMR_27</w:t>
    </w:r>
    <w:r>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223B" w14:textId="51CEB411" w:rsidR="00474F82" w:rsidRPr="00474F82" w:rsidRDefault="00474F82" w:rsidP="00474F82">
    <w:pPr>
      <w:pStyle w:val="Footer"/>
      <w:rPr>
        <w:sz w:val="20"/>
      </w:rPr>
    </w:pPr>
    <w:bookmarkStart w:id="1" w:name="_Hlk8735786"/>
    <w:bookmarkStart w:id="2" w:name="_Hlk8735787"/>
    <w:r w:rsidRPr="00474F82">
      <w:rPr>
        <w:sz w:val="20"/>
      </w:rPr>
      <w:t>VManot_140519_VMR_273</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CB9E" w14:textId="77777777" w:rsidR="003335F5" w:rsidRDefault="003335F5" w:rsidP="00F3628F">
      <w:r>
        <w:separator/>
      </w:r>
    </w:p>
  </w:footnote>
  <w:footnote w:type="continuationSeparator" w:id="0">
    <w:p w14:paraId="42E41611" w14:textId="77777777" w:rsidR="003335F5" w:rsidRDefault="003335F5" w:rsidP="00F3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F030" w14:textId="77777777" w:rsidR="00965309" w:rsidRPr="00F50C84" w:rsidRDefault="00965309">
    <w:pPr>
      <w:pStyle w:val="Header"/>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1F74FE">
      <w:rPr>
        <w:noProof/>
        <w:sz w:val="24"/>
        <w:szCs w:val="24"/>
      </w:rPr>
      <w:t>9</w:t>
    </w:r>
    <w:r w:rsidRPr="00F50C84">
      <w:rPr>
        <w:sz w:val="24"/>
        <w:szCs w:val="24"/>
      </w:rPr>
      <w:fldChar w:fldCharType="end"/>
    </w:r>
  </w:p>
  <w:p w14:paraId="6B4E35E1" w14:textId="77777777" w:rsidR="00965309" w:rsidRPr="00F50C84" w:rsidRDefault="00965309">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9C6A7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7"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8"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1"/>
  </w:num>
  <w:num w:numId="6">
    <w:abstractNumId w:val="10"/>
  </w:num>
  <w:num w:numId="7">
    <w:abstractNumId w:val="8"/>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D0F"/>
    <w:rsid w:val="00001823"/>
    <w:rsid w:val="00003E54"/>
    <w:rsid w:val="00004C67"/>
    <w:rsid w:val="0001142B"/>
    <w:rsid w:val="00014459"/>
    <w:rsid w:val="00014974"/>
    <w:rsid w:val="00026965"/>
    <w:rsid w:val="00026B5B"/>
    <w:rsid w:val="0003289D"/>
    <w:rsid w:val="00035347"/>
    <w:rsid w:val="0004061E"/>
    <w:rsid w:val="0004231E"/>
    <w:rsid w:val="000446D7"/>
    <w:rsid w:val="000513C2"/>
    <w:rsid w:val="00055DF3"/>
    <w:rsid w:val="000562FA"/>
    <w:rsid w:val="000662E7"/>
    <w:rsid w:val="00066EB5"/>
    <w:rsid w:val="00067791"/>
    <w:rsid w:val="0007077D"/>
    <w:rsid w:val="00071778"/>
    <w:rsid w:val="0007566F"/>
    <w:rsid w:val="00083D16"/>
    <w:rsid w:val="0008708F"/>
    <w:rsid w:val="0008799E"/>
    <w:rsid w:val="00095E60"/>
    <w:rsid w:val="000A4DBF"/>
    <w:rsid w:val="000A6C4A"/>
    <w:rsid w:val="000A73A1"/>
    <w:rsid w:val="000B1F6F"/>
    <w:rsid w:val="000B32E5"/>
    <w:rsid w:val="000B3750"/>
    <w:rsid w:val="000C02DA"/>
    <w:rsid w:val="000C1801"/>
    <w:rsid w:val="000C4566"/>
    <w:rsid w:val="000C6111"/>
    <w:rsid w:val="000C7EC8"/>
    <w:rsid w:val="000D28E0"/>
    <w:rsid w:val="000D513D"/>
    <w:rsid w:val="000D79E6"/>
    <w:rsid w:val="000E34C4"/>
    <w:rsid w:val="000E5184"/>
    <w:rsid w:val="000E5608"/>
    <w:rsid w:val="000E7ED0"/>
    <w:rsid w:val="000F193C"/>
    <w:rsid w:val="000F6679"/>
    <w:rsid w:val="00106A07"/>
    <w:rsid w:val="001112B3"/>
    <w:rsid w:val="0011361F"/>
    <w:rsid w:val="00115FE3"/>
    <w:rsid w:val="00117830"/>
    <w:rsid w:val="00117AFC"/>
    <w:rsid w:val="00117B65"/>
    <w:rsid w:val="00120439"/>
    <w:rsid w:val="001210A2"/>
    <w:rsid w:val="001215CC"/>
    <w:rsid w:val="00126571"/>
    <w:rsid w:val="0013070F"/>
    <w:rsid w:val="001347D1"/>
    <w:rsid w:val="0013550B"/>
    <w:rsid w:val="0013569A"/>
    <w:rsid w:val="00140597"/>
    <w:rsid w:val="00141133"/>
    <w:rsid w:val="0014431E"/>
    <w:rsid w:val="00151C8F"/>
    <w:rsid w:val="001538D6"/>
    <w:rsid w:val="0015758D"/>
    <w:rsid w:val="00157B3D"/>
    <w:rsid w:val="00161FC1"/>
    <w:rsid w:val="00164382"/>
    <w:rsid w:val="00171E4F"/>
    <w:rsid w:val="0017251A"/>
    <w:rsid w:val="00173968"/>
    <w:rsid w:val="001816BD"/>
    <w:rsid w:val="001829AB"/>
    <w:rsid w:val="00183AE1"/>
    <w:rsid w:val="001865B0"/>
    <w:rsid w:val="001951F3"/>
    <w:rsid w:val="001963E5"/>
    <w:rsid w:val="0019763B"/>
    <w:rsid w:val="001A0BAB"/>
    <w:rsid w:val="001A1E8C"/>
    <w:rsid w:val="001A4487"/>
    <w:rsid w:val="001B71B1"/>
    <w:rsid w:val="001C1E10"/>
    <w:rsid w:val="001C4938"/>
    <w:rsid w:val="001C56BA"/>
    <w:rsid w:val="001C58DA"/>
    <w:rsid w:val="001D0E04"/>
    <w:rsid w:val="001D510D"/>
    <w:rsid w:val="001D5646"/>
    <w:rsid w:val="001D681A"/>
    <w:rsid w:val="001E4331"/>
    <w:rsid w:val="001E4DC4"/>
    <w:rsid w:val="001F06D6"/>
    <w:rsid w:val="001F5735"/>
    <w:rsid w:val="001F676B"/>
    <w:rsid w:val="001F74FE"/>
    <w:rsid w:val="00203145"/>
    <w:rsid w:val="00205CD5"/>
    <w:rsid w:val="00206680"/>
    <w:rsid w:val="0021213F"/>
    <w:rsid w:val="002121FE"/>
    <w:rsid w:val="00212950"/>
    <w:rsid w:val="00216126"/>
    <w:rsid w:val="002171F7"/>
    <w:rsid w:val="00217FB7"/>
    <w:rsid w:val="0022177F"/>
    <w:rsid w:val="00221A97"/>
    <w:rsid w:val="00221C68"/>
    <w:rsid w:val="00222052"/>
    <w:rsid w:val="00223C57"/>
    <w:rsid w:val="00224964"/>
    <w:rsid w:val="00226A78"/>
    <w:rsid w:val="00226D12"/>
    <w:rsid w:val="00226F66"/>
    <w:rsid w:val="00227ED8"/>
    <w:rsid w:val="00230A1F"/>
    <w:rsid w:val="00230A3D"/>
    <w:rsid w:val="00234547"/>
    <w:rsid w:val="00243873"/>
    <w:rsid w:val="002467CA"/>
    <w:rsid w:val="00250BE9"/>
    <w:rsid w:val="002512C4"/>
    <w:rsid w:val="00251457"/>
    <w:rsid w:val="002571E8"/>
    <w:rsid w:val="002572D4"/>
    <w:rsid w:val="0025773E"/>
    <w:rsid w:val="0027319E"/>
    <w:rsid w:val="0027455A"/>
    <w:rsid w:val="0027656E"/>
    <w:rsid w:val="00282ADF"/>
    <w:rsid w:val="002836E1"/>
    <w:rsid w:val="0029387F"/>
    <w:rsid w:val="00294B40"/>
    <w:rsid w:val="00295EA0"/>
    <w:rsid w:val="00296449"/>
    <w:rsid w:val="00297E57"/>
    <w:rsid w:val="002A3D3A"/>
    <w:rsid w:val="002A5A1F"/>
    <w:rsid w:val="002A6CD7"/>
    <w:rsid w:val="002B51B0"/>
    <w:rsid w:val="002B7587"/>
    <w:rsid w:val="002B7BE5"/>
    <w:rsid w:val="002C01C2"/>
    <w:rsid w:val="002C0F74"/>
    <w:rsid w:val="002C20B4"/>
    <w:rsid w:val="002C307E"/>
    <w:rsid w:val="002D2B36"/>
    <w:rsid w:val="002D7A33"/>
    <w:rsid w:val="002E13FB"/>
    <w:rsid w:val="002E485F"/>
    <w:rsid w:val="002E4A57"/>
    <w:rsid w:val="002F06E1"/>
    <w:rsid w:val="002F0C83"/>
    <w:rsid w:val="003102AA"/>
    <w:rsid w:val="003124CB"/>
    <w:rsid w:val="00312F31"/>
    <w:rsid w:val="00313576"/>
    <w:rsid w:val="003149E9"/>
    <w:rsid w:val="00321EEC"/>
    <w:rsid w:val="003232A7"/>
    <w:rsid w:val="003235AA"/>
    <w:rsid w:val="003265F3"/>
    <w:rsid w:val="00327260"/>
    <w:rsid w:val="00332417"/>
    <w:rsid w:val="003335F5"/>
    <w:rsid w:val="00334287"/>
    <w:rsid w:val="003417A9"/>
    <w:rsid w:val="00343088"/>
    <w:rsid w:val="00344F39"/>
    <w:rsid w:val="00345C48"/>
    <w:rsid w:val="0035199A"/>
    <w:rsid w:val="00355F5D"/>
    <w:rsid w:val="0036053F"/>
    <w:rsid w:val="003613AF"/>
    <w:rsid w:val="0036204A"/>
    <w:rsid w:val="00363DCC"/>
    <w:rsid w:val="00364ADC"/>
    <w:rsid w:val="00364EDD"/>
    <w:rsid w:val="0037222C"/>
    <w:rsid w:val="00372AE8"/>
    <w:rsid w:val="00372B9A"/>
    <w:rsid w:val="00374EE1"/>
    <w:rsid w:val="00381DB1"/>
    <w:rsid w:val="00382B50"/>
    <w:rsid w:val="0039002B"/>
    <w:rsid w:val="00390C55"/>
    <w:rsid w:val="00393EF8"/>
    <w:rsid w:val="00394F72"/>
    <w:rsid w:val="00397A24"/>
    <w:rsid w:val="003A451A"/>
    <w:rsid w:val="003A6E22"/>
    <w:rsid w:val="003B0273"/>
    <w:rsid w:val="003B2090"/>
    <w:rsid w:val="003C3021"/>
    <w:rsid w:val="003C3488"/>
    <w:rsid w:val="003C3CD4"/>
    <w:rsid w:val="003C5128"/>
    <w:rsid w:val="003C530F"/>
    <w:rsid w:val="003D171B"/>
    <w:rsid w:val="003D6EA8"/>
    <w:rsid w:val="003E4DB6"/>
    <w:rsid w:val="003F36DA"/>
    <w:rsid w:val="003F51CB"/>
    <w:rsid w:val="003F5F0C"/>
    <w:rsid w:val="00407DCE"/>
    <w:rsid w:val="004118C9"/>
    <w:rsid w:val="004146D9"/>
    <w:rsid w:val="00414930"/>
    <w:rsid w:val="00420A06"/>
    <w:rsid w:val="004261EB"/>
    <w:rsid w:val="00430257"/>
    <w:rsid w:val="004405B0"/>
    <w:rsid w:val="0044584E"/>
    <w:rsid w:val="00446D53"/>
    <w:rsid w:val="00446E5D"/>
    <w:rsid w:val="00451713"/>
    <w:rsid w:val="00454C80"/>
    <w:rsid w:val="00457411"/>
    <w:rsid w:val="004600AA"/>
    <w:rsid w:val="004625F8"/>
    <w:rsid w:val="004667A3"/>
    <w:rsid w:val="00466B65"/>
    <w:rsid w:val="004671FE"/>
    <w:rsid w:val="004701FD"/>
    <w:rsid w:val="004734AF"/>
    <w:rsid w:val="00474F82"/>
    <w:rsid w:val="00476B02"/>
    <w:rsid w:val="00476E9D"/>
    <w:rsid w:val="004774B2"/>
    <w:rsid w:val="00477F1A"/>
    <w:rsid w:val="004812BC"/>
    <w:rsid w:val="00483928"/>
    <w:rsid w:val="00483BE6"/>
    <w:rsid w:val="00483FFF"/>
    <w:rsid w:val="00487337"/>
    <w:rsid w:val="00490159"/>
    <w:rsid w:val="00493585"/>
    <w:rsid w:val="004941F8"/>
    <w:rsid w:val="00495905"/>
    <w:rsid w:val="004A7072"/>
    <w:rsid w:val="004B08A6"/>
    <w:rsid w:val="004B1DA3"/>
    <w:rsid w:val="004C0637"/>
    <w:rsid w:val="004C1396"/>
    <w:rsid w:val="004C2FE0"/>
    <w:rsid w:val="004C4A34"/>
    <w:rsid w:val="004C5BEA"/>
    <w:rsid w:val="004D2053"/>
    <w:rsid w:val="004D5AEA"/>
    <w:rsid w:val="004D79D0"/>
    <w:rsid w:val="004E1E6C"/>
    <w:rsid w:val="004F2459"/>
    <w:rsid w:val="004F2B9D"/>
    <w:rsid w:val="004F4946"/>
    <w:rsid w:val="004F55B2"/>
    <w:rsid w:val="004F62C2"/>
    <w:rsid w:val="004F6E52"/>
    <w:rsid w:val="004F7F74"/>
    <w:rsid w:val="00500AD3"/>
    <w:rsid w:val="00506EE0"/>
    <w:rsid w:val="00507BA0"/>
    <w:rsid w:val="00510DE8"/>
    <w:rsid w:val="00512301"/>
    <w:rsid w:val="00513086"/>
    <w:rsid w:val="00516DA6"/>
    <w:rsid w:val="00525913"/>
    <w:rsid w:val="005401E9"/>
    <w:rsid w:val="00541B5D"/>
    <w:rsid w:val="00544401"/>
    <w:rsid w:val="005451B0"/>
    <w:rsid w:val="005509E0"/>
    <w:rsid w:val="005575B9"/>
    <w:rsid w:val="005612EA"/>
    <w:rsid w:val="005660AB"/>
    <w:rsid w:val="00567044"/>
    <w:rsid w:val="00567CC2"/>
    <w:rsid w:val="00571B50"/>
    <w:rsid w:val="00571C7E"/>
    <w:rsid w:val="00576B4F"/>
    <w:rsid w:val="00580DDF"/>
    <w:rsid w:val="00582BFC"/>
    <w:rsid w:val="00583874"/>
    <w:rsid w:val="00583CFA"/>
    <w:rsid w:val="005855AB"/>
    <w:rsid w:val="00587970"/>
    <w:rsid w:val="00587B5D"/>
    <w:rsid w:val="0059017C"/>
    <w:rsid w:val="00590883"/>
    <w:rsid w:val="005915AB"/>
    <w:rsid w:val="00592E2E"/>
    <w:rsid w:val="005937BE"/>
    <w:rsid w:val="005978A6"/>
    <w:rsid w:val="005A2741"/>
    <w:rsid w:val="005B2966"/>
    <w:rsid w:val="005B6A05"/>
    <w:rsid w:val="005B6FE3"/>
    <w:rsid w:val="005B7471"/>
    <w:rsid w:val="005B7774"/>
    <w:rsid w:val="005C313E"/>
    <w:rsid w:val="005C490D"/>
    <w:rsid w:val="005D0024"/>
    <w:rsid w:val="005D08F3"/>
    <w:rsid w:val="005D443A"/>
    <w:rsid w:val="005D5148"/>
    <w:rsid w:val="005D6A59"/>
    <w:rsid w:val="005E0095"/>
    <w:rsid w:val="005E11B1"/>
    <w:rsid w:val="005E36D1"/>
    <w:rsid w:val="005F020D"/>
    <w:rsid w:val="005F032E"/>
    <w:rsid w:val="005F1404"/>
    <w:rsid w:val="00600CB6"/>
    <w:rsid w:val="006020DB"/>
    <w:rsid w:val="00613376"/>
    <w:rsid w:val="00616268"/>
    <w:rsid w:val="00616416"/>
    <w:rsid w:val="00616BCF"/>
    <w:rsid w:val="00616CC7"/>
    <w:rsid w:val="00617E10"/>
    <w:rsid w:val="006206EC"/>
    <w:rsid w:val="00621A58"/>
    <w:rsid w:val="00622F65"/>
    <w:rsid w:val="00623A32"/>
    <w:rsid w:val="006344D1"/>
    <w:rsid w:val="00635085"/>
    <w:rsid w:val="00636F48"/>
    <w:rsid w:val="00641F47"/>
    <w:rsid w:val="006462A7"/>
    <w:rsid w:val="0065130E"/>
    <w:rsid w:val="006569D9"/>
    <w:rsid w:val="006569DF"/>
    <w:rsid w:val="0065780B"/>
    <w:rsid w:val="006677FF"/>
    <w:rsid w:val="00673C8C"/>
    <w:rsid w:val="006810BE"/>
    <w:rsid w:val="00683920"/>
    <w:rsid w:val="00683BBE"/>
    <w:rsid w:val="0068454E"/>
    <w:rsid w:val="00686E10"/>
    <w:rsid w:val="006875A8"/>
    <w:rsid w:val="00687DEE"/>
    <w:rsid w:val="00691E48"/>
    <w:rsid w:val="0069295E"/>
    <w:rsid w:val="00692AEA"/>
    <w:rsid w:val="0069438C"/>
    <w:rsid w:val="006A290D"/>
    <w:rsid w:val="006A34A4"/>
    <w:rsid w:val="006A4326"/>
    <w:rsid w:val="006B01BA"/>
    <w:rsid w:val="006B117D"/>
    <w:rsid w:val="006B279B"/>
    <w:rsid w:val="006B2A92"/>
    <w:rsid w:val="006C1D4B"/>
    <w:rsid w:val="006C7180"/>
    <w:rsid w:val="006C76BC"/>
    <w:rsid w:val="006D0EC5"/>
    <w:rsid w:val="006D3345"/>
    <w:rsid w:val="006D6A94"/>
    <w:rsid w:val="006E7F37"/>
    <w:rsid w:val="006F0E22"/>
    <w:rsid w:val="006F223E"/>
    <w:rsid w:val="006F2559"/>
    <w:rsid w:val="006F492E"/>
    <w:rsid w:val="0070036B"/>
    <w:rsid w:val="007032AC"/>
    <w:rsid w:val="007065F4"/>
    <w:rsid w:val="00706E14"/>
    <w:rsid w:val="00707F33"/>
    <w:rsid w:val="0071307B"/>
    <w:rsid w:val="0071489B"/>
    <w:rsid w:val="00714D96"/>
    <w:rsid w:val="00715FE0"/>
    <w:rsid w:val="00716858"/>
    <w:rsid w:val="00721B5C"/>
    <w:rsid w:val="007258A2"/>
    <w:rsid w:val="00727142"/>
    <w:rsid w:val="00730ED7"/>
    <w:rsid w:val="0073352E"/>
    <w:rsid w:val="007341F5"/>
    <w:rsid w:val="007343A1"/>
    <w:rsid w:val="00736ED4"/>
    <w:rsid w:val="0073700E"/>
    <w:rsid w:val="00737600"/>
    <w:rsid w:val="00742175"/>
    <w:rsid w:val="0074397B"/>
    <w:rsid w:val="00745CD2"/>
    <w:rsid w:val="00750CCD"/>
    <w:rsid w:val="007518A8"/>
    <w:rsid w:val="007536A2"/>
    <w:rsid w:val="007552DE"/>
    <w:rsid w:val="00762DBF"/>
    <w:rsid w:val="0076636C"/>
    <w:rsid w:val="0076711D"/>
    <w:rsid w:val="007673B9"/>
    <w:rsid w:val="00767BA9"/>
    <w:rsid w:val="00767FD3"/>
    <w:rsid w:val="007747B8"/>
    <w:rsid w:val="0078077B"/>
    <w:rsid w:val="00780F4E"/>
    <w:rsid w:val="00781207"/>
    <w:rsid w:val="00785725"/>
    <w:rsid w:val="00787F59"/>
    <w:rsid w:val="00791DB5"/>
    <w:rsid w:val="00796859"/>
    <w:rsid w:val="007A37EB"/>
    <w:rsid w:val="007A7ADE"/>
    <w:rsid w:val="007B2C1F"/>
    <w:rsid w:val="007B45D6"/>
    <w:rsid w:val="007B5C2F"/>
    <w:rsid w:val="007C3329"/>
    <w:rsid w:val="007C435B"/>
    <w:rsid w:val="007C7F66"/>
    <w:rsid w:val="007D3319"/>
    <w:rsid w:val="007E03A6"/>
    <w:rsid w:val="007E0AEF"/>
    <w:rsid w:val="007E1F95"/>
    <w:rsid w:val="007E486A"/>
    <w:rsid w:val="007F1BEF"/>
    <w:rsid w:val="007F3BE1"/>
    <w:rsid w:val="007F459D"/>
    <w:rsid w:val="007F50AD"/>
    <w:rsid w:val="007F5ACC"/>
    <w:rsid w:val="00800BE8"/>
    <w:rsid w:val="0080485C"/>
    <w:rsid w:val="00804DB9"/>
    <w:rsid w:val="00806E7A"/>
    <w:rsid w:val="0081050B"/>
    <w:rsid w:val="0081132D"/>
    <w:rsid w:val="00816EF2"/>
    <w:rsid w:val="00817178"/>
    <w:rsid w:val="00821ED1"/>
    <w:rsid w:val="008230AB"/>
    <w:rsid w:val="0083114B"/>
    <w:rsid w:val="00831C6F"/>
    <w:rsid w:val="00831C91"/>
    <w:rsid w:val="0083511D"/>
    <w:rsid w:val="00835787"/>
    <w:rsid w:val="0084143A"/>
    <w:rsid w:val="008420A0"/>
    <w:rsid w:val="00843D03"/>
    <w:rsid w:val="00844FE7"/>
    <w:rsid w:val="00845DE8"/>
    <w:rsid w:val="00850A1C"/>
    <w:rsid w:val="0085638B"/>
    <w:rsid w:val="00861226"/>
    <w:rsid w:val="00862D0F"/>
    <w:rsid w:val="00864391"/>
    <w:rsid w:val="00864F23"/>
    <w:rsid w:val="00873FCD"/>
    <w:rsid w:val="008773AE"/>
    <w:rsid w:val="0088127D"/>
    <w:rsid w:val="0088221C"/>
    <w:rsid w:val="00887DF1"/>
    <w:rsid w:val="008925DF"/>
    <w:rsid w:val="00893484"/>
    <w:rsid w:val="008937C8"/>
    <w:rsid w:val="0089767B"/>
    <w:rsid w:val="008A295E"/>
    <w:rsid w:val="008A427F"/>
    <w:rsid w:val="008A504B"/>
    <w:rsid w:val="008A7E54"/>
    <w:rsid w:val="008B0502"/>
    <w:rsid w:val="008B1926"/>
    <w:rsid w:val="008B3B7C"/>
    <w:rsid w:val="008C16EE"/>
    <w:rsid w:val="008C7F21"/>
    <w:rsid w:val="008D46B1"/>
    <w:rsid w:val="008D4B3A"/>
    <w:rsid w:val="008D4F58"/>
    <w:rsid w:val="008D5E43"/>
    <w:rsid w:val="008D64D3"/>
    <w:rsid w:val="008D71A1"/>
    <w:rsid w:val="008D722E"/>
    <w:rsid w:val="008E2044"/>
    <w:rsid w:val="008E398C"/>
    <w:rsid w:val="008E402B"/>
    <w:rsid w:val="008E6A80"/>
    <w:rsid w:val="008F4718"/>
    <w:rsid w:val="008F4997"/>
    <w:rsid w:val="008F4F24"/>
    <w:rsid w:val="00901F01"/>
    <w:rsid w:val="00902BE1"/>
    <w:rsid w:val="00903D35"/>
    <w:rsid w:val="009043E0"/>
    <w:rsid w:val="00907B1F"/>
    <w:rsid w:val="00915D58"/>
    <w:rsid w:val="0092222F"/>
    <w:rsid w:val="009310A1"/>
    <w:rsid w:val="00943B90"/>
    <w:rsid w:val="009509DE"/>
    <w:rsid w:val="00954D39"/>
    <w:rsid w:val="009562E9"/>
    <w:rsid w:val="009566B4"/>
    <w:rsid w:val="00957BD6"/>
    <w:rsid w:val="009606A5"/>
    <w:rsid w:val="00961452"/>
    <w:rsid w:val="009629B8"/>
    <w:rsid w:val="00963E11"/>
    <w:rsid w:val="00965309"/>
    <w:rsid w:val="009677AF"/>
    <w:rsid w:val="00977A7F"/>
    <w:rsid w:val="00990253"/>
    <w:rsid w:val="0099080B"/>
    <w:rsid w:val="00995ECC"/>
    <w:rsid w:val="009A0E3A"/>
    <w:rsid w:val="009A3FF4"/>
    <w:rsid w:val="009A432F"/>
    <w:rsid w:val="009A6903"/>
    <w:rsid w:val="009B1349"/>
    <w:rsid w:val="009B2E47"/>
    <w:rsid w:val="009B479F"/>
    <w:rsid w:val="009C196D"/>
    <w:rsid w:val="009C1D16"/>
    <w:rsid w:val="009C5B54"/>
    <w:rsid w:val="009C6E84"/>
    <w:rsid w:val="009D6FFF"/>
    <w:rsid w:val="009E49B1"/>
    <w:rsid w:val="009E5C09"/>
    <w:rsid w:val="009E6169"/>
    <w:rsid w:val="009F49C6"/>
    <w:rsid w:val="009F78BC"/>
    <w:rsid w:val="00A03C4A"/>
    <w:rsid w:val="00A0497D"/>
    <w:rsid w:val="00A162F6"/>
    <w:rsid w:val="00A17102"/>
    <w:rsid w:val="00A17D97"/>
    <w:rsid w:val="00A214AD"/>
    <w:rsid w:val="00A24594"/>
    <w:rsid w:val="00A26085"/>
    <w:rsid w:val="00A32A9E"/>
    <w:rsid w:val="00A36B55"/>
    <w:rsid w:val="00A46467"/>
    <w:rsid w:val="00A5312C"/>
    <w:rsid w:val="00A66DA8"/>
    <w:rsid w:val="00A67BC0"/>
    <w:rsid w:val="00A73787"/>
    <w:rsid w:val="00A76616"/>
    <w:rsid w:val="00A770C7"/>
    <w:rsid w:val="00A77E3C"/>
    <w:rsid w:val="00A82305"/>
    <w:rsid w:val="00A900F4"/>
    <w:rsid w:val="00A908E4"/>
    <w:rsid w:val="00A91129"/>
    <w:rsid w:val="00A927AD"/>
    <w:rsid w:val="00A9381E"/>
    <w:rsid w:val="00A9559E"/>
    <w:rsid w:val="00A961E1"/>
    <w:rsid w:val="00A96403"/>
    <w:rsid w:val="00A974F2"/>
    <w:rsid w:val="00A97A9F"/>
    <w:rsid w:val="00AA12CF"/>
    <w:rsid w:val="00AA7C60"/>
    <w:rsid w:val="00AB4E60"/>
    <w:rsid w:val="00AB6F4E"/>
    <w:rsid w:val="00AC62DD"/>
    <w:rsid w:val="00AD09BB"/>
    <w:rsid w:val="00AD27BF"/>
    <w:rsid w:val="00AD305A"/>
    <w:rsid w:val="00AD3CCA"/>
    <w:rsid w:val="00AD3CD4"/>
    <w:rsid w:val="00AE1672"/>
    <w:rsid w:val="00AE4184"/>
    <w:rsid w:val="00AE77E3"/>
    <w:rsid w:val="00AF1141"/>
    <w:rsid w:val="00AF1735"/>
    <w:rsid w:val="00AF2B4C"/>
    <w:rsid w:val="00AF4B51"/>
    <w:rsid w:val="00AF6149"/>
    <w:rsid w:val="00AF7FCC"/>
    <w:rsid w:val="00B00591"/>
    <w:rsid w:val="00B0508E"/>
    <w:rsid w:val="00B06E57"/>
    <w:rsid w:val="00B140F4"/>
    <w:rsid w:val="00B16423"/>
    <w:rsid w:val="00B21D01"/>
    <w:rsid w:val="00B26F2C"/>
    <w:rsid w:val="00B30091"/>
    <w:rsid w:val="00B311F6"/>
    <w:rsid w:val="00B32574"/>
    <w:rsid w:val="00B35A2B"/>
    <w:rsid w:val="00B37FF8"/>
    <w:rsid w:val="00B40637"/>
    <w:rsid w:val="00B40AF0"/>
    <w:rsid w:val="00B41A53"/>
    <w:rsid w:val="00B5252B"/>
    <w:rsid w:val="00B54542"/>
    <w:rsid w:val="00B57631"/>
    <w:rsid w:val="00B603FA"/>
    <w:rsid w:val="00B605EA"/>
    <w:rsid w:val="00B60731"/>
    <w:rsid w:val="00B61D0B"/>
    <w:rsid w:val="00B64931"/>
    <w:rsid w:val="00B66D7F"/>
    <w:rsid w:val="00B701C1"/>
    <w:rsid w:val="00B725BF"/>
    <w:rsid w:val="00B75620"/>
    <w:rsid w:val="00B8010B"/>
    <w:rsid w:val="00B838C0"/>
    <w:rsid w:val="00B86329"/>
    <w:rsid w:val="00B91689"/>
    <w:rsid w:val="00B94FE3"/>
    <w:rsid w:val="00BA35CF"/>
    <w:rsid w:val="00BA4D7B"/>
    <w:rsid w:val="00BA5524"/>
    <w:rsid w:val="00BA60EB"/>
    <w:rsid w:val="00BA66B0"/>
    <w:rsid w:val="00BA74DB"/>
    <w:rsid w:val="00BB35C5"/>
    <w:rsid w:val="00BB386E"/>
    <w:rsid w:val="00BB54B5"/>
    <w:rsid w:val="00BB56D9"/>
    <w:rsid w:val="00BB5A7C"/>
    <w:rsid w:val="00BC1C8B"/>
    <w:rsid w:val="00BC2DA0"/>
    <w:rsid w:val="00BC485F"/>
    <w:rsid w:val="00BC7D5C"/>
    <w:rsid w:val="00BD0DC5"/>
    <w:rsid w:val="00BD16DF"/>
    <w:rsid w:val="00BD46E8"/>
    <w:rsid w:val="00BD559E"/>
    <w:rsid w:val="00BD6506"/>
    <w:rsid w:val="00BE0B24"/>
    <w:rsid w:val="00BE147B"/>
    <w:rsid w:val="00BE22DB"/>
    <w:rsid w:val="00BE3F75"/>
    <w:rsid w:val="00BE5F28"/>
    <w:rsid w:val="00BE6D54"/>
    <w:rsid w:val="00BE7299"/>
    <w:rsid w:val="00BF2ED7"/>
    <w:rsid w:val="00BF4C08"/>
    <w:rsid w:val="00C00BF4"/>
    <w:rsid w:val="00C03EEE"/>
    <w:rsid w:val="00C139B6"/>
    <w:rsid w:val="00C14D81"/>
    <w:rsid w:val="00C20BB3"/>
    <w:rsid w:val="00C21F9F"/>
    <w:rsid w:val="00C22A7A"/>
    <w:rsid w:val="00C26FF2"/>
    <w:rsid w:val="00C35F45"/>
    <w:rsid w:val="00C46783"/>
    <w:rsid w:val="00C469CC"/>
    <w:rsid w:val="00C5218C"/>
    <w:rsid w:val="00C52A7D"/>
    <w:rsid w:val="00C53E67"/>
    <w:rsid w:val="00C5446A"/>
    <w:rsid w:val="00C544AD"/>
    <w:rsid w:val="00C6177A"/>
    <w:rsid w:val="00C64146"/>
    <w:rsid w:val="00C7318E"/>
    <w:rsid w:val="00C735B1"/>
    <w:rsid w:val="00C75CD7"/>
    <w:rsid w:val="00C8042C"/>
    <w:rsid w:val="00C87AE1"/>
    <w:rsid w:val="00C914CA"/>
    <w:rsid w:val="00C94DAF"/>
    <w:rsid w:val="00CA000B"/>
    <w:rsid w:val="00CA2C35"/>
    <w:rsid w:val="00CA478B"/>
    <w:rsid w:val="00CA6EB6"/>
    <w:rsid w:val="00CB0FEC"/>
    <w:rsid w:val="00CB1055"/>
    <w:rsid w:val="00CC131A"/>
    <w:rsid w:val="00CC29F8"/>
    <w:rsid w:val="00CC3B2C"/>
    <w:rsid w:val="00CD3498"/>
    <w:rsid w:val="00CD5BF3"/>
    <w:rsid w:val="00CD6044"/>
    <w:rsid w:val="00CD6060"/>
    <w:rsid w:val="00CE29C6"/>
    <w:rsid w:val="00CE4B4F"/>
    <w:rsid w:val="00CE60DB"/>
    <w:rsid w:val="00CE732D"/>
    <w:rsid w:val="00CF1022"/>
    <w:rsid w:val="00CF35F7"/>
    <w:rsid w:val="00D03670"/>
    <w:rsid w:val="00D03ED6"/>
    <w:rsid w:val="00D054EA"/>
    <w:rsid w:val="00D068AD"/>
    <w:rsid w:val="00D0737C"/>
    <w:rsid w:val="00D10525"/>
    <w:rsid w:val="00D12454"/>
    <w:rsid w:val="00D12AF7"/>
    <w:rsid w:val="00D1691E"/>
    <w:rsid w:val="00D16A1E"/>
    <w:rsid w:val="00D16D46"/>
    <w:rsid w:val="00D22081"/>
    <w:rsid w:val="00D22DA5"/>
    <w:rsid w:val="00D2380C"/>
    <w:rsid w:val="00D364F0"/>
    <w:rsid w:val="00D37BC1"/>
    <w:rsid w:val="00D40C1D"/>
    <w:rsid w:val="00D41A5F"/>
    <w:rsid w:val="00D41C76"/>
    <w:rsid w:val="00D422B6"/>
    <w:rsid w:val="00D4453F"/>
    <w:rsid w:val="00D52F89"/>
    <w:rsid w:val="00D53CE1"/>
    <w:rsid w:val="00D5553F"/>
    <w:rsid w:val="00D559AC"/>
    <w:rsid w:val="00D57363"/>
    <w:rsid w:val="00D57AB5"/>
    <w:rsid w:val="00D63A07"/>
    <w:rsid w:val="00D63C4A"/>
    <w:rsid w:val="00D67796"/>
    <w:rsid w:val="00D67959"/>
    <w:rsid w:val="00D704AE"/>
    <w:rsid w:val="00D7472E"/>
    <w:rsid w:val="00D74B88"/>
    <w:rsid w:val="00D81EFA"/>
    <w:rsid w:val="00D82659"/>
    <w:rsid w:val="00D846DD"/>
    <w:rsid w:val="00D847A7"/>
    <w:rsid w:val="00D87E7A"/>
    <w:rsid w:val="00D910B0"/>
    <w:rsid w:val="00D92DCC"/>
    <w:rsid w:val="00DA01E7"/>
    <w:rsid w:val="00DA192D"/>
    <w:rsid w:val="00DB0B0B"/>
    <w:rsid w:val="00DB0ED8"/>
    <w:rsid w:val="00DB1169"/>
    <w:rsid w:val="00DB6415"/>
    <w:rsid w:val="00DC27BA"/>
    <w:rsid w:val="00DC53CC"/>
    <w:rsid w:val="00DC7DDC"/>
    <w:rsid w:val="00DD072D"/>
    <w:rsid w:val="00DD0E52"/>
    <w:rsid w:val="00DD20F4"/>
    <w:rsid w:val="00DD22B3"/>
    <w:rsid w:val="00DD7078"/>
    <w:rsid w:val="00DE0A42"/>
    <w:rsid w:val="00DE35DD"/>
    <w:rsid w:val="00DE3B73"/>
    <w:rsid w:val="00DF0D9F"/>
    <w:rsid w:val="00DF157D"/>
    <w:rsid w:val="00DF183D"/>
    <w:rsid w:val="00DF1871"/>
    <w:rsid w:val="00DF3ACB"/>
    <w:rsid w:val="00E0087E"/>
    <w:rsid w:val="00E100ED"/>
    <w:rsid w:val="00E13C98"/>
    <w:rsid w:val="00E13D23"/>
    <w:rsid w:val="00E13F52"/>
    <w:rsid w:val="00E21D7E"/>
    <w:rsid w:val="00E227DC"/>
    <w:rsid w:val="00E233AE"/>
    <w:rsid w:val="00E247A0"/>
    <w:rsid w:val="00E2692A"/>
    <w:rsid w:val="00E27ED1"/>
    <w:rsid w:val="00E3289B"/>
    <w:rsid w:val="00E33CF1"/>
    <w:rsid w:val="00E35C36"/>
    <w:rsid w:val="00E361DC"/>
    <w:rsid w:val="00E42023"/>
    <w:rsid w:val="00E4211A"/>
    <w:rsid w:val="00E51300"/>
    <w:rsid w:val="00E51AA6"/>
    <w:rsid w:val="00E53DCB"/>
    <w:rsid w:val="00E574AF"/>
    <w:rsid w:val="00E64875"/>
    <w:rsid w:val="00E65526"/>
    <w:rsid w:val="00E655B2"/>
    <w:rsid w:val="00E74BF6"/>
    <w:rsid w:val="00E768A0"/>
    <w:rsid w:val="00E81C0C"/>
    <w:rsid w:val="00E827E4"/>
    <w:rsid w:val="00E84650"/>
    <w:rsid w:val="00E86A6C"/>
    <w:rsid w:val="00E93F6A"/>
    <w:rsid w:val="00EA0FC6"/>
    <w:rsid w:val="00EA1991"/>
    <w:rsid w:val="00EA402B"/>
    <w:rsid w:val="00EA544A"/>
    <w:rsid w:val="00EA5740"/>
    <w:rsid w:val="00EB0963"/>
    <w:rsid w:val="00EC1DC1"/>
    <w:rsid w:val="00EC77EB"/>
    <w:rsid w:val="00ED4313"/>
    <w:rsid w:val="00ED72B8"/>
    <w:rsid w:val="00EE1B7E"/>
    <w:rsid w:val="00EE2171"/>
    <w:rsid w:val="00EE4AE7"/>
    <w:rsid w:val="00EE560E"/>
    <w:rsid w:val="00EE74EE"/>
    <w:rsid w:val="00EE7995"/>
    <w:rsid w:val="00EF0337"/>
    <w:rsid w:val="00EF0B69"/>
    <w:rsid w:val="00EF35E7"/>
    <w:rsid w:val="00EF52DE"/>
    <w:rsid w:val="00EF5FCB"/>
    <w:rsid w:val="00EF70F7"/>
    <w:rsid w:val="00F02221"/>
    <w:rsid w:val="00F0237B"/>
    <w:rsid w:val="00F03016"/>
    <w:rsid w:val="00F03494"/>
    <w:rsid w:val="00F03547"/>
    <w:rsid w:val="00F04140"/>
    <w:rsid w:val="00F069F1"/>
    <w:rsid w:val="00F07A7B"/>
    <w:rsid w:val="00F1568B"/>
    <w:rsid w:val="00F170C9"/>
    <w:rsid w:val="00F25B69"/>
    <w:rsid w:val="00F26636"/>
    <w:rsid w:val="00F2747F"/>
    <w:rsid w:val="00F309CE"/>
    <w:rsid w:val="00F34631"/>
    <w:rsid w:val="00F3474A"/>
    <w:rsid w:val="00F34DCF"/>
    <w:rsid w:val="00F3628F"/>
    <w:rsid w:val="00F36502"/>
    <w:rsid w:val="00F37DCD"/>
    <w:rsid w:val="00F37EB7"/>
    <w:rsid w:val="00F4021C"/>
    <w:rsid w:val="00F42508"/>
    <w:rsid w:val="00F43520"/>
    <w:rsid w:val="00F50C84"/>
    <w:rsid w:val="00F51411"/>
    <w:rsid w:val="00F51BD6"/>
    <w:rsid w:val="00F5383B"/>
    <w:rsid w:val="00F54C44"/>
    <w:rsid w:val="00F559F6"/>
    <w:rsid w:val="00F6068A"/>
    <w:rsid w:val="00F61CEC"/>
    <w:rsid w:val="00F620BE"/>
    <w:rsid w:val="00F65DE8"/>
    <w:rsid w:val="00F66AD9"/>
    <w:rsid w:val="00F705E3"/>
    <w:rsid w:val="00F71F05"/>
    <w:rsid w:val="00F73CB8"/>
    <w:rsid w:val="00F771CE"/>
    <w:rsid w:val="00F77E88"/>
    <w:rsid w:val="00F8104D"/>
    <w:rsid w:val="00F81D8F"/>
    <w:rsid w:val="00F8250F"/>
    <w:rsid w:val="00F82CE9"/>
    <w:rsid w:val="00F83BDB"/>
    <w:rsid w:val="00F862E1"/>
    <w:rsid w:val="00F86830"/>
    <w:rsid w:val="00F86EBD"/>
    <w:rsid w:val="00F90E64"/>
    <w:rsid w:val="00F91E6F"/>
    <w:rsid w:val="00F93863"/>
    <w:rsid w:val="00F953D7"/>
    <w:rsid w:val="00FA1517"/>
    <w:rsid w:val="00FB256C"/>
    <w:rsid w:val="00FC5381"/>
    <w:rsid w:val="00FC640E"/>
    <w:rsid w:val="00FC6E7B"/>
    <w:rsid w:val="00FC7025"/>
    <w:rsid w:val="00FD01B5"/>
    <w:rsid w:val="00FD14F9"/>
    <w:rsid w:val="00FD1865"/>
    <w:rsid w:val="00FD45F9"/>
    <w:rsid w:val="00FD4FF0"/>
    <w:rsid w:val="00FD597D"/>
    <w:rsid w:val="00FD61B9"/>
    <w:rsid w:val="00FE20DE"/>
    <w:rsid w:val="00FE68D5"/>
    <w:rsid w:val="00FE794E"/>
    <w:rsid w:val="00FF0E79"/>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EACBC5"/>
  <w15:docId w15:val="{BBB52783-46A6-45BF-901D-9F116C10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D96"/>
    <w:pPr>
      <w:ind w:firstLine="720"/>
      <w:jc w:val="both"/>
    </w:pPr>
    <w:rPr>
      <w:sz w:val="28"/>
      <w:lang w:eastAsia="en-US"/>
    </w:rPr>
  </w:style>
  <w:style w:type="paragraph" w:styleId="Heading5">
    <w:name w:val="heading 5"/>
    <w:basedOn w:val="Normal"/>
    <w:next w:val="Normal"/>
    <w:link w:val="Heading5Char"/>
    <w:qFormat/>
    <w:locked/>
    <w:rsid w:val="00864391"/>
    <w:pPr>
      <w:keepNext/>
      <w:autoSpaceDE w:val="0"/>
      <w:autoSpaceDN w:val="0"/>
      <w:adjustRightInd w:val="0"/>
      <w:ind w:firstLine="0"/>
      <w:jc w:val="center"/>
      <w:outlineLvl w:val="4"/>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basedOn w:val="Normal"/>
    <w:link w:val="FootnoteTextChar"/>
    <w:uiPriority w:val="99"/>
    <w:rsid w:val="00F3628F"/>
    <w:pPr>
      <w:ind w:firstLine="0"/>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locked/>
    <w:rsid w:val="00F3628F"/>
    <w:rPr>
      <w:rFonts w:eastAsia="Times New Roman" w:cs="Times New Roman"/>
      <w:sz w:val="20"/>
      <w:szCs w:val="20"/>
      <w:lang w:eastAsia="lv-LV"/>
    </w:rPr>
  </w:style>
  <w:style w:type="character" w:styleId="FootnoteReference">
    <w:name w:val="footnote reference"/>
    <w:aliases w:val="Footnote Reference Number"/>
    <w:basedOn w:val="DefaultParagraphFont"/>
    <w:uiPriority w:val="99"/>
    <w:rsid w:val="00F3628F"/>
    <w:rPr>
      <w:rFonts w:cs="Times New Roman"/>
      <w:vertAlign w:val="superscript"/>
    </w:rPr>
  </w:style>
  <w:style w:type="paragraph" w:customStyle="1" w:styleId="naisf">
    <w:name w:val="naisf"/>
    <w:basedOn w:val="Normal"/>
    <w:uiPriority w:val="99"/>
    <w:rsid w:val="00F3628F"/>
    <w:pPr>
      <w:spacing w:before="75" w:after="75"/>
      <w:ind w:firstLine="375"/>
    </w:pPr>
    <w:rPr>
      <w:sz w:val="24"/>
      <w:szCs w:val="24"/>
      <w:lang w:eastAsia="lv-LV"/>
    </w:rPr>
  </w:style>
  <w:style w:type="paragraph" w:styleId="ListParagraph">
    <w:name w:val="List Paragraph"/>
    <w:basedOn w:val="Normal"/>
    <w:uiPriority w:val="99"/>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basedOn w:val="DefaultParagraphFont"/>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basedOn w:val="DefaultParagraphFont"/>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basedOn w:val="DefaultParagraphFont"/>
    <w:link w:val="BalloonText"/>
    <w:uiPriority w:val="99"/>
    <w:semiHidden/>
    <w:locked/>
    <w:rsid w:val="00887DF1"/>
    <w:rPr>
      <w:rFonts w:ascii="Arial" w:hAnsi="Arial" w:cs="Arial"/>
      <w:sz w:val="18"/>
      <w:szCs w:val="18"/>
    </w:rPr>
  </w:style>
  <w:style w:type="character" w:styleId="Hyperlink">
    <w:name w:val="Hyperlink"/>
    <w:basedOn w:val="DefaultParagraphFont"/>
    <w:uiPriority w:val="99"/>
    <w:rsid w:val="00963E11"/>
    <w:rPr>
      <w:rFonts w:cs="Times New Roman"/>
      <w:color w:val="0563C1"/>
      <w:u w:val="single"/>
    </w:rPr>
  </w:style>
  <w:style w:type="character" w:customStyle="1" w:styleId="Heading5Char">
    <w:name w:val="Heading 5 Char"/>
    <w:basedOn w:val="DefaultParagraphFont"/>
    <w:link w:val="Heading5"/>
    <w:rsid w:val="00864391"/>
    <w:rPr>
      <w:rFonts w:eastAsia="Times New Roman"/>
      <w:b/>
      <w:bCs/>
      <w:sz w:val="28"/>
      <w:szCs w:val="28"/>
      <w:lang w:eastAsia="en-US"/>
    </w:rPr>
  </w:style>
  <w:style w:type="table" w:styleId="TableGrid">
    <w:name w:val="Table Grid"/>
    <w:basedOn w:val="TableNormal"/>
    <w:uiPriority w:val="39"/>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A7C"/>
    <w:rPr>
      <w:sz w:val="16"/>
      <w:szCs w:val="16"/>
    </w:rPr>
  </w:style>
  <w:style w:type="paragraph" w:styleId="CommentText">
    <w:name w:val="annotation text"/>
    <w:basedOn w:val="Normal"/>
    <w:link w:val="CommentTextChar"/>
    <w:uiPriority w:val="99"/>
    <w:semiHidden/>
    <w:unhideWhenUsed/>
    <w:rsid w:val="00BB5A7C"/>
    <w:rPr>
      <w:sz w:val="20"/>
      <w:szCs w:val="20"/>
    </w:rPr>
  </w:style>
  <w:style w:type="character" w:customStyle="1" w:styleId="CommentTextChar">
    <w:name w:val="Comment Text Char"/>
    <w:basedOn w:val="DefaultParagraphFont"/>
    <w:link w:val="CommentText"/>
    <w:uiPriority w:val="99"/>
    <w:semiHidden/>
    <w:rsid w:val="00BB5A7C"/>
    <w:rPr>
      <w:sz w:val="20"/>
      <w:szCs w:val="20"/>
      <w:lang w:eastAsia="en-US"/>
    </w:rPr>
  </w:style>
  <w:style w:type="paragraph" w:styleId="CommentSubject">
    <w:name w:val="annotation subject"/>
    <w:basedOn w:val="CommentText"/>
    <w:next w:val="CommentText"/>
    <w:link w:val="CommentSubjectChar"/>
    <w:uiPriority w:val="99"/>
    <w:semiHidden/>
    <w:unhideWhenUsed/>
    <w:rsid w:val="00BB5A7C"/>
    <w:rPr>
      <w:b/>
      <w:bCs/>
    </w:rPr>
  </w:style>
  <w:style w:type="character" w:customStyle="1" w:styleId="CommentSubjectChar">
    <w:name w:val="Comment Subject Char"/>
    <w:basedOn w:val="CommentTextChar"/>
    <w:link w:val="CommentSubject"/>
    <w:uiPriority w:val="99"/>
    <w:semiHidden/>
    <w:rsid w:val="00BB5A7C"/>
    <w:rPr>
      <w:b/>
      <w:bCs/>
      <w:sz w:val="20"/>
      <w:szCs w:val="20"/>
      <w:lang w:eastAsia="en-US"/>
    </w:rPr>
  </w:style>
  <w:style w:type="character" w:customStyle="1" w:styleId="UnresolvedMention1">
    <w:name w:val="Unresolved Mention1"/>
    <w:basedOn w:val="DefaultParagraphFont"/>
    <w:uiPriority w:val="99"/>
    <w:semiHidden/>
    <w:unhideWhenUsed/>
    <w:rsid w:val="00831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 w:id="1710452180">
      <w:bodyDiv w:val="1"/>
      <w:marLeft w:val="0"/>
      <w:marRight w:val="0"/>
      <w:marTop w:val="0"/>
      <w:marBottom w:val="0"/>
      <w:divBdr>
        <w:top w:val="none" w:sz="0" w:space="0" w:color="auto"/>
        <w:left w:val="none" w:sz="0" w:space="0" w:color="auto"/>
        <w:bottom w:val="none" w:sz="0" w:space="0" w:color="auto"/>
        <w:right w:val="none" w:sz="0" w:space="0" w:color="auto"/>
      </w:divBdr>
      <w:divsChild>
        <w:div w:id="550072180">
          <w:marLeft w:val="0"/>
          <w:marRight w:val="0"/>
          <w:marTop w:val="480"/>
          <w:marBottom w:val="240"/>
          <w:divBdr>
            <w:top w:val="none" w:sz="0" w:space="0" w:color="auto"/>
            <w:left w:val="none" w:sz="0" w:space="0" w:color="auto"/>
            <w:bottom w:val="none" w:sz="0" w:space="0" w:color="auto"/>
            <w:right w:val="none" w:sz="0" w:space="0" w:color="auto"/>
          </w:divBdr>
        </w:div>
        <w:div w:id="1506633014">
          <w:marLeft w:val="0"/>
          <w:marRight w:val="0"/>
          <w:marTop w:val="0"/>
          <w:marBottom w:val="567"/>
          <w:divBdr>
            <w:top w:val="none" w:sz="0" w:space="0" w:color="auto"/>
            <w:left w:val="none" w:sz="0" w:space="0" w:color="auto"/>
            <w:bottom w:val="none" w:sz="0" w:space="0" w:color="auto"/>
            <w:right w:val="none" w:sz="0" w:space="0" w:color="auto"/>
          </w:divBdr>
        </w:div>
      </w:divsChild>
    </w:div>
    <w:div w:id="19096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68574-valsts-materialo-rezervju-glabasanas-uzskaites-atjauninasanas-iznomasanas-aizdosanas-realizacijas-un-norakstisanas-kart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8057-likums-par-budzetu-un-finansu-vadib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AF20-12B0-4FBE-8DD8-21FE7403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9415</Words>
  <Characters>5368</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materiālajās rezervēs esošo zāļu un medicīniskās ierīču atsavināšanas kārtība</vt:lpstr>
      <vt:lpstr>Anotācija Ministru kabineta noteikumu projektam “Valsts materiālo rezervju iesaistīšanas un pārbaudes kārtība"</vt:lpstr>
    </vt:vector>
  </TitlesOfParts>
  <Company>IeM</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materiālajās rezervēs esošo zāļu un medicīniskās ierīču atsavināšanas kārtība</dc:title>
  <dc:subject>Anotācija</dc:subject>
  <dc:creator>Artūrs Grīgs</dc:creator>
  <dc:description>Grīgs,  67876116_x000d_
Arturs.Grigs@vm.gov.lv</dc:description>
  <cp:lastModifiedBy>Artūrs Grīgs</cp:lastModifiedBy>
  <cp:revision>5</cp:revision>
  <cp:lastPrinted>2018-12-27T09:48:00Z</cp:lastPrinted>
  <dcterms:created xsi:type="dcterms:W3CDTF">2019-05-14T07:27:00Z</dcterms:created>
  <dcterms:modified xsi:type="dcterms:W3CDTF">2019-05-15T07:34:00Z</dcterms:modified>
</cp:coreProperties>
</file>