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2225" w14:textId="2356B9C1" w:rsidR="007908D6" w:rsidRPr="00E70D57" w:rsidRDefault="007908D6" w:rsidP="007908D6">
      <w:pPr>
        <w:tabs>
          <w:tab w:val="left" w:pos="6840"/>
          <w:tab w:val="right" w:pos="9000"/>
        </w:tabs>
        <w:spacing w:after="0" w:line="240" w:lineRule="auto"/>
        <w:rPr>
          <w:rFonts w:ascii="Times New Roman" w:eastAsia="Times New Roman" w:hAnsi="Times New Roman" w:cs="Times New Roman"/>
          <w:sz w:val="28"/>
          <w:szCs w:val="28"/>
        </w:rPr>
      </w:pPr>
      <w:bookmarkStart w:id="0" w:name="_GoBack"/>
      <w:bookmarkEnd w:id="0"/>
      <w:r w:rsidRPr="00E70D57">
        <w:rPr>
          <w:rFonts w:ascii="Times New Roman" w:eastAsia="Times New Roman" w:hAnsi="Times New Roman" w:cs="Times New Roman"/>
          <w:sz w:val="28"/>
          <w:szCs w:val="28"/>
        </w:rPr>
        <w:t>201</w:t>
      </w:r>
      <w:r w:rsidR="00CC453E">
        <w:rPr>
          <w:rFonts w:ascii="Times New Roman" w:eastAsia="Times New Roman" w:hAnsi="Times New Roman" w:cs="Times New Roman"/>
          <w:sz w:val="28"/>
          <w:szCs w:val="28"/>
        </w:rPr>
        <w:t>9</w:t>
      </w:r>
      <w:r w:rsidRPr="00E70D57">
        <w:rPr>
          <w:rFonts w:ascii="Times New Roman" w:eastAsia="Times New Roman" w:hAnsi="Times New Roman" w:cs="Times New Roman"/>
          <w:sz w:val="28"/>
          <w:szCs w:val="28"/>
        </w:rPr>
        <w:t>. gada</w:t>
      </w:r>
      <w:r w:rsidRPr="00E70D57">
        <w:rPr>
          <w:rFonts w:ascii="Times New Roman" w:eastAsia="Times New Roman" w:hAnsi="Times New Roman" w:cs="Times New Roman"/>
          <w:sz w:val="28"/>
          <w:szCs w:val="28"/>
        </w:rPr>
        <w:tab/>
        <w:t>Noteikumi Nr.</w:t>
      </w:r>
    </w:p>
    <w:p w14:paraId="6B83D934" w14:textId="77777777" w:rsidR="007908D6" w:rsidRPr="00E70D57" w:rsidRDefault="007908D6" w:rsidP="007908D6">
      <w:pPr>
        <w:tabs>
          <w:tab w:val="left" w:pos="6840"/>
          <w:tab w:val="right" w:pos="9000"/>
        </w:tabs>
        <w:spacing w:after="0" w:line="240" w:lineRule="auto"/>
        <w:rPr>
          <w:rFonts w:ascii="Times New Roman" w:eastAsia="Times New Roman" w:hAnsi="Times New Roman" w:cs="Times New Roman"/>
          <w:sz w:val="28"/>
          <w:szCs w:val="28"/>
        </w:rPr>
      </w:pPr>
      <w:r w:rsidRPr="00E70D57">
        <w:rPr>
          <w:rFonts w:ascii="Times New Roman" w:eastAsia="Times New Roman" w:hAnsi="Times New Roman" w:cs="Times New Roman"/>
          <w:sz w:val="28"/>
          <w:szCs w:val="28"/>
        </w:rPr>
        <w:t>Rīgā</w:t>
      </w:r>
      <w:r w:rsidRPr="00E70D57">
        <w:rPr>
          <w:rFonts w:ascii="Times New Roman" w:eastAsia="Times New Roman" w:hAnsi="Times New Roman" w:cs="Times New Roman"/>
          <w:sz w:val="28"/>
          <w:szCs w:val="28"/>
        </w:rPr>
        <w:tab/>
        <w:t>(prot. Nr.            .§)</w:t>
      </w:r>
    </w:p>
    <w:p w14:paraId="3C309228" w14:textId="77777777" w:rsidR="007908D6" w:rsidRPr="00E70D57" w:rsidRDefault="007908D6" w:rsidP="007908D6">
      <w:pPr>
        <w:spacing w:after="0" w:line="240" w:lineRule="auto"/>
        <w:jc w:val="both"/>
        <w:rPr>
          <w:rFonts w:ascii="Times New Roman" w:eastAsia="Times New Roman" w:hAnsi="Times New Roman" w:cs="Times New Roman"/>
          <w:sz w:val="28"/>
          <w:szCs w:val="28"/>
          <w:lang w:eastAsia="lv-LV"/>
        </w:rPr>
      </w:pPr>
    </w:p>
    <w:p w14:paraId="2E63E286" w14:textId="77777777" w:rsidR="007908D6" w:rsidRPr="00E70D57" w:rsidRDefault="007908D6" w:rsidP="007908D6">
      <w:pPr>
        <w:spacing w:after="0" w:line="240" w:lineRule="auto"/>
        <w:rPr>
          <w:rFonts w:ascii="Times New Roman" w:eastAsia="Times New Roman" w:hAnsi="Times New Roman" w:cs="Times New Roman"/>
          <w:b/>
          <w:sz w:val="28"/>
          <w:szCs w:val="28"/>
          <w:lang w:eastAsia="lv-LV"/>
        </w:rPr>
      </w:pPr>
    </w:p>
    <w:p w14:paraId="48F5E7ED" w14:textId="77777777" w:rsidR="007908D6" w:rsidRPr="00E70D57" w:rsidRDefault="007908D6" w:rsidP="007908D6">
      <w:pPr>
        <w:spacing w:after="0" w:line="240" w:lineRule="auto"/>
        <w:jc w:val="center"/>
        <w:rPr>
          <w:rFonts w:ascii="Times New Roman" w:eastAsia="Times New Roman" w:hAnsi="Times New Roman" w:cs="Times New Roman"/>
          <w:b/>
          <w:sz w:val="28"/>
          <w:szCs w:val="28"/>
          <w:lang w:eastAsia="lv-LV"/>
        </w:rPr>
      </w:pPr>
      <w:r w:rsidRPr="00E70D57">
        <w:rPr>
          <w:rFonts w:ascii="Times New Roman" w:eastAsia="Times New Roman" w:hAnsi="Times New Roman" w:cs="Times New Roman"/>
          <w:b/>
          <w:sz w:val="28"/>
          <w:szCs w:val="28"/>
          <w:lang w:eastAsia="lv-LV"/>
        </w:rPr>
        <w:t>Grozījumi Ministru kabineta 2006. gada 31. oktobra noteikumos Nr. 899 „Ambulatorajai ārstēšanai paredzēto zāļu un medicīnisko ierīču iegādes izdevumu kompensācijas kārtība”</w:t>
      </w:r>
    </w:p>
    <w:p w14:paraId="1CCF403F" w14:textId="77777777" w:rsidR="007908D6" w:rsidRPr="00460BA8" w:rsidRDefault="007908D6" w:rsidP="007908D6">
      <w:pPr>
        <w:spacing w:after="0" w:line="240" w:lineRule="auto"/>
        <w:jc w:val="center"/>
        <w:rPr>
          <w:rFonts w:ascii="Times New Roman" w:eastAsia="Times New Roman" w:hAnsi="Times New Roman" w:cs="Times New Roman"/>
          <w:sz w:val="28"/>
          <w:szCs w:val="28"/>
          <w:lang w:eastAsia="lv-LV"/>
        </w:rPr>
      </w:pPr>
    </w:p>
    <w:p w14:paraId="55E07FDC" w14:textId="77777777" w:rsidR="007908D6" w:rsidRPr="00E70D57" w:rsidRDefault="007908D6" w:rsidP="007908D6">
      <w:pPr>
        <w:spacing w:after="0" w:line="240" w:lineRule="auto"/>
        <w:jc w:val="right"/>
        <w:rPr>
          <w:rFonts w:ascii="Times New Roman" w:eastAsia="Times New Roman" w:hAnsi="Times New Roman" w:cs="Times New Roman"/>
          <w:i/>
          <w:sz w:val="28"/>
          <w:szCs w:val="28"/>
          <w:lang w:eastAsia="lv-LV"/>
        </w:rPr>
      </w:pPr>
      <w:r w:rsidRPr="00E70D57">
        <w:rPr>
          <w:rFonts w:ascii="Times New Roman" w:eastAsia="Times New Roman" w:hAnsi="Times New Roman" w:cs="Times New Roman"/>
          <w:i/>
          <w:iCs/>
          <w:sz w:val="28"/>
          <w:szCs w:val="28"/>
          <w:lang w:eastAsia="lv-LV"/>
        </w:rPr>
        <w:t xml:space="preserve">Izdoti saskaņā ar </w:t>
      </w:r>
      <w:r w:rsidRPr="00E70D57">
        <w:rPr>
          <w:rFonts w:ascii="Times New Roman" w:eastAsia="Times New Roman" w:hAnsi="Times New Roman" w:cs="Times New Roman"/>
          <w:i/>
          <w:sz w:val="28"/>
          <w:szCs w:val="28"/>
          <w:lang w:eastAsia="lv-LV"/>
        </w:rPr>
        <w:t xml:space="preserve">Farmācijas likuma </w:t>
      </w:r>
    </w:p>
    <w:p w14:paraId="209605FF" w14:textId="77777777" w:rsidR="007908D6" w:rsidRPr="00E70D57" w:rsidRDefault="007908D6" w:rsidP="007908D6">
      <w:pPr>
        <w:spacing w:after="0" w:line="240" w:lineRule="auto"/>
        <w:jc w:val="right"/>
        <w:rPr>
          <w:rFonts w:ascii="Times New Roman" w:eastAsia="Times New Roman" w:hAnsi="Times New Roman" w:cs="Times New Roman"/>
          <w:i/>
          <w:iCs/>
          <w:sz w:val="28"/>
          <w:szCs w:val="28"/>
          <w:lang w:eastAsia="lv-LV"/>
        </w:rPr>
      </w:pPr>
      <w:r w:rsidRPr="00E70D57">
        <w:rPr>
          <w:rFonts w:ascii="Times New Roman" w:eastAsia="Times New Roman" w:hAnsi="Times New Roman" w:cs="Times New Roman"/>
          <w:i/>
          <w:sz w:val="28"/>
          <w:szCs w:val="28"/>
          <w:lang w:eastAsia="lv-LV"/>
        </w:rPr>
        <w:t>5. panta 20. punktu</w:t>
      </w:r>
    </w:p>
    <w:p w14:paraId="3670D0C5" w14:textId="77777777" w:rsidR="007908D6" w:rsidRPr="00E70D57" w:rsidRDefault="007908D6" w:rsidP="007908D6">
      <w:pPr>
        <w:spacing w:after="120" w:line="240" w:lineRule="auto"/>
        <w:ind w:firstLine="720"/>
        <w:jc w:val="both"/>
        <w:rPr>
          <w:rFonts w:ascii="Times New Roman" w:eastAsia="Times New Roman" w:hAnsi="Times New Roman" w:cs="Times New Roman"/>
          <w:sz w:val="28"/>
          <w:szCs w:val="28"/>
          <w:lang w:eastAsia="lv-LV"/>
        </w:rPr>
      </w:pPr>
    </w:p>
    <w:p w14:paraId="2105D3D6" w14:textId="580DD767" w:rsidR="007908D6" w:rsidRPr="00E70D57" w:rsidRDefault="007908D6" w:rsidP="007908D6">
      <w:pPr>
        <w:spacing w:after="120" w:line="240" w:lineRule="auto"/>
        <w:ind w:firstLine="720"/>
        <w:jc w:val="both"/>
        <w:rPr>
          <w:rFonts w:ascii="Times New Roman" w:eastAsia="Times New Roman" w:hAnsi="Times New Roman" w:cs="Times New Roman"/>
          <w:sz w:val="28"/>
          <w:szCs w:val="28"/>
          <w:lang w:eastAsia="lv-LV"/>
        </w:rPr>
      </w:pPr>
      <w:r w:rsidRPr="00E70D57">
        <w:rPr>
          <w:rFonts w:ascii="Times New Roman" w:eastAsia="Times New Roman" w:hAnsi="Times New Roman" w:cs="Times New Roman"/>
          <w:sz w:val="28"/>
          <w:szCs w:val="28"/>
          <w:lang w:eastAsia="lv-LV"/>
        </w:rPr>
        <w:t>1. Izdarīt Ministru kabineta 2006. gada 31. oktobra noteikumos Nr. 899 ”Ambulatorajai ārstēšanai paredzēto zāļu un medicīnisko ierīču iegādes izdevumu kompensācijas kārtība” (Latvijas Vēstnesis, 2006, 180. nr.; 2007, 54. nr.; 2008, 53., 150. nr.; 2009, 22., 138., 155. nr.; 2010, 18., 94., 172., 206. nr.; 2011, 35., 51., 170., 205. nr.; 2012, 79., 101., 120., 165. nr.; 2013, 179., 251. nr.; 2014, 217. nr.; 2015, 104., 245. nr.; 2016, 187. nr.; 2017, 254. nr.; 2018, 5.</w:t>
      </w:r>
      <w:r w:rsidR="00EB2F6F">
        <w:rPr>
          <w:rFonts w:ascii="Times New Roman" w:eastAsia="Times New Roman" w:hAnsi="Times New Roman" w:cs="Times New Roman"/>
          <w:sz w:val="28"/>
          <w:szCs w:val="28"/>
          <w:lang w:eastAsia="lv-LV"/>
        </w:rPr>
        <w:t>, 158.</w:t>
      </w:r>
      <w:r w:rsidRPr="00E70D57">
        <w:rPr>
          <w:rFonts w:ascii="Times New Roman" w:eastAsia="Times New Roman" w:hAnsi="Times New Roman" w:cs="Times New Roman"/>
          <w:sz w:val="28"/>
          <w:szCs w:val="28"/>
          <w:lang w:eastAsia="lv-LV"/>
        </w:rPr>
        <w:t> nr.</w:t>
      </w:r>
      <w:r w:rsidR="00EB2F6F">
        <w:rPr>
          <w:rFonts w:ascii="Times New Roman" w:eastAsia="Times New Roman" w:hAnsi="Times New Roman" w:cs="Times New Roman"/>
          <w:sz w:val="28"/>
          <w:szCs w:val="28"/>
          <w:lang w:eastAsia="lv-LV"/>
        </w:rPr>
        <w:t xml:space="preserve">; </w:t>
      </w:r>
      <w:r w:rsidR="00247A15">
        <w:rPr>
          <w:rFonts w:ascii="Times New Roman" w:eastAsia="Times New Roman" w:hAnsi="Times New Roman" w:cs="Times New Roman"/>
          <w:sz w:val="28"/>
          <w:szCs w:val="28"/>
          <w:lang w:eastAsia="lv-LV"/>
        </w:rPr>
        <w:t>2019, 82.nr.</w:t>
      </w:r>
      <w:r w:rsidRPr="00E70D57">
        <w:rPr>
          <w:rFonts w:ascii="Times New Roman" w:eastAsia="Times New Roman" w:hAnsi="Times New Roman" w:cs="Times New Roman"/>
          <w:sz w:val="28"/>
          <w:szCs w:val="28"/>
          <w:lang w:eastAsia="lv-LV"/>
        </w:rPr>
        <w:t xml:space="preserve">) šādus grozījumus: </w:t>
      </w:r>
    </w:p>
    <w:p w14:paraId="703BA148" w14:textId="283B99B6" w:rsidR="00836651" w:rsidRPr="00E70D57" w:rsidRDefault="0004081A" w:rsidP="007908D6">
      <w:pPr>
        <w:spacing w:after="120" w:line="240" w:lineRule="auto"/>
        <w:ind w:firstLine="720"/>
        <w:jc w:val="both"/>
        <w:rPr>
          <w:rFonts w:ascii="Times New Roman" w:eastAsia="Times New Roman" w:hAnsi="Times New Roman" w:cs="Times New Roman"/>
          <w:sz w:val="28"/>
          <w:szCs w:val="28"/>
          <w:lang w:eastAsia="lv-LV"/>
        </w:rPr>
      </w:pPr>
      <w:r w:rsidRPr="00E70D57">
        <w:rPr>
          <w:rFonts w:ascii="Times New Roman" w:eastAsia="Times New Roman" w:hAnsi="Times New Roman" w:cs="Times New Roman"/>
          <w:sz w:val="28"/>
          <w:szCs w:val="28"/>
          <w:lang w:eastAsia="lv-LV"/>
        </w:rPr>
        <w:t>1.1. i</w:t>
      </w:r>
      <w:r w:rsidR="00836651" w:rsidRPr="00E70D57">
        <w:rPr>
          <w:rFonts w:ascii="Times New Roman" w:eastAsia="Times New Roman" w:hAnsi="Times New Roman" w:cs="Times New Roman"/>
          <w:sz w:val="28"/>
          <w:szCs w:val="28"/>
          <w:lang w:eastAsia="lv-LV"/>
        </w:rPr>
        <w:t xml:space="preserve">zteikt </w:t>
      </w:r>
      <w:r w:rsidR="00836651" w:rsidRPr="00E70D57">
        <w:rPr>
          <w:rFonts w:ascii="Times New Roman" w:hAnsi="Times New Roman" w:cs="Times New Roman"/>
          <w:sz w:val="28"/>
          <w:szCs w:val="28"/>
        </w:rPr>
        <w:t>3.</w:t>
      </w:r>
      <w:r w:rsidR="00836651" w:rsidRPr="00E70D57">
        <w:rPr>
          <w:rFonts w:ascii="Times New Roman" w:hAnsi="Times New Roman" w:cs="Times New Roman"/>
          <w:sz w:val="28"/>
          <w:szCs w:val="28"/>
          <w:vertAlign w:val="superscript"/>
        </w:rPr>
        <w:t>1</w:t>
      </w:r>
      <w:r w:rsidR="00836651" w:rsidRPr="00E70D57">
        <w:rPr>
          <w:rFonts w:ascii="Times New Roman" w:hAnsi="Times New Roman" w:cs="Times New Roman"/>
          <w:sz w:val="28"/>
          <w:szCs w:val="28"/>
        </w:rPr>
        <w:t> 1. </w:t>
      </w:r>
      <w:r w:rsidR="00AC4B11">
        <w:rPr>
          <w:rFonts w:ascii="Times New Roman" w:hAnsi="Times New Roman" w:cs="Times New Roman"/>
          <w:sz w:val="28"/>
          <w:szCs w:val="28"/>
        </w:rPr>
        <w:t xml:space="preserve"> un </w:t>
      </w:r>
      <w:r w:rsidR="00AC4B11" w:rsidRPr="00AC4B11">
        <w:rPr>
          <w:rFonts w:ascii="Times New Roman" w:hAnsi="Times New Roman" w:cs="Times New Roman"/>
          <w:sz w:val="28"/>
          <w:szCs w:val="28"/>
        </w:rPr>
        <w:t>3.</w:t>
      </w:r>
      <w:r w:rsidR="00AC4B11" w:rsidRPr="00AC4B11">
        <w:rPr>
          <w:rFonts w:ascii="Times New Roman" w:hAnsi="Times New Roman" w:cs="Times New Roman"/>
          <w:sz w:val="28"/>
          <w:szCs w:val="28"/>
          <w:vertAlign w:val="superscript"/>
        </w:rPr>
        <w:t>1</w:t>
      </w:r>
      <w:r w:rsidR="00AC4B11" w:rsidRPr="00AC4B11">
        <w:rPr>
          <w:rFonts w:ascii="Times New Roman" w:hAnsi="Times New Roman" w:cs="Times New Roman"/>
          <w:sz w:val="28"/>
          <w:szCs w:val="28"/>
        </w:rPr>
        <w:t xml:space="preserve"> 2. </w:t>
      </w:r>
      <w:r w:rsidR="00836651" w:rsidRPr="00E70D57">
        <w:rPr>
          <w:rFonts w:ascii="Times New Roman" w:hAnsi="Times New Roman" w:cs="Times New Roman"/>
          <w:sz w:val="28"/>
          <w:szCs w:val="28"/>
        </w:rPr>
        <w:t>apakšpunktu šādā redakcijā:</w:t>
      </w:r>
    </w:p>
    <w:p w14:paraId="1758358E" w14:textId="77777777" w:rsidR="00AC4B11" w:rsidRDefault="00836651" w:rsidP="0083665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0015208C" w:rsidRPr="00E70D57">
        <w:rPr>
          <w:rFonts w:ascii="Times New Roman" w:hAnsi="Times New Roman" w:cs="Times New Roman"/>
          <w:sz w:val="28"/>
          <w:szCs w:val="28"/>
        </w:rPr>
        <w:t>3.</w:t>
      </w:r>
      <w:r w:rsidR="0015208C" w:rsidRPr="00E70D57">
        <w:rPr>
          <w:rFonts w:ascii="Times New Roman" w:hAnsi="Times New Roman" w:cs="Times New Roman"/>
          <w:sz w:val="28"/>
          <w:szCs w:val="28"/>
          <w:vertAlign w:val="superscript"/>
        </w:rPr>
        <w:t>1</w:t>
      </w:r>
      <w:r w:rsidRPr="00E70D57">
        <w:rPr>
          <w:rFonts w:ascii="Times New Roman" w:hAnsi="Times New Roman" w:cs="Times New Roman"/>
          <w:sz w:val="28"/>
          <w:szCs w:val="28"/>
        </w:rPr>
        <w:t> 1. </w:t>
      </w:r>
      <w:r w:rsidR="00A55738" w:rsidRPr="00E70D57">
        <w:rPr>
          <w:rFonts w:ascii="Times New Roman" w:hAnsi="Times New Roman" w:cs="Times New Roman"/>
          <w:sz w:val="28"/>
          <w:szCs w:val="28"/>
        </w:rPr>
        <w:t xml:space="preserve">pacientam ir izrakstītas kompensējamo zāļu A sarakstā iekļautās </w:t>
      </w:r>
      <w:proofErr w:type="spellStart"/>
      <w:r w:rsidR="00A55738" w:rsidRPr="00E70D57">
        <w:rPr>
          <w:rFonts w:ascii="Times New Roman" w:hAnsi="Times New Roman" w:cs="Times New Roman"/>
          <w:sz w:val="28"/>
          <w:szCs w:val="28"/>
        </w:rPr>
        <w:t>nereferences</w:t>
      </w:r>
      <w:proofErr w:type="spellEnd"/>
      <w:r w:rsidR="00A55738" w:rsidRPr="00E70D57">
        <w:rPr>
          <w:rFonts w:ascii="Times New Roman" w:hAnsi="Times New Roman" w:cs="Times New Roman"/>
          <w:sz w:val="28"/>
          <w:szCs w:val="28"/>
        </w:rPr>
        <w:t xml:space="preserve"> zāles</w:t>
      </w:r>
      <w:r w:rsidR="00E61235" w:rsidRPr="00E70D57">
        <w:rPr>
          <w:rFonts w:ascii="Times New Roman" w:hAnsi="Times New Roman" w:cs="Times New Roman"/>
          <w:sz w:val="28"/>
          <w:szCs w:val="28"/>
        </w:rPr>
        <w:t xml:space="preserve"> vai </w:t>
      </w:r>
      <w:bookmarkStart w:id="1" w:name="_Hlk8368345"/>
      <w:r w:rsidR="00E61235" w:rsidRPr="00E70D57">
        <w:rPr>
          <w:rFonts w:ascii="Times New Roman" w:hAnsi="Times New Roman" w:cs="Times New Roman"/>
          <w:sz w:val="28"/>
          <w:szCs w:val="28"/>
        </w:rPr>
        <w:t>medicīniskās ierīces</w:t>
      </w:r>
      <w:bookmarkEnd w:id="1"/>
      <w:r w:rsidR="00A55738" w:rsidRPr="00E70D57">
        <w:rPr>
          <w:rFonts w:ascii="Times New Roman" w:hAnsi="Times New Roman" w:cs="Times New Roman"/>
          <w:sz w:val="28"/>
          <w:szCs w:val="28"/>
        </w:rPr>
        <w:t xml:space="preserve">. Šādā gadījumā pacients sedz starpību starp attiecīgās grupas </w:t>
      </w:r>
      <w:proofErr w:type="spellStart"/>
      <w:r w:rsidR="00A55738" w:rsidRPr="00E70D57">
        <w:rPr>
          <w:rFonts w:ascii="Times New Roman" w:hAnsi="Times New Roman" w:cs="Times New Roman"/>
          <w:sz w:val="28"/>
          <w:szCs w:val="28"/>
        </w:rPr>
        <w:t>nereferences</w:t>
      </w:r>
      <w:proofErr w:type="spellEnd"/>
      <w:r w:rsidR="00A55738" w:rsidRPr="00E70D57">
        <w:rPr>
          <w:rFonts w:ascii="Times New Roman" w:hAnsi="Times New Roman" w:cs="Times New Roman"/>
          <w:sz w:val="28"/>
          <w:szCs w:val="28"/>
        </w:rPr>
        <w:t xml:space="preserve"> un references zāļu</w:t>
      </w:r>
      <w:r w:rsidR="00E61235" w:rsidRPr="00E70D57">
        <w:rPr>
          <w:rFonts w:ascii="Times New Roman" w:hAnsi="Times New Roman" w:cs="Times New Roman"/>
          <w:sz w:val="28"/>
          <w:szCs w:val="28"/>
        </w:rPr>
        <w:t xml:space="preserve"> vai medicīnisko ierīču</w:t>
      </w:r>
      <w:r w:rsidR="00A55738" w:rsidRPr="00E70D57">
        <w:rPr>
          <w:rFonts w:ascii="Times New Roman" w:hAnsi="Times New Roman" w:cs="Times New Roman"/>
          <w:sz w:val="28"/>
          <w:szCs w:val="28"/>
        </w:rPr>
        <w:t xml:space="preserve"> aptiekas cenu (ar pievienotās vērtības nodokli);</w:t>
      </w:r>
      <w:r w:rsidRPr="00E70D57">
        <w:rPr>
          <w:rFonts w:ascii="Times New Roman" w:hAnsi="Times New Roman" w:cs="Times New Roman"/>
          <w:sz w:val="28"/>
          <w:szCs w:val="28"/>
        </w:rPr>
        <w:t>”</w:t>
      </w:r>
    </w:p>
    <w:p w14:paraId="58A6A959" w14:textId="6027C911" w:rsidR="00A55738" w:rsidRPr="00E70D57" w:rsidRDefault="00AC4B11" w:rsidP="00836651">
      <w:pPr>
        <w:spacing w:after="120" w:line="240" w:lineRule="auto"/>
        <w:ind w:firstLine="720"/>
        <w:jc w:val="both"/>
        <w:rPr>
          <w:rFonts w:ascii="Times New Roman" w:hAnsi="Times New Roman" w:cs="Times New Roman"/>
          <w:sz w:val="28"/>
          <w:szCs w:val="28"/>
        </w:rPr>
      </w:pPr>
      <w:bookmarkStart w:id="2" w:name="_Hlk8370872"/>
      <w:r w:rsidRPr="00AC4B11">
        <w:rPr>
          <w:rFonts w:ascii="Times New Roman" w:hAnsi="Times New Roman" w:cs="Times New Roman"/>
          <w:sz w:val="28"/>
          <w:szCs w:val="28"/>
        </w:rPr>
        <w:t>3.</w:t>
      </w:r>
      <w:r w:rsidRPr="00234D7E">
        <w:rPr>
          <w:rFonts w:ascii="Times New Roman" w:hAnsi="Times New Roman" w:cs="Times New Roman"/>
          <w:sz w:val="28"/>
          <w:szCs w:val="28"/>
          <w:vertAlign w:val="superscript"/>
        </w:rPr>
        <w:t>1</w:t>
      </w:r>
      <w:r w:rsidRPr="00AC4B11">
        <w:rPr>
          <w:rFonts w:ascii="Times New Roman" w:hAnsi="Times New Roman" w:cs="Times New Roman"/>
          <w:sz w:val="28"/>
          <w:szCs w:val="28"/>
        </w:rPr>
        <w:t xml:space="preserve"> 2. </w:t>
      </w:r>
      <w:bookmarkEnd w:id="2"/>
      <w:r w:rsidRPr="00AC4B11">
        <w:rPr>
          <w:rFonts w:ascii="Times New Roman" w:hAnsi="Times New Roman" w:cs="Times New Roman"/>
          <w:sz w:val="28"/>
          <w:szCs w:val="28"/>
        </w:rPr>
        <w:t xml:space="preserve">izrakstīto zāļu </w:t>
      </w:r>
      <w:r>
        <w:rPr>
          <w:rFonts w:ascii="Times New Roman" w:hAnsi="Times New Roman" w:cs="Times New Roman"/>
          <w:sz w:val="28"/>
          <w:szCs w:val="28"/>
        </w:rPr>
        <w:t xml:space="preserve">vai </w:t>
      </w:r>
      <w:r w:rsidRPr="00AC4B11">
        <w:rPr>
          <w:rFonts w:ascii="Times New Roman" w:hAnsi="Times New Roman" w:cs="Times New Roman"/>
          <w:sz w:val="28"/>
          <w:szCs w:val="28"/>
        </w:rPr>
        <w:t>medicīnisko ierīču izmaksas pārsniedz šo noteikumu 100.punktā noteikto apmēru</w:t>
      </w:r>
      <w:r w:rsidR="00247A15">
        <w:rPr>
          <w:rFonts w:ascii="Times New Roman" w:hAnsi="Times New Roman" w:cs="Times New Roman"/>
          <w:sz w:val="28"/>
          <w:szCs w:val="28"/>
        </w:rPr>
        <w:t>.”</w:t>
      </w:r>
      <w:r w:rsidR="00836651" w:rsidRPr="00E70D57">
        <w:rPr>
          <w:rFonts w:ascii="Times New Roman" w:hAnsi="Times New Roman" w:cs="Times New Roman"/>
          <w:sz w:val="28"/>
          <w:szCs w:val="28"/>
        </w:rPr>
        <w:t>;</w:t>
      </w:r>
    </w:p>
    <w:p w14:paraId="22E09EAC" w14:textId="377FCF97" w:rsidR="004D43A3" w:rsidRPr="00E70D57" w:rsidRDefault="0004081A" w:rsidP="004D43A3">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1.2. i</w:t>
      </w:r>
      <w:r w:rsidR="004D43A3" w:rsidRPr="00E70D57">
        <w:rPr>
          <w:rFonts w:ascii="Times New Roman" w:hAnsi="Times New Roman" w:cs="Times New Roman"/>
          <w:sz w:val="28"/>
          <w:szCs w:val="28"/>
        </w:rPr>
        <w:t>zteikt 4.</w:t>
      </w:r>
      <w:r w:rsidR="004D43A3" w:rsidRPr="00E70D57">
        <w:rPr>
          <w:rFonts w:ascii="Times New Roman" w:hAnsi="Times New Roman" w:cs="Times New Roman"/>
          <w:sz w:val="28"/>
          <w:szCs w:val="28"/>
          <w:vertAlign w:val="superscript"/>
        </w:rPr>
        <w:t>1</w:t>
      </w:r>
      <w:r w:rsidR="004D43A3" w:rsidRPr="00E70D57">
        <w:rPr>
          <w:rFonts w:ascii="Times New Roman" w:hAnsi="Times New Roman" w:cs="Times New Roman"/>
          <w:sz w:val="28"/>
          <w:szCs w:val="28"/>
        </w:rPr>
        <w:t> punktu šādā redakcijā:</w:t>
      </w:r>
    </w:p>
    <w:p w14:paraId="7E764EE4" w14:textId="622CE6C7" w:rsidR="00247A15" w:rsidRDefault="004D43A3" w:rsidP="004D43A3">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00A55738" w:rsidRPr="00E70D57">
        <w:rPr>
          <w:rFonts w:ascii="Times New Roman" w:hAnsi="Times New Roman" w:cs="Times New Roman"/>
          <w:sz w:val="28"/>
          <w:szCs w:val="28"/>
        </w:rPr>
        <w:t>4.</w:t>
      </w:r>
      <w:r w:rsidR="00AD3103" w:rsidRPr="00E70D57">
        <w:rPr>
          <w:rFonts w:ascii="Times New Roman" w:hAnsi="Times New Roman" w:cs="Times New Roman"/>
          <w:sz w:val="28"/>
          <w:szCs w:val="28"/>
          <w:vertAlign w:val="superscript"/>
        </w:rPr>
        <w:t>1</w:t>
      </w:r>
      <w:r w:rsidRPr="00E70D57">
        <w:rPr>
          <w:rFonts w:ascii="Times New Roman" w:hAnsi="Times New Roman" w:cs="Times New Roman"/>
          <w:sz w:val="28"/>
          <w:szCs w:val="28"/>
        </w:rPr>
        <w:t> </w:t>
      </w:r>
      <w:r w:rsidR="00A55738" w:rsidRPr="00E70D57">
        <w:rPr>
          <w:rFonts w:ascii="Times New Roman" w:hAnsi="Times New Roman" w:cs="Times New Roman"/>
          <w:sz w:val="28"/>
          <w:szCs w:val="28"/>
        </w:rPr>
        <w:t>Pacients, iegādājoties kompensējamo zāļu sarakstā iekļautās zāles vai medicīniskās ierīces I kompensācijas kategorijas ietvaros, aptiekā maksā</w:t>
      </w:r>
      <w:r w:rsidR="00EB0B9A" w:rsidRPr="00E70D57">
        <w:rPr>
          <w:rFonts w:ascii="Times New Roman" w:hAnsi="Times New Roman" w:cs="Times New Roman"/>
          <w:sz w:val="28"/>
          <w:szCs w:val="28"/>
        </w:rPr>
        <w:t xml:space="preserve"> </w:t>
      </w:r>
      <w:r w:rsidRPr="00E70D57">
        <w:rPr>
          <w:rFonts w:ascii="Times New Roman" w:hAnsi="Times New Roman" w:cs="Times New Roman"/>
          <w:sz w:val="28"/>
          <w:szCs w:val="28"/>
        </w:rPr>
        <w:t xml:space="preserve">līdzmaksājumu – </w:t>
      </w:r>
      <w:r w:rsidR="00A55738" w:rsidRPr="00E70D57">
        <w:rPr>
          <w:rFonts w:ascii="Times New Roman" w:hAnsi="Times New Roman" w:cs="Times New Roman"/>
          <w:sz w:val="28"/>
          <w:szCs w:val="28"/>
        </w:rPr>
        <w:t xml:space="preserve">0,71 </w:t>
      </w:r>
      <w:proofErr w:type="spellStart"/>
      <w:r w:rsidR="00A55738" w:rsidRPr="00E70D57">
        <w:rPr>
          <w:rFonts w:ascii="Times New Roman" w:hAnsi="Times New Roman" w:cs="Times New Roman"/>
          <w:i/>
          <w:sz w:val="28"/>
          <w:szCs w:val="28"/>
        </w:rPr>
        <w:t>euro</w:t>
      </w:r>
      <w:proofErr w:type="spellEnd"/>
      <w:r w:rsidR="00A55738" w:rsidRPr="00E70D57">
        <w:rPr>
          <w:rFonts w:ascii="Times New Roman" w:hAnsi="Times New Roman" w:cs="Times New Roman"/>
          <w:sz w:val="28"/>
          <w:szCs w:val="28"/>
        </w:rPr>
        <w:t xml:space="preserve"> par katru recepti. Nacionālais veselības dienests, veicot norēķinus ar aptieku, samazina atmaksājamo summu par pacienta veiktā </w:t>
      </w:r>
      <w:r w:rsidRPr="00E70D57">
        <w:rPr>
          <w:rFonts w:ascii="Times New Roman" w:hAnsi="Times New Roman" w:cs="Times New Roman"/>
          <w:sz w:val="28"/>
          <w:szCs w:val="28"/>
        </w:rPr>
        <w:t>līdz</w:t>
      </w:r>
      <w:r w:rsidR="00A55738" w:rsidRPr="00E70D57">
        <w:rPr>
          <w:rFonts w:ascii="Times New Roman" w:hAnsi="Times New Roman" w:cs="Times New Roman"/>
          <w:sz w:val="28"/>
          <w:szCs w:val="28"/>
        </w:rPr>
        <w:t>maksājuma apmēru.</w:t>
      </w:r>
      <w:r w:rsidR="00247A15">
        <w:rPr>
          <w:rFonts w:ascii="Times New Roman" w:hAnsi="Times New Roman" w:cs="Times New Roman"/>
          <w:sz w:val="28"/>
          <w:szCs w:val="28"/>
        </w:rPr>
        <w:t>”;</w:t>
      </w:r>
    </w:p>
    <w:p w14:paraId="011EAC73" w14:textId="72889452" w:rsidR="004D43A3" w:rsidRPr="00E70D57" w:rsidRDefault="00247A15" w:rsidP="004D43A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1.3. izteikt 4.</w:t>
      </w:r>
      <w:r>
        <w:rPr>
          <w:rFonts w:ascii="Times New Roman" w:hAnsi="Times New Roman" w:cs="Times New Roman"/>
          <w:sz w:val="28"/>
          <w:szCs w:val="28"/>
          <w:vertAlign w:val="superscript"/>
        </w:rPr>
        <w:t xml:space="preserve">2 </w:t>
      </w:r>
      <w:r>
        <w:rPr>
          <w:rFonts w:ascii="Times New Roman" w:hAnsi="Times New Roman" w:cs="Times New Roman"/>
          <w:sz w:val="28"/>
          <w:szCs w:val="28"/>
        </w:rPr>
        <w:t>punkta ievaddaļu šādā redakcijā:</w:t>
      </w:r>
      <w:r w:rsidR="00A55738" w:rsidRPr="00E70D57">
        <w:rPr>
          <w:rFonts w:ascii="Times New Roman" w:hAnsi="Times New Roman" w:cs="Times New Roman"/>
          <w:sz w:val="28"/>
          <w:szCs w:val="28"/>
        </w:rPr>
        <w:t xml:space="preserve"> </w:t>
      </w:r>
    </w:p>
    <w:p w14:paraId="073CE5BA" w14:textId="3A261629" w:rsidR="00A55738" w:rsidRPr="00E70D57" w:rsidRDefault="00247A15" w:rsidP="004D43A3">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55738" w:rsidRPr="00E70D57">
        <w:rPr>
          <w:rFonts w:ascii="Times New Roman" w:hAnsi="Times New Roman" w:cs="Times New Roman"/>
          <w:sz w:val="28"/>
          <w:szCs w:val="28"/>
        </w:rPr>
        <w:t>4.</w:t>
      </w:r>
      <w:r w:rsidR="00AD3103" w:rsidRPr="00E70D57">
        <w:rPr>
          <w:rFonts w:ascii="Times New Roman" w:hAnsi="Times New Roman" w:cs="Times New Roman"/>
          <w:sz w:val="28"/>
          <w:szCs w:val="28"/>
          <w:vertAlign w:val="superscript"/>
        </w:rPr>
        <w:t>2</w:t>
      </w:r>
      <w:r w:rsidR="004D43A3" w:rsidRPr="00E70D57">
        <w:rPr>
          <w:rFonts w:ascii="Times New Roman" w:hAnsi="Times New Roman" w:cs="Times New Roman"/>
          <w:sz w:val="28"/>
          <w:szCs w:val="28"/>
        </w:rPr>
        <w:t> </w:t>
      </w:r>
      <w:r w:rsidR="00A55738" w:rsidRPr="00E70D57">
        <w:rPr>
          <w:rFonts w:ascii="Times New Roman" w:hAnsi="Times New Roman" w:cs="Times New Roman"/>
          <w:sz w:val="28"/>
          <w:szCs w:val="28"/>
        </w:rPr>
        <w:t xml:space="preserve">Šo noteikumu </w:t>
      </w:r>
      <w:r w:rsidR="00AD3103" w:rsidRPr="00E70D57">
        <w:rPr>
          <w:rFonts w:ascii="Times New Roman" w:hAnsi="Times New Roman" w:cs="Times New Roman"/>
          <w:sz w:val="28"/>
          <w:szCs w:val="28"/>
        </w:rPr>
        <w:t>4.</w:t>
      </w:r>
      <w:r w:rsidR="00AD3103" w:rsidRPr="00E70D57">
        <w:rPr>
          <w:rFonts w:ascii="Times New Roman" w:hAnsi="Times New Roman" w:cs="Times New Roman"/>
          <w:sz w:val="28"/>
          <w:szCs w:val="28"/>
          <w:vertAlign w:val="superscript"/>
        </w:rPr>
        <w:t>1</w:t>
      </w:r>
      <w:r w:rsidR="00AD3103" w:rsidRPr="00E70D57">
        <w:rPr>
          <w:rFonts w:ascii="Times New Roman" w:hAnsi="Times New Roman" w:cs="Times New Roman"/>
          <w:sz w:val="28"/>
          <w:szCs w:val="28"/>
        </w:rPr>
        <w:t xml:space="preserve"> </w:t>
      </w:r>
      <w:r w:rsidR="00A55738" w:rsidRPr="00E70D57">
        <w:rPr>
          <w:rFonts w:ascii="Times New Roman" w:hAnsi="Times New Roman" w:cs="Times New Roman"/>
          <w:sz w:val="28"/>
          <w:szCs w:val="28"/>
        </w:rPr>
        <w:t xml:space="preserve">punktā minēto pacienta </w:t>
      </w:r>
      <w:r w:rsidR="00EB0B9A" w:rsidRPr="00E70D57">
        <w:rPr>
          <w:rFonts w:ascii="Times New Roman" w:hAnsi="Times New Roman" w:cs="Times New Roman"/>
          <w:sz w:val="28"/>
          <w:szCs w:val="28"/>
        </w:rPr>
        <w:t>līdz</w:t>
      </w:r>
      <w:r w:rsidR="00A55738" w:rsidRPr="00E70D57">
        <w:rPr>
          <w:rFonts w:ascii="Times New Roman" w:hAnsi="Times New Roman" w:cs="Times New Roman"/>
          <w:sz w:val="28"/>
          <w:szCs w:val="28"/>
        </w:rPr>
        <w:t>maksājumu nepiemēro:</w:t>
      </w:r>
      <w:r w:rsidR="004D43A3" w:rsidRPr="00E70D57">
        <w:rPr>
          <w:rFonts w:ascii="Times New Roman" w:hAnsi="Times New Roman" w:cs="Times New Roman"/>
          <w:sz w:val="28"/>
          <w:szCs w:val="28"/>
        </w:rPr>
        <w:t>”;</w:t>
      </w:r>
    </w:p>
    <w:p w14:paraId="17AA80FA" w14:textId="3D4BB4F7" w:rsidR="00B57EA1" w:rsidRPr="00E70D57" w:rsidRDefault="0004081A" w:rsidP="0016151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Pr>
          <w:rFonts w:ascii="Times New Roman" w:hAnsi="Times New Roman" w:cs="Times New Roman"/>
          <w:sz w:val="28"/>
          <w:szCs w:val="28"/>
        </w:rPr>
        <w:t>4</w:t>
      </w:r>
      <w:r w:rsidRPr="00E70D57">
        <w:rPr>
          <w:rFonts w:ascii="Times New Roman" w:hAnsi="Times New Roman" w:cs="Times New Roman"/>
          <w:sz w:val="28"/>
          <w:szCs w:val="28"/>
        </w:rPr>
        <w:t>. p</w:t>
      </w:r>
      <w:r w:rsidR="00B57EA1" w:rsidRPr="00E70D57">
        <w:rPr>
          <w:rFonts w:ascii="Times New Roman" w:hAnsi="Times New Roman" w:cs="Times New Roman"/>
          <w:sz w:val="28"/>
          <w:szCs w:val="28"/>
        </w:rPr>
        <w:t>apildināt noteikumus ar II.</w:t>
      </w:r>
      <w:r w:rsidR="00B57EA1" w:rsidRPr="00E70D57">
        <w:rPr>
          <w:rFonts w:ascii="Times New Roman" w:hAnsi="Times New Roman" w:cs="Times New Roman"/>
          <w:sz w:val="28"/>
          <w:szCs w:val="28"/>
          <w:vertAlign w:val="superscript"/>
        </w:rPr>
        <w:t>1</w:t>
      </w:r>
      <w:r w:rsidR="00B57EA1" w:rsidRPr="00E70D57">
        <w:rPr>
          <w:rFonts w:ascii="Times New Roman" w:hAnsi="Times New Roman" w:cs="Times New Roman"/>
          <w:sz w:val="28"/>
          <w:szCs w:val="28"/>
        </w:rPr>
        <w:t> nodaļu šādā redakcijā:</w:t>
      </w:r>
    </w:p>
    <w:p w14:paraId="434BB579" w14:textId="6584B646" w:rsidR="00B57EA1" w:rsidRPr="00E70D57" w:rsidRDefault="00B57EA1" w:rsidP="00234D7E">
      <w:pPr>
        <w:spacing w:after="120" w:line="240" w:lineRule="auto"/>
        <w:ind w:firstLine="720"/>
        <w:jc w:val="center"/>
        <w:rPr>
          <w:rFonts w:ascii="Times New Roman" w:hAnsi="Times New Roman" w:cs="Times New Roman"/>
          <w:sz w:val="28"/>
          <w:szCs w:val="28"/>
        </w:rPr>
      </w:pPr>
      <w:r w:rsidRPr="00E70D57">
        <w:rPr>
          <w:rFonts w:ascii="Times New Roman" w:hAnsi="Times New Roman" w:cs="Times New Roman"/>
          <w:sz w:val="28"/>
          <w:szCs w:val="28"/>
        </w:rPr>
        <w:t>“</w:t>
      </w:r>
      <w:r w:rsidR="009C0EAD">
        <w:rPr>
          <w:rFonts w:ascii="Times New Roman" w:hAnsi="Times New Roman" w:cs="Times New Roman"/>
          <w:sz w:val="28"/>
          <w:szCs w:val="28"/>
        </w:rPr>
        <w:t xml:space="preserve"> </w:t>
      </w:r>
      <w:r w:rsidRPr="00234D7E">
        <w:rPr>
          <w:rFonts w:ascii="Times New Roman" w:hAnsi="Times New Roman" w:cs="Times New Roman"/>
          <w:b/>
          <w:sz w:val="28"/>
          <w:szCs w:val="28"/>
        </w:rPr>
        <w:t>II.</w:t>
      </w:r>
      <w:r w:rsidRPr="00234D7E">
        <w:rPr>
          <w:rFonts w:ascii="Times New Roman" w:hAnsi="Times New Roman" w:cs="Times New Roman"/>
          <w:b/>
          <w:sz w:val="28"/>
          <w:szCs w:val="28"/>
          <w:vertAlign w:val="superscript"/>
        </w:rPr>
        <w:t>1</w:t>
      </w:r>
      <w:r w:rsidRPr="00234D7E">
        <w:rPr>
          <w:rFonts w:ascii="Times New Roman" w:hAnsi="Times New Roman" w:cs="Times New Roman"/>
          <w:b/>
          <w:sz w:val="28"/>
          <w:szCs w:val="28"/>
        </w:rPr>
        <w:t> Zāļu valsts aģentūras atzinuma saņemšana</w:t>
      </w:r>
    </w:p>
    <w:p w14:paraId="5C1C7CA7" w14:textId="46BCA95C" w:rsidR="00F16F06" w:rsidRDefault="00B57EA1" w:rsidP="007D306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Pr="00E70D57">
        <w:rPr>
          <w:rFonts w:ascii="Times New Roman" w:hAnsi="Times New Roman" w:cs="Times New Roman"/>
          <w:sz w:val="28"/>
          <w:szCs w:val="28"/>
          <w:vertAlign w:val="superscript"/>
        </w:rPr>
        <w:t>2</w:t>
      </w:r>
      <w:r w:rsidR="007D306B" w:rsidRPr="00E70D57">
        <w:rPr>
          <w:rFonts w:ascii="Times New Roman" w:hAnsi="Times New Roman" w:cs="Times New Roman"/>
          <w:sz w:val="28"/>
          <w:szCs w:val="28"/>
        </w:rPr>
        <w:t> </w:t>
      </w:r>
      <w:r w:rsidR="00532141" w:rsidRPr="00706727">
        <w:rPr>
          <w:rFonts w:ascii="Times New Roman" w:hAnsi="Times New Roman" w:cs="Times New Roman"/>
          <w:sz w:val="28"/>
          <w:szCs w:val="28"/>
        </w:rPr>
        <w:t xml:space="preserve">Zāļu valsts aģentūra sniedz </w:t>
      </w:r>
      <w:r w:rsidR="00532141" w:rsidRPr="00684161">
        <w:rPr>
          <w:rFonts w:ascii="Times New Roman" w:hAnsi="Times New Roman" w:cs="Times New Roman"/>
          <w:sz w:val="28"/>
          <w:szCs w:val="28"/>
        </w:rPr>
        <w:t>atzinum</w:t>
      </w:r>
      <w:r w:rsidR="00F16F06">
        <w:rPr>
          <w:rFonts w:ascii="Times New Roman" w:hAnsi="Times New Roman" w:cs="Times New Roman"/>
          <w:sz w:val="28"/>
          <w:szCs w:val="28"/>
        </w:rPr>
        <w:t>u</w:t>
      </w:r>
      <w:r w:rsidR="00532141" w:rsidRPr="00684161">
        <w:rPr>
          <w:rFonts w:ascii="Times New Roman" w:hAnsi="Times New Roman" w:cs="Times New Roman"/>
          <w:sz w:val="28"/>
          <w:szCs w:val="28"/>
        </w:rPr>
        <w:t xml:space="preserve"> par</w:t>
      </w:r>
      <w:r w:rsidR="00F16F06">
        <w:rPr>
          <w:rFonts w:ascii="Times New Roman" w:hAnsi="Times New Roman" w:cs="Times New Roman"/>
          <w:sz w:val="28"/>
          <w:szCs w:val="28"/>
        </w:rPr>
        <w:t>:</w:t>
      </w:r>
    </w:p>
    <w:p w14:paraId="48391498" w14:textId="0D63BEC6" w:rsidR="00F16F06" w:rsidRDefault="00F16F06"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2</w:t>
      </w:r>
      <w:r>
        <w:rPr>
          <w:rFonts w:ascii="Times New Roman" w:hAnsi="Times New Roman" w:cs="Times New Roman"/>
          <w:sz w:val="28"/>
          <w:szCs w:val="28"/>
        </w:rPr>
        <w:t xml:space="preserve"> 1.</w:t>
      </w:r>
      <w:r w:rsidR="00532141" w:rsidRPr="00684161">
        <w:rPr>
          <w:rFonts w:ascii="Times New Roman" w:hAnsi="Times New Roman" w:cs="Times New Roman"/>
          <w:sz w:val="28"/>
          <w:szCs w:val="28"/>
        </w:rPr>
        <w:t xml:space="preserve"> </w:t>
      </w:r>
      <w:r w:rsidR="001658E9" w:rsidRPr="001658E9">
        <w:rPr>
          <w:rFonts w:ascii="Times New Roman" w:hAnsi="Times New Roman" w:cs="Times New Roman"/>
          <w:sz w:val="28"/>
          <w:szCs w:val="28"/>
        </w:rPr>
        <w:t>terapeitisko un</w:t>
      </w:r>
      <w:r w:rsidRPr="001658E9">
        <w:rPr>
          <w:rFonts w:ascii="Times New Roman" w:hAnsi="Times New Roman" w:cs="Times New Roman"/>
          <w:sz w:val="28"/>
          <w:szCs w:val="28"/>
        </w:rPr>
        <w:t xml:space="preserve"> izmaksu</w:t>
      </w:r>
      <w:r w:rsidRPr="00684161">
        <w:rPr>
          <w:rFonts w:ascii="Times New Roman" w:hAnsi="Times New Roman" w:cs="Times New Roman"/>
          <w:sz w:val="28"/>
          <w:szCs w:val="28"/>
        </w:rPr>
        <w:t xml:space="preserve"> efektivitāti</w:t>
      </w:r>
      <w:r>
        <w:rPr>
          <w:rFonts w:ascii="Times New Roman" w:hAnsi="Times New Roman" w:cs="Times New Roman"/>
          <w:sz w:val="28"/>
          <w:szCs w:val="28"/>
        </w:rPr>
        <w:t xml:space="preserve"> zālēm ar jaunu zāļu vispārīgo nosaukumu vai jaunu zāļu vispārīgo nosaukumu kombināciju; ;</w:t>
      </w:r>
    </w:p>
    <w:p w14:paraId="082A531B" w14:textId="78241163" w:rsidR="00F16F06" w:rsidRDefault="00F16F06"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2. </w:t>
      </w:r>
      <w:r w:rsidR="001658E9" w:rsidRPr="001658E9">
        <w:rPr>
          <w:rFonts w:ascii="Times New Roman" w:hAnsi="Times New Roman" w:cs="Times New Roman"/>
          <w:sz w:val="28"/>
          <w:szCs w:val="28"/>
        </w:rPr>
        <w:t xml:space="preserve">terapeitisko un </w:t>
      </w:r>
      <w:r>
        <w:rPr>
          <w:rFonts w:ascii="Times New Roman" w:hAnsi="Times New Roman" w:cs="Times New Roman"/>
          <w:sz w:val="28"/>
          <w:szCs w:val="28"/>
        </w:rPr>
        <w:t xml:space="preserve">izmaksu efektivitāti </w:t>
      </w:r>
      <w:r w:rsidR="00B830C0">
        <w:rPr>
          <w:rFonts w:ascii="Times New Roman" w:hAnsi="Times New Roman" w:cs="Times New Roman"/>
          <w:sz w:val="28"/>
          <w:szCs w:val="28"/>
        </w:rPr>
        <w:t>kompensācijas nosacījumu pārskatīšanai zāļu vispārīgajam nosaukumam;</w:t>
      </w:r>
    </w:p>
    <w:p w14:paraId="39C36AC5" w14:textId="1FF5DFF1" w:rsidR="00B830C0" w:rsidRPr="00B830C0" w:rsidRDefault="00B830C0"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2</w:t>
      </w:r>
      <w:r>
        <w:rPr>
          <w:rFonts w:ascii="Times New Roman" w:hAnsi="Times New Roman" w:cs="Times New Roman"/>
          <w:sz w:val="28"/>
          <w:szCs w:val="28"/>
        </w:rPr>
        <w:t>3. izmaksu efektivitāti</w:t>
      </w:r>
      <w:r w:rsidR="00924242">
        <w:rPr>
          <w:rFonts w:ascii="Times New Roman" w:hAnsi="Times New Roman" w:cs="Times New Roman"/>
          <w:sz w:val="28"/>
          <w:szCs w:val="28"/>
        </w:rPr>
        <w:t xml:space="preserve"> šo noteikumu 2.pielikumā neiekļautai</w:t>
      </w:r>
      <w:r>
        <w:rPr>
          <w:rFonts w:ascii="Times New Roman" w:hAnsi="Times New Roman" w:cs="Times New Roman"/>
          <w:sz w:val="28"/>
          <w:szCs w:val="28"/>
        </w:rPr>
        <w:t xml:space="preserve"> medicīniskai ierīcei un medicīniskās ierīces kompensācijas nosacījumu pārskatīšanai</w:t>
      </w:r>
      <w:r w:rsidR="00924242">
        <w:rPr>
          <w:rFonts w:ascii="Times New Roman" w:hAnsi="Times New Roman" w:cs="Times New Roman"/>
          <w:sz w:val="28"/>
          <w:szCs w:val="28"/>
        </w:rPr>
        <w:t>.</w:t>
      </w:r>
    </w:p>
    <w:p w14:paraId="46CE729A" w14:textId="251745CF" w:rsidR="006767A4" w:rsidRDefault="00F16F06"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B830C0">
        <w:rPr>
          <w:rFonts w:ascii="Times New Roman" w:hAnsi="Times New Roman" w:cs="Times New Roman"/>
          <w:sz w:val="28"/>
          <w:szCs w:val="28"/>
          <w:vertAlign w:val="superscript"/>
        </w:rPr>
        <w:t>3</w:t>
      </w:r>
      <w:r w:rsidR="00532141" w:rsidRPr="00684161">
        <w:rPr>
          <w:rFonts w:ascii="Times New Roman" w:hAnsi="Times New Roman" w:cs="Times New Roman"/>
          <w:sz w:val="28"/>
          <w:szCs w:val="28"/>
        </w:rPr>
        <w:t xml:space="preserve"> </w:t>
      </w:r>
      <w:r w:rsidR="00FB54E3" w:rsidRPr="00FB54E3">
        <w:rPr>
          <w:rFonts w:ascii="Times New Roman" w:hAnsi="Times New Roman" w:cs="Times New Roman"/>
          <w:sz w:val="28"/>
          <w:szCs w:val="28"/>
        </w:rPr>
        <w:t xml:space="preserve"> </w:t>
      </w:r>
      <w:r w:rsidR="006767A4">
        <w:rPr>
          <w:rFonts w:ascii="Times New Roman" w:hAnsi="Times New Roman" w:cs="Times New Roman"/>
          <w:sz w:val="28"/>
          <w:szCs w:val="28"/>
        </w:rPr>
        <w:t>Z</w:t>
      </w:r>
      <w:r w:rsidR="00FB54E3" w:rsidRPr="00FB54E3">
        <w:rPr>
          <w:rFonts w:ascii="Times New Roman" w:hAnsi="Times New Roman" w:cs="Times New Roman"/>
          <w:sz w:val="28"/>
          <w:szCs w:val="28"/>
        </w:rPr>
        <w:t>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w:t>
      </w:r>
      <w:r w:rsidR="006767A4">
        <w:rPr>
          <w:rFonts w:ascii="Times New Roman" w:hAnsi="Times New Roman" w:cs="Times New Roman"/>
          <w:sz w:val="28"/>
          <w:szCs w:val="28"/>
          <w:shd w:val="clear" w:color="auto" w:fill="FFFFFF"/>
        </w:rPr>
        <w:t>, kas vēlas saņemt</w:t>
      </w:r>
      <w:r w:rsidR="00B57EA1" w:rsidRPr="00234D7E">
        <w:rPr>
          <w:rFonts w:ascii="Times New Roman" w:hAnsi="Times New Roman" w:cs="Times New Roman"/>
          <w:sz w:val="28"/>
          <w:szCs w:val="28"/>
        </w:rPr>
        <w:t xml:space="preserve"> </w:t>
      </w:r>
      <w:r w:rsidR="00532141" w:rsidRPr="005633A6">
        <w:rPr>
          <w:rFonts w:ascii="Times New Roman" w:hAnsi="Times New Roman" w:cs="Times New Roman"/>
          <w:sz w:val="28"/>
          <w:szCs w:val="28"/>
        </w:rPr>
        <w:t xml:space="preserve"> atzinumu</w:t>
      </w:r>
      <w:r w:rsidR="006767A4">
        <w:rPr>
          <w:rFonts w:ascii="Times New Roman" w:hAnsi="Times New Roman" w:cs="Times New Roman"/>
          <w:sz w:val="28"/>
          <w:szCs w:val="28"/>
        </w:rPr>
        <w:t xml:space="preserve">: </w:t>
      </w:r>
    </w:p>
    <w:p w14:paraId="7B1FF4F8" w14:textId="070721CF" w:rsidR="00B57EA1" w:rsidRDefault="006767A4"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vertAlign w:val="superscript"/>
        </w:rPr>
        <w:t>3</w:t>
      </w:r>
      <w:r>
        <w:rPr>
          <w:rFonts w:ascii="Times New Roman" w:hAnsi="Times New Roman" w:cs="Times New Roman"/>
          <w:sz w:val="28"/>
          <w:szCs w:val="28"/>
        </w:rPr>
        <w:t xml:space="preserve"> 1</w:t>
      </w:r>
      <w:r w:rsidR="00B57EA1" w:rsidRPr="00234D7E">
        <w:rPr>
          <w:rFonts w:ascii="Times New Roman" w:hAnsi="Times New Roman" w:cs="Times New Roman"/>
          <w:sz w:val="28"/>
          <w:szCs w:val="28"/>
        </w:rPr>
        <w:t xml:space="preserve"> </w:t>
      </w:r>
      <w:r>
        <w:rPr>
          <w:rFonts w:ascii="Times New Roman" w:hAnsi="Times New Roman" w:cs="Times New Roman"/>
          <w:sz w:val="28"/>
          <w:szCs w:val="28"/>
        </w:rPr>
        <w:t xml:space="preserve">iesniedz Zāļu valsts aģentūrā </w:t>
      </w:r>
      <w:r w:rsidR="00B57EA1" w:rsidRPr="00234D7E">
        <w:rPr>
          <w:rFonts w:ascii="Times New Roman" w:hAnsi="Times New Roman" w:cs="Times New Roman"/>
          <w:sz w:val="28"/>
          <w:szCs w:val="28"/>
        </w:rPr>
        <w:t>iesniegumu</w:t>
      </w:r>
      <w:r>
        <w:rPr>
          <w:rFonts w:ascii="Times New Roman" w:hAnsi="Times New Roman" w:cs="Times New Roman"/>
          <w:sz w:val="28"/>
          <w:szCs w:val="28"/>
        </w:rPr>
        <w:t xml:space="preserve">, kurā norāda šādu informāciju: </w:t>
      </w:r>
      <w:r w:rsidR="00B57EA1" w:rsidRPr="00234D7E">
        <w:rPr>
          <w:rFonts w:ascii="Times New Roman" w:hAnsi="Times New Roman" w:cs="Times New Roman"/>
          <w:sz w:val="28"/>
          <w:szCs w:val="28"/>
        </w:rPr>
        <w:t>I</w:t>
      </w:r>
    </w:p>
    <w:p w14:paraId="5E048B72" w14:textId="0C9BDF25" w:rsidR="00FE6498" w:rsidRPr="00234D7E" w:rsidRDefault="006C1C8B" w:rsidP="0068416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70D57">
        <w:rPr>
          <w:rFonts w:ascii="Times New Roman" w:hAnsi="Times New Roman" w:cs="Times New Roman"/>
          <w:sz w:val="28"/>
          <w:szCs w:val="28"/>
        </w:rPr>
        <w:t>10.</w:t>
      </w:r>
      <w:r w:rsidR="00B830C0">
        <w:rPr>
          <w:rFonts w:ascii="Times New Roman" w:hAnsi="Times New Roman" w:cs="Times New Roman"/>
          <w:sz w:val="28"/>
          <w:szCs w:val="28"/>
          <w:vertAlign w:val="superscript"/>
        </w:rPr>
        <w:t>3</w:t>
      </w:r>
      <w:r w:rsidRPr="00E70D57">
        <w:rPr>
          <w:rFonts w:ascii="Times New Roman" w:hAnsi="Times New Roman" w:cs="Times New Roman"/>
          <w:sz w:val="28"/>
          <w:szCs w:val="28"/>
          <w:vertAlign w:val="superscript"/>
        </w:rPr>
        <w:t> </w:t>
      </w:r>
      <w:r w:rsidRPr="00E70D57">
        <w:rPr>
          <w:rFonts w:ascii="Times New Roman" w:hAnsi="Times New Roman" w:cs="Times New Roman"/>
          <w:sz w:val="28"/>
          <w:szCs w:val="28"/>
        </w:rPr>
        <w:t>1.</w:t>
      </w:r>
      <w:r w:rsidR="006767A4">
        <w:rPr>
          <w:rFonts w:ascii="Times New Roman" w:hAnsi="Times New Roman" w:cs="Times New Roman"/>
          <w:sz w:val="28"/>
          <w:szCs w:val="28"/>
        </w:rPr>
        <w:t>1.</w:t>
      </w:r>
      <w:r w:rsidRPr="00E70D57">
        <w:rPr>
          <w:rFonts w:ascii="Times New Roman" w:hAnsi="Times New Roman" w:cs="Times New Roman"/>
          <w:sz w:val="28"/>
          <w:szCs w:val="28"/>
        </w:rPr>
        <w:t xml:space="preserve"> </w:t>
      </w:r>
      <w:r w:rsidR="00FE6498">
        <w:rPr>
          <w:rFonts w:ascii="Times New Roman" w:hAnsi="Times New Roman" w:cs="Times New Roman"/>
          <w:sz w:val="28"/>
          <w:szCs w:val="28"/>
        </w:rPr>
        <w:t xml:space="preserve">informāciju par iesniedzēju </w:t>
      </w:r>
      <w:r w:rsidR="00FE6498" w:rsidRPr="00684161">
        <w:rPr>
          <w:rFonts w:ascii="Times New Roman" w:hAnsi="Times New Roman" w:cs="Times New Roman"/>
          <w:sz w:val="28"/>
          <w:szCs w:val="28"/>
        </w:rPr>
        <w:t>(juridiskās personas nosaukums, reģistrācijas numurs, juridiskā adrese) un</w:t>
      </w:r>
      <w:r w:rsidR="00FE6498">
        <w:rPr>
          <w:rFonts w:ascii="Times New Roman" w:hAnsi="Times New Roman" w:cs="Times New Roman"/>
          <w:sz w:val="28"/>
          <w:szCs w:val="28"/>
        </w:rPr>
        <w:t xml:space="preserve"> </w:t>
      </w:r>
      <w:r w:rsidR="00FE6498" w:rsidRPr="00684161">
        <w:rPr>
          <w:rFonts w:ascii="Times New Roman" w:hAnsi="Times New Roman" w:cs="Times New Roman"/>
          <w:sz w:val="28"/>
          <w:szCs w:val="28"/>
        </w:rPr>
        <w:t>maksātāju (norēķinu rekvizīti)</w:t>
      </w:r>
      <w:r w:rsidR="00753608">
        <w:rPr>
          <w:rFonts w:ascii="Times New Roman" w:hAnsi="Times New Roman" w:cs="Times New Roman"/>
          <w:sz w:val="28"/>
          <w:szCs w:val="28"/>
        </w:rPr>
        <w:t>;</w:t>
      </w:r>
    </w:p>
    <w:p w14:paraId="1405D7E4" w14:textId="55FC9DC4" w:rsidR="00B57EA1" w:rsidRPr="00E70D57" w:rsidRDefault="007D306B" w:rsidP="00B57EA1">
      <w:pPr>
        <w:spacing w:after="120" w:line="240" w:lineRule="auto"/>
        <w:ind w:firstLine="720"/>
        <w:jc w:val="both"/>
        <w:rPr>
          <w:rFonts w:ascii="Times New Roman" w:hAnsi="Times New Roman" w:cs="Times New Roman"/>
          <w:sz w:val="28"/>
          <w:szCs w:val="28"/>
        </w:rPr>
      </w:pPr>
      <w:bookmarkStart w:id="3" w:name="_Hlk8913261"/>
      <w:r w:rsidRPr="00E70D57">
        <w:rPr>
          <w:rFonts w:ascii="Times New Roman" w:hAnsi="Times New Roman" w:cs="Times New Roman"/>
          <w:sz w:val="28"/>
          <w:szCs w:val="28"/>
        </w:rPr>
        <w:t>10.</w:t>
      </w:r>
      <w:r w:rsidR="00B830C0">
        <w:rPr>
          <w:rFonts w:ascii="Times New Roman" w:hAnsi="Times New Roman" w:cs="Times New Roman"/>
          <w:sz w:val="28"/>
          <w:szCs w:val="28"/>
          <w:vertAlign w:val="superscript"/>
        </w:rPr>
        <w:t>3</w:t>
      </w:r>
      <w:r w:rsidRPr="00E70D57">
        <w:rPr>
          <w:rFonts w:ascii="Times New Roman" w:hAnsi="Times New Roman" w:cs="Times New Roman"/>
          <w:sz w:val="28"/>
          <w:szCs w:val="28"/>
          <w:vertAlign w:val="superscript"/>
        </w:rPr>
        <w:t> </w:t>
      </w:r>
      <w:r w:rsidR="006767A4">
        <w:rPr>
          <w:rFonts w:ascii="Times New Roman" w:hAnsi="Times New Roman" w:cs="Times New Roman"/>
          <w:sz w:val="28"/>
          <w:szCs w:val="28"/>
        </w:rPr>
        <w:t>1.</w:t>
      </w:r>
      <w:r w:rsidR="00030EE8">
        <w:rPr>
          <w:rFonts w:ascii="Times New Roman" w:hAnsi="Times New Roman" w:cs="Times New Roman"/>
          <w:sz w:val="28"/>
          <w:szCs w:val="28"/>
        </w:rPr>
        <w:t>2</w:t>
      </w:r>
      <w:r w:rsidR="00B57EA1" w:rsidRPr="00E70D57">
        <w:rPr>
          <w:rFonts w:ascii="Times New Roman" w:hAnsi="Times New Roman" w:cs="Times New Roman"/>
          <w:sz w:val="28"/>
          <w:szCs w:val="28"/>
        </w:rPr>
        <w:t xml:space="preserve">. </w:t>
      </w:r>
      <w:bookmarkEnd w:id="3"/>
      <w:r w:rsidR="00B57EA1" w:rsidRPr="00E70D57">
        <w:rPr>
          <w:rFonts w:ascii="Times New Roman" w:hAnsi="Times New Roman" w:cs="Times New Roman"/>
          <w:sz w:val="28"/>
          <w:szCs w:val="28"/>
        </w:rPr>
        <w:t xml:space="preserve">informāciju par zālēm vai medicīnisko ierīci (nosaukums, reģistrācijas numurs, reģistrācijas datums, ražotāja cena un paredzētā kompensācijas bāzes cena, iepakojumā esošo devu skaits (turpmāk - iepakojuma lielums)). Zālēm papildus norāda zāļu vispārīgo nosaukumu, </w:t>
      </w:r>
      <w:bookmarkStart w:id="4" w:name="_Hlk514314123"/>
      <w:r w:rsidR="00B57EA1" w:rsidRPr="00E70D57">
        <w:rPr>
          <w:rFonts w:ascii="Times New Roman" w:hAnsi="Times New Roman" w:cs="Times New Roman"/>
          <w:sz w:val="28"/>
          <w:szCs w:val="28"/>
        </w:rPr>
        <w:t>zāļu kodu anatomiski terapeitiski ķīmiskajā klasifikācijā ar definēto diennakts devu (turpmāk - ATC/DDD klasifikācija), zāļu formu un zāļu stiprumu (aktīvo vielu daudzums devā)</w:t>
      </w:r>
      <w:bookmarkEnd w:id="4"/>
      <w:r w:rsidR="00B57EA1" w:rsidRPr="00E70D57">
        <w:rPr>
          <w:rFonts w:ascii="Times New Roman" w:hAnsi="Times New Roman" w:cs="Times New Roman"/>
          <w:sz w:val="28"/>
          <w:szCs w:val="28"/>
        </w:rPr>
        <w:t>;</w:t>
      </w:r>
    </w:p>
    <w:p w14:paraId="3F37FACE" w14:textId="6709AFE9" w:rsidR="00B57EA1" w:rsidRPr="00E70D57" w:rsidRDefault="007D306B"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B830C0">
        <w:rPr>
          <w:rFonts w:ascii="Times New Roman" w:hAnsi="Times New Roman" w:cs="Times New Roman"/>
          <w:sz w:val="28"/>
          <w:szCs w:val="28"/>
          <w:vertAlign w:val="superscript"/>
        </w:rPr>
        <w:t>3</w:t>
      </w:r>
      <w:r w:rsidRPr="00E70D57">
        <w:rPr>
          <w:rFonts w:ascii="Times New Roman" w:hAnsi="Times New Roman" w:cs="Times New Roman"/>
          <w:sz w:val="28"/>
          <w:szCs w:val="28"/>
          <w:vertAlign w:val="superscript"/>
        </w:rPr>
        <w:t> </w:t>
      </w:r>
      <w:r w:rsidR="006767A4">
        <w:rPr>
          <w:rFonts w:ascii="Times New Roman" w:hAnsi="Times New Roman" w:cs="Times New Roman"/>
          <w:sz w:val="28"/>
          <w:szCs w:val="28"/>
        </w:rPr>
        <w:t>1.</w:t>
      </w:r>
      <w:r w:rsidR="00030EE8">
        <w:rPr>
          <w:rFonts w:ascii="Times New Roman" w:hAnsi="Times New Roman" w:cs="Times New Roman"/>
          <w:sz w:val="28"/>
          <w:szCs w:val="28"/>
        </w:rPr>
        <w:t>3</w:t>
      </w:r>
      <w:r w:rsidR="00B57EA1" w:rsidRPr="00E70D57">
        <w:rPr>
          <w:rFonts w:ascii="Times New Roman" w:hAnsi="Times New Roman" w:cs="Times New Roman"/>
          <w:sz w:val="28"/>
          <w:szCs w:val="28"/>
        </w:rPr>
        <w:t>. slimību, norādot diagnozes kodu atbilstoši Starptautiskajai statistiskajai slimību un veselības problēmu klasifikācijai (10. redakcija) (turpmāk - SSK klasifikācija), un pacientu mērķa grupu (pacientu grupa ar noteiktu diagnozi, kurai attiecīgo zāļu vai medicīnisko ierīču lietošana ir pamatota), kuru ārstēšanai izvērtējama zāļu vai medicīnisko ierīču iegādes izdevumu kompensācija.</w:t>
      </w:r>
    </w:p>
    <w:p w14:paraId="619D746B" w14:textId="0B16CD2F" w:rsidR="00B57EA1" w:rsidRPr="00E70D57" w:rsidRDefault="007D306B"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B57EA1"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 xml:space="preserve">3 </w:t>
      </w:r>
      <w:r w:rsidR="006767A4">
        <w:rPr>
          <w:rFonts w:ascii="Times New Roman" w:hAnsi="Times New Roman" w:cs="Times New Roman"/>
          <w:sz w:val="28"/>
          <w:szCs w:val="28"/>
        </w:rPr>
        <w:t>2.</w:t>
      </w:r>
      <w:r w:rsidR="00B57EA1" w:rsidRPr="00E70D57">
        <w:rPr>
          <w:rFonts w:ascii="Times New Roman" w:hAnsi="Times New Roman" w:cs="Times New Roman"/>
          <w:sz w:val="28"/>
          <w:szCs w:val="28"/>
        </w:rPr>
        <w:t xml:space="preserve"> </w:t>
      </w:r>
      <w:r w:rsidR="006767A4">
        <w:rPr>
          <w:rFonts w:ascii="Times New Roman" w:hAnsi="Times New Roman" w:cs="Times New Roman"/>
          <w:sz w:val="28"/>
          <w:szCs w:val="28"/>
        </w:rPr>
        <w:t>šo noteikumu 10.</w:t>
      </w:r>
      <w:r w:rsidR="006767A4">
        <w:rPr>
          <w:rFonts w:ascii="Times New Roman" w:hAnsi="Times New Roman" w:cs="Times New Roman"/>
          <w:sz w:val="28"/>
          <w:szCs w:val="28"/>
          <w:vertAlign w:val="superscript"/>
        </w:rPr>
        <w:t xml:space="preserve">3 </w:t>
      </w:r>
      <w:r w:rsidR="006767A4">
        <w:rPr>
          <w:rFonts w:ascii="Times New Roman" w:hAnsi="Times New Roman" w:cs="Times New Roman"/>
          <w:sz w:val="28"/>
          <w:szCs w:val="28"/>
        </w:rPr>
        <w:t>1. apakšpunktā minētajam i</w:t>
      </w:r>
      <w:r w:rsidR="00B57EA1" w:rsidRPr="00E70D57">
        <w:rPr>
          <w:rFonts w:ascii="Times New Roman" w:hAnsi="Times New Roman" w:cs="Times New Roman"/>
          <w:sz w:val="28"/>
          <w:szCs w:val="28"/>
        </w:rPr>
        <w:t>esniegumam pievieno:</w:t>
      </w:r>
    </w:p>
    <w:p w14:paraId="708826ED" w14:textId="04CA4A10"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3</w:t>
      </w:r>
      <w:r w:rsidR="007D306B" w:rsidRPr="00E70D57">
        <w:rPr>
          <w:rFonts w:ascii="Times New Roman" w:hAnsi="Times New Roman" w:cs="Times New Roman"/>
          <w:sz w:val="28"/>
          <w:szCs w:val="28"/>
          <w:vertAlign w:val="superscript"/>
        </w:rPr>
        <w:t> </w:t>
      </w:r>
      <w:r w:rsidR="006767A4">
        <w:rPr>
          <w:rFonts w:ascii="Times New Roman" w:hAnsi="Times New Roman" w:cs="Times New Roman"/>
          <w:sz w:val="28"/>
          <w:szCs w:val="28"/>
        </w:rPr>
        <w:t>2.</w:t>
      </w:r>
      <w:r w:rsidRPr="00E70D57">
        <w:rPr>
          <w:rFonts w:ascii="Times New Roman" w:hAnsi="Times New Roman" w:cs="Times New Roman"/>
          <w:sz w:val="28"/>
          <w:szCs w:val="28"/>
        </w:rPr>
        <w:t xml:space="preserve">1. klīnisko pētījumu kopsavilkumu un publikāciju kopijas, norādot atsauci uz avotu, kas pierāda šo zāļu vai medicīnisko ierīču  efektivitāti un priekšrocības </w:t>
      </w:r>
      <w:r w:rsidR="00F67C88" w:rsidRPr="00234D7E">
        <w:rPr>
          <w:rFonts w:ascii="Times New Roman" w:hAnsi="Times New Roman" w:cs="Times New Roman"/>
          <w:sz w:val="28"/>
          <w:szCs w:val="28"/>
        </w:rPr>
        <w:t>attiecīgajai diagnozei un pacientu grupai</w:t>
      </w:r>
      <w:r w:rsidR="00F67C88" w:rsidRPr="00E70D57">
        <w:rPr>
          <w:rFonts w:ascii="Times New Roman" w:hAnsi="Times New Roman" w:cs="Times New Roman"/>
          <w:sz w:val="28"/>
          <w:szCs w:val="28"/>
        </w:rPr>
        <w:t xml:space="preserve"> </w:t>
      </w:r>
      <w:r w:rsidRPr="00E70D57">
        <w:rPr>
          <w:rFonts w:ascii="Times New Roman" w:hAnsi="Times New Roman" w:cs="Times New Roman"/>
          <w:sz w:val="28"/>
          <w:szCs w:val="28"/>
        </w:rPr>
        <w:t>salīdzinājumā ar citu Latvijā pieejamu alternatīvu terapiju;</w:t>
      </w:r>
    </w:p>
    <w:p w14:paraId="324A4E2E" w14:textId="7CC06E92" w:rsidR="00B57EA1"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3</w:t>
      </w:r>
      <w:r w:rsidR="007D306B" w:rsidRPr="00E70D57">
        <w:rPr>
          <w:rFonts w:ascii="Times New Roman" w:hAnsi="Times New Roman" w:cs="Times New Roman"/>
          <w:sz w:val="28"/>
          <w:szCs w:val="28"/>
          <w:vertAlign w:val="superscript"/>
        </w:rPr>
        <w:t> </w:t>
      </w:r>
      <w:r w:rsidR="006767A4">
        <w:rPr>
          <w:rFonts w:ascii="Times New Roman" w:hAnsi="Times New Roman" w:cs="Times New Roman"/>
          <w:sz w:val="28"/>
          <w:szCs w:val="28"/>
        </w:rPr>
        <w:t>2.</w:t>
      </w:r>
      <w:r w:rsidRPr="00E70D57">
        <w:rPr>
          <w:rFonts w:ascii="Times New Roman" w:hAnsi="Times New Roman" w:cs="Times New Roman"/>
          <w:sz w:val="28"/>
          <w:szCs w:val="28"/>
        </w:rPr>
        <w:t>2. </w:t>
      </w:r>
      <w:proofErr w:type="spellStart"/>
      <w:r w:rsidRPr="00E70D57">
        <w:rPr>
          <w:rFonts w:ascii="Times New Roman" w:hAnsi="Times New Roman" w:cs="Times New Roman"/>
          <w:sz w:val="28"/>
          <w:szCs w:val="28"/>
        </w:rPr>
        <w:t>farmakoekonomiskos</w:t>
      </w:r>
      <w:proofErr w:type="spellEnd"/>
      <w:r w:rsidRPr="00E70D57">
        <w:rPr>
          <w:rFonts w:ascii="Times New Roman" w:hAnsi="Times New Roman" w:cs="Times New Roman"/>
          <w:sz w:val="28"/>
          <w:szCs w:val="28"/>
        </w:rPr>
        <w:t xml:space="preserve"> aprēķinus saskaņā ar šo noteikumu 3. pielikumā noteiktajām zāļu ekonomiskās novērtēšanas vadlīnijām</w:t>
      </w:r>
      <w:bookmarkStart w:id="5" w:name="_Hlk514313313"/>
      <w:r w:rsidR="00981163">
        <w:rPr>
          <w:rFonts w:ascii="Times New Roman" w:hAnsi="Times New Roman" w:cs="Times New Roman"/>
          <w:sz w:val="28"/>
          <w:szCs w:val="28"/>
        </w:rPr>
        <w:t>;</w:t>
      </w:r>
    </w:p>
    <w:p w14:paraId="3C0863C1" w14:textId="7D5EDB6F" w:rsidR="00981163" w:rsidRPr="00981163" w:rsidRDefault="00981163" w:rsidP="00470115">
      <w:pPr>
        <w:pStyle w:val="NormalWeb"/>
        <w:shd w:val="clear" w:color="auto" w:fill="FFFFFF"/>
        <w:spacing w:before="0" w:beforeAutospacing="0" w:after="0" w:afterAutospacing="0"/>
        <w:ind w:firstLine="720"/>
        <w:jc w:val="both"/>
        <w:rPr>
          <w:rFonts w:ascii="Calibri" w:hAnsi="Calibri" w:cs="Calibri"/>
          <w:color w:val="000000"/>
        </w:rPr>
      </w:pPr>
      <w:r>
        <w:rPr>
          <w:sz w:val="28"/>
          <w:szCs w:val="28"/>
        </w:rPr>
        <w:t>10.</w:t>
      </w:r>
      <w:r w:rsidR="006767A4">
        <w:rPr>
          <w:sz w:val="28"/>
          <w:szCs w:val="28"/>
          <w:vertAlign w:val="superscript"/>
        </w:rPr>
        <w:t>3</w:t>
      </w:r>
      <w:r>
        <w:rPr>
          <w:sz w:val="28"/>
          <w:szCs w:val="28"/>
          <w:vertAlign w:val="superscript"/>
        </w:rPr>
        <w:t xml:space="preserve"> </w:t>
      </w:r>
      <w:r w:rsidR="006767A4">
        <w:rPr>
          <w:sz w:val="28"/>
          <w:szCs w:val="28"/>
        </w:rPr>
        <w:t>2.</w:t>
      </w:r>
      <w:r>
        <w:rPr>
          <w:sz w:val="28"/>
          <w:szCs w:val="28"/>
        </w:rPr>
        <w:t xml:space="preserve">3. </w:t>
      </w:r>
      <w:r>
        <w:rPr>
          <w:color w:val="000000"/>
          <w:sz w:val="28"/>
          <w:szCs w:val="28"/>
        </w:rPr>
        <w:t>p</w:t>
      </w:r>
      <w:r w:rsidRPr="00470115">
        <w:rPr>
          <w:color w:val="000000"/>
          <w:sz w:val="28"/>
          <w:szCs w:val="28"/>
        </w:rPr>
        <w:t>ēc iesniedzēja ieskata finansiālās līdzdalības priekšlikumus ar mērķi uzlabot izmaksu efektivitātes rādītājus salīdzinot ar Latvijā pieejamo standarta terapiju</w:t>
      </w:r>
      <w:r>
        <w:rPr>
          <w:color w:val="000000"/>
          <w:sz w:val="28"/>
          <w:szCs w:val="28"/>
        </w:rPr>
        <w:t>.</w:t>
      </w:r>
    </w:p>
    <w:p w14:paraId="28E7C439" w14:textId="77777777" w:rsidR="00981163" w:rsidRPr="00981163" w:rsidRDefault="00981163" w:rsidP="00981163">
      <w:pPr>
        <w:shd w:val="clear" w:color="auto" w:fill="FFFFFF"/>
        <w:spacing w:after="0" w:line="240" w:lineRule="auto"/>
        <w:rPr>
          <w:rFonts w:ascii="Calibri" w:eastAsia="Times New Roman" w:hAnsi="Calibri" w:cs="Calibri"/>
          <w:color w:val="000000"/>
          <w:sz w:val="24"/>
          <w:szCs w:val="24"/>
          <w:lang w:eastAsia="lv-LV"/>
        </w:rPr>
      </w:pPr>
    </w:p>
    <w:p w14:paraId="7D6CADB4" w14:textId="6FBF9039" w:rsidR="007D306B" w:rsidRDefault="007D306B" w:rsidP="007D306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6767A4">
        <w:rPr>
          <w:rFonts w:ascii="Times New Roman" w:hAnsi="Times New Roman" w:cs="Times New Roman"/>
          <w:sz w:val="28"/>
          <w:szCs w:val="28"/>
          <w:vertAlign w:val="superscript"/>
        </w:rPr>
        <w:t>4</w:t>
      </w:r>
      <w:r w:rsidR="00947A0C" w:rsidRPr="00E70D57">
        <w:rPr>
          <w:rFonts w:ascii="Times New Roman" w:hAnsi="Times New Roman" w:cs="Times New Roman"/>
          <w:sz w:val="28"/>
          <w:szCs w:val="28"/>
        </w:rPr>
        <w:t xml:space="preserve"> </w:t>
      </w:r>
      <w:r w:rsidRPr="00E70D57">
        <w:rPr>
          <w:rFonts w:ascii="Times New Roman" w:hAnsi="Times New Roman" w:cs="Times New Roman"/>
          <w:sz w:val="28"/>
          <w:szCs w:val="28"/>
        </w:rPr>
        <w:t>Zāļu valsts aģentūrai papildus šo noteikumu 10.</w:t>
      </w:r>
      <w:r w:rsidR="00C1631C">
        <w:rPr>
          <w:rFonts w:ascii="Times New Roman" w:hAnsi="Times New Roman" w:cs="Times New Roman"/>
          <w:sz w:val="28"/>
          <w:szCs w:val="28"/>
          <w:vertAlign w:val="superscript"/>
        </w:rPr>
        <w:t>3</w:t>
      </w:r>
      <w:r w:rsidR="005D0621">
        <w:rPr>
          <w:rFonts w:ascii="Times New Roman" w:hAnsi="Times New Roman" w:cs="Times New Roman"/>
          <w:sz w:val="28"/>
          <w:szCs w:val="28"/>
        </w:rPr>
        <w:t xml:space="preserve"> </w:t>
      </w:r>
      <w:r w:rsidRPr="00E70D57">
        <w:rPr>
          <w:rFonts w:ascii="Times New Roman" w:hAnsi="Times New Roman" w:cs="Times New Roman"/>
          <w:sz w:val="28"/>
          <w:szCs w:val="28"/>
        </w:rPr>
        <w:t>punktā minētajiem dokumentiem un informācijai ir tiesības pieprasīt atzinuma sniegšanai nepieciešamās papildu ziņas</w:t>
      </w:r>
      <w:r w:rsidR="00AC4B11" w:rsidRPr="00AC4B11">
        <w:rPr>
          <w:rFonts w:ascii="Times New Roman" w:hAnsi="Times New Roman" w:cs="Times New Roman"/>
          <w:sz w:val="28"/>
          <w:szCs w:val="28"/>
        </w:rPr>
        <w:t>.</w:t>
      </w:r>
    </w:p>
    <w:p w14:paraId="06F4339C" w14:textId="3D45C022" w:rsidR="00981163" w:rsidRDefault="008926AF" w:rsidP="007D306B">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w:t>
      </w:r>
      <w:r w:rsidR="006767A4">
        <w:rPr>
          <w:rFonts w:ascii="Times New Roman" w:hAnsi="Times New Roman" w:cs="Times New Roman"/>
          <w:sz w:val="28"/>
          <w:szCs w:val="28"/>
          <w:vertAlign w:val="superscript"/>
        </w:rPr>
        <w:t xml:space="preserve">5 </w:t>
      </w:r>
      <w:r w:rsidR="00D145C6" w:rsidRPr="00D145C6">
        <w:rPr>
          <w:rFonts w:ascii="Times New Roman" w:hAnsi="Times New Roman" w:cs="Times New Roman"/>
          <w:sz w:val="28"/>
          <w:szCs w:val="28"/>
        </w:rPr>
        <w:t>Ja šo noteikumu 10.</w:t>
      </w:r>
      <w:r w:rsidR="006767A4">
        <w:rPr>
          <w:rFonts w:ascii="Times New Roman" w:hAnsi="Times New Roman" w:cs="Times New Roman"/>
          <w:sz w:val="28"/>
          <w:szCs w:val="28"/>
          <w:vertAlign w:val="superscript"/>
        </w:rPr>
        <w:t>3</w:t>
      </w:r>
      <w:r w:rsidR="00D145C6" w:rsidRPr="00D145C6">
        <w:rPr>
          <w:rFonts w:ascii="Times New Roman" w:hAnsi="Times New Roman" w:cs="Times New Roman"/>
          <w:sz w:val="28"/>
          <w:szCs w:val="28"/>
          <w:vertAlign w:val="superscript"/>
        </w:rPr>
        <w:t xml:space="preserve"> </w:t>
      </w:r>
      <w:r w:rsidR="00D145C6" w:rsidRPr="00D145C6">
        <w:rPr>
          <w:rFonts w:ascii="Times New Roman" w:hAnsi="Times New Roman" w:cs="Times New Roman"/>
          <w:sz w:val="28"/>
          <w:szCs w:val="28"/>
        </w:rPr>
        <w:t xml:space="preserve">punktā minētie dokumenti nav noformēti atbilstoši normatīvajiem aktiem par elektronisko dokumentu noformēšanu, tos iesniedz papīra formā, nosūtot Zāļu valsts aģentūrai arī elektronisko versiju. </w:t>
      </w:r>
    </w:p>
    <w:p w14:paraId="7FA7CB08" w14:textId="37E8A9CD" w:rsidR="007D306B" w:rsidRPr="00E70D57" w:rsidRDefault="007D306B" w:rsidP="007D306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6767A4">
        <w:rPr>
          <w:rFonts w:ascii="Times New Roman" w:hAnsi="Times New Roman" w:cs="Times New Roman"/>
          <w:sz w:val="28"/>
          <w:szCs w:val="28"/>
          <w:vertAlign w:val="superscript"/>
        </w:rPr>
        <w:t>6</w:t>
      </w:r>
      <w:r w:rsidR="008926AF" w:rsidRPr="00E70D57">
        <w:rPr>
          <w:rFonts w:ascii="Times New Roman" w:hAnsi="Times New Roman" w:cs="Times New Roman"/>
          <w:sz w:val="28"/>
          <w:szCs w:val="28"/>
          <w:vertAlign w:val="superscript"/>
        </w:rPr>
        <w:t> </w:t>
      </w:r>
      <w:r w:rsidR="00FA6F0E">
        <w:rPr>
          <w:rFonts w:ascii="Times New Roman" w:hAnsi="Times New Roman" w:cs="Times New Roman"/>
          <w:sz w:val="28"/>
          <w:szCs w:val="28"/>
        </w:rPr>
        <w:t>I</w:t>
      </w:r>
      <w:r w:rsidR="00FA6F0E" w:rsidRPr="00FA6F0E">
        <w:rPr>
          <w:rFonts w:ascii="Times New Roman" w:hAnsi="Times New Roman" w:cs="Times New Roman"/>
          <w:sz w:val="28"/>
          <w:szCs w:val="28"/>
        </w:rPr>
        <w:t>zdevumus par atzinumu sniegšanu sedz iesnieguma iesniedzējs saskaņā ar normatīvajiem aktiem par Zāļu valsts aģentūras maksas pakalpojumu cenrādi.</w:t>
      </w:r>
      <w:r w:rsidR="00FA6F0E">
        <w:rPr>
          <w:rFonts w:ascii="Times New Roman" w:hAnsi="Times New Roman" w:cs="Times New Roman"/>
          <w:sz w:val="28"/>
          <w:szCs w:val="28"/>
        </w:rPr>
        <w:t xml:space="preserve"> </w:t>
      </w:r>
    </w:p>
    <w:p w14:paraId="2E98FE82" w14:textId="71EEE7EB" w:rsidR="007D306B" w:rsidRPr="00E70D57" w:rsidRDefault="002C360E" w:rsidP="007D306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6767A4">
        <w:rPr>
          <w:rFonts w:ascii="Times New Roman" w:hAnsi="Times New Roman" w:cs="Times New Roman"/>
          <w:sz w:val="28"/>
          <w:szCs w:val="28"/>
          <w:vertAlign w:val="superscript"/>
        </w:rPr>
        <w:t>7</w:t>
      </w:r>
      <w:r w:rsidR="00FB54E3" w:rsidRPr="00E70D57">
        <w:rPr>
          <w:rFonts w:ascii="Times New Roman" w:hAnsi="Times New Roman" w:cs="Times New Roman"/>
          <w:sz w:val="28"/>
          <w:szCs w:val="28"/>
          <w:vertAlign w:val="superscript"/>
        </w:rPr>
        <w:t> </w:t>
      </w:r>
      <w:r w:rsidR="007D306B" w:rsidRPr="00E70D57">
        <w:rPr>
          <w:rFonts w:ascii="Times New Roman" w:hAnsi="Times New Roman" w:cs="Times New Roman"/>
          <w:sz w:val="28"/>
          <w:szCs w:val="28"/>
        </w:rPr>
        <w:t>Iesniedzējs atbild par iesniegumam pievienotajos dokumentos un informācijā ietverto ziņu patiesumu. Pēc iesnieguma reģistrēšanas Zāļu valsts aģentūrā iesniedzējs pēc savas iniciatīvas nav tiesīgs grozīt</w:t>
      </w:r>
      <w:r w:rsidRPr="00E70D57">
        <w:rPr>
          <w:rFonts w:ascii="Times New Roman" w:hAnsi="Times New Roman" w:cs="Times New Roman"/>
          <w:sz w:val="28"/>
          <w:szCs w:val="28"/>
        </w:rPr>
        <w:t xml:space="preserve"> iesniegumā minēto informāciju.</w:t>
      </w:r>
    </w:p>
    <w:p w14:paraId="43F6FD4D" w14:textId="604BFA47" w:rsidR="001C1354" w:rsidRPr="00234D7E" w:rsidRDefault="002C360E" w:rsidP="001C1354">
      <w:pPr>
        <w:spacing w:after="120" w:line="240" w:lineRule="auto"/>
        <w:ind w:firstLine="720"/>
        <w:jc w:val="both"/>
        <w:rPr>
          <w:rFonts w:ascii="Times New Roman" w:hAnsi="Times New Roman" w:cs="Times New Roman"/>
          <w:sz w:val="28"/>
          <w:szCs w:val="28"/>
        </w:rPr>
      </w:pPr>
      <w:bookmarkStart w:id="6" w:name="_Hlk7159141"/>
      <w:bookmarkStart w:id="7" w:name="_Hlk514320962"/>
      <w:r w:rsidRPr="001C1354">
        <w:rPr>
          <w:rFonts w:ascii="Times New Roman" w:hAnsi="Times New Roman" w:cs="Times New Roman"/>
          <w:sz w:val="28"/>
          <w:szCs w:val="28"/>
        </w:rPr>
        <w:t>10</w:t>
      </w:r>
      <w:r w:rsidR="007D306B" w:rsidRPr="001C1354">
        <w:rPr>
          <w:rFonts w:ascii="Times New Roman" w:hAnsi="Times New Roman" w:cs="Times New Roman"/>
          <w:sz w:val="28"/>
          <w:szCs w:val="28"/>
        </w:rPr>
        <w:t>.</w:t>
      </w:r>
      <w:bookmarkEnd w:id="6"/>
      <w:r w:rsidR="006767A4">
        <w:rPr>
          <w:rFonts w:ascii="Times New Roman" w:hAnsi="Times New Roman" w:cs="Times New Roman"/>
          <w:sz w:val="28"/>
          <w:szCs w:val="28"/>
          <w:vertAlign w:val="superscript"/>
        </w:rPr>
        <w:t>8</w:t>
      </w:r>
      <w:r w:rsidR="00FB54E3" w:rsidRPr="001C1354">
        <w:rPr>
          <w:rFonts w:ascii="Times New Roman" w:hAnsi="Times New Roman" w:cs="Times New Roman"/>
          <w:sz w:val="28"/>
          <w:szCs w:val="28"/>
          <w:vertAlign w:val="superscript"/>
        </w:rPr>
        <w:t> </w:t>
      </w:r>
      <w:r w:rsidR="00FB54E3" w:rsidRPr="001C1354">
        <w:rPr>
          <w:rFonts w:ascii="Times New Roman" w:hAnsi="Times New Roman" w:cs="Times New Roman"/>
          <w:sz w:val="28"/>
          <w:szCs w:val="28"/>
        </w:rPr>
        <w:t xml:space="preserve"> </w:t>
      </w:r>
      <w:r w:rsidR="001C1354" w:rsidRPr="00234D7E">
        <w:rPr>
          <w:rFonts w:ascii="Times New Roman" w:hAnsi="Times New Roman" w:cs="Times New Roman"/>
          <w:sz w:val="28"/>
          <w:szCs w:val="28"/>
        </w:rPr>
        <w:t>Sagatavojot atzinumu, Zāļu valsts aģentūra veic:</w:t>
      </w:r>
    </w:p>
    <w:p w14:paraId="75603BA6" w14:textId="08174B53" w:rsidR="001C1354" w:rsidRPr="00234D7E" w:rsidRDefault="001C1354" w:rsidP="001C1354">
      <w:pPr>
        <w:spacing w:after="120" w:line="240" w:lineRule="auto"/>
        <w:ind w:firstLine="720"/>
        <w:jc w:val="both"/>
        <w:rPr>
          <w:rFonts w:ascii="Times New Roman" w:hAnsi="Times New Roman" w:cs="Times New Roman"/>
          <w:sz w:val="28"/>
          <w:szCs w:val="28"/>
        </w:rPr>
      </w:pPr>
      <w:r w:rsidRPr="001C1354">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00FB54E3">
        <w:rPr>
          <w:rFonts w:ascii="Times New Roman" w:hAnsi="Times New Roman" w:cs="Times New Roman"/>
          <w:sz w:val="28"/>
          <w:szCs w:val="28"/>
          <w:vertAlign w:val="superscript"/>
        </w:rPr>
        <w:t xml:space="preserve"> </w:t>
      </w:r>
      <w:r w:rsidRPr="00234D7E">
        <w:rPr>
          <w:rFonts w:ascii="Times New Roman" w:hAnsi="Times New Roman" w:cs="Times New Roman"/>
          <w:sz w:val="28"/>
          <w:szCs w:val="28"/>
        </w:rPr>
        <w:t>1. ārstniecisko novērtēšanu, kurā izvērtē:</w:t>
      </w:r>
    </w:p>
    <w:p w14:paraId="07DD56DB" w14:textId="4369D47C" w:rsidR="001C1354" w:rsidRPr="00234D7E" w:rsidRDefault="001C1354" w:rsidP="001C1354">
      <w:pPr>
        <w:spacing w:after="120" w:line="240" w:lineRule="auto"/>
        <w:ind w:firstLine="720"/>
        <w:jc w:val="both"/>
        <w:rPr>
          <w:rFonts w:ascii="Times New Roman" w:hAnsi="Times New Roman" w:cs="Times New Roman"/>
          <w:sz w:val="28"/>
          <w:szCs w:val="28"/>
        </w:rPr>
      </w:pPr>
      <w:r w:rsidRPr="00234D7E">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00FB54E3" w:rsidRPr="00234D7E">
        <w:rPr>
          <w:rFonts w:ascii="Times New Roman" w:hAnsi="Times New Roman" w:cs="Times New Roman"/>
          <w:sz w:val="28"/>
          <w:szCs w:val="28"/>
          <w:vertAlign w:val="superscript"/>
        </w:rPr>
        <w:t xml:space="preserve"> </w:t>
      </w:r>
      <w:r w:rsidRPr="00234D7E">
        <w:rPr>
          <w:rFonts w:ascii="Times New Roman" w:hAnsi="Times New Roman" w:cs="Times New Roman"/>
          <w:sz w:val="28"/>
          <w:szCs w:val="28"/>
        </w:rPr>
        <w:t>1.1. publicētu klīnisko pētījumu rezultātus par terapeitiskās efektivitātes priekšrocībām farmakoterapeitiskās grupas vai diagnozes ietvaros attiecībā uz mirstības rādītāju vai laiku līdz slimības progresijai, hronisko slimību biežuma, invaliditātes iestāšanās, hospitalizācijas gadījumu samazināšanos, veselības stāvokļa uzlabošanos, salīdzinot ar citu pieejamo ārstēšanas veidu;</w:t>
      </w:r>
    </w:p>
    <w:p w14:paraId="5159B34C" w14:textId="19B4D43A" w:rsidR="001C1354" w:rsidRPr="00234D7E" w:rsidRDefault="001C1354" w:rsidP="001C1354">
      <w:pPr>
        <w:spacing w:after="120" w:line="240" w:lineRule="auto"/>
        <w:ind w:firstLine="720"/>
        <w:jc w:val="both"/>
        <w:rPr>
          <w:rFonts w:ascii="Times New Roman" w:hAnsi="Times New Roman" w:cs="Times New Roman"/>
          <w:sz w:val="28"/>
          <w:szCs w:val="28"/>
        </w:rPr>
      </w:pPr>
      <w:r w:rsidRPr="001C1354">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00FB54E3">
        <w:rPr>
          <w:rFonts w:ascii="Times New Roman" w:hAnsi="Times New Roman" w:cs="Times New Roman"/>
          <w:sz w:val="28"/>
          <w:szCs w:val="28"/>
          <w:vertAlign w:val="superscript"/>
        </w:rPr>
        <w:t xml:space="preserve"> </w:t>
      </w:r>
      <w:r w:rsidRPr="00234D7E">
        <w:rPr>
          <w:rFonts w:ascii="Times New Roman" w:hAnsi="Times New Roman" w:cs="Times New Roman"/>
          <w:sz w:val="28"/>
          <w:szCs w:val="28"/>
        </w:rPr>
        <w:t>1.2. atbilstību ārstu profesionālo asociāciju izstrādātajām konkrētu slimību ārstēšanas shēmām (turpmāk - ārstēšanas shēmas) un starptautiskajām ārstēšanas vadlīnijām, kā arī citās valstīs veiktus vērtējumus;</w:t>
      </w:r>
    </w:p>
    <w:p w14:paraId="79405D19" w14:textId="1B34DAAB" w:rsidR="001C1354" w:rsidRPr="00234D7E" w:rsidRDefault="001C1354" w:rsidP="001C1354">
      <w:pPr>
        <w:spacing w:after="120" w:line="240" w:lineRule="auto"/>
        <w:ind w:firstLine="720"/>
        <w:jc w:val="both"/>
        <w:rPr>
          <w:rFonts w:ascii="Times New Roman" w:hAnsi="Times New Roman" w:cs="Times New Roman"/>
          <w:sz w:val="28"/>
          <w:szCs w:val="28"/>
        </w:rPr>
      </w:pPr>
      <w:r w:rsidRPr="001C1354">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00FB54E3">
        <w:rPr>
          <w:rFonts w:ascii="Times New Roman" w:hAnsi="Times New Roman" w:cs="Times New Roman"/>
          <w:sz w:val="28"/>
          <w:szCs w:val="28"/>
          <w:vertAlign w:val="superscript"/>
        </w:rPr>
        <w:t xml:space="preserve"> </w:t>
      </w:r>
      <w:r w:rsidRPr="00234D7E">
        <w:rPr>
          <w:rFonts w:ascii="Times New Roman" w:hAnsi="Times New Roman" w:cs="Times New Roman"/>
          <w:sz w:val="28"/>
          <w:szCs w:val="28"/>
        </w:rPr>
        <w:t>1.3. zāļu vietu attiecīgās slimības ārstēšanas shēmā (piemēram, pirmās vai otrās izvēles zāles, pacientu mērķa grupas);</w:t>
      </w:r>
    </w:p>
    <w:p w14:paraId="354076E7" w14:textId="338A0541" w:rsidR="001C1354" w:rsidRPr="00234D7E" w:rsidRDefault="001C1354" w:rsidP="001C1354">
      <w:pPr>
        <w:spacing w:after="120" w:line="240" w:lineRule="auto"/>
        <w:ind w:firstLine="720"/>
        <w:jc w:val="both"/>
        <w:rPr>
          <w:rFonts w:ascii="Times New Roman" w:hAnsi="Times New Roman" w:cs="Times New Roman"/>
          <w:sz w:val="28"/>
          <w:szCs w:val="28"/>
        </w:rPr>
      </w:pPr>
      <w:r w:rsidRPr="001C1354">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00FB54E3">
        <w:rPr>
          <w:rFonts w:ascii="Times New Roman" w:hAnsi="Times New Roman" w:cs="Times New Roman"/>
          <w:sz w:val="28"/>
          <w:szCs w:val="28"/>
          <w:vertAlign w:val="superscript"/>
        </w:rPr>
        <w:t xml:space="preserve"> </w:t>
      </w:r>
      <w:r w:rsidRPr="00234D7E">
        <w:rPr>
          <w:rFonts w:ascii="Times New Roman" w:hAnsi="Times New Roman" w:cs="Times New Roman"/>
          <w:sz w:val="28"/>
          <w:szCs w:val="28"/>
        </w:rPr>
        <w:t>1.4. zāļu formas un stipruma atbilstību ārstēšanas shēmai;</w:t>
      </w:r>
    </w:p>
    <w:p w14:paraId="051E4846" w14:textId="31E72E27" w:rsidR="001C1354" w:rsidRPr="001C1354" w:rsidRDefault="001C1354" w:rsidP="001C1354">
      <w:pPr>
        <w:spacing w:after="120" w:line="240" w:lineRule="auto"/>
        <w:ind w:firstLine="720"/>
        <w:jc w:val="both"/>
        <w:rPr>
          <w:rFonts w:ascii="Times New Roman" w:hAnsi="Times New Roman" w:cs="Times New Roman"/>
          <w:sz w:val="28"/>
          <w:szCs w:val="28"/>
        </w:rPr>
      </w:pPr>
      <w:r w:rsidRPr="001C1354">
        <w:rPr>
          <w:rFonts w:ascii="Times New Roman" w:hAnsi="Times New Roman" w:cs="Times New Roman"/>
          <w:sz w:val="28"/>
          <w:szCs w:val="28"/>
        </w:rPr>
        <w:t>10.</w:t>
      </w:r>
      <w:r w:rsidR="006767A4">
        <w:rPr>
          <w:rFonts w:ascii="Times New Roman" w:hAnsi="Times New Roman" w:cs="Times New Roman"/>
          <w:sz w:val="28"/>
          <w:szCs w:val="28"/>
          <w:vertAlign w:val="superscript"/>
        </w:rPr>
        <w:t>8</w:t>
      </w:r>
      <w:r w:rsidRPr="00234D7E">
        <w:rPr>
          <w:rFonts w:ascii="Times New Roman" w:hAnsi="Times New Roman" w:cs="Times New Roman"/>
          <w:sz w:val="28"/>
          <w:szCs w:val="28"/>
        </w:rPr>
        <w:t>1.5. iepakojuma lieluma atbilstību ārstēšanas kursam</w:t>
      </w:r>
      <w:r w:rsidRPr="001C1354">
        <w:rPr>
          <w:rFonts w:ascii="Times New Roman" w:hAnsi="Times New Roman" w:cs="Times New Roman"/>
          <w:sz w:val="28"/>
          <w:szCs w:val="28"/>
        </w:rPr>
        <w:t>;</w:t>
      </w:r>
    </w:p>
    <w:p w14:paraId="75C75C6D" w14:textId="7CEC3E69" w:rsidR="001C1354" w:rsidRPr="00706727" w:rsidRDefault="001C1354" w:rsidP="001C1354">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10.</w:t>
      </w:r>
      <w:r w:rsidR="00A2723E">
        <w:rPr>
          <w:rFonts w:ascii="Times New Roman" w:hAnsi="Times New Roman" w:cs="Times New Roman"/>
          <w:sz w:val="28"/>
          <w:szCs w:val="28"/>
        </w:rPr>
        <w:t xml:space="preserve"> </w:t>
      </w:r>
      <w:r w:rsidR="006767A4">
        <w:rPr>
          <w:rFonts w:ascii="Times New Roman" w:hAnsi="Times New Roman" w:cs="Times New Roman"/>
          <w:sz w:val="28"/>
          <w:szCs w:val="28"/>
          <w:vertAlign w:val="superscript"/>
        </w:rPr>
        <w:t>8</w:t>
      </w:r>
      <w:r w:rsidR="00FB54E3" w:rsidRPr="00E70D57">
        <w:rPr>
          <w:rFonts w:ascii="Times New Roman" w:hAnsi="Times New Roman" w:cs="Times New Roman"/>
          <w:sz w:val="28"/>
          <w:szCs w:val="28"/>
          <w:vertAlign w:val="superscript"/>
        </w:rPr>
        <w:t> </w:t>
      </w:r>
      <w:r w:rsidRPr="00E70D57">
        <w:rPr>
          <w:rFonts w:ascii="Times New Roman" w:hAnsi="Times New Roman" w:cs="Times New Roman"/>
          <w:sz w:val="28"/>
          <w:szCs w:val="28"/>
        </w:rPr>
        <w:t>2</w:t>
      </w:r>
      <w:r w:rsidRPr="00234D7E">
        <w:rPr>
          <w:rFonts w:ascii="Times New Roman" w:hAnsi="Times New Roman" w:cs="Times New Roman"/>
          <w:sz w:val="28"/>
          <w:szCs w:val="28"/>
        </w:rPr>
        <w:t xml:space="preserve"> ekonomisko novērtēšanu, atbilstoši šo noteikumu 3.pielikumā </w:t>
      </w:r>
      <w:r w:rsidRPr="00706727">
        <w:rPr>
          <w:rFonts w:ascii="Times New Roman" w:hAnsi="Times New Roman" w:cs="Times New Roman"/>
          <w:sz w:val="28"/>
          <w:szCs w:val="28"/>
        </w:rPr>
        <w:t>apstiprinātajām zāļu ekonomiskās novērtēšanas vadlīnijām;</w:t>
      </w:r>
    </w:p>
    <w:p w14:paraId="180213F8" w14:textId="40278997" w:rsidR="001C1354" w:rsidRPr="001C1354" w:rsidRDefault="001C1354" w:rsidP="00A218CD">
      <w:pPr>
        <w:spacing w:after="120" w:line="240" w:lineRule="auto"/>
        <w:ind w:firstLine="720"/>
        <w:jc w:val="both"/>
        <w:rPr>
          <w:rFonts w:ascii="Times New Roman" w:hAnsi="Times New Roman" w:cs="Times New Roman"/>
          <w:sz w:val="28"/>
          <w:szCs w:val="28"/>
        </w:rPr>
      </w:pPr>
      <w:r w:rsidRPr="00706727">
        <w:rPr>
          <w:rFonts w:ascii="Times New Roman" w:hAnsi="Times New Roman" w:cs="Times New Roman"/>
          <w:sz w:val="28"/>
          <w:szCs w:val="28"/>
        </w:rPr>
        <w:t>10.</w:t>
      </w:r>
      <w:r w:rsidR="00FB54E3" w:rsidRPr="00706727">
        <w:rPr>
          <w:rFonts w:ascii="Times New Roman" w:hAnsi="Times New Roman" w:cs="Times New Roman"/>
          <w:sz w:val="28"/>
          <w:szCs w:val="28"/>
          <w:vertAlign w:val="superscript"/>
        </w:rPr>
        <w:t> </w:t>
      </w:r>
      <w:r w:rsidR="006767A4">
        <w:rPr>
          <w:rFonts w:ascii="Times New Roman" w:hAnsi="Times New Roman" w:cs="Times New Roman"/>
          <w:sz w:val="28"/>
          <w:szCs w:val="28"/>
          <w:vertAlign w:val="superscript"/>
        </w:rPr>
        <w:t>8</w:t>
      </w:r>
      <w:r w:rsidRPr="00706727">
        <w:rPr>
          <w:rFonts w:ascii="Times New Roman" w:hAnsi="Times New Roman" w:cs="Times New Roman"/>
          <w:sz w:val="28"/>
          <w:szCs w:val="28"/>
        </w:rPr>
        <w:t>3. ieinteresēto personu</w:t>
      </w:r>
      <w:r w:rsidR="006767A4" w:rsidRPr="00234D7E">
        <w:rPr>
          <w:rFonts w:ascii="Times New Roman" w:hAnsi="Times New Roman" w:cs="Times New Roman"/>
          <w:sz w:val="28"/>
          <w:szCs w:val="28"/>
        </w:rPr>
        <w:t>,</w:t>
      </w:r>
      <w:r w:rsidR="006767A4">
        <w:rPr>
          <w:rFonts w:ascii="Times New Roman" w:hAnsi="Times New Roman" w:cs="Times New Roman"/>
          <w:sz w:val="28"/>
          <w:szCs w:val="28"/>
        </w:rPr>
        <w:t xml:space="preserve"> </w:t>
      </w:r>
      <w:r w:rsidR="006767A4" w:rsidRPr="00234D7E">
        <w:rPr>
          <w:rFonts w:ascii="Times New Roman" w:hAnsi="Times New Roman" w:cs="Times New Roman"/>
          <w:sz w:val="28"/>
          <w:szCs w:val="28"/>
        </w:rPr>
        <w:t>ja tādas ir pieaicinātas</w:t>
      </w:r>
      <w:r w:rsidR="006767A4">
        <w:rPr>
          <w:rFonts w:ascii="Times New Roman" w:hAnsi="Times New Roman" w:cs="Times New Roman"/>
          <w:sz w:val="28"/>
          <w:szCs w:val="28"/>
        </w:rPr>
        <w:t>,</w:t>
      </w:r>
      <w:r w:rsidR="006767A4" w:rsidRPr="00706727">
        <w:rPr>
          <w:rFonts w:ascii="Times New Roman" w:hAnsi="Times New Roman" w:cs="Times New Roman"/>
          <w:sz w:val="28"/>
          <w:szCs w:val="28"/>
        </w:rPr>
        <w:t xml:space="preserve"> </w:t>
      </w:r>
      <w:r w:rsidRPr="00706727">
        <w:rPr>
          <w:rFonts w:ascii="Times New Roman" w:hAnsi="Times New Roman" w:cs="Times New Roman"/>
          <w:sz w:val="28"/>
          <w:szCs w:val="28"/>
        </w:rPr>
        <w:t>viedok</w:t>
      </w:r>
      <w:r w:rsidR="006767A4">
        <w:rPr>
          <w:rFonts w:ascii="Times New Roman" w:hAnsi="Times New Roman" w:cs="Times New Roman"/>
          <w:sz w:val="28"/>
          <w:szCs w:val="28"/>
        </w:rPr>
        <w:t>ļa izvērtēšanu</w:t>
      </w:r>
      <w:r w:rsidRPr="00234D7E">
        <w:rPr>
          <w:rFonts w:ascii="Times New Roman" w:hAnsi="Times New Roman" w:cs="Times New Roman"/>
          <w:sz w:val="28"/>
          <w:szCs w:val="28"/>
        </w:rPr>
        <w:t>.</w:t>
      </w:r>
    </w:p>
    <w:bookmarkEnd w:id="7"/>
    <w:p w14:paraId="67A60CC1" w14:textId="52D20BC3"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bookmarkEnd w:id="5"/>
      <w:r w:rsidR="006767A4">
        <w:rPr>
          <w:rFonts w:ascii="Times New Roman" w:hAnsi="Times New Roman" w:cs="Times New Roman"/>
          <w:sz w:val="28"/>
          <w:szCs w:val="28"/>
          <w:vertAlign w:val="superscript"/>
        </w:rPr>
        <w:t>9</w:t>
      </w:r>
      <w:r w:rsidR="00FB54E3" w:rsidRPr="00E70D57">
        <w:rPr>
          <w:rFonts w:ascii="Times New Roman" w:hAnsi="Times New Roman" w:cs="Times New Roman"/>
          <w:sz w:val="28"/>
          <w:szCs w:val="28"/>
        </w:rPr>
        <w:t xml:space="preserve"> </w:t>
      </w:r>
      <w:r w:rsidRPr="00E70D57">
        <w:rPr>
          <w:rFonts w:ascii="Times New Roman" w:hAnsi="Times New Roman" w:cs="Times New Roman"/>
          <w:sz w:val="28"/>
          <w:szCs w:val="28"/>
        </w:rPr>
        <w:t>Zāļu valsts aģentūra atzinumā norāda:</w:t>
      </w:r>
      <w:bookmarkStart w:id="8" w:name="_Hlk514314187"/>
    </w:p>
    <w:p w14:paraId="68444458" w14:textId="78B82CA5"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bookmarkEnd w:id="8"/>
      <w:r w:rsidR="006767A4">
        <w:rPr>
          <w:rFonts w:ascii="Times New Roman" w:hAnsi="Times New Roman" w:cs="Times New Roman"/>
          <w:sz w:val="28"/>
          <w:szCs w:val="28"/>
          <w:vertAlign w:val="superscript"/>
        </w:rPr>
        <w:t>9</w:t>
      </w:r>
      <w:r w:rsidRPr="00E70D57">
        <w:rPr>
          <w:rFonts w:ascii="Times New Roman" w:hAnsi="Times New Roman" w:cs="Times New Roman"/>
          <w:sz w:val="28"/>
          <w:szCs w:val="28"/>
        </w:rPr>
        <w:t>1. zāļu nosaukumu, zāļu vispārīgo nosaukumu, zāļu kodu ATC/DDD klasifikācijā, zāļu formu un zāļu stiprumu, zāļu ievadīšanas veidu vai informāciju par medicīnisko ierīci;</w:t>
      </w:r>
      <w:bookmarkStart w:id="9" w:name="_Hlk514314257"/>
    </w:p>
    <w:p w14:paraId="1DFEC3F4" w14:textId="0095EC64"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9</w:t>
      </w:r>
      <w:r w:rsidRPr="00E70D57">
        <w:rPr>
          <w:rFonts w:ascii="Times New Roman" w:hAnsi="Times New Roman" w:cs="Times New Roman"/>
          <w:sz w:val="28"/>
          <w:szCs w:val="28"/>
        </w:rPr>
        <w:t>2. </w:t>
      </w:r>
      <w:bookmarkEnd w:id="9"/>
      <w:r w:rsidRPr="00E70D57">
        <w:rPr>
          <w:rFonts w:ascii="Times New Roman" w:hAnsi="Times New Roman" w:cs="Times New Roman"/>
          <w:sz w:val="28"/>
          <w:szCs w:val="28"/>
        </w:rPr>
        <w:t>slimību, norādot diagnozes kodu atbilstoši SSK klasifikācijai, un pacientu mērķa grupu, ja zāles vai medicīniskās ierīces iesniegtas lietošanai noteiktai pacientu grupai</w:t>
      </w:r>
      <w:r w:rsidR="00933162">
        <w:rPr>
          <w:rFonts w:ascii="Times New Roman" w:hAnsi="Times New Roman" w:cs="Times New Roman"/>
          <w:sz w:val="28"/>
          <w:szCs w:val="28"/>
        </w:rPr>
        <w:t>;</w:t>
      </w:r>
      <w:bookmarkStart w:id="10" w:name="_Hlk514315614"/>
    </w:p>
    <w:p w14:paraId="51B03544" w14:textId="3C4FC390" w:rsidR="00B57EA1" w:rsidRPr="00E70D57" w:rsidRDefault="00B57EA1" w:rsidP="00B57EA1">
      <w:pPr>
        <w:spacing w:after="120" w:line="240" w:lineRule="auto"/>
        <w:ind w:firstLine="720"/>
        <w:jc w:val="both"/>
        <w:rPr>
          <w:rFonts w:ascii="Times New Roman" w:hAnsi="Times New Roman" w:cs="Times New Roman"/>
          <w:sz w:val="28"/>
          <w:szCs w:val="28"/>
        </w:rPr>
      </w:pPr>
      <w:r w:rsidRPr="00947A0C">
        <w:rPr>
          <w:rFonts w:ascii="Times New Roman" w:hAnsi="Times New Roman" w:cs="Times New Roman"/>
          <w:sz w:val="28"/>
          <w:szCs w:val="28"/>
        </w:rPr>
        <w:t>1</w:t>
      </w:r>
      <w:r w:rsidR="007D306B" w:rsidRPr="00947A0C">
        <w:rPr>
          <w:rFonts w:ascii="Times New Roman" w:hAnsi="Times New Roman" w:cs="Times New Roman"/>
          <w:sz w:val="28"/>
          <w:szCs w:val="28"/>
        </w:rPr>
        <w:t>0</w:t>
      </w:r>
      <w:r w:rsidRPr="00947A0C">
        <w:rPr>
          <w:rFonts w:ascii="Times New Roman" w:hAnsi="Times New Roman" w:cs="Times New Roman"/>
          <w:sz w:val="28"/>
          <w:szCs w:val="28"/>
        </w:rPr>
        <w:t>.</w:t>
      </w:r>
      <w:r w:rsidR="006767A4">
        <w:rPr>
          <w:rFonts w:ascii="Times New Roman" w:hAnsi="Times New Roman" w:cs="Times New Roman"/>
          <w:sz w:val="28"/>
          <w:szCs w:val="28"/>
          <w:vertAlign w:val="superscript"/>
        </w:rPr>
        <w:t>9</w:t>
      </w:r>
      <w:r w:rsidR="00FB54E3" w:rsidRPr="00947A0C">
        <w:rPr>
          <w:rFonts w:ascii="Times New Roman" w:hAnsi="Times New Roman" w:cs="Times New Roman"/>
          <w:sz w:val="28"/>
          <w:szCs w:val="28"/>
          <w:vertAlign w:val="superscript"/>
        </w:rPr>
        <w:t> </w:t>
      </w:r>
      <w:r w:rsidRPr="00947A0C">
        <w:rPr>
          <w:rFonts w:ascii="Times New Roman" w:hAnsi="Times New Roman" w:cs="Times New Roman"/>
          <w:sz w:val="28"/>
          <w:szCs w:val="28"/>
        </w:rPr>
        <w:t>3. </w:t>
      </w:r>
      <w:bookmarkEnd w:id="10"/>
      <w:r w:rsidRPr="00947A0C">
        <w:rPr>
          <w:rFonts w:ascii="Times New Roman" w:hAnsi="Times New Roman" w:cs="Times New Roman"/>
          <w:sz w:val="28"/>
          <w:szCs w:val="28"/>
        </w:rPr>
        <w:t>slēdzienu par zāļu vai medicīnisko ierīču</w:t>
      </w:r>
      <w:r w:rsidR="00501A37" w:rsidRPr="00947A0C">
        <w:rPr>
          <w:rFonts w:ascii="Times New Roman" w:hAnsi="Times New Roman" w:cs="Times New Roman"/>
          <w:sz w:val="28"/>
          <w:szCs w:val="28"/>
        </w:rPr>
        <w:t xml:space="preserve"> </w:t>
      </w:r>
      <w:r w:rsidR="00305369" w:rsidRPr="00234D7E">
        <w:rPr>
          <w:rFonts w:ascii="Times New Roman" w:hAnsi="Times New Roman" w:cs="Times New Roman"/>
          <w:sz w:val="28"/>
          <w:szCs w:val="28"/>
        </w:rPr>
        <w:t>salīdzinošo efektivitāti</w:t>
      </w:r>
      <w:r w:rsidRPr="00947A0C">
        <w:rPr>
          <w:rFonts w:ascii="Times New Roman" w:hAnsi="Times New Roman" w:cs="Times New Roman"/>
          <w:sz w:val="28"/>
          <w:szCs w:val="28"/>
        </w:rPr>
        <w:t>;</w:t>
      </w:r>
    </w:p>
    <w:p w14:paraId="6FF8526F" w14:textId="273C3690"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9</w:t>
      </w:r>
      <w:r w:rsidR="00FB54E3" w:rsidRPr="00E70D57">
        <w:rPr>
          <w:rFonts w:ascii="Times New Roman" w:hAnsi="Times New Roman" w:cs="Times New Roman"/>
          <w:sz w:val="28"/>
          <w:szCs w:val="28"/>
          <w:vertAlign w:val="superscript"/>
        </w:rPr>
        <w:t> </w:t>
      </w:r>
      <w:r w:rsidRPr="00E70D57">
        <w:rPr>
          <w:rFonts w:ascii="Times New Roman" w:hAnsi="Times New Roman" w:cs="Times New Roman"/>
          <w:sz w:val="28"/>
          <w:szCs w:val="28"/>
        </w:rPr>
        <w:t>4. slēdzienu par zāļu vai medicīnisko ierīču izmaksu efektivitāti veselības aprūpes sistēmas kontekstā</w:t>
      </w:r>
      <w:r w:rsidR="00305369">
        <w:rPr>
          <w:rFonts w:ascii="Times New Roman" w:hAnsi="Times New Roman" w:cs="Times New Roman"/>
          <w:sz w:val="28"/>
          <w:szCs w:val="28"/>
        </w:rPr>
        <w:t>;</w:t>
      </w:r>
    </w:p>
    <w:p w14:paraId="04F511E9" w14:textId="22C95DE5" w:rsidR="00B57EA1" w:rsidRPr="00E70D57" w:rsidRDefault="00B57EA1" w:rsidP="00B57EA1">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lastRenderedPageBreak/>
        <w:t>1</w:t>
      </w:r>
      <w:r w:rsidR="007D306B" w:rsidRPr="00E70D57">
        <w:rPr>
          <w:rFonts w:ascii="Times New Roman" w:hAnsi="Times New Roman" w:cs="Times New Roman"/>
          <w:sz w:val="28"/>
          <w:szCs w:val="28"/>
        </w:rPr>
        <w:t>0</w:t>
      </w:r>
      <w:r w:rsidRPr="00E70D57">
        <w:rPr>
          <w:rFonts w:ascii="Times New Roman" w:hAnsi="Times New Roman" w:cs="Times New Roman"/>
          <w:sz w:val="28"/>
          <w:szCs w:val="28"/>
        </w:rPr>
        <w:t>.</w:t>
      </w:r>
      <w:r w:rsidR="006767A4">
        <w:rPr>
          <w:rFonts w:ascii="Times New Roman" w:hAnsi="Times New Roman" w:cs="Times New Roman"/>
          <w:sz w:val="28"/>
          <w:szCs w:val="28"/>
          <w:vertAlign w:val="superscript"/>
        </w:rPr>
        <w:t>9</w:t>
      </w:r>
      <w:r w:rsidR="00FB54E3" w:rsidRPr="00E70D57">
        <w:rPr>
          <w:rFonts w:ascii="Times New Roman" w:hAnsi="Times New Roman" w:cs="Times New Roman"/>
          <w:sz w:val="28"/>
          <w:szCs w:val="28"/>
          <w:vertAlign w:val="superscript"/>
        </w:rPr>
        <w:t> </w:t>
      </w:r>
      <w:r w:rsidRPr="00E70D57">
        <w:rPr>
          <w:rFonts w:ascii="Times New Roman" w:hAnsi="Times New Roman" w:cs="Times New Roman"/>
          <w:sz w:val="28"/>
          <w:szCs w:val="28"/>
        </w:rPr>
        <w:t xml:space="preserve">5. īpašus apsvērumus (ja tādi ir), kas jāņem vērā, vērtējot zāles </w:t>
      </w:r>
      <w:r w:rsidR="00DE6A4F">
        <w:rPr>
          <w:rFonts w:ascii="Times New Roman" w:hAnsi="Times New Roman" w:cs="Times New Roman"/>
          <w:sz w:val="28"/>
          <w:szCs w:val="28"/>
        </w:rPr>
        <w:t xml:space="preserve">vai medicīniskās ierīces </w:t>
      </w:r>
      <w:r w:rsidRPr="00E70D57">
        <w:rPr>
          <w:rFonts w:ascii="Times New Roman" w:hAnsi="Times New Roman" w:cs="Times New Roman"/>
          <w:sz w:val="28"/>
          <w:szCs w:val="28"/>
        </w:rPr>
        <w:t>iekļaušanai kompensējamo zāļu sarakstā</w:t>
      </w:r>
      <w:r w:rsidR="00F66152" w:rsidRPr="00E70D57">
        <w:rPr>
          <w:rFonts w:ascii="Times New Roman" w:hAnsi="Times New Roman" w:cs="Times New Roman"/>
          <w:sz w:val="28"/>
          <w:szCs w:val="28"/>
        </w:rPr>
        <w:t>;</w:t>
      </w:r>
    </w:p>
    <w:p w14:paraId="6EB808AD" w14:textId="0794A811" w:rsidR="008E5364" w:rsidRDefault="00836BDF" w:rsidP="008A527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006767A4">
        <w:rPr>
          <w:rFonts w:ascii="Times New Roman" w:hAnsi="Times New Roman" w:cs="Times New Roman"/>
          <w:sz w:val="28"/>
          <w:szCs w:val="28"/>
          <w:vertAlign w:val="superscript"/>
        </w:rPr>
        <w:t>10</w:t>
      </w:r>
      <w:r w:rsidR="00FB54E3" w:rsidRPr="0061657B">
        <w:rPr>
          <w:rFonts w:ascii="Times New Roman" w:hAnsi="Times New Roman" w:cs="Times New Roman"/>
          <w:sz w:val="28"/>
          <w:szCs w:val="28"/>
        </w:rPr>
        <w:t xml:space="preserve"> </w:t>
      </w:r>
      <w:r w:rsidR="0061657B" w:rsidRPr="00E70D57">
        <w:rPr>
          <w:rFonts w:ascii="Times New Roman" w:hAnsi="Times New Roman" w:cs="Times New Roman"/>
          <w:sz w:val="28"/>
          <w:szCs w:val="28"/>
        </w:rPr>
        <w:t xml:space="preserve">Zāļu valsts aģentūra atzinumu sniedz </w:t>
      </w:r>
      <w:r w:rsidR="00901CAE">
        <w:rPr>
          <w:rFonts w:ascii="Times New Roman" w:hAnsi="Times New Roman" w:cs="Times New Roman"/>
          <w:sz w:val="28"/>
          <w:szCs w:val="28"/>
        </w:rPr>
        <w:t xml:space="preserve">elektroniska dokumenta formā nosūtot to uz iesnieguma iesniedzēja elektroniskā pasta adresi </w:t>
      </w:r>
      <w:r w:rsidR="0061657B" w:rsidRPr="00E70D57">
        <w:rPr>
          <w:rFonts w:ascii="Times New Roman" w:hAnsi="Times New Roman" w:cs="Times New Roman"/>
          <w:sz w:val="28"/>
          <w:szCs w:val="28"/>
        </w:rPr>
        <w:t xml:space="preserve">120 dienu laikā pēc iesnieguma </w:t>
      </w:r>
      <w:r w:rsidR="00223BED">
        <w:rPr>
          <w:rFonts w:ascii="Times New Roman" w:hAnsi="Times New Roman" w:cs="Times New Roman"/>
          <w:sz w:val="28"/>
          <w:szCs w:val="28"/>
        </w:rPr>
        <w:t>saņemšanas</w:t>
      </w:r>
      <w:r w:rsidR="0061657B" w:rsidRPr="00E70D57">
        <w:rPr>
          <w:rFonts w:ascii="Times New Roman" w:hAnsi="Times New Roman" w:cs="Times New Roman"/>
          <w:sz w:val="28"/>
          <w:szCs w:val="28"/>
        </w:rPr>
        <w:t>, neskaitot laiku, kas nepieciešams šo noteikumu 10.</w:t>
      </w:r>
      <w:r w:rsidR="0061657B" w:rsidRPr="00E70D57">
        <w:rPr>
          <w:rFonts w:ascii="Times New Roman" w:hAnsi="Times New Roman" w:cs="Times New Roman"/>
          <w:sz w:val="28"/>
          <w:szCs w:val="28"/>
          <w:vertAlign w:val="superscript"/>
        </w:rPr>
        <w:t>5</w:t>
      </w:r>
      <w:r w:rsidR="0061657B" w:rsidRPr="00E70D57">
        <w:rPr>
          <w:rFonts w:ascii="Times New Roman" w:hAnsi="Times New Roman" w:cs="Times New Roman"/>
          <w:sz w:val="28"/>
          <w:szCs w:val="28"/>
        </w:rPr>
        <w:t xml:space="preserve"> punktā minētās papildu informācijas saņemšanai, un laiku no rēķina izrakstīšanas līdz tā apmaksai. Ja iesniedzējs </w:t>
      </w:r>
      <w:r w:rsidR="0061657B">
        <w:rPr>
          <w:rFonts w:ascii="Times New Roman" w:hAnsi="Times New Roman" w:cs="Times New Roman"/>
          <w:sz w:val="28"/>
          <w:szCs w:val="28"/>
        </w:rPr>
        <w:t xml:space="preserve">nav iesniedzis visu nepieciešamo informāciju un dokumentus atzinuma sniegšanai vai </w:t>
      </w:r>
      <w:r w:rsidR="0061657B" w:rsidRPr="00E70D57">
        <w:rPr>
          <w:rFonts w:ascii="Times New Roman" w:hAnsi="Times New Roman" w:cs="Times New Roman"/>
          <w:sz w:val="28"/>
          <w:szCs w:val="28"/>
        </w:rPr>
        <w:t xml:space="preserve">nav samaksājis par iesnieguma izskatīšanu </w:t>
      </w:r>
      <w:r w:rsidR="00C36DAE" w:rsidRPr="00C36DAE">
        <w:rPr>
          <w:rFonts w:ascii="Times New Roman" w:hAnsi="Times New Roman" w:cs="Times New Roman"/>
          <w:sz w:val="28"/>
          <w:szCs w:val="28"/>
        </w:rPr>
        <w:t>saskaņā ar normatīvajiem aktiem par Zāļu valsts aģentūras maksas pakalpojumu cenrādi</w:t>
      </w:r>
      <w:r w:rsidR="0061657B" w:rsidRPr="00E70D57">
        <w:rPr>
          <w:rFonts w:ascii="Times New Roman" w:hAnsi="Times New Roman" w:cs="Times New Roman"/>
          <w:sz w:val="28"/>
          <w:szCs w:val="28"/>
        </w:rPr>
        <w:t>, Zāļu valsts aģentūra iesniegumu neizskata un informē par to iesnieguma iesniedzēju.</w:t>
      </w:r>
      <w:r w:rsidR="0061657B" w:rsidRPr="0061657B">
        <w:rPr>
          <w:rFonts w:ascii="Times New Roman" w:hAnsi="Times New Roman" w:cs="Times New Roman"/>
          <w:sz w:val="28"/>
          <w:szCs w:val="28"/>
        </w:rPr>
        <w:t xml:space="preserve"> </w:t>
      </w:r>
    </w:p>
    <w:p w14:paraId="3A84177E" w14:textId="0DE6BD0F" w:rsidR="00B57EA1" w:rsidRDefault="008E5364" w:rsidP="008A527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8E5364">
        <w:rPr>
          <w:rFonts w:ascii="Times New Roman" w:hAnsi="Times New Roman" w:cs="Times New Roman"/>
          <w:sz w:val="28"/>
          <w:szCs w:val="28"/>
          <w:vertAlign w:val="superscript"/>
        </w:rPr>
        <w:t>1</w:t>
      </w:r>
      <w:r w:rsidR="00FB54E3">
        <w:rPr>
          <w:rFonts w:ascii="Times New Roman" w:hAnsi="Times New Roman" w:cs="Times New Roman"/>
          <w:sz w:val="28"/>
          <w:szCs w:val="28"/>
          <w:vertAlign w:val="superscript"/>
        </w:rPr>
        <w:t>2</w:t>
      </w:r>
      <w:r>
        <w:rPr>
          <w:rFonts w:ascii="Times New Roman" w:hAnsi="Times New Roman" w:cs="Times New Roman"/>
          <w:sz w:val="28"/>
          <w:szCs w:val="28"/>
        </w:rPr>
        <w:t xml:space="preserve"> Zāļu valsts aģentūra ne vēlāk kā piecu darba dienu laikā pēc atzinuma nosūtīšanas iesniedzējam, publicē atzinumu savā tīmekļa vietnē, </w:t>
      </w:r>
      <w:r w:rsidR="0061657B" w:rsidRPr="00E70D57">
        <w:rPr>
          <w:rFonts w:ascii="Times New Roman" w:hAnsi="Times New Roman" w:cs="Times New Roman"/>
          <w:sz w:val="28"/>
          <w:szCs w:val="28"/>
        </w:rPr>
        <w:t>”</w:t>
      </w:r>
    </w:p>
    <w:p w14:paraId="50D848D7" w14:textId="46A0B773" w:rsidR="009C0EAD" w:rsidRPr="00E70D57" w:rsidRDefault="009C0EAD" w:rsidP="008A527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0C1731">
        <w:rPr>
          <w:rFonts w:ascii="Times New Roman" w:hAnsi="Times New Roman" w:cs="Times New Roman"/>
          <w:sz w:val="28"/>
          <w:szCs w:val="28"/>
        </w:rPr>
        <w:t>5</w:t>
      </w:r>
      <w:r>
        <w:rPr>
          <w:rFonts w:ascii="Times New Roman" w:hAnsi="Times New Roman" w:cs="Times New Roman"/>
          <w:sz w:val="28"/>
          <w:szCs w:val="28"/>
        </w:rPr>
        <w:t>. aizstāt 11.punktā vārdus “</w:t>
      </w:r>
      <w:r w:rsidRPr="009C0EAD">
        <w:rPr>
          <w:rFonts w:ascii="Times New Roman" w:hAnsi="Times New Roman" w:cs="Times New Roman"/>
          <w:sz w:val="28"/>
          <w:szCs w:val="28"/>
        </w:rPr>
        <w:t>zāļu vai medicīnisko ierīču reģistrācijas apliecības turētājs (īpašnieks) vai viņa pilnvarots pārstāvis vai zāļu vai medicīnisko ierīču vairumtirgotājs vai viņa pilnvarots pārstāvis (turpmāk - iesniedzējs)</w:t>
      </w:r>
      <w:r>
        <w:rPr>
          <w:rFonts w:ascii="Times New Roman" w:hAnsi="Times New Roman" w:cs="Times New Roman"/>
          <w:sz w:val="28"/>
          <w:szCs w:val="28"/>
        </w:rPr>
        <w:t>” ar vārdu “iesniedzējs”.</w:t>
      </w:r>
    </w:p>
    <w:p w14:paraId="53AF6507" w14:textId="1EAA9317" w:rsidR="0016151D" w:rsidRDefault="0004081A" w:rsidP="0016151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Pr>
          <w:rFonts w:ascii="Times New Roman" w:hAnsi="Times New Roman" w:cs="Times New Roman"/>
          <w:sz w:val="28"/>
          <w:szCs w:val="28"/>
        </w:rPr>
        <w:t>6</w:t>
      </w:r>
      <w:r w:rsidRPr="00E70D57">
        <w:rPr>
          <w:rFonts w:ascii="Times New Roman" w:hAnsi="Times New Roman" w:cs="Times New Roman"/>
          <w:sz w:val="28"/>
          <w:szCs w:val="28"/>
        </w:rPr>
        <w:t>. i</w:t>
      </w:r>
      <w:r w:rsidR="0016151D" w:rsidRPr="00E70D57">
        <w:rPr>
          <w:rFonts w:ascii="Times New Roman" w:hAnsi="Times New Roman" w:cs="Times New Roman"/>
          <w:sz w:val="28"/>
          <w:szCs w:val="28"/>
        </w:rPr>
        <w:t>zteikt 12.</w:t>
      </w:r>
      <w:r w:rsidR="00223A14" w:rsidRPr="00E70D57" w:rsidDel="00223A14">
        <w:rPr>
          <w:rFonts w:ascii="Times New Roman" w:hAnsi="Times New Roman" w:cs="Times New Roman"/>
          <w:sz w:val="28"/>
          <w:szCs w:val="28"/>
        </w:rPr>
        <w:t xml:space="preserve"> </w:t>
      </w:r>
      <w:r w:rsidR="0016151D" w:rsidRPr="00E70D57">
        <w:rPr>
          <w:rFonts w:ascii="Times New Roman" w:hAnsi="Times New Roman" w:cs="Times New Roman"/>
          <w:sz w:val="28"/>
          <w:szCs w:val="28"/>
        </w:rPr>
        <w:t>punktu šādā redakcijā:</w:t>
      </w:r>
    </w:p>
    <w:p w14:paraId="6255CC2B" w14:textId="77777777"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12. Iesniegumam par zāļu iekļaušanu kompensējamo zāļu sarakstā iesniedzējs pievieno šādus dokumentus un informāciju:</w:t>
      </w:r>
    </w:p>
    <w:p w14:paraId="1086824A" w14:textId="27F53C8B"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 xml:space="preserve">12.1. </w:t>
      </w:r>
      <w:r w:rsidR="00A2723E" w:rsidRPr="00E70D57">
        <w:rPr>
          <w:rFonts w:ascii="Times New Roman" w:hAnsi="Times New Roman" w:cs="Times New Roman"/>
          <w:sz w:val="28"/>
          <w:szCs w:val="28"/>
        </w:rPr>
        <w:t>Zāļu valsts aģentūras atzinumu</w:t>
      </w:r>
      <w:r w:rsidR="004972D5">
        <w:rPr>
          <w:rFonts w:ascii="Times New Roman" w:hAnsi="Times New Roman" w:cs="Times New Roman"/>
          <w:sz w:val="28"/>
          <w:szCs w:val="28"/>
        </w:rPr>
        <w:t xml:space="preserve"> (ja attiecināms)</w:t>
      </w:r>
      <w:r w:rsidRPr="00223A14">
        <w:rPr>
          <w:rFonts w:ascii="Times New Roman" w:hAnsi="Times New Roman" w:cs="Times New Roman"/>
          <w:sz w:val="28"/>
          <w:szCs w:val="28"/>
        </w:rPr>
        <w:t>;</w:t>
      </w:r>
    </w:p>
    <w:p w14:paraId="1340FD3E" w14:textId="3EC23B8F"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 xml:space="preserve">12.2. informāciju par zāļu ražotāja realizācijas cenu </w:t>
      </w:r>
      <w:bookmarkStart w:id="11" w:name="_Hlk8368675"/>
      <w:r w:rsidRPr="00223A14">
        <w:rPr>
          <w:rFonts w:ascii="Times New Roman" w:hAnsi="Times New Roman" w:cs="Times New Roman"/>
          <w:sz w:val="28"/>
          <w:szCs w:val="28"/>
        </w:rPr>
        <w:t xml:space="preserve">Čehijā, Dānijā, Igaunijā, Lietuvā, </w:t>
      </w:r>
      <w:r w:rsidR="00AD5D0C">
        <w:rPr>
          <w:rFonts w:ascii="Times New Roman" w:hAnsi="Times New Roman" w:cs="Times New Roman"/>
          <w:sz w:val="28"/>
          <w:szCs w:val="28"/>
        </w:rPr>
        <w:t xml:space="preserve">Polijā, </w:t>
      </w:r>
      <w:r w:rsidRPr="00223A14">
        <w:rPr>
          <w:rFonts w:ascii="Times New Roman" w:hAnsi="Times New Roman" w:cs="Times New Roman"/>
          <w:sz w:val="28"/>
          <w:szCs w:val="28"/>
        </w:rPr>
        <w:t>Rumānijā, Slovākijā un Ungārijā</w:t>
      </w:r>
      <w:bookmarkEnd w:id="11"/>
      <w:r w:rsidRPr="00223A14">
        <w:rPr>
          <w:rFonts w:ascii="Times New Roman" w:hAnsi="Times New Roman" w:cs="Times New Roman"/>
          <w:sz w:val="28"/>
          <w:szCs w:val="28"/>
        </w:rPr>
        <w:t xml:space="preserve"> attiecīgajā valūtā un </w:t>
      </w:r>
      <w:proofErr w:type="spellStart"/>
      <w:r w:rsidRPr="00223A14">
        <w:rPr>
          <w:rFonts w:ascii="Times New Roman" w:hAnsi="Times New Roman" w:cs="Times New Roman"/>
          <w:i/>
          <w:iCs/>
          <w:sz w:val="28"/>
          <w:szCs w:val="28"/>
        </w:rPr>
        <w:t>euro</w:t>
      </w:r>
      <w:proofErr w:type="spellEnd"/>
      <w:r w:rsidRPr="00223A14">
        <w:rPr>
          <w:rFonts w:ascii="Times New Roman" w:hAnsi="Times New Roman" w:cs="Times New Roman"/>
          <w:sz w:val="28"/>
          <w:szCs w:val="28"/>
        </w:rPr>
        <w:t> atbilstoši grāmatvedībā izmantojamam ārvalstu valūtas kursam iesnieguma iesniegšanas dienā;</w:t>
      </w:r>
    </w:p>
    <w:p w14:paraId="3F3FFB61" w14:textId="77777777"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12.3. sagaidāmā kompensācijai piešķirto līdzekļu patēriņa aprēķinu, ietverot salīdzinošo terapiju, pacientu mērķa grupas un pacientu skaitu, kā arī aprēķinu par iespējamo kompensācijas kārtībā Latvijā pārdodamo zāļu apjomu un prognozējamo apgrozījumu;</w:t>
      </w:r>
    </w:p>
    <w:p w14:paraId="305C6E23" w14:textId="5C2D8380"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12.</w:t>
      </w:r>
      <w:r w:rsidR="00A2723E">
        <w:rPr>
          <w:rFonts w:ascii="Times New Roman" w:hAnsi="Times New Roman" w:cs="Times New Roman"/>
          <w:sz w:val="28"/>
          <w:szCs w:val="28"/>
        </w:rPr>
        <w:t>4</w:t>
      </w:r>
      <w:r w:rsidRPr="00223A14">
        <w:rPr>
          <w:rFonts w:ascii="Times New Roman" w:hAnsi="Times New Roman" w:cs="Times New Roman"/>
          <w:sz w:val="28"/>
          <w:szCs w:val="28"/>
        </w:rPr>
        <w:t>. apliecinājumu, ka tiks nodrošināta pastāvīga kompensējamo zāļu esība tirgū;</w:t>
      </w:r>
    </w:p>
    <w:p w14:paraId="64F9F5C0" w14:textId="715370C0"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12.</w:t>
      </w:r>
      <w:r w:rsidR="00A2723E">
        <w:rPr>
          <w:rFonts w:ascii="Times New Roman" w:hAnsi="Times New Roman" w:cs="Times New Roman"/>
          <w:sz w:val="28"/>
          <w:szCs w:val="28"/>
        </w:rPr>
        <w:t>5</w:t>
      </w:r>
      <w:r w:rsidRPr="00223A14">
        <w:rPr>
          <w:rFonts w:ascii="Times New Roman" w:hAnsi="Times New Roman" w:cs="Times New Roman"/>
          <w:sz w:val="28"/>
          <w:szCs w:val="28"/>
        </w:rPr>
        <w:t>. zāļu reģistrācijas apliecības turētāja (īpašnieka) vai zāļu vairumtirgotāja izsniegtu pilnvaru, ja iesniedzējs ir zāļu reģistrācijas apliecības turētāja (īpašnieka) vai zāļu vairumtirgotāja pilnvarots pārstāvis;</w:t>
      </w:r>
    </w:p>
    <w:p w14:paraId="6455BA10" w14:textId="51D197BF" w:rsidR="00223A14" w:rsidRPr="00223A14" w:rsidRDefault="00223A14" w:rsidP="00223A14">
      <w:pPr>
        <w:spacing w:after="120" w:line="240" w:lineRule="auto"/>
        <w:ind w:firstLine="720"/>
        <w:jc w:val="both"/>
        <w:rPr>
          <w:rFonts w:ascii="Times New Roman" w:hAnsi="Times New Roman" w:cs="Times New Roman"/>
          <w:sz w:val="28"/>
          <w:szCs w:val="28"/>
        </w:rPr>
      </w:pPr>
      <w:r w:rsidRPr="00223A14">
        <w:rPr>
          <w:rFonts w:ascii="Times New Roman" w:hAnsi="Times New Roman" w:cs="Times New Roman"/>
          <w:sz w:val="28"/>
          <w:szCs w:val="28"/>
        </w:rPr>
        <w:t>12.</w:t>
      </w:r>
      <w:r w:rsidR="00A2723E">
        <w:rPr>
          <w:rFonts w:ascii="Times New Roman" w:hAnsi="Times New Roman" w:cs="Times New Roman"/>
          <w:sz w:val="28"/>
          <w:szCs w:val="28"/>
        </w:rPr>
        <w:t>6</w:t>
      </w:r>
      <w:r w:rsidRPr="00223A14">
        <w:rPr>
          <w:rFonts w:ascii="Times New Roman" w:hAnsi="Times New Roman" w:cs="Times New Roman"/>
          <w:sz w:val="28"/>
          <w:szCs w:val="28"/>
        </w:rPr>
        <w:t>. dokumentu, kas apliecina, ka iesniedzējs ir reģistrējies kādā no Eiropas Ekonomikas zonas valstīm, kā arī pārstāvības tiesību apliecinošu dokumentu (kopijas);</w:t>
      </w:r>
    </w:p>
    <w:p w14:paraId="51D7346F" w14:textId="3C4E8D2C" w:rsidR="00223A14" w:rsidRPr="00223A14" w:rsidRDefault="00223A14" w:rsidP="00A2723E">
      <w:pPr>
        <w:spacing w:after="120" w:line="240" w:lineRule="auto"/>
        <w:ind w:firstLine="720"/>
        <w:jc w:val="both"/>
        <w:rPr>
          <w:rFonts w:ascii="Times New Roman" w:hAnsi="Times New Roman" w:cs="Times New Roman"/>
          <w:i/>
          <w:iCs/>
          <w:sz w:val="28"/>
          <w:szCs w:val="28"/>
        </w:rPr>
      </w:pPr>
      <w:r w:rsidRPr="00223A14">
        <w:rPr>
          <w:rFonts w:ascii="Times New Roman" w:hAnsi="Times New Roman" w:cs="Times New Roman"/>
          <w:sz w:val="28"/>
          <w:szCs w:val="28"/>
        </w:rPr>
        <w:t>12.</w:t>
      </w:r>
      <w:r w:rsidR="00A2723E">
        <w:rPr>
          <w:rFonts w:ascii="Times New Roman" w:hAnsi="Times New Roman" w:cs="Times New Roman"/>
          <w:sz w:val="28"/>
          <w:szCs w:val="28"/>
        </w:rPr>
        <w:t>7</w:t>
      </w:r>
      <w:r w:rsidRPr="00223A14">
        <w:rPr>
          <w:rFonts w:ascii="Times New Roman" w:hAnsi="Times New Roman" w:cs="Times New Roman"/>
          <w:sz w:val="28"/>
          <w:szCs w:val="28"/>
        </w:rPr>
        <w:t xml:space="preserve">. informāciju par </w:t>
      </w:r>
      <w:r w:rsidR="00A2723E">
        <w:rPr>
          <w:rFonts w:ascii="Times New Roman" w:hAnsi="Times New Roman" w:cs="Times New Roman"/>
          <w:sz w:val="28"/>
          <w:szCs w:val="28"/>
        </w:rPr>
        <w:t>iesniedzēja finansiālo līdzdalību zāļu nodrošināšanā.</w:t>
      </w:r>
      <w:r w:rsidR="004508A2">
        <w:rPr>
          <w:rFonts w:ascii="Times New Roman" w:hAnsi="Times New Roman" w:cs="Times New Roman"/>
          <w:sz w:val="28"/>
          <w:szCs w:val="28"/>
        </w:rPr>
        <w:t>”</w:t>
      </w:r>
    </w:p>
    <w:p w14:paraId="7CAE7C8F" w14:textId="0D973FEB" w:rsidR="00844CBB" w:rsidRPr="00E70D57" w:rsidRDefault="0004081A" w:rsidP="00844CB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D2297B">
        <w:rPr>
          <w:rFonts w:ascii="Times New Roman" w:hAnsi="Times New Roman" w:cs="Times New Roman"/>
          <w:sz w:val="28"/>
          <w:szCs w:val="28"/>
        </w:rPr>
        <w:t>7</w:t>
      </w:r>
      <w:r w:rsidRPr="00E70D57">
        <w:rPr>
          <w:rFonts w:ascii="Times New Roman" w:hAnsi="Times New Roman" w:cs="Times New Roman"/>
          <w:sz w:val="28"/>
          <w:szCs w:val="28"/>
        </w:rPr>
        <w:t>. p</w:t>
      </w:r>
      <w:r w:rsidR="00844CBB" w:rsidRPr="00E70D57">
        <w:rPr>
          <w:rFonts w:ascii="Times New Roman" w:hAnsi="Times New Roman" w:cs="Times New Roman"/>
          <w:sz w:val="28"/>
          <w:szCs w:val="28"/>
        </w:rPr>
        <w:t>apildināt noteikumus ar 15.9. </w:t>
      </w:r>
      <w:r w:rsidR="00437F34" w:rsidRPr="00E70D57">
        <w:rPr>
          <w:rFonts w:ascii="Times New Roman" w:hAnsi="Times New Roman" w:cs="Times New Roman"/>
          <w:sz w:val="28"/>
          <w:szCs w:val="28"/>
        </w:rPr>
        <w:t xml:space="preserve"> un 15.10.</w:t>
      </w:r>
      <w:r w:rsidR="00844CBB" w:rsidRPr="00E70D57">
        <w:rPr>
          <w:rFonts w:ascii="Times New Roman" w:hAnsi="Times New Roman" w:cs="Times New Roman"/>
          <w:sz w:val="28"/>
          <w:szCs w:val="28"/>
        </w:rPr>
        <w:t>apakšpunktu šādā redakcijā:</w:t>
      </w:r>
    </w:p>
    <w:p w14:paraId="5FCFB567" w14:textId="59F4A58F" w:rsidR="00D2297B" w:rsidRDefault="00844CBB" w:rsidP="00844CB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lastRenderedPageBreak/>
        <w:t>“15.9. </w:t>
      </w:r>
      <w:r w:rsidR="00EB0B9A" w:rsidRPr="00E70D57">
        <w:rPr>
          <w:rFonts w:ascii="Times New Roman" w:hAnsi="Times New Roman" w:cs="Times New Roman"/>
          <w:sz w:val="28"/>
          <w:szCs w:val="28"/>
        </w:rPr>
        <w:t>Zāļu valsts aģentūras atzinumu</w:t>
      </w:r>
      <w:r w:rsidR="0064475A">
        <w:rPr>
          <w:rFonts w:ascii="Times New Roman" w:hAnsi="Times New Roman" w:cs="Times New Roman"/>
          <w:sz w:val="28"/>
          <w:szCs w:val="28"/>
        </w:rPr>
        <w:t xml:space="preserve"> (ja attiecināms)</w:t>
      </w:r>
      <w:r w:rsidR="00092271">
        <w:rPr>
          <w:rFonts w:ascii="Times New Roman" w:hAnsi="Times New Roman" w:cs="Times New Roman"/>
          <w:sz w:val="28"/>
          <w:szCs w:val="28"/>
        </w:rPr>
        <w:t>;</w:t>
      </w:r>
    </w:p>
    <w:p w14:paraId="6DC21268" w14:textId="253C2E09" w:rsidR="00437F34" w:rsidRPr="00E70D57" w:rsidRDefault="00D2297B" w:rsidP="00844CBB">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15.</w:t>
      </w:r>
      <w:r w:rsidR="00706727">
        <w:rPr>
          <w:rFonts w:ascii="Times New Roman" w:hAnsi="Times New Roman" w:cs="Times New Roman"/>
          <w:sz w:val="28"/>
          <w:szCs w:val="28"/>
        </w:rPr>
        <w:t>10</w:t>
      </w:r>
      <w:r w:rsidRPr="00E70D57">
        <w:rPr>
          <w:rFonts w:ascii="Times New Roman" w:hAnsi="Times New Roman" w:cs="Times New Roman"/>
          <w:sz w:val="28"/>
          <w:szCs w:val="28"/>
        </w:rPr>
        <w:t>. </w:t>
      </w:r>
      <w:r w:rsidRPr="00223A14">
        <w:t xml:space="preserve"> </w:t>
      </w:r>
      <w:r w:rsidRPr="00223A14">
        <w:rPr>
          <w:rFonts w:ascii="Times New Roman" w:hAnsi="Times New Roman" w:cs="Times New Roman"/>
          <w:sz w:val="28"/>
          <w:szCs w:val="28"/>
        </w:rPr>
        <w:t xml:space="preserve">priekšlikumu par </w:t>
      </w:r>
      <w:r>
        <w:rPr>
          <w:rFonts w:ascii="Times New Roman" w:hAnsi="Times New Roman" w:cs="Times New Roman"/>
          <w:sz w:val="28"/>
          <w:szCs w:val="28"/>
        </w:rPr>
        <w:t>iesniedzēja finansiālo līdzdalību medicīnisko ierīču nodrošināšanā</w:t>
      </w:r>
      <w:r w:rsidR="00706727">
        <w:rPr>
          <w:rFonts w:ascii="Times New Roman" w:hAnsi="Times New Roman" w:cs="Times New Roman"/>
          <w:sz w:val="28"/>
          <w:szCs w:val="28"/>
        </w:rPr>
        <w:t>.’;</w:t>
      </w:r>
    </w:p>
    <w:p w14:paraId="22B42B00" w14:textId="00605C47" w:rsidR="00444B9D" w:rsidRPr="00E70D57" w:rsidRDefault="0004081A" w:rsidP="00444B9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Pr>
          <w:rFonts w:ascii="Times New Roman" w:hAnsi="Times New Roman" w:cs="Times New Roman"/>
          <w:sz w:val="28"/>
          <w:szCs w:val="28"/>
        </w:rPr>
        <w:t>8</w:t>
      </w:r>
      <w:r w:rsidRPr="00E70D57">
        <w:rPr>
          <w:rFonts w:ascii="Times New Roman" w:hAnsi="Times New Roman" w:cs="Times New Roman"/>
          <w:sz w:val="28"/>
          <w:szCs w:val="28"/>
        </w:rPr>
        <w:t>. i</w:t>
      </w:r>
      <w:r w:rsidR="00444B9D" w:rsidRPr="00E70D57">
        <w:rPr>
          <w:rFonts w:ascii="Times New Roman" w:hAnsi="Times New Roman" w:cs="Times New Roman"/>
          <w:sz w:val="28"/>
          <w:szCs w:val="28"/>
        </w:rPr>
        <w:t>zteikt 16.1. apakšpunktu šādā redakcijā:</w:t>
      </w:r>
    </w:p>
    <w:p w14:paraId="6DBEEDF0" w14:textId="367E66B4" w:rsidR="00444B9D" w:rsidRPr="00E70D57" w:rsidRDefault="00444B9D" w:rsidP="00444B9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“16.1. Zāļu valsts aģentūras atzinumu</w:t>
      </w:r>
      <w:r w:rsidR="004972D5">
        <w:rPr>
          <w:rFonts w:ascii="Times New Roman" w:hAnsi="Times New Roman" w:cs="Times New Roman"/>
          <w:sz w:val="28"/>
          <w:szCs w:val="28"/>
        </w:rPr>
        <w:t xml:space="preserve"> (ja attiecināms)</w:t>
      </w:r>
      <w:r w:rsidRPr="00E70D57">
        <w:rPr>
          <w:rFonts w:ascii="Times New Roman" w:hAnsi="Times New Roman" w:cs="Times New Roman"/>
          <w:sz w:val="28"/>
          <w:szCs w:val="28"/>
        </w:rPr>
        <w:t>”;</w:t>
      </w:r>
    </w:p>
    <w:p w14:paraId="3C55F7AD" w14:textId="6B9AA462" w:rsidR="00444B9D" w:rsidRDefault="0004081A" w:rsidP="00444B9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Pr>
          <w:rFonts w:ascii="Times New Roman" w:hAnsi="Times New Roman" w:cs="Times New Roman"/>
          <w:sz w:val="28"/>
          <w:szCs w:val="28"/>
        </w:rPr>
        <w:t>9</w:t>
      </w:r>
      <w:r w:rsidRPr="00E70D57">
        <w:rPr>
          <w:rFonts w:ascii="Times New Roman" w:hAnsi="Times New Roman" w:cs="Times New Roman"/>
          <w:sz w:val="28"/>
          <w:szCs w:val="28"/>
        </w:rPr>
        <w:t>. s</w:t>
      </w:r>
      <w:r w:rsidR="00444B9D" w:rsidRPr="00E70D57">
        <w:rPr>
          <w:rFonts w:ascii="Times New Roman" w:hAnsi="Times New Roman" w:cs="Times New Roman"/>
          <w:sz w:val="28"/>
          <w:szCs w:val="28"/>
        </w:rPr>
        <w:t>vītrot 16.3. apakšpunktu;</w:t>
      </w:r>
    </w:p>
    <w:p w14:paraId="328C387E" w14:textId="2A36E4FA" w:rsidR="00706727" w:rsidRPr="00E70D57" w:rsidRDefault="00706727" w:rsidP="00444B9D">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000C1731">
        <w:rPr>
          <w:rFonts w:ascii="Times New Roman" w:hAnsi="Times New Roman" w:cs="Times New Roman"/>
          <w:sz w:val="28"/>
          <w:szCs w:val="28"/>
        </w:rPr>
        <w:t>0</w:t>
      </w:r>
      <w:r>
        <w:rPr>
          <w:rFonts w:ascii="Times New Roman" w:hAnsi="Times New Roman" w:cs="Times New Roman"/>
          <w:sz w:val="28"/>
          <w:szCs w:val="28"/>
        </w:rPr>
        <w:t>. aizstāt 19.punktā vārdu “publisko” ar vārdu “maksas”;</w:t>
      </w:r>
    </w:p>
    <w:p w14:paraId="64E12949" w14:textId="16FB1FA4" w:rsidR="00D60572" w:rsidRPr="00E70D57" w:rsidRDefault="0004081A" w:rsidP="00AF0223">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sidRPr="00E70D57">
        <w:rPr>
          <w:rFonts w:ascii="Times New Roman" w:hAnsi="Times New Roman" w:cs="Times New Roman"/>
          <w:sz w:val="28"/>
          <w:szCs w:val="28"/>
        </w:rPr>
        <w:t>1</w:t>
      </w:r>
      <w:r w:rsidR="000C1731">
        <w:rPr>
          <w:rFonts w:ascii="Times New Roman" w:hAnsi="Times New Roman" w:cs="Times New Roman"/>
          <w:sz w:val="28"/>
          <w:szCs w:val="28"/>
        </w:rPr>
        <w:t>1</w:t>
      </w:r>
      <w:r w:rsidRPr="00E70D57">
        <w:rPr>
          <w:rFonts w:ascii="Times New Roman" w:hAnsi="Times New Roman" w:cs="Times New Roman"/>
          <w:sz w:val="28"/>
          <w:szCs w:val="28"/>
        </w:rPr>
        <w:t>. i</w:t>
      </w:r>
      <w:r w:rsidR="000F499A" w:rsidRPr="00E70D57">
        <w:rPr>
          <w:rFonts w:ascii="Times New Roman" w:hAnsi="Times New Roman" w:cs="Times New Roman"/>
          <w:sz w:val="28"/>
          <w:szCs w:val="28"/>
        </w:rPr>
        <w:t>zteikt</w:t>
      </w:r>
      <w:r w:rsidR="00D60572" w:rsidRPr="00E70D57">
        <w:rPr>
          <w:rFonts w:ascii="Times New Roman" w:hAnsi="Times New Roman" w:cs="Times New Roman"/>
          <w:sz w:val="28"/>
          <w:szCs w:val="28"/>
        </w:rPr>
        <w:t xml:space="preserve"> 22.</w:t>
      </w:r>
      <w:r w:rsidR="000F499A" w:rsidRPr="00E70D57">
        <w:rPr>
          <w:rFonts w:ascii="Times New Roman" w:hAnsi="Times New Roman" w:cs="Times New Roman"/>
          <w:sz w:val="28"/>
          <w:szCs w:val="28"/>
        </w:rPr>
        <w:t> </w:t>
      </w:r>
      <w:r w:rsidR="00D60572" w:rsidRPr="00E70D57">
        <w:rPr>
          <w:rFonts w:ascii="Times New Roman" w:hAnsi="Times New Roman" w:cs="Times New Roman"/>
          <w:sz w:val="28"/>
          <w:szCs w:val="28"/>
        </w:rPr>
        <w:t>punktu šādā redakcijā:</w:t>
      </w:r>
    </w:p>
    <w:p w14:paraId="0CB85AA2" w14:textId="2130E7FA" w:rsidR="006D4A56" w:rsidRPr="00E70D57" w:rsidRDefault="00DB5AD4" w:rsidP="006D4A56">
      <w:pPr>
        <w:spacing w:after="120" w:line="240" w:lineRule="auto"/>
        <w:ind w:firstLine="720"/>
        <w:jc w:val="both"/>
        <w:rPr>
          <w:rFonts w:ascii="Times New Roman" w:hAnsi="Times New Roman" w:cs="Times New Roman"/>
          <w:sz w:val="28"/>
          <w:szCs w:val="28"/>
        </w:rPr>
      </w:pPr>
      <w:r w:rsidRPr="00E70D57" w:rsidDel="00DB5AD4">
        <w:rPr>
          <w:rFonts w:ascii="Times New Roman" w:hAnsi="Times New Roman" w:cs="Times New Roman"/>
          <w:sz w:val="28"/>
          <w:szCs w:val="28"/>
        </w:rPr>
        <w:t xml:space="preserve"> </w:t>
      </w:r>
      <w:r w:rsidR="00D60572" w:rsidRPr="00E70D57">
        <w:rPr>
          <w:rFonts w:ascii="Times New Roman" w:hAnsi="Times New Roman" w:cs="Times New Roman"/>
          <w:sz w:val="28"/>
          <w:szCs w:val="28"/>
        </w:rPr>
        <w:t>“</w:t>
      </w:r>
      <w:r w:rsidR="00596D87" w:rsidRPr="00E70D57">
        <w:rPr>
          <w:rFonts w:ascii="Times New Roman" w:hAnsi="Times New Roman" w:cs="Times New Roman"/>
          <w:sz w:val="28"/>
          <w:szCs w:val="28"/>
        </w:rPr>
        <w:t>22.</w:t>
      </w:r>
      <w:r w:rsidR="00596D87" w:rsidRPr="00E70D57">
        <w:rPr>
          <w:rFonts w:ascii="Times New Roman" w:hAnsi="Times New Roman" w:cs="Times New Roman"/>
          <w:sz w:val="28"/>
          <w:szCs w:val="28"/>
          <w:vertAlign w:val="superscript"/>
        </w:rPr>
        <w:t> </w:t>
      </w:r>
      <w:r w:rsidR="00596D87" w:rsidRPr="00E70D57">
        <w:rPr>
          <w:rFonts w:ascii="Times New Roman" w:hAnsi="Times New Roman" w:cs="Times New Roman"/>
          <w:sz w:val="28"/>
          <w:szCs w:val="28"/>
        </w:rPr>
        <w:t>Izskatot iesniegumu zāļu vai medicīnisko ierīču iekļaušan</w:t>
      </w:r>
      <w:r w:rsidR="006D4A56" w:rsidRPr="00E70D57">
        <w:rPr>
          <w:rFonts w:ascii="Times New Roman" w:hAnsi="Times New Roman" w:cs="Times New Roman"/>
          <w:sz w:val="28"/>
          <w:szCs w:val="28"/>
        </w:rPr>
        <w:t>ai</w:t>
      </w:r>
      <w:r w:rsidR="00596D87" w:rsidRPr="00E70D57">
        <w:rPr>
          <w:rFonts w:ascii="Times New Roman" w:hAnsi="Times New Roman" w:cs="Times New Roman"/>
          <w:sz w:val="28"/>
          <w:szCs w:val="28"/>
        </w:rPr>
        <w:t xml:space="preserve"> kompensējamo zāļu sarakstā, Nacionālais veselības dienests </w:t>
      </w:r>
      <w:r w:rsidR="006D4A56" w:rsidRPr="00E70D57">
        <w:rPr>
          <w:rFonts w:ascii="Times New Roman" w:hAnsi="Times New Roman" w:cs="Times New Roman"/>
          <w:sz w:val="28"/>
          <w:szCs w:val="28"/>
        </w:rPr>
        <w:t>izvērtē</w:t>
      </w:r>
      <w:r w:rsidR="00596D87" w:rsidRPr="00E70D57">
        <w:rPr>
          <w:rFonts w:ascii="Times New Roman" w:hAnsi="Times New Roman" w:cs="Times New Roman"/>
          <w:sz w:val="28"/>
          <w:szCs w:val="28"/>
        </w:rPr>
        <w:t>:</w:t>
      </w:r>
    </w:p>
    <w:p w14:paraId="7E5749ED" w14:textId="05DE382E" w:rsidR="006D4A56" w:rsidRPr="00E70D57" w:rsidRDefault="006D4A56" w:rsidP="006D4A56">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 xml:space="preserve">22.1. </w:t>
      </w:r>
      <w:r w:rsidR="00596D87" w:rsidRPr="00E70D57">
        <w:rPr>
          <w:rFonts w:ascii="Times New Roman" w:hAnsi="Times New Roman" w:cs="Times New Roman"/>
          <w:sz w:val="28"/>
          <w:szCs w:val="28"/>
        </w:rPr>
        <w:t xml:space="preserve">zāļu un medicīnisko ierīču cenas salīdzinājumā ar attiecīgo zāļu un medicīnisko ierīču cenām Čehijā, Dānijā, Igaunijā, Lietuvā, </w:t>
      </w:r>
      <w:r w:rsidR="00AD5D0C">
        <w:rPr>
          <w:rFonts w:ascii="Times New Roman" w:hAnsi="Times New Roman" w:cs="Times New Roman"/>
          <w:sz w:val="28"/>
          <w:szCs w:val="28"/>
        </w:rPr>
        <w:t xml:space="preserve">Polijā, </w:t>
      </w:r>
      <w:r w:rsidR="00596D87" w:rsidRPr="00E70D57">
        <w:rPr>
          <w:rFonts w:ascii="Times New Roman" w:hAnsi="Times New Roman" w:cs="Times New Roman"/>
          <w:sz w:val="28"/>
          <w:szCs w:val="28"/>
        </w:rPr>
        <w:t>Rumānijā, Slovākijā un Ungārijā</w:t>
      </w:r>
      <w:r w:rsidR="008A5277" w:rsidRPr="00E70D57">
        <w:rPr>
          <w:rFonts w:ascii="Times New Roman" w:hAnsi="Times New Roman" w:cs="Times New Roman"/>
          <w:sz w:val="28"/>
          <w:szCs w:val="28"/>
        </w:rPr>
        <w:t>;</w:t>
      </w:r>
    </w:p>
    <w:p w14:paraId="619D0D44" w14:textId="715C5715" w:rsidR="004D6045" w:rsidRPr="00E70D57" w:rsidRDefault="006D4A56" w:rsidP="004D6045">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22.</w:t>
      </w:r>
      <w:r w:rsidR="00CA19B4" w:rsidRPr="00E70D57">
        <w:rPr>
          <w:rFonts w:ascii="Times New Roman" w:hAnsi="Times New Roman" w:cs="Times New Roman"/>
          <w:sz w:val="28"/>
          <w:szCs w:val="28"/>
        </w:rPr>
        <w:t>2</w:t>
      </w:r>
      <w:r w:rsidR="00035401" w:rsidRPr="00E70D57">
        <w:rPr>
          <w:rFonts w:ascii="Times New Roman" w:hAnsi="Times New Roman" w:cs="Times New Roman"/>
          <w:sz w:val="28"/>
          <w:szCs w:val="28"/>
        </w:rPr>
        <w:t>.ārstēšanas izmaksas, lietojot attiecīgās zāles vai medicīniskās ierīces, un to ietekmi uz kompensācijai piešķirtajiem līdzekļiem.</w:t>
      </w:r>
      <w:r w:rsidR="00CA19B4" w:rsidRPr="00E70D57">
        <w:rPr>
          <w:rFonts w:ascii="Times New Roman" w:hAnsi="Times New Roman" w:cs="Times New Roman"/>
          <w:sz w:val="28"/>
          <w:szCs w:val="28"/>
        </w:rPr>
        <w:t>”;</w:t>
      </w:r>
    </w:p>
    <w:p w14:paraId="7D4862C4" w14:textId="615B0C3A" w:rsidR="00011AAB" w:rsidRPr="00E70D57" w:rsidRDefault="00011AAB" w:rsidP="004D6045">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0C1731">
        <w:rPr>
          <w:rFonts w:ascii="Times New Roman" w:hAnsi="Times New Roman" w:cs="Times New Roman"/>
          <w:sz w:val="28"/>
          <w:szCs w:val="28"/>
        </w:rPr>
        <w:t>12</w:t>
      </w:r>
      <w:r w:rsidRPr="00E70D57">
        <w:rPr>
          <w:rFonts w:ascii="Times New Roman" w:hAnsi="Times New Roman" w:cs="Times New Roman"/>
          <w:sz w:val="28"/>
          <w:szCs w:val="28"/>
        </w:rPr>
        <w:t>. izteikt 30.punktu šādā redakcijā:</w:t>
      </w:r>
    </w:p>
    <w:p w14:paraId="26DF76CB" w14:textId="4695A962" w:rsidR="00011AAB" w:rsidRPr="00E70D57" w:rsidRDefault="00011AAB" w:rsidP="004D6045">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Pr="00E70D57">
        <w:rPr>
          <w:rFonts w:ascii="Times New Roman" w:hAnsi="Times New Roman" w:cs="Times New Roman"/>
          <w:sz w:val="28"/>
          <w:szCs w:val="28"/>
          <w:shd w:val="clear" w:color="auto" w:fill="FFFFFF"/>
        </w:rPr>
        <w:t xml:space="preserve">30. </w:t>
      </w:r>
      <w:r w:rsidR="00F654EF" w:rsidRPr="00E70D57">
        <w:rPr>
          <w:rFonts w:ascii="Times New Roman" w:hAnsi="Times New Roman" w:cs="Times New Roman"/>
          <w:sz w:val="28"/>
          <w:szCs w:val="28"/>
          <w:shd w:val="clear" w:color="auto" w:fill="FFFFFF"/>
        </w:rPr>
        <w:t xml:space="preserve">Kompensējamo zāļu vai medicīnisko ierīču cena nav augstāka par šo zāļu vai medicīnisko ierīču </w:t>
      </w:r>
      <w:r w:rsidR="00981163">
        <w:rPr>
          <w:rFonts w:ascii="Times New Roman" w:hAnsi="Times New Roman" w:cs="Times New Roman"/>
          <w:sz w:val="28"/>
          <w:szCs w:val="28"/>
          <w:shd w:val="clear" w:color="auto" w:fill="FFFFFF"/>
        </w:rPr>
        <w:t xml:space="preserve">otro </w:t>
      </w:r>
      <w:r w:rsidR="00F654EF" w:rsidRPr="00E70D57">
        <w:rPr>
          <w:rFonts w:ascii="Times New Roman" w:hAnsi="Times New Roman" w:cs="Times New Roman"/>
          <w:sz w:val="28"/>
          <w:szCs w:val="28"/>
          <w:shd w:val="clear" w:color="auto" w:fill="FFFFFF"/>
        </w:rPr>
        <w:t xml:space="preserve">zemāko ražotāja realizācijas cenu vai vairumtirdzniecības cenu </w:t>
      </w:r>
      <w:r w:rsidR="00933065" w:rsidRPr="00223A14">
        <w:rPr>
          <w:rFonts w:ascii="Times New Roman" w:hAnsi="Times New Roman" w:cs="Times New Roman"/>
          <w:sz w:val="28"/>
          <w:szCs w:val="28"/>
        </w:rPr>
        <w:t xml:space="preserve">Čehijā, Dānijā, </w:t>
      </w:r>
      <w:r w:rsidR="008E5364">
        <w:rPr>
          <w:rFonts w:ascii="Times New Roman" w:hAnsi="Times New Roman" w:cs="Times New Roman"/>
          <w:sz w:val="28"/>
          <w:szCs w:val="28"/>
        </w:rPr>
        <w:t xml:space="preserve">Polijā, </w:t>
      </w:r>
      <w:r w:rsidR="00933065" w:rsidRPr="00223A14">
        <w:rPr>
          <w:rFonts w:ascii="Times New Roman" w:hAnsi="Times New Roman" w:cs="Times New Roman"/>
          <w:sz w:val="28"/>
          <w:szCs w:val="28"/>
        </w:rPr>
        <w:t>Rumānijā, Slovākijā un Ungārijā</w:t>
      </w:r>
      <w:r w:rsidR="00AD5D0C">
        <w:rPr>
          <w:rFonts w:ascii="Times New Roman" w:hAnsi="Times New Roman" w:cs="Times New Roman"/>
          <w:sz w:val="28"/>
          <w:szCs w:val="28"/>
          <w:shd w:val="clear" w:color="auto" w:fill="FFFFFF"/>
        </w:rPr>
        <w:t xml:space="preserve"> un</w:t>
      </w:r>
      <w:r w:rsidR="00AD5D0C" w:rsidRPr="00E70D57">
        <w:rPr>
          <w:rFonts w:ascii="Times New Roman" w:hAnsi="Times New Roman" w:cs="Times New Roman"/>
          <w:sz w:val="28"/>
          <w:szCs w:val="28"/>
          <w:shd w:val="clear" w:color="auto" w:fill="FFFFFF"/>
        </w:rPr>
        <w:t xml:space="preserve"> </w:t>
      </w:r>
      <w:r w:rsidR="00AD5D0C" w:rsidRPr="00AD5D0C">
        <w:rPr>
          <w:rFonts w:ascii="Times New Roman" w:hAnsi="Times New Roman" w:cs="Times New Roman"/>
          <w:sz w:val="28"/>
          <w:szCs w:val="28"/>
          <w:shd w:val="clear" w:color="auto" w:fill="FFFFFF"/>
        </w:rPr>
        <w:t>nepārsniedz šo zāļu vai medicīnisko ierīču ražotāja realizācijas cenu vai vairumtirdzniecības cenu Igaunijā un Lietuvā.</w:t>
      </w:r>
      <w:r w:rsidR="00AD5D0C">
        <w:rPr>
          <w:rFonts w:ascii="Times New Roman" w:hAnsi="Times New Roman" w:cs="Times New Roman"/>
          <w:sz w:val="28"/>
          <w:szCs w:val="28"/>
          <w:shd w:val="clear" w:color="auto" w:fill="FFFFFF"/>
        </w:rPr>
        <w:t xml:space="preserve"> </w:t>
      </w:r>
      <w:r w:rsidRPr="00E70D57">
        <w:rPr>
          <w:rFonts w:ascii="Times New Roman" w:hAnsi="Times New Roman" w:cs="Times New Roman"/>
          <w:sz w:val="28"/>
          <w:szCs w:val="28"/>
          <w:shd w:val="clear" w:color="auto" w:fill="FFFFFF"/>
        </w:rPr>
        <w:t xml:space="preserve"> </w:t>
      </w:r>
      <w:r w:rsidR="00A155F9" w:rsidRPr="00A155F9">
        <w:rPr>
          <w:rFonts w:ascii="Times New Roman" w:hAnsi="Times New Roman" w:cs="Times New Roman"/>
          <w:sz w:val="28"/>
          <w:szCs w:val="28"/>
          <w:shd w:val="clear" w:color="auto" w:fill="FFFFFF"/>
        </w:rPr>
        <w:t>Iesniedzējs katru gadu līdz 1. februārim elektroniski iesniedz Nacionālajā veselības dienestā informāciju par aktuālajām zāļu cenām (</w:t>
      </w:r>
      <w:proofErr w:type="spellStart"/>
      <w:r w:rsidR="00A155F9" w:rsidRPr="00A155F9">
        <w:rPr>
          <w:rFonts w:ascii="Times New Roman" w:hAnsi="Times New Roman" w:cs="Times New Roman"/>
          <w:sz w:val="28"/>
          <w:szCs w:val="28"/>
          <w:shd w:val="clear" w:color="auto" w:fill="FFFFFF"/>
        </w:rPr>
        <w:t>euro</w:t>
      </w:r>
      <w:proofErr w:type="spellEnd"/>
      <w:r w:rsidR="00A155F9" w:rsidRPr="00A155F9">
        <w:rPr>
          <w:rFonts w:ascii="Times New Roman" w:hAnsi="Times New Roman" w:cs="Times New Roman"/>
          <w:sz w:val="28"/>
          <w:szCs w:val="28"/>
          <w:shd w:val="clear" w:color="auto" w:fill="FFFFFF"/>
        </w:rPr>
        <w:t>) minētajās valstīs, ja nepieciešams, norādot tās arī attiecīgās valsts valūtā.</w:t>
      </w:r>
      <w:r w:rsidR="00B01336">
        <w:rPr>
          <w:rFonts w:ascii="Times New Roman" w:hAnsi="Times New Roman" w:cs="Times New Roman"/>
          <w:sz w:val="28"/>
          <w:szCs w:val="28"/>
          <w:shd w:val="clear" w:color="auto" w:fill="FFFFFF"/>
        </w:rPr>
        <w:t xml:space="preserve"> </w:t>
      </w:r>
      <w:r w:rsidR="002D134E">
        <w:rPr>
          <w:rFonts w:ascii="Times New Roman" w:hAnsi="Times New Roman" w:cs="Times New Roman"/>
          <w:sz w:val="28"/>
          <w:szCs w:val="28"/>
          <w:shd w:val="clear" w:color="auto" w:fill="FFFFFF"/>
        </w:rPr>
        <w:t xml:space="preserve">Ja </w:t>
      </w:r>
      <w:r w:rsidR="002D134E" w:rsidRPr="00E70D57">
        <w:rPr>
          <w:rFonts w:ascii="Times New Roman" w:hAnsi="Times New Roman" w:cs="Times New Roman"/>
          <w:sz w:val="28"/>
          <w:szCs w:val="28"/>
          <w:shd w:val="clear" w:color="auto" w:fill="FFFFFF"/>
        </w:rPr>
        <w:t>apstiprinātā kompensācijas bāzes cena neatbilst šā punkta prasībai</w:t>
      </w:r>
      <w:r w:rsidR="002D134E">
        <w:rPr>
          <w:rFonts w:ascii="Times New Roman" w:hAnsi="Times New Roman" w:cs="Times New Roman"/>
          <w:sz w:val="28"/>
          <w:szCs w:val="28"/>
          <w:shd w:val="clear" w:color="auto" w:fill="FFFFFF"/>
        </w:rPr>
        <w:t xml:space="preserve"> iesniedzējs vienlaicīgi iesniedz arī</w:t>
      </w:r>
      <w:r w:rsidRPr="00E70D57">
        <w:rPr>
          <w:rFonts w:ascii="Times New Roman" w:hAnsi="Times New Roman" w:cs="Times New Roman"/>
          <w:sz w:val="28"/>
          <w:szCs w:val="28"/>
          <w:shd w:val="clear" w:color="auto" w:fill="FFFFFF"/>
        </w:rPr>
        <w:t xml:space="preserve"> iesniegumu kompensācijas bāzes cenas pazemināšanai</w:t>
      </w:r>
      <w:r w:rsidR="002D134E">
        <w:rPr>
          <w:rFonts w:ascii="Times New Roman" w:hAnsi="Times New Roman" w:cs="Times New Roman"/>
          <w:sz w:val="28"/>
          <w:szCs w:val="28"/>
          <w:shd w:val="clear" w:color="auto" w:fill="FFFFFF"/>
        </w:rPr>
        <w:t>.</w:t>
      </w:r>
      <w:r w:rsidRPr="00E70D57">
        <w:rPr>
          <w:rFonts w:ascii="Times New Roman" w:hAnsi="Times New Roman" w:cs="Times New Roman"/>
          <w:sz w:val="28"/>
          <w:szCs w:val="28"/>
          <w:shd w:val="clear" w:color="auto" w:fill="FFFFFF"/>
        </w:rPr>
        <w:t xml:space="preserve"> </w:t>
      </w:r>
      <w:r w:rsidRPr="00E70D57">
        <w:rPr>
          <w:rFonts w:ascii="Times New Roman" w:hAnsi="Times New Roman" w:cs="Times New Roman"/>
          <w:sz w:val="28"/>
          <w:szCs w:val="28"/>
        </w:rPr>
        <w:t>”;</w:t>
      </w:r>
    </w:p>
    <w:p w14:paraId="46C83D8D" w14:textId="12ECFD0E" w:rsidR="000773B3" w:rsidRDefault="0004081A" w:rsidP="002D134E">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DE6A4F">
        <w:rPr>
          <w:rFonts w:ascii="Times New Roman" w:hAnsi="Times New Roman" w:cs="Times New Roman"/>
          <w:sz w:val="28"/>
          <w:szCs w:val="28"/>
        </w:rPr>
        <w:t>13</w:t>
      </w:r>
      <w:r w:rsidRPr="00E70D57">
        <w:rPr>
          <w:rFonts w:ascii="Times New Roman" w:hAnsi="Times New Roman" w:cs="Times New Roman"/>
          <w:sz w:val="28"/>
          <w:szCs w:val="28"/>
        </w:rPr>
        <w:t>. </w:t>
      </w:r>
      <w:r w:rsidR="002D134E">
        <w:rPr>
          <w:rFonts w:ascii="Times New Roman" w:hAnsi="Times New Roman" w:cs="Times New Roman"/>
          <w:sz w:val="28"/>
          <w:szCs w:val="28"/>
        </w:rPr>
        <w:t>aizstāt 53.punktā skaitli “180” ar skaitli “60”</w:t>
      </w:r>
      <w:r w:rsidR="005E1AD8">
        <w:rPr>
          <w:rFonts w:ascii="Times New Roman" w:hAnsi="Times New Roman" w:cs="Times New Roman"/>
          <w:sz w:val="28"/>
          <w:szCs w:val="28"/>
        </w:rPr>
        <w:t xml:space="preserve"> un vārdus “triju mēnešu” ar vārdiem “viena mēneša”.</w:t>
      </w:r>
      <w:r w:rsidR="002D134E">
        <w:rPr>
          <w:rFonts w:ascii="Times New Roman" w:hAnsi="Times New Roman" w:cs="Times New Roman"/>
          <w:sz w:val="28"/>
          <w:szCs w:val="28"/>
        </w:rPr>
        <w:t xml:space="preserve">; </w:t>
      </w:r>
    </w:p>
    <w:p w14:paraId="0FA545AA" w14:textId="1E926C26" w:rsidR="00DC057C" w:rsidRPr="00495CDC" w:rsidRDefault="000C1731" w:rsidP="002D134E">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1.</w:t>
      </w:r>
      <w:r w:rsidR="00DE6A4F" w:rsidRPr="00495CDC">
        <w:rPr>
          <w:rFonts w:ascii="Times New Roman" w:hAnsi="Times New Roman" w:cs="Times New Roman"/>
          <w:sz w:val="28"/>
          <w:szCs w:val="28"/>
        </w:rPr>
        <w:t>14</w:t>
      </w:r>
      <w:r w:rsidRPr="00495CDC">
        <w:rPr>
          <w:rFonts w:ascii="Times New Roman" w:hAnsi="Times New Roman" w:cs="Times New Roman"/>
          <w:sz w:val="28"/>
          <w:szCs w:val="28"/>
        </w:rPr>
        <w:t xml:space="preserve">. </w:t>
      </w:r>
      <w:r w:rsidR="00DC057C" w:rsidRPr="00495CDC">
        <w:rPr>
          <w:rFonts w:ascii="Times New Roman" w:hAnsi="Times New Roman" w:cs="Times New Roman"/>
          <w:sz w:val="28"/>
          <w:szCs w:val="28"/>
        </w:rPr>
        <w:t xml:space="preserve">papildināt noteikumus ar </w:t>
      </w:r>
      <w:bookmarkStart w:id="12" w:name="_Hlk8918224"/>
      <w:bookmarkStart w:id="13" w:name="_Hlk9596192"/>
      <w:r w:rsidR="00DC057C" w:rsidRPr="00495CDC">
        <w:rPr>
          <w:rFonts w:ascii="Times New Roman" w:hAnsi="Times New Roman" w:cs="Times New Roman"/>
          <w:sz w:val="28"/>
          <w:szCs w:val="28"/>
        </w:rPr>
        <w:t>36.</w:t>
      </w:r>
      <w:r w:rsidR="00DC057C" w:rsidRPr="00495CDC">
        <w:rPr>
          <w:rFonts w:ascii="Times New Roman" w:hAnsi="Times New Roman" w:cs="Times New Roman"/>
          <w:sz w:val="28"/>
          <w:szCs w:val="28"/>
          <w:vertAlign w:val="superscript"/>
        </w:rPr>
        <w:t>2</w:t>
      </w:r>
      <w:r w:rsidR="00754E17" w:rsidRPr="00495CDC">
        <w:rPr>
          <w:rFonts w:ascii="Times New Roman" w:hAnsi="Times New Roman" w:cs="Times New Roman"/>
          <w:sz w:val="28"/>
          <w:szCs w:val="28"/>
          <w:vertAlign w:val="superscript"/>
        </w:rPr>
        <w:t xml:space="preserve">  </w:t>
      </w:r>
      <w:bookmarkEnd w:id="12"/>
      <w:r w:rsidR="00754E17" w:rsidRPr="00495CDC">
        <w:rPr>
          <w:rFonts w:ascii="Times New Roman" w:hAnsi="Times New Roman" w:cs="Times New Roman"/>
          <w:sz w:val="28"/>
          <w:szCs w:val="28"/>
        </w:rPr>
        <w:t>un 36.</w:t>
      </w:r>
      <w:r w:rsidR="00754E17" w:rsidRPr="00495CDC">
        <w:rPr>
          <w:rFonts w:ascii="Times New Roman" w:hAnsi="Times New Roman" w:cs="Times New Roman"/>
          <w:sz w:val="28"/>
          <w:szCs w:val="28"/>
          <w:vertAlign w:val="superscript"/>
        </w:rPr>
        <w:t xml:space="preserve">3  </w:t>
      </w:r>
      <w:bookmarkEnd w:id="13"/>
      <w:r w:rsidR="00DC057C" w:rsidRPr="00495CDC">
        <w:rPr>
          <w:rFonts w:ascii="Times New Roman" w:hAnsi="Times New Roman" w:cs="Times New Roman"/>
          <w:sz w:val="28"/>
          <w:szCs w:val="28"/>
        </w:rPr>
        <w:t>punktu</w:t>
      </w:r>
      <w:r w:rsidR="00754E17" w:rsidRPr="00495CDC">
        <w:rPr>
          <w:rFonts w:ascii="Times New Roman" w:hAnsi="Times New Roman" w:cs="Times New Roman"/>
          <w:sz w:val="28"/>
          <w:szCs w:val="28"/>
        </w:rPr>
        <w:t xml:space="preserve"> šādā redakcijā</w:t>
      </w:r>
      <w:r w:rsidR="00DC057C" w:rsidRPr="00495CDC">
        <w:rPr>
          <w:rFonts w:ascii="Times New Roman" w:hAnsi="Times New Roman" w:cs="Times New Roman"/>
          <w:sz w:val="28"/>
          <w:szCs w:val="28"/>
        </w:rPr>
        <w:t>:</w:t>
      </w:r>
    </w:p>
    <w:p w14:paraId="464C474E" w14:textId="197EF823" w:rsidR="00754E17" w:rsidRPr="00495CDC" w:rsidRDefault="00754E17" w:rsidP="00754E17">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754E17">
        <w:rPr>
          <w:rFonts w:ascii="Times New Roman" w:hAnsi="Times New Roman" w:cs="Times New Roman"/>
          <w:sz w:val="28"/>
          <w:szCs w:val="28"/>
        </w:rPr>
        <w:t>36.</w:t>
      </w:r>
      <w:r w:rsidR="008B481E">
        <w:rPr>
          <w:rFonts w:ascii="Times New Roman" w:hAnsi="Times New Roman" w:cs="Times New Roman"/>
          <w:sz w:val="28"/>
          <w:szCs w:val="28"/>
          <w:vertAlign w:val="superscript"/>
        </w:rPr>
        <w:t>2</w:t>
      </w:r>
      <w:r w:rsidRPr="00754E17">
        <w:rPr>
          <w:rFonts w:ascii="Times New Roman" w:hAnsi="Times New Roman" w:cs="Times New Roman"/>
          <w:sz w:val="28"/>
          <w:szCs w:val="28"/>
        </w:rPr>
        <w:t xml:space="preserve"> </w:t>
      </w:r>
      <w:r w:rsidR="00EE144B" w:rsidRPr="00495CDC">
        <w:rPr>
          <w:rFonts w:ascii="Times New Roman" w:hAnsi="Times New Roman" w:cs="Times New Roman"/>
          <w:sz w:val="28"/>
          <w:szCs w:val="28"/>
        </w:rPr>
        <w:t xml:space="preserve">A </w:t>
      </w:r>
      <w:r w:rsidRPr="00495CDC">
        <w:rPr>
          <w:rFonts w:ascii="Times New Roman" w:hAnsi="Times New Roman" w:cs="Times New Roman"/>
          <w:sz w:val="28"/>
          <w:szCs w:val="28"/>
        </w:rPr>
        <w:t xml:space="preserve">sarakstā iekļautajām viena zāļu vispārīgā nosaukuma zālēm vai vienāda lietošanas veida medicīniskajām ierīcēm aptiekas cena nedrīkst pārsniegt 100 % cenu starpības slieksni, salīdzinot ar attiecīgās grupas zāļu vai medicīnisko ierīču zemāko aptiekas cenu, rēķinot atbilstoši definētajai diennakts devai ATC/DDD klasifikācijā, vai, ja tā nav noteikta, atbilstoši terapeitiskajai diennakts devai, ja attiecīgajā zāļu grupā ir vairāk par </w:t>
      </w:r>
      <w:r w:rsidR="008B481E" w:rsidRPr="00495CDC">
        <w:rPr>
          <w:rFonts w:ascii="Times New Roman" w:hAnsi="Times New Roman" w:cs="Times New Roman"/>
          <w:sz w:val="28"/>
          <w:szCs w:val="28"/>
        </w:rPr>
        <w:t>divām</w:t>
      </w:r>
      <w:r w:rsidRPr="00495CDC">
        <w:rPr>
          <w:rFonts w:ascii="Times New Roman" w:hAnsi="Times New Roman" w:cs="Times New Roman"/>
          <w:sz w:val="28"/>
          <w:szCs w:val="28"/>
        </w:rPr>
        <w:t xml:space="preserve"> zālēm.</w:t>
      </w:r>
    </w:p>
    <w:p w14:paraId="5C14F385" w14:textId="37021CB3" w:rsidR="00DC057C" w:rsidRPr="00DC057C" w:rsidRDefault="00DC057C" w:rsidP="002D134E">
      <w:pPr>
        <w:spacing w:after="120" w:line="240" w:lineRule="auto"/>
        <w:ind w:firstLine="720"/>
        <w:jc w:val="both"/>
        <w:rPr>
          <w:rFonts w:ascii="Times New Roman" w:hAnsi="Times New Roman" w:cs="Times New Roman"/>
          <w:sz w:val="28"/>
          <w:szCs w:val="28"/>
        </w:rPr>
      </w:pPr>
      <w:bookmarkStart w:id="14" w:name="_Hlk8918295"/>
      <w:r w:rsidRPr="00495CDC">
        <w:rPr>
          <w:rFonts w:ascii="Times New Roman" w:hAnsi="Times New Roman" w:cs="Times New Roman"/>
          <w:color w:val="000000"/>
          <w:sz w:val="28"/>
          <w:szCs w:val="28"/>
          <w:shd w:val="clear" w:color="auto" w:fill="FFFFFF"/>
        </w:rPr>
        <w:t>36.</w:t>
      </w:r>
      <w:r w:rsidR="00754E17" w:rsidRPr="00495CDC">
        <w:rPr>
          <w:rFonts w:ascii="Times New Roman" w:hAnsi="Times New Roman" w:cs="Times New Roman"/>
          <w:color w:val="000000"/>
          <w:sz w:val="28"/>
          <w:szCs w:val="28"/>
          <w:shd w:val="clear" w:color="auto" w:fill="FFFFFF"/>
          <w:vertAlign w:val="superscript"/>
        </w:rPr>
        <w:t>3</w:t>
      </w:r>
      <w:r w:rsidRPr="00495CDC">
        <w:rPr>
          <w:rFonts w:ascii="Times New Roman" w:hAnsi="Times New Roman" w:cs="Times New Roman"/>
          <w:color w:val="000000"/>
          <w:sz w:val="28"/>
          <w:szCs w:val="28"/>
          <w:shd w:val="clear" w:color="auto" w:fill="FFFFFF"/>
        </w:rPr>
        <w:t xml:space="preserve">A sarakstā </w:t>
      </w:r>
      <w:bookmarkEnd w:id="14"/>
      <w:r w:rsidRPr="00495CDC">
        <w:rPr>
          <w:rFonts w:ascii="Times New Roman" w:hAnsi="Times New Roman" w:cs="Times New Roman"/>
          <w:color w:val="000000"/>
          <w:sz w:val="28"/>
          <w:szCs w:val="28"/>
          <w:shd w:val="clear" w:color="auto" w:fill="FFFFFF"/>
        </w:rPr>
        <w:t xml:space="preserve">iekļaujamo kombinēta sastāva perorālo zāļu formas zāļu aptiekas </w:t>
      </w:r>
      <w:r w:rsidRPr="00495CDC">
        <w:rPr>
          <w:rFonts w:ascii="Times New Roman" w:hAnsi="Times New Roman" w:cs="Times New Roman"/>
          <w:sz w:val="28"/>
          <w:szCs w:val="28"/>
          <w:shd w:val="clear" w:color="auto" w:fill="FFFFFF"/>
        </w:rPr>
        <w:t>cena nedrīkst pārsniegt 100% cenu starpības slieksni no aprēķinātās references cenas, rēķinot atbilstoši terapeitiskajai diennakts devai</w:t>
      </w:r>
      <w:r w:rsidR="00062B37" w:rsidRPr="00495CDC">
        <w:rPr>
          <w:rFonts w:ascii="Times New Roman" w:hAnsi="Times New Roman" w:cs="Times New Roman"/>
          <w:sz w:val="28"/>
          <w:szCs w:val="28"/>
          <w:shd w:val="clear" w:color="auto" w:fill="FFFFFF"/>
        </w:rPr>
        <w:t>.</w:t>
      </w:r>
      <w:r w:rsidRPr="00495CDC">
        <w:rPr>
          <w:rFonts w:ascii="Times New Roman" w:hAnsi="Times New Roman" w:cs="Times New Roman"/>
          <w:sz w:val="28"/>
          <w:szCs w:val="28"/>
          <w:shd w:val="clear" w:color="auto" w:fill="FFFFFF"/>
        </w:rPr>
        <w:t>”</w:t>
      </w:r>
    </w:p>
    <w:p w14:paraId="09165C9F" w14:textId="5F2C4AA3" w:rsidR="00B31504" w:rsidRPr="00E70D57" w:rsidRDefault="0004081A" w:rsidP="00AB0F2C">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lastRenderedPageBreak/>
        <w:t>1.</w:t>
      </w:r>
      <w:r w:rsidR="00DE6A4F">
        <w:rPr>
          <w:rFonts w:ascii="Times New Roman" w:hAnsi="Times New Roman" w:cs="Times New Roman"/>
          <w:sz w:val="28"/>
          <w:szCs w:val="28"/>
        </w:rPr>
        <w:t>15</w:t>
      </w:r>
      <w:r w:rsidRPr="00E70D57">
        <w:rPr>
          <w:rFonts w:ascii="Times New Roman" w:hAnsi="Times New Roman" w:cs="Times New Roman"/>
          <w:sz w:val="28"/>
          <w:szCs w:val="28"/>
        </w:rPr>
        <w:t>. s</w:t>
      </w:r>
      <w:r w:rsidR="000773B3" w:rsidRPr="00E70D57">
        <w:rPr>
          <w:rFonts w:ascii="Times New Roman" w:hAnsi="Times New Roman" w:cs="Times New Roman"/>
          <w:sz w:val="28"/>
          <w:szCs w:val="28"/>
        </w:rPr>
        <w:t>vītrot 54. punktu;</w:t>
      </w:r>
    </w:p>
    <w:p w14:paraId="6E0149BC" w14:textId="22F06B3C" w:rsidR="00AB0F2C" w:rsidRPr="00E70D57" w:rsidRDefault="0004081A" w:rsidP="00AB0F2C">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DE6A4F">
        <w:rPr>
          <w:rFonts w:ascii="Times New Roman" w:hAnsi="Times New Roman" w:cs="Times New Roman"/>
          <w:sz w:val="28"/>
          <w:szCs w:val="28"/>
        </w:rPr>
        <w:t>16</w:t>
      </w:r>
      <w:r w:rsidRPr="00E70D57">
        <w:rPr>
          <w:rFonts w:ascii="Times New Roman" w:hAnsi="Times New Roman" w:cs="Times New Roman"/>
          <w:sz w:val="28"/>
          <w:szCs w:val="28"/>
        </w:rPr>
        <w:t>. i</w:t>
      </w:r>
      <w:r w:rsidR="00AB0F2C" w:rsidRPr="00E70D57">
        <w:rPr>
          <w:rFonts w:ascii="Times New Roman" w:hAnsi="Times New Roman" w:cs="Times New Roman"/>
          <w:sz w:val="28"/>
          <w:szCs w:val="28"/>
        </w:rPr>
        <w:t>zteikt 56.punktu šādā redakcijā:</w:t>
      </w:r>
    </w:p>
    <w:p w14:paraId="668FC6B2" w14:textId="09C2958F" w:rsidR="000E019A" w:rsidRPr="00E70D57" w:rsidRDefault="00AB0F2C" w:rsidP="0002279C">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00A55738" w:rsidRPr="00E70D57">
        <w:rPr>
          <w:rFonts w:ascii="Times New Roman" w:hAnsi="Times New Roman" w:cs="Times New Roman"/>
          <w:sz w:val="28"/>
          <w:szCs w:val="28"/>
        </w:rPr>
        <w:t xml:space="preserve">56. Lēmumu par kompensācijas nosacījumu pārskatīšanu </w:t>
      </w:r>
      <w:r w:rsidR="000A6A39" w:rsidRPr="00E70D57">
        <w:rPr>
          <w:rFonts w:ascii="Times New Roman" w:hAnsi="Times New Roman" w:cs="Times New Roman"/>
          <w:sz w:val="28"/>
          <w:szCs w:val="28"/>
        </w:rPr>
        <w:t xml:space="preserve">Nacionālais veselības dienests </w:t>
      </w:r>
      <w:r w:rsidR="00A55738" w:rsidRPr="00E70D57">
        <w:rPr>
          <w:rFonts w:ascii="Times New Roman" w:hAnsi="Times New Roman" w:cs="Times New Roman"/>
          <w:sz w:val="28"/>
          <w:szCs w:val="28"/>
        </w:rPr>
        <w:t xml:space="preserve">pieņem saskaņā ar šajos noteikumos noteiktajām prasībām un kritērijiem, kā arī </w:t>
      </w:r>
      <w:r w:rsidR="000E019A" w:rsidRPr="00E70D57">
        <w:rPr>
          <w:rFonts w:ascii="Times New Roman" w:hAnsi="Times New Roman" w:cs="Times New Roman"/>
          <w:sz w:val="28"/>
          <w:szCs w:val="28"/>
        </w:rPr>
        <w:t>ietekmes izvērtēšanu uz kompensācijai piešķirtajiem</w:t>
      </w:r>
      <w:r w:rsidR="002D134E">
        <w:rPr>
          <w:rFonts w:ascii="Times New Roman" w:hAnsi="Times New Roman" w:cs="Times New Roman"/>
          <w:sz w:val="28"/>
          <w:szCs w:val="28"/>
        </w:rPr>
        <w:t xml:space="preserve"> valsts budžeta</w:t>
      </w:r>
      <w:r w:rsidR="000E019A" w:rsidRPr="00E70D57">
        <w:rPr>
          <w:rFonts w:ascii="Times New Roman" w:hAnsi="Times New Roman" w:cs="Times New Roman"/>
          <w:sz w:val="28"/>
          <w:szCs w:val="28"/>
        </w:rPr>
        <w:t xml:space="preserve"> līdzekļiem.”;</w:t>
      </w:r>
    </w:p>
    <w:p w14:paraId="3347E37B" w14:textId="7C4E9909" w:rsidR="003E7CB4" w:rsidRPr="00A218CD" w:rsidRDefault="009C0EAD" w:rsidP="00A218CD">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DE6A4F">
        <w:rPr>
          <w:rFonts w:ascii="Times New Roman" w:hAnsi="Times New Roman" w:cs="Times New Roman"/>
          <w:sz w:val="28"/>
          <w:szCs w:val="28"/>
        </w:rPr>
        <w:t>17</w:t>
      </w:r>
      <w:r w:rsidR="006D3E8B">
        <w:rPr>
          <w:rFonts w:ascii="Times New Roman" w:hAnsi="Times New Roman" w:cs="Times New Roman"/>
          <w:sz w:val="28"/>
          <w:szCs w:val="28"/>
        </w:rPr>
        <w:t>.</w:t>
      </w:r>
      <w:r w:rsidR="002D134E">
        <w:rPr>
          <w:rFonts w:ascii="Times New Roman" w:hAnsi="Times New Roman" w:cs="Times New Roman"/>
          <w:sz w:val="28"/>
          <w:szCs w:val="28"/>
        </w:rPr>
        <w:t xml:space="preserve"> i</w:t>
      </w:r>
      <w:r w:rsidR="003E7CB4" w:rsidRPr="00A218CD">
        <w:rPr>
          <w:rFonts w:ascii="Times New Roman" w:hAnsi="Times New Roman" w:cs="Times New Roman"/>
          <w:sz w:val="28"/>
          <w:szCs w:val="28"/>
        </w:rPr>
        <w:t xml:space="preserve">zteikt </w:t>
      </w:r>
      <w:r w:rsidR="003E7CB4" w:rsidRPr="00234D7E">
        <w:rPr>
          <w:rFonts w:ascii="Times New Roman" w:hAnsi="Times New Roman" w:cs="Times New Roman"/>
          <w:sz w:val="28"/>
          <w:szCs w:val="28"/>
        </w:rPr>
        <w:t>62.</w:t>
      </w:r>
      <w:r w:rsidR="003E7CB4" w:rsidRPr="00234D7E">
        <w:rPr>
          <w:rFonts w:ascii="Times New Roman" w:hAnsi="Times New Roman" w:cs="Times New Roman"/>
          <w:sz w:val="28"/>
          <w:szCs w:val="28"/>
          <w:vertAlign w:val="superscript"/>
        </w:rPr>
        <w:t xml:space="preserve">3 </w:t>
      </w:r>
      <w:r w:rsidR="003E7CB4" w:rsidRPr="00A218CD">
        <w:rPr>
          <w:rFonts w:ascii="Times New Roman" w:hAnsi="Times New Roman" w:cs="Times New Roman"/>
          <w:sz w:val="28"/>
          <w:szCs w:val="28"/>
        </w:rPr>
        <w:t xml:space="preserve">punktu šādā redakcijā: </w:t>
      </w:r>
    </w:p>
    <w:p w14:paraId="2907D495" w14:textId="34D68133" w:rsidR="00347D3E" w:rsidRPr="00234D7E" w:rsidRDefault="003E7CB4" w:rsidP="00234D7E">
      <w:pPr>
        <w:autoSpaceDE w:val="0"/>
        <w:autoSpaceDN w:val="0"/>
        <w:ind w:firstLine="720"/>
        <w:jc w:val="both"/>
        <w:rPr>
          <w:rFonts w:ascii="Times New Roman" w:hAnsi="Times New Roman" w:cs="Times New Roman"/>
          <w:sz w:val="28"/>
          <w:szCs w:val="28"/>
        </w:rPr>
      </w:pPr>
      <w:r w:rsidRPr="00234D7E">
        <w:rPr>
          <w:rFonts w:ascii="Times New Roman" w:hAnsi="Times New Roman" w:cs="Times New Roman"/>
          <w:sz w:val="28"/>
          <w:szCs w:val="28"/>
        </w:rPr>
        <w:t>62.</w:t>
      </w:r>
      <w:r w:rsidRPr="00234D7E">
        <w:rPr>
          <w:rFonts w:ascii="Times New Roman" w:hAnsi="Times New Roman" w:cs="Times New Roman"/>
          <w:sz w:val="28"/>
          <w:szCs w:val="28"/>
          <w:vertAlign w:val="superscript"/>
        </w:rPr>
        <w:t>3</w:t>
      </w:r>
      <w:r w:rsidRPr="00234D7E">
        <w:rPr>
          <w:rFonts w:ascii="Times New Roman" w:hAnsi="Times New Roman" w:cs="Times New Roman"/>
          <w:sz w:val="28"/>
          <w:szCs w:val="28"/>
        </w:rPr>
        <w:t xml:space="preserve"> Iesniedzējs pēc savas iniciatīvas iesniegumu kompensējamo zāļu sarakstā iekļauto zāļu un medicīnisko ierīču kompensācijas bāzes cenas pārskatīšanai</w:t>
      </w:r>
      <w:r w:rsidRPr="00234D7E">
        <w:rPr>
          <w:rFonts w:ascii="Times New Roman" w:hAnsi="Times New Roman" w:cs="Times New Roman"/>
          <w:color w:val="1F497D"/>
          <w:sz w:val="28"/>
          <w:szCs w:val="28"/>
        </w:rPr>
        <w:t xml:space="preserve">, </w:t>
      </w:r>
      <w:r w:rsidRPr="00234D7E">
        <w:rPr>
          <w:rFonts w:ascii="Times New Roman" w:hAnsi="Times New Roman" w:cs="Times New Roman"/>
          <w:sz w:val="28"/>
          <w:szCs w:val="28"/>
        </w:rPr>
        <w:t>neietekmējot references cenu, vai iesniegumu kompensācijas bāzes cenas samazināšanai uz laiku iesniedz ne vēlāk kā 45 dienas pirms tā mēneša pirmā datuma, kurā plānota izmaiņu spēkā stāšanās.</w:t>
      </w:r>
      <w:r w:rsidR="006D3E8B">
        <w:rPr>
          <w:rFonts w:ascii="Times New Roman" w:hAnsi="Times New Roman" w:cs="Times New Roman"/>
          <w:sz w:val="28"/>
          <w:szCs w:val="28"/>
        </w:rPr>
        <w:t>”</w:t>
      </w:r>
    </w:p>
    <w:p w14:paraId="68AF7ECA" w14:textId="6E51EFF8" w:rsidR="0026534C" w:rsidRPr="00E70D57" w:rsidRDefault="0004081A" w:rsidP="0026534C">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DE6A4F">
        <w:rPr>
          <w:rFonts w:ascii="Times New Roman" w:hAnsi="Times New Roman" w:cs="Times New Roman"/>
          <w:sz w:val="28"/>
          <w:szCs w:val="28"/>
        </w:rPr>
        <w:t>18</w:t>
      </w:r>
      <w:r w:rsidRPr="00E70D57">
        <w:rPr>
          <w:rFonts w:ascii="Times New Roman" w:hAnsi="Times New Roman" w:cs="Times New Roman"/>
          <w:sz w:val="28"/>
          <w:szCs w:val="28"/>
        </w:rPr>
        <w:t>. i</w:t>
      </w:r>
      <w:r w:rsidR="0026534C" w:rsidRPr="00E70D57">
        <w:rPr>
          <w:rFonts w:ascii="Times New Roman" w:hAnsi="Times New Roman" w:cs="Times New Roman"/>
          <w:sz w:val="28"/>
          <w:szCs w:val="28"/>
        </w:rPr>
        <w:t>zteikt 73.2. apakšpunktu šādā redakcijā:</w:t>
      </w:r>
    </w:p>
    <w:p w14:paraId="2420B809" w14:textId="02BD7C09" w:rsidR="00510ADD" w:rsidRDefault="0026534C" w:rsidP="00510ADD">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00A55738" w:rsidRPr="00E70D57">
        <w:rPr>
          <w:rFonts w:ascii="Times New Roman" w:hAnsi="Times New Roman" w:cs="Times New Roman"/>
          <w:sz w:val="28"/>
          <w:szCs w:val="28"/>
        </w:rPr>
        <w:t xml:space="preserve">73.2. </w:t>
      </w:r>
      <w:r w:rsidR="00684C31" w:rsidRPr="00E70D57">
        <w:rPr>
          <w:rFonts w:ascii="Times New Roman" w:hAnsi="Times New Roman" w:cs="Times New Roman"/>
          <w:sz w:val="28"/>
          <w:szCs w:val="28"/>
        </w:rPr>
        <w:t xml:space="preserve">Nacionālā veselības </w:t>
      </w:r>
      <w:r w:rsidR="00347D3E" w:rsidRPr="00E70D57">
        <w:rPr>
          <w:rFonts w:ascii="Times New Roman" w:hAnsi="Times New Roman" w:cs="Times New Roman"/>
          <w:sz w:val="28"/>
          <w:szCs w:val="28"/>
        </w:rPr>
        <w:t xml:space="preserve">dienesta </w:t>
      </w:r>
      <w:r w:rsidR="00684C31" w:rsidRPr="00E70D57">
        <w:rPr>
          <w:rFonts w:ascii="Times New Roman" w:hAnsi="Times New Roman" w:cs="Times New Roman"/>
          <w:sz w:val="28"/>
          <w:szCs w:val="28"/>
        </w:rPr>
        <w:t>veiktais aprēķins par ārstēšanas izmaksām un to ietekmi uz kompensācijai piešķirtajiem līdzekļiem, ja kompensējamo zāļu sarakstā paredzēts iekļaut jaunas zāles vai medicīniskās ierīces vai paredzēts veikt jebkādas izmaiņas kompensējamo zāļu sarakstā</w:t>
      </w:r>
      <w:r w:rsidR="00F7533A" w:rsidRPr="00E70D57">
        <w:rPr>
          <w:rFonts w:ascii="Times New Roman" w:hAnsi="Times New Roman" w:cs="Times New Roman"/>
          <w:sz w:val="28"/>
          <w:szCs w:val="28"/>
        </w:rPr>
        <w:t>.”</w:t>
      </w:r>
      <w:r w:rsidR="0061471A" w:rsidRPr="00E70D57">
        <w:rPr>
          <w:rFonts w:ascii="Times New Roman" w:hAnsi="Times New Roman" w:cs="Times New Roman"/>
          <w:sz w:val="28"/>
          <w:szCs w:val="28"/>
        </w:rPr>
        <w:t>;</w:t>
      </w:r>
    </w:p>
    <w:p w14:paraId="336453AF" w14:textId="6E1F9249" w:rsidR="00FB027E" w:rsidRDefault="00FB027E" w:rsidP="008926AF">
      <w:pPr>
        <w:spacing w:after="120" w:line="240" w:lineRule="auto"/>
        <w:ind w:firstLine="720"/>
        <w:jc w:val="both"/>
        <w:rPr>
          <w:rFonts w:ascii="Times New Roman" w:hAnsi="Times New Roman" w:cs="Times New Roman"/>
          <w:sz w:val="28"/>
          <w:szCs w:val="28"/>
          <w:highlight w:val="yellow"/>
        </w:rPr>
      </w:pPr>
      <w:r w:rsidRPr="00FB027E">
        <w:rPr>
          <w:rFonts w:ascii="Times New Roman" w:hAnsi="Times New Roman" w:cs="Times New Roman"/>
          <w:sz w:val="28"/>
          <w:szCs w:val="28"/>
        </w:rPr>
        <w:t>1.</w:t>
      </w:r>
      <w:r>
        <w:rPr>
          <w:rFonts w:ascii="Times New Roman" w:hAnsi="Times New Roman" w:cs="Times New Roman"/>
          <w:sz w:val="28"/>
          <w:szCs w:val="28"/>
        </w:rPr>
        <w:t>19</w:t>
      </w:r>
      <w:r w:rsidRPr="00FB027E">
        <w:rPr>
          <w:rFonts w:ascii="Times New Roman" w:hAnsi="Times New Roman" w:cs="Times New Roman"/>
          <w:sz w:val="28"/>
          <w:szCs w:val="28"/>
        </w:rPr>
        <w:t>. izteikt 84.</w:t>
      </w:r>
      <w:r w:rsidRPr="00FB027E">
        <w:rPr>
          <w:rFonts w:ascii="Times New Roman" w:hAnsi="Times New Roman" w:cs="Times New Roman"/>
          <w:sz w:val="28"/>
          <w:szCs w:val="28"/>
          <w:vertAlign w:val="superscript"/>
        </w:rPr>
        <w:t>1</w:t>
      </w:r>
      <w:r w:rsidRPr="00FB027E">
        <w:rPr>
          <w:rFonts w:ascii="Times New Roman" w:hAnsi="Times New Roman" w:cs="Times New Roman"/>
          <w:sz w:val="28"/>
          <w:szCs w:val="28"/>
        </w:rPr>
        <w:t>, 84.</w:t>
      </w:r>
      <w:r w:rsidRPr="00FB027E">
        <w:rPr>
          <w:rFonts w:ascii="Times New Roman" w:hAnsi="Times New Roman" w:cs="Times New Roman"/>
          <w:sz w:val="28"/>
          <w:szCs w:val="28"/>
          <w:vertAlign w:val="superscript"/>
        </w:rPr>
        <w:t>2</w:t>
      </w:r>
      <w:r w:rsidRPr="00FB027E">
        <w:rPr>
          <w:rFonts w:ascii="Times New Roman" w:hAnsi="Times New Roman" w:cs="Times New Roman"/>
          <w:sz w:val="28"/>
          <w:szCs w:val="28"/>
        </w:rPr>
        <w:t xml:space="preserve"> , 84.</w:t>
      </w:r>
      <w:r w:rsidRPr="00FB027E">
        <w:rPr>
          <w:rFonts w:ascii="Times New Roman" w:hAnsi="Times New Roman" w:cs="Times New Roman"/>
          <w:sz w:val="28"/>
          <w:szCs w:val="28"/>
          <w:vertAlign w:val="superscript"/>
        </w:rPr>
        <w:t>3</w:t>
      </w:r>
      <w:r w:rsidRPr="00FB027E">
        <w:rPr>
          <w:rFonts w:ascii="Times New Roman" w:hAnsi="Times New Roman" w:cs="Times New Roman"/>
          <w:sz w:val="28"/>
          <w:szCs w:val="28"/>
        </w:rPr>
        <w:t xml:space="preserve"> punktu šādā redakcijā:</w:t>
      </w:r>
      <w:r w:rsidRPr="00FB027E">
        <w:rPr>
          <w:rFonts w:ascii="Times New Roman" w:hAnsi="Times New Roman" w:cs="Times New Roman"/>
          <w:sz w:val="28"/>
          <w:szCs w:val="28"/>
          <w:highlight w:val="yellow"/>
        </w:rPr>
        <w:t xml:space="preserve"> </w:t>
      </w:r>
    </w:p>
    <w:p w14:paraId="3A4C0D0F" w14:textId="5027E255" w:rsidR="00A77027" w:rsidRPr="00495CDC" w:rsidRDefault="00A77027" w:rsidP="008926AF">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w:t>
      </w:r>
      <w:bookmarkStart w:id="15" w:name="_Hlk9855622"/>
      <w:r w:rsidRPr="00495CDC">
        <w:rPr>
          <w:rFonts w:ascii="Times New Roman" w:hAnsi="Times New Roman" w:cs="Times New Roman"/>
          <w:sz w:val="28"/>
          <w:szCs w:val="28"/>
        </w:rPr>
        <w:t>84.</w:t>
      </w:r>
      <w:r w:rsidRPr="00495CDC">
        <w:rPr>
          <w:rFonts w:ascii="Times New Roman" w:hAnsi="Times New Roman" w:cs="Times New Roman"/>
          <w:sz w:val="28"/>
          <w:szCs w:val="28"/>
          <w:vertAlign w:val="superscript"/>
        </w:rPr>
        <w:t>1</w:t>
      </w:r>
      <w:r w:rsidRPr="00495CDC">
        <w:rPr>
          <w:rFonts w:ascii="Times New Roman" w:hAnsi="Times New Roman" w:cs="Times New Roman"/>
          <w:sz w:val="28"/>
          <w:szCs w:val="28"/>
        </w:rPr>
        <w:t xml:space="preserve"> </w:t>
      </w:r>
      <w:bookmarkEnd w:id="15"/>
      <w:r w:rsidR="00195D9D" w:rsidRPr="00495CDC">
        <w:rPr>
          <w:rFonts w:ascii="Times New Roman" w:hAnsi="Times New Roman" w:cs="Times New Roman"/>
          <w:sz w:val="28"/>
          <w:szCs w:val="28"/>
        </w:rPr>
        <w:t xml:space="preserve">Ja pacients kompensācijas kārtības ietvaros iepriekš nav saņēmis konkrētajai diagnozei paredzētās kompensējamo zāļu A sarakstā iekļautās zāles vai </w:t>
      </w:r>
      <w:r w:rsidR="00460BA8" w:rsidRPr="00495CDC">
        <w:rPr>
          <w:rFonts w:ascii="Times New Roman" w:hAnsi="Times New Roman" w:cs="Times New Roman"/>
          <w:sz w:val="28"/>
          <w:szCs w:val="28"/>
        </w:rPr>
        <w:t xml:space="preserve">minētās zāles ir saņēmis, bet </w:t>
      </w:r>
      <w:r w:rsidR="008926AF" w:rsidRPr="00495CDC">
        <w:rPr>
          <w:rFonts w:ascii="Times New Roman" w:hAnsi="Times New Roman" w:cs="Times New Roman"/>
          <w:sz w:val="28"/>
          <w:szCs w:val="28"/>
        </w:rPr>
        <w:t xml:space="preserve">nav konstatēts, ka </w:t>
      </w:r>
      <w:r w:rsidR="00195D9D" w:rsidRPr="00495CDC">
        <w:rPr>
          <w:rFonts w:ascii="Times New Roman" w:hAnsi="Times New Roman" w:cs="Times New Roman"/>
          <w:sz w:val="28"/>
          <w:szCs w:val="28"/>
        </w:rPr>
        <w:t xml:space="preserve">kāda no tām </w:t>
      </w:r>
      <w:r w:rsidR="00195D9D" w:rsidRPr="00AA5F2A">
        <w:rPr>
          <w:rFonts w:ascii="Times New Roman" w:hAnsi="Times New Roman" w:cs="Times New Roman"/>
          <w:sz w:val="28"/>
          <w:szCs w:val="28"/>
        </w:rPr>
        <w:t>nedo</w:t>
      </w:r>
      <w:r w:rsidR="00967EDE" w:rsidRPr="00AA5F2A">
        <w:rPr>
          <w:rFonts w:ascii="Times New Roman" w:hAnsi="Times New Roman" w:cs="Times New Roman"/>
          <w:sz w:val="28"/>
          <w:szCs w:val="28"/>
        </w:rPr>
        <w:t>d</w:t>
      </w:r>
      <w:r w:rsidR="00195D9D" w:rsidRPr="00495CDC">
        <w:rPr>
          <w:rFonts w:ascii="Times New Roman" w:hAnsi="Times New Roman" w:cs="Times New Roman"/>
          <w:sz w:val="28"/>
          <w:szCs w:val="28"/>
        </w:rPr>
        <w:t xml:space="preserve"> vēlamo terapeitisko efektu, ārst</w:t>
      </w:r>
      <w:r w:rsidR="001C5EC8" w:rsidRPr="00495CDC">
        <w:rPr>
          <w:rFonts w:ascii="Times New Roman" w:hAnsi="Times New Roman" w:cs="Times New Roman"/>
          <w:sz w:val="28"/>
          <w:szCs w:val="28"/>
        </w:rPr>
        <w:t>niecības persona</w:t>
      </w:r>
      <w:r w:rsidR="00195D9D" w:rsidRPr="00495CDC">
        <w:rPr>
          <w:rFonts w:ascii="Times New Roman" w:hAnsi="Times New Roman" w:cs="Times New Roman"/>
          <w:sz w:val="28"/>
          <w:szCs w:val="28"/>
        </w:rPr>
        <w:t xml:space="preserve"> uz īpašās receptes veidlapas izraksta šai diagnozei paredzēto zāļu vispārīgo nosaukumu.</w:t>
      </w:r>
      <w:r w:rsidR="001C5EC8" w:rsidRPr="00495CDC">
        <w:rPr>
          <w:rFonts w:ascii="Times New Roman" w:hAnsi="Times New Roman" w:cs="Times New Roman"/>
          <w:sz w:val="28"/>
          <w:szCs w:val="28"/>
        </w:rPr>
        <w:t xml:space="preserve"> </w:t>
      </w:r>
      <w:r w:rsidR="00B74011" w:rsidRPr="00495CDC">
        <w:rPr>
          <w:rFonts w:ascii="Times New Roman" w:hAnsi="Times New Roman" w:cs="Times New Roman"/>
          <w:sz w:val="28"/>
          <w:szCs w:val="28"/>
        </w:rPr>
        <w:t xml:space="preserve">Ārstniecības persona kopumā uz īpašās receptes veidlapas izraksta attiecīgajai diagnozei paredzēto zāļu vispārīgo nosaukumu ne mazāk kā </w:t>
      </w:r>
      <w:r w:rsidR="00B74011" w:rsidRPr="00AA5F2A">
        <w:rPr>
          <w:rFonts w:ascii="Times New Roman" w:hAnsi="Times New Roman" w:cs="Times New Roman"/>
          <w:sz w:val="28"/>
          <w:szCs w:val="28"/>
        </w:rPr>
        <w:t xml:space="preserve">70 </w:t>
      </w:r>
      <w:r w:rsidR="00967EDE" w:rsidRPr="00AA5F2A">
        <w:rPr>
          <w:rFonts w:ascii="Times New Roman" w:hAnsi="Times New Roman" w:cs="Times New Roman"/>
          <w:sz w:val="28"/>
          <w:szCs w:val="28"/>
        </w:rPr>
        <w:t>%</w:t>
      </w:r>
      <w:r w:rsidR="00B74011" w:rsidRPr="00495CDC">
        <w:rPr>
          <w:rFonts w:ascii="Times New Roman" w:hAnsi="Times New Roman" w:cs="Times New Roman"/>
          <w:sz w:val="28"/>
          <w:szCs w:val="28"/>
        </w:rPr>
        <w:t xml:space="preserve"> gadījumu kalendārā gada ietvarā.</w:t>
      </w:r>
    </w:p>
    <w:p w14:paraId="677F83B0" w14:textId="19C09CEB" w:rsidR="00FB027E" w:rsidRPr="00495CDC" w:rsidRDefault="00FB027E" w:rsidP="008926AF">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84.</w:t>
      </w:r>
      <w:r w:rsidRPr="00495CDC">
        <w:rPr>
          <w:rFonts w:ascii="Times New Roman" w:hAnsi="Times New Roman" w:cs="Times New Roman"/>
          <w:sz w:val="28"/>
          <w:szCs w:val="28"/>
          <w:vertAlign w:val="superscript"/>
        </w:rPr>
        <w:t>2</w:t>
      </w:r>
      <w:r w:rsidRPr="00495CDC">
        <w:rPr>
          <w:rFonts w:ascii="Times New Roman" w:hAnsi="Times New Roman" w:cs="Times New Roman"/>
          <w:sz w:val="28"/>
          <w:szCs w:val="28"/>
        </w:rPr>
        <w:t xml:space="preserve"> Ja atbilstoši šo noteikumu 89.punktam izsniegto zāļu  lietošana nedod vēlamo terapeitisko efektu, ārsts to vietā izraksta citas zāles, sākot ar zemāko cenu vispārīgā nosaukuma ietvaros. Pamatojumu zāļu nomaiņai ārsts norāda pacienta medicīniskajā kartē. Par novērotajām blakusparādībām ārsts ziņo Zāļu valsts aģentūrai atbilstoši normatīvajiem aktiem par zāļu un medicīnisko ierīču lietošanas izraisīto blakusparādību uzraudzību</w:t>
      </w:r>
      <w:r w:rsidR="00F37468">
        <w:rPr>
          <w:rFonts w:ascii="Times New Roman" w:hAnsi="Times New Roman" w:cs="Times New Roman"/>
          <w:sz w:val="28"/>
          <w:szCs w:val="28"/>
        </w:rPr>
        <w:t>.</w:t>
      </w:r>
    </w:p>
    <w:p w14:paraId="1E1AB422" w14:textId="5C97DE64" w:rsidR="002A1069" w:rsidRDefault="008926AF" w:rsidP="00495CDC">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84.</w:t>
      </w:r>
      <w:r w:rsidRPr="00495CDC">
        <w:rPr>
          <w:rFonts w:ascii="Times New Roman" w:hAnsi="Times New Roman" w:cs="Times New Roman"/>
          <w:sz w:val="28"/>
          <w:szCs w:val="28"/>
          <w:vertAlign w:val="superscript"/>
        </w:rPr>
        <w:t>3</w:t>
      </w:r>
      <w:r w:rsidRPr="00495CDC">
        <w:rPr>
          <w:rFonts w:ascii="Times New Roman" w:hAnsi="Times New Roman" w:cs="Times New Roman"/>
          <w:sz w:val="28"/>
          <w:szCs w:val="28"/>
        </w:rPr>
        <w:t xml:space="preserve"> Ja ārsts šo noteikumu 84.</w:t>
      </w:r>
      <w:r w:rsidRPr="00495CDC">
        <w:rPr>
          <w:rFonts w:ascii="Times New Roman" w:hAnsi="Times New Roman" w:cs="Times New Roman"/>
          <w:sz w:val="28"/>
          <w:szCs w:val="28"/>
          <w:vertAlign w:val="superscript"/>
        </w:rPr>
        <w:t>1</w:t>
      </w:r>
      <w:r w:rsidRPr="00495CDC">
        <w:rPr>
          <w:rFonts w:ascii="Times New Roman" w:hAnsi="Times New Roman" w:cs="Times New Roman"/>
          <w:sz w:val="28"/>
          <w:szCs w:val="28"/>
        </w:rPr>
        <w:t xml:space="preserve"> punktā minētajā gadījumā ir izrakstījis konkrēta ražotāja zāļu nosaukumu</w:t>
      </w:r>
      <w:r w:rsidR="00741255">
        <w:rPr>
          <w:rFonts w:ascii="Times New Roman" w:hAnsi="Times New Roman" w:cs="Times New Roman"/>
          <w:sz w:val="28"/>
          <w:szCs w:val="28"/>
        </w:rPr>
        <w:t xml:space="preserve"> vairāk kā 30 procentos gadījumos kalendārā gada ietvarā</w:t>
      </w:r>
      <w:r w:rsidRPr="00495CDC">
        <w:rPr>
          <w:rFonts w:ascii="Times New Roman" w:hAnsi="Times New Roman" w:cs="Times New Roman"/>
          <w:sz w:val="28"/>
          <w:szCs w:val="28"/>
        </w:rPr>
        <w:t>, Nacionālais veselības dienests kontroles ietvarā veic medicīniskajā dokumentācijā norādītā pamatojuma izvērtējamu</w:t>
      </w:r>
      <w:r w:rsidR="00495CDC" w:rsidRPr="00495CDC">
        <w:rPr>
          <w:rFonts w:ascii="Times New Roman" w:hAnsi="Times New Roman" w:cs="Times New Roman"/>
          <w:sz w:val="28"/>
          <w:szCs w:val="28"/>
        </w:rPr>
        <w:t>.</w:t>
      </w:r>
      <w:r w:rsidR="00981163">
        <w:rPr>
          <w:rFonts w:ascii="Times New Roman" w:hAnsi="Times New Roman" w:cs="Times New Roman"/>
          <w:sz w:val="28"/>
          <w:szCs w:val="28"/>
        </w:rPr>
        <w:t>”</w:t>
      </w:r>
      <w:r w:rsidR="002A1069">
        <w:rPr>
          <w:rFonts w:ascii="Times New Roman" w:hAnsi="Times New Roman" w:cs="Times New Roman"/>
          <w:sz w:val="28"/>
          <w:szCs w:val="28"/>
        </w:rPr>
        <w:t>1.20.Papildināt 89.punktu ar ceturto teikumu šādā redakcijā:</w:t>
      </w:r>
    </w:p>
    <w:p w14:paraId="163F4FB5" w14:textId="2483CF30" w:rsidR="002A1069" w:rsidRPr="00495CDC" w:rsidRDefault="002A1069" w:rsidP="00495CDC">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414142"/>
          <w:sz w:val="28"/>
          <w:szCs w:val="28"/>
          <w:shd w:val="clear" w:color="auto" w:fill="FFFFFF"/>
        </w:rPr>
        <w:t>J</w:t>
      </w:r>
      <w:r w:rsidRPr="00470115">
        <w:rPr>
          <w:rFonts w:ascii="Times New Roman" w:hAnsi="Times New Roman" w:cs="Times New Roman"/>
          <w:color w:val="414142"/>
          <w:sz w:val="28"/>
          <w:szCs w:val="28"/>
          <w:shd w:val="clear" w:color="auto" w:fill="FFFFFF"/>
        </w:rPr>
        <w:t xml:space="preserve">a kompensējamo </w:t>
      </w:r>
      <w:r>
        <w:rPr>
          <w:rFonts w:ascii="Times New Roman" w:hAnsi="Times New Roman" w:cs="Times New Roman"/>
          <w:color w:val="414142"/>
          <w:sz w:val="28"/>
          <w:szCs w:val="28"/>
          <w:shd w:val="clear" w:color="auto" w:fill="FFFFFF"/>
        </w:rPr>
        <w:t xml:space="preserve">zāļu un </w:t>
      </w:r>
      <w:r w:rsidRPr="00470115">
        <w:rPr>
          <w:rFonts w:ascii="Times New Roman" w:hAnsi="Times New Roman" w:cs="Times New Roman"/>
          <w:color w:val="414142"/>
          <w:sz w:val="28"/>
          <w:szCs w:val="28"/>
          <w:shd w:val="clear" w:color="auto" w:fill="FFFFFF"/>
        </w:rPr>
        <w:t xml:space="preserve">medicīnisko ierīču sarakstā ir divas vai vairākas </w:t>
      </w:r>
      <w:r>
        <w:rPr>
          <w:rFonts w:ascii="Times New Roman" w:hAnsi="Times New Roman" w:cs="Times New Roman"/>
          <w:color w:val="414142"/>
          <w:sz w:val="28"/>
          <w:szCs w:val="28"/>
          <w:shd w:val="clear" w:color="auto" w:fill="FFFFFF"/>
        </w:rPr>
        <w:t xml:space="preserve">zāles vai </w:t>
      </w:r>
      <w:r w:rsidRPr="00470115">
        <w:rPr>
          <w:rFonts w:ascii="Times New Roman" w:hAnsi="Times New Roman" w:cs="Times New Roman"/>
          <w:color w:val="414142"/>
          <w:sz w:val="28"/>
          <w:szCs w:val="28"/>
          <w:shd w:val="clear" w:color="auto" w:fill="FFFFFF"/>
        </w:rPr>
        <w:t>medicīniskās ierīces ar lētāko kompensācijas bāzes cenu</w:t>
      </w:r>
      <w:r>
        <w:rPr>
          <w:rFonts w:ascii="Times New Roman" w:hAnsi="Times New Roman" w:cs="Times New Roman"/>
          <w:color w:val="414142"/>
          <w:sz w:val="28"/>
          <w:szCs w:val="28"/>
          <w:shd w:val="clear" w:color="auto" w:fill="FFFFFF"/>
        </w:rPr>
        <w:t>, aptiekas pienākums ir savos krājumos turēt visas lētākās zāles un medicīniskās ierīces.</w:t>
      </w:r>
      <w:r>
        <w:rPr>
          <w:rFonts w:ascii="Times New Roman" w:hAnsi="Times New Roman" w:cs="Times New Roman"/>
          <w:sz w:val="28"/>
          <w:szCs w:val="28"/>
        </w:rPr>
        <w:t>”</w:t>
      </w:r>
    </w:p>
    <w:p w14:paraId="41C7E812" w14:textId="098795C3" w:rsidR="00AE060B" w:rsidRPr="00495CDC" w:rsidRDefault="000C1731" w:rsidP="00AE060B">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lastRenderedPageBreak/>
        <w:t>1.</w:t>
      </w:r>
      <w:r w:rsidR="007C4BEE" w:rsidRPr="00495CDC">
        <w:rPr>
          <w:rFonts w:ascii="Times New Roman" w:hAnsi="Times New Roman" w:cs="Times New Roman"/>
          <w:sz w:val="28"/>
          <w:szCs w:val="28"/>
        </w:rPr>
        <w:t>2</w:t>
      </w:r>
      <w:r w:rsidR="007C4BEE">
        <w:rPr>
          <w:rFonts w:ascii="Times New Roman" w:hAnsi="Times New Roman" w:cs="Times New Roman"/>
          <w:sz w:val="28"/>
          <w:szCs w:val="28"/>
        </w:rPr>
        <w:t>1</w:t>
      </w:r>
      <w:r w:rsidRPr="00495CDC">
        <w:rPr>
          <w:rFonts w:ascii="Times New Roman" w:hAnsi="Times New Roman" w:cs="Times New Roman"/>
          <w:sz w:val="28"/>
          <w:szCs w:val="28"/>
        </w:rPr>
        <w:t>.</w:t>
      </w:r>
      <w:r w:rsidR="00AE060B" w:rsidRPr="00495CDC">
        <w:rPr>
          <w:rFonts w:ascii="Times New Roman" w:hAnsi="Times New Roman" w:cs="Times New Roman"/>
          <w:sz w:val="28"/>
          <w:szCs w:val="28"/>
        </w:rPr>
        <w:t>Papildināt noteikumu</w:t>
      </w:r>
      <w:r w:rsidR="000837A0" w:rsidRPr="00495CDC">
        <w:rPr>
          <w:rFonts w:ascii="Times New Roman" w:hAnsi="Times New Roman" w:cs="Times New Roman"/>
          <w:sz w:val="28"/>
          <w:szCs w:val="28"/>
        </w:rPr>
        <w:t xml:space="preserve">s </w:t>
      </w:r>
      <w:r w:rsidR="00AE060B" w:rsidRPr="00495CDC">
        <w:rPr>
          <w:rFonts w:ascii="Times New Roman" w:hAnsi="Times New Roman" w:cs="Times New Roman"/>
          <w:sz w:val="28"/>
          <w:szCs w:val="28"/>
        </w:rPr>
        <w:t>ar 139.</w:t>
      </w:r>
      <w:r w:rsidR="00FB027E" w:rsidRPr="00495CDC">
        <w:rPr>
          <w:rFonts w:ascii="Times New Roman" w:hAnsi="Times New Roman" w:cs="Times New Roman"/>
          <w:sz w:val="28"/>
          <w:szCs w:val="28"/>
        </w:rPr>
        <w:t>,</w:t>
      </w:r>
      <w:r w:rsidR="00753608" w:rsidRPr="00495CDC">
        <w:rPr>
          <w:rFonts w:ascii="Times New Roman" w:hAnsi="Times New Roman" w:cs="Times New Roman"/>
          <w:sz w:val="28"/>
          <w:szCs w:val="28"/>
        </w:rPr>
        <w:t xml:space="preserve"> 140.punktu </w:t>
      </w:r>
      <w:r w:rsidR="00FB027E" w:rsidRPr="00495CDC">
        <w:rPr>
          <w:rFonts w:ascii="Times New Roman" w:hAnsi="Times New Roman" w:cs="Times New Roman"/>
          <w:sz w:val="28"/>
          <w:szCs w:val="28"/>
        </w:rPr>
        <w:t>un 141.punktu</w:t>
      </w:r>
      <w:r w:rsidR="00AE060B" w:rsidRPr="00495CDC">
        <w:rPr>
          <w:rFonts w:ascii="Times New Roman" w:hAnsi="Times New Roman" w:cs="Times New Roman"/>
          <w:sz w:val="28"/>
          <w:szCs w:val="28"/>
        </w:rPr>
        <w:t>šādā redakcijā:</w:t>
      </w:r>
    </w:p>
    <w:p w14:paraId="2DFD9BA0" w14:textId="31891B1B" w:rsidR="00AE060B" w:rsidRPr="00495CDC" w:rsidRDefault="00AE060B" w:rsidP="00AE060B">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 xml:space="preserve">“139. </w:t>
      </w:r>
      <w:r w:rsidR="00EE144B" w:rsidRPr="00495CDC">
        <w:rPr>
          <w:rFonts w:ascii="Times New Roman" w:hAnsi="Times New Roman" w:cs="Times New Roman"/>
          <w:sz w:val="28"/>
          <w:szCs w:val="28"/>
        </w:rPr>
        <w:t>Lai izpildītu šo noteikumu 36.</w:t>
      </w:r>
      <w:r w:rsidR="00EE144B" w:rsidRPr="00495CDC">
        <w:rPr>
          <w:rFonts w:ascii="Times New Roman" w:hAnsi="Times New Roman" w:cs="Times New Roman"/>
          <w:sz w:val="28"/>
          <w:szCs w:val="28"/>
          <w:vertAlign w:val="superscript"/>
        </w:rPr>
        <w:t>2</w:t>
      </w:r>
      <w:r w:rsidR="00EE144B" w:rsidRPr="00495CDC">
        <w:rPr>
          <w:rFonts w:ascii="Times New Roman" w:hAnsi="Times New Roman" w:cs="Times New Roman"/>
          <w:sz w:val="28"/>
          <w:szCs w:val="28"/>
        </w:rPr>
        <w:t xml:space="preserve">  un 36.</w:t>
      </w:r>
      <w:r w:rsidR="00EE144B" w:rsidRPr="00495CDC">
        <w:rPr>
          <w:rFonts w:ascii="Times New Roman" w:hAnsi="Times New Roman" w:cs="Times New Roman"/>
          <w:sz w:val="28"/>
          <w:szCs w:val="28"/>
          <w:vertAlign w:val="superscript"/>
        </w:rPr>
        <w:t>3</w:t>
      </w:r>
      <w:r w:rsidR="00EE144B" w:rsidRPr="00495CDC">
        <w:rPr>
          <w:rFonts w:ascii="Times New Roman" w:hAnsi="Times New Roman" w:cs="Times New Roman"/>
          <w:sz w:val="28"/>
          <w:szCs w:val="28"/>
        </w:rPr>
        <w:t>punktā noteikto prasību attiecībā uz medikamentiem, kas kompensējamo zāļu sarakstā ir iekļauti līdz 2019.gada 3</w:t>
      </w:r>
      <w:r w:rsidR="001C5EC8" w:rsidRPr="00495CDC">
        <w:rPr>
          <w:rFonts w:ascii="Times New Roman" w:hAnsi="Times New Roman" w:cs="Times New Roman"/>
          <w:sz w:val="28"/>
          <w:szCs w:val="28"/>
        </w:rPr>
        <w:t>0</w:t>
      </w:r>
      <w:r w:rsidR="00EE144B" w:rsidRPr="00495CDC">
        <w:rPr>
          <w:rFonts w:ascii="Times New Roman" w:hAnsi="Times New Roman" w:cs="Times New Roman"/>
          <w:sz w:val="28"/>
          <w:szCs w:val="28"/>
        </w:rPr>
        <w:t>.jūnijam</w:t>
      </w:r>
      <w:r w:rsidRPr="00495CDC">
        <w:rPr>
          <w:rFonts w:ascii="Times New Roman" w:hAnsi="Times New Roman" w:cs="Times New Roman"/>
          <w:sz w:val="28"/>
          <w:szCs w:val="28"/>
        </w:rPr>
        <w:t>, iesniedzējs līdz 20</w:t>
      </w:r>
      <w:r w:rsidR="00B74011" w:rsidRPr="00495CDC">
        <w:rPr>
          <w:rFonts w:ascii="Times New Roman" w:hAnsi="Times New Roman" w:cs="Times New Roman"/>
          <w:sz w:val="28"/>
          <w:szCs w:val="28"/>
        </w:rPr>
        <w:t>20</w:t>
      </w:r>
      <w:r w:rsidRPr="00495CDC">
        <w:rPr>
          <w:rFonts w:ascii="Times New Roman" w:hAnsi="Times New Roman" w:cs="Times New Roman"/>
          <w:sz w:val="28"/>
          <w:szCs w:val="28"/>
        </w:rPr>
        <w:t xml:space="preserve">.gada </w:t>
      </w:r>
      <w:r w:rsidR="00AD5D0C">
        <w:rPr>
          <w:rFonts w:ascii="Times New Roman" w:hAnsi="Times New Roman" w:cs="Times New Roman"/>
          <w:sz w:val="28"/>
          <w:szCs w:val="28"/>
        </w:rPr>
        <w:t>1</w:t>
      </w:r>
      <w:r w:rsidRPr="00495CDC">
        <w:rPr>
          <w:rFonts w:ascii="Times New Roman" w:hAnsi="Times New Roman" w:cs="Times New Roman"/>
          <w:sz w:val="28"/>
          <w:szCs w:val="28"/>
        </w:rPr>
        <w:t>.</w:t>
      </w:r>
      <w:r w:rsidR="001C5EC8" w:rsidRPr="00495CDC">
        <w:rPr>
          <w:rFonts w:ascii="Times New Roman" w:hAnsi="Times New Roman" w:cs="Times New Roman"/>
          <w:sz w:val="28"/>
          <w:szCs w:val="28"/>
        </w:rPr>
        <w:t>februārim</w:t>
      </w:r>
      <w:r w:rsidRPr="00495CDC">
        <w:rPr>
          <w:rFonts w:ascii="Times New Roman" w:hAnsi="Times New Roman" w:cs="Times New Roman"/>
          <w:sz w:val="28"/>
          <w:szCs w:val="28"/>
        </w:rPr>
        <w:t xml:space="preserve"> iesniedz Nacionālajā veselības dienestā iesniegumu kompensācijas bāzes cenas samazināšanai līdz noteiktajam 100 % cenu starpības slieksnim</w:t>
      </w:r>
      <w:r w:rsidR="006C4D49" w:rsidRPr="00495CDC">
        <w:rPr>
          <w:rFonts w:ascii="Times New Roman" w:hAnsi="Times New Roman" w:cs="Times New Roman"/>
          <w:sz w:val="28"/>
          <w:szCs w:val="28"/>
        </w:rPr>
        <w:t xml:space="preserve"> un jaunā cena tiek apstiprināta 2020.gada 1</w:t>
      </w:r>
      <w:r w:rsidRPr="00495CDC">
        <w:rPr>
          <w:rFonts w:ascii="Times New Roman" w:hAnsi="Times New Roman" w:cs="Times New Roman"/>
          <w:sz w:val="28"/>
          <w:szCs w:val="28"/>
        </w:rPr>
        <w:t>.</w:t>
      </w:r>
      <w:r w:rsidR="001C5EC8" w:rsidRPr="00495CDC">
        <w:rPr>
          <w:rFonts w:ascii="Times New Roman" w:hAnsi="Times New Roman" w:cs="Times New Roman"/>
          <w:sz w:val="28"/>
          <w:szCs w:val="28"/>
        </w:rPr>
        <w:t>aprīlī</w:t>
      </w:r>
      <w:r w:rsidR="006C4D49" w:rsidRPr="00495CDC">
        <w:rPr>
          <w:rFonts w:ascii="Times New Roman" w:hAnsi="Times New Roman" w:cs="Times New Roman"/>
          <w:sz w:val="28"/>
          <w:szCs w:val="28"/>
        </w:rPr>
        <w:t>.</w:t>
      </w:r>
    </w:p>
    <w:p w14:paraId="66D90A06" w14:textId="2BD12C9A" w:rsidR="00FE6498" w:rsidRPr="00495CDC" w:rsidRDefault="00FE6498" w:rsidP="00AE060B">
      <w:pPr>
        <w:spacing w:after="120" w:line="240" w:lineRule="auto"/>
        <w:ind w:firstLine="720"/>
        <w:jc w:val="both"/>
        <w:rPr>
          <w:rFonts w:ascii="Times New Roman" w:hAnsi="Times New Roman" w:cs="Times New Roman"/>
          <w:sz w:val="28"/>
          <w:szCs w:val="28"/>
        </w:rPr>
      </w:pPr>
      <w:r w:rsidRPr="00495CDC">
        <w:rPr>
          <w:rFonts w:ascii="Times New Roman" w:hAnsi="Times New Roman" w:cs="Times New Roman"/>
          <w:sz w:val="28"/>
          <w:szCs w:val="28"/>
        </w:rPr>
        <w:t xml:space="preserve">140. </w:t>
      </w:r>
      <w:r w:rsidR="00532141" w:rsidRPr="00495CDC">
        <w:rPr>
          <w:rFonts w:ascii="Times New Roman" w:hAnsi="Times New Roman" w:cs="Times New Roman"/>
          <w:sz w:val="28"/>
          <w:szCs w:val="28"/>
        </w:rPr>
        <w:t xml:space="preserve">Iesniegumi par jaunu </w:t>
      </w:r>
      <w:bookmarkStart w:id="16" w:name="_Hlk8914980"/>
      <w:r w:rsidR="00532141" w:rsidRPr="00495CDC">
        <w:rPr>
          <w:rFonts w:ascii="Times New Roman" w:hAnsi="Times New Roman" w:cs="Times New Roman"/>
          <w:sz w:val="28"/>
          <w:szCs w:val="28"/>
        </w:rPr>
        <w:t>zāļu un medicīnisko ierīču</w:t>
      </w:r>
      <w:bookmarkEnd w:id="16"/>
      <w:r w:rsidR="00532141" w:rsidRPr="00495CDC">
        <w:rPr>
          <w:rFonts w:ascii="Times New Roman" w:hAnsi="Times New Roman" w:cs="Times New Roman"/>
          <w:sz w:val="28"/>
          <w:szCs w:val="28"/>
        </w:rPr>
        <w:t xml:space="preserve"> iekļaušanu kompensējamo zāļu sarakstā un iesniegumi par zāļu un medicīnisko ierīču kompensācijas nosacījumu pārskatīšanu, kas iesniegti līdz 2019.gada </w:t>
      </w:r>
      <w:r w:rsidR="0098725B" w:rsidRPr="00495CDC">
        <w:rPr>
          <w:rFonts w:ascii="Times New Roman" w:hAnsi="Times New Roman" w:cs="Times New Roman"/>
          <w:sz w:val="28"/>
          <w:szCs w:val="28"/>
        </w:rPr>
        <w:t>15</w:t>
      </w:r>
      <w:r w:rsidR="00532141" w:rsidRPr="00495CDC">
        <w:rPr>
          <w:rFonts w:ascii="Times New Roman" w:hAnsi="Times New Roman" w:cs="Times New Roman"/>
          <w:sz w:val="28"/>
          <w:szCs w:val="28"/>
        </w:rPr>
        <w:t>.jūnijam tiek izskatīti bez Zāļu valsts aģentūras atzinuma saņemšanas un to ārstniecisko un ekonomisko novērtēšanu veic Nacionālais veselības dienests.</w:t>
      </w:r>
      <w:r w:rsidR="00444AF6">
        <w:rPr>
          <w:rFonts w:ascii="Times New Roman" w:hAnsi="Times New Roman" w:cs="Times New Roman"/>
          <w:sz w:val="28"/>
          <w:szCs w:val="28"/>
        </w:rPr>
        <w:t xml:space="preserve"> </w:t>
      </w:r>
      <w:r w:rsidR="00444AF6" w:rsidRPr="00444AF6">
        <w:rPr>
          <w:rFonts w:ascii="Times New Roman" w:hAnsi="Times New Roman" w:cs="Times New Roman"/>
          <w:sz w:val="28"/>
          <w:szCs w:val="28"/>
        </w:rPr>
        <w:t>Iesniegumus, kas iesniegti pēc 2019.gada 16.jūnija un nav uzsākt</w:t>
      </w:r>
      <w:r w:rsidR="00444AF6">
        <w:rPr>
          <w:rFonts w:ascii="Times New Roman" w:hAnsi="Times New Roman" w:cs="Times New Roman"/>
          <w:sz w:val="28"/>
          <w:szCs w:val="28"/>
        </w:rPr>
        <w:t>a to</w:t>
      </w:r>
      <w:r w:rsidR="00444AF6" w:rsidRPr="00444AF6">
        <w:rPr>
          <w:rFonts w:ascii="Times New Roman" w:hAnsi="Times New Roman" w:cs="Times New Roman"/>
          <w:sz w:val="28"/>
          <w:szCs w:val="28"/>
        </w:rPr>
        <w:t xml:space="preserve"> skatī</w:t>
      </w:r>
      <w:r w:rsidR="00444AF6">
        <w:rPr>
          <w:rFonts w:ascii="Times New Roman" w:hAnsi="Times New Roman" w:cs="Times New Roman"/>
          <w:sz w:val="28"/>
          <w:szCs w:val="28"/>
        </w:rPr>
        <w:t>šana</w:t>
      </w:r>
      <w:r w:rsidR="00444AF6" w:rsidRPr="00444AF6">
        <w:rPr>
          <w:rFonts w:ascii="Times New Roman" w:hAnsi="Times New Roman" w:cs="Times New Roman"/>
          <w:sz w:val="28"/>
          <w:szCs w:val="28"/>
        </w:rPr>
        <w:t xml:space="preserve"> pēc būtības</w:t>
      </w:r>
      <w:r w:rsidR="00444AF6">
        <w:rPr>
          <w:rFonts w:ascii="Times New Roman" w:hAnsi="Times New Roman" w:cs="Times New Roman"/>
          <w:sz w:val="28"/>
          <w:szCs w:val="28"/>
        </w:rPr>
        <w:t>,</w:t>
      </w:r>
      <w:r w:rsidR="00444AF6" w:rsidRPr="00444AF6">
        <w:rPr>
          <w:rFonts w:ascii="Times New Roman" w:hAnsi="Times New Roman" w:cs="Times New Roman"/>
          <w:sz w:val="28"/>
          <w:szCs w:val="28"/>
        </w:rPr>
        <w:t xml:space="preserve"> Nacionālais veselības dienests no 2019.gada 1.jūlija pārsūta izskatīšanai Zāļu valsts aģentūrai atzinuma saņemšanai</w:t>
      </w:r>
      <w:r w:rsidR="00444AF6">
        <w:rPr>
          <w:rFonts w:ascii="Times New Roman" w:hAnsi="Times New Roman" w:cs="Times New Roman"/>
          <w:sz w:val="28"/>
          <w:szCs w:val="28"/>
        </w:rPr>
        <w:t>.</w:t>
      </w:r>
    </w:p>
    <w:p w14:paraId="31455C9C" w14:textId="1A13B7BE" w:rsidR="00FB027E" w:rsidRPr="00495CDC" w:rsidRDefault="0098725B" w:rsidP="00495CDC">
      <w:pPr>
        <w:ind w:firstLine="709"/>
        <w:jc w:val="both"/>
      </w:pPr>
      <w:r>
        <w:rPr>
          <w:rFonts w:ascii="Times New Roman" w:hAnsi="Times New Roman" w:cs="Times New Roman"/>
          <w:sz w:val="28"/>
          <w:szCs w:val="28"/>
        </w:rPr>
        <w:t>141</w:t>
      </w:r>
      <w:r w:rsidRPr="00A94B59">
        <w:rPr>
          <w:rFonts w:ascii="Times New Roman" w:hAnsi="Times New Roman" w:cs="Times New Roman"/>
          <w:sz w:val="28"/>
          <w:szCs w:val="28"/>
        </w:rPr>
        <w:t>. Šo noteikumu 19.punktā minēto rēķinu par iesnieguma par zāļu vai medicīnisko ierīču iekļaušanu kompensējamo zāļu sarakstā vai iesnieguma par kompensācijas noteikumu pārskatīšanu, izskatīšanu, kas iesniegti līdz 2019.gada 15.jūnijam, izraksta Nacionālais veselības dienests, bet par iesniegumiem, kas iesniegti pēc 2019.gada 15.jūnija, rēķinu izraksta Zāļu valsts aģentūra atbilstoši Zāļu valsts aģentūras maksas pakalpojumu cenrādim</w:t>
      </w:r>
      <w:r w:rsidR="00444AF6">
        <w:rPr>
          <w:rFonts w:ascii="Times New Roman" w:hAnsi="Times New Roman" w:cs="Times New Roman"/>
          <w:sz w:val="28"/>
          <w:szCs w:val="28"/>
        </w:rPr>
        <w:t xml:space="preserve"> </w:t>
      </w:r>
      <w:r w:rsidR="00444AF6" w:rsidRPr="00444AF6">
        <w:rPr>
          <w:rFonts w:ascii="Times New Roman" w:hAnsi="Times New Roman" w:cs="Times New Roman"/>
          <w:sz w:val="28"/>
          <w:szCs w:val="28"/>
        </w:rPr>
        <w:t>par atzinuma saņemšanu</w:t>
      </w:r>
      <w:r>
        <w:rPr>
          <w:rFonts w:ascii="Times New Roman" w:hAnsi="Times New Roman" w:cs="Times New Roman"/>
          <w:sz w:val="28"/>
          <w:szCs w:val="28"/>
        </w:rPr>
        <w:t>.</w:t>
      </w:r>
      <w:r w:rsidRPr="00A94B59">
        <w:rPr>
          <w:rFonts w:ascii="Times New Roman" w:hAnsi="Times New Roman" w:cs="Times New Roman"/>
          <w:sz w:val="28"/>
          <w:szCs w:val="28"/>
        </w:rPr>
        <w:t>”.</w:t>
      </w:r>
    </w:p>
    <w:p w14:paraId="0F6EA954" w14:textId="304FEA5B" w:rsidR="0009299A" w:rsidRPr="00E70D57" w:rsidRDefault="0004081A" w:rsidP="0009299A">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1.</w:t>
      </w:r>
      <w:r w:rsidR="007C4BEE" w:rsidRPr="00E70D57">
        <w:rPr>
          <w:rFonts w:ascii="Times New Roman" w:hAnsi="Times New Roman" w:cs="Times New Roman"/>
          <w:sz w:val="28"/>
          <w:szCs w:val="28"/>
        </w:rPr>
        <w:t>2</w:t>
      </w:r>
      <w:r w:rsidR="007C4BEE">
        <w:rPr>
          <w:rFonts w:ascii="Times New Roman" w:hAnsi="Times New Roman" w:cs="Times New Roman"/>
          <w:sz w:val="28"/>
          <w:szCs w:val="28"/>
        </w:rPr>
        <w:t>2</w:t>
      </w:r>
      <w:r w:rsidRPr="00E70D57">
        <w:rPr>
          <w:rFonts w:ascii="Times New Roman" w:hAnsi="Times New Roman" w:cs="Times New Roman"/>
          <w:sz w:val="28"/>
          <w:szCs w:val="28"/>
        </w:rPr>
        <w:t>. i</w:t>
      </w:r>
      <w:r w:rsidR="0009299A" w:rsidRPr="00E70D57">
        <w:rPr>
          <w:rFonts w:ascii="Times New Roman" w:hAnsi="Times New Roman" w:cs="Times New Roman"/>
          <w:sz w:val="28"/>
          <w:szCs w:val="28"/>
        </w:rPr>
        <w:t>zteikt 3. pielikuma 3. punktu šādā redakcijā:</w:t>
      </w:r>
    </w:p>
    <w:p w14:paraId="18A1B718" w14:textId="71CC8320" w:rsidR="00A55738" w:rsidRDefault="0009299A" w:rsidP="0009299A">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w:t>
      </w:r>
      <w:r w:rsidR="00A55738" w:rsidRPr="00E70D57">
        <w:rPr>
          <w:rFonts w:ascii="Times New Roman" w:hAnsi="Times New Roman" w:cs="Times New Roman"/>
          <w:sz w:val="28"/>
          <w:szCs w:val="28"/>
        </w:rPr>
        <w:t>3. Izvērtējot iesniegumu par zāļu vai me</w:t>
      </w:r>
      <w:r w:rsidR="005F1CE1" w:rsidRPr="00E70D57">
        <w:rPr>
          <w:rFonts w:ascii="Times New Roman" w:hAnsi="Times New Roman" w:cs="Times New Roman"/>
          <w:sz w:val="28"/>
          <w:szCs w:val="28"/>
        </w:rPr>
        <w:t>dicīnisko ierīču iekļaušanu kom</w:t>
      </w:r>
      <w:r w:rsidR="00A55738" w:rsidRPr="00E70D57">
        <w:rPr>
          <w:rFonts w:ascii="Times New Roman" w:hAnsi="Times New Roman" w:cs="Times New Roman"/>
          <w:sz w:val="28"/>
          <w:szCs w:val="28"/>
        </w:rPr>
        <w:t xml:space="preserve">pensējamo zāļu sarakstā, </w:t>
      </w:r>
      <w:r w:rsidR="00556D0B" w:rsidRPr="00E70D57">
        <w:rPr>
          <w:rFonts w:ascii="Times New Roman" w:hAnsi="Times New Roman" w:cs="Times New Roman"/>
          <w:sz w:val="28"/>
          <w:szCs w:val="28"/>
        </w:rPr>
        <w:t>tiek vērtēta</w:t>
      </w:r>
      <w:r w:rsidRPr="00E70D57">
        <w:rPr>
          <w:rFonts w:ascii="Times New Roman" w:hAnsi="Times New Roman" w:cs="Times New Roman"/>
          <w:sz w:val="28"/>
          <w:szCs w:val="28"/>
        </w:rPr>
        <w:t>s</w:t>
      </w:r>
      <w:r w:rsidR="00556D0B" w:rsidRPr="00E70D57">
        <w:rPr>
          <w:rFonts w:ascii="Times New Roman" w:hAnsi="Times New Roman" w:cs="Times New Roman"/>
          <w:sz w:val="28"/>
          <w:szCs w:val="28"/>
        </w:rPr>
        <w:t xml:space="preserve"> </w:t>
      </w:r>
      <w:r w:rsidR="00A55738" w:rsidRPr="00E70D57">
        <w:rPr>
          <w:rFonts w:ascii="Times New Roman" w:hAnsi="Times New Roman" w:cs="Times New Roman"/>
          <w:sz w:val="28"/>
          <w:szCs w:val="28"/>
        </w:rPr>
        <w:t xml:space="preserve">zāļu vai medicīnisko </w:t>
      </w:r>
      <w:r w:rsidR="0003796B">
        <w:rPr>
          <w:rFonts w:ascii="Times New Roman" w:hAnsi="Times New Roman" w:cs="Times New Roman"/>
          <w:sz w:val="28"/>
          <w:szCs w:val="28"/>
        </w:rPr>
        <w:t>ierīču</w:t>
      </w:r>
      <w:r w:rsidR="0003796B" w:rsidRPr="00E70D57">
        <w:rPr>
          <w:rFonts w:ascii="Times New Roman" w:hAnsi="Times New Roman" w:cs="Times New Roman"/>
          <w:sz w:val="28"/>
          <w:szCs w:val="28"/>
        </w:rPr>
        <w:t xml:space="preserve"> </w:t>
      </w:r>
      <w:r w:rsidR="00A55738" w:rsidRPr="00E70D57">
        <w:rPr>
          <w:rFonts w:ascii="Times New Roman" w:hAnsi="Times New Roman" w:cs="Times New Roman"/>
          <w:sz w:val="28"/>
          <w:szCs w:val="28"/>
        </w:rPr>
        <w:t>lietošanas izmaksas un ietekm</w:t>
      </w:r>
      <w:r w:rsidRPr="00E70D57">
        <w:rPr>
          <w:rFonts w:ascii="Times New Roman" w:hAnsi="Times New Roman" w:cs="Times New Roman"/>
          <w:sz w:val="28"/>
          <w:szCs w:val="28"/>
        </w:rPr>
        <w:t>e</w:t>
      </w:r>
      <w:r w:rsidR="00A55738" w:rsidRPr="00E70D57">
        <w:rPr>
          <w:rFonts w:ascii="Times New Roman" w:hAnsi="Times New Roman" w:cs="Times New Roman"/>
          <w:sz w:val="28"/>
          <w:szCs w:val="28"/>
        </w:rPr>
        <w:t xml:space="preserve"> uz veselības aprūpes sistēmas rādītājiem un izmaksām saskaņā ar vadlīnijām.</w:t>
      </w:r>
      <w:r w:rsidRPr="00E70D57">
        <w:rPr>
          <w:rFonts w:ascii="Times New Roman" w:hAnsi="Times New Roman" w:cs="Times New Roman"/>
          <w:sz w:val="28"/>
          <w:szCs w:val="28"/>
        </w:rPr>
        <w:t>”</w:t>
      </w:r>
    </w:p>
    <w:p w14:paraId="4EF6BCC1" w14:textId="52BFB10C" w:rsidR="009A390E" w:rsidRDefault="009A390E" w:rsidP="0009299A">
      <w:pPr>
        <w:spacing w:after="120" w:line="240" w:lineRule="auto"/>
        <w:ind w:firstLine="720"/>
        <w:jc w:val="both"/>
        <w:rPr>
          <w:rFonts w:ascii="Times New Roman" w:hAnsi="Times New Roman" w:cs="Times New Roman"/>
          <w:sz w:val="28"/>
          <w:szCs w:val="28"/>
        </w:rPr>
      </w:pPr>
      <w:r w:rsidRPr="00E70D57">
        <w:rPr>
          <w:rFonts w:ascii="Times New Roman" w:hAnsi="Times New Roman" w:cs="Times New Roman"/>
          <w:sz w:val="28"/>
          <w:szCs w:val="28"/>
        </w:rPr>
        <w:t xml:space="preserve">2. Noteikumi stājas spēkā </w:t>
      </w:r>
      <w:r w:rsidR="001B2AC2">
        <w:rPr>
          <w:rFonts w:ascii="Times New Roman" w:hAnsi="Times New Roman" w:cs="Times New Roman"/>
          <w:sz w:val="28"/>
          <w:szCs w:val="28"/>
        </w:rPr>
        <w:t xml:space="preserve">2019.gada </w:t>
      </w:r>
      <w:r w:rsidRPr="00E70D57">
        <w:rPr>
          <w:rFonts w:ascii="Times New Roman" w:hAnsi="Times New Roman" w:cs="Times New Roman"/>
          <w:sz w:val="28"/>
          <w:szCs w:val="28"/>
        </w:rPr>
        <w:t>1.</w:t>
      </w:r>
      <w:r w:rsidR="00C15271">
        <w:rPr>
          <w:rFonts w:ascii="Times New Roman" w:hAnsi="Times New Roman" w:cs="Times New Roman"/>
          <w:sz w:val="28"/>
          <w:szCs w:val="28"/>
        </w:rPr>
        <w:t>jūlijā</w:t>
      </w:r>
      <w:r w:rsidRPr="00E70D57">
        <w:rPr>
          <w:rFonts w:ascii="Times New Roman" w:hAnsi="Times New Roman" w:cs="Times New Roman"/>
          <w:sz w:val="28"/>
          <w:szCs w:val="28"/>
        </w:rPr>
        <w:t>.</w:t>
      </w:r>
    </w:p>
    <w:p w14:paraId="39109015" w14:textId="13C48B87" w:rsidR="000C1731" w:rsidRPr="00E70D57" w:rsidRDefault="00684161" w:rsidP="0009299A">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0C1731">
        <w:rPr>
          <w:rFonts w:ascii="Times New Roman" w:hAnsi="Times New Roman" w:cs="Times New Roman"/>
          <w:sz w:val="28"/>
          <w:szCs w:val="28"/>
        </w:rPr>
        <w:t>. Notikumu 1.</w:t>
      </w:r>
      <w:r w:rsidR="00EE144B">
        <w:rPr>
          <w:rFonts w:ascii="Times New Roman" w:hAnsi="Times New Roman" w:cs="Times New Roman"/>
          <w:sz w:val="28"/>
          <w:szCs w:val="28"/>
        </w:rPr>
        <w:t>19</w:t>
      </w:r>
      <w:r w:rsidR="000C1731">
        <w:rPr>
          <w:rFonts w:ascii="Times New Roman" w:hAnsi="Times New Roman" w:cs="Times New Roman"/>
          <w:sz w:val="28"/>
          <w:szCs w:val="28"/>
        </w:rPr>
        <w:t>.apakšpunkts stājas spēkā 2020.gada 1.</w:t>
      </w:r>
      <w:r w:rsidR="00B9103C">
        <w:rPr>
          <w:rFonts w:ascii="Times New Roman" w:hAnsi="Times New Roman" w:cs="Times New Roman"/>
          <w:sz w:val="28"/>
          <w:szCs w:val="28"/>
        </w:rPr>
        <w:t>aprīlī.</w:t>
      </w:r>
    </w:p>
    <w:p w14:paraId="3405D970" w14:textId="322977AE" w:rsidR="002D6399" w:rsidRPr="00E70D57" w:rsidRDefault="002D6399" w:rsidP="00E70D57">
      <w:pPr>
        <w:pStyle w:val="NoSpacing"/>
        <w:rPr>
          <w:rFonts w:ascii="Times New Roman" w:hAnsi="Times New Roman" w:cs="Times New Roman"/>
          <w:sz w:val="28"/>
          <w:szCs w:val="28"/>
        </w:rPr>
      </w:pPr>
    </w:p>
    <w:p w14:paraId="2E45EAF7" w14:textId="389E9531" w:rsidR="002D6399" w:rsidRPr="00E70D57" w:rsidRDefault="002D6399" w:rsidP="00E70D57">
      <w:pPr>
        <w:pStyle w:val="NoSpacing"/>
        <w:rPr>
          <w:rFonts w:ascii="Times New Roman" w:hAnsi="Times New Roman" w:cs="Times New Roman"/>
          <w:sz w:val="28"/>
          <w:szCs w:val="28"/>
        </w:rPr>
      </w:pPr>
    </w:p>
    <w:p w14:paraId="5A6CCE35" w14:textId="1CA89A02" w:rsidR="00E253B9" w:rsidRPr="00E70D57" w:rsidRDefault="00E253B9" w:rsidP="00E253B9">
      <w:pPr>
        <w:tabs>
          <w:tab w:val="right" w:pos="7088"/>
        </w:tabs>
        <w:spacing w:after="160" w:line="259" w:lineRule="auto"/>
        <w:ind w:right="-766"/>
        <w:rPr>
          <w:rFonts w:ascii="Times New Roman" w:eastAsia="Calibri" w:hAnsi="Times New Roman" w:cs="Times New Roman"/>
          <w:sz w:val="28"/>
          <w:szCs w:val="28"/>
        </w:rPr>
      </w:pPr>
      <w:r w:rsidRPr="00E70D57">
        <w:rPr>
          <w:rFonts w:ascii="Times New Roman" w:eastAsia="Calibri" w:hAnsi="Times New Roman" w:cs="Times New Roman"/>
          <w:sz w:val="28"/>
          <w:szCs w:val="28"/>
        </w:rPr>
        <w:t xml:space="preserve">Ministru prezidents                                                             </w:t>
      </w:r>
      <w:r w:rsidR="00470115">
        <w:rPr>
          <w:rFonts w:ascii="Times New Roman" w:eastAsia="Calibri" w:hAnsi="Times New Roman" w:cs="Times New Roman"/>
          <w:sz w:val="28"/>
          <w:szCs w:val="28"/>
        </w:rPr>
        <w:t xml:space="preserve">         </w:t>
      </w:r>
      <w:r w:rsidRPr="00E70D57">
        <w:rPr>
          <w:rFonts w:ascii="Times New Roman" w:eastAsia="Calibri" w:hAnsi="Times New Roman" w:cs="Times New Roman"/>
          <w:sz w:val="28"/>
          <w:szCs w:val="28"/>
        </w:rPr>
        <w:tab/>
      </w:r>
      <w:r w:rsidR="00495CDC">
        <w:rPr>
          <w:rFonts w:ascii="Times New Roman" w:eastAsia="Calibri" w:hAnsi="Times New Roman" w:cs="Times New Roman"/>
          <w:sz w:val="28"/>
          <w:szCs w:val="28"/>
        </w:rPr>
        <w:tab/>
      </w:r>
      <w:r w:rsidRPr="00E70D57">
        <w:rPr>
          <w:rFonts w:ascii="Times New Roman" w:eastAsia="Calibri" w:hAnsi="Times New Roman" w:cs="Times New Roman"/>
          <w:sz w:val="28"/>
          <w:szCs w:val="28"/>
        </w:rPr>
        <w:t>A</w:t>
      </w:r>
      <w:r w:rsidR="00495CDC">
        <w:rPr>
          <w:rFonts w:ascii="Times New Roman" w:eastAsia="Calibri" w:hAnsi="Times New Roman" w:cs="Times New Roman"/>
          <w:sz w:val="28"/>
          <w:szCs w:val="28"/>
        </w:rPr>
        <w:t>.</w:t>
      </w:r>
      <w:r w:rsidRPr="00E70D57">
        <w:rPr>
          <w:rFonts w:ascii="Times New Roman" w:eastAsia="Calibri" w:hAnsi="Times New Roman" w:cs="Times New Roman"/>
          <w:sz w:val="28"/>
          <w:szCs w:val="28"/>
        </w:rPr>
        <w:t xml:space="preserve"> K</w:t>
      </w:r>
      <w:r w:rsidR="00495CDC">
        <w:rPr>
          <w:rFonts w:ascii="Times New Roman" w:eastAsia="Calibri" w:hAnsi="Times New Roman" w:cs="Times New Roman"/>
          <w:sz w:val="28"/>
          <w:szCs w:val="28"/>
        </w:rPr>
        <w:t>.</w:t>
      </w:r>
      <w:r w:rsidRPr="00E70D57">
        <w:rPr>
          <w:rFonts w:ascii="Times New Roman" w:eastAsia="Calibri" w:hAnsi="Times New Roman" w:cs="Times New Roman"/>
          <w:sz w:val="28"/>
          <w:szCs w:val="28"/>
        </w:rPr>
        <w:t xml:space="preserve"> Kariņš </w:t>
      </w:r>
    </w:p>
    <w:p w14:paraId="1B2FB2C7" w14:textId="77777777" w:rsidR="00E253B9" w:rsidRPr="00E70D57" w:rsidRDefault="00E253B9" w:rsidP="00E253B9">
      <w:pPr>
        <w:tabs>
          <w:tab w:val="right" w:pos="7088"/>
        </w:tabs>
        <w:spacing w:after="160" w:line="259" w:lineRule="auto"/>
        <w:ind w:right="-766"/>
        <w:rPr>
          <w:rFonts w:ascii="Times New Roman" w:eastAsia="Calibri" w:hAnsi="Times New Roman" w:cs="Times New Roman"/>
          <w:sz w:val="28"/>
          <w:szCs w:val="28"/>
        </w:rPr>
      </w:pPr>
    </w:p>
    <w:p w14:paraId="0FEA48DF" w14:textId="0B2906BC" w:rsidR="00E253B9" w:rsidRPr="00E70D57" w:rsidRDefault="00E253B9" w:rsidP="00E253B9">
      <w:pPr>
        <w:tabs>
          <w:tab w:val="left" w:pos="7230"/>
          <w:tab w:val="right" w:pos="9072"/>
        </w:tabs>
        <w:spacing w:after="160" w:line="259" w:lineRule="auto"/>
        <w:ind w:right="-765"/>
        <w:contextualSpacing/>
        <w:rPr>
          <w:rFonts w:ascii="Times New Roman" w:eastAsia="Calibri" w:hAnsi="Times New Roman" w:cs="Times New Roman"/>
          <w:sz w:val="28"/>
          <w:szCs w:val="28"/>
        </w:rPr>
      </w:pPr>
      <w:r w:rsidRPr="00E70D57">
        <w:rPr>
          <w:rFonts w:ascii="Times New Roman" w:eastAsia="Calibri" w:hAnsi="Times New Roman" w:cs="Times New Roman"/>
          <w:sz w:val="28"/>
          <w:szCs w:val="28"/>
        </w:rPr>
        <w:t xml:space="preserve">Veselības ministre </w:t>
      </w:r>
      <w:r w:rsidRPr="00E70D57">
        <w:rPr>
          <w:rFonts w:ascii="Times New Roman" w:eastAsia="Calibri" w:hAnsi="Times New Roman" w:cs="Times New Roman"/>
          <w:sz w:val="28"/>
          <w:szCs w:val="28"/>
        </w:rPr>
        <w:tab/>
      </w:r>
      <w:bookmarkStart w:id="17" w:name="_Hlk536785188"/>
      <w:r w:rsidRPr="00E70D57">
        <w:rPr>
          <w:rFonts w:ascii="Times New Roman" w:eastAsia="Calibri" w:hAnsi="Times New Roman" w:cs="Times New Roman"/>
          <w:sz w:val="28"/>
          <w:szCs w:val="28"/>
        </w:rPr>
        <w:t>I</w:t>
      </w:r>
      <w:r w:rsidR="00495CDC">
        <w:rPr>
          <w:rFonts w:ascii="Times New Roman" w:eastAsia="Calibri" w:hAnsi="Times New Roman" w:cs="Times New Roman"/>
          <w:sz w:val="28"/>
          <w:szCs w:val="28"/>
        </w:rPr>
        <w:t>.</w:t>
      </w:r>
      <w:r w:rsidRPr="00E70D57">
        <w:rPr>
          <w:rFonts w:ascii="Times New Roman" w:eastAsia="Calibri" w:hAnsi="Times New Roman" w:cs="Times New Roman"/>
          <w:sz w:val="28"/>
          <w:szCs w:val="28"/>
        </w:rPr>
        <w:t xml:space="preserve"> Viņķele </w:t>
      </w:r>
      <w:bookmarkEnd w:id="17"/>
      <w:r w:rsidRPr="00E70D57">
        <w:rPr>
          <w:rFonts w:ascii="Times New Roman" w:eastAsia="Calibri" w:hAnsi="Times New Roman" w:cs="Times New Roman"/>
          <w:sz w:val="28"/>
          <w:szCs w:val="28"/>
        </w:rPr>
        <w:tab/>
      </w:r>
    </w:p>
    <w:p w14:paraId="29FA5EEA" w14:textId="77777777" w:rsidR="00E253B9" w:rsidRPr="00E70D57" w:rsidRDefault="00E253B9" w:rsidP="00E253B9">
      <w:pPr>
        <w:tabs>
          <w:tab w:val="right" w:pos="9072"/>
        </w:tabs>
        <w:spacing w:after="160" w:line="259" w:lineRule="auto"/>
        <w:ind w:right="-765"/>
        <w:contextualSpacing/>
        <w:rPr>
          <w:rFonts w:ascii="Times New Roman" w:eastAsia="Calibri" w:hAnsi="Times New Roman" w:cs="Times New Roman"/>
          <w:sz w:val="28"/>
          <w:szCs w:val="28"/>
        </w:rPr>
      </w:pPr>
    </w:p>
    <w:p w14:paraId="051810ED" w14:textId="3FF42321" w:rsidR="00E253B9" w:rsidRPr="00E70D57" w:rsidRDefault="00E253B9" w:rsidP="00E253B9">
      <w:pPr>
        <w:tabs>
          <w:tab w:val="left" w:pos="7230"/>
          <w:tab w:val="right" w:pos="9072"/>
        </w:tabs>
        <w:spacing w:after="160" w:line="259" w:lineRule="auto"/>
        <w:ind w:right="-765"/>
        <w:rPr>
          <w:rFonts w:ascii="Times New Roman" w:eastAsia="Calibri" w:hAnsi="Times New Roman" w:cs="Times New Roman"/>
          <w:sz w:val="28"/>
          <w:szCs w:val="28"/>
        </w:rPr>
      </w:pPr>
      <w:r w:rsidRPr="00E70D57">
        <w:rPr>
          <w:rFonts w:ascii="Times New Roman" w:eastAsia="Calibri" w:hAnsi="Times New Roman" w:cs="Times New Roman"/>
          <w:sz w:val="28"/>
          <w:szCs w:val="28"/>
        </w:rPr>
        <w:t>Iesniedzējs: Veselības ministre</w:t>
      </w:r>
      <w:r w:rsidRPr="00E70D57">
        <w:rPr>
          <w:rFonts w:ascii="Times New Roman" w:eastAsia="Calibri" w:hAnsi="Times New Roman" w:cs="Times New Roman"/>
          <w:sz w:val="28"/>
          <w:szCs w:val="28"/>
        </w:rPr>
        <w:tab/>
        <w:t>I</w:t>
      </w:r>
      <w:r w:rsidR="00495CDC">
        <w:rPr>
          <w:rFonts w:ascii="Times New Roman" w:eastAsia="Calibri" w:hAnsi="Times New Roman" w:cs="Times New Roman"/>
          <w:sz w:val="28"/>
          <w:szCs w:val="28"/>
        </w:rPr>
        <w:t>.</w:t>
      </w:r>
      <w:r w:rsidRPr="00E70D57">
        <w:rPr>
          <w:rFonts w:ascii="Times New Roman" w:eastAsia="Calibri" w:hAnsi="Times New Roman" w:cs="Times New Roman"/>
          <w:sz w:val="28"/>
          <w:szCs w:val="28"/>
        </w:rPr>
        <w:t xml:space="preserve"> Viņķele </w:t>
      </w:r>
    </w:p>
    <w:p w14:paraId="36CE4381" w14:textId="0F562063" w:rsidR="002D6399" w:rsidRPr="00E70D57" w:rsidRDefault="00E253B9" w:rsidP="00684161">
      <w:pPr>
        <w:tabs>
          <w:tab w:val="left" w:pos="7230"/>
          <w:tab w:val="right" w:pos="9072"/>
        </w:tabs>
        <w:spacing w:after="160" w:line="259" w:lineRule="auto"/>
        <w:ind w:right="-765"/>
        <w:rPr>
          <w:rFonts w:ascii="Times New Roman" w:hAnsi="Times New Roman" w:cs="Times New Roman"/>
          <w:sz w:val="28"/>
          <w:szCs w:val="28"/>
        </w:rPr>
      </w:pPr>
      <w:r w:rsidRPr="00E70D57">
        <w:rPr>
          <w:rFonts w:ascii="Times New Roman" w:eastAsia="Calibri" w:hAnsi="Times New Roman" w:cs="Times New Roman"/>
          <w:sz w:val="28"/>
          <w:szCs w:val="28"/>
        </w:rPr>
        <w:t xml:space="preserve">Vīza: Valsts sekretāre                                                    </w:t>
      </w:r>
      <w:r w:rsidR="00495CDC">
        <w:rPr>
          <w:rFonts w:ascii="Times New Roman" w:eastAsia="Calibri" w:hAnsi="Times New Roman" w:cs="Times New Roman"/>
          <w:sz w:val="28"/>
          <w:szCs w:val="28"/>
        </w:rPr>
        <w:t xml:space="preserve">    </w:t>
      </w:r>
      <w:r w:rsidRPr="00E70D57">
        <w:rPr>
          <w:rFonts w:ascii="Times New Roman" w:eastAsia="Calibri" w:hAnsi="Times New Roman" w:cs="Times New Roman"/>
          <w:sz w:val="28"/>
          <w:szCs w:val="28"/>
        </w:rPr>
        <w:t>D</w:t>
      </w:r>
      <w:r w:rsidR="00495CDC">
        <w:rPr>
          <w:rFonts w:ascii="Times New Roman" w:eastAsia="Calibri" w:hAnsi="Times New Roman" w:cs="Times New Roman"/>
          <w:sz w:val="28"/>
          <w:szCs w:val="28"/>
        </w:rPr>
        <w:t>.</w:t>
      </w:r>
      <w:r w:rsidRPr="00E70D57">
        <w:rPr>
          <w:rFonts w:ascii="Times New Roman" w:eastAsia="Calibri" w:hAnsi="Times New Roman" w:cs="Times New Roman"/>
          <w:sz w:val="28"/>
          <w:szCs w:val="28"/>
        </w:rPr>
        <w:t xml:space="preserve"> Mūrmane-Umbraško</w:t>
      </w:r>
    </w:p>
    <w:sectPr w:rsidR="002D6399" w:rsidRPr="00E70D57" w:rsidSect="001B3DC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AD30" w14:textId="77777777" w:rsidR="004063C9" w:rsidRDefault="004063C9" w:rsidP="001B3DC5">
      <w:pPr>
        <w:spacing w:after="0" w:line="240" w:lineRule="auto"/>
      </w:pPr>
      <w:r>
        <w:separator/>
      </w:r>
    </w:p>
  </w:endnote>
  <w:endnote w:type="continuationSeparator" w:id="0">
    <w:p w14:paraId="4AF36566" w14:textId="77777777" w:rsidR="004063C9" w:rsidRDefault="004063C9" w:rsidP="001B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EADA" w14:textId="4E5291C7" w:rsidR="0004081A" w:rsidRDefault="0004081A">
    <w:pPr>
      <w:pStyle w:val="Footer"/>
    </w:pPr>
    <w:r>
      <w:t>VMnot_</w:t>
    </w:r>
    <w:r w:rsidR="006F3074">
      <w:t>100619</w:t>
    </w:r>
    <w:r>
      <w:t>_reorg_899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203B" w14:textId="1325EA99" w:rsidR="0004081A" w:rsidRDefault="0004081A">
    <w:pPr>
      <w:pStyle w:val="Footer"/>
    </w:pPr>
    <w:r>
      <w:t>VMnot_</w:t>
    </w:r>
    <w:r w:rsidR="006F3074">
      <w:t>100619</w:t>
    </w:r>
    <w:r>
      <w:t>_reorg_899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EF82" w14:textId="77777777" w:rsidR="004063C9" w:rsidRDefault="004063C9" w:rsidP="001B3DC5">
      <w:pPr>
        <w:spacing w:after="0" w:line="240" w:lineRule="auto"/>
      </w:pPr>
      <w:r>
        <w:separator/>
      </w:r>
    </w:p>
  </w:footnote>
  <w:footnote w:type="continuationSeparator" w:id="0">
    <w:p w14:paraId="67CA50A3" w14:textId="77777777" w:rsidR="004063C9" w:rsidRDefault="004063C9" w:rsidP="001B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90238"/>
      <w:docPartObj>
        <w:docPartGallery w:val="Page Numbers (Top of Page)"/>
        <w:docPartUnique/>
      </w:docPartObj>
    </w:sdtPr>
    <w:sdtEndPr>
      <w:rPr>
        <w:noProof/>
      </w:rPr>
    </w:sdtEndPr>
    <w:sdtContent>
      <w:p w14:paraId="69AF02D3" w14:textId="01F4D191" w:rsidR="00C25A66" w:rsidRDefault="00C25A66">
        <w:pPr>
          <w:pStyle w:val="Header"/>
          <w:jc w:val="center"/>
        </w:pPr>
        <w:r>
          <w:fldChar w:fldCharType="begin"/>
        </w:r>
        <w:r>
          <w:instrText xml:space="preserve"> PAGE   \* MERGEFORMAT </w:instrText>
        </w:r>
        <w:r>
          <w:fldChar w:fldCharType="separate"/>
        </w:r>
        <w:r w:rsidR="0016290E">
          <w:rPr>
            <w:noProof/>
          </w:rPr>
          <w:t>8</w:t>
        </w:r>
        <w:r>
          <w:rPr>
            <w:noProof/>
          </w:rPr>
          <w:fldChar w:fldCharType="end"/>
        </w:r>
      </w:p>
    </w:sdtContent>
  </w:sdt>
  <w:p w14:paraId="7A0C3629" w14:textId="77777777" w:rsidR="00C25A66" w:rsidRDefault="00C25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22"/>
    <w:multiLevelType w:val="hybridMultilevel"/>
    <w:tmpl w:val="4E9E70F8"/>
    <w:lvl w:ilvl="0" w:tplc="E3ACCD1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2A0AFD"/>
    <w:multiLevelType w:val="hybridMultilevel"/>
    <w:tmpl w:val="4CACCD34"/>
    <w:lvl w:ilvl="0" w:tplc="BD108BB6">
      <w:start w:val="6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2B017E"/>
    <w:multiLevelType w:val="hybridMultilevel"/>
    <w:tmpl w:val="46EC2E3C"/>
    <w:lvl w:ilvl="0" w:tplc="7174E2E0">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C4"/>
    <w:rsid w:val="00002404"/>
    <w:rsid w:val="00002452"/>
    <w:rsid w:val="00003CD1"/>
    <w:rsid w:val="00011AAB"/>
    <w:rsid w:val="00022787"/>
    <w:rsid w:val="0002279C"/>
    <w:rsid w:val="000249AC"/>
    <w:rsid w:val="00030EE8"/>
    <w:rsid w:val="00035401"/>
    <w:rsid w:val="00035EF3"/>
    <w:rsid w:val="0003796B"/>
    <w:rsid w:val="0004081A"/>
    <w:rsid w:val="00040F80"/>
    <w:rsid w:val="00043DE4"/>
    <w:rsid w:val="000444E4"/>
    <w:rsid w:val="00045B66"/>
    <w:rsid w:val="00055BE5"/>
    <w:rsid w:val="00060199"/>
    <w:rsid w:val="00062B37"/>
    <w:rsid w:val="000761A5"/>
    <w:rsid w:val="000773B3"/>
    <w:rsid w:val="000837A0"/>
    <w:rsid w:val="0009030D"/>
    <w:rsid w:val="00092271"/>
    <w:rsid w:val="0009299A"/>
    <w:rsid w:val="000A09A8"/>
    <w:rsid w:val="000A6A39"/>
    <w:rsid w:val="000A7362"/>
    <w:rsid w:val="000B1C86"/>
    <w:rsid w:val="000B1F5C"/>
    <w:rsid w:val="000B2D46"/>
    <w:rsid w:val="000C1731"/>
    <w:rsid w:val="000D12BF"/>
    <w:rsid w:val="000E019A"/>
    <w:rsid w:val="000F146D"/>
    <w:rsid w:val="000F499A"/>
    <w:rsid w:val="001005F2"/>
    <w:rsid w:val="001057C4"/>
    <w:rsid w:val="001058D1"/>
    <w:rsid w:val="001072E3"/>
    <w:rsid w:val="0011102A"/>
    <w:rsid w:val="0011393F"/>
    <w:rsid w:val="001422AC"/>
    <w:rsid w:val="00143A29"/>
    <w:rsid w:val="00147494"/>
    <w:rsid w:val="00150AAD"/>
    <w:rsid w:val="0015208C"/>
    <w:rsid w:val="00152A80"/>
    <w:rsid w:val="00155342"/>
    <w:rsid w:val="0016151D"/>
    <w:rsid w:val="0016290E"/>
    <w:rsid w:val="00162CE0"/>
    <w:rsid w:val="001658E9"/>
    <w:rsid w:val="0016720F"/>
    <w:rsid w:val="00171194"/>
    <w:rsid w:val="001723E0"/>
    <w:rsid w:val="00182C68"/>
    <w:rsid w:val="001939A9"/>
    <w:rsid w:val="00195D9D"/>
    <w:rsid w:val="001A4234"/>
    <w:rsid w:val="001A6496"/>
    <w:rsid w:val="001B00FF"/>
    <w:rsid w:val="001B07E1"/>
    <w:rsid w:val="001B1202"/>
    <w:rsid w:val="001B25BC"/>
    <w:rsid w:val="001B2AC2"/>
    <w:rsid w:val="001B3D59"/>
    <w:rsid w:val="001B3DC5"/>
    <w:rsid w:val="001C1354"/>
    <w:rsid w:val="001C5EC8"/>
    <w:rsid w:val="001D1219"/>
    <w:rsid w:val="001D1F1C"/>
    <w:rsid w:val="001D655A"/>
    <w:rsid w:val="001E0C6E"/>
    <w:rsid w:val="00212550"/>
    <w:rsid w:val="00223A14"/>
    <w:rsid w:val="00223BED"/>
    <w:rsid w:val="00227DB5"/>
    <w:rsid w:val="00234D7E"/>
    <w:rsid w:val="0023551B"/>
    <w:rsid w:val="0024152F"/>
    <w:rsid w:val="00247A15"/>
    <w:rsid w:val="002507F2"/>
    <w:rsid w:val="0025094C"/>
    <w:rsid w:val="0026534C"/>
    <w:rsid w:val="00276473"/>
    <w:rsid w:val="00281285"/>
    <w:rsid w:val="00290564"/>
    <w:rsid w:val="00291C06"/>
    <w:rsid w:val="00293623"/>
    <w:rsid w:val="002951AB"/>
    <w:rsid w:val="002A1069"/>
    <w:rsid w:val="002A6F37"/>
    <w:rsid w:val="002B0056"/>
    <w:rsid w:val="002B514C"/>
    <w:rsid w:val="002B7F84"/>
    <w:rsid w:val="002B7F91"/>
    <w:rsid w:val="002C360E"/>
    <w:rsid w:val="002C3E08"/>
    <w:rsid w:val="002D08F9"/>
    <w:rsid w:val="002D134E"/>
    <w:rsid w:val="002D16C5"/>
    <w:rsid w:val="002D16CD"/>
    <w:rsid w:val="002D42B9"/>
    <w:rsid w:val="002D45E5"/>
    <w:rsid w:val="002D4E1B"/>
    <w:rsid w:val="002D6399"/>
    <w:rsid w:val="002E1095"/>
    <w:rsid w:val="002E2211"/>
    <w:rsid w:val="002F1DC9"/>
    <w:rsid w:val="002F7249"/>
    <w:rsid w:val="00305369"/>
    <w:rsid w:val="00342660"/>
    <w:rsid w:val="003434E5"/>
    <w:rsid w:val="00346054"/>
    <w:rsid w:val="00346FBA"/>
    <w:rsid w:val="00347D3E"/>
    <w:rsid w:val="00353CB8"/>
    <w:rsid w:val="0035491A"/>
    <w:rsid w:val="00367CF9"/>
    <w:rsid w:val="00371224"/>
    <w:rsid w:val="00381531"/>
    <w:rsid w:val="00393180"/>
    <w:rsid w:val="0039363A"/>
    <w:rsid w:val="003B0AD3"/>
    <w:rsid w:val="003C69BB"/>
    <w:rsid w:val="003D4B0F"/>
    <w:rsid w:val="003D705D"/>
    <w:rsid w:val="003E1521"/>
    <w:rsid w:val="003E722A"/>
    <w:rsid w:val="003E7CB4"/>
    <w:rsid w:val="003F75C7"/>
    <w:rsid w:val="00404210"/>
    <w:rsid w:val="004063C9"/>
    <w:rsid w:val="00407CF8"/>
    <w:rsid w:val="00412DF1"/>
    <w:rsid w:val="00412E69"/>
    <w:rsid w:val="00414851"/>
    <w:rsid w:val="004369EC"/>
    <w:rsid w:val="00437F34"/>
    <w:rsid w:val="00444AF6"/>
    <w:rsid w:val="00444B9D"/>
    <w:rsid w:val="00444C16"/>
    <w:rsid w:val="004479CE"/>
    <w:rsid w:val="004508A2"/>
    <w:rsid w:val="004600EA"/>
    <w:rsid w:val="00460BA8"/>
    <w:rsid w:val="00470115"/>
    <w:rsid w:val="0047145D"/>
    <w:rsid w:val="0049226B"/>
    <w:rsid w:val="00495CDC"/>
    <w:rsid w:val="004972D5"/>
    <w:rsid w:val="004A0E2A"/>
    <w:rsid w:val="004A239E"/>
    <w:rsid w:val="004A2F0F"/>
    <w:rsid w:val="004A594F"/>
    <w:rsid w:val="004A6D01"/>
    <w:rsid w:val="004B6175"/>
    <w:rsid w:val="004C31CA"/>
    <w:rsid w:val="004C3533"/>
    <w:rsid w:val="004C35DF"/>
    <w:rsid w:val="004C40CB"/>
    <w:rsid w:val="004D1633"/>
    <w:rsid w:val="004D1E50"/>
    <w:rsid w:val="004D3E47"/>
    <w:rsid w:val="004D43A3"/>
    <w:rsid w:val="004D6045"/>
    <w:rsid w:val="00501A37"/>
    <w:rsid w:val="00510ADD"/>
    <w:rsid w:val="00510E9C"/>
    <w:rsid w:val="00512B19"/>
    <w:rsid w:val="0051485F"/>
    <w:rsid w:val="00532061"/>
    <w:rsid w:val="00532141"/>
    <w:rsid w:val="0054410A"/>
    <w:rsid w:val="00547DA7"/>
    <w:rsid w:val="00556D0B"/>
    <w:rsid w:val="005633A6"/>
    <w:rsid w:val="005818FB"/>
    <w:rsid w:val="005821B2"/>
    <w:rsid w:val="00596D87"/>
    <w:rsid w:val="005A223E"/>
    <w:rsid w:val="005A5E40"/>
    <w:rsid w:val="005D0621"/>
    <w:rsid w:val="005D250E"/>
    <w:rsid w:val="005D695D"/>
    <w:rsid w:val="005D7A5C"/>
    <w:rsid w:val="005E1AD8"/>
    <w:rsid w:val="005E75A9"/>
    <w:rsid w:val="005F1CE1"/>
    <w:rsid w:val="005F282D"/>
    <w:rsid w:val="005F3B54"/>
    <w:rsid w:val="005F59DA"/>
    <w:rsid w:val="00604AAB"/>
    <w:rsid w:val="00605540"/>
    <w:rsid w:val="0061471A"/>
    <w:rsid w:val="0061657B"/>
    <w:rsid w:val="0062073B"/>
    <w:rsid w:val="00631E09"/>
    <w:rsid w:val="00641BDD"/>
    <w:rsid w:val="0064475A"/>
    <w:rsid w:val="0065030A"/>
    <w:rsid w:val="00650673"/>
    <w:rsid w:val="0065711E"/>
    <w:rsid w:val="00660BC6"/>
    <w:rsid w:val="006767A4"/>
    <w:rsid w:val="00684161"/>
    <w:rsid w:val="00684C31"/>
    <w:rsid w:val="00685DBC"/>
    <w:rsid w:val="00690302"/>
    <w:rsid w:val="00693914"/>
    <w:rsid w:val="006A1685"/>
    <w:rsid w:val="006B0BA1"/>
    <w:rsid w:val="006B2B35"/>
    <w:rsid w:val="006B596B"/>
    <w:rsid w:val="006C0E3D"/>
    <w:rsid w:val="006C17C1"/>
    <w:rsid w:val="006C1C8B"/>
    <w:rsid w:val="006C2DAE"/>
    <w:rsid w:val="006C4D49"/>
    <w:rsid w:val="006C656B"/>
    <w:rsid w:val="006D0FA9"/>
    <w:rsid w:val="006D3064"/>
    <w:rsid w:val="006D3693"/>
    <w:rsid w:val="006D3E8B"/>
    <w:rsid w:val="006D4A56"/>
    <w:rsid w:val="006E119D"/>
    <w:rsid w:val="006E4195"/>
    <w:rsid w:val="006F3074"/>
    <w:rsid w:val="006F39EE"/>
    <w:rsid w:val="006F471C"/>
    <w:rsid w:val="006F5CD0"/>
    <w:rsid w:val="006F6FEC"/>
    <w:rsid w:val="006F76C4"/>
    <w:rsid w:val="007004E9"/>
    <w:rsid w:val="0070671E"/>
    <w:rsid w:val="00706727"/>
    <w:rsid w:val="00706DE3"/>
    <w:rsid w:val="00710BF1"/>
    <w:rsid w:val="0071158E"/>
    <w:rsid w:val="007153B6"/>
    <w:rsid w:val="007170F1"/>
    <w:rsid w:val="00723246"/>
    <w:rsid w:val="0073615D"/>
    <w:rsid w:val="00741255"/>
    <w:rsid w:val="00751F7F"/>
    <w:rsid w:val="00753608"/>
    <w:rsid w:val="00754E17"/>
    <w:rsid w:val="00764DF7"/>
    <w:rsid w:val="007727E5"/>
    <w:rsid w:val="00772B06"/>
    <w:rsid w:val="007801D4"/>
    <w:rsid w:val="00782B81"/>
    <w:rsid w:val="007908D6"/>
    <w:rsid w:val="00793591"/>
    <w:rsid w:val="007A1F4E"/>
    <w:rsid w:val="007A4820"/>
    <w:rsid w:val="007A7B4C"/>
    <w:rsid w:val="007C13ED"/>
    <w:rsid w:val="007C42C3"/>
    <w:rsid w:val="007C4788"/>
    <w:rsid w:val="007C4BEE"/>
    <w:rsid w:val="007D306B"/>
    <w:rsid w:val="007D7A25"/>
    <w:rsid w:val="007F181F"/>
    <w:rsid w:val="00803117"/>
    <w:rsid w:val="0080512E"/>
    <w:rsid w:val="00805BF7"/>
    <w:rsid w:val="00807FFD"/>
    <w:rsid w:val="00813E7C"/>
    <w:rsid w:val="0082010F"/>
    <w:rsid w:val="008232E4"/>
    <w:rsid w:val="00836651"/>
    <w:rsid w:val="00836BDF"/>
    <w:rsid w:val="00843424"/>
    <w:rsid w:val="008442FA"/>
    <w:rsid w:val="00844BF5"/>
    <w:rsid w:val="00844CBB"/>
    <w:rsid w:val="008508EB"/>
    <w:rsid w:val="0085649B"/>
    <w:rsid w:val="00860583"/>
    <w:rsid w:val="00863829"/>
    <w:rsid w:val="00883EEF"/>
    <w:rsid w:val="00884799"/>
    <w:rsid w:val="008926AF"/>
    <w:rsid w:val="00893980"/>
    <w:rsid w:val="0089482C"/>
    <w:rsid w:val="008A5277"/>
    <w:rsid w:val="008A7688"/>
    <w:rsid w:val="008B3F36"/>
    <w:rsid w:val="008B481E"/>
    <w:rsid w:val="008C130F"/>
    <w:rsid w:val="008E07F8"/>
    <w:rsid w:val="008E2EC7"/>
    <w:rsid w:val="008E5364"/>
    <w:rsid w:val="008F12AE"/>
    <w:rsid w:val="008F6A85"/>
    <w:rsid w:val="00901CAE"/>
    <w:rsid w:val="00906696"/>
    <w:rsid w:val="00910F65"/>
    <w:rsid w:val="009118DB"/>
    <w:rsid w:val="00913066"/>
    <w:rsid w:val="0092343E"/>
    <w:rsid w:val="00924242"/>
    <w:rsid w:val="009250DF"/>
    <w:rsid w:val="00927228"/>
    <w:rsid w:val="00930087"/>
    <w:rsid w:val="00933065"/>
    <w:rsid w:val="00933162"/>
    <w:rsid w:val="00933ADB"/>
    <w:rsid w:val="00934180"/>
    <w:rsid w:val="009429F8"/>
    <w:rsid w:val="00943948"/>
    <w:rsid w:val="0094548F"/>
    <w:rsid w:val="00947A0C"/>
    <w:rsid w:val="00947E58"/>
    <w:rsid w:val="009565DB"/>
    <w:rsid w:val="0096169A"/>
    <w:rsid w:val="00963A4E"/>
    <w:rsid w:val="0096623A"/>
    <w:rsid w:val="00967EDE"/>
    <w:rsid w:val="00973FC6"/>
    <w:rsid w:val="00974DDB"/>
    <w:rsid w:val="00974EFF"/>
    <w:rsid w:val="00981163"/>
    <w:rsid w:val="00986719"/>
    <w:rsid w:val="0098725B"/>
    <w:rsid w:val="00995666"/>
    <w:rsid w:val="009A390E"/>
    <w:rsid w:val="009B4540"/>
    <w:rsid w:val="009B5F50"/>
    <w:rsid w:val="009C0086"/>
    <w:rsid w:val="009C0EAD"/>
    <w:rsid w:val="009C1208"/>
    <w:rsid w:val="009C2EE6"/>
    <w:rsid w:val="009D3152"/>
    <w:rsid w:val="009E5791"/>
    <w:rsid w:val="009F779E"/>
    <w:rsid w:val="00A0076D"/>
    <w:rsid w:val="00A00E6F"/>
    <w:rsid w:val="00A073C0"/>
    <w:rsid w:val="00A155F9"/>
    <w:rsid w:val="00A218CD"/>
    <w:rsid w:val="00A263F7"/>
    <w:rsid w:val="00A2723E"/>
    <w:rsid w:val="00A45132"/>
    <w:rsid w:val="00A54C0C"/>
    <w:rsid w:val="00A55738"/>
    <w:rsid w:val="00A607CE"/>
    <w:rsid w:val="00A64ADA"/>
    <w:rsid w:val="00A713EA"/>
    <w:rsid w:val="00A77027"/>
    <w:rsid w:val="00A95B78"/>
    <w:rsid w:val="00AA1EF3"/>
    <w:rsid w:val="00AA5E49"/>
    <w:rsid w:val="00AA5F2A"/>
    <w:rsid w:val="00AB0F2C"/>
    <w:rsid w:val="00AB1E78"/>
    <w:rsid w:val="00AC4B11"/>
    <w:rsid w:val="00AD3103"/>
    <w:rsid w:val="00AD3709"/>
    <w:rsid w:val="00AD45B5"/>
    <w:rsid w:val="00AD5D0C"/>
    <w:rsid w:val="00AD5F66"/>
    <w:rsid w:val="00AE060B"/>
    <w:rsid w:val="00AE2C2A"/>
    <w:rsid w:val="00AF0223"/>
    <w:rsid w:val="00AF116E"/>
    <w:rsid w:val="00AF6F65"/>
    <w:rsid w:val="00B01336"/>
    <w:rsid w:val="00B31504"/>
    <w:rsid w:val="00B36B04"/>
    <w:rsid w:val="00B370EA"/>
    <w:rsid w:val="00B43C32"/>
    <w:rsid w:val="00B4754C"/>
    <w:rsid w:val="00B54F75"/>
    <w:rsid w:val="00B57EA1"/>
    <w:rsid w:val="00B63C01"/>
    <w:rsid w:val="00B74011"/>
    <w:rsid w:val="00B830C0"/>
    <w:rsid w:val="00B9069E"/>
    <w:rsid w:val="00B9103C"/>
    <w:rsid w:val="00B92C38"/>
    <w:rsid w:val="00BB0471"/>
    <w:rsid w:val="00BB6512"/>
    <w:rsid w:val="00BB6901"/>
    <w:rsid w:val="00BC38BB"/>
    <w:rsid w:val="00BC5C2D"/>
    <w:rsid w:val="00BE249D"/>
    <w:rsid w:val="00BE36D4"/>
    <w:rsid w:val="00BF284D"/>
    <w:rsid w:val="00BF76FC"/>
    <w:rsid w:val="00C00DDC"/>
    <w:rsid w:val="00C01385"/>
    <w:rsid w:val="00C114CA"/>
    <w:rsid w:val="00C15271"/>
    <w:rsid w:val="00C1539B"/>
    <w:rsid w:val="00C155E7"/>
    <w:rsid w:val="00C15A5A"/>
    <w:rsid w:val="00C1631C"/>
    <w:rsid w:val="00C17526"/>
    <w:rsid w:val="00C24ED9"/>
    <w:rsid w:val="00C25A66"/>
    <w:rsid w:val="00C32573"/>
    <w:rsid w:val="00C36DAE"/>
    <w:rsid w:val="00C36E9E"/>
    <w:rsid w:val="00C47B3B"/>
    <w:rsid w:val="00C51871"/>
    <w:rsid w:val="00C569E2"/>
    <w:rsid w:val="00C765FF"/>
    <w:rsid w:val="00C8130D"/>
    <w:rsid w:val="00C824FB"/>
    <w:rsid w:val="00C85D63"/>
    <w:rsid w:val="00C8658F"/>
    <w:rsid w:val="00C941B1"/>
    <w:rsid w:val="00C9549B"/>
    <w:rsid w:val="00C96608"/>
    <w:rsid w:val="00CA0922"/>
    <w:rsid w:val="00CA19B4"/>
    <w:rsid w:val="00CA1E0B"/>
    <w:rsid w:val="00CA55A4"/>
    <w:rsid w:val="00CA68D7"/>
    <w:rsid w:val="00CA7B7F"/>
    <w:rsid w:val="00CC0B32"/>
    <w:rsid w:val="00CC28F9"/>
    <w:rsid w:val="00CC355A"/>
    <w:rsid w:val="00CC43C7"/>
    <w:rsid w:val="00CC453E"/>
    <w:rsid w:val="00CC6BF2"/>
    <w:rsid w:val="00CD7172"/>
    <w:rsid w:val="00CE21EC"/>
    <w:rsid w:val="00CF30D1"/>
    <w:rsid w:val="00CF78DD"/>
    <w:rsid w:val="00D1013F"/>
    <w:rsid w:val="00D109DD"/>
    <w:rsid w:val="00D145C6"/>
    <w:rsid w:val="00D15501"/>
    <w:rsid w:val="00D2297B"/>
    <w:rsid w:val="00D25172"/>
    <w:rsid w:val="00D26DAA"/>
    <w:rsid w:val="00D27DCC"/>
    <w:rsid w:val="00D333B4"/>
    <w:rsid w:val="00D401CA"/>
    <w:rsid w:val="00D40639"/>
    <w:rsid w:val="00D40A1B"/>
    <w:rsid w:val="00D43466"/>
    <w:rsid w:val="00D45432"/>
    <w:rsid w:val="00D4599A"/>
    <w:rsid w:val="00D5505E"/>
    <w:rsid w:val="00D60572"/>
    <w:rsid w:val="00D60FA5"/>
    <w:rsid w:val="00D63A0E"/>
    <w:rsid w:val="00D664C2"/>
    <w:rsid w:val="00D672A3"/>
    <w:rsid w:val="00D70B9A"/>
    <w:rsid w:val="00D75EAF"/>
    <w:rsid w:val="00D77EE7"/>
    <w:rsid w:val="00D927EA"/>
    <w:rsid w:val="00D95408"/>
    <w:rsid w:val="00D957F3"/>
    <w:rsid w:val="00DA42BF"/>
    <w:rsid w:val="00DB5AD4"/>
    <w:rsid w:val="00DC057C"/>
    <w:rsid w:val="00DC64A3"/>
    <w:rsid w:val="00DD02C6"/>
    <w:rsid w:val="00DD0C31"/>
    <w:rsid w:val="00DD384C"/>
    <w:rsid w:val="00DD3B64"/>
    <w:rsid w:val="00DE0619"/>
    <w:rsid w:val="00DE6A4F"/>
    <w:rsid w:val="00E025EF"/>
    <w:rsid w:val="00E03D2D"/>
    <w:rsid w:val="00E047BF"/>
    <w:rsid w:val="00E069A7"/>
    <w:rsid w:val="00E1012D"/>
    <w:rsid w:val="00E17541"/>
    <w:rsid w:val="00E20C44"/>
    <w:rsid w:val="00E24298"/>
    <w:rsid w:val="00E253B9"/>
    <w:rsid w:val="00E25606"/>
    <w:rsid w:val="00E36361"/>
    <w:rsid w:val="00E41236"/>
    <w:rsid w:val="00E43089"/>
    <w:rsid w:val="00E4449C"/>
    <w:rsid w:val="00E5208D"/>
    <w:rsid w:val="00E55F82"/>
    <w:rsid w:val="00E60291"/>
    <w:rsid w:val="00E6072D"/>
    <w:rsid w:val="00E60C97"/>
    <w:rsid w:val="00E61235"/>
    <w:rsid w:val="00E70D57"/>
    <w:rsid w:val="00E83C05"/>
    <w:rsid w:val="00E84DAB"/>
    <w:rsid w:val="00E936BE"/>
    <w:rsid w:val="00E93A03"/>
    <w:rsid w:val="00EA0EC3"/>
    <w:rsid w:val="00EA12D5"/>
    <w:rsid w:val="00EB0B9A"/>
    <w:rsid w:val="00EB2F6F"/>
    <w:rsid w:val="00EC236A"/>
    <w:rsid w:val="00EE144B"/>
    <w:rsid w:val="00EF037C"/>
    <w:rsid w:val="00EF4FA0"/>
    <w:rsid w:val="00F0068D"/>
    <w:rsid w:val="00F16F06"/>
    <w:rsid w:val="00F333DB"/>
    <w:rsid w:val="00F345F2"/>
    <w:rsid w:val="00F37468"/>
    <w:rsid w:val="00F40987"/>
    <w:rsid w:val="00F46FF5"/>
    <w:rsid w:val="00F53859"/>
    <w:rsid w:val="00F654EF"/>
    <w:rsid w:val="00F657B8"/>
    <w:rsid w:val="00F66152"/>
    <w:rsid w:val="00F67C88"/>
    <w:rsid w:val="00F7295D"/>
    <w:rsid w:val="00F74F5F"/>
    <w:rsid w:val="00F7533A"/>
    <w:rsid w:val="00F8280F"/>
    <w:rsid w:val="00F91315"/>
    <w:rsid w:val="00F92E0D"/>
    <w:rsid w:val="00F94C4B"/>
    <w:rsid w:val="00FA5166"/>
    <w:rsid w:val="00FA6F0E"/>
    <w:rsid w:val="00FB027E"/>
    <w:rsid w:val="00FB1AA9"/>
    <w:rsid w:val="00FB4511"/>
    <w:rsid w:val="00FB54E3"/>
    <w:rsid w:val="00FC17C6"/>
    <w:rsid w:val="00FD306B"/>
    <w:rsid w:val="00FD325F"/>
    <w:rsid w:val="00FD4C6A"/>
    <w:rsid w:val="00FD64C9"/>
    <w:rsid w:val="00FE6498"/>
    <w:rsid w:val="00FF489C"/>
    <w:rsid w:val="00FF5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5A45"/>
  <w15:chartTrackingRefBased/>
  <w15:docId w15:val="{D68539AC-B5B6-47AF-844D-ADD2C7F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3DC5"/>
  </w:style>
  <w:style w:type="paragraph" w:styleId="Footer">
    <w:name w:val="footer"/>
    <w:basedOn w:val="Normal"/>
    <w:link w:val="FooterChar"/>
    <w:uiPriority w:val="99"/>
    <w:unhideWhenUsed/>
    <w:rsid w:val="001B3D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3DC5"/>
  </w:style>
  <w:style w:type="character" w:styleId="CommentReference">
    <w:name w:val="annotation reference"/>
    <w:basedOn w:val="DefaultParagraphFont"/>
    <w:uiPriority w:val="99"/>
    <w:semiHidden/>
    <w:unhideWhenUsed/>
    <w:rsid w:val="00805BF7"/>
    <w:rPr>
      <w:sz w:val="16"/>
      <w:szCs w:val="16"/>
    </w:rPr>
  </w:style>
  <w:style w:type="paragraph" w:styleId="CommentText">
    <w:name w:val="annotation text"/>
    <w:basedOn w:val="Normal"/>
    <w:link w:val="CommentTextChar"/>
    <w:uiPriority w:val="99"/>
    <w:semiHidden/>
    <w:unhideWhenUsed/>
    <w:rsid w:val="00805BF7"/>
    <w:pPr>
      <w:spacing w:line="240" w:lineRule="auto"/>
    </w:pPr>
    <w:rPr>
      <w:sz w:val="20"/>
      <w:szCs w:val="20"/>
    </w:rPr>
  </w:style>
  <w:style w:type="character" w:customStyle="1" w:styleId="CommentTextChar">
    <w:name w:val="Comment Text Char"/>
    <w:basedOn w:val="DefaultParagraphFont"/>
    <w:link w:val="CommentText"/>
    <w:uiPriority w:val="99"/>
    <w:semiHidden/>
    <w:rsid w:val="00805BF7"/>
    <w:rPr>
      <w:sz w:val="20"/>
      <w:szCs w:val="20"/>
    </w:rPr>
  </w:style>
  <w:style w:type="paragraph" w:styleId="CommentSubject">
    <w:name w:val="annotation subject"/>
    <w:basedOn w:val="CommentText"/>
    <w:next w:val="CommentText"/>
    <w:link w:val="CommentSubjectChar"/>
    <w:uiPriority w:val="99"/>
    <w:semiHidden/>
    <w:unhideWhenUsed/>
    <w:rsid w:val="00805BF7"/>
    <w:rPr>
      <w:b/>
      <w:bCs/>
    </w:rPr>
  </w:style>
  <w:style w:type="character" w:customStyle="1" w:styleId="CommentSubjectChar">
    <w:name w:val="Comment Subject Char"/>
    <w:basedOn w:val="CommentTextChar"/>
    <w:link w:val="CommentSubject"/>
    <w:uiPriority w:val="99"/>
    <w:semiHidden/>
    <w:rsid w:val="00805BF7"/>
    <w:rPr>
      <w:b/>
      <w:bCs/>
      <w:sz w:val="20"/>
      <w:szCs w:val="20"/>
    </w:rPr>
  </w:style>
  <w:style w:type="paragraph" w:styleId="BalloonText">
    <w:name w:val="Balloon Text"/>
    <w:basedOn w:val="Normal"/>
    <w:link w:val="BalloonTextChar"/>
    <w:uiPriority w:val="99"/>
    <w:semiHidden/>
    <w:unhideWhenUsed/>
    <w:rsid w:val="0080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F7"/>
    <w:rPr>
      <w:rFonts w:ascii="Segoe UI" w:hAnsi="Segoe UI" w:cs="Segoe UI"/>
      <w:sz w:val="18"/>
      <w:szCs w:val="18"/>
    </w:rPr>
  </w:style>
  <w:style w:type="paragraph" w:styleId="NormalWeb">
    <w:name w:val="Normal (Web)"/>
    <w:basedOn w:val="Normal"/>
    <w:uiPriority w:val="99"/>
    <w:semiHidden/>
    <w:unhideWhenUsed/>
    <w:rsid w:val="008366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36651"/>
    <w:rPr>
      <w:color w:val="0000FF"/>
      <w:u w:val="single"/>
    </w:rPr>
  </w:style>
  <w:style w:type="paragraph" w:styleId="NoSpacing">
    <w:name w:val="No Spacing"/>
    <w:uiPriority w:val="1"/>
    <w:qFormat/>
    <w:rsid w:val="00D109DD"/>
    <w:pPr>
      <w:spacing w:after="0" w:line="240" w:lineRule="auto"/>
    </w:pPr>
  </w:style>
  <w:style w:type="paragraph" w:styleId="Revision">
    <w:name w:val="Revision"/>
    <w:hidden/>
    <w:uiPriority w:val="99"/>
    <w:semiHidden/>
    <w:rsid w:val="0003796B"/>
    <w:pPr>
      <w:spacing w:after="0" w:line="240" w:lineRule="auto"/>
    </w:pPr>
  </w:style>
  <w:style w:type="character" w:customStyle="1" w:styleId="UnresolvedMention1">
    <w:name w:val="Unresolved Mention1"/>
    <w:basedOn w:val="DefaultParagraphFont"/>
    <w:uiPriority w:val="99"/>
    <w:semiHidden/>
    <w:unhideWhenUsed/>
    <w:rsid w:val="00223A14"/>
    <w:rPr>
      <w:color w:val="605E5C"/>
      <w:shd w:val="clear" w:color="auto" w:fill="E1DFDD"/>
    </w:rPr>
  </w:style>
  <w:style w:type="paragraph" w:customStyle="1" w:styleId="tv213">
    <w:name w:val="tv213"/>
    <w:basedOn w:val="Normal"/>
    <w:rsid w:val="00CC35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bumpedfont15">
    <w:name w:val="x_bumpedfont15"/>
    <w:basedOn w:val="DefaultParagraphFont"/>
    <w:rsid w:val="00981163"/>
  </w:style>
  <w:style w:type="paragraph" w:styleId="ListParagraph">
    <w:name w:val="List Paragraph"/>
    <w:basedOn w:val="Normal"/>
    <w:uiPriority w:val="34"/>
    <w:qFormat/>
    <w:rsid w:val="00A64ADA"/>
    <w:pPr>
      <w:spacing w:after="0" w:line="240" w:lineRule="auto"/>
      <w:ind w:left="720"/>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44">
      <w:bodyDiv w:val="1"/>
      <w:marLeft w:val="0"/>
      <w:marRight w:val="0"/>
      <w:marTop w:val="0"/>
      <w:marBottom w:val="0"/>
      <w:divBdr>
        <w:top w:val="none" w:sz="0" w:space="0" w:color="auto"/>
        <w:left w:val="none" w:sz="0" w:space="0" w:color="auto"/>
        <w:bottom w:val="none" w:sz="0" w:space="0" w:color="auto"/>
        <w:right w:val="none" w:sz="0" w:space="0" w:color="auto"/>
      </w:divBdr>
      <w:divsChild>
        <w:div w:id="499661655">
          <w:marLeft w:val="0"/>
          <w:marRight w:val="0"/>
          <w:marTop w:val="0"/>
          <w:marBottom w:val="0"/>
          <w:divBdr>
            <w:top w:val="none" w:sz="0" w:space="0" w:color="auto"/>
            <w:left w:val="none" w:sz="0" w:space="0" w:color="auto"/>
            <w:bottom w:val="none" w:sz="0" w:space="0" w:color="auto"/>
            <w:right w:val="none" w:sz="0" w:space="0" w:color="auto"/>
          </w:divBdr>
        </w:div>
        <w:div w:id="2132554899">
          <w:marLeft w:val="0"/>
          <w:marRight w:val="0"/>
          <w:marTop w:val="0"/>
          <w:marBottom w:val="0"/>
          <w:divBdr>
            <w:top w:val="none" w:sz="0" w:space="0" w:color="auto"/>
            <w:left w:val="none" w:sz="0" w:space="0" w:color="auto"/>
            <w:bottom w:val="none" w:sz="0" w:space="0" w:color="auto"/>
            <w:right w:val="none" w:sz="0" w:space="0" w:color="auto"/>
          </w:divBdr>
        </w:div>
        <w:div w:id="364407332">
          <w:marLeft w:val="0"/>
          <w:marRight w:val="0"/>
          <w:marTop w:val="0"/>
          <w:marBottom w:val="0"/>
          <w:divBdr>
            <w:top w:val="none" w:sz="0" w:space="0" w:color="auto"/>
            <w:left w:val="none" w:sz="0" w:space="0" w:color="auto"/>
            <w:bottom w:val="none" w:sz="0" w:space="0" w:color="auto"/>
            <w:right w:val="none" w:sz="0" w:space="0" w:color="auto"/>
          </w:divBdr>
        </w:div>
      </w:divsChild>
    </w:div>
    <w:div w:id="450511679">
      <w:bodyDiv w:val="1"/>
      <w:marLeft w:val="0"/>
      <w:marRight w:val="0"/>
      <w:marTop w:val="0"/>
      <w:marBottom w:val="0"/>
      <w:divBdr>
        <w:top w:val="none" w:sz="0" w:space="0" w:color="auto"/>
        <w:left w:val="none" w:sz="0" w:space="0" w:color="auto"/>
        <w:bottom w:val="none" w:sz="0" w:space="0" w:color="auto"/>
        <w:right w:val="none" w:sz="0" w:space="0" w:color="auto"/>
      </w:divBdr>
      <w:divsChild>
        <w:div w:id="145440670">
          <w:marLeft w:val="0"/>
          <w:marRight w:val="0"/>
          <w:marTop w:val="0"/>
          <w:marBottom w:val="0"/>
          <w:divBdr>
            <w:top w:val="none" w:sz="0" w:space="0" w:color="auto"/>
            <w:left w:val="none" w:sz="0" w:space="0" w:color="auto"/>
            <w:bottom w:val="none" w:sz="0" w:space="0" w:color="auto"/>
            <w:right w:val="none" w:sz="0" w:space="0" w:color="auto"/>
          </w:divBdr>
        </w:div>
      </w:divsChild>
    </w:div>
    <w:div w:id="655383914">
      <w:bodyDiv w:val="1"/>
      <w:marLeft w:val="0"/>
      <w:marRight w:val="0"/>
      <w:marTop w:val="0"/>
      <w:marBottom w:val="0"/>
      <w:divBdr>
        <w:top w:val="none" w:sz="0" w:space="0" w:color="auto"/>
        <w:left w:val="none" w:sz="0" w:space="0" w:color="auto"/>
        <w:bottom w:val="none" w:sz="0" w:space="0" w:color="auto"/>
        <w:right w:val="none" w:sz="0" w:space="0" w:color="auto"/>
      </w:divBdr>
    </w:div>
    <w:div w:id="819227923">
      <w:bodyDiv w:val="1"/>
      <w:marLeft w:val="0"/>
      <w:marRight w:val="0"/>
      <w:marTop w:val="0"/>
      <w:marBottom w:val="0"/>
      <w:divBdr>
        <w:top w:val="none" w:sz="0" w:space="0" w:color="auto"/>
        <w:left w:val="none" w:sz="0" w:space="0" w:color="auto"/>
        <w:bottom w:val="none" w:sz="0" w:space="0" w:color="auto"/>
        <w:right w:val="none" w:sz="0" w:space="0" w:color="auto"/>
      </w:divBdr>
    </w:div>
    <w:div w:id="1089891879">
      <w:bodyDiv w:val="1"/>
      <w:marLeft w:val="0"/>
      <w:marRight w:val="0"/>
      <w:marTop w:val="0"/>
      <w:marBottom w:val="0"/>
      <w:divBdr>
        <w:top w:val="none" w:sz="0" w:space="0" w:color="auto"/>
        <w:left w:val="none" w:sz="0" w:space="0" w:color="auto"/>
        <w:bottom w:val="none" w:sz="0" w:space="0" w:color="auto"/>
        <w:right w:val="none" w:sz="0" w:space="0" w:color="auto"/>
      </w:divBdr>
    </w:div>
    <w:div w:id="1258757665">
      <w:bodyDiv w:val="1"/>
      <w:marLeft w:val="0"/>
      <w:marRight w:val="0"/>
      <w:marTop w:val="0"/>
      <w:marBottom w:val="0"/>
      <w:divBdr>
        <w:top w:val="none" w:sz="0" w:space="0" w:color="auto"/>
        <w:left w:val="none" w:sz="0" w:space="0" w:color="auto"/>
        <w:bottom w:val="none" w:sz="0" w:space="0" w:color="auto"/>
        <w:right w:val="none" w:sz="0" w:space="0" w:color="auto"/>
      </w:divBdr>
    </w:div>
    <w:div w:id="18403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CF94B-4057-4A09-A3E3-966AE215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10587</Words>
  <Characters>6036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Grozījumi Ministru kabineta 2006. gada 31. oktobra noteikumos Nr. 899 „Ambulatorajai ārstēšanai paredzēto zāļu un medicīnisko ierīču iegādes izdevumu kompensācijas kārtība”</vt:lpstr>
    </vt:vector>
  </TitlesOfParts>
  <Company/>
  <LinksUpToDate>false</LinksUpToDate>
  <CharactersWithSpaces>16590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31. oktobra noteikumos Nr. 899 „Ambulatorajai ārstēšanai paredzēto zāļu un medicīnisko ierīču iegādes izdevumu kompensācijas kārtība”</dc:title>
  <dc:subject/>
  <dc:creator>Artūrs Grīgs</dc:creator>
  <cp:keywords/>
  <dc:description>67876116_x000d_
arturs.grigs@vm.gov.lv</dc:description>
  <cp:lastModifiedBy>Jekaterina Borovika</cp:lastModifiedBy>
  <cp:revision>2</cp:revision>
  <cp:lastPrinted>2019-05-16T11:26:00Z</cp:lastPrinted>
  <dcterms:created xsi:type="dcterms:W3CDTF">2019-06-13T08:56:00Z</dcterms:created>
  <dcterms:modified xsi:type="dcterms:W3CDTF">2019-06-13T08:56:00Z</dcterms:modified>
</cp:coreProperties>
</file>