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26E4A" w14:textId="09DC667D" w:rsidR="00226964" w:rsidRPr="00226964" w:rsidRDefault="00226964" w:rsidP="00226964">
      <w:pPr>
        <w:spacing w:after="0" w:line="240" w:lineRule="auto"/>
        <w:jc w:val="center"/>
        <w:rPr>
          <w:rFonts w:ascii="Times New Roman" w:eastAsia="Calibri" w:hAnsi="Times New Roman" w:cs="Times New Roman"/>
          <w:b/>
          <w:sz w:val="28"/>
          <w:szCs w:val="28"/>
        </w:rPr>
      </w:pPr>
      <w:bookmarkStart w:id="0" w:name="_GoBack"/>
      <w:r w:rsidRPr="00226964">
        <w:rPr>
          <w:rFonts w:ascii="Times New Roman" w:eastAsia="Calibri" w:hAnsi="Times New Roman" w:cs="Times New Roman"/>
          <w:b/>
          <w:sz w:val="28"/>
          <w:szCs w:val="28"/>
        </w:rPr>
        <w:t>Ministru kabineta noteikumu projekta „</w:t>
      </w:r>
      <w:r w:rsidR="008F644F" w:rsidRPr="008F644F">
        <w:rPr>
          <w:rFonts w:ascii="Times New Roman" w:eastAsia="Calibri" w:hAnsi="Times New Roman" w:cs="Times New Roman"/>
          <w:b/>
          <w:sz w:val="28"/>
          <w:szCs w:val="28"/>
        </w:rPr>
        <w:t>Grozījumi Ministru kabineta 2011. gada 11. janvāra noteikumos Nr. 35 „Kārtība, kādā izsniedzamas, apturamas, pārreģistrējamas un anulējamas speciālās atļaujas (licences) veterinārfarmaceitiskajai darbībai”</w:t>
      </w:r>
      <w:r w:rsidRPr="00226964">
        <w:rPr>
          <w:rFonts w:ascii="Times New Roman" w:eastAsia="Calibri" w:hAnsi="Times New Roman" w:cs="Times New Roman"/>
          <w:b/>
          <w:sz w:val="28"/>
          <w:szCs w:val="28"/>
        </w:rPr>
        <w:t xml:space="preserve"> sākotnējās ietekmes novērtējuma ziņojums (anotācija)</w:t>
      </w:r>
    </w:p>
    <w:bookmarkEnd w:id="0"/>
    <w:p w14:paraId="7F3DE00D" w14:textId="77777777"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1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61"/>
        <w:gridCol w:w="6585"/>
      </w:tblGrid>
      <w:tr w:rsidR="00A901C0" w:rsidRPr="00914976" w14:paraId="5B5178EF" w14:textId="77777777" w:rsidTr="00F87BF3">
        <w:trPr>
          <w:cantSplit/>
        </w:trPr>
        <w:tc>
          <w:tcPr>
            <w:tcW w:w="9246" w:type="dxa"/>
            <w:gridSpan w:val="2"/>
            <w:shd w:val="clear" w:color="auto" w:fill="FFFFFF"/>
            <w:vAlign w:val="center"/>
            <w:hideMark/>
          </w:tcPr>
          <w:p w14:paraId="03C94465" w14:textId="77777777" w:rsidR="00A901C0" w:rsidRPr="00914976" w:rsidRDefault="00A901C0" w:rsidP="00CD6E4A">
            <w:pPr>
              <w:spacing w:after="0" w:line="240" w:lineRule="auto"/>
              <w:jc w:val="center"/>
              <w:rPr>
                <w:rFonts w:ascii="Times New Roman" w:hAnsi="Times New Roman"/>
                <w:b/>
                <w:sz w:val="24"/>
                <w:szCs w:val="24"/>
              </w:rPr>
            </w:pPr>
            <w:r w:rsidRPr="00914976">
              <w:rPr>
                <w:rFonts w:ascii="Times New Roman" w:hAnsi="Times New Roman"/>
                <w:b/>
                <w:sz w:val="24"/>
                <w:szCs w:val="24"/>
              </w:rPr>
              <w:t>Tiesību akta projekta anotācijas kopsavilkums</w:t>
            </w:r>
          </w:p>
        </w:tc>
      </w:tr>
      <w:tr w:rsidR="00A901C0" w:rsidRPr="00914976" w14:paraId="419777CE" w14:textId="77777777" w:rsidTr="00F87BF3">
        <w:trPr>
          <w:cantSplit/>
        </w:trPr>
        <w:tc>
          <w:tcPr>
            <w:tcW w:w="2661" w:type="dxa"/>
            <w:shd w:val="clear" w:color="auto" w:fill="FFFFFF"/>
            <w:hideMark/>
          </w:tcPr>
          <w:p w14:paraId="5F994309" w14:textId="77777777" w:rsidR="00A901C0" w:rsidRPr="00914976" w:rsidRDefault="00A901C0" w:rsidP="00CD6E4A">
            <w:pPr>
              <w:spacing w:after="0" w:line="240" w:lineRule="auto"/>
              <w:rPr>
                <w:rFonts w:ascii="Times New Roman" w:hAnsi="Times New Roman"/>
                <w:sz w:val="24"/>
                <w:szCs w:val="24"/>
              </w:rPr>
            </w:pPr>
            <w:r w:rsidRPr="00914976">
              <w:rPr>
                <w:rFonts w:ascii="Times New Roman" w:hAnsi="Times New Roman"/>
                <w:sz w:val="24"/>
                <w:szCs w:val="24"/>
              </w:rPr>
              <w:t>Mērķis, risinājums un projekta spēkā stāšanās laiks (500 zīmes bez atstarpēm)</w:t>
            </w:r>
          </w:p>
        </w:tc>
        <w:tc>
          <w:tcPr>
            <w:tcW w:w="6585" w:type="dxa"/>
            <w:shd w:val="clear" w:color="auto" w:fill="FFFFFF"/>
          </w:tcPr>
          <w:p w14:paraId="15ADA4C9" w14:textId="56BF42B7" w:rsidR="00A901C0" w:rsidRPr="008F0BF5" w:rsidRDefault="004B6B01" w:rsidP="008238B3">
            <w:pPr>
              <w:spacing w:after="0" w:line="240" w:lineRule="auto"/>
              <w:jc w:val="both"/>
              <w:rPr>
                <w:rFonts w:ascii="Times New Roman" w:hAnsi="Times New Roman"/>
                <w:color w:val="0070C0"/>
                <w:sz w:val="24"/>
                <w:szCs w:val="24"/>
              </w:rPr>
            </w:pPr>
            <w:r>
              <w:rPr>
                <w:rFonts w:ascii="Times New Roman" w:hAnsi="Times New Roman"/>
                <w:sz w:val="24"/>
                <w:szCs w:val="24"/>
              </w:rPr>
              <w:t xml:space="preserve">Ir sagatavots </w:t>
            </w:r>
            <w:r w:rsidR="008F0BF5">
              <w:rPr>
                <w:rFonts w:ascii="Times New Roman" w:hAnsi="Times New Roman"/>
                <w:sz w:val="24"/>
                <w:szCs w:val="24"/>
              </w:rPr>
              <w:t xml:space="preserve">Ministru kabineta noteikumu projekts “Grozījumi </w:t>
            </w:r>
            <w:r w:rsidR="008F0BF5" w:rsidRPr="008F0BF5">
              <w:rPr>
                <w:rFonts w:ascii="Times New Roman" w:eastAsia="Calibri" w:hAnsi="Times New Roman" w:cs="Times New Roman"/>
                <w:sz w:val="24"/>
                <w:szCs w:val="24"/>
              </w:rPr>
              <w:t>Ministru kabineta 2011. gada 11. janvāra noteikum</w:t>
            </w:r>
            <w:r w:rsidR="008F0BF5">
              <w:rPr>
                <w:rFonts w:ascii="Times New Roman" w:eastAsia="Calibri" w:hAnsi="Times New Roman" w:cs="Times New Roman"/>
                <w:sz w:val="24"/>
                <w:szCs w:val="24"/>
              </w:rPr>
              <w:t>os</w:t>
            </w:r>
            <w:r w:rsidR="008F0BF5" w:rsidRPr="008F0BF5">
              <w:rPr>
                <w:rFonts w:ascii="Times New Roman" w:eastAsia="Calibri" w:hAnsi="Times New Roman" w:cs="Times New Roman"/>
                <w:sz w:val="24"/>
                <w:szCs w:val="24"/>
              </w:rPr>
              <w:t xml:space="preserve"> Nr.35 „Kārtība, kādā izsniedzamas, apturamas, pārreģistrējamas un anulējamas speciālās atļaujas (licences) veterinārfarmaceitiskajai darbībai”</w:t>
            </w:r>
            <w:r w:rsidR="008F0BF5">
              <w:rPr>
                <w:rFonts w:ascii="Times New Roman" w:eastAsia="Calibri" w:hAnsi="Times New Roman" w:cs="Times New Roman"/>
                <w:sz w:val="24"/>
                <w:szCs w:val="24"/>
              </w:rPr>
              <w:t>”</w:t>
            </w:r>
            <w:r w:rsidR="008F0BF5" w:rsidRPr="008F0BF5">
              <w:rPr>
                <w:rFonts w:ascii="Times New Roman" w:eastAsia="Calibri" w:hAnsi="Times New Roman" w:cs="Times New Roman"/>
                <w:sz w:val="24"/>
                <w:szCs w:val="24"/>
              </w:rPr>
              <w:t xml:space="preserve"> (turpmāk – noteikum</w:t>
            </w:r>
            <w:r w:rsidR="008F0BF5">
              <w:rPr>
                <w:rFonts w:ascii="Times New Roman" w:eastAsia="Calibri" w:hAnsi="Times New Roman" w:cs="Times New Roman"/>
                <w:sz w:val="24"/>
                <w:szCs w:val="24"/>
              </w:rPr>
              <w:t>u projekts</w:t>
            </w:r>
            <w:r w:rsidR="008F0BF5" w:rsidRPr="008F0BF5">
              <w:rPr>
                <w:rFonts w:ascii="Times New Roman" w:eastAsia="Calibri" w:hAnsi="Times New Roman" w:cs="Times New Roman"/>
                <w:sz w:val="24"/>
                <w:szCs w:val="24"/>
              </w:rPr>
              <w:t>)</w:t>
            </w:r>
            <w:r>
              <w:rPr>
                <w:rFonts w:ascii="Times New Roman" w:eastAsia="Calibri" w:hAnsi="Times New Roman" w:cs="Times New Roman"/>
                <w:sz w:val="24"/>
                <w:szCs w:val="24"/>
              </w:rPr>
              <w:t>,</w:t>
            </w:r>
            <w:r w:rsidR="008F0BF5">
              <w:rPr>
                <w:rFonts w:ascii="Times New Roman" w:eastAsia="Calibri" w:hAnsi="Times New Roman" w:cs="Times New Roman"/>
                <w:sz w:val="24"/>
                <w:szCs w:val="24"/>
              </w:rPr>
              <w:t xml:space="preserve"> </w:t>
            </w:r>
            <w:r w:rsidRPr="004E3843">
              <w:rPr>
                <w:rFonts w:ascii="Times New Roman" w:eastAsia="Times New Roman" w:hAnsi="Times New Roman" w:cs="Times New Roman"/>
                <w:bCs/>
                <w:iCs/>
                <w:sz w:val="24"/>
                <w:szCs w:val="24"/>
              </w:rPr>
              <w:t xml:space="preserve">kura mērķis ir </w:t>
            </w:r>
            <w:r w:rsidR="008238B3">
              <w:rPr>
                <w:rFonts w:ascii="Times New Roman" w:eastAsia="Calibri" w:hAnsi="Times New Roman" w:cs="Times New Roman"/>
                <w:sz w:val="24"/>
                <w:szCs w:val="24"/>
              </w:rPr>
              <w:t xml:space="preserve">noteikt skaidrāku un nepārprotamāku esošo kārtību speciālās atļaujas </w:t>
            </w:r>
            <w:proofErr w:type="gramStart"/>
            <w:r w:rsidR="008238B3">
              <w:rPr>
                <w:rFonts w:ascii="Times New Roman" w:eastAsia="Calibri" w:hAnsi="Times New Roman" w:cs="Times New Roman"/>
                <w:sz w:val="24"/>
                <w:szCs w:val="24"/>
              </w:rPr>
              <w:t>(</w:t>
            </w:r>
            <w:proofErr w:type="gramEnd"/>
            <w:r w:rsidR="008238B3">
              <w:rPr>
                <w:rFonts w:ascii="Times New Roman" w:eastAsia="Calibri" w:hAnsi="Times New Roman" w:cs="Times New Roman"/>
                <w:sz w:val="24"/>
                <w:szCs w:val="24"/>
              </w:rPr>
              <w:t xml:space="preserve">licences) veterinārfarmaceitiskajai darbībai izsniegšanai, </w:t>
            </w:r>
            <w:r w:rsidR="008238B3" w:rsidRPr="008238B3">
              <w:rPr>
                <w:rFonts w:ascii="Times New Roman" w:eastAsia="Calibri" w:hAnsi="Times New Roman" w:cs="Times New Roman"/>
                <w:sz w:val="24"/>
                <w:szCs w:val="24"/>
              </w:rPr>
              <w:t>aptur</w:t>
            </w:r>
            <w:r w:rsidR="008238B3">
              <w:rPr>
                <w:rFonts w:ascii="Times New Roman" w:eastAsia="Calibri" w:hAnsi="Times New Roman" w:cs="Times New Roman"/>
                <w:sz w:val="24"/>
                <w:szCs w:val="24"/>
              </w:rPr>
              <w:t>ēšanai</w:t>
            </w:r>
            <w:r w:rsidR="008238B3" w:rsidRPr="008238B3">
              <w:rPr>
                <w:rFonts w:ascii="Times New Roman" w:eastAsia="Calibri" w:hAnsi="Times New Roman" w:cs="Times New Roman"/>
                <w:sz w:val="24"/>
                <w:szCs w:val="24"/>
              </w:rPr>
              <w:t>, pārreģistrē</w:t>
            </w:r>
            <w:r w:rsidR="008238B3">
              <w:rPr>
                <w:rFonts w:ascii="Times New Roman" w:eastAsia="Calibri" w:hAnsi="Times New Roman" w:cs="Times New Roman"/>
                <w:sz w:val="24"/>
                <w:szCs w:val="24"/>
              </w:rPr>
              <w:t>šanai</w:t>
            </w:r>
            <w:r w:rsidR="008238B3" w:rsidRPr="008238B3">
              <w:rPr>
                <w:rFonts w:ascii="Times New Roman" w:eastAsia="Calibri" w:hAnsi="Times New Roman" w:cs="Times New Roman"/>
                <w:sz w:val="24"/>
                <w:szCs w:val="24"/>
              </w:rPr>
              <w:t xml:space="preserve"> un anulē</w:t>
            </w:r>
            <w:r w:rsidR="008238B3">
              <w:rPr>
                <w:rFonts w:ascii="Times New Roman" w:eastAsia="Calibri" w:hAnsi="Times New Roman" w:cs="Times New Roman"/>
                <w:sz w:val="24"/>
                <w:szCs w:val="24"/>
              </w:rPr>
              <w:t>šanai.</w:t>
            </w:r>
          </w:p>
        </w:tc>
      </w:tr>
    </w:tbl>
    <w:p w14:paraId="6ADBE9EF" w14:textId="77777777" w:rsidR="00A901C0" w:rsidRPr="00894C55" w:rsidRDefault="00A901C0"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1"/>
        <w:gridCol w:w="2104"/>
        <w:gridCol w:w="6498"/>
      </w:tblGrid>
      <w:tr w:rsidR="00894C55" w:rsidRPr="00894C55" w14:paraId="4EBED2EB" w14:textId="77777777" w:rsidTr="006609E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AA5656" w14:textId="77777777" w:rsidR="00894C55" w:rsidRPr="003A0B0B"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A0B0B">
              <w:rPr>
                <w:rFonts w:ascii="Times New Roman" w:eastAsia="Times New Roman" w:hAnsi="Times New Roman" w:cs="Times New Roman"/>
                <w:b/>
                <w:bCs/>
                <w:sz w:val="24"/>
                <w:szCs w:val="24"/>
                <w:lang w:eastAsia="lv-LV"/>
              </w:rPr>
              <w:t>I.</w:t>
            </w:r>
            <w:r w:rsidR="0050178F" w:rsidRPr="003A0B0B">
              <w:rPr>
                <w:rFonts w:ascii="Times New Roman" w:eastAsia="Times New Roman" w:hAnsi="Times New Roman" w:cs="Times New Roman"/>
                <w:b/>
                <w:bCs/>
                <w:sz w:val="24"/>
                <w:szCs w:val="24"/>
                <w:lang w:eastAsia="lv-LV"/>
              </w:rPr>
              <w:t> </w:t>
            </w:r>
            <w:r w:rsidRPr="003A0B0B">
              <w:rPr>
                <w:rFonts w:ascii="Times New Roman" w:eastAsia="Times New Roman" w:hAnsi="Times New Roman" w:cs="Times New Roman"/>
                <w:b/>
                <w:bCs/>
                <w:sz w:val="24"/>
                <w:szCs w:val="24"/>
                <w:lang w:eastAsia="lv-LV"/>
              </w:rPr>
              <w:t>Tiesību akta projekta izstrādes nepieciešamība</w:t>
            </w:r>
          </w:p>
        </w:tc>
      </w:tr>
      <w:tr w:rsidR="008F644F" w:rsidRPr="008F644F" w14:paraId="6ACF20DE" w14:textId="77777777" w:rsidTr="00F16ACB">
        <w:trPr>
          <w:trHeight w:val="324"/>
        </w:trPr>
        <w:tc>
          <w:tcPr>
            <w:tcW w:w="311" w:type="pct"/>
            <w:tcBorders>
              <w:top w:val="outset" w:sz="6" w:space="0" w:color="414142"/>
              <w:left w:val="outset" w:sz="6" w:space="0" w:color="414142"/>
              <w:bottom w:val="outset" w:sz="6" w:space="0" w:color="414142"/>
              <w:right w:val="outset" w:sz="6" w:space="0" w:color="414142"/>
            </w:tcBorders>
            <w:hideMark/>
          </w:tcPr>
          <w:p w14:paraId="09AE6BA0"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147" w:type="pct"/>
            <w:tcBorders>
              <w:top w:val="outset" w:sz="6" w:space="0" w:color="414142"/>
              <w:left w:val="outset" w:sz="6" w:space="0" w:color="414142"/>
              <w:bottom w:val="outset" w:sz="6" w:space="0" w:color="414142"/>
              <w:right w:val="outset" w:sz="6" w:space="0" w:color="414142"/>
            </w:tcBorders>
            <w:hideMark/>
          </w:tcPr>
          <w:p w14:paraId="03637BF8" w14:textId="77777777" w:rsidR="00894C55" w:rsidRPr="003A0B0B" w:rsidRDefault="00894C55" w:rsidP="00894C55">
            <w:pPr>
              <w:spacing w:after="0" w:line="240" w:lineRule="auto"/>
              <w:rPr>
                <w:rFonts w:ascii="Times New Roman" w:eastAsia="Times New Roman" w:hAnsi="Times New Roman" w:cs="Times New Roman"/>
                <w:sz w:val="24"/>
                <w:szCs w:val="24"/>
                <w:lang w:eastAsia="lv-LV"/>
              </w:rPr>
            </w:pPr>
            <w:r w:rsidRPr="003A0B0B">
              <w:rPr>
                <w:rFonts w:ascii="Times New Roman" w:eastAsia="Times New Roman" w:hAnsi="Times New Roman" w:cs="Times New Roman"/>
                <w:sz w:val="24"/>
                <w:szCs w:val="24"/>
                <w:lang w:eastAsia="lv-LV"/>
              </w:rPr>
              <w:t>Pamatojums</w:t>
            </w:r>
          </w:p>
        </w:tc>
        <w:tc>
          <w:tcPr>
            <w:tcW w:w="3542" w:type="pct"/>
            <w:tcBorders>
              <w:top w:val="outset" w:sz="6" w:space="0" w:color="414142"/>
              <w:left w:val="outset" w:sz="6" w:space="0" w:color="414142"/>
              <w:bottom w:val="outset" w:sz="6" w:space="0" w:color="414142"/>
              <w:right w:val="outset" w:sz="6" w:space="0" w:color="414142"/>
            </w:tcBorders>
            <w:hideMark/>
          </w:tcPr>
          <w:p w14:paraId="45A1D010" w14:textId="2098CA2E" w:rsidR="00F05727" w:rsidRPr="00E952B3" w:rsidRDefault="00AB4368" w:rsidP="00AC1EC0">
            <w:pPr>
              <w:spacing w:after="0" w:line="240" w:lineRule="auto"/>
              <w:jc w:val="both"/>
              <w:rPr>
                <w:rFonts w:ascii="Times New Roman" w:eastAsia="Times New Roman" w:hAnsi="Times New Roman" w:cs="Times New Roman"/>
                <w:sz w:val="24"/>
                <w:szCs w:val="24"/>
                <w:lang w:eastAsia="lv-LV"/>
              </w:rPr>
            </w:pPr>
            <w:r w:rsidRPr="00E952B3">
              <w:rPr>
                <w:rFonts w:ascii="Times New Roman" w:eastAsia="Times New Roman" w:hAnsi="Times New Roman" w:cs="Times New Roman"/>
                <w:sz w:val="24"/>
                <w:szCs w:val="24"/>
                <w:lang w:eastAsia="lv-LV"/>
              </w:rPr>
              <w:t xml:space="preserve">1. </w:t>
            </w:r>
            <w:r w:rsidR="008F644F" w:rsidRPr="00E952B3">
              <w:rPr>
                <w:rFonts w:ascii="Times New Roman" w:eastAsia="Times New Roman" w:hAnsi="Times New Roman" w:cs="Times New Roman"/>
                <w:sz w:val="24"/>
                <w:szCs w:val="24"/>
                <w:lang w:eastAsia="lv-LV"/>
              </w:rPr>
              <w:t xml:space="preserve">Farmācijas likuma </w:t>
            </w:r>
            <w:proofErr w:type="gramStart"/>
            <w:r w:rsidR="008F644F" w:rsidRPr="00E952B3">
              <w:rPr>
                <w:rFonts w:ascii="Times New Roman" w:eastAsia="Times New Roman" w:hAnsi="Times New Roman" w:cs="Times New Roman"/>
                <w:sz w:val="24"/>
                <w:szCs w:val="24"/>
                <w:lang w:eastAsia="lv-LV"/>
              </w:rPr>
              <w:t>5.panta</w:t>
            </w:r>
            <w:proofErr w:type="gramEnd"/>
            <w:r w:rsidR="008F644F" w:rsidRPr="00E952B3">
              <w:rPr>
                <w:rFonts w:ascii="Times New Roman" w:eastAsia="Times New Roman" w:hAnsi="Times New Roman" w:cs="Times New Roman"/>
                <w:sz w:val="24"/>
                <w:szCs w:val="24"/>
                <w:lang w:eastAsia="lv-LV"/>
              </w:rPr>
              <w:t xml:space="preserve"> 1.punkts, 37., 45. un 51.pants</w:t>
            </w:r>
            <w:r w:rsidRPr="00E952B3">
              <w:rPr>
                <w:rFonts w:ascii="Times New Roman" w:eastAsia="Times New Roman" w:hAnsi="Times New Roman" w:cs="Times New Roman"/>
                <w:sz w:val="24"/>
                <w:szCs w:val="24"/>
                <w:lang w:eastAsia="lv-LV"/>
              </w:rPr>
              <w:t xml:space="preserve"> un l</w:t>
            </w:r>
            <w:r w:rsidR="008F644F" w:rsidRPr="00E952B3">
              <w:rPr>
                <w:rFonts w:ascii="Times New Roman" w:eastAsia="Times New Roman" w:hAnsi="Times New Roman" w:cs="Times New Roman"/>
                <w:sz w:val="24"/>
                <w:szCs w:val="24"/>
                <w:lang w:eastAsia="lv-LV"/>
              </w:rPr>
              <w:t xml:space="preserve">ikuma </w:t>
            </w:r>
            <w:r w:rsidR="00214CA0">
              <w:rPr>
                <w:rFonts w:ascii="Times New Roman" w:eastAsia="Times New Roman" w:hAnsi="Times New Roman" w:cs="Times New Roman"/>
                <w:sz w:val="24"/>
                <w:szCs w:val="24"/>
                <w:lang w:eastAsia="lv-LV"/>
              </w:rPr>
              <w:t>“</w:t>
            </w:r>
            <w:r w:rsidR="008F644F" w:rsidRPr="00E952B3">
              <w:rPr>
                <w:rFonts w:ascii="Times New Roman" w:eastAsia="Times New Roman" w:hAnsi="Times New Roman" w:cs="Times New Roman"/>
                <w:sz w:val="24"/>
                <w:szCs w:val="24"/>
                <w:lang w:eastAsia="lv-LV"/>
              </w:rPr>
              <w:t>Par narkotisko un psihotropo vielu un zāļu likumīgās aprites kārtību</w:t>
            </w:r>
            <w:r w:rsidR="00AC1EC0" w:rsidRPr="00E952B3">
              <w:rPr>
                <w:rFonts w:ascii="Times New Roman" w:eastAsia="Times New Roman" w:hAnsi="Times New Roman" w:cs="Times New Roman"/>
                <w:sz w:val="24"/>
                <w:szCs w:val="24"/>
                <w:lang w:eastAsia="lv-LV"/>
              </w:rPr>
              <w:t>”</w:t>
            </w:r>
            <w:r w:rsidR="008F644F" w:rsidRPr="00E952B3">
              <w:rPr>
                <w:rFonts w:ascii="Times New Roman" w:eastAsia="Times New Roman" w:hAnsi="Times New Roman" w:cs="Times New Roman"/>
                <w:sz w:val="24"/>
                <w:szCs w:val="24"/>
                <w:lang w:eastAsia="lv-LV"/>
              </w:rPr>
              <w:t xml:space="preserve"> 12.panta pirmā daļa</w:t>
            </w:r>
            <w:r w:rsidR="00CE7AFC" w:rsidRPr="00E952B3">
              <w:rPr>
                <w:rFonts w:ascii="Times New Roman" w:eastAsia="Times New Roman" w:hAnsi="Times New Roman" w:cs="Times New Roman"/>
                <w:sz w:val="24"/>
                <w:szCs w:val="24"/>
                <w:lang w:eastAsia="lv-LV"/>
              </w:rPr>
              <w:t>.</w:t>
            </w:r>
          </w:p>
          <w:p w14:paraId="67CD3011" w14:textId="77777777" w:rsidR="00E952B3" w:rsidRPr="00E952B3" w:rsidRDefault="00AB4368" w:rsidP="00AB4368">
            <w:pPr>
              <w:spacing w:after="0" w:line="240" w:lineRule="auto"/>
              <w:jc w:val="both"/>
              <w:rPr>
                <w:rFonts w:ascii="Times New Roman" w:hAnsi="Times New Roman" w:cs="Times New Roman"/>
                <w:color w:val="2A2A2A"/>
                <w:sz w:val="24"/>
                <w:szCs w:val="24"/>
              </w:rPr>
            </w:pPr>
            <w:r w:rsidRPr="00E952B3">
              <w:rPr>
                <w:rFonts w:ascii="Times New Roman" w:eastAsia="Times New Roman" w:hAnsi="Times New Roman" w:cs="Times New Roman"/>
                <w:bCs/>
                <w:iCs/>
                <w:sz w:val="24"/>
                <w:szCs w:val="24"/>
              </w:rPr>
              <w:t xml:space="preserve">2. </w:t>
            </w:r>
            <w:r w:rsidR="00E952B3" w:rsidRPr="00E952B3">
              <w:rPr>
                <w:rFonts w:ascii="Times New Roman" w:hAnsi="Times New Roman" w:cs="Times New Roman"/>
                <w:sz w:val="24"/>
                <w:szCs w:val="24"/>
              </w:rPr>
              <w:t>Ministru kabineta 2018. gada 20. marta sēdes protokollēmuma “Likumprojekts "Grozījumi Oficiālās elektroniskās adreses likumā"” (Nr.16 26.§) 4. punkts</w:t>
            </w:r>
            <w:r w:rsidR="00E952B3" w:rsidRPr="00E952B3">
              <w:rPr>
                <w:rFonts w:ascii="Times New Roman" w:hAnsi="Times New Roman" w:cs="Times New Roman"/>
                <w:color w:val="2A2A2A"/>
                <w:sz w:val="24"/>
                <w:szCs w:val="24"/>
              </w:rPr>
              <w:t xml:space="preserve">. </w:t>
            </w:r>
          </w:p>
          <w:p w14:paraId="6BB7BD97" w14:textId="793FE9FF" w:rsidR="00AB4368" w:rsidRPr="00E952B3" w:rsidRDefault="00E952B3" w:rsidP="00AB4368">
            <w:pPr>
              <w:spacing w:after="0" w:line="240" w:lineRule="auto"/>
              <w:jc w:val="both"/>
              <w:rPr>
                <w:rFonts w:ascii="Times New Roman" w:eastAsia="Times New Roman" w:hAnsi="Times New Roman" w:cs="Times New Roman"/>
                <w:bCs/>
                <w:iCs/>
                <w:sz w:val="24"/>
                <w:szCs w:val="24"/>
              </w:rPr>
            </w:pPr>
            <w:r w:rsidRPr="00E952B3">
              <w:rPr>
                <w:rFonts w:ascii="Times New Roman" w:hAnsi="Times New Roman" w:cs="Times New Roman"/>
                <w:color w:val="2A2A2A"/>
                <w:sz w:val="24"/>
                <w:szCs w:val="24"/>
              </w:rPr>
              <w:t xml:space="preserve">3. </w:t>
            </w:r>
            <w:r w:rsidR="00AB4368" w:rsidRPr="00E952B3">
              <w:rPr>
                <w:rFonts w:ascii="Times New Roman" w:eastAsia="Times New Roman" w:hAnsi="Times New Roman" w:cs="Times New Roman"/>
                <w:bCs/>
                <w:iCs/>
                <w:sz w:val="24"/>
                <w:szCs w:val="24"/>
              </w:rPr>
              <w:t>Uzņēmējdarbības vides pilnveidošanas pasākumu plāna 3.3.3. apakšpunkts (apstiprināts ar Ministru kabineta 2017. gada 15. marta rīkojumu Nr. 125 “Par Uzņēmējdarbības vides pilnveidošanas pasākumu plānu”).</w:t>
            </w:r>
          </w:p>
          <w:p w14:paraId="7DC4326B" w14:textId="0A67CAC9" w:rsidR="004E3843" w:rsidRPr="00E952B3" w:rsidRDefault="004E2384" w:rsidP="00AC1EC0">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w:t>
            </w:r>
            <w:r w:rsidR="00AB4368" w:rsidRPr="00E952B3">
              <w:rPr>
                <w:rFonts w:ascii="Times New Roman" w:eastAsia="Times New Roman" w:hAnsi="Times New Roman" w:cs="Times New Roman"/>
                <w:bCs/>
                <w:iCs/>
                <w:sz w:val="24"/>
                <w:szCs w:val="24"/>
              </w:rPr>
              <w:t>. Zemkopības ministrija iniciatīva.</w:t>
            </w:r>
          </w:p>
        </w:tc>
      </w:tr>
      <w:tr w:rsidR="008F644F" w:rsidRPr="008F644F" w14:paraId="4033D296" w14:textId="77777777" w:rsidTr="00F16ACB">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272CC815"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147" w:type="pct"/>
            <w:tcBorders>
              <w:top w:val="outset" w:sz="6" w:space="0" w:color="414142"/>
              <w:left w:val="outset" w:sz="6" w:space="0" w:color="414142"/>
              <w:bottom w:val="outset" w:sz="6" w:space="0" w:color="414142"/>
              <w:right w:val="outset" w:sz="6" w:space="0" w:color="414142"/>
            </w:tcBorders>
            <w:hideMark/>
          </w:tcPr>
          <w:p w14:paraId="7C04829A" w14:textId="77777777" w:rsidR="00894C55" w:rsidRPr="003A0B0B" w:rsidRDefault="00894C55" w:rsidP="00894C55">
            <w:pPr>
              <w:spacing w:after="0" w:line="240" w:lineRule="auto"/>
              <w:rPr>
                <w:rFonts w:ascii="Times New Roman" w:eastAsia="Times New Roman" w:hAnsi="Times New Roman" w:cs="Times New Roman"/>
                <w:sz w:val="24"/>
                <w:szCs w:val="24"/>
                <w:lang w:eastAsia="lv-LV"/>
              </w:rPr>
            </w:pPr>
            <w:r w:rsidRPr="003A0B0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42" w:type="pct"/>
            <w:tcBorders>
              <w:top w:val="outset" w:sz="6" w:space="0" w:color="414142"/>
              <w:left w:val="outset" w:sz="6" w:space="0" w:color="414142"/>
              <w:bottom w:val="outset" w:sz="6" w:space="0" w:color="414142"/>
              <w:right w:val="outset" w:sz="6" w:space="0" w:color="414142"/>
            </w:tcBorders>
          </w:tcPr>
          <w:p w14:paraId="541337E5" w14:textId="441EFCF8" w:rsidR="00114FE5" w:rsidRDefault="00226964" w:rsidP="008F644F">
            <w:pPr>
              <w:pStyle w:val="Default"/>
              <w:ind w:right="141"/>
              <w:jc w:val="both"/>
              <w:rPr>
                <w:rFonts w:ascii="Times New Roman" w:eastAsia="Calibri" w:hAnsi="Times New Roman" w:cs="Times New Roman"/>
                <w:color w:val="auto"/>
              </w:rPr>
            </w:pPr>
            <w:r w:rsidRPr="003A0B0B">
              <w:rPr>
                <w:rFonts w:ascii="Times New Roman" w:eastAsia="Calibri" w:hAnsi="Times New Roman" w:cs="Times New Roman"/>
                <w:color w:val="auto"/>
              </w:rPr>
              <w:t>Patlaban ir spēkā Ministru kabineta 201</w:t>
            </w:r>
            <w:r w:rsidR="008F644F" w:rsidRPr="003A0B0B">
              <w:rPr>
                <w:rFonts w:ascii="Times New Roman" w:eastAsia="Calibri" w:hAnsi="Times New Roman" w:cs="Times New Roman"/>
                <w:color w:val="auto"/>
              </w:rPr>
              <w:t>1</w:t>
            </w:r>
            <w:r w:rsidRPr="003A0B0B">
              <w:rPr>
                <w:rFonts w:ascii="Times New Roman" w:eastAsia="Calibri" w:hAnsi="Times New Roman" w:cs="Times New Roman"/>
                <w:color w:val="auto"/>
              </w:rPr>
              <w:t xml:space="preserve">. gada </w:t>
            </w:r>
            <w:r w:rsidR="008F644F" w:rsidRPr="003A0B0B">
              <w:rPr>
                <w:rFonts w:ascii="Times New Roman" w:eastAsia="Calibri" w:hAnsi="Times New Roman" w:cs="Times New Roman"/>
                <w:color w:val="auto"/>
              </w:rPr>
              <w:t>11</w:t>
            </w:r>
            <w:r w:rsidRPr="003A0B0B">
              <w:rPr>
                <w:rFonts w:ascii="Times New Roman" w:eastAsia="Calibri" w:hAnsi="Times New Roman" w:cs="Times New Roman"/>
                <w:color w:val="auto"/>
              </w:rPr>
              <w:t>. </w:t>
            </w:r>
            <w:r w:rsidR="008F644F" w:rsidRPr="003A0B0B">
              <w:rPr>
                <w:rFonts w:ascii="Times New Roman" w:eastAsia="Calibri" w:hAnsi="Times New Roman" w:cs="Times New Roman"/>
                <w:color w:val="auto"/>
              </w:rPr>
              <w:t>janvā</w:t>
            </w:r>
            <w:r w:rsidRPr="003A0B0B">
              <w:rPr>
                <w:rFonts w:ascii="Times New Roman" w:eastAsia="Calibri" w:hAnsi="Times New Roman" w:cs="Times New Roman"/>
                <w:color w:val="auto"/>
              </w:rPr>
              <w:t>ra noteikumi Nr.</w:t>
            </w:r>
            <w:r w:rsidR="008F644F" w:rsidRPr="003A0B0B">
              <w:rPr>
                <w:rFonts w:ascii="Times New Roman" w:eastAsia="Calibri" w:hAnsi="Times New Roman" w:cs="Times New Roman"/>
                <w:color w:val="auto"/>
              </w:rPr>
              <w:t>35</w:t>
            </w:r>
            <w:r w:rsidRPr="003A0B0B">
              <w:rPr>
                <w:rFonts w:ascii="Times New Roman" w:eastAsia="Calibri" w:hAnsi="Times New Roman" w:cs="Times New Roman"/>
                <w:color w:val="auto"/>
              </w:rPr>
              <w:t xml:space="preserve"> „</w:t>
            </w:r>
            <w:r w:rsidR="008F644F" w:rsidRPr="003A0B0B">
              <w:rPr>
                <w:rFonts w:ascii="Times New Roman" w:eastAsia="Calibri" w:hAnsi="Times New Roman" w:cs="Times New Roman"/>
                <w:color w:val="auto"/>
              </w:rPr>
              <w:t>Kārtība, kādā izsniedzamas, apturamas, pārreģistrējamas un anulējamas speciālās atļaujas (licences) veterinārfarmaceitiskajai darbībai</w:t>
            </w:r>
            <w:r w:rsidRPr="003A0B0B">
              <w:rPr>
                <w:rFonts w:ascii="Times New Roman" w:eastAsia="Calibri" w:hAnsi="Times New Roman" w:cs="Times New Roman"/>
                <w:color w:val="auto"/>
              </w:rPr>
              <w:t>” (tu</w:t>
            </w:r>
            <w:r w:rsidR="009E1688" w:rsidRPr="003A0B0B">
              <w:rPr>
                <w:rFonts w:ascii="Times New Roman" w:eastAsia="Calibri" w:hAnsi="Times New Roman" w:cs="Times New Roman"/>
                <w:color w:val="auto"/>
              </w:rPr>
              <w:t>rpmāk – noteikumi Nr.</w:t>
            </w:r>
            <w:r w:rsidR="008F644F" w:rsidRPr="003A0B0B">
              <w:rPr>
                <w:rFonts w:ascii="Times New Roman" w:eastAsia="Calibri" w:hAnsi="Times New Roman" w:cs="Times New Roman"/>
                <w:color w:val="auto"/>
              </w:rPr>
              <w:t xml:space="preserve">35), kas nosaka kārtību, kādā saņem speciālo atļauju licenci veterinārfarmaceitiskajai darbībai, kā arī veic tās pārreģistrāciju vai </w:t>
            </w:r>
            <w:r w:rsidR="00154618">
              <w:rPr>
                <w:rFonts w:ascii="Times New Roman" w:eastAsia="Calibri" w:hAnsi="Times New Roman" w:cs="Times New Roman"/>
                <w:color w:val="auto"/>
              </w:rPr>
              <w:t xml:space="preserve">izdara </w:t>
            </w:r>
            <w:r w:rsidR="008F644F" w:rsidRPr="003A0B0B">
              <w:rPr>
                <w:rFonts w:ascii="Times New Roman" w:eastAsia="Calibri" w:hAnsi="Times New Roman" w:cs="Times New Roman"/>
                <w:color w:val="auto"/>
              </w:rPr>
              <w:t xml:space="preserve">izmaiņas tajā. </w:t>
            </w:r>
            <w:r w:rsidR="00154618">
              <w:rPr>
                <w:rFonts w:ascii="Times New Roman" w:eastAsia="Calibri" w:hAnsi="Times New Roman" w:cs="Times New Roman"/>
                <w:color w:val="auto"/>
              </w:rPr>
              <w:t xml:space="preserve">Pamatojoties uz noteikumiem Nr.35, Zāļu </w:t>
            </w:r>
            <w:r w:rsidR="00CE7AFC">
              <w:rPr>
                <w:rFonts w:ascii="Times New Roman" w:eastAsia="Calibri" w:hAnsi="Times New Roman" w:cs="Times New Roman"/>
                <w:color w:val="auto"/>
              </w:rPr>
              <w:t>v</w:t>
            </w:r>
            <w:r w:rsidR="00154618">
              <w:rPr>
                <w:rFonts w:ascii="Times New Roman" w:eastAsia="Calibri" w:hAnsi="Times New Roman" w:cs="Times New Roman"/>
                <w:color w:val="auto"/>
              </w:rPr>
              <w:t xml:space="preserve">alsts aģentūra izsniedz speciālās atļaujas (licences) komersantiem, kas ražo vai izplata narkotiskās vai psihotropās zāles, savukārt </w:t>
            </w:r>
            <w:r w:rsidR="00114FE5" w:rsidRPr="003A0B0B">
              <w:rPr>
                <w:rFonts w:ascii="Times New Roman" w:eastAsia="Calibri" w:hAnsi="Times New Roman" w:cs="Times New Roman"/>
                <w:color w:val="auto"/>
              </w:rPr>
              <w:t>Pārtikas un veterinārais dienests</w:t>
            </w:r>
            <w:r w:rsidR="00154618">
              <w:rPr>
                <w:rFonts w:ascii="Times New Roman" w:eastAsia="Calibri" w:hAnsi="Times New Roman" w:cs="Times New Roman"/>
                <w:color w:val="auto"/>
              </w:rPr>
              <w:t xml:space="preserve"> </w:t>
            </w:r>
            <w:r w:rsidR="006C61CE">
              <w:rPr>
                <w:rFonts w:ascii="Times New Roman" w:eastAsia="Calibri" w:hAnsi="Times New Roman" w:cs="Times New Roman"/>
                <w:color w:val="auto"/>
              </w:rPr>
              <w:t>(turpmāk – dienests)</w:t>
            </w:r>
            <w:r w:rsidR="000F5E9D">
              <w:rPr>
                <w:rFonts w:ascii="Times New Roman" w:eastAsia="Calibri" w:hAnsi="Times New Roman" w:cs="Times New Roman"/>
                <w:color w:val="auto"/>
              </w:rPr>
              <w:t xml:space="preserve"> </w:t>
            </w:r>
            <w:r w:rsidR="00154618">
              <w:rPr>
                <w:rFonts w:ascii="Times New Roman" w:eastAsia="Calibri" w:hAnsi="Times New Roman" w:cs="Times New Roman"/>
                <w:color w:val="auto"/>
              </w:rPr>
              <w:t>izsniedz speciālās atļaujas (licences)</w:t>
            </w:r>
            <w:r w:rsidR="0079268F">
              <w:rPr>
                <w:rFonts w:ascii="Times New Roman" w:eastAsia="Calibri" w:hAnsi="Times New Roman" w:cs="Times New Roman"/>
                <w:color w:val="auto"/>
              </w:rPr>
              <w:t xml:space="preserve"> komersantiem, kas ražo vai izplata veterinārās zāles – veterināro zāļu ražotājiem, veterināro zāļu lieltirgotavām un veterinārajām aptiekām. D</w:t>
            </w:r>
            <w:r w:rsidR="00114FE5" w:rsidRPr="003A0B0B">
              <w:rPr>
                <w:rFonts w:ascii="Times New Roman" w:eastAsia="Calibri" w:hAnsi="Times New Roman" w:cs="Times New Roman"/>
                <w:color w:val="auto"/>
              </w:rPr>
              <w:t>ienests ir saskāries ar situācijām, kad</w:t>
            </w:r>
            <w:r w:rsidR="005E78AD" w:rsidRPr="003A0B0B">
              <w:rPr>
                <w:rFonts w:ascii="Times New Roman" w:eastAsia="Calibri" w:hAnsi="Times New Roman" w:cs="Times New Roman"/>
                <w:color w:val="auto"/>
              </w:rPr>
              <w:t xml:space="preserve"> </w:t>
            </w:r>
            <w:r w:rsidR="008F644F" w:rsidRPr="003A0B0B">
              <w:rPr>
                <w:rFonts w:ascii="Times New Roman" w:eastAsia="Calibri" w:hAnsi="Times New Roman" w:cs="Times New Roman"/>
                <w:color w:val="auto"/>
              </w:rPr>
              <w:t>noteikum</w:t>
            </w:r>
            <w:r w:rsidR="00114FE5" w:rsidRPr="003A0B0B">
              <w:rPr>
                <w:rFonts w:ascii="Times New Roman" w:eastAsia="Calibri" w:hAnsi="Times New Roman" w:cs="Times New Roman"/>
                <w:color w:val="auto"/>
              </w:rPr>
              <w:t>i</w:t>
            </w:r>
            <w:r w:rsidR="008F644F" w:rsidRPr="003A0B0B">
              <w:rPr>
                <w:rFonts w:ascii="Times New Roman" w:eastAsia="Calibri" w:hAnsi="Times New Roman" w:cs="Times New Roman"/>
                <w:color w:val="auto"/>
              </w:rPr>
              <w:t xml:space="preserve"> skaidri</w:t>
            </w:r>
            <w:r w:rsidR="00F43EFE" w:rsidRPr="003A0B0B">
              <w:rPr>
                <w:rFonts w:ascii="Times New Roman" w:eastAsia="Calibri" w:hAnsi="Times New Roman" w:cs="Times New Roman"/>
                <w:color w:val="auto"/>
              </w:rPr>
              <w:t xml:space="preserve"> </w:t>
            </w:r>
            <w:r w:rsidR="00114FE5" w:rsidRPr="003A0B0B">
              <w:rPr>
                <w:rFonts w:ascii="Times New Roman" w:eastAsia="Calibri" w:hAnsi="Times New Roman" w:cs="Times New Roman"/>
                <w:color w:val="auto"/>
              </w:rPr>
              <w:t xml:space="preserve">neparedz dienesta vai </w:t>
            </w:r>
            <w:r w:rsidR="0079268F">
              <w:rPr>
                <w:rFonts w:ascii="Times New Roman" w:eastAsia="Calibri" w:hAnsi="Times New Roman" w:cs="Times New Roman"/>
                <w:color w:val="auto"/>
              </w:rPr>
              <w:t>komersanta</w:t>
            </w:r>
            <w:r w:rsidR="00114FE5" w:rsidRPr="003A0B0B">
              <w:rPr>
                <w:rFonts w:ascii="Times New Roman" w:eastAsia="Calibri" w:hAnsi="Times New Roman" w:cs="Times New Roman"/>
                <w:color w:val="auto"/>
              </w:rPr>
              <w:t xml:space="preserve"> rīcību noteiktos gadījumos un ir bijusi atšķirīga normu interpretācija</w:t>
            </w:r>
            <w:r w:rsidR="00214CA0">
              <w:rPr>
                <w:rFonts w:ascii="Times New Roman" w:eastAsia="Calibri" w:hAnsi="Times New Roman" w:cs="Times New Roman"/>
                <w:color w:val="auto"/>
              </w:rPr>
              <w:t>, t</w:t>
            </w:r>
            <w:r w:rsidR="00114FE5" w:rsidRPr="003A0B0B">
              <w:rPr>
                <w:rFonts w:ascii="Times New Roman" w:eastAsia="Calibri" w:hAnsi="Times New Roman" w:cs="Times New Roman"/>
                <w:color w:val="auto"/>
              </w:rPr>
              <w:t xml:space="preserve">ādēļ ir </w:t>
            </w:r>
            <w:r w:rsidR="000F5E9D">
              <w:rPr>
                <w:rFonts w:ascii="Times New Roman" w:eastAsia="Calibri" w:hAnsi="Times New Roman" w:cs="Times New Roman"/>
                <w:color w:val="auto"/>
              </w:rPr>
              <w:t xml:space="preserve">nepieciešams </w:t>
            </w:r>
            <w:r w:rsidR="00114FE5" w:rsidRPr="003A0B0B">
              <w:rPr>
                <w:rFonts w:ascii="Times New Roman" w:eastAsia="Calibri" w:hAnsi="Times New Roman" w:cs="Times New Roman"/>
                <w:color w:val="auto"/>
              </w:rPr>
              <w:t>grozī</w:t>
            </w:r>
            <w:r w:rsidR="000F5E9D">
              <w:rPr>
                <w:rFonts w:ascii="Times New Roman" w:eastAsia="Calibri" w:hAnsi="Times New Roman" w:cs="Times New Roman"/>
                <w:color w:val="auto"/>
              </w:rPr>
              <w:t>t</w:t>
            </w:r>
            <w:r w:rsidR="00114FE5" w:rsidRPr="003A0B0B">
              <w:rPr>
                <w:rFonts w:ascii="Times New Roman" w:eastAsia="Calibri" w:hAnsi="Times New Roman" w:cs="Times New Roman"/>
                <w:color w:val="auto"/>
              </w:rPr>
              <w:t xml:space="preserve"> noteikum</w:t>
            </w:r>
            <w:r w:rsidR="00F41C90">
              <w:rPr>
                <w:rFonts w:ascii="Times New Roman" w:eastAsia="Calibri" w:hAnsi="Times New Roman" w:cs="Times New Roman"/>
                <w:color w:val="auto"/>
              </w:rPr>
              <w:t>us</w:t>
            </w:r>
            <w:r w:rsidR="000F5E9D">
              <w:rPr>
                <w:rFonts w:ascii="Times New Roman" w:eastAsia="Calibri" w:hAnsi="Times New Roman" w:cs="Times New Roman"/>
                <w:color w:val="auto"/>
              </w:rPr>
              <w:t xml:space="preserve"> Nr.</w:t>
            </w:r>
            <w:r w:rsidR="00012051">
              <w:rPr>
                <w:rFonts w:ascii="Times New Roman" w:eastAsia="Calibri" w:hAnsi="Times New Roman" w:cs="Times New Roman"/>
                <w:color w:val="auto"/>
              </w:rPr>
              <w:t> </w:t>
            </w:r>
            <w:r w:rsidR="000F5E9D">
              <w:rPr>
                <w:rFonts w:ascii="Times New Roman" w:eastAsia="Calibri" w:hAnsi="Times New Roman" w:cs="Times New Roman"/>
                <w:color w:val="auto"/>
              </w:rPr>
              <w:t>35</w:t>
            </w:r>
            <w:r w:rsidR="00114FE5" w:rsidRPr="003A0B0B">
              <w:rPr>
                <w:rFonts w:ascii="Times New Roman" w:eastAsia="Calibri" w:hAnsi="Times New Roman" w:cs="Times New Roman"/>
                <w:color w:val="auto"/>
              </w:rPr>
              <w:t>, precizējot t</w:t>
            </w:r>
            <w:r w:rsidR="000F5E9D">
              <w:rPr>
                <w:rFonts w:ascii="Times New Roman" w:eastAsia="Calibri" w:hAnsi="Times New Roman" w:cs="Times New Roman"/>
                <w:color w:val="auto"/>
              </w:rPr>
              <w:t>ās</w:t>
            </w:r>
            <w:r w:rsidR="00114FE5" w:rsidRPr="003A0B0B">
              <w:rPr>
                <w:rFonts w:ascii="Times New Roman" w:eastAsia="Calibri" w:hAnsi="Times New Roman" w:cs="Times New Roman"/>
                <w:color w:val="auto"/>
              </w:rPr>
              <w:t xml:space="preserve"> </w:t>
            </w:r>
            <w:r w:rsidR="000F5E9D">
              <w:rPr>
                <w:rFonts w:ascii="Times New Roman" w:eastAsia="Calibri" w:hAnsi="Times New Roman" w:cs="Times New Roman"/>
                <w:color w:val="auto"/>
              </w:rPr>
              <w:t>normas</w:t>
            </w:r>
            <w:r w:rsidR="00114FE5" w:rsidRPr="003A0B0B">
              <w:rPr>
                <w:rFonts w:ascii="Times New Roman" w:eastAsia="Calibri" w:hAnsi="Times New Roman" w:cs="Times New Roman"/>
                <w:color w:val="auto"/>
              </w:rPr>
              <w:t xml:space="preserve">, kas attiecas uz dienesta </w:t>
            </w:r>
            <w:r w:rsidR="0079268F">
              <w:rPr>
                <w:rFonts w:ascii="Times New Roman" w:eastAsia="Calibri" w:hAnsi="Times New Roman" w:cs="Times New Roman"/>
                <w:color w:val="auto"/>
              </w:rPr>
              <w:t xml:space="preserve">rīcību un </w:t>
            </w:r>
            <w:r w:rsidR="00114FE5" w:rsidRPr="003A0B0B">
              <w:rPr>
                <w:rFonts w:ascii="Times New Roman" w:eastAsia="Calibri" w:hAnsi="Times New Roman" w:cs="Times New Roman"/>
                <w:color w:val="auto"/>
              </w:rPr>
              <w:t>kompetenci.</w:t>
            </w:r>
          </w:p>
          <w:p w14:paraId="0054200A" w14:textId="7F82194B" w:rsidR="00E30794" w:rsidRDefault="00F41C90" w:rsidP="008F644F">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1. </w:t>
            </w:r>
            <w:r w:rsidR="0043236C" w:rsidRPr="006D5F4D">
              <w:rPr>
                <w:rFonts w:ascii="Times New Roman" w:eastAsia="Calibri" w:hAnsi="Times New Roman" w:cs="Times New Roman"/>
                <w:color w:val="auto"/>
              </w:rPr>
              <w:t xml:space="preserve">Veterināro zāļu aprites uzraudzība ir ļoti svarīga sabiedrības un dzīvnieku veselības un dzīvības, kā arī vides aizsardzībai. Dienests, izsniedzot speciālo atļauju (licenci) </w:t>
            </w:r>
            <w:r w:rsidR="0043236C" w:rsidRPr="006D5F4D">
              <w:rPr>
                <w:rFonts w:ascii="Times New Roman" w:eastAsia="Calibri" w:hAnsi="Times New Roman" w:cs="Times New Roman"/>
                <w:color w:val="auto"/>
              </w:rPr>
              <w:lastRenderedPageBreak/>
              <w:t>veterinārfarmaceitiskajai darbībai, garantē, ka komersantam ir pietiekami resursi un kompetence, lai nodrošinātu drošu veterināro zāļu apriti, kā arī komersants tiek iekļauts veterinār</w:t>
            </w:r>
            <w:r w:rsidR="006D5F4D" w:rsidRPr="006D5F4D">
              <w:rPr>
                <w:rFonts w:ascii="Times New Roman" w:eastAsia="Calibri" w:hAnsi="Times New Roman" w:cs="Times New Roman"/>
                <w:color w:val="auto"/>
              </w:rPr>
              <w:t>o objektu</w:t>
            </w:r>
            <w:r w:rsidR="0043236C" w:rsidRPr="006D5F4D">
              <w:rPr>
                <w:rFonts w:ascii="Times New Roman" w:eastAsia="Calibri" w:hAnsi="Times New Roman" w:cs="Times New Roman"/>
                <w:color w:val="auto"/>
              </w:rPr>
              <w:t xml:space="preserve"> uzraudzības reģistrā</w:t>
            </w:r>
            <w:proofErr w:type="gramStart"/>
            <w:r w:rsidR="0043236C" w:rsidRPr="006D5F4D">
              <w:rPr>
                <w:rFonts w:ascii="Times New Roman" w:eastAsia="Calibri" w:hAnsi="Times New Roman" w:cs="Times New Roman"/>
                <w:color w:val="auto"/>
              </w:rPr>
              <w:t xml:space="preserve"> un</w:t>
            </w:r>
            <w:proofErr w:type="gramEnd"/>
            <w:r w:rsidR="0043236C" w:rsidRPr="006D5F4D">
              <w:rPr>
                <w:rFonts w:ascii="Times New Roman" w:eastAsia="Calibri" w:hAnsi="Times New Roman" w:cs="Times New Roman"/>
                <w:color w:val="auto"/>
              </w:rPr>
              <w:t xml:space="preserve"> dienests veic šī komersanta uzraudzību atbilstoši veterināro zāļu apriti regulējošajiem normatīvajiem aktiem. Lai nepieļautu</w:t>
            </w:r>
            <w:r w:rsidR="006D5F4D">
              <w:rPr>
                <w:rFonts w:ascii="Times New Roman" w:eastAsia="Calibri" w:hAnsi="Times New Roman" w:cs="Times New Roman"/>
                <w:color w:val="auto"/>
              </w:rPr>
              <w:t xml:space="preserve"> situāciju</w:t>
            </w:r>
            <w:r w:rsidR="0043236C" w:rsidRPr="006D5F4D">
              <w:rPr>
                <w:rFonts w:ascii="Times New Roman" w:eastAsia="Calibri" w:hAnsi="Times New Roman" w:cs="Times New Roman"/>
                <w:color w:val="auto"/>
              </w:rPr>
              <w:t>, ka</w:t>
            </w:r>
            <w:r w:rsidR="006D5F4D">
              <w:rPr>
                <w:rFonts w:ascii="Times New Roman" w:eastAsia="Calibri" w:hAnsi="Times New Roman" w:cs="Times New Roman"/>
                <w:color w:val="auto"/>
              </w:rPr>
              <w:t xml:space="preserve"> normatīvajā regulējumā ir nepietiekami skaidri noteikti uzraudzības objekti un</w:t>
            </w:r>
            <w:r w:rsidR="0043236C" w:rsidRPr="006D5F4D">
              <w:rPr>
                <w:rFonts w:ascii="Times New Roman" w:eastAsia="Calibri" w:hAnsi="Times New Roman" w:cs="Times New Roman"/>
                <w:color w:val="auto"/>
              </w:rPr>
              <w:t xml:space="preserve"> kāds no veterināro zāļu apritē iesaistītajiem </w:t>
            </w:r>
            <w:r w:rsidR="006D5F4D">
              <w:rPr>
                <w:rFonts w:ascii="Times New Roman" w:eastAsia="Calibri" w:hAnsi="Times New Roman" w:cs="Times New Roman"/>
                <w:color w:val="auto"/>
              </w:rPr>
              <w:t>komersantiem</w:t>
            </w:r>
            <w:r w:rsidR="0043236C" w:rsidRPr="006D5F4D">
              <w:rPr>
                <w:rFonts w:ascii="Times New Roman" w:eastAsia="Calibri" w:hAnsi="Times New Roman" w:cs="Times New Roman"/>
                <w:color w:val="auto"/>
              </w:rPr>
              <w:t xml:space="preserve"> </w:t>
            </w:r>
            <w:r w:rsidR="006D5F4D">
              <w:rPr>
                <w:rFonts w:ascii="Times New Roman" w:eastAsia="Calibri" w:hAnsi="Times New Roman" w:cs="Times New Roman"/>
                <w:color w:val="auto"/>
              </w:rPr>
              <w:t>netiek</w:t>
            </w:r>
            <w:r w:rsidR="0043236C" w:rsidRPr="006D5F4D">
              <w:rPr>
                <w:rFonts w:ascii="Times New Roman" w:eastAsia="Calibri" w:hAnsi="Times New Roman" w:cs="Times New Roman"/>
                <w:color w:val="auto"/>
              </w:rPr>
              <w:t xml:space="preserve"> uzraudzīts </w:t>
            </w:r>
            <w:r w:rsidR="006D5F4D">
              <w:rPr>
                <w:rFonts w:ascii="Times New Roman" w:eastAsia="Calibri" w:hAnsi="Times New Roman" w:cs="Times New Roman"/>
                <w:color w:val="auto"/>
              </w:rPr>
              <w:t>atšķirīgas normu interpretācijas</w:t>
            </w:r>
            <w:r w:rsidR="00710F6A">
              <w:rPr>
                <w:rFonts w:ascii="Times New Roman" w:eastAsia="Calibri" w:hAnsi="Times New Roman" w:cs="Times New Roman"/>
                <w:color w:val="auto"/>
              </w:rPr>
              <w:t xml:space="preserve"> dēļ</w:t>
            </w:r>
            <w:r w:rsidR="0043236C" w:rsidRPr="006D5F4D">
              <w:rPr>
                <w:rFonts w:ascii="Times New Roman" w:eastAsia="Calibri" w:hAnsi="Times New Roman" w:cs="Times New Roman"/>
                <w:color w:val="auto"/>
              </w:rPr>
              <w:t>, nepieciešam</w:t>
            </w:r>
            <w:r w:rsidR="00214CA0">
              <w:rPr>
                <w:rFonts w:ascii="Times New Roman" w:eastAsia="Calibri" w:hAnsi="Times New Roman" w:cs="Times New Roman"/>
                <w:color w:val="auto"/>
              </w:rPr>
              <w:t>i</w:t>
            </w:r>
            <w:r w:rsidR="0043236C" w:rsidRPr="006D5F4D">
              <w:rPr>
                <w:rFonts w:ascii="Times New Roman" w:eastAsia="Calibri" w:hAnsi="Times New Roman" w:cs="Times New Roman"/>
                <w:color w:val="auto"/>
              </w:rPr>
              <w:t xml:space="preserve"> grozījum</w:t>
            </w:r>
            <w:r w:rsidR="00214CA0">
              <w:rPr>
                <w:rFonts w:ascii="Times New Roman" w:eastAsia="Calibri" w:hAnsi="Times New Roman" w:cs="Times New Roman"/>
                <w:color w:val="auto"/>
              </w:rPr>
              <w:t>i</w:t>
            </w:r>
            <w:r w:rsidR="0043236C" w:rsidRPr="006D5F4D">
              <w:rPr>
                <w:rFonts w:ascii="Times New Roman" w:eastAsia="Calibri" w:hAnsi="Times New Roman" w:cs="Times New Roman"/>
                <w:color w:val="auto"/>
              </w:rPr>
              <w:t xml:space="preserve"> noteikumos</w:t>
            </w:r>
            <w:r w:rsidR="00012051">
              <w:rPr>
                <w:rFonts w:ascii="Times New Roman" w:eastAsia="Calibri" w:hAnsi="Times New Roman" w:cs="Times New Roman"/>
                <w:color w:val="auto"/>
              </w:rPr>
              <w:t xml:space="preserve"> Nr. 35</w:t>
            </w:r>
            <w:r w:rsidR="0043236C" w:rsidRPr="006D5F4D">
              <w:rPr>
                <w:rFonts w:ascii="Times New Roman" w:eastAsia="Calibri" w:hAnsi="Times New Roman" w:cs="Times New Roman"/>
                <w:color w:val="auto"/>
              </w:rPr>
              <w:t>,</w:t>
            </w:r>
            <w:r w:rsidR="006D5F4D">
              <w:rPr>
                <w:rFonts w:ascii="Times New Roman" w:eastAsia="Calibri" w:hAnsi="Times New Roman" w:cs="Times New Roman"/>
                <w:color w:val="auto"/>
              </w:rPr>
              <w:t xml:space="preserve"> precizējot esošo normu un nosakot</w:t>
            </w:r>
            <w:r w:rsidR="0043236C" w:rsidRPr="006D5F4D">
              <w:rPr>
                <w:rFonts w:ascii="Times New Roman" w:eastAsia="Calibri" w:hAnsi="Times New Roman" w:cs="Times New Roman"/>
                <w:color w:val="auto"/>
              </w:rPr>
              <w:t>, ka komersantam, kurš savu uzņēmējdarbību veic Latvijas Republikas teritorijā, bet veterinārās zāles vairumtirdzniecībā tikai eksportē vai izplata ārpus Latvijas Republikas teritorijas, ir jāsaņem speciālā atļauja (licence) veterinārfarmaceitiskajai darbībai</w:t>
            </w:r>
            <w:r w:rsidR="00E30794" w:rsidRPr="006D5F4D">
              <w:rPr>
                <w:rFonts w:ascii="Times New Roman" w:eastAsia="Calibri" w:hAnsi="Times New Roman" w:cs="Times New Roman"/>
                <w:color w:val="auto"/>
              </w:rPr>
              <w:t xml:space="preserve">. </w:t>
            </w:r>
            <w:r w:rsidR="006D5F4D">
              <w:rPr>
                <w:rFonts w:ascii="Times New Roman" w:eastAsia="Calibri" w:hAnsi="Times New Roman" w:cs="Times New Roman"/>
                <w:color w:val="auto"/>
              </w:rPr>
              <w:t>Minētie grozījumi noteikumos Nr.35 nepieciešami</w:t>
            </w:r>
            <w:r w:rsidR="00E30794" w:rsidRPr="006D5F4D">
              <w:rPr>
                <w:rFonts w:ascii="Times New Roman" w:eastAsia="Calibri" w:hAnsi="Times New Roman" w:cs="Times New Roman"/>
                <w:color w:val="auto"/>
              </w:rPr>
              <w:t xml:space="preserve"> arī</w:t>
            </w:r>
            <w:r w:rsidR="00012051">
              <w:rPr>
                <w:rFonts w:ascii="Times New Roman" w:eastAsia="Calibri" w:hAnsi="Times New Roman" w:cs="Times New Roman"/>
                <w:color w:val="auto"/>
              </w:rPr>
              <w:t>, lai</w:t>
            </w:r>
            <w:r w:rsidR="00E30794" w:rsidRPr="006D5F4D">
              <w:rPr>
                <w:rFonts w:ascii="Times New Roman" w:eastAsia="Calibri" w:hAnsi="Times New Roman" w:cs="Times New Roman"/>
                <w:color w:val="auto"/>
              </w:rPr>
              <w:t xml:space="preserve"> samazinā</w:t>
            </w:r>
            <w:r w:rsidR="006D5F4D">
              <w:rPr>
                <w:rFonts w:ascii="Times New Roman" w:eastAsia="Calibri" w:hAnsi="Times New Roman" w:cs="Times New Roman"/>
                <w:color w:val="auto"/>
              </w:rPr>
              <w:t>tu</w:t>
            </w:r>
            <w:r w:rsidR="00E30794" w:rsidRPr="006D5F4D">
              <w:rPr>
                <w:rFonts w:ascii="Times New Roman" w:eastAsia="Calibri" w:hAnsi="Times New Roman" w:cs="Times New Roman"/>
                <w:color w:val="auto"/>
              </w:rPr>
              <w:t xml:space="preserve"> risku nelegālo zāļu apritei.</w:t>
            </w:r>
          </w:p>
          <w:p w14:paraId="365DDCED" w14:textId="3F5F11CF" w:rsidR="008F644F" w:rsidRDefault="00F41C90" w:rsidP="008F644F">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2. </w:t>
            </w:r>
            <w:r w:rsidR="004E1058">
              <w:rPr>
                <w:rFonts w:ascii="Times New Roman" w:eastAsia="Calibri" w:hAnsi="Times New Roman" w:cs="Times New Roman"/>
                <w:color w:val="auto"/>
              </w:rPr>
              <w:t xml:space="preserve">Noteikumi Nr.35 paredz, ka </w:t>
            </w:r>
            <w:r w:rsidR="00214CA0">
              <w:rPr>
                <w:rFonts w:ascii="Times New Roman" w:eastAsia="Calibri" w:hAnsi="Times New Roman" w:cs="Times New Roman"/>
                <w:color w:val="auto"/>
              </w:rPr>
              <w:t xml:space="preserve">iespējams izdarīt </w:t>
            </w:r>
            <w:r w:rsidR="004E1058">
              <w:rPr>
                <w:rFonts w:ascii="Times New Roman" w:eastAsia="Calibri" w:hAnsi="Times New Roman" w:cs="Times New Roman"/>
                <w:color w:val="auto"/>
              </w:rPr>
              <w:t>izmaiņ</w:t>
            </w:r>
            <w:r w:rsidR="00214CA0">
              <w:rPr>
                <w:rFonts w:ascii="Times New Roman" w:eastAsia="Calibri" w:hAnsi="Times New Roman" w:cs="Times New Roman"/>
                <w:color w:val="auto"/>
              </w:rPr>
              <w:t>as</w:t>
            </w:r>
            <w:r w:rsidR="004E1058">
              <w:rPr>
                <w:rFonts w:ascii="Times New Roman" w:eastAsia="Calibri" w:hAnsi="Times New Roman" w:cs="Times New Roman"/>
                <w:color w:val="auto"/>
              </w:rPr>
              <w:t xml:space="preserve"> speciālajā atļaujā (licencē), tomēr skaidri nenosaka gadījumus, kad </w:t>
            </w:r>
            <w:r w:rsidR="00214CA0">
              <w:rPr>
                <w:rFonts w:ascii="Times New Roman" w:eastAsia="Calibri" w:hAnsi="Times New Roman" w:cs="Times New Roman"/>
                <w:color w:val="auto"/>
              </w:rPr>
              <w:t xml:space="preserve">to </w:t>
            </w:r>
            <w:r w:rsidR="004E1058">
              <w:rPr>
                <w:rFonts w:ascii="Times New Roman" w:eastAsia="Calibri" w:hAnsi="Times New Roman" w:cs="Times New Roman"/>
                <w:color w:val="auto"/>
              </w:rPr>
              <w:t>ir iespējams iz</w:t>
            </w:r>
            <w:r w:rsidR="00214CA0">
              <w:rPr>
                <w:rFonts w:ascii="Times New Roman" w:eastAsia="Calibri" w:hAnsi="Times New Roman" w:cs="Times New Roman"/>
                <w:color w:val="auto"/>
              </w:rPr>
              <w:t>darīt</w:t>
            </w:r>
            <w:r w:rsidR="004E1058">
              <w:rPr>
                <w:rFonts w:ascii="Times New Roman" w:eastAsia="Calibri" w:hAnsi="Times New Roman" w:cs="Times New Roman"/>
                <w:color w:val="auto"/>
              </w:rPr>
              <w:t xml:space="preserve">, neizsniedzot jaunu speciālo atļauju (licenci). </w:t>
            </w:r>
            <w:r>
              <w:rPr>
                <w:rFonts w:ascii="Times New Roman" w:eastAsia="Calibri" w:hAnsi="Times New Roman" w:cs="Times New Roman"/>
                <w:color w:val="auto"/>
              </w:rPr>
              <w:t xml:space="preserve">Jaunas licences izsniegšana atsevišķu izmaiņu </w:t>
            </w:r>
            <w:r w:rsidR="00214CA0">
              <w:rPr>
                <w:rFonts w:ascii="Times New Roman" w:eastAsia="Calibri" w:hAnsi="Times New Roman" w:cs="Times New Roman"/>
                <w:color w:val="auto"/>
              </w:rPr>
              <w:t>dēļ</w:t>
            </w:r>
            <w:r>
              <w:rPr>
                <w:rFonts w:ascii="Times New Roman" w:eastAsia="Calibri" w:hAnsi="Times New Roman" w:cs="Times New Roman"/>
                <w:color w:val="auto"/>
              </w:rPr>
              <w:t xml:space="preserve"> ir pārāk liels administratīvais slogs, jo atbilstoši jaunajam speciālās atļaujas (licences) numuram ir jāmaina citi, bieži vien </w:t>
            </w:r>
            <w:r w:rsidR="004E1058">
              <w:rPr>
                <w:rFonts w:ascii="Times New Roman" w:eastAsia="Calibri" w:hAnsi="Times New Roman" w:cs="Times New Roman"/>
                <w:color w:val="auto"/>
              </w:rPr>
              <w:t>lielapjoma</w:t>
            </w:r>
            <w:r>
              <w:rPr>
                <w:rFonts w:ascii="Times New Roman" w:eastAsia="Calibri" w:hAnsi="Times New Roman" w:cs="Times New Roman"/>
                <w:color w:val="auto"/>
              </w:rPr>
              <w:t xml:space="preserve"> dokumenti, tādēļ ir lietderīgi n</w:t>
            </w:r>
            <w:r w:rsidR="00114FE5" w:rsidRPr="003A0B0B">
              <w:rPr>
                <w:rFonts w:ascii="Times New Roman" w:eastAsia="Calibri" w:hAnsi="Times New Roman" w:cs="Times New Roman"/>
                <w:color w:val="auto"/>
              </w:rPr>
              <w:t>oteikum</w:t>
            </w:r>
            <w:r>
              <w:rPr>
                <w:rFonts w:ascii="Times New Roman" w:eastAsia="Calibri" w:hAnsi="Times New Roman" w:cs="Times New Roman"/>
                <w:color w:val="auto"/>
              </w:rPr>
              <w:t>os</w:t>
            </w:r>
            <w:r w:rsidR="00114FE5" w:rsidRPr="003A0B0B">
              <w:rPr>
                <w:rFonts w:ascii="Times New Roman" w:eastAsia="Calibri" w:hAnsi="Times New Roman" w:cs="Times New Roman"/>
                <w:color w:val="auto"/>
              </w:rPr>
              <w:t xml:space="preserve"> Nr.35 skaidri</w:t>
            </w:r>
            <w:r>
              <w:rPr>
                <w:rFonts w:ascii="Times New Roman" w:eastAsia="Calibri" w:hAnsi="Times New Roman" w:cs="Times New Roman"/>
                <w:color w:val="auto"/>
              </w:rPr>
              <w:t xml:space="preserve"> un nepārprotami noteikt</w:t>
            </w:r>
            <w:r w:rsidR="00114FE5" w:rsidRPr="003A0B0B">
              <w:rPr>
                <w:rFonts w:ascii="Times New Roman" w:eastAsia="Calibri" w:hAnsi="Times New Roman" w:cs="Times New Roman"/>
                <w:color w:val="auto"/>
              </w:rPr>
              <w:t>,</w:t>
            </w:r>
            <w:r w:rsidR="00F43EFE" w:rsidRPr="003A0B0B">
              <w:rPr>
                <w:rFonts w:ascii="Times New Roman" w:eastAsia="Calibri" w:hAnsi="Times New Roman" w:cs="Times New Roman"/>
                <w:color w:val="auto"/>
              </w:rPr>
              <w:t xml:space="preserve"> kuros gadījumos ir jā</w:t>
            </w:r>
            <w:r w:rsidR="00214CA0">
              <w:rPr>
                <w:rFonts w:ascii="Times New Roman" w:eastAsia="Calibri" w:hAnsi="Times New Roman" w:cs="Times New Roman"/>
                <w:color w:val="auto"/>
              </w:rPr>
              <w:t>izdara</w:t>
            </w:r>
            <w:r w:rsidR="00F43EFE" w:rsidRPr="003A0B0B">
              <w:rPr>
                <w:rFonts w:ascii="Times New Roman" w:eastAsia="Calibri" w:hAnsi="Times New Roman" w:cs="Times New Roman"/>
                <w:color w:val="auto"/>
              </w:rPr>
              <w:t xml:space="preserve"> izmaiņas </w:t>
            </w:r>
            <w:r w:rsidR="00883FAA">
              <w:rPr>
                <w:rFonts w:ascii="Times New Roman" w:eastAsia="Calibri" w:hAnsi="Times New Roman" w:cs="Times New Roman"/>
                <w:color w:val="auto"/>
              </w:rPr>
              <w:t xml:space="preserve">licencē </w:t>
            </w:r>
            <w:r w:rsidR="00F43EFE" w:rsidRPr="003A0B0B">
              <w:rPr>
                <w:rFonts w:ascii="Times New Roman" w:eastAsia="Calibri" w:hAnsi="Times New Roman" w:cs="Times New Roman"/>
                <w:color w:val="auto"/>
              </w:rPr>
              <w:t xml:space="preserve">un kuros gadījumos ir jāveic </w:t>
            </w:r>
            <w:r w:rsidR="00883FAA">
              <w:rPr>
                <w:rFonts w:ascii="Times New Roman" w:eastAsia="Calibri" w:hAnsi="Times New Roman" w:cs="Times New Roman"/>
                <w:color w:val="auto"/>
              </w:rPr>
              <w:t xml:space="preserve">tās </w:t>
            </w:r>
            <w:r>
              <w:rPr>
                <w:rFonts w:ascii="Times New Roman" w:eastAsia="Calibri" w:hAnsi="Times New Roman" w:cs="Times New Roman"/>
                <w:color w:val="auto"/>
              </w:rPr>
              <w:t>pārreģistrācija</w:t>
            </w:r>
            <w:r w:rsidR="004E1058">
              <w:rPr>
                <w:rFonts w:ascii="Times New Roman" w:eastAsia="Calibri" w:hAnsi="Times New Roman" w:cs="Times New Roman"/>
                <w:color w:val="auto"/>
              </w:rPr>
              <w:t>, izsniedzot jaunu speciālo atļauju (licenci)</w:t>
            </w:r>
            <w:r>
              <w:rPr>
                <w:rFonts w:ascii="Times New Roman" w:eastAsia="Calibri" w:hAnsi="Times New Roman" w:cs="Times New Roman"/>
                <w:color w:val="auto"/>
              </w:rPr>
              <w:t>. Šādi grozījumi</w:t>
            </w:r>
            <w:r w:rsidR="00F01AC0" w:rsidRPr="00F01AC0">
              <w:rPr>
                <w:rFonts w:ascii="Times New Roman" w:eastAsia="Calibri" w:hAnsi="Times New Roman" w:cs="Times New Roman"/>
                <w:color w:val="auto"/>
              </w:rPr>
              <w:t xml:space="preserve"> nodrošinā</w:t>
            </w:r>
            <w:r>
              <w:rPr>
                <w:rFonts w:ascii="Times New Roman" w:eastAsia="Calibri" w:hAnsi="Times New Roman" w:cs="Times New Roman"/>
                <w:color w:val="auto"/>
              </w:rPr>
              <w:t>s</w:t>
            </w:r>
            <w:r w:rsidR="00F01AC0" w:rsidRPr="00F01AC0">
              <w:rPr>
                <w:rFonts w:ascii="Times New Roman" w:eastAsia="Calibri" w:hAnsi="Times New Roman" w:cs="Times New Roman"/>
                <w:color w:val="auto"/>
              </w:rPr>
              <w:t xml:space="preserve"> skaidru un nepārprotamu tiesību akta uztveri un komersantiem, kas vēlas nodarboties ar veterinārfarmaceitisko darbību, vienkāršo</w:t>
            </w:r>
            <w:r>
              <w:rPr>
                <w:rFonts w:ascii="Times New Roman" w:eastAsia="Calibri" w:hAnsi="Times New Roman" w:cs="Times New Roman"/>
                <w:color w:val="auto"/>
              </w:rPr>
              <w:t>s dokumentu apriti.</w:t>
            </w:r>
            <w:r w:rsidR="00F01AC0" w:rsidRPr="00F01AC0">
              <w:rPr>
                <w:rFonts w:ascii="Times New Roman" w:eastAsia="Calibri" w:hAnsi="Times New Roman" w:cs="Times New Roman"/>
                <w:color w:val="auto"/>
              </w:rPr>
              <w:t xml:space="preserve"> </w:t>
            </w:r>
            <w:r>
              <w:rPr>
                <w:rFonts w:ascii="Times New Roman" w:eastAsia="Calibri" w:hAnsi="Times New Roman" w:cs="Times New Roman"/>
                <w:color w:val="auto"/>
              </w:rPr>
              <w:t>N</w:t>
            </w:r>
            <w:r w:rsidR="00F43EFE" w:rsidRPr="003A0B0B">
              <w:rPr>
                <w:rFonts w:ascii="Times New Roman" w:eastAsia="Calibri" w:hAnsi="Times New Roman" w:cs="Times New Roman"/>
                <w:color w:val="auto"/>
              </w:rPr>
              <w:t>oteikumos</w:t>
            </w:r>
            <w:r w:rsidR="0081609B" w:rsidRPr="003A0B0B">
              <w:rPr>
                <w:rFonts w:ascii="Times New Roman" w:eastAsia="Calibri" w:hAnsi="Times New Roman" w:cs="Times New Roman"/>
                <w:color w:val="auto"/>
              </w:rPr>
              <w:t xml:space="preserve"> </w:t>
            </w:r>
            <w:r>
              <w:rPr>
                <w:rFonts w:ascii="Times New Roman" w:eastAsia="Calibri" w:hAnsi="Times New Roman" w:cs="Times New Roman"/>
                <w:color w:val="auto"/>
              </w:rPr>
              <w:t xml:space="preserve">Nr.35 </w:t>
            </w:r>
            <w:r w:rsidR="00F05465">
              <w:rPr>
                <w:rFonts w:ascii="Times New Roman" w:eastAsia="Calibri" w:hAnsi="Times New Roman" w:cs="Times New Roman"/>
                <w:color w:val="auto"/>
              </w:rPr>
              <w:t>nepieciešams noteikt</w:t>
            </w:r>
            <w:r w:rsidR="00F01AC0">
              <w:rPr>
                <w:rFonts w:ascii="Times New Roman" w:eastAsia="Calibri" w:hAnsi="Times New Roman" w:cs="Times New Roman"/>
                <w:color w:val="auto"/>
              </w:rPr>
              <w:t>, ka gadījumos, kad nepieciešamas izmaiņas speciālajā atļaujā (licencē), ir jāveic licences pārreģistrācija, bet gadījumos, kad izmaiņas nepieciešamas informācijā, kas iekļauta licences pielikumos, ir jā</w:t>
            </w:r>
            <w:r w:rsidR="00214CA0">
              <w:rPr>
                <w:rFonts w:ascii="Times New Roman" w:eastAsia="Calibri" w:hAnsi="Times New Roman" w:cs="Times New Roman"/>
                <w:color w:val="auto"/>
              </w:rPr>
              <w:t>izdara</w:t>
            </w:r>
            <w:r w:rsidR="00F01AC0">
              <w:rPr>
                <w:rFonts w:ascii="Times New Roman" w:eastAsia="Calibri" w:hAnsi="Times New Roman" w:cs="Times New Roman"/>
                <w:color w:val="auto"/>
              </w:rPr>
              <w:t xml:space="preserve"> izmaiņas speciālajā atļaujā (licencē)</w:t>
            </w:r>
            <w:r w:rsidR="00F43EFE" w:rsidRPr="003A0B0B">
              <w:rPr>
                <w:rFonts w:ascii="Times New Roman" w:eastAsia="Calibri" w:hAnsi="Times New Roman" w:cs="Times New Roman"/>
                <w:color w:val="auto"/>
              </w:rPr>
              <w:t>.</w:t>
            </w:r>
          </w:p>
          <w:p w14:paraId="49F139E7" w14:textId="4BD19F0D" w:rsidR="00CF7899" w:rsidRPr="003A0B0B" w:rsidRDefault="00F41C90" w:rsidP="008F644F">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3. </w:t>
            </w:r>
            <w:r w:rsidR="00CF7899" w:rsidRPr="003A0B0B">
              <w:rPr>
                <w:rFonts w:ascii="Times New Roman" w:eastAsia="Calibri" w:hAnsi="Times New Roman" w:cs="Times New Roman"/>
                <w:color w:val="auto"/>
              </w:rPr>
              <w:t xml:space="preserve">Lai skaidri un nepārprotami būtu noteikta </w:t>
            </w:r>
            <w:r w:rsidR="00F43EFE" w:rsidRPr="003A0B0B">
              <w:rPr>
                <w:rFonts w:ascii="Times New Roman" w:eastAsia="Calibri" w:hAnsi="Times New Roman" w:cs="Times New Roman"/>
                <w:color w:val="auto"/>
              </w:rPr>
              <w:t xml:space="preserve">dienesta rīcība speciālās atļaujas (licences) veterinārfarmaceitiskajai darbībai izsniegšanā un uzraudzībā, </w:t>
            </w:r>
            <w:r w:rsidR="00CF7899" w:rsidRPr="003A0B0B">
              <w:rPr>
                <w:rFonts w:ascii="Times New Roman" w:eastAsia="Calibri" w:hAnsi="Times New Roman" w:cs="Times New Roman"/>
                <w:color w:val="auto"/>
              </w:rPr>
              <w:t xml:space="preserve">ir </w:t>
            </w:r>
            <w:r w:rsidR="00214CA0">
              <w:rPr>
                <w:rFonts w:ascii="Times New Roman" w:eastAsia="Calibri" w:hAnsi="Times New Roman" w:cs="Times New Roman"/>
                <w:color w:val="auto"/>
              </w:rPr>
              <w:t>jā</w:t>
            </w:r>
            <w:r w:rsidR="00CF7899" w:rsidRPr="003A0B0B">
              <w:rPr>
                <w:rFonts w:ascii="Times New Roman" w:eastAsia="Calibri" w:hAnsi="Times New Roman" w:cs="Times New Roman"/>
                <w:color w:val="auto"/>
              </w:rPr>
              <w:t>precizē atbilstības novērtēšanas protokola un kontroles ziņojuma sagatavošan</w:t>
            </w:r>
            <w:r w:rsidR="005E78AD" w:rsidRPr="003A0B0B">
              <w:rPr>
                <w:rFonts w:ascii="Times New Roman" w:eastAsia="Calibri" w:hAnsi="Times New Roman" w:cs="Times New Roman"/>
                <w:color w:val="auto"/>
              </w:rPr>
              <w:t>a</w:t>
            </w:r>
            <w:r w:rsidR="00214CA0">
              <w:rPr>
                <w:rFonts w:ascii="Times New Roman" w:eastAsia="Calibri" w:hAnsi="Times New Roman" w:cs="Times New Roman"/>
                <w:color w:val="auto"/>
              </w:rPr>
              <w:t>s</w:t>
            </w:r>
            <w:r w:rsidR="00214CA0" w:rsidRPr="003A0B0B">
              <w:rPr>
                <w:rFonts w:ascii="Times New Roman" w:eastAsia="Calibri" w:hAnsi="Times New Roman" w:cs="Times New Roman"/>
                <w:color w:val="auto"/>
              </w:rPr>
              <w:t xml:space="preserve"> kārtīb</w:t>
            </w:r>
            <w:r w:rsidR="00214CA0">
              <w:rPr>
                <w:rFonts w:ascii="Times New Roman" w:eastAsia="Calibri" w:hAnsi="Times New Roman" w:cs="Times New Roman"/>
                <w:color w:val="auto"/>
              </w:rPr>
              <w:t>a</w:t>
            </w:r>
            <w:r w:rsidR="00CF7899" w:rsidRPr="003A0B0B">
              <w:rPr>
                <w:rFonts w:ascii="Times New Roman" w:eastAsia="Calibri" w:hAnsi="Times New Roman" w:cs="Times New Roman"/>
                <w:color w:val="auto"/>
              </w:rPr>
              <w:t>.</w:t>
            </w:r>
          </w:p>
          <w:p w14:paraId="464737EC" w14:textId="4BAA3E5A" w:rsidR="00894C55" w:rsidRPr="003A0B0B" w:rsidRDefault="00CF7899" w:rsidP="005E78AD">
            <w:pPr>
              <w:pStyle w:val="Default"/>
              <w:ind w:right="141"/>
              <w:jc w:val="both"/>
              <w:rPr>
                <w:rFonts w:ascii="Times New Roman" w:eastAsia="Calibri" w:hAnsi="Times New Roman" w:cs="Times New Roman"/>
                <w:color w:val="auto"/>
              </w:rPr>
            </w:pPr>
            <w:r w:rsidRPr="003A0B0B">
              <w:rPr>
                <w:rFonts w:ascii="Times New Roman" w:eastAsia="Calibri" w:hAnsi="Times New Roman" w:cs="Times New Roman"/>
                <w:color w:val="auto"/>
              </w:rPr>
              <w:t>Līdz šim dienestam bieži bija jāsaskaras ar situāciju, ka</w:t>
            </w:r>
            <w:r w:rsidR="00D974ED" w:rsidRPr="003A0B0B">
              <w:rPr>
                <w:rFonts w:ascii="Times New Roman" w:eastAsia="Calibri" w:hAnsi="Times New Roman" w:cs="Times New Roman"/>
                <w:color w:val="auto"/>
              </w:rPr>
              <w:t>d</w:t>
            </w:r>
            <w:r w:rsidRPr="003A0B0B">
              <w:rPr>
                <w:rFonts w:ascii="Times New Roman" w:eastAsia="Calibri" w:hAnsi="Times New Roman" w:cs="Times New Roman"/>
                <w:color w:val="auto"/>
              </w:rPr>
              <w:t xml:space="preserve"> </w:t>
            </w:r>
            <w:r w:rsidR="00176BBC">
              <w:rPr>
                <w:rFonts w:ascii="Times New Roman" w:eastAsia="Calibri" w:hAnsi="Times New Roman" w:cs="Times New Roman"/>
                <w:color w:val="auto"/>
              </w:rPr>
              <w:t>speciālās atļaujas (licences) saņēmēja darbība</w:t>
            </w:r>
            <w:r w:rsidRPr="003A0B0B">
              <w:rPr>
                <w:rFonts w:ascii="Times New Roman" w:eastAsia="Calibri" w:hAnsi="Times New Roman" w:cs="Times New Roman"/>
                <w:color w:val="auto"/>
              </w:rPr>
              <w:t xml:space="preserve"> neatbilst</w:t>
            </w:r>
            <w:r w:rsidR="00D974ED" w:rsidRPr="003A0B0B">
              <w:rPr>
                <w:rFonts w:ascii="Times New Roman" w:eastAsia="Calibri" w:hAnsi="Times New Roman" w:cs="Times New Roman"/>
                <w:color w:val="auto"/>
              </w:rPr>
              <w:t xml:space="preserve"> veterināro zaļu reglamentējošo normatīvo aktu prasībām</w:t>
            </w:r>
            <w:r w:rsidR="00214CA0">
              <w:rPr>
                <w:rFonts w:ascii="Times New Roman" w:eastAsia="Calibri" w:hAnsi="Times New Roman" w:cs="Times New Roman"/>
                <w:color w:val="auto"/>
              </w:rPr>
              <w:t>,</w:t>
            </w:r>
            <w:r w:rsidR="00D974ED" w:rsidRPr="003A0B0B">
              <w:rPr>
                <w:rFonts w:ascii="Times New Roman" w:eastAsia="Calibri" w:hAnsi="Times New Roman" w:cs="Times New Roman"/>
                <w:color w:val="auto"/>
              </w:rPr>
              <w:t xml:space="preserve"> un</w:t>
            </w:r>
            <w:r w:rsidRPr="003A0B0B">
              <w:rPr>
                <w:rFonts w:ascii="Times New Roman" w:eastAsia="Calibri" w:hAnsi="Times New Roman" w:cs="Times New Roman"/>
                <w:color w:val="auto"/>
              </w:rPr>
              <w:t xml:space="preserve"> </w:t>
            </w:r>
            <w:r w:rsidR="00D974ED" w:rsidRPr="003A0B0B">
              <w:rPr>
                <w:rFonts w:ascii="Times New Roman" w:eastAsia="Calibri" w:hAnsi="Times New Roman" w:cs="Times New Roman"/>
                <w:color w:val="auto"/>
              </w:rPr>
              <w:t xml:space="preserve">speciālās atļaujas (licences) </w:t>
            </w:r>
            <w:r w:rsidRPr="003A0B0B">
              <w:rPr>
                <w:rFonts w:ascii="Times New Roman" w:eastAsia="Calibri" w:hAnsi="Times New Roman" w:cs="Times New Roman"/>
                <w:color w:val="auto"/>
              </w:rPr>
              <w:t>veterinārfarmaceitisk</w:t>
            </w:r>
            <w:r w:rsidR="00D974ED" w:rsidRPr="003A0B0B">
              <w:rPr>
                <w:rFonts w:ascii="Times New Roman" w:eastAsia="Calibri" w:hAnsi="Times New Roman" w:cs="Times New Roman"/>
                <w:color w:val="auto"/>
              </w:rPr>
              <w:t>ajai</w:t>
            </w:r>
            <w:r w:rsidRPr="003A0B0B">
              <w:rPr>
                <w:rFonts w:ascii="Times New Roman" w:eastAsia="Calibri" w:hAnsi="Times New Roman" w:cs="Times New Roman"/>
                <w:color w:val="auto"/>
              </w:rPr>
              <w:t xml:space="preserve"> darbīb</w:t>
            </w:r>
            <w:r w:rsidR="00D974ED" w:rsidRPr="003A0B0B">
              <w:rPr>
                <w:rFonts w:ascii="Times New Roman" w:eastAsia="Calibri" w:hAnsi="Times New Roman" w:cs="Times New Roman"/>
                <w:color w:val="auto"/>
              </w:rPr>
              <w:t>ai</w:t>
            </w:r>
            <w:r w:rsidRPr="003A0B0B">
              <w:rPr>
                <w:rFonts w:ascii="Times New Roman" w:eastAsia="Calibri" w:hAnsi="Times New Roman" w:cs="Times New Roman"/>
                <w:color w:val="auto"/>
              </w:rPr>
              <w:t xml:space="preserve"> izsniegšana</w:t>
            </w:r>
            <w:r w:rsidR="00176BBC">
              <w:rPr>
                <w:rFonts w:ascii="Times New Roman" w:eastAsia="Calibri" w:hAnsi="Times New Roman" w:cs="Times New Roman"/>
                <w:color w:val="auto"/>
              </w:rPr>
              <w:t xml:space="preserve"> </w:t>
            </w:r>
            <w:r w:rsidR="00176BBC" w:rsidRPr="003A0B0B">
              <w:rPr>
                <w:rFonts w:ascii="Times New Roman" w:eastAsia="Calibri" w:hAnsi="Times New Roman" w:cs="Times New Roman"/>
                <w:color w:val="auto"/>
              </w:rPr>
              <w:t>jāatliek</w:t>
            </w:r>
            <w:r w:rsidR="00176BBC">
              <w:rPr>
                <w:rFonts w:ascii="Times New Roman" w:eastAsia="Calibri" w:hAnsi="Times New Roman" w:cs="Times New Roman"/>
                <w:color w:val="auto"/>
              </w:rPr>
              <w:t xml:space="preserve"> uz laiku</w:t>
            </w:r>
            <w:r w:rsidR="00214CA0">
              <w:rPr>
                <w:rFonts w:ascii="Times New Roman" w:eastAsia="Calibri" w:hAnsi="Times New Roman" w:cs="Times New Roman"/>
                <w:color w:val="auto"/>
              </w:rPr>
              <w:t>,</w:t>
            </w:r>
            <w:r w:rsidR="00176BBC">
              <w:rPr>
                <w:rFonts w:ascii="Times New Roman" w:eastAsia="Calibri" w:hAnsi="Times New Roman" w:cs="Times New Roman"/>
                <w:color w:val="auto"/>
              </w:rPr>
              <w:t xml:space="preserve"> līdz tiek </w:t>
            </w:r>
            <w:r w:rsidR="00F05465">
              <w:rPr>
                <w:rFonts w:ascii="Times New Roman" w:eastAsia="Calibri" w:hAnsi="Times New Roman" w:cs="Times New Roman"/>
                <w:color w:val="auto"/>
              </w:rPr>
              <w:t>izpildītas</w:t>
            </w:r>
            <w:r w:rsidR="00176BBC">
              <w:rPr>
                <w:rFonts w:ascii="Times New Roman" w:eastAsia="Calibri" w:hAnsi="Times New Roman" w:cs="Times New Roman"/>
                <w:color w:val="auto"/>
              </w:rPr>
              <w:t xml:space="preserve"> prasības</w:t>
            </w:r>
            <w:r w:rsidR="004E1058">
              <w:rPr>
                <w:rFonts w:ascii="Times New Roman" w:eastAsia="Calibri" w:hAnsi="Times New Roman" w:cs="Times New Roman"/>
                <w:color w:val="auto"/>
              </w:rPr>
              <w:t>.</w:t>
            </w:r>
            <w:r w:rsidR="00176BBC">
              <w:rPr>
                <w:rFonts w:ascii="Times New Roman" w:eastAsia="Calibri" w:hAnsi="Times New Roman" w:cs="Times New Roman"/>
                <w:color w:val="auto"/>
              </w:rPr>
              <w:t xml:space="preserve"> </w:t>
            </w:r>
            <w:r w:rsidR="004E1058">
              <w:rPr>
                <w:rFonts w:ascii="Times New Roman" w:eastAsia="Calibri" w:hAnsi="Times New Roman" w:cs="Times New Roman"/>
                <w:color w:val="auto"/>
              </w:rPr>
              <w:t>A</w:t>
            </w:r>
            <w:r w:rsidR="005E78AD" w:rsidRPr="003A0B0B">
              <w:rPr>
                <w:rFonts w:ascii="Times New Roman" w:eastAsia="Calibri" w:hAnsi="Times New Roman" w:cs="Times New Roman"/>
                <w:color w:val="auto"/>
              </w:rPr>
              <w:t xml:space="preserve">tliktie termiņi </w:t>
            </w:r>
            <w:r w:rsidR="004E1058">
              <w:rPr>
                <w:rFonts w:ascii="Times New Roman" w:eastAsia="Calibri" w:hAnsi="Times New Roman" w:cs="Times New Roman"/>
                <w:color w:val="auto"/>
              </w:rPr>
              <w:t xml:space="preserve">speciālās atļaujas (licences) izsniegšanai </w:t>
            </w:r>
            <w:r w:rsidR="005E78AD" w:rsidRPr="003A0B0B">
              <w:rPr>
                <w:rFonts w:ascii="Times New Roman" w:eastAsia="Calibri" w:hAnsi="Times New Roman" w:cs="Times New Roman"/>
                <w:color w:val="auto"/>
              </w:rPr>
              <w:t xml:space="preserve">bieži vien bija neskaidri, jo bija </w:t>
            </w:r>
            <w:r w:rsidR="00E30794">
              <w:rPr>
                <w:rFonts w:ascii="Times New Roman" w:eastAsia="Calibri" w:hAnsi="Times New Roman" w:cs="Times New Roman"/>
                <w:color w:val="auto"/>
              </w:rPr>
              <w:t xml:space="preserve">tieši </w:t>
            </w:r>
            <w:r w:rsidR="005E78AD" w:rsidRPr="003A0B0B">
              <w:rPr>
                <w:rFonts w:ascii="Times New Roman" w:eastAsia="Calibri" w:hAnsi="Times New Roman" w:cs="Times New Roman"/>
                <w:color w:val="auto"/>
              </w:rPr>
              <w:t xml:space="preserve">atkarīgi </w:t>
            </w:r>
            <w:r w:rsidR="00F01AC0">
              <w:rPr>
                <w:rFonts w:ascii="Times New Roman" w:eastAsia="Calibri" w:hAnsi="Times New Roman" w:cs="Times New Roman"/>
                <w:color w:val="auto"/>
              </w:rPr>
              <w:t xml:space="preserve">no </w:t>
            </w:r>
            <w:r w:rsidR="00176BBC">
              <w:rPr>
                <w:rFonts w:ascii="Times New Roman" w:eastAsia="Calibri" w:hAnsi="Times New Roman" w:cs="Times New Roman"/>
                <w:color w:val="auto"/>
              </w:rPr>
              <w:t>komersanta</w:t>
            </w:r>
            <w:r w:rsidR="00F01AC0">
              <w:rPr>
                <w:rFonts w:ascii="Times New Roman" w:eastAsia="Calibri" w:hAnsi="Times New Roman" w:cs="Times New Roman"/>
                <w:color w:val="auto"/>
              </w:rPr>
              <w:t xml:space="preserve"> </w:t>
            </w:r>
            <w:r w:rsidR="005E78AD" w:rsidRPr="003A0B0B">
              <w:rPr>
                <w:rFonts w:ascii="Times New Roman" w:eastAsia="Calibri" w:hAnsi="Times New Roman" w:cs="Times New Roman"/>
                <w:color w:val="auto"/>
              </w:rPr>
              <w:t xml:space="preserve">spējas nodrošināt </w:t>
            </w:r>
            <w:r w:rsidR="00214CA0">
              <w:rPr>
                <w:rFonts w:ascii="Times New Roman" w:eastAsia="Calibri" w:hAnsi="Times New Roman" w:cs="Times New Roman"/>
                <w:color w:val="auto"/>
              </w:rPr>
              <w:t xml:space="preserve">to </w:t>
            </w:r>
            <w:r w:rsidR="005E78AD" w:rsidRPr="003A0B0B">
              <w:rPr>
                <w:rFonts w:ascii="Times New Roman" w:eastAsia="Calibri" w:hAnsi="Times New Roman" w:cs="Times New Roman"/>
                <w:color w:val="auto"/>
              </w:rPr>
              <w:t>prasību</w:t>
            </w:r>
            <w:r w:rsidR="00214CA0" w:rsidRPr="003A0B0B">
              <w:rPr>
                <w:rFonts w:ascii="Times New Roman" w:eastAsia="Calibri" w:hAnsi="Times New Roman" w:cs="Times New Roman"/>
                <w:color w:val="auto"/>
              </w:rPr>
              <w:t xml:space="preserve"> izpildi</w:t>
            </w:r>
            <w:r w:rsidR="00F01AC0">
              <w:rPr>
                <w:rFonts w:ascii="Times New Roman" w:eastAsia="Calibri" w:hAnsi="Times New Roman" w:cs="Times New Roman"/>
                <w:color w:val="auto"/>
              </w:rPr>
              <w:t>, k</w:t>
            </w:r>
            <w:r w:rsidR="00214CA0">
              <w:rPr>
                <w:rFonts w:ascii="Times New Roman" w:eastAsia="Calibri" w:hAnsi="Times New Roman" w:cs="Times New Roman"/>
                <w:color w:val="auto"/>
              </w:rPr>
              <w:t>ur</w:t>
            </w:r>
            <w:r w:rsidR="00F01AC0">
              <w:rPr>
                <w:rFonts w:ascii="Times New Roman" w:eastAsia="Calibri" w:hAnsi="Times New Roman" w:cs="Times New Roman"/>
                <w:color w:val="auto"/>
              </w:rPr>
              <w:t>as noteiktas normatīvajos aktos par veterinārajām zālēm</w:t>
            </w:r>
            <w:r w:rsidR="005E78AD" w:rsidRPr="003A0B0B">
              <w:rPr>
                <w:rFonts w:ascii="Times New Roman" w:eastAsia="Calibri" w:hAnsi="Times New Roman" w:cs="Times New Roman"/>
                <w:color w:val="auto"/>
              </w:rPr>
              <w:t xml:space="preserve">. </w:t>
            </w:r>
            <w:r w:rsidR="00F05465">
              <w:rPr>
                <w:rFonts w:ascii="Times New Roman" w:eastAsia="Calibri" w:hAnsi="Times New Roman" w:cs="Times New Roman"/>
                <w:color w:val="auto"/>
              </w:rPr>
              <w:t>Noteikumos Nr. 35 nepieciešams</w:t>
            </w:r>
            <w:r w:rsidR="005E78AD" w:rsidRPr="003A0B0B">
              <w:rPr>
                <w:rFonts w:ascii="Times New Roman" w:eastAsia="Calibri" w:hAnsi="Times New Roman" w:cs="Times New Roman"/>
                <w:color w:val="auto"/>
              </w:rPr>
              <w:t xml:space="preserve"> no</w:t>
            </w:r>
            <w:r w:rsidR="00214CA0">
              <w:rPr>
                <w:rFonts w:ascii="Times New Roman" w:eastAsia="Calibri" w:hAnsi="Times New Roman" w:cs="Times New Roman"/>
                <w:color w:val="auto"/>
              </w:rPr>
              <w:t>šķirt</w:t>
            </w:r>
            <w:r w:rsidR="005E78AD" w:rsidRPr="003A0B0B">
              <w:rPr>
                <w:rFonts w:ascii="Times New Roman" w:eastAsia="Calibri" w:hAnsi="Times New Roman" w:cs="Times New Roman"/>
                <w:color w:val="auto"/>
              </w:rPr>
              <w:t xml:space="preserve"> atbilstības novērtēšanu no licences izsniegšanas proce</w:t>
            </w:r>
            <w:r w:rsidR="00F01AC0">
              <w:rPr>
                <w:rFonts w:ascii="Times New Roman" w:eastAsia="Calibri" w:hAnsi="Times New Roman" w:cs="Times New Roman"/>
                <w:color w:val="auto"/>
              </w:rPr>
              <w:t>dūrām</w:t>
            </w:r>
            <w:r w:rsidR="00214CA0">
              <w:rPr>
                <w:rFonts w:ascii="Times New Roman" w:eastAsia="Calibri" w:hAnsi="Times New Roman" w:cs="Times New Roman"/>
                <w:color w:val="auto"/>
              </w:rPr>
              <w:t xml:space="preserve"> – </w:t>
            </w:r>
            <w:r w:rsidR="005E78AD" w:rsidRPr="003A0B0B">
              <w:rPr>
                <w:rFonts w:ascii="Times New Roman" w:eastAsia="Calibri" w:hAnsi="Times New Roman" w:cs="Times New Roman"/>
                <w:color w:val="auto"/>
              </w:rPr>
              <w:t xml:space="preserve">tādējādi Administratīvā procesa likuma noteiktajā </w:t>
            </w:r>
            <w:r w:rsidR="00E30794">
              <w:rPr>
                <w:rFonts w:ascii="Times New Roman" w:eastAsia="Calibri" w:hAnsi="Times New Roman" w:cs="Times New Roman"/>
                <w:color w:val="auto"/>
              </w:rPr>
              <w:t>termiņā</w:t>
            </w:r>
            <w:r w:rsidR="005E78AD" w:rsidRPr="003A0B0B">
              <w:rPr>
                <w:rFonts w:ascii="Times New Roman" w:eastAsia="Calibri" w:hAnsi="Times New Roman" w:cs="Times New Roman"/>
                <w:color w:val="auto"/>
              </w:rPr>
              <w:t xml:space="preserve"> uzņēmējs saņems katram iesniegumam atbilstošu dokumentu vai dienesta lēmumu</w:t>
            </w:r>
            <w:r w:rsidR="00EF3E32" w:rsidRPr="003A0B0B">
              <w:rPr>
                <w:rFonts w:ascii="Times New Roman" w:eastAsia="Calibri" w:hAnsi="Times New Roman" w:cs="Times New Roman"/>
                <w:color w:val="auto"/>
              </w:rPr>
              <w:t>.</w:t>
            </w:r>
            <w:r w:rsidR="004E1058">
              <w:rPr>
                <w:rFonts w:ascii="Times New Roman" w:eastAsia="Calibri" w:hAnsi="Times New Roman" w:cs="Times New Roman"/>
                <w:color w:val="auto"/>
              </w:rPr>
              <w:t xml:space="preserve"> Atbilstības novērtēšanas no</w:t>
            </w:r>
            <w:r w:rsidR="00214CA0">
              <w:rPr>
                <w:rFonts w:ascii="Times New Roman" w:eastAsia="Calibri" w:hAnsi="Times New Roman" w:cs="Times New Roman"/>
                <w:color w:val="auto"/>
              </w:rPr>
              <w:t>šķir</w:t>
            </w:r>
            <w:r w:rsidR="004E1058">
              <w:rPr>
                <w:rFonts w:ascii="Times New Roman" w:eastAsia="Calibri" w:hAnsi="Times New Roman" w:cs="Times New Roman"/>
                <w:color w:val="auto"/>
              </w:rPr>
              <w:t xml:space="preserve">šana no speciālās atļaujas (licences) izsniegšanas procedūras ir svarīga tieši dienestam, jo </w:t>
            </w:r>
            <w:r w:rsidR="004E1058">
              <w:rPr>
                <w:rFonts w:ascii="Times New Roman" w:eastAsia="Calibri" w:hAnsi="Times New Roman" w:cs="Times New Roman"/>
                <w:color w:val="auto"/>
              </w:rPr>
              <w:lastRenderedPageBreak/>
              <w:t>dienests veic sākotnējo komersantu atbilstības novērtēšanu, kad komersants vēl nav iekļauts uzraudzības objektu reģistrā</w:t>
            </w:r>
            <w:r w:rsidR="00214CA0">
              <w:rPr>
                <w:rFonts w:ascii="Times New Roman" w:eastAsia="Calibri" w:hAnsi="Times New Roman" w:cs="Times New Roman"/>
                <w:color w:val="auto"/>
              </w:rPr>
              <w:t>,</w:t>
            </w:r>
            <w:r w:rsidR="004E1058">
              <w:rPr>
                <w:rFonts w:ascii="Times New Roman" w:eastAsia="Calibri" w:hAnsi="Times New Roman" w:cs="Times New Roman"/>
                <w:color w:val="auto"/>
              </w:rPr>
              <w:t xml:space="preserve"> un tieši šajos gadījumos ir vislielākie sarežģījumi ar termiņu atlikšanu.  </w:t>
            </w:r>
            <w:r w:rsidR="00F00726">
              <w:rPr>
                <w:rFonts w:ascii="Times New Roman" w:eastAsia="Calibri" w:hAnsi="Times New Roman" w:cs="Times New Roman"/>
                <w:color w:val="auto"/>
              </w:rPr>
              <w:t>No</w:t>
            </w:r>
            <w:r w:rsidR="00214CA0">
              <w:rPr>
                <w:rFonts w:ascii="Times New Roman" w:eastAsia="Calibri" w:hAnsi="Times New Roman" w:cs="Times New Roman"/>
                <w:color w:val="auto"/>
              </w:rPr>
              <w:t>šķir</w:t>
            </w:r>
            <w:r w:rsidR="00F00726">
              <w:rPr>
                <w:rFonts w:ascii="Times New Roman" w:eastAsia="Calibri" w:hAnsi="Times New Roman" w:cs="Times New Roman"/>
                <w:color w:val="auto"/>
              </w:rPr>
              <w:t>ot atbilstības novērtēšanu no licences izsniegšanas procedūras</w:t>
            </w:r>
            <w:r w:rsidR="00214CA0">
              <w:rPr>
                <w:rFonts w:ascii="Times New Roman" w:eastAsia="Calibri" w:hAnsi="Times New Roman" w:cs="Times New Roman"/>
                <w:color w:val="auto"/>
              </w:rPr>
              <w:t>,</w:t>
            </w:r>
            <w:r w:rsidR="00F00726">
              <w:rPr>
                <w:rFonts w:ascii="Times New Roman" w:eastAsia="Calibri" w:hAnsi="Times New Roman" w:cs="Times New Roman"/>
                <w:color w:val="auto"/>
              </w:rPr>
              <w:t xml:space="preserve"> ir </w:t>
            </w:r>
            <w:r w:rsidR="00214CA0">
              <w:rPr>
                <w:rFonts w:ascii="Times New Roman" w:eastAsia="Calibri" w:hAnsi="Times New Roman" w:cs="Times New Roman"/>
                <w:color w:val="auto"/>
              </w:rPr>
              <w:t xml:space="preserve">izdarīti </w:t>
            </w:r>
            <w:r w:rsidR="00F00726">
              <w:rPr>
                <w:rFonts w:ascii="Times New Roman" w:eastAsia="Calibri" w:hAnsi="Times New Roman" w:cs="Times New Roman"/>
                <w:color w:val="auto"/>
              </w:rPr>
              <w:t>tehnisk</w:t>
            </w:r>
            <w:r w:rsidR="00214CA0">
              <w:rPr>
                <w:rFonts w:ascii="Times New Roman" w:eastAsia="Calibri" w:hAnsi="Times New Roman" w:cs="Times New Roman"/>
                <w:color w:val="auto"/>
              </w:rPr>
              <w:t>i</w:t>
            </w:r>
            <w:r w:rsidR="00F00726">
              <w:rPr>
                <w:rFonts w:ascii="Times New Roman" w:eastAsia="Calibri" w:hAnsi="Times New Roman" w:cs="Times New Roman"/>
                <w:color w:val="auto"/>
              </w:rPr>
              <w:t xml:space="preserve"> </w:t>
            </w:r>
            <w:r w:rsidR="00214CA0">
              <w:rPr>
                <w:rFonts w:ascii="Times New Roman" w:eastAsia="Calibri" w:hAnsi="Times New Roman" w:cs="Times New Roman"/>
                <w:color w:val="auto"/>
              </w:rPr>
              <w:t xml:space="preserve">grozījumi </w:t>
            </w:r>
            <w:r w:rsidR="00F00726">
              <w:rPr>
                <w:rFonts w:ascii="Times New Roman" w:eastAsia="Calibri" w:hAnsi="Times New Roman" w:cs="Times New Roman"/>
                <w:color w:val="auto"/>
              </w:rPr>
              <w:t>noteikumu Nr.35 1</w:t>
            </w:r>
            <w:r w:rsidR="00214CA0">
              <w:rPr>
                <w:rFonts w:ascii="Times New Roman" w:eastAsia="Calibri" w:hAnsi="Times New Roman" w:cs="Times New Roman"/>
                <w:color w:val="auto"/>
              </w:rPr>
              <w:t>.</w:t>
            </w:r>
            <w:r w:rsidR="00F00726">
              <w:rPr>
                <w:rFonts w:ascii="Times New Roman" w:eastAsia="Calibri" w:hAnsi="Times New Roman" w:cs="Times New Roman"/>
                <w:color w:val="auto"/>
              </w:rPr>
              <w:t xml:space="preserve">, </w:t>
            </w:r>
            <w:r w:rsidR="00B453A7">
              <w:rPr>
                <w:rFonts w:ascii="Times New Roman" w:eastAsia="Calibri" w:hAnsi="Times New Roman" w:cs="Times New Roman"/>
                <w:color w:val="auto"/>
              </w:rPr>
              <w:t>5</w:t>
            </w:r>
            <w:r w:rsidR="00214CA0">
              <w:rPr>
                <w:rFonts w:ascii="Times New Roman" w:eastAsia="Calibri" w:hAnsi="Times New Roman" w:cs="Times New Roman"/>
                <w:color w:val="auto"/>
              </w:rPr>
              <w:t>.</w:t>
            </w:r>
            <w:r w:rsidR="00B453A7">
              <w:rPr>
                <w:rFonts w:ascii="Times New Roman" w:eastAsia="Calibri" w:hAnsi="Times New Roman" w:cs="Times New Roman"/>
                <w:color w:val="auto"/>
              </w:rPr>
              <w:t>, 7</w:t>
            </w:r>
            <w:r w:rsidR="00214CA0">
              <w:rPr>
                <w:rFonts w:ascii="Times New Roman" w:eastAsia="Calibri" w:hAnsi="Times New Roman" w:cs="Times New Roman"/>
                <w:color w:val="auto"/>
              </w:rPr>
              <w:t>. un</w:t>
            </w:r>
            <w:r w:rsidR="00B453A7">
              <w:rPr>
                <w:rFonts w:ascii="Times New Roman" w:eastAsia="Calibri" w:hAnsi="Times New Roman" w:cs="Times New Roman"/>
                <w:color w:val="auto"/>
              </w:rPr>
              <w:t xml:space="preserve"> 9</w:t>
            </w:r>
            <w:r w:rsidR="00214CA0">
              <w:rPr>
                <w:rFonts w:ascii="Times New Roman" w:eastAsia="Calibri" w:hAnsi="Times New Roman" w:cs="Times New Roman"/>
                <w:color w:val="auto"/>
              </w:rPr>
              <w:t>. pielikumā</w:t>
            </w:r>
            <w:r w:rsidR="00B453A7">
              <w:rPr>
                <w:rFonts w:ascii="Times New Roman" w:eastAsia="Calibri" w:hAnsi="Times New Roman" w:cs="Times New Roman"/>
                <w:color w:val="auto"/>
              </w:rPr>
              <w:t xml:space="preserve">, </w:t>
            </w:r>
            <w:r w:rsidR="00214CA0">
              <w:rPr>
                <w:rFonts w:ascii="Times New Roman" w:eastAsia="Calibri" w:hAnsi="Times New Roman" w:cs="Times New Roman"/>
                <w:color w:val="auto"/>
              </w:rPr>
              <w:t>turklāt</w:t>
            </w:r>
            <w:r w:rsidR="00B453A7">
              <w:rPr>
                <w:rFonts w:ascii="Times New Roman" w:eastAsia="Calibri" w:hAnsi="Times New Roman" w:cs="Times New Roman"/>
                <w:color w:val="auto"/>
              </w:rPr>
              <w:t xml:space="preserve"> noteikumu projekts paredz papildināt noteikumus Nr.35 ar jauniem pielikumiem </w:t>
            </w:r>
            <w:r w:rsidR="00214CA0">
              <w:rPr>
                <w:rFonts w:ascii="Times New Roman" w:eastAsia="Calibri" w:hAnsi="Times New Roman" w:cs="Times New Roman"/>
                <w:color w:val="auto"/>
              </w:rPr>
              <w:t xml:space="preserve">– </w:t>
            </w:r>
            <w:r w:rsidR="00B453A7">
              <w:rPr>
                <w:rFonts w:ascii="Times New Roman" w:eastAsia="Calibri" w:hAnsi="Times New Roman" w:cs="Times New Roman"/>
                <w:color w:val="auto"/>
              </w:rPr>
              <w:t>11</w:t>
            </w:r>
            <w:r w:rsidR="00214CA0">
              <w:rPr>
                <w:rFonts w:ascii="Times New Roman" w:eastAsia="Calibri" w:hAnsi="Times New Roman" w:cs="Times New Roman"/>
                <w:color w:val="auto"/>
              </w:rPr>
              <w:t>.</w:t>
            </w:r>
            <w:r w:rsidR="00B453A7">
              <w:rPr>
                <w:rFonts w:ascii="Times New Roman" w:eastAsia="Calibri" w:hAnsi="Times New Roman" w:cs="Times New Roman"/>
                <w:color w:val="auto"/>
              </w:rPr>
              <w:t xml:space="preserve"> un 12.</w:t>
            </w:r>
          </w:p>
          <w:p w14:paraId="35392CE1" w14:textId="1914F039" w:rsidR="005E78AD" w:rsidRDefault="00F41C90" w:rsidP="005E78AD">
            <w:pPr>
              <w:pStyle w:val="Default"/>
              <w:ind w:right="141"/>
              <w:jc w:val="both"/>
              <w:rPr>
                <w:rFonts w:ascii="Times New Roman" w:eastAsia="Calibri" w:hAnsi="Times New Roman" w:cs="Times New Roman"/>
                <w:color w:val="auto"/>
              </w:rPr>
            </w:pPr>
            <w:r>
              <w:rPr>
                <w:rFonts w:ascii="Times New Roman" w:eastAsia="Calibri" w:hAnsi="Times New Roman" w:cs="Times New Roman"/>
                <w:color w:val="auto"/>
              </w:rPr>
              <w:t xml:space="preserve">4. </w:t>
            </w:r>
            <w:r w:rsidR="00F01AC0" w:rsidRPr="00F01AC0">
              <w:rPr>
                <w:rFonts w:ascii="Times New Roman" w:eastAsia="Calibri" w:hAnsi="Times New Roman" w:cs="Times New Roman"/>
                <w:color w:val="auto"/>
              </w:rPr>
              <w:t xml:space="preserve">Lai nodrošinātu skaidru un nepārprotamu </w:t>
            </w:r>
            <w:r w:rsidR="00176BBC">
              <w:rPr>
                <w:rFonts w:ascii="Times New Roman" w:eastAsia="Calibri" w:hAnsi="Times New Roman" w:cs="Times New Roman"/>
                <w:color w:val="auto"/>
              </w:rPr>
              <w:t xml:space="preserve">normatīvā akta uztveri, </w:t>
            </w:r>
            <w:r w:rsidR="00F01AC0">
              <w:rPr>
                <w:rFonts w:ascii="Times New Roman" w:eastAsia="Calibri" w:hAnsi="Times New Roman" w:cs="Times New Roman"/>
                <w:color w:val="auto"/>
              </w:rPr>
              <w:t xml:space="preserve">noteikumos Nr.35 </w:t>
            </w:r>
            <w:r w:rsidR="00F05465">
              <w:rPr>
                <w:rFonts w:ascii="Times New Roman" w:eastAsia="Calibri" w:hAnsi="Times New Roman" w:cs="Times New Roman"/>
                <w:color w:val="auto"/>
              </w:rPr>
              <w:t>jā</w:t>
            </w:r>
            <w:r w:rsidR="00F01AC0">
              <w:rPr>
                <w:rFonts w:ascii="Times New Roman" w:eastAsia="Calibri" w:hAnsi="Times New Roman" w:cs="Times New Roman"/>
                <w:color w:val="auto"/>
              </w:rPr>
              <w:t>iekļau</w:t>
            </w:r>
            <w:r w:rsidR="00F05465">
              <w:rPr>
                <w:rFonts w:ascii="Times New Roman" w:eastAsia="Calibri" w:hAnsi="Times New Roman" w:cs="Times New Roman"/>
                <w:color w:val="auto"/>
              </w:rPr>
              <w:t>j</w:t>
            </w:r>
            <w:r w:rsidR="005E78AD" w:rsidRPr="003A0B0B">
              <w:rPr>
                <w:rFonts w:ascii="Times New Roman" w:eastAsia="Calibri" w:hAnsi="Times New Roman" w:cs="Times New Roman"/>
                <w:color w:val="auto"/>
              </w:rPr>
              <w:t xml:space="preserve"> skaidrojum</w:t>
            </w:r>
            <w:r w:rsidR="00F05465">
              <w:rPr>
                <w:rFonts w:ascii="Times New Roman" w:eastAsia="Calibri" w:hAnsi="Times New Roman" w:cs="Times New Roman"/>
                <w:color w:val="auto"/>
              </w:rPr>
              <w:t>s</w:t>
            </w:r>
            <w:r w:rsidR="005E78AD" w:rsidRPr="003A0B0B">
              <w:rPr>
                <w:rFonts w:ascii="Times New Roman" w:eastAsia="Calibri" w:hAnsi="Times New Roman" w:cs="Times New Roman"/>
                <w:color w:val="auto"/>
              </w:rPr>
              <w:t xml:space="preserve">, kuros gadījumos ir maksājama valsts nodeva, kas noteikta Ministru kabineta </w:t>
            </w:r>
            <w:proofErr w:type="gramStart"/>
            <w:r w:rsidR="005E78AD" w:rsidRPr="003A0B0B">
              <w:rPr>
                <w:rFonts w:ascii="Times New Roman" w:eastAsia="Calibri" w:hAnsi="Times New Roman" w:cs="Times New Roman"/>
                <w:color w:val="auto"/>
              </w:rPr>
              <w:t>2007.gada</w:t>
            </w:r>
            <w:proofErr w:type="gramEnd"/>
            <w:r w:rsidR="005E78AD" w:rsidRPr="003A0B0B">
              <w:rPr>
                <w:rFonts w:ascii="Times New Roman" w:eastAsia="Calibri" w:hAnsi="Times New Roman" w:cs="Times New Roman"/>
                <w:color w:val="auto"/>
              </w:rPr>
              <w:t xml:space="preserve"> 23.oktobra noteikumos Nr.716 “Noteikumi par valsts nodevu par speciālās atļaujas (licences) izsniegšanu veterinārfarmaceitiskajai darbībai”</w:t>
            </w:r>
            <w:r w:rsidR="00214CA0">
              <w:rPr>
                <w:rFonts w:ascii="Times New Roman" w:eastAsia="Calibri" w:hAnsi="Times New Roman" w:cs="Times New Roman"/>
                <w:color w:val="auto"/>
              </w:rPr>
              <w:t>,</w:t>
            </w:r>
            <w:r w:rsidR="005E78AD" w:rsidRPr="003A0B0B">
              <w:rPr>
                <w:rFonts w:ascii="Times New Roman" w:eastAsia="Calibri" w:hAnsi="Times New Roman" w:cs="Times New Roman"/>
                <w:color w:val="auto"/>
              </w:rPr>
              <w:t xml:space="preserve"> un kuros gadījumos ir maksājama maksa atbilstoši Ministru kabineta 2013.gada 10.oktobra noteikumiem Nr.1083 “Kārtība, kādā veicama samaksa par Pārtikas un veterinārā dienesta valsts uzraudzības un kontroles darbībām un maksas pakalpojumiem”</w:t>
            </w:r>
            <w:r w:rsidR="00EF3E32" w:rsidRPr="003A0B0B">
              <w:rPr>
                <w:rFonts w:ascii="Times New Roman" w:eastAsia="Calibri" w:hAnsi="Times New Roman" w:cs="Times New Roman"/>
                <w:color w:val="auto"/>
              </w:rPr>
              <w:t>.</w:t>
            </w:r>
          </w:p>
          <w:p w14:paraId="41A72A92" w14:textId="18507757" w:rsidR="002659C7" w:rsidRDefault="004E2384" w:rsidP="00176BBC">
            <w:pPr>
              <w:pStyle w:val="Default"/>
              <w:ind w:right="141"/>
              <w:jc w:val="both"/>
              <w:rPr>
                <w:rFonts w:ascii="Times New Roman" w:eastAsia="Times New Roman" w:hAnsi="Times New Roman" w:cs="Times New Roman"/>
                <w:color w:val="auto"/>
                <w:lang w:eastAsia="lv-LV"/>
              </w:rPr>
            </w:pPr>
            <w:r>
              <w:rPr>
                <w:rFonts w:ascii="Times New Roman" w:eastAsia="Times New Roman" w:hAnsi="Times New Roman" w:cs="Times New Roman"/>
                <w:color w:val="auto"/>
                <w:lang w:eastAsia="lv-LV"/>
              </w:rPr>
              <w:t>5</w:t>
            </w:r>
            <w:r w:rsidR="00F41C90">
              <w:rPr>
                <w:rFonts w:ascii="Times New Roman" w:eastAsia="Times New Roman" w:hAnsi="Times New Roman" w:cs="Times New Roman"/>
                <w:color w:val="auto"/>
                <w:lang w:eastAsia="lv-LV"/>
              </w:rPr>
              <w:t xml:space="preserve">. </w:t>
            </w:r>
            <w:r w:rsidR="002659C7">
              <w:rPr>
                <w:rFonts w:ascii="Times New Roman" w:eastAsia="Times New Roman" w:hAnsi="Times New Roman" w:cs="Times New Roman"/>
                <w:color w:val="auto"/>
                <w:lang w:eastAsia="lv-LV"/>
              </w:rPr>
              <w:t>V</w:t>
            </w:r>
            <w:r w:rsidR="002659C7" w:rsidRPr="00B5509F">
              <w:rPr>
                <w:rFonts w:ascii="Times New Roman" w:eastAsia="Times New Roman" w:hAnsi="Times New Roman" w:cs="Times New Roman"/>
                <w:color w:val="auto"/>
                <w:lang w:eastAsia="lv-LV"/>
              </w:rPr>
              <w:t>isā Eiropas Savienībā ir vienot</w:t>
            </w:r>
            <w:r w:rsidR="002659C7">
              <w:rPr>
                <w:rFonts w:ascii="Times New Roman" w:eastAsia="Times New Roman" w:hAnsi="Times New Roman" w:cs="Times New Roman"/>
                <w:color w:val="auto"/>
                <w:lang w:eastAsia="lv-LV"/>
              </w:rPr>
              <w:t>i pieteikumi veterināro zāļu ražotājiem, lai novērtētu to atbilstību prasībām, kas noteiktas normatīvajos aktos par veterinārajām zālēm.</w:t>
            </w:r>
            <w:r w:rsidR="002659C7" w:rsidRPr="00B5509F">
              <w:rPr>
                <w:rFonts w:ascii="Times New Roman" w:eastAsia="Times New Roman" w:hAnsi="Times New Roman" w:cs="Times New Roman"/>
                <w:color w:val="auto"/>
                <w:lang w:eastAsia="lv-LV"/>
              </w:rPr>
              <w:t xml:space="preserve"> </w:t>
            </w:r>
            <w:r w:rsidR="002659C7">
              <w:rPr>
                <w:rFonts w:ascii="Times New Roman" w:eastAsia="Times New Roman" w:hAnsi="Times New Roman" w:cs="Times New Roman"/>
                <w:color w:val="auto"/>
                <w:lang w:eastAsia="lv-LV"/>
              </w:rPr>
              <w:t>P</w:t>
            </w:r>
            <w:r w:rsidR="002659C7" w:rsidRPr="00B5509F">
              <w:rPr>
                <w:rFonts w:ascii="Times New Roman" w:eastAsia="Times New Roman" w:hAnsi="Times New Roman" w:cs="Times New Roman"/>
                <w:color w:val="auto"/>
                <w:lang w:eastAsia="lv-LV"/>
              </w:rPr>
              <w:t xml:space="preserve">araugs ir </w:t>
            </w:r>
            <w:r w:rsidR="002659C7">
              <w:rPr>
                <w:rFonts w:ascii="Times New Roman" w:eastAsia="Times New Roman" w:hAnsi="Times New Roman" w:cs="Times New Roman"/>
                <w:color w:val="auto"/>
                <w:lang w:eastAsia="lv-LV"/>
              </w:rPr>
              <w:t>noteikts</w:t>
            </w:r>
            <w:r w:rsidR="002659C7" w:rsidRPr="00B5509F">
              <w:rPr>
                <w:rFonts w:ascii="Times New Roman" w:eastAsia="Times New Roman" w:hAnsi="Times New Roman" w:cs="Times New Roman"/>
                <w:color w:val="auto"/>
                <w:lang w:eastAsia="lv-LV"/>
              </w:rPr>
              <w:t xml:space="preserve"> Eiropas Zāļu aģentūras Kopienas inspekciju un inspekciju apmaiņas procedūrās, kas tiek regulāri aktualizētas, ņemot vērā Farmācijas likuma 25.</w:t>
            </w:r>
            <w:r w:rsidR="002659C7" w:rsidRPr="00F87BF3">
              <w:rPr>
                <w:rFonts w:ascii="Times New Roman" w:eastAsia="Times New Roman" w:hAnsi="Times New Roman" w:cs="Times New Roman"/>
                <w:color w:val="auto"/>
                <w:vertAlign w:val="superscript"/>
                <w:lang w:eastAsia="lv-LV"/>
              </w:rPr>
              <w:t>2</w:t>
            </w:r>
            <w:r w:rsidR="002659C7" w:rsidRPr="00B5509F">
              <w:rPr>
                <w:rFonts w:ascii="Times New Roman" w:eastAsia="Times New Roman" w:hAnsi="Times New Roman" w:cs="Times New Roman"/>
                <w:color w:val="auto"/>
                <w:lang w:eastAsia="lv-LV"/>
              </w:rPr>
              <w:t xml:space="preserve"> pantā minētos Eiropas Komisijas ieteikumus (vadlīnijas).</w:t>
            </w:r>
            <w:r w:rsidR="002659C7">
              <w:rPr>
                <w:rFonts w:ascii="Times New Roman" w:eastAsia="Times New Roman" w:hAnsi="Times New Roman" w:cs="Times New Roman"/>
                <w:color w:val="auto"/>
                <w:lang w:eastAsia="lv-LV"/>
              </w:rPr>
              <w:t xml:space="preserve"> </w:t>
            </w:r>
            <w:r w:rsidR="00214CA0">
              <w:rPr>
                <w:rFonts w:ascii="Times New Roman" w:eastAsia="Times New Roman" w:hAnsi="Times New Roman" w:cs="Times New Roman"/>
                <w:color w:val="auto"/>
                <w:lang w:eastAsia="lv-LV"/>
              </w:rPr>
              <w:t>Tā kā</w:t>
            </w:r>
            <w:r w:rsidR="002659C7">
              <w:rPr>
                <w:rFonts w:ascii="Times New Roman" w:eastAsia="Times New Roman" w:hAnsi="Times New Roman" w:cs="Times New Roman"/>
                <w:color w:val="auto"/>
                <w:lang w:eastAsia="lv-LV"/>
              </w:rPr>
              <w:t xml:space="preserve"> Eiropas </w:t>
            </w:r>
            <w:r w:rsidR="002659C7" w:rsidRPr="00B5509F">
              <w:rPr>
                <w:rFonts w:ascii="Times New Roman" w:eastAsia="Times New Roman" w:hAnsi="Times New Roman" w:cs="Times New Roman"/>
                <w:color w:val="auto"/>
                <w:lang w:eastAsia="lv-LV"/>
              </w:rPr>
              <w:t>Zāļu aģentūra</w:t>
            </w:r>
            <w:r w:rsidR="002659C7">
              <w:rPr>
                <w:rFonts w:ascii="Times New Roman" w:eastAsia="Times New Roman" w:hAnsi="Times New Roman" w:cs="Times New Roman"/>
                <w:color w:val="auto"/>
                <w:lang w:eastAsia="lv-LV"/>
              </w:rPr>
              <w:t xml:space="preserve"> ir </w:t>
            </w:r>
            <w:r w:rsidR="00214CA0">
              <w:rPr>
                <w:rFonts w:ascii="Times New Roman" w:eastAsia="Times New Roman" w:hAnsi="Times New Roman" w:cs="Times New Roman"/>
                <w:color w:val="auto"/>
                <w:lang w:eastAsia="lv-LV"/>
              </w:rPr>
              <w:t>izdarīj</w:t>
            </w:r>
            <w:r w:rsidR="002659C7">
              <w:rPr>
                <w:rFonts w:ascii="Times New Roman" w:eastAsia="Times New Roman" w:hAnsi="Times New Roman" w:cs="Times New Roman"/>
                <w:color w:val="auto"/>
                <w:lang w:eastAsia="lv-LV"/>
              </w:rPr>
              <w:t>usi izmaiņas paraugos, noteikumu Nr.35 1.</w:t>
            </w:r>
            <w:r w:rsidR="00214CA0">
              <w:rPr>
                <w:rFonts w:ascii="Times New Roman" w:eastAsia="Times New Roman" w:hAnsi="Times New Roman" w:cs="Times New Roman"/>
                <w:color w:val="auto"/>
                <w:lang w:eastAsia="lv-LV"/>
              </w:rPr>
              <w:t xml:space="preserve"> </w:t>
            </w:r>
            <w:r w:rsidR="002659C7">
              <w:rPr>
                <w:rFonts w:ascii="Times New Roman" w:eastAsia="Times New Roman" w:hAnsi="Times New Roman" w:cs="Times New Roman"/>
                <w:color w:val="auto"/>
                <w:lang w:eastAsia="lv-LV"/>
              </w:rPr>
              <w:t xml:space="preserve">pielikumā jāiekļauj parauga aktuālā versija </w:t>
            </w:r>
            <w:r w:rsidR="002659C7" w:rsidRPr="00B5509F">
              <w:rPr>
                <w:rFonts w:ascii="Times New Roman" w:eastAsia="Times New Roman" w:hAnsi="Times New Roman" w:cs="Times New Roman"/>
                <w:color w:val="auto"/>
                <w:lang w:eastAsia="lv-LV"/>
              </w:rPr>
              <w:t>(EMA/385898/REV17)</w:t>
            </w:r>
            <w:r w:rsidR="002659C7">
              <w:rPr>
                <w:rFonts w:ascii="Times New Roman" w:eastAsia="Times New Roman" w:hAnsi="Times New Roman" w:cs="Times New Roman"/>
                <w:color w:val="auto"/>
                <w:lang w:eastAsia="lv-LV"/>
              </w:rPr>
              <w:t>.</w:t>
            </w:r>
          </w:p>
          <w:p w14:paraId="7CA8AEDE" w14:textId="1529BFEE" w:rsidR="00F00726" w:rsidRPr="00083310" w:rsidRDefault="004E2384" w:rsidP="00176BBC">
            <w:pPr>
              <w:pStyle w:val="Default"/>
              <w:ind w:right="141"/>
              <w:jc w:val="both"/>
              <w:rPr>
                <w:rFonts w:ascii="Times New Roman" w:eastAsia="Calibri" w:hAnsi="Times New Roman" w:cs="Times New Roman"/>
                <w:color w:val="auto"/>
              </w:rPr>
            </w:pPr>
            <w:r>
              <w:rPr>
                <w:rFonts w:ascii="Times New Roman" w:hAnsi="Times New Roman" w:cs="Times New Roman"/>
              </w:rPr>
              <w:t>6</w:t>
            </w:r>
            <w:r w:rsidR="002659C7">
              <w:rPr>
                <w:rFonts w:ascii="Times New Roman" w:hAnsi="Times New Roman" w:cs="Times New Roman"/>
              </w:rPr>
              <w:t xml:space="preserve">. </w:t>
            </w:r>
            <w:r w:rsidR="006A415E">
              <w:rPr>
                <w:rFonts w:ascii="Times New Roman" w:hAnsi="Times New Roman" w:cs="Times New Roman"/>
              </w:rPr>
              <w:t>Noteikumos Nr.35 jāizdara</w:t>
            </w:r>
            <w:r w:rsidR="00083310" w:rsidRPr="00083310">
              <w:rPr>
                <w:rFonts w:ascii="Times New Roman" w:hAnsi="Times New Roman" w:cs="Times New Roman"/>
              </w:rPr>
              <w:t xml:space="preserve"> redakcionāla rakstura grozījumi, i</w:t>
            </w:r>
            <w:r w:rsidR="006A415E">
              <w:rPr>
                <w:rFonts w:ascii="Times New Roman" w:hAnsi="Times New Roman" w:cs="Times New Roman"/>
              </w:rPr>
              <w:t>zpildot Ministru kabineta 2018. </w:t>
            </w:r>
            <w:r w:rsidR="00083310" w:rsidRPr="00083310">
              <w:rPr>
                <w:rFonts w:ascii="Times New Roman" w:hAnsi="Times New Roman" w:cs="Times New Roman"/>
              </w:rPr>
              <w:t>gada 20.</w:t>
            </w:r>
            <w:r w:rsidR="006A415E">
              <w:rPr>
                <w:rFonts w:ascii="Times New Roman" w:hAnsi="Times New Roman" w:cs="Times New Roman"/>
              </w:rPr>
              <w:t> </w:t>
            </w:r>
            <w:r w:rsidR="00083310" w:rsidRPr="00083310">
              <w:rPr>
                <w:rFonts w:ascii="Times New Roman" w:hAnsi="Times New Roman" w:cs="Times New Roman"/>
              </w:rPr>
              <w:t>marta sēdes</w:t>
            </w:r>
            <w:r w:rsidR="006A415E">
              <w:rPr>
                <w:rFonts w:ascii="Times New Roman" w:hAnsi="Times New Roman" w:cs="Times New Roman"/>
              </w:rPr>
              <w:t xml:space="preserve"> protokollēmuma “Likumprojekts “</w:t>
            </w:r>
            <w:r w:rsidR="00083310" w:rsidRPr="00083310">
              <w:rPr>
                <w:rFonts w:ascii="Times New Roman" w:hAnsi="Times New Roman" w:cs="Times New Roman"/>
              </w:rPr>
              <w:t>Grozījumi Oficiāl</w:t>
            </w:r>
            <w:r w:rsidR="006A415E">
              <w:rPr>
                <w:rFonts w:ascii="Times New Roman" w:hAnsi="Times New Roman" w:cs="Times New Roman"/>
              </w:rPr>
              <w:t>ās elektroniskās adreses likumā”</w:t>
            </w:r>
            <w:r w:rsidR="00083310" w:rsidRPr="00083310">
              <w:rPr>
                <w:rFonts w:ascii="Times New Roman" w:hAnsi="Times New Roman" w:cs="Times New Roman"/>
              </w:rPr>
              <w:t xml:space="preserve">” (Nr.16 26.§) 4.punktā noteikto. </w:t>
            </w:r>
            <w:r w:rsidR="006A415E">
              <w:rPr>
                <w:rFonts w:ascii="Times New Roman" w:hAnsi="Times New Roman" w:cs="Times New Roman"/>
              </w:rPr>
              <w:t>Ņem</w:t>
            </w:r>
            <w:r w:rsidR="00083310" w:rsidRPr="00083310">
              <w:rPr>
                <w:rFonts w:ascii="Times New Roman" w:hAnsi="Times New Roman" w:cs="Times New Roman"/>
              </w:rPr>
              <w:t>t</w:t>
            </w:r>
            <w:r w:rsidR="006A415E">
              <w:rPr>
                <w:rFonts w:ascii="Times New Roman" w:hAnsi="Times New Roman" w:cs="Times New Roman"/>
              </w:rPr>
              <w:t>s vērā nosacījums</w:t>
            </w:r>
            <w:r w:rsidR="00083310" w:rsidRPr="00083310">
              <w:rPr>
                <w:rFonts w:ascii="Times New Roman" w:hAnsi="Times New Roman" w:cs="Times New Roman"/>
              </w:rPr>
              <w:t xml:space="preserve">, ka saziņa ar privātpersonu </w:t>
            </w:r>
            <w:r w:rsidR="00214CA0">
              <w:rPr>
                <w:rFonts w:ascii="Times New Roman" w:hAnsi="Times New Roman" w:cs="Times New Roman"/>
              </w:rPr>
              <w:t>no</w:t>
            </w:r>
            <w:r w:rsidR="00083310" w:rsidRPr="00083310">
              <w:rPr>
                <w:rFonts w:ascii="Times New Roman" w:hAnsi="Times New Roman" w:cs="Times New Roman"/>
              </w:rPr>
              <w:t>tiek</w:t>
            </w:r>
            <w:r w:rsidR="002E5584">
              <w:rPr>
                <w:rFonts w:ascii="Times New Roman" w:hAnsi="Times New Roman" w:cs="Times New Roman"/>
              </w:rPr>
              <w:t>,</w:t>
            </w:r>
            <w:r w:rsidR="00D556E0">
              <w:rPr>
                <w:rFonts w:ascii="Times New Roman" w:hAnsi="Times New Roman" w:cs="Times New Roman"/>
              </w:rPr>
              <w:t xml:space="preserve"> izmantojot oficiālās</w:t>
            </w:r>
            <w:r w:rsidR="00083310" w:rsidRPr="00083310">
              <w:rPr>
                <w:rFonts w:ascii="Times New Roman" w:hAnsi="Times New Roman" w:cs="Times New Roman"/>
              </w:rPr>
              <w:t xml:space="preserve"> elektroniskās adreses kontu, ja tāds ir aktivizēts</w:t>
            </w:r>
            <w:r w:rsidR="00214CA0">
              <w:rPr>
                <w:rFonts w:ascii="Times New Roman" w:hAnsi="Times New Roman" w:cs="Times New Roman"/>
              </w:rPr>
              <w:t>, bet, j</w:t>
            </w:r>
            <w:r w:rsidR="00083310" w:rsidRPr="00083310">
              <w:rPr>
                <w:rFonts w:ascii="Times New Roman" w:hAnsi="Times New Roman" w:cs="Times New Roman"/>
              </w:rPr>
              <w:t xml:space="preserve">a nav, tad saziņa </w:t>
            </w:r>
            <w:r w:rsidR="00214CA0">
              <w:rPr>
                <w:rFonts w:ascii="Times New Roman" w:hAnsi="Times New Roman" w:cs="Times New Roman"/>
              </w:rPr>
              <w:t>no</w:t>
            </w:r>
            <w:r w:rsidR="00083310" w:rsidRPr="00083310">
              <w:rPr>
                <w:rFonts w:ascii="Times New Roman" w:hAnsi="Times New Roman" w:cs="Times New Roman"/>
              </w:rPr>
              <w:t>tiek</w:t>
            </w:r>
            <w:r w:rsidR="002E5584">
              <w:rPr>
                <w:rFonts w:ascii="Times New Roman" w:hAnsi="Times New Roman" w:cs="Times New Roman"/>
              </w:rPr>
              <w:t>, izmantojot</w:t>
            </w:r>
            <w:r w:rsidR="00083310" w:rsidRPr="00083310">
              <w:rPr>
                <w:rFonts w:ascii="Times New Roman" w:hAnsi="Times New Roman" w:cs="Times New Roman"/>
              </w:rPr>
              <w:t xml:space="preserve"> </w:t>
            </w:r>
            <w:r w:rsidR="00D87B27">
              <w:rPr>
                <w:rFonts w:ascii="Times New Roman" w:hAnsi="Times New Roman" w:cs="Times New Roman"/>
              </w:rPr>
              <w:t>iesniegumā norādīto elektroniskā</w:t>
            </w:r>
            <w:r w:rsidR="00083310" w:rsidRPr="00083310">
              <w:rPr>
                <w:rFonts w:ascii="Times New Roman" w:hAnsi="Times New Roman" w:cs="Times New Roman"/>
              </w:rPr>
              <w:t xml:space="preserve"> pasta adresi. Atbilstoši Oficiālās elektroniskās adreses likuma 12.</w:t>
            </w:r>
            <w:r w:rsidR="00D87B27">
              <w:rPr>
                <w:rFonts w:ascii="Times New Roman" w:hAnsi="Times New Roman" w:cs="Times New Roman"/>
              </w:rPr>
              <w:t> </w:t>
            </w:r>
            <w:r w:rsidR="00083310" w:rsidRPr="00083310">
              <w:rPr>
                <w:rFonts w:ascii="Times New Roman" w:hAnsi="Times New Roman" w:cs="Times New Roman"/>
              </w:rPr>
              <w:t>panta pirmajai daļai persona, kurai ir aktivizēts oficiālās elektroniskās adreses konts, var lūgt izmantot citu saziņas kanālu, to pamatojot, tādēļ noteikumu projektā paredzēts, ka persona kā saziņas līdzekli var norādīt elektroniskā pasta adresi.</w:t>
            </w:r>
            <w:r w:rsidR="00F00726">
              <w:rPr>
                <w:rFonts w:ascii="Times New Roman" w:hAnsi="Times New Roman" w:cs="Times New Roman"/>
              </w:rPr>
              <w:t xml:space="preserve"> Lai ieviestu </w:t>
            </w:r>
            <w:r w:rsidR="00214CA0">
              <w:rPr>
                <w:rFonts w:ascii="Times New Roman" w:hAnsi="Times New Roman" w:cs="Times New Roman"/>
              </w:rPr>
              <w:t>ar iepriekš</w:t>
            </w:r>
            <w:r w:rsidR="00F00726">
              <w:rPr>
                <w:rFonts w:ascii="Times New Roman" w:hAnsi="Times New Roman" w:cs="Times New Roman"/>
              </w:rPr>
              <w:t xml:space="preserve">minēto Ministru kabineta protokollēmumu </w:t>
            </w:r>
            <w:r w:rsidR="00214CA0">
              <w:rPr>
                <w:rFonts w:ascii="Times New Roman" w:hAnsi="Times New Roman" w:cs="Times New Roman"/>
              </w:rPr>
              <w:t xml:space="preserve">noteikto, </w:t>
            </w:r>
            <w:r w:rsidR="00F00726">
              <w:rPr>
                <w:rFonts w:ascii="Times New Roman" w:hAnsi="Times New Roman" w:cs="Times New Roman"/>
              </w:rPr>
              <w:t>t</w:t>
            </w:r>
            <w:r w:rsidR="00F00726">
              <w:rPr>
                <w:rFonts w:ascii="Times New Roman" w:eastAsia="Times New Roman" w:hAnsi="Times New Roman" w:cs="Times New Roman"/>
                <w:bCs/>
                <w:iCs/>
              </w:rPr>
              <w:t>ehnisk</w:t>
            </w:r>
            <w:r w:rsidR="00214CA0">
              <w:rPr>
                <w:rFonts w:ascii="Times New Roman" w:eastAsia="Times New Roman" w:hAnsi="Times New Roman" w:cs="Times New Roman"/>
                <w:bCs/>
                <w:iCs/>
              </w:rPr>
              <w:t>i grozīts</w:t>
            </w:r>
            <w:r w:rsidR="00F00726">
              <w:rPr>
                <w:rFonts w:ascii="Times New Roman" w:eastAsia="Times New Roman" w:hAnsi="Times New Roman" w:cs="Times New Roman"/>
                <w:bCs/>
                <w:iCs/>
              </w:rPr>
              <w:t xml:space="preserve"> noteikumu Nr.35 </w:t>
            </w:r>
            <w:r w:rsidR="00214CA0">
              <w:rPr>
                <w:rFonts w:ascii="Times New Roman" w:eastAsia="Calibri" w:hAnsi="Times New Roman" w:cs="Times New Roman"/>
                <w:color w:val="auto"/>
              </w:rPr>
              <w:t>1., 4., 5., 6. un 7. pielikum</w:t>
            </w:r>
            <w:r w:rsidR="00F00726">
              <w:rPr>
                <w:rFonts w:ascii="Times New Roman" w:eastAsia="Times New Roman" w:hAnsi="Times New Roman" w:cs="Times New Roman"/>
                <w:bCs/>
                <w:iCs/>
              </w:rPr>
              <w:t>s.</w:t>
            </w:r>
          </w:p>
          <w:p w14:paraId="4C785A7A" w14:textId="0C678A28" w:rsidR="009534B6" w:rsidRPr="003A0B0B" w:rsidRDefault="004E2384">
            <w:pPr>
              <w:pStyle w:val="Default"/>
              <w:ind w:right="141"/>
              <w:jc w:val="both"/>
              <w:rPr>
                <w:rFonts w:ascii="Times New Roman" w:eastAsia="Times New Roman" w:hAnsi="Times New Roman" w:cs="Times New Roman"/>
                <w:color w:val="auto"/>
                <w:lang w:eastAsia="lv-LV"/>
              </w:rPr>
            </w:pPr>
            <w:r>
              <w:rPr>
                <w:rFonts w:ascii="Times New Roman" w:eastAsia="Times New Roman" w:hAnsi="Times New Roman" w:cs="Times New Roman"/>
                <w:color w:val="auto"/>
                <w:lang w:eastAsia="lv-LV"/>
              </w:rPr>
              <w:t>7</w:t>
            </w:r>
            <w:r w:rsidR="00E952B3" w:rsidRPr="00DF1283">
              <w:rPr>
                <w:rFonts w:ascii="Times New Roman" w:eastAsia="Times New Roman" w:hAnsi="Times New Roman" w:cs="Times New Roman"/>
                <w:color w:val="auto"/>
                <w:lang w:eastAsia="lv-LV"/>
              </w:rPr>
              <w:t xml:space="preserve">. </w:t>
            </w:r>
            <w:r w:rsidR="00176BBC" w:rsidRPr="00DF1283">
              <w:rPr>
                <w:rFonts w:ascii="Times New Roman" w:eastAsia="Times New Roman" w:hAnsi="Times New Roman" w:cs="Times New Roman"/>
                <w:color w:val="auto"/>
                <w:lang w:eastAsia="lv-LV"/>
              </w:rPr>
              <w:t xml:space="preserve">Ministru kabineta </w:t>
            </w:r>
            <w:proofErr w:type="gramStart"/>
            <w:r w:rsidR="00176BBC" w:rsidRPr="00DF1283">
              <w:rPr>
                <w:rFonts w:ascii="Times New Roman" w:eastAsia="Times New Roman" w:hAnsi="Times New Roman" w:cs="Times New Roman"/>
                <w:color w:val="auto"/>
                <w:lang w:eastAsia="lv-LV"/>
              </w:rPr>
              <w:t>2017.gada</w:t>
            </w:r>
            <w:proofErr w:type="gramEnd"/>
            <w:r w:rsidR="00176BBC" w:rsidRPr="00DF1283">
              <w:rPr>
                <w:rFonts w:ascii="Times New Roman" w:eastAsia="Times New Roman" w:hAnsi="Times New Roman" w:cs="Times New Roman"/>
                <w:color w:val="auto"/>
                <w:lang w:eastAsia="lv-LV"/>
              </w:rPr>
              <w:t xml:space="preserve"> 15.marta rīkojuma Nr. 125 “Par Uzņēmējdarbības vides pilnveidošanas pasākumu plānu” 3.3.3.apakšpunktā ir noteikts, ka valsts un pašvaldību iestādēm ir jāatsakās no īpašuma tiesību apliecinošu dokumentu pieprasīšanas no uzņēmējiem un šī informācija ir jāiegūst pašai valsts vai pašvaldības iestādei no </w:t>
            </w:r>
            <w:r w:rsidR="00214CA0">
              <w:rPr>
                <w:rFonts w:ascii="Times New Roman" w:eastAsia="Times New Roman" w:hAnsi="Times New Roman" w:cs="Times New Roman"/>
                <w:color w:val="auto"/>
                <w:lang w:eastAsia="lv-LV"/>
              </w:rPr>
              <w:t>Z</w:t>
            </w:r>
            <w:r w:rsidR="00176BBC" w:rsidRPr="00DF1283">
              <w:rPr>
                <w:rFonts w:ascii="Times New Roman" w:eastAsia="Times New Roman" w:hAnsi="Times New Roman" w:cs="Times New Roman"/>
                <w:color w:val="auto"/>
                <w:lang w:eastAsia="lv-LV"/>
              </w:rPr>
              <w:t xml:space="preserve">emesgrāmatas informācijas sistēmas. </w:t>
            </w:r>
            <w:r w:rsidR="00373075" w:rsidRPr="00DF1283">
              <w:rPr>
                <w:rFonts w:ascii="Times New Roman" w:eastAsia="Times New Roman" w:hAnsi="Times New Roman" w:cs="Times New Roman"/>
                <w:color w:val="auto"/>
                <w:lang w:eastAsia="lv-LV"/>
              </w:rPr>
              <w:t>N</w:t>
            </w:r>
            <w:r w:rsidR="00176BBC" w:rsidRPr="00DF1283">
              <w:rPr>
                <w:rFonts w:ascii="Times New Roman" w:eastAsia="Times New Roman" w:hAnsi="Times New Roman" w:cs="Times New Roman"/>
                <w:color w:val="auto"/>
                <w:lang w:eastAsia="lv-LV"/>
              </w:rPr>
              <w:t>oteikum</w:t>
            </w:r>
            <w:r w:rsidR="002D4782" w:rsidRPr="00DF1283">
              <w:rPr>
                <w:rFonts w:ascii="Times New Roman" w:eastAsia="Times New Roman" w:hAnsi="Times New Roman" w:cs="Times New Roman"/>
                <w:color w:val="auto"/>
                <w:lang w:eastAsia="lv-LV"/>
              </w:rPr>
              <w:t>u</w:t>
            </w:r>
            <w:r w:rsidR="00176BBC" w:rsidRPr="00DF1283">
              <w:rPr>
                <w:rFonts w:ascii="Times New Roman" w:eastAsia="Times New Roman" w:hAnsi="Times New Roman" w:cs="Times New Roman"/>
                <w:color w:val="auto"/>
                <w:lang w:eastAsia="lv-LV"/>
              </w:rPr>
              <w:t xml:space="preserve"> Nr.35 </w:t>
            </w:r>
            <w:r w:rsidR="002D4782" w:rsidRPr="00DF1283">
              <w:rPr>
                <w:rFonts w:ascii="Times New Roman" w:eastAsia="Times New Roman" w:hAnsi="Times New Roman" w:cs="Times New Roman"/>
                <w:color w:val="auto"/>
                <w:lang w:eastAsia="lv-LV"/>
              </w:rPr>
              <w:t xml:space="preserve">5. pielikumā </w:t>
            </w:r>
            <w:r w:rsidR="00373075" w:rsidRPr="00DF1283">
              <w:rPr>
                <w:rFonts w:ascii="Times New Roman" w:eastAsia="Times New Roman" w:hAnsi="Times New Roman" w:cs="Times New Roman"/>
                <w:color w:val="auto"/>
                <w:lang w:eastAsia="lv-LV"/>
              </w:rPr>
              <w:t>noteikts, ka</w:t>
            </w:r>
            <w:r w:rsidR="00214CA0">
              <w:rPr>
                <w:rFonts w:ascii="Times New Roman" w:eastAsia="Times New Roman" w:hAnsi="Times New Roman" w:cs="Times New Roman"/>
                <w:color w:val="auto"/>
                <w:lang w:eastAsia="lv-LV"/>
              </w:rPr>
              <w:t>,</w:t>
            </w:r>
            <w:r w:rsidR="00373075" w:rsidRPr="00DF1283">
              <w:rPr>
                <w:rFonts w:ascii="Times New Roman" w:eastAsia="Times New Roman" w:hAnsi="Times New Roman" w:cs="Times New Roman"/>
                <w:color w:val="auto"/>
                <w:lang w:eastAsia="lv-LV"/>
              </w:rPr>
              <w:t xml:space="preserve"> iesniedzot i</w:t>
            </w:r>
            <w:r w:rsidR="00373075" w:rsidRPr="00DF1283">
              <w:rPr>
                <w:rFonts w:ascii="Times New Roman" w:hAnsi="Times New Roman" w:cs="Times New Roman"/>
                <w:bCs/>
                <w:color w:val="auto"/>
                <w:shd w:val="clear" w:color="auto" w:fill="FFFFFF"/>
              </w:rPr>
              <w:t>esniegumu speciālās atļaujas (licences) izsniegšanai vai pārreģistrēšanai veterināro zāļu lieltirgotavas atvēršanai (darbībai)</w:t>
            </w:r>
            <w:r w:rsidR="00277B48">
              <w:rPr>
                <w:rFonts w:ascii="Times New Roman" w:hAnsi="Times New Roman" w:cs="Times New Roman"/>
                <w:bCs/>
                <w:color w:val="auto"/>
                <w:shd w:val="clear" w:color="auto" w:fill="FFFFFF"/>
              </w:rPr>
              <w:t>,</w:t>
            </w:r>
            <w:r w:rsidR="002659C7" w:rsidRPr="00DF1283">
              <w:rPr>
                <w:rFonts w:ascii="Times New Roman" w:hAnsi="Times New Roman" w:cs="Times New Roman"/>
                <w:bCs/>
                <w:color w:val="auto"/>
                <w:shd w:val="clear" w:color="auto" w:fill="FFFFFF"/>
              </w:rPr>
              <w:t xml:space="preserve"> </w:t>
            </w:r>
            <w:r w:rsidR="00277B48" w:rsidRPr="00DF1283">
              <w:rPr>
                <w:rFonts w:ascii="Times New Roman" w:hAnsi="Times New Roman" w:cs="Times New Roman"/>
                <w:bCs/>
                <w:color w:val="auto"/>
                <w:shd w:val="clear" w:color="auto" w:fill="FFFFFF"/>
              </w:rPr>
              <w:t xml:space="preserve">jāiesniedz arī tāda dokumenta kopija, kas </w:t>
            </w:r>
            <w:r w:rsidR="00277B48" w:rsidRPr="00DF1283">
              <w:rPr>
                <w:rFonts w:ascii="Times New Roman" w:hAnsi="Times New Roman" w:cs="Times New Roman"/>
                <w:color w:val="auto"/>
                <w:shd w:val="clear" w:color="auto" w:fill="FFFFFF"/>
              </w:rPr>
              <w:t xml:space="preserve">apliecina iesniedzēja tiesības izmantot </w:t>
            </w:r>
            <w:r w:rsidR="00277B48" w:rsidRPr="00DF1283">
              <w:rPr>
                <w:rFonts w:ascii="Times New Roman" w:hAnsi="Times New Roman" w:cs="Times New Roman"/>
                <w:color w:val="auto"/>
                <w:shd w:val="clear" w:color="auto" w:fill="FFFFFF"/>
              </w:rPr>
              <w:lastRenderedPageBreak/>
              <w:t>telpas paredzētajai darbībai</w:t>
            </w:r>
            <w:r w:rsidR="00277B48">
              <w:rPr>
                <w:rFonts w:ascii="Times New Roman" w:eastAsia="Times New Roman" w:hAnsi="Times New Roman" w:cs="Times New Roman"/>
                <w:color w:val="auto"/>
                <w:lang w:eastAsia="lv-LV"/>
              </w:rPr>
              <w:t>,</w:t>
            </w:r>
            <w:r w:rsidR="00277B48" w:rsidRPr="00DF1283">
              <w:rPr>
                <w:rFonts w:ascii="Times New Roman" w:eastAsia="Times New Roman" w:hAnsi="Times New Roman" w:cs="Times New Roman"/>
                <w:color w:val="auto"/>
                <w:lang w:eastAsia="lv-LV"/>
              </w:rPr>
              <w:t xml:space="preserve"> </w:t>
            </w:r>
            <w:r w:rsidR="002659C7" w:rsidRPr="00DF1283">
              <w:rPr>
                <w:rFonts w:ascii="Times New Roman" w:hAnsi="Times New Roman" w:cs="Times New Roman"/>
                <w:bCs/>
                <w:color w:val="auto"/>
                <w:shd w:val="clear" w:color="auto" w:fill="FFFFFF"/>
              </w:rPr>
              <w:t xml:space="preserve">un </w:t>
            </w:r>
            <w:r w:rsidR="00277B48">
              <w:rPr>
                <w:rFonts w:ascii="Times New Roman" w:hAnsi="Times New Roman" w:cs="Times New Roman"/>
                <w:bCs/>
                <w:color w:val="auto"/>
                <w:shd w:val="clear" w:color="auto" w:fill="FFFFFF"/>
              </w:rPr>
              <w:t>tāda pati prasība ietver</w:t>
            </w:r>
            <w:r w:rsidR="00BC6D4E">
              <w:rPr>
                <w:rFonts w:ascii="Times New Roman" w:hAnsi="Times New Roman" w:cs="Times New Roman"/>
                <w:bCs/>
                <w:color w:val="auto"/>
                <w:shd w:val="clear" w:color="auto" w:fill="FFFFFF"/>
              </w:rPr>
              <w:t>t</w:t>
            </w:r>
            <w:r w:rsidR="00277B48">
              <w:rPr>
                <w:rFonts w:ascii="Times New Roman" w:hAnsi="Times New Roman" w:cs="Times New Roman"/>
                <w:bCs/>
                <w:color w:val="auto"/>
                <w:shd w:val="clear" w:color="auto" w:fill="FFFFFF"/>
              </w:rPr>
              <w:t xml:space="preserve">a </w:t>
            </w:r>
            <w:r w:rsidR="002659C7" w:rsidRPr="00DF1283">
              <w:rPr>
                <w:rFonts w:ascii="Times New Roman" w:hAnsi="Times New Roman" w:cs="Times New Roman"/>
                <w:bCs/>
                <w:color w:val="auto"/>
                <w:shd w:val="clear" w:color="auto" w:fill="FFFFFF"/>
              </w:rPr>
              <w:t>7.pielikumā,</w:t>
            </w:r>
            <w:r w:rsidR="002659C7" w:rsidRPr="00DF1283">
              <w:t xml:space="preserve"> </w:t>
            </w:r>
            <w:r w:rsidR="00277B48" w:rsidRPr="00BC6D4E">
              <w:rPr>
                <w:rFonts w:ascii="Times New Roman" w:hAnsi="Times New Roman" w:cs="Times New Roman"/>
              </w:rPr>
              <w:t xml:space="preserve">ar kuru tiek </w:t>
            </w:r>
            <w:r w:rsidR="002659C7" w:rsidRPr="00277B48">
              <w:rPr>
                <w:rFonts w:ascii="Times New Roman" w:hAnsi="Times New Roman" w:cs="Times New Roman"/>
                <w:bCs/>
                <w:color w:val="auto"/>
                <w:shd w:val="clear" w:color="auto" w:fill="FFFFFF"/>
              </w:rPr>
              <w:t>iesnie</w:t>
            </w:r>
            <w:r w:rsidR="00277B48">
              <w:rPr>
                <w:rFonts w:ascii="Times New Roman" w:hAnsi="Times New Roman" w:cs="Times New Roman"/>
                <w:bCs/>
                <w:color w:val="auto"/>
                <w:shd w:val="clear" w:color="auto" w:fill="FFFFFF"/>
              </w:rPr>
              <w:t>gts</w:t>
            </w:r>
            <w:r w:rsidR="002659C7" w:rsidRPr="00DF1283">
              <w:rPr>
                <w:rFonts w:ascii="Times New Roman" w:hAnsi="Times New Roman" w:cs="Times New Roman"/>
                <w:bCs/>
                <w:color w:val="auto"/>
                <w:shd w:val="clear" w:color="auto" w:fill="FFFFFF"/>
              </w:rPr>
              <w:t xml:space="preserve"> iesniegum</w:t>
            </w:r>
            <w:r w:rsidR="00277B48">
              <w:rPr>
                <w:rFonts w:ascii="Times New Roman" w:hAnsi="Times New Roman" w:cs="Times New Roman"/>
                <w:bCs/>
                <w:color w:val="auto"/>
                <w:shd w:val="clear" w:color="auto" w:fill="FFFFFF"/>
              </w:rPr>
              <w:t>s</w:t>
            </w:r>
            <w:r w:rsidR="002659C7" w:rsidRPr="00DF1283">
              <w:rPr>
                <w:rFonts w:ascii="Times New Roman" w:hAnsi="Times New Roman" w:cs="Times New Roman"/>
                <w:bCs/>
                <w:color w:val="auto"/>
                <w:shd w:val="clear" w:color="auto" w:fill="FFFFFF"/>
              </w:rPr>
              <w:t xml:space="preserve"> speciālās atļaujas (licences) izsniegšanai vai pārreģistrēšanai veterinārās aptiekas atvēršanai (darbībai)</w:t>
            </w:r>
            <w:r w:rsidR="00277B48">
              <w:rPr>
                <w:rFonts w:ascii="Times New Roman" w:hAnsi="Times New Roman" w:cs="Times New Roman"/>
                <w:bCs/>
                <w:color w:val="auto"/>
                <w:shd w:val="clear" w:color="auto" w:fill="FFFFFF"/>
              </w:rPr>
              <w:t>.</w:t>
            </w:r>
            <w:r w:rsidR="00373075" w:rsidRPr="00DF1283">
              <w:rPr>
                <w:rFonts w:ascii="Times New Roman" w:hAnsi="Times New Roman" w:cs="Times New Roman"/>
                <w:bCs/>
                <w:color w:val="auto"/>
                <w:shd w:val="clear" w:color="auto" w:fill="FFFFFF"/>
              </w:rPr>
              <w:t xml:space="preserve"> </w:t>
            </w:r>
            <w:r w:rsidR="00277B48">
              <w:rPr>
                <w:rFonts w:ascii="Times New Roman" w:eastAsia="Times New Roman" w:hAnsi="Times New Roman" w:cs="Times New Roman"/>
                <w:color w:val="auto"/>
                <w:lang w:eastAsia="lv-LV"/>
              </w:rPr>
              <w:t>Minētā prasība</w:t>
            </w:r>
            <w:r w:rsidR="00277B48" w:rsidRPr="00DF1283" w:rsidDel="00277B48">
              <w:rPr>
                <w:rFonts w:ascii="Times New Roman" w:hAnsi="Times New Roman" w:cs="Times New Roman"/>
                <w:bCs/>
                <w:color w:val="auto"/>
                <w:shd w:val="clear" w:color="auto" w:fill="FFFFFF"/>
              </w:rPr>
              <w:t xml:space="preserve"> </w:t>
            </w:r>
            <w:r w:rsidR="00277B48">
              <w:rPr>
                <w:rFonts w:ascii="Times New Roman" w:hAnsi="Times New Roman" w:cs="Times New Roman"/>
                <w:bCs/>
                <w:color w:val="auto"/>
                <w:shd w:val="clear" w:color="auto" w:fill="FFFFFF"/>
              </w:rPr>
              <w:t>ir</w:t>
            </w:r>
            <w:r w:rsidR="00831805" w:rsidRPr="00DF1283">
              <w:rPr>
                <w:rFonts w:ascii="Times New Roman" w:eastAsia="Times New Roman" w:hAnsi="Times New Roman" w:cs="Times New Roman"/>
                <w:color w:val="auto"/>
                <w:lang w:eastAsia="lv-LV"/>
              </w:rPr>
              <w:t xml:space="preserve"> </w:t>
            </w:r>
            <w:r w:rsidR="00277B48">
              <w:rPr>
                <w:rFonts w:ascii="Times New Roman" w:eastAsia="Times New Roman" w:hAnsi="Times New Roman" w:cs="Times New Roman"/>
                <w:color w:val="auto"/>
                <w:lang w:eastAsia="lv-LV"/>
              </w:rPr>
              <w:t>jā</w:t>
            </w:r>
            <w:r w:rsidR="00831805" w:rsidRPr="00DF1283">
              <w:rPr>
                <w:rFonts w:ascii="Times New Roman" w:eastAsia="Times New Roman" w:hAnsi="Times New Roman" w:cs="Times New Roman"/>
                <w:color w:val="auto"/>
                <w:lang w:eastAsia="lv-LV"/>
              </w:rPr>
              <w:t>groz</w:t>
            </w:r>
            <w:r w:rsidR="00277B48">
              <w:rPr>
                <w:rFonts w:ascii="Times New Roman" w:eastAsia="Times New Roman" w:hAnsi="Times New Roman" w:cs="Times New Roman"/>
                <w:color w:val="auto"/>
                <w:lang w:eastAsia="lv-LV"/>
              </w:rPr>
              <w:t>a</w:t>
            </w:r>
            <w:r w:rsidR="00B129F8" w:rsidRPr="00DF1283">
              <w:rPr>
                <w:rFonts w:ascii="Times New Roman" w:eastAsia="Times New Roman" w:hAnsi="Times New Roman" w:cs="Times New Roman"/>
                <w:bCs/>
                <w:iCs/>
              </w:rPr>
              <w:t xml:space="preserve">, paredzot, ka </w:t>
            </w:r>
            <w:r w:rsidR="00B129F8" w:rsidRPr="00DF1283">
              <w:rPr>
                <w:rFonts w:ascii="Times New Roman" w:hAnsi="Times New Roman" w:cs="Times New Roman"/>
              </w:rPr>
              <w:t>tiesības darboties attiecīg</w:t>
            </w:r>
            <w:r w:rsidR="009F2B63">
              <w:rPr>
                <w:rFonts w:ascii="Times New Roman" w:hAnsi="Times New Roman" w:cs="Times New Roman"/>
              </w:rPr>
              <w:t>aj</w:t>
            </w:r>
            <w:r w:rsidR="00B129F8" w:rsidRPr="00DF1283">
              <w:rPr>
                <w:rFonts w:ascii="Times New Roman" w:hAnsi="Times New Roman" w:cs="Times New Roman"/>
              </w:rPr>
              <w:t xml:space="preserve">ās telpās jāapliecina tikai tiem </w:t>
            </w:r>
            <w:r w:rsidR="00831805" w:rsidRPr="00DF1283">
              <w:rPr>
                <w:rFonts w:ascii="Times New Roman" w:hAnsi="Times New Roman" w:cs="Times New Roman"/>
              </w:rPr>
              <w:t>komersantiem</w:t>
            </w:r>
            <w:r w:rsidR="00B129F8" w:rsidRPr="00DF1283">
              <w:rPr>
                <w:rFonts w:ascii="Times New Roman" w:hAnsi="Times New Roman" w:cs="Times New Roman"/>
              </w:rPr>
              <w:t>, kuru īpašuma tiesības nav nostiprinātas zemesgrāmatā.</w:t>
            </w:r>
            <w:r w:rsidR="00B129F8" w:rsidRPr="00DF1283" w:rsidDel="00806099">
              <w:rPr>
                <w:rFonts w:ascii="Times New Roman" w:eastAsia="Times New Roman" w:hAnsi="Times New Roman" w:cs="Times New Roman"/>
                <w:bCs/>
                <w:iCs/>
              </w:rPr>
              <w:t xml:space="preserve"> </w:t>
            </w:r>
            <w:r w:rsidR="00B129F8" w:rsidRPr="00DF1283">
              <w:rPr>
                <w:rFonts w:ascii="Times New Roman" w:eastAsia="Times New Roman" w:hAnsi="Times New Roman" w:cs="Times New Roman"/>
              </w:rPr>
              <w:t xml:space="preserve">Turpmāk dienests informāciju par nostiprinātajām tiesībām iegūs, ieskatoties valsts vienotajā datorizētajā zemesgrāmatā pēc </w:t>
            </w:r>
            <w:r w:rsidR="007A0FD2" w:rsidRPr="00DF1283">
              <w:rPr>
                <w:rFonts w:ascii="Times New Roman" w:eastAsia="Times New Roman" w:hAnsi="Times New Roman" w:cs="Times New Roman"/>
              </w:rPr>
              <w:t>komersanta</w:t>
            </w:r>
            <w:r w:rsidR="00B129F8" w:rsidRPr="00DF1283">
              <w:rPr>
                <w:rFonts w:ascii="Times New Roman" w:eastAsia="Times New Roman" w:hAnsi="Times New Roman" w:cs="Times New Roman"/>
              </w:rPr>
              <w:t xml:space="preserve"> norādītās </w:t>
            </w:r>
            <w:r w:rsidR="007A0FD2" w:rsidRPr="00DF1283">
              <w:rPr>
                <w:rFonts w:ascii="Times New Roman" w:eastAsia="Times New Roman" w:hAnsi="Times New Roman" w:cs="Times New Roman"/>
              </w:rPr>
              <w:t>telpas</w:t>
            </w:r>
            <w:r w:rsidR="00B129F8" w:rsidRPr="00DF1283">
              <w:rPr>
                <w:rFonts w:ascii="Times New Roman" w:eastAsia="Times New Roman" w:hAnsi="Times New Roman" w:cs="Times New Roman"/>
              </w:rPr>
              <w:t xml:space="preserve"> identificējošās informācijas – kadastra apzīmējuma vai adreses. Lai dienests iegūtu piekļuvi datorizētajai zemesgrāmatai, tiks noslēgta starpresoru vienošanās ar Tiesu administrāciju.</w:t>
            </w:r>
            <w:r w:rsidR="00A93F64" w:rsidRPr="00DF1283">
              <w:rPr>
                <w:rFonts w:ascii="Times New Roman" w:eastAsia="Times New Roman" w:hAnsi="Times New Roman" w:cs="Times New Roman"/>
              </w:rPr>
              <w:t xml:space="preserve"> </w:t>
            </w:r>
            <w:r w:rsidR="00B129F8" w:rsidRPr="00DF1283">
              <w:rPr>
                <w:rFonts w:ascii="Times New Roman" w:eastAsia="Times New Roman" w:hAnsi="Times New Roman" w:cs="Times New Roman"/>
                <w:bCs/>
                <w:iCs/>
              </w:rPr>
              <w:t xml:space="preserve">Lai dienests varētu iegūt informāciju no </w:t>
            </w:r>
            <w:r w:rsidR="00B129F8" w:rsidRPr="00DF1283">
              <w:rPr>
                <w:rFonts w:ascii="Times New Roman" w:eastAsia="Times New Roman" w:hAnsi="Times New Roman" w:cs="Times New Roman"/>
              </w:rPr>
              <w:t>datorizētās zemesgrāmatas</w:t>
            </w:r>
            <w:r w:rsidR="00A93F64">
              <w:rPr>
                <w:rFonts w:ascii="Times New Roman" w:eastAsia="Times New Roman" w:hAnsi="Times New Roman" w:cs="Times New Roman"/>
              </w:rPr>
              <w:t>,</w:t>
            </w:r>
            <w:r w:rsidR="00B129F8" w:rsidRPr="00A93F64">
              <w:rPr>
                <w:rFonts w:ascii="Times New Roman" w:hAnsi="Times New Roman" w:cs="Times New Roman"/>
                <w:color w:val="000000" w:themeColor="text1"/>
                <w:shd w:val="clear" w:color="auto" w:fill="FFFFFF"/>
              </w:rPr>
              <w:t xml:space="preserve"> </w:t>
            </w:r>
            <w:r w:rsidR="00A93F64">
              <w:rPr>
                <w:rFonts w:ascii="Times New Roman" w:hAnsi="Times New Roman" w:cs="Times New Roman"/>
                <w:color w:val="000000" w:themeColor="text1"/>
                <w:shd w:val="clear" w:color="auto" w:fill="FFFFFF"/>
              </w:rPr>
              <w:t xml:space="preserve">komersantam </w:t>
            </w:r>
            <w:r w:rsidR="00B129F8" w:rsidRPr="00A93F64">
              <w:rPr>
                <w:rFonts w:ascii="Times New Roman" w:hAnsi="Times New Roman" w:cs="Times New Roman"/>
                <w:color w:val="000000" w:themeColor="text1"/>
                <w:shd w:val="clear" w:color="auto" w:fill="FFFFFF"/>
              </w:rPr>
              <w:t>iesniegum</w:t>
            </w:r>
            <w:r w:rsidR="00C178C1">
              <w:rPr>
                <w:rFonts w:ascii="Times New Roman" w:hAnsi="Times New Roman" w:cs="Times New Roman"/>
                <w:color w:val="000000" w:themeColor="text1"/>
                <w:shd w:val="clear" w:color="auto" w:fill="FFFFFF"/>
              </w:rPr>
              <w:t>ā jā</w:t>
            </w:r>
            <w:r w:rsidR="00B129F8" w:rsidRPr="00A93F64">
              <w:rPr>
                <w:rFonts w:ascii="Times New Roman" w:hAnsi="Times New Roman" w:cs="Times New Roman"/>
                <w:color w:val="000000" w:themeColor="text1"/>
                <w:shd w:val="clear" w:color="auto" w:fill="FFFFFF"/>
              </w:rPr>
              <w:t>norād</w:t>
            </w:r>
            <w:r w:rsidR="00C178C1">
              <w:rPr>
                <w:rFonts w:ascii="Times New Roman" w:hAnsi="Times New Roman" w:cs="Times New Roman"/>
                <w:color w:val="000000" w:themeColor="text1"/>
                <w:shd w:val="clear" w:color="auto" w:fill="FFFFFF"/>
              </w:rPr>
              <w:t>a</w:t>
            </w:r>
            <w:r w:rsidR="00A93F64">
              <w:rPr>
                <w:rFonts w:ascii="Times New Roman" w:hAnsi="Times New Roman" w:cs="Times New Roman"/>
                <w:color w:val="000000" w:themeColor="text1"/>
                <w:shd w:val="clear" w:color="auto" w:fill="FFFFFF"/>
              </w:rPr>
              <w:t xml:space="preserve"> </w:t>
            </w:r>
            <w:r w:rsidR="00DF1283">
              <w:rPr>
                <w:rFonts w:ascii="Times New Roman" w:hAnsi="Times New Roman" w:cs="Times New Roman"/>
                <w:color w:val="000000" w:themeColor="text1"/>
                <w:shd w:val="clear" w:color="auto" w:fill="FFFFFF"/>
              </w:rPr>
              <w:t>faktisk</w:t>
            </w:r>
            <w:r w:rsidR="00C178C1">
              <w:rPr>
                <w:rFonts w:ascii="Times New Roman" w:hAnsi="Times New Roman" w:cs="Times New Roman"/>
                <w:color w:val="000000" w:themeColor="text1"/>
                <w:shd w:val="clear" w:color="auto" w:fill="FFFFFF"/>
              </w:rPr>
              <w:t>ā</w:t>
            </w:r>
            <w:r w:rsidR="00B129F8" w:rsidRPr="00A93F64">
              <w:rPr>
                <w:rFonts w:ascii="Times New Roman" w:hAnsi="Times New Roman" w:cs="Times New Roman"/>
                <w:color w:val="000000" w:themeColor="text1"/>
                <w:shd w:val="clear" w:color="auto" w:fill="FFFFFF"/>
              </w:rPr>
              <w:t xml:space="preserve"> adres</w:t>
            </w:r>
            <w:r w:rsidR="00C178C1">
              <w:rPr>
                <w:rFonts w:ascii="Times New Roman" w:hAnsi="Times New Roman" w:cs="Times New Roman"/>
                <w:color w:val="000000" w:themeColor="text1"/>
                <w:shd w:val="clear" w:color="auto" w:fill="FFFFFF"/>
              </w:rPr>
              <w:t>e</w:t>
            </w:r>
            <w:r w:rsidR="00B129F8" w:rsidRPr="00A93F64">
              <w:rPr>
                <w:rFonts w:ascii="Times New Roman" w:hAnsi="Times New Roman" w:cs="Times New Roman"/>
                <w:color w:val="000000" w:themeColor="text1"/>
                <w:shd w:val="clear" w:color="auto" w:fill="FFFFFF"/>
              </w:rPr>
              <w:t xml:space="preserve"> un </w:t>
            </w:r>
            <w:r w:rsidR="00A93F64">
              <w:rPr>
                <w:rFonts w:ascii="Times New Roman" w:hAnsi="Times New Roman" w:cs="Times New Roman"/>
                <w:color w:val="000000" w:themeColor="text1"/>
                <w:shd w:val="clear" w:color="auto" w:fill="FFFFFF"/>
              </w:rPr>
              <w:t>telpu</w:t>
            </w:r>
            <w:r w:rsidR="00B129F8" w:rsidRPr="00A93F64">
              <w:rPr>
                <w:rFonts w:ascii="Times New Roman" w:hAnsi="Times New Roman" w:cs="Times New Roman"/>
                <w:color w:val="000000" w:themeColor="text1"/>
                <w:shd w:val="clear" w:color="auto" w:fill="FFFFFF"/>
              </w:rPr>
              <w:t xml:space="preserve"> kadastra apzīmējum</w:t>
            </w:r>
            <w:r w:rsidR="00C178C1">
              <w:rPr>
                <w:rFonts w:ascii="Times New Roman" w:hAnsi="Times New Roman" w:cs="Times New Roman"/>
                <w:color w:val="000000" w:themeColor="text1"/>
                <w:shd w:val="clear" w:color="auto" w:fill="FFFFFF"/>
              </w:rPr>
              <w:t>s</w:t>
            </w:r>
            <w:r w:rsidR="00B129F8" w:rsidRPr="00A93F64">
              <w:rPr>
                <w:rFonts w:ascii="Times New Roman" w:hAnsi="Times New Roman" w:cs="Times New Roman"/>
                <w:color w:val="000000" w:themeColor="text1"/>
                <w:shd w:val="clear" w:color="auto" w:fill="FFFFFF"/>
              </w:rPr>
              <w:t>.</w:t>
            </w:r>
            <w:r w:rsidR="00F00726">
              <w:rPr>
                <w:rFonts w:ascii="Times New Roman" w:hAnsi="Times New Roman" w:cs="Times New Roman"/>
                <w:color w:val="000000" w:themeColor="text1"/>
                <w:shd w:val="clear" w:color="auto" w:fill="FFFFFF"/>
              </w:rPr>
              <w:t xml:space="preserve"> </w:t>
            </w:r>
            <w:r w:rsidR="00F00726">
              <w:rPr>
                <w:rFonts w:ascii="Times New Roman" w:hAnsi="Times New Roman" w:cs="Times New Roman"/>
              </w:rPr>
              <w:t xml:space="preserve">Lai ieviestu </w:t>
            </w:r>
            <w:r w:rsidR="00C178C1">
              <w:rPr>
                <w:rFonts w:ascii="Times New Roman" w:hAnsi="Times New Roman" w:cs="Times New Roman"/>
              </w:rPr>
              <w:t>iepriekš</w:t>
            </w:r>
            <w:r w:rsidR="00F00726">
              <w:rPr>
                <w:rFonts w:ascii="Times New Roman" w:hAnsi="Times New Roman" w:cs="Times New Roman"/>
              </w:rPr>
              <w:t>minēto Ministru kabineta rīkojumu, t</w:t>
            </w:r>
            <w:r w:rsidR="00F00726">
              <w:rPr>
                <w:rFonts w:ascii="Times New Roman" w:eastAsia="Times New Roman" w:hAnsi="Times New Roman" w:cs="Times New Roman"/>
                <w:bCs/>
                <w:iCs/>
              </w:rPr>
              <w:t>ehnisk</w:t>
            </w:r>
            <w:r w:rsidR="00C178C1">
              <w:rPr>
                <w:rFonts w:ascii="Times New Roman" w:eastAsia="Times New Roman" w:hAnsi="Times New Roman" w:cs="Times New Roman"/>
                <w:bCs/>
                <w:iCs/>
              </w:rPr>
              <w:t>i grozīts</w:t>
            </w:r>
            <w:r w:rsidR="00F00726">
              <w:rPr>
                <w:rFonts w:ascii="Times New Roman" w:eastAsia="Times New Roman" w:hAnsi="Times New Roman" w:cs="Times New Roman"/>
                <w:bCs/>
                <w:iCs/>
              </w:rPr>
              <w:t xml:space="preserve"> noteikumu Nr.35 5</w:t>
            </w:r>
            <w:r w:rsidR="00C178C1">
              <w:rPr>
                <w:rFonts w:ascii="Times New Roman" w:eastAsia="Times New Roman" w:hAnsi="Times New Roman" w:cs="Times New Roman"/>
                <w:bCs/>
                <w:iCs/>
              </w:rPr>
              <w:t>.</w:t>
            </w:r>
            <w:r w:rsidR="00F00726">
              <w:rPr>
                <w:rFonts w:ascii="Times New Roman" w:eastAsia="Times New Roman" w:hAnsi="Times New Roman" w:cs="Times New Roman"/>
                <w:bCs/>
                <w:iCs/>
              </w:rPr>
              <w:t xml:space="preserve"> un 7.</w:t>
            </w:r>
            <w:r w:rsidR="00C178C1">
              <w:rPr>
                <w:rFonts w:ascii="Times New Roman" w:eastAsia="Times New Roman" w:hAnsi="Times New Roman" w:cs="Times New Roman"/>
                <w:bCs/>
                <w:iCs/>
              </w:rPr>
              <w:t xml:space="preserve"> pielikums.</w:t>
            </w:r>
          </w:p>
        </w:tc>
      </w:tr>
      <w:tr w:rsidR="008F644F" w:rsidRPr="008F644F" w14:paraId="4B6F586C" w14:textId="77777777" w:rsidTr="00F16ACB">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1F229D49"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lastRenderedPageBreak/>
              <w:t>3.</w:t>
            </w:r>
          </w:p>
        </w:tc>
        <w:tc>
          <w:tcPr>
            <w:tcW w:w="1147" w:type="pct"/>
            <w:tcBorders>
              <w:top w:val="outset" w:sz="6" w:space="0" w:color="414142"/>
              <w:left w:val="outset" w:sz="6" w:space="0" w:color="414142"/>
              <w:bottom w:val="outset" w:sz="6" w:space="0" w:color="414142"/>
              <w:right w:val="outset" w:sz="6" w:space="0" w:color="414142"/>
            </w:tcBorders>
            <w:hideMark/>
          </w:tcPr>
          <w:p w14:paraId="0DF8B65D" w14:textId="77777777" w:rsidR="00894C55" w:rsidRPr="008F644F" w:rsidRDefault="00E762F3" w:rsidP="00894C55">
            <w:pPr>
              <w:spacing w:after="0" w:line="240" w:lineRule="auto"/>
              <w:rPr>
                <w:rFonts w:ascii="Times New Roman" w:eastAsia="Times New Roman" w:hAnsi="Times New Roman" w:cs="Times New Roman"/>
                <w:sz w:val="24"/>
                <w:szCs w:val="24"/>
                <w:lang w:eastAsia="lv-LV"/>
              </w:rPr>
            </w:pPr>
            <w:r w:rsidRPr="008F644F">
              <w:rPr>
                <w:rFonts w:ascii="Times New Roman" w:hAnsi="Times New Roman" w:cs="Times New Roman"/>
                <w:sz w:val="24"/>
                <w:szCs w:val="24"/>
              </w:rPr>
              <w:t>Projekta izstrādē iesaistītās institūcijas un publiskas personas kapitālsabiedrības</w:t>
            </w:r>
          </w:p>
        </w:tc>
        <w:tc>
          <w:tcPr>
            <w:tcW w:w="3542" w:type="pct"/>
            <w:tcBorders>
              <w:top w:val="outset" w:sz="6" w:space="0" w:color="414142"/>
              <w:left w:val="outset" w:sz="6" w:space="0" w:color="414142"/>
              <w:bottom w:val="outset" w:sz="6" w:space="0" w:color="414142"/>
              <w:right w:val="outset" w:sz="6" w:space="0" w:color="414142"/>
            </w:tcBorders>
            <w:hideMark/>
          </w:tcPr>
          <w:p w14:paraId="1978D425" w14:textId="276501F0" w:rsidR="00894C55" w:rsidRPr="008F644F" w:rsidRDefault="006006C9"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Pārtikas un veterinārais dienests</w:t>
            </w:r>
          </w:p>
        </w:tc>
      </w:tr>
      <w:tr w:rsidR="008F644F" w:rsidRPr="008F644F" w14:paraId="4347F075" w14:textId="77777777" w:rsidTr="00F16ACB">
        <w:tc>
          <w:tcPr>
            <w:tcW w:w="311" w:type="pct"/>
            <w:tcBorders>
              <w:top w:val="outset" w:sz="6" w:space="0" w:color="414142"/>
              <w:left w:val="outset" w:sz="6" w:space="0" w:color="414142"/>
              <w:bottom w:val="outset" w:sz="6" w:space="0" w:color="414142"/>
              <w:right w:val="outset" w:sz="6" w:space="0" w:color="414142"/>
            </w:tcBorders>
            <w:hideMark/>
          </w:tcPr>
          <w:p w14:paraId="099FFDEE"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4.</w:t>
            </w:r>
          </w:p>
        </w:tc>
        <w:tc>
          <w:tcPr>
            <w:tcW w:w="1147" w:type="pct"/>
            <w:tcBorders>
              <w:top w:val="outset" w:sz="6" w:space="0" w:color="414142"/>
              <w:left w:val="outset" w:sz="6" w:space="0" w:color="414142"/>
              <w:bottom w:val="outset" w:sz="6" w:space="0" w:color="414142"/>
              <w:right w:val="outset" w:sz="6" w:space="0" w:color="414142"/>
            </w:tcBorders>
            <w:hideMark/>
          </w:tcPr>
          <w:p w14:paraId="59DD4D01"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542" w:type="pct"/>
            <w:tcBorders>
              <w:top w:val="outset" w:sz="6" w:space="0" w:color="414142"/>
              <w:left w:val="outset" w:sz="6" w:space="0" w:color="414142"/>
              <w:bottom w:val="outset" w:sz="6" w:space="0" w:color="414142"/>
              <w:right w:val="outset" w:sz="6" w:space="0" w:color="414142"/>
            </w:tcBorders>
            <w:hideMark/>
          </w:tcPr>
          <w:p w14:paraId="19E00C63" w14:textId="08DC38AC" w:rsidR="00894C55" w:rsidRPr="004E2384" w:rsidRDefault="004E2384">
            <w:pPr>
              <w:pStyle w:val="Default"/>
              <w:ind w:right="141"/>
              <w:jc w:val="both"/>
              <w:rPr>
                <w:rFonts w:ascii="Times New Roman" w:eastAsia="Times New Roman" w:hAnsi="Times New Roman" w:cs="Times New Roman"/>
                <w:bCs/>
                <w:iCs/>
              </w:rPr>
            </w:pPr>
            <w:r w:rsidRPr="00350638">
              <w:rPr>
                <w:rFonts w:ascii="Times New Roman" w:eastAsia="Times New Roman" w:hAnsi="Times New Roman" w:cs="Times New Roman"/>
                <w:bCs/>
                <w:iCs/>
              </w:rPr>
              <w:t xml:space="preserve">Ņemot vērā </w:t>
            </w:r>
            <w:r w:rsidR="00ED710C" w:rsidRPr="00ED710C">
              <w:rPr>
                <w:rFonts w:ascii="Times New Roman" w:eastAsia="Times New Roman" w:hAnsi="Times New Roman" w:cs="Times New Roman"/>
                <w:bCs/>
                <w:iCs/>
              </w:rPr>
              <w:t xml:space="preserve">Eiropas Parlamenta un Padomes </w:t>
            </w:r>
            <w:r w:rsidR="00ED710C">
              <w:rPr>
                <w:rFonts w:ascii="Times New Roman" w:eastAsia="Times New Roman" w:hAnsi="Times New Roman" w:cs="Times New Roman"/>
                <w:bCs/>
                <w:iCs/>
              </w:rPr>
              <w:t>2016. gada 27. aprīļa Regulā</w:t>
            </w:r>
            <w:r w:rsidR="00ED710C" w:rsidRPr="00ED710C">
              <w:rPr>
                <w:rFonts w:ascii="Times New Roman" w:eastAsia="Times New Roman" w:hAnsi="Times New Roman" w:cs="Times New Roman"/>
                <w:bCs/>
                <w:iCs/>
              </w:rPr>
              <w:t xml:space="preserve"> (ES) Nr. 2016/679 par fizisku personu aizsardzību attiecībā uz personas datu apstrādi un šādu datu brīvu apriti un ar ko atceļ Direktīvu 95/46/EK</w:t>
            </w:r>
            <w:r w:rsidR="009F2B63">
              <w:rPr>
                <w:rFonts w:ascii="Times New Roman" w:eastAsia="Times New Roman" w:hAnsi="Times New Roman" w:cs="Times New Roman"/>
                <w:bCs/>
                <w:iCs/>
              </w:rPr>
              <w:t>,</w:t>
            </w:r>
            <w:r w:rsidR="00ED710C" w:rsidRPr="00ED710C">
              <w:rPr>
                <w:rFonts w:ascii="Times New Roman" w:eastAsia="Times New Roman" w:hAnsi="Times New Roman" w:cs="Times New Roman"/>
                <w:bCs/>
                <w:iCs/>
              </w:rPr>
              <w:t xml:space="preserve"> (Vispārīgā datu aizsardzības regula)</w:t>
            </w:r>
            <w:r w:rsidR="009F2B63">
              <w:rPr>
                <w:rFonts w:ascii="Times New Roman" w:eastAsia="Times New Roman" w:hAnsi="Times New Roman" w:cs="Times New Roman"/>
                <w:bCs/>
                <w:iCs/>
              </w:rPr>
              <w:t xml:space="preserve"> </w:t>
            </w:r>
            <w:r w:rsidRPr="00350638">
              <w:rPr>
                <w:rFonts w:ascii="Times New Roman" w:eastAsia="Times New Roman" w:hAnsi="Times New Roman" w:cs="Times New Roman"/>
                <w:bCs/>
                <w:iCs/>
              </w:rPr>
              <w:t xml:space="preserve">noteiktās prasības, </w:t>
            </w:r>
            <w:r>
              <w:rPr>
                <w:rFonts w:ascii="Times New Roman" w:eastAsia="Times New Roman" w:hAnsi="Times New Roman" w:cs="Times New Roman"/>
                <w:bCs/>
                <w:iCs/>
              </w:rPr>
              <w:t>ir sagatavoti grozījumi noteikumos Nr.35, izvērtējot nepieciešamo datu apjomu noteiktās funkcijas nodrošināšanai</w:t>
            </w:r>
            <w:r w:rsidR="009F2B63">
              <w:rPr>
                <w:rFonts w:ascii="Times New Roman" w:eastAsia="Times New Roman" w:hAnsi="Times New Roman" w:cs="Times New Roman"/>
                <w:bCs/>
                <w:iCs/>
              </w:rPr>
              <w:t>,</w:t>
            </w:r>
            <w:r>
              <w:rPr>
                <w:rFonts w:ascii="Times New Roman" w:eastAsia="Times New Roman" w:hAnsi="Times New Roman" w:cs="Times New Roman"/>
                <w:bCs/>
                <w:iCs/>
              </w:rPr>
              <w:t xml:space="preserve"> un šobrīd grozījumi paredz dienestam un Zāļu valsts aģentūrai (turpmāk – aģentūrai) </w:t>
            </w:r>
            <w:r w:rsidR="009F2B63">
              <w:rPr>
                <w:rFonts w:ascii="Times New Roman" w:eastAsia="Times New Roman" w:hAnsi="Times New Roman" w:cs="Times New Roman"/>
                <w:bCs/>
                <w:iCs/>
              </w:rPr>
              <w:t xml:space="preserve">no privātpersonām </w:t>
            </w:r>
            <w:r>
              <w:rPr>
                <w:rFonts w:ascii="Times New Roman" w:eastAsia="Times New Roman" w:hAnsi="Times New Roman" w:cs="Times New Roman"/>
                <w:bCs/>
                <w:iCs/>
              </w:rPr>
              <w:t>pieprasīt mazāk personu datu. Saņemtie personu dati tiks uzglabāti vēl piecus gadus</w:t>
            </w:r>
            <w:r w:rsidR="009F2B63">
              <w:rPr>
                <w:rFonts w:ascii="Times New Roman" w:eastAsia="Times New Roman" w:hAnsi="Times New Roman" w:cs="Times New Roman"/>
                <w:bCs/>
                <w:iCs/>
              </w:rPr>
              <w:t>,</w:t>
            </w:r>
            <w:r>
              <w:rPr>
                <w:rFonts w:ascii="Times New Roman" w:eastAsia="Times New Roman" w:hAnsi="Times New Roman" w:cs="Times New Roman"/>
                <w:bCs/>
                <w:iCs/>
              </w:rPr>
              <w:t xml:space="preserve"> līdz komersants tiks svītrots no uzraudzības objektu reģistra vai aģentūras reģistra.</w:t>
            </w:r>
          </w:p>
        </w:tc>
      </w:tr>
    </w:tbl>
    <w:p w14:paraId="39E07EB6" w14:textId="77777777" w:rsidR="00894C55" w:rsidRPr="008F64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0"/>
        <w:gridCol w:w="2807"/>
        <w:gridCol w:w="5796"/>
      </w:tblGrid>
      <w:tr w:rsidR="008F644F" w:rsidRPr="008F644F" w14:paraId="1ECA0C9E" w14:textId="77777777" w:rsidTr="0020699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69ED85" w14:textId="77777777" w:rsidR="00894C55" w:rsidRPr="008F644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II.</w:t>
            </w:r>
            <w:r w:rsidR="0050178F"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F644F" w:rsidRPr="008F644F" w14:paraId="7BDC6AAD" w14:textId="77777777" w:rsidTr="0020699D">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4852C245"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29F3A5BD"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414142"/>
              <w:left w:val="outset" w:sz="6" w:space="0" w:color="414142"/>
              <w:bottom w:val="outset" w:sz="6" w:space="0" w:color="414142"/>
              <w:right w:val="outset" w:sz="6" w:space="0" w:color="414142"/>
            </w:tcBorders>
          </w:tcPr>
          <w:p w14:paraId="3705FD8A" w14:textId="2F7F4293" w:rsidR="00894C55" w:rsidRPr="008F644F" w:rsidRDefault="0010503C" w:rsidP="00DF1283">
            <w:pPr>
              <w:spacing w:after="0" w:line="240" w:lineRule="auto"/>
              <w:jc w:val="both"/>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 xml:space="preserve">Noteikumu projekts attiecas </w:t>
            </w:r>
            <w:r w:rsidR="009F2B63">
              <w:rPr>
                <w:rFonts w:ascii="Times New Roman" w:eastAsia="Times New Roman" w:hAnsi="Times New Roman" w:cs="Times New Roman"/>
                <w:sz w:val="24"/>
                <w:szCs w:val="24"/>
                <w:lang w:eastAsia="lv-LV"/>
              </w:rPr>
              <w:t xml:space="preserve">uz </w:t>
            </w:r>
            <w:r w:rsidR="00DF1283">
              <w:rPr>
                <w:rFonts w:ascii="Times New Roman" w:eastAsia="Times New Roman" w:hAnsi="Times New Roman" w:cs="Times New Roman"/>
                <w:sz w:val="24"/>
                <w:szCs w:val="24"/>
                <w:lang w:eastAsia="lv-LV"/>
              </w:rPr>
              <w:t>veterināro zāļu ražotājiem, veterināro zāļu lieltirgotavām un veterinārajām aptiekām, kas ir</w:t>
            </w:r>
            <w:r w:rsidR="00DF1283">
              <w:t xml:space="preserve"> </w:t>
            </w:r>
            <w:r w:rsidR="00DF1283" w:rsidRPr="006006C9">
              <w:rPr>
                <w:rFonts w:ascii="Times New Roman" w:eastAsia="Times New Roman" w:hAnsi="Times New Roman" w:cs="Times New Roman"/>
                <w:sz w:val="24"/>
                <w:szCs w:val="24"/>
                <w:lang w:eastAsia="lv-LV"/>
              </w:rPr>
              <w:t>speciālās atļaujas (licences) veterinārfarmaceitiskajai darbībai</w:t>
            </w:r>
            <w:r w:rsidR="00DF1283">
              <w:rPr>
                <w:rFonts w:ascii="Times New Roman" w:eastAsia="Times New Roman" w:hAnsi="Times New Roman" w:cs="Times New Roman"/>
                <w:sz w:val="24"/>
                <w:szCs w:val="24"/>
                <w:lang w:eastAsia="lv-LV"/>
              </w:rPr>
              <w:t xml:space="preserve"> pretendenti vai īpašnieki un ir iesaistīti</w:t>
            </w:r>
            <w:proofErr w:type="gramStart"/>
            <w:r w:rsidR="00DF1283">
              <w:rPr>
                <w:rFonts w:ascii="Times New Roman" w:eastAsia="Times New Roman" w:hAnsi="Times New Roman" w:cs="Times New Roman"/>
                <w:sz w:val="24"/>
                <w:szCs w:val="24"/>
                <w:lang w:eastAsia="lv-LV"/>
              </w:rPr>
              <w:t xml:space="preserve"> vai plāno iesaistīties veterināro zāļu apritē</w:t>
            </w:r>
            <w:proofErr w:type="gramEnd"/>
            <w:r w:rsidR="00DF1283">
              <w:rPr>
                <w:rFonts w:ascii="Times New Roman" w:eastAsia="Times New Roman" w:hAnsi="Times New Roman" w:cs="Times New Roman"/>
                <w:sz w:val="24"/>
                <w:szCs w:val="24"/>
                <w:lang w:eastAsia="lv-LV"/>
              </w:rPr>
              <w:t xml:space="preserve">, kā arī </w:t>
            </w:r>
            <w:r w:rsidRPr="008F644F">
              <w:rPr>
                <w:rFonts w:ascii="Times New Roman" w:eastAsia="Times New Roman" w:hAnsi="Times New Roman" w:cs="Times New Roman"/>
                <w:sz w:val="24"/>
                <w:szCs w:val="24"/>
                <w:lang w:eastAsia="lv-LV"/>
              </w:rPr>
              <w:t>uz</w:t>
            </w:r>
            <w:r w:rsidR="00DF1283">
              <w:rPr>
                <w:rFonts w:ascii="Times New Roman" w:eastAsia="Times New Roman" w:hAnsi="Times New Roman" w:cs="Times New Roman"/>
                <w:sz w:val="24"/>
                <w:szCs w:val="24"/>
                <w:lang w:eastAsia="lv-LV"/>
              </w:rPr>
              <w:t xml:space="preserve"> Pārtikas un veterināro dienestu. Šobrīd ir astoņi </w:t>
            </w:r>
            <w:r w:rsidR="00DF1283" w:rsidRPr="002E09E2">
              <w:rPr>
                <w:rFonts w:ascii="Times New Roman" w:eastAsia="Times New Roman" w:hAnsi="Times New Roman" w:cs="Times New Roman"/>
                <w:sz w:val="24"/>
                <w:szCs w:val="24"/>
                <w:lang w:eastAsia="lv-LV"/>
              </w:rPr>
              <w:t>veterināro zāļu ražotāji</w:t>
            </w:r>
            <w:r w:rsidR="00DF1283">
              <w:rPr>
                <w:rFonts w:ascii="Times New Roman" w:eastAsia="Times New Roman" w:hAnsi="Times New Roman" w:cs="Times New Roman"/>
                <w:sz w:val="24"/>
                <w:szCs w:val="24"/>
                <w:lang w:eastAsia="lv-LV"/>
              </w:rPr>
              <w:t xml:space="preserve">, 26 veterināro zāļu lieltirgotavas un 129 </w:t>
            </w:r>
            <w:r w:rsidR="00DF1283" w:rsidRPr="002E09E2">
              <w:rPr>
                <w:rFonts w:ascii="Times New Roman" w:eastAsia="Times New Roman" w:hAnsi="Times New Roman" w:cs="Times New Roman"/>
                <w:sz w:val="24"/>
                <w:szCs w:val="24"/>
                <w:lang w:eastAsia="lv-LV"/>
              </w:rPr>
              <w:t>veterinār</w:t>
            </w:r>
            <w:r w:rsidR="00DF1283">
              <w:rPr>
                <w:rFonts w:ascii="Times New Roman" w:eastAsia="Times New Roman" w:hAnsi="Times New Roman" w:cs="Times New Roman"/>
                <w:sz w:val="24"/>
                <w:szCs w:val="24"/>
                <w:lang w:eastAsia="lv-LV"/>
              </w:rPr>
              <w:t>ās</w:t>
            </w:r>
            <w:r w:rsidR="00DF1283" w:rsidRPr="002E09E2">
              <w:rPr>
                <w:rFonts w:ascii="Times New Roman" w:eastAsia="Times New Roman" w:hAnsi="Times New Roman" w:cs="Times New Roman"/>
                <w:sz w:val="24"/>
                <w:szCs w:val="24"/>
                <w:lang w:eastAsia="lv-LV"/>
              </w:rPr>
              <w:t xml:space="preserve"> aptiek</w:t>
            </w:r>
            <w:r w:rsidR="00DF1283">
              <w:rPr>
                <w:rFonts w:ascii="Times New Roman" w:eastAsia="Times New Roman" w:hAnsi="Times New Roman" w:cs="Times New Roman"/>
                <w:sz w:val="24"/>
                <w:szCs w:val="24"/>
                <w:lang w:eastAsia="lv-LV"/>
              </w:rPr>
              <w:t>as.</w:t>
            </w:r>
          </w:p>
        </w:tc>
      </w:tr>
      <w:tr w:rsidR="008F644F" w:rsidRPr="008F644F" w14:paraId="1426E1C6"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hideMark/>
          </w:tcPr>
          <w:p w14:paraId="51F55CFE"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4CFD56B6"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414142"/>
              <w:left w:val="outset" w:sz="6" w:space="0" w:color="414142"/>
              <w:bottom w:val="outset" w:sz="6" w:space="0" w:color="414142"/>
              <w:right w:val="outset" w:sz="6" w:space="0" w:color="414142"/>
            </w:tcBorders>
            <w:hideMark/>
          </w:tcPr>
          <w:p w14:paraId="2DF4672C" w14:textId="77777777" w:rsidR="00894C55" w:rsidRPr="008F644F" w:rsidRDefault="0010503C" w:rsidP="006006C9">
            <w:pPr>
              <w:spacing w:after="0" w:line="240" w:lineRule="auto"/>
              <w:jc w:val="both"/>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 xml:space="preserve">Noteikumu projekta tiesiskais regulējums nemaina līdzšinējo administratīvo procedūru. Noteikumu projekts neuzliek papildu administratīvo slogu </w:t>
            </w:r>
            <w:r w:rsidR="006006C9">
              <w:rPr>
                <w:rFonts w:ascii="Times New Roman" w:eastAsia="Times New Roman" w:hAnsi="Times New Roman" w:cs="Times New Roman"/>
                <w:sz w:val="24"/>
                <w:szCs w:val="24"/>
                <w:lang w:eastAsia="lv-LV"/>
              </w:rPr>
              <w:t>veterināro zāļu ražotājiem, veterināro zāļu lieltirgotavām un veterinārajām aptiekām</w:t>
            </w:r>
            <w:r w:rsidRPr="008F644F">
              <w:rPr>
                <w:rFonts w:ascii="Times New Roman" w:eastAsia="Times New Roman" w:hAnsi="Times New Roman" w:cs="Times New Roman"/>
                <w:sz w:val="24"/>
                <w:szCs w:val="24"/>
                <w:lang w:eastAsia="lv-LV"/>
              </w:rPr>
              <w:t>, jo neparedz papildu informācijas sniegša</w:t>
            </w:r>
            <w:r w:rsidR="006006C9">
              <w:rPr>
                <w:rFonts w:ascii="Times New Roman" w:eastAsia="Times New Roman" w:hAnsi="Times New Roman" w:cs="Times New Roman"/>
                <w:sz w:val="24"/>
                <w:szCs w:val="24"/>
                <w:lang w:eastAsia="lv-LV"/>
              </w:rPr>
              <w:t>nas vai uzglabāšanas pienākumus, tikai nosaka skaidrāku esošo kārtību.</w:t>
            </w:r>
          </w:p>
        </w:tc>
      </w:tr>
      <w:tr w:rsidR="008F644F" w:rsidRPr="008F644F" w14:paraId="383F0250"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hideMark/>
          </w:tcPr>
          <w:p w14:paraId="32B013CA"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lastRenderedPageBreak/>
              <w:t>3.</w:t>
            </w:r>
          </w:p>
        </w:tc>
        <w:tc>
          <w:tcPr>
            <w:tcW w:w="1530" w:type="pct"/>
            <w:tcBorders>
              <w:top w:val="outset" w:sz="6" w:space="0" w:color="414142"/>
              <w:left w:val="outset" w:sz="6" w:space="0" w:color="414142"/>
              <w:bottom w:val="outset" w:sz="6" w:space="0" w:color="414142"/>
              <w:right w:val="outset" w:sz="6" w:space="0" w:color="414142"/>
            </w:tcBorders>
            <w:hideMark/>
          </w:tcPr>
          <w:p w14:paraId="27F40254"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414142"/>
              <w:left w:val="outset" w:sz="6" w:space="0" w:color="414142"/>
              <w:bottom w:val="outset" w:sz="6" w:space="0" w:color="414142"/>
              <w:right w:val="outset" w:sz="6" w:space="0" w:color="414142"/>
            </w:tcBorders>
            <w:hideMark/>
          </w:tcPr>
          <w:p w14:paraId="570A111A" w14:textId="77777777" w:rsidR="00894C55" w:rsidRPr="008F644F" w:rsidRDefault="0010503C" w:rsidP="00894C55">
            <w:pPr>
              <w:spacing w:after="0" w:line="240" w:lineRule="auto"/>
              <w:rPr>
                <w:rFonts w:ascii="Times New Roman" w:eastAsia="Times New Roman" w:hAnsi="Times New Roman" w:cs="Times New Roman"/>
                <w:sz w:val="24"/>
                <w:szCs w:val="24"/>
                <w:lang w:eastAsia="lv-LV"/>
              </w:rPr>
            </w:pPr>
            <w:r w:rsidRPr="008F644F">
              <w:rPr>
                <w:rFonts w:ascii="Times New Roman" w:hAnsi="Times New Roman"/>
                <w:sz w:val="24"/>
                <w:szCs w:val="24"/>
              </w:rPr>
              <w:t>Projekts šo jomu neskar.</w:t>
            </w:r>
          </w:p>
        </w:tc>
      </w:tr>
      <w:tr w:rsidR="008F644F" w:rsidRPr="008F644F" w14:paraId="7F1BEBC7"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tcPr>
          <w:p w14:paraId="6448982B" w14:textId="77777777" w:rsidR="00C44823" w:rsidRPr="008F644F" w:rsidRDefault="00C44823"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hAnsi="Times New Roman"/>
                <w:sz w:val="24"/>
                <w:szCs w:val="24"/>
              </w:rPr>
              <w:t>4.</w:t>
            </w:r>
          </w:p>
        </w:tc>
        <w:tc>
          <w:tcPr>
            <w:tcW w:w="1530" w:type="pct"/>
            <w:tcBorders>
              <w:top w:val="outset" w:sz="6" w:space="0" w:color="414142"/>
              <w:left w:val="outset" w:sz="6" w:space="0" w:color="414142"/>
              <w:bottom w:val="outset" w:sz="6" w:space="0" w:color="414142"/>
              <w:right w:val="outset" w:sz="6" w:space="0" w:color="414142"/>
            </w:tcBorders>
          </w:tcPr>
          <w:p w14:paraId="5002930B" w14:textId="77777777" w:rsidR="00C44823" w:rsidRPr="008F644F" w:rsidRDefault="00C44823" w:rsidP="00894C55">
            <w:pPr>
              <w:spacing w:after="0" w:line="240" w:lineRule="auto"/>
              <w:rPr>
                <w:rFonts w:ascii="Times New Roman" w:eastAsia="Times New Roman" w:hAnsi="Times New Roman" w:cs="Times New Roman"/>
                <w:sz w:val="24"/>
                <w:szCs w:val="24"/>
                <w:lang w:eastAsia="lv-LV"/>
              </w:rPr>
            </w:pPr>
            <w:r w:rsidRPr="008F644F">
              <w:rPr>
                <w:rFonts w:ascii="Times New Roman" w:hAnsi="Times New Roman"/>
                <w:sz w:val="24"/>
                <w:szCs w:val="24"/>
              </w:rPr>
              <w:t>Atbilstības izmaksu monetārs novērtējums</w:t>
            </w:r>
          </w:p>
        </w:tc>
        <w:tc>
          <w:tcPr>
            <w:tcW w:w="3159" w:type="pct"/>
            <w:tcBorders>
              <w:top w:val="outset" w:sz="6" w:space="0" w:color="414142"/>
              <w:left w:val="outset" w:sz="6" w:space="0" w:color="414142"/>
              <w:bottom w:val="outset" w:sz="6" w:space="0" w:color="414142"/>
              <w:right w:val="outset" w:sz="6" w:space="0" w:color="414142"/>
            </w:tcBorders>
          </w:tcPr>
          <w:p w14:paraId="0DCFFCA5" w14:textId="77777777" w:rsidR="00C44823" w:rsidRPr="008F644F" w:rsidRDefault="00C44823" w:rsidP="00894C55">
            <w:pPr>
              <w:spacing w:after="0" w:line="240" w:lineRule="auto"/>
              <w:rPr>
                <w:rFonts w:ascii="Times New Roman" w:hAnsi="Times New Roman"/>
                <w:sz w:val="24"/>
                <w:szCs w:val="24"/>
              </w:rPr>
            </w:pPr>
            <w:r w:rsidRPr="008F644F">
              <w:rPr>
                <w:rFonts w:ascii="Times New Roman" w:hAnsi="Times New Roman"/>
                <w:sz w:val="24"/>
                <w:szCs w:val="24"/>
              </w:rPr>
              <w:t>Projekts šo jomu neskar.</w:t>
            </w:r>
          </w:p>
        </w:tc>
      </w:tr>
      <w:tr w:rsidR="008F644F" w:rsidRPr="008F644F" w14:paraId="5C0EBEC4" w14:textId="77777777" w:rsidTr="0020699D">
        <w:trPr>
          <w:trHeight w:val="276"/>
        </w:trPr>
        <w:tc>
          <w:tcPr>
            <w:tcW w:w="311" w:type="pct"/>
            <w:tcBorders>
              <w:top w:val="outset" w:sz="6" w:space="0" w:color="414142"/>
              <w:left w:val="outset" w:sz="6" w:space="0" w:color="414142"/>
              <w:bottom w:val="outset" w:sz="6" w:space="0" w:color="414142"/>
              <w:right w:val="outset" w:sz="6" w:space="0" w:color="414142"/>
            </w:tcBorders>
            <w:hideMark/>
          </w:tcPr>
          <w:p w14:paraId="6D312714" w14:textId="77777777" w:rsidR="00894C55" w:rsidRPr="008F644F" w:rsidRDefault="00C44823"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5</w:t>
            </w:r>
            <w:r w:rsidR="00894C55" w:rsidRPr="008F644F">
              <w:rPr>
                <w:rFonts w:ascii="Times New Roman" w:eastAsia="Times New Roman" w:hAnsi="Times New Roman" w:cs="Times New Roman"/>
                <w:sz w:val="24"/>
                <w:szCs w:val="24"/>
                <w:lang w:eastAsia="lv-LV"/>
              </w:rPr>
              <w:t>.</w:t>
            </w:r>
          </w:p>
        </w:tc>
        <w:tc>
          <w:tcPr>
            <w:tcW w:w="1530" w:type="pct"/>
            <w:tcBorders>
              <w:top w:val="outset" w:sz="6" w:space="0" w:color="414142"/>
              <w:left w:val="outset" w:sz="6" w:space="0" w:color="414142"/>
              <w:bottom w:val="outset" w:sz="6" w:space="0" w:color="414142"/>
              <w:right w:val="outset" w:sz="6" w:space="0" w:color="414142"/>
            </w:tcBorders>
            <w:hideMark/>
          </w:tcPr>
          <w:p w14:paraId="11B518CA"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159" w:type="pct"/>
            <w:tcBorders>
              <w:top w:val="outset" w:sz="6" w:space="0" w:color="414142"/>
              <w:left w:val="outset" w:sz="6" w:space="0" w:color="414142"/>
              <w:bottom w:val="outset" w:sz="6" w:space="0" w:color="414142"/>
              <w:right w:val="outset" w:sz="6" w:space="0" w:color="414142"/>
            </w:tcBorders>
            <w:hideMark/>
          </w:tcPr>
          <w:p w14:paraId="6B84ADDC" w14:textId="77777777" w:rsidR="00894C55" w:rsidRPr="008F644F" w:rsidRDefault="0010503C" w:rsidP="0010503C">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Nav</w:t>
            </w:r>
          </w:p>
        </w:tc>
      </w:tr>
    </w:tbl>
    <w:p w14:paraId="3CB94A22" w14:textId="77777777" w:rsidR="0010503C" w:rsidRPr="008F644F" w:rsidRDefault="0010503C" w:rsidP="0010503C">
      <w:pPr>
        <w:spacing w:after="0" w:line="240" w:lineRule="auto"/>
        <w:rPr>
          <w:rFonts w:ascii="Times New Roman" w:eastAsia="Calibri" w:hAnsi="Times New Roman" w:cs="Times New Roman"/>
          <w:i/>
          <w:sz w:val="24"/>
          <w:szCs w:val="24"/>
          <w:lang w:eastAsia="lv-LV"/>
        </w:rPr>
      </w:pPr>
    </w:p>
    <w:tbl>
      <w:tblPr>
        <w:tblStyle w:val="Reatabula1"/>
        <w:tblW w:w="9214" w:type="dxa"/>
        <w:tblInd w:w="-34" w:type="dxa"/>
        <w:tblLook w:val="04A0" w:firstRow="1" w:lastRow="0" w:firstColumn="1" w:lastColumn="0" w:noHBand="0" w:noVBand="1"/>
      </w:tblPr>
      <w:tblGrid>
        <w:gridCol w:w="9214"/>
      </w:tblGrid>
      <w:tr w:rsidR="008F644F" w:rsidRPr="008F644F" w14:paraId="47BC6354" w14:textId="77777777" w:rsidTr="00DF1283">
        <w:trPr>
          <w:trHeight w:val="227"/>
        </w:trPr>
        <w:tc>
          <w:tcPr>
            <w:tcW w:w="9214" w:type="dxa"/>
            <w:tcBorders>
              <w:top w:val="single" w:sz="4" w:space="0" w:color="auto"/>
              <w:left w:val="single" w:sz="4" w:space="0" w:color="auto"/>
              <w:bottom w:val="single" w:sz="4" w:space="0" w:color="auto"/>
              <w:right w:val="single" w:sz="4" w:space="0" w:color="auto"/>
            </w:tcBorders>
            <w:hideMark/>
          </w:tcPr>
          <w:p w14:paraId="2B5DC787" w14:textId="77777777" w:rsidR="00673277" w:rsidRPr="008F644F" w:rsidRDefault="00673277" w:rsidP="00673277">
            <w:pPr>
              <w:jc w:val="center"/>
              <w:rPr>
                <w:rFonts w:ascii="Times New Roman" w:hAnsi="Times New Roman"/>
                <w:b/>
                <w:sz w:val="24"/>
                <w:szCs w:val="24"/>
              </w:rPr>
            </w:pPr>
            <w:r w:rsidRPr="008F644F">
              <w:rPr>
                <w:rFonts w:ascii="Times New Roman" w:hAnsi="Times New Roman"/>
                <w:b/>
                <w:sz w:val="24"/>
                <w:szCs w:val="24"/>
              </w:rPr>
              <w:t>III. Tiesību akta projekta ietekme uz valsts budžetu un pašvaldību budžetiem</w:t>
            </w:r>
          </w:p>
        </w:tc>
      </w:tr>
      <w:tr w:rsidR="008F644F" w:rsidRPr="008F644F" w14:paraId="7FCAB649" w14:textId="77777777" w:rsidTr="00DF1283">
        <w:trPr>
          <w:trHeight w:val="227"/>
        </w:trPr>
        <w:tc>
          <w:tcPr>
            <w:tcW w:w="9214" w:type="dxa"/>
            <w:tcBorders>
              <w:top w:val="single" w:sz="4" w:space="0" w:color="auto"/>
              <w:left w:val="single" w:sz="4" w:space="0" w:color="auto"/>
              <w:bottom w:val="single" w:sz="4" w:space="0" w:color="auto"/>
              <w:right w:val="single" w:sz="4" w:space="0" w:color="auto"/>
            </w:tcBorders>
            <w:hideMark/>
          </w:tcPr>
          <w:p w14:paraId="213B6CD4" w14:textId="77777777" w:rsidR="00673277" w:rsidRPr="008F644F" w:rsidRDefault="00673277" w:rsidP="00673277">
            <w:pPr>
              <w:jc w:val="center"/>
              <w:rPr>
                <w:rFonts w:ascii="Times New Roman" w:hAnsi="Times New Roman"/>
                <w:sz w:val="24"/>
                <w:szCs w:val="24"/>
              </w:rPr>
            </w:pPr>
            <w:r w:rsidRPr="008F644F">
              <w:rPr>
                <w:rFonts w:ascii="Times New Roman" w:hAnsi="Times New Roman"/>
                <w:sz w:val="24"/>
                <w:szCs w:val="24"/>
              </w:rPr>
              <w:t>Projekts šo jomu neskar.</w:t>
            </w:r>
          </w:p>
        </w:tc>
      </w:tr>
    </w:tbl>
    <w:p w14:paraId="1EC01458" w14:textId="77777777" w:rsidR="00080BD6" w:rsidRPr="008F644F" w:rsidRDefault="00080BD6" w:rsidP="00580DBC">
      <w:pPr>
        <w:spacing w:after="0" w:line="240" w:lineRule="auto"/>
        <w:rPr>
          <w:rFonts w:ascii="Times New Roman" w:eastAsia="Calibri" w:hAnsi="Times New Roman" w:cs="Times New Roman"/>
          <w:sz w:val="24"/>
          <w:szCs w:val="24"/>
        </w:rPr>
      </w:pPr>
    </w:p>
    <w:tbl>
      <w:tblPr>
        <w:tblStyle w:val="Reatabula2"/>
        <w:tblW w:w="9214" w:type="dxa"/>
        <w:tblInd w:w="-34" w:type="dxa"/>
        <w:tblLook w:val="04A0" w:firstRow="1" w:lastRow="0" w:firstColumn="1" w:lastColumn="0" w:noHBand="0" w:noVBand="1"/>
      </w:tblPr>
      <w:tblGrid>
        <w:gridCol w:w="9214"/>
      </w:tblGrid>
      <w:tr w:rsidR="008F644F" w:rsidRPr="008F644F" w14:paraId="2D2C76AC" w14:textId="77777777" w:rsidTr="00DF1283">
        <w:trPr>
          <w:trHeight w:val="227"/>
        </w:trPr>
        <w:tc>
          <w:tcPr>
            <w:tcW w:w="9214" w:type="dxa"/>
            <w:tcBorders>
              <w:top w:val="single" w:sz="4" w:space="0" w:color="auto"/>
              <w:left w:val="single" w:sz="4" w:space="0" w:color="auto"/>
              <w:bottom w:val="single" w:sz="4" w:space="0" w:color="auto"/>
              <w:right w:val="single" w:sz="4" w:space="0" w:color="auto"/>
            </w:tcBorders>
            <w:hideMark/>
          </w:tcPr>
          <w:p w14:paraId="49D93754" w14:textId="77777777" w:rsidR="00673277" w:rsidRPr="008F644F" w:rsidRDefault="00673277" w:rsidP="00673277">
            <w:pPr>
              <w:jc w:val="center"/>
              <w:rPr>
                <w:rFonts w:ascii="Times New Roman" w:hAnsi="Times New Roman"/>
                <w:b/>
                <w:sz w:val="24"/>
                <w:szCs w:val="24"/>
              </w:rPr>
            </w:pPr>
            <w:r w:rsidRPr="008F644F">
              <w:rPr>
                <w:rFonts w:ascii="Times New Roman" w:hAnsi="Times New Roman"/>
                <w:b/>
                <w:sz w:val="24"/>
                <w:szCs w:val="24"/>
              </w:rPr>
              <w:t>IV. Tiesību akta projekta ietekme uz spēkā esošo tiesību normu sistēmu</w:t>
            </w:r>
          </w:p>
        </w:tc>
      </w:tr>
      <w:tr w:rsidR="008F644F" w:rsidRPr="008F644F" w14:paraId="04647BD1" w14:textId="77777777" w:rsidTr="00DF1283">
        <w:trPr>
          <w:trHeight w:val="241"/>
        </w:trPr>
        <w:tc>
          <w:tcPr>
            <w:tcW w:w="9214" w:type="dxa"/>
            <w:tcBorders>
              <w:top w:val="single" w:sz="4" w:space="0" w:color="auto"/>
              <w:left w:val="single" w:sz="4" w:space="0" w:color="auto"/>
              <w:bottom w:val="single" w:sz="4" w:space="0" w:color="auto"/>
              <w:right w:val="single" w:sz="4" w:space="0" w:color="auto"/>
            </w:tcBorders>
            <w:hideMark/>
          </w:tcPr>
          <w:p w14:paraId="1DD16034" w14:textId="77777777" w:rsidR="00673277" w:rsidRPr="008F644F" w:rsidRDefault="00673277" w:rsidP="00673277">
            <w:pPr>
              <w:jc w:val="center"/>
              <w:rPr>
                <w:rFonts w:ascii="Times New Roman" w:hAnsi="Times New Roman"/>
                <w:sz w:val="24"/>
                <w:szCs w:val="24"/>
              </w:rPr>
            </w:pPr>
            <w:r w:rsidRPr="008F644F">
              <w:rPr>
                <w:rFonts w:ascii="Times New Roman" w:hAnsi="Times New Roman"/>
                <w:sz w:val="24"/>
                <w:szCs w:val="24"/>
              </w:rPr>
              <w:t>Projekts šo jomu neskar.</w:t>
            </w:r>
          </w:p>
        </w:tc>
      </w:tr>
    </w:tbl>
    <w:p w14:paraId="1DEEBAFF" w14:textId="77777777" w:rsidR="0010503C" w:rsidRPr="008F644F" w:rsidRDefault="0010503C" w:rsidP="00646898">
      <w:pPr>
        <w:shd w:val="clear" w:color="auto" w:fill="FFFFFF"/>
        <w:spacing w:after="0" w:line="240" w:lineRule="auto"/>
        <w:rPr>
          <w:rFonts w:ascii="Times New Roman" w:eastAsia="Times New Roman" w:hAnsi="Times New Roman" w:cs="Times New Roman"/>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27"/>
        <w:gridCol w:w="5977"/>
      </w:tblGrid>
      <w:tr w:rsidR="008F644F" w:rsidRPr="008F644F" w14:paraId="157DA320" w14:textId="77777777" w:rsidTr="008C604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A8899B5" w14:textId="77777777" w:rsidR="00894C55" w:rsidRPr="008F644F"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V.</w:t>
            </w:r>
            <w:r w:rsidR="003E0791"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Tiesību akta projekta atbilstība Latvijas Republikas starptautiskajām saistībām</w:t>
            </w:r>
          </w:p>
        </w:tc>
      </w:tr>
      <w:tr w:rsidR="008F644F" w:rsidRPr="008F644F" w14:paraId="275B63E6" w14:textId="77777777" w:rsidTr="008C6042">
        <w:tc>
          <w:tcPr>
            <w:tcW w:w="310" w:type="pct"/>
            <w:tcBorders>
              <w:top w:val="outset" w:sz="6" w:space="0" w:color="414142"/>
              <w:left w:val="outset" w:sz="6" w:space="0" w:color="414142"/>
              <w:bottom w:val="outset" w:sz="6" w:space="0" w:color="414142"/>
              <w:right w:val="outset" w:sz="6" w:space="0" w:color="414142"/>
            </w:tcBorders>
            <w:hideMark/>
          </w:tcPr>
          <w:p w14:paraId="0FE7CB75"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432" w:type="pct"/>
            <w:tcBorders>
              <w:top w:val="outset" w:sz="6" w:space="0" w:color="414142"/>
              <w:left w:val="outset" w:sz="6" w:space="0" w:color="414142"/>
              <w:bottom w:val="outset" w:sz="6" w:space="0" w:color="414142"/>
              <w:right w:val="outset" w:sz="6" w:space="0" w:color="414142"/>
            </w:tcBorders>
            <w:hideMark/>
          </w:tcPr>
          <w:p w14:paraId="4A751042"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Saistības pret Eiropas Savienību</w:t>
            </w:r>
          </w:p>
        </w:tc>
        <w:tc>
          <w:tcPr>
            <w:tcW w:w="3258" w:type="pct"/>
            <w:tcBorders>
              <w:top w:val="outset" w:sz="6" w:space="0" w:color="414142"/>
              <w:left w:val="outset" w:sz="6" w:space="0" w:color="414142"/>
              <w:bottom w:val="outset" w:sz="6" w:space="0" w:color="414142"/>
              <w:right w:val="outset" w:sz="6" w:space="0" w:color="414142"/>
            </w:tcBorders>
            <w:hideMark/>
          </w:tcPr>
          <w:p w14:paraId="07FD9C21" w14:textId="6BBFB2F8" w:rsidR="003A0B0B" w:rsidRPr="003A0B0B" w:rsidRDefault="003A0B0B">
            <w:pPr>
              <w:spacing w:after="0" w:line="240" w:lineRule="auto"/>
              <w:jc w:val="both"/>
              <w:rPr>
                <w:rFonts w:ascii="Times New Roman" w:eastAsia="Calibri" w:hAnsi="Times New Roman" w:cs="Times New Roman"/>
                <w:sz w:val="24"/>
                <w:szCs w:val="24"/>
              </w:rPr>
            </w:pPr>
            <w:r w:rsidRPr="003A0B0B">
              <w:rPr>
                <w:rFonts w:ascii="Times New Roman" w:eastAsia="Calibri" w:hAnsi="Times New Roman" w:cs="Times New Roman"/>
                <w:sz w:val="24"/>
                <w:szCs w:val="24"/>
              </w:rPr>
              <w:t xml:space="preserve">Eiropas Parlamenta un Padomes </w:t>
            </w:r>
            <w:proofErr w:type="gramStart"/>
            <w:r w:rsidRPr="003A0B0B">
              <w:rPr>
                <w:rFonts w:ascii="Times New Roman" w:eastAsia="Calibri" w:hAnsi="Times New Roman" w:cs="Times New Roman"/>
                <w:sz w:val="24"/>
                <w:szCs w:val="24"/>
              </w:rPr>
              <w:t>2001.gada</w:t>
            </w:r>
            <w:proofErr w:type="gramEnd"/>
            <w:r w:rsidRPr="003A0B0B">
              <w:rPr>
                <w:rFonts w:ascii="Times New Roman" w:eastAsia="Calibri" w:hAnsi="Times New Roman" w:cs="Times New Roman"/>
                <w:sz w:val="24"/>
                <w:szCs w:val="24"/>
              </w:rPr>
              <w:t xml:space="preserve"> 6.novembra Direktīva 2001/82/EK par Kopienas kodeksu, kas attiecas uz veterinārajām zālēm (turpmāk – Direktīva 2001/82/EK)</w:t>
            </w:r>
          </w:p>
        </w:tc>
      </w:tr>
      <w:tr w:rsidR="008F644F" w:rsidRPr="008F644F" w14:paraId="709A867E" w14:textId="77777777" w:rsidTr="008C6042">
        <w:tc>
          <w:tcPr>
            <w:tcW w:w="310" w:type="pct"/>
            <w:tcBorders>
              <w:top w:val="outset" w:sz="6" w:space="0" w:color="414142"/>
              <w:left w:val="outset" w:sz="6" w:space="0" w:color="414142"/>
              <w:bottom w:val="outset" w:sz="6" w:space="0" w:color="414142"/>
              <w:right w:val="outset" w:sz="6" w:space="0" w:color="414142"/>
            </w:tcBorders>
            <w:hideMark/>
          </w:tcPr>
          <w:p w14:paraId="78143416"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432" w:type="pct"/>
            <w:tcBorders>
              <w:top w:val="outset" w:sz="6" w:space="0" w:color="414142"/>
              <w:left w:val="outset" w:sz="6" w:space="0" w:color="414142"/>
              <w:bottom w:val="outset" w:sz="6" w:space="0" w:color="414142"/>
              <w:right w:val="outset" w:sz="6" w:space="0" w:color="414142"/>
            </w:tcBorders>
            <w:hideMark/>
          </w:tcPr>
          <w:p w14:paraId="3A1F1F69"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Citas starptautiskās saistības</w:t>
            </w:r>
          </w:p>
        </w:tc>
        <w:tc>
          <w:tcPr>
            <w:tcW w:w="3258" w:type="pct"/>
            <w:tcBorders>
              <w:top w:val="outset" w:sz="6" w:space="0" w:color="414142"/>
              <w:left w:val="outset" w:sz="6" w:space="0" w:color="414142"/>
              <w:bottom w:val="outset" w:sz="6" w:space="0" w:color="414142"/>
              <w:right w:val="outset" w:sz="6" w:space="0" w:color="414142"/>
            </w:tcBorders>
            <w:hideMark/>
          </w:tcPr>
          <w:p w14:paraId="5704DCE1" w14:textId="77777777" w:rsidR="00894C55" w:rsidRPr="008F644F" w:rsidRDefault="0010503C" w:rsidP="00F57B0C">
            <w:pPr>
              <w:spacing w:after="0" w:line="240" w:lineRule="auto"/>
              <w:rPr>
                <w:rFonts w:ascii="Times New Roman" w:eastAsia="Times New Roman" w:hAnsi="Times New Roman" w:cs="Times New Roman"/>
                <w:sz w:val="24"/>
                <w:szCs w:val="24"/>
                <w:lang w:eastAsia="lv-LV"/>
              </w:rPr>
            </w:pPr>
            <w:r w:rsidRPr="008F644F">
              <w:rPr>
                <w:rFonts w:ascii="Times New Roman" w:hAnsi="Times New Roman"/>
                <w:sz w:val="24"/>
                <w:szCs w:val="24"/>
                <w:lang w:eastAsia="lv-LV"/>
              </w:rPr>
              <w:t>Projekts šo jomu neskar.</w:t>
            </w:r>
          </w:p>
        </w:tc>
      </w:tr>
      <w:tr w:rsidR="008F644F" w:rsidRPr="008F644F" w14:paraId="1688C733" w14:textId="77777777" w:rsidTr="008C6042">
        <w:tc>
          <w:tcPr>
            <w:tcW w:w="310" w:type="pct"/>
            <w:tcBorders>
              <w:top w:val="outset" w:sz="6" w:space="0" w:color="414142"/>
              <w:left w:val="outset" w:sz="6" w:space="0" w:color="414142"/>
              <w:bottom w:val="outset" w:sz="6" w:space="0" w:color="414142"/>
              <w:right w:val="outset" w:sz="6" w:space="0" w:color="414142"/>
            </w:tcBorders>
            <w:hideMark/>
          </w:tcPr>
          <w:p w14:paraId="7326790B"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3.</w:t>
            </w:r>
          </w:p>
        </w:tc>
        <w:tc>
          <w:tcPr>
            <w:tcW w:w="1432" w:type="pct"/>
            <w:tcBorders>
              <w:top w:val="outset" w:sz="6" w:space="0" w:color="414142"/>
              <w:left w:val="outset" w:sz="6" w:space="0" w:color="414142"/>
              <w:bottom w:val="outset" w:sz="6" w:space="0" w:color="414142"/>
              <w:right w:val="outset" w:sz="6" w:space="0" w:color="414142"/>
            </w:tcBorders>
            <w:hideMark/>
          </w:tcPr>
          <w:p w14:paraId="25FEA325"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258" w:type="pct"/>
            <w:tcBorders>
              <w:top w:val="outset" w:sz="6" w:space="0" w:color="414142"/>
              <w:left w:val="outset" w:sz="6" w:space="0" w:color="414142"/>
              <w:bottom w:val="outset" w:sz="6" w:space="0" w:color="414142"/>
              <w:right w:val="outset" w:sz="6" w:space="0" w:color="414142"/>
            </w:tcBorders>
            <w:hideMark/>
          </w:tcPr>
          <w:p w14:paraId="34C57791" w14:textId="77777777" w:rsidR="00894C55" w:rsidRPr="008F644F" w:rsidRDefault="0010503C" w:rsidP="0010503C">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Nav</w:t>
            </w:r>
          </w:p>
        </w:tc>
      </w:tr>
    </w:tbl>
    <w:p w14:paraId="184EBAFC" w14:textId="77777777" w:rsidR="00894C55" w:rsidRPr="008F64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07"/>
        <w:gridCol w:w="1992"/>
        <w:gridCol w:w="2534"/>
        <w:gridCol w:w="2281"/>
      </w:tblGrid>
      <w:tr w:rsidR="008F644F" w:rsidRPr="008F644F" w14:paraId="74ADA2AB" w14:textId="77777777" w:rsidTr="008C6042">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6805A7"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1.</w:t>
            </w:r>
            <w:r w:rsidR="003E0791"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tabula</w:t>
            </w:r>
            <w:r w:rsidRPr="008F644F">
              <w:rPr>
                <w:rFonts w:ascii="Times New Roman" w:eastAsia="Times New Roman" w:hAnsi="Times New Roman" w:cs="Times New Roman"/>
                <w:b/>
                <w:bCs/>
                <w:sz w:val="24"/>
                <w:szCs w:val="24"/>
                <w:lang w:eastAsia="lv-LV"/>
              </w:rPr>
              <w:br/>
              <w:t>Tiesību akta projekta atbilstība ES tiesību aktiem</w:t>
            </w:r>
          </w:p>
        </w:tc>
      </w:tr>
      <w:tr w:rsidR="008F644F" w:rsidRPr="008F644F" w14:paraId="295F3AFE" w14:textId="77777777" w:rsidTr="008C6042">
        <w:tc>
          <w:tcPr>
            <w:tcW w:w="1306" w:type="pct"/>
            <w:tcBorders>
              <w:top w:val="outset" w:sz="6" w:space="0" w:color="414142"/>
              <w:left w:val="outset" w:sz="6" w:space="0" w:color="414142"/>
              <w:bottom w:val="outset" w:sz="6" w:space="0" w:color="414142"/>
              <w:right w:val="outset" w:sz="6" w:space="0" w:color="414142"/>
            </w:tcBorders>
            <w:hideMark/>
          </w:tcPr>
          <w:p w14:paraId="44467381"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Attiecīgā ES tiesību akta datums, numurs un nosaukums</w:t>
            </w:r>
          </w:p>
        </w:tc>
        <w:tc>
          <w:tcPr>
            <w:tcW w:w="3694" w:type="pct"/>
            <w:gridSpan w:val="3"/>
            <w:tcBorders>
              <w:top w:val="outset" w:sz="6" w:space="0" w:color="414142"/>
              <w:left w:val="outset" w:sz="6" w:space="0" w:color="414142"/>
              <w:bottom w:val="outset" w:sz="6" w:space="0" w:color="414142"/>
              <w:right w:val="outset" w:sz="6" w:space="0" w:color="414142"/>
            </w:tcBorders>
            <w:hideMark/>
          </w:tcPr>
          <w:p w14:paraId="5DC9FF97" w14:textId="77777777" w:rsidR="00894C55" w:rsidRPr="008F644F" w:rsidRDefault="003A0B0B" w:rsidP="00894C55">
            <w:pPr>
              <w:spacing w:after="0" w:line="240" w:lineRule="auto"/>
              <w:rPr>
                <w:rFonts w:ascii="Times New Roman" w:eastAsia="Times New Roman" w:hAnsi="Times New Roman" w:cs="Times New Roman"/>
                <w:sz w:val="24"/>
                <w:szCs w:val="24"/>
                <w:lang w:eastAsia="lv-LV"/>
              </w:rPr>
            </w:pPr>
            <w:r w:rsidRPr="003A0B0B">
              <w:rPr>
                <w:rFonts w:ascii="Times New Roman" w:eastAsia="Calibri" w:hAnsi="Times New Roman" w:cs="Times New Roman"/>
                <w:sz w:val="24"/>
                <w:szCs w:val="24"/>
              </w:rPr>
              <w:t>Direktīva Nr.2001/82/EK</w:t>
            </w:r>
          </w:p>
        </w:tc>
      </w:tr>
      <w:tr w:rsidR="008F644F" w:rsidRPr="008F644F" w14:paraId="79655B35" w14:textId="77777777" w:rsidTr="008C6042">
        <w:tc>
          <w:tcPr>
            <w:tcW w:w="1306" w:type="pct"/>
            <w:tcBorders>
              <w:top w:val="outset" w:sz="6" w:space="0" w:color="414142"/>
              <w:left w:val="outset" w:sz="6" w:space="0" w:color="414142"/>
              <w:bottom w:val="outset" w:sz="6" w:space="0" w:color="414142"/>
              <w:right w:val="outset" w:sz="6" w:space="0" w:color="414142"/>
            </w:tcBorders>
            <w:vAlign w:val="center"/>
            <w:hideMark/>
          </w:tcPr>
          <w:p w14:paraId="4566F4C5"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A</w:t>
            </w:r>
          </w:p>
        </w:tc>
        <w:tc>
          <w:tcPr>
            <w:tcW w:w="1081" w:type="pct"/>
            <w:tcBorders>
              <w:top w:val="outset" w:sz="6" w:space="0" w:color="414142"/>
              <w:left w:val="outset" w:sz="6" w:space="0" w:color="414142"/>
              <w:bottom w:val="outset" w:sz="6" w:space="0" w:color="414142"/>
              <w:right w:val="outset" w:sz="6" w:space="0" w:color="414142"/>
            </w:tcBorders>
            <w:vAlign w:val="center"/>
            <w:hideMark/>
          </w:tcPr>
          <w:p w14:paraId="19C902E2"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B</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4F805F5C"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w:t>
            </w:r>
          </w:p>
        </w:tc>
        <w:tc>
          <w:tcPr>
            <w:tcW w:w="1238" w:type="pct"/>
            <w:tcBorders>
              <w:top w:val="outset" w:sz="6" w:space="0" w:color="414142"/>
              <w:left w:val="outset" w:sz="6" w:space="0" w:color="414142"/>
              <w:bottom w:val="outset" w:sz="6" w:space="0" w:color="414142"/>
              <w:right w:val="outset" w:sz="6" w:space="0" w:color="414142"/>
            </w:tcBorders>
            <w:vAlign w:val="center"/>
            <w:hideMark/>
          </w:tcPr>
          <w:p w14:paraId="0AD71C4D"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D</w:t>
            </w:r>
          </w:p>
        </w:tc>
      </w:tr>
      <w:tr w:rsidR="008F644F" w:rsidRPr="008F644F" w14:paraId="4754173E" w14:textId="77777777" w:rsidTr="008C6042">
        <w:tc>
          <w:tcPr>
            <w:tcW w:w="1306" w:type="pct"/>
            <w:tcBorders>
              <w:top w:val="outset" w:sz="6" w:space="0" w:color="414142"/>
              <w:left w:val="outset" w:sz="6" w:space="0" w:color="414142"/>
              <w:bottom w:val="outset" w:sz="6" w:space="0" w:color="414142"/>
              <w:right w:val="outset" w:sz="6" w:space="0" w:color="414142"/>
            </w:tcBorders>
            <w:hideMark/>
          </w:tcPr>
          <w:p w14:paraId="40690B05" w14:textId="77777777" w:rsidR="00894C55" w:rsidRPr="008F644F" w:rsidRDefault="00894C55" w:rsidP="00894C55">
            <w:pPr>
              <w:spacing w:after="0" w:line="240" w:lineRule="auto"/>
              <w:rPr>
                <w:rFonts w:ascii="Times New Roman" w:eastAsia="Times New Roman" w:hAnsi="Times New Roman" w:cs="Times New Roman"/>
                <w:lang w:eastAsia="lv-LV"/>
              </w:rPr>
            </w:pPr>
            <w:r w:rsidRPr="008F644F">
              <w:rPr>
                <w:rFonts w:ascii="Times New Roman" w:eastAsia="Times New Roman" w:hAnsi="Times New Roman" w:cs="Times New Roman"/>
                <w:lang w:eastAsia="lv-LV"/>
              </w:rPr>
              <w:t>Attiecīgā ES tiesību akta panta numurs (uzskaitot katru tiesību akta vienību – pantu, daļu, punktu, apakšpunktu)</w:t>
            </w:r>
          </w:p>
        </w:tc>
        <w:tc>
          <w:tcPr>
            <w:tcW w:w="1081" w:type="pct"/>
            <w:tcBorders>
              <w:top w:val="outset" w:sz="6" w:space="0" w:color="414142"/>
              <w:left w:val="outset" w:sz="6" w:space="0" w:color="414142"/>
              <w:bottom w:val="outset" w:sz="6" w:space="0" w:color="414142"/>
              <w:right w:val="outset" w:sz="6" w:space="0" w:color="414142"/>
            </w:tcBorders>
            <w:hideMark/>
          </w:tcPr>
          <w:p w14:paraId="18D8A7F2" w14:textId="77777777" w:rsidR="00894C55" w:rsidRPr="008F644F" w:rsidRDefault="00894C55" w:rsidP="00894C55">
            <w:pPr>
              <w:spacing w:after="0" w:line="240" w:lineRule="auto"/>
              <w:rPr>
                <w:rFonts w:ascii="Times New Roman" w:eastAsia="Times New Roman" w:hAnsi="Times New Roman" w:cs="Times New Roman"/>
                <w:lang w:eastAsia="lv-LV"/>
              </w:rPr>
            </w:pPr>
            <w:r w:rsidRPr="008F644F">
              <w:rPr>
                <w:rFonts w:ascii="Times New Roman" w:eastAsia="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375" w:type="pct"/>
            <w:tcBorders>
              <w:top w:val="outset" w:sz="6" w:space="0" w:color="414142"/>
              <w:left w:val="outset" w:sz="6" w:space="0" w:color="414142"/>
              <w:bottom w:val="outset" w:sz="6" w:space="0" w:color="414142"/>
              <w:right w:val="outset" w:sz="6" w:space="0" w:color="414142"/>
            </w:tcBorders>
            <w:hideMark/>
          </w:tcPr>
          <w:p w14:paraId="4AAF9C52" w14:textId="77777777" w:rsidR="00894C55" w:rsidRPr="008F644F" w:rsidRDefault="00894C55" w:rsidP="00894C55">
            <w:pPr>
              <w:spacing w:after="0" w:line="240" w:lineRule="auto"/>
              <w:rPr>
                <w:rFonts w:ascii="Times New Roman" w:eastAsia="Times New Roman" w:hAnsi="Times New Roman" w:cs="Times New Roman"/>
                <w:lang w:eastAsia="lv-LV"/>
              </w:rPr>
            </w:pPr>
            <w:r w:rsidRPr="008F644F">
              <w:rPr>
                <w:rFonts w:ascii="Times New Roman" w:eastAsia="Times New Roman" w:hAnsi="Times New Roman" w:cs="Times New Roman"/>
                <w:lang w:eastAsia="lv-LV"/>
              </w:rPr>
              <w:t>Informācija par to, vai šīs tabulas A ailē minētās ES tiesību akta vienības tiek pārņemtas vai ieviestas pilnībā vai daļēji.</w:t>
            </w:r>
          </w:p>
          <w:p w14:paraId="4E0CD27A" w14:textId="77777777" w:rsidR="00894C55" w:rsidRPr="008F644F" w:rsidRDefault="00894C55" w:rsidP="00894C55">
            <w:pPr>
              <w:spacing w:before="100" w:beforeAutospacing="1" w:after="100" w:afterAutospacing="1" w:line="293" w:lineRule="atLeast"/>
              <w:rPr>
                <w:rFonts w:ascii="Times New Roman" w:eastAsia="Times New Roman" w:hAnsi="Times New Roman" w:cs="Times New Roman"/>
                <w:lang w:eastAsia="lv-LV"/>
              </w:rPr>
            </w:pPr>
            <w:r w:rsidRPr="008F644F">
              <w:rPr>
                <w:rFonts w:ascii="Times New Roman" w:eastAsia="Times New Roman" w:hAnsi="Times New Roman" w:cs="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5CF3603F" w14:textId="77777777" w:rsidR="00894C55" w:rsidRPr="008F644F" w:rsidRDefault="00894C55" w:rsidP="00894C55">
            <w:pPr>
              <w:spacing w:before="100" w:beforeAutospacing="1" w:after="100" w:afterAutospacing="1" w:line="293" w:lineRule="atLeast"/>
              <w:rPr>
                <w:rFonts w:ascii="Times New Roman" w:eastAsia="Times New Roman" w:hAnsi="Times New Roman" w:cs="Times New Roman"/>
                <w:lang w:eastAsia="lv-LV"/>
              </w:rPr>
            </w:pPr>
            <w:r w:rsidRPr="008F644F">
              <w:rPr>
                <w:rFonts w:ascii="Times New Roman" w:eastAsia="Times New Roman" w:hAnsi="Times New Roman" w:cs="Times New Roman"/>
                <w:lang w:eastAsia="lv-LV"/>
              </w:rPr>
              <w:t>Norāda institūciju, kas ir atbildīga par šo saistību izpildi pilnībā</w:t>
            </w:r>
          </w:p>
        </w:tc>
        <w:tc>
          <w:tcPr>
            <w:tcW w:w="1238" w:type="pct"/>
            <w:tcBorders>
              <w:top w:val="outset" w:sz="6" w:space="0" w:color="414142"/>
              <w:left w:val="outset" w:sz="6" w:space="0" w:color="414142"/>
              <w:bottom w:val="outset" w:sz="6" w:space="0" w:color="414142"/>
              <w:right w:val="outset" w:sz="6" w:space="0" w:color="414142"/>
            </w:tcBorders>
            <w:hideMark/>
          </w:tcPr>
          <w:p w14:paraId="7FC02720" w14:textId="77777777" w:rsidR="00894C55" w:rsidRPr="008F644F" w:rsidRDefault="00894C55" w:rsidP="00894C55">
            <w:pPr>
              <w:spacing w:after="0" w:line="240" w:lineRule="auto"/>
              <w:rPr>
                <w:rFonts w:ascii="Times New Roman" w:eastAsia="Times New Roman" w:hAnsi="Times New Roman" w:cs="Times New Roman"/>
                <w:lang w:eastAsia="lv-LV"/>
              </w:rPr>
            </w:pPr>
            <w:r w:rsidRPr="008F644F">
              <w:rPr>
                <w:rFonts w:ascii="Times New Roman" w:eastAsia="Times New Roman" w:hAnsi="Times New Roman" w:cs="Times New Roman"/>
                <w:lang w:eastAsia="lv-LV"/>
              </w:rPr>
              <w:t>Informācija par to, vai šīs tabulas B ailē minētās projekta vienības paredz stingrākas prasības nekā šīs tabulas A ailē minētās ES tiesību akta vienības.</w:t>
            </w:r>
          </w:p>
          <w:p w14:paraId="09A9F974" w14:textId="77777777" w:rsidR="00894C55" w:rsidRPr="008F644F" w:rsidRDefault="00894C55" w:rsidP="00894C55">
            <w:pPr>
              <w:spacing w:before="100" w:beforeAutospacing="1" w:after="100" w:afterAutospacing="1" w:line="293" w:lineRule="atLeast"/>
              <w:rPr>
                <w:rFonts w:ascii="Times New Roman" w:eastAsia="Times New Roman" w:hAnsi="Times New Roman" w:cs="Times New Roman"/>
                <w:lang w:eastAsia="lv-LV"/>
              </w:rPr>
            </w:pPr>
            <w:r w:rsidRPr="008F644F">
              <w:rPr>
                <w:rFonts w:ascii="Times New Roman" w:eastAsia="Times New Roman" w:hAnsi="Times New Roman" w:cs="Times New Roman"/>
                <w:lang w:eastAsia="lv-LV"/>
              </w:rPr>
              <w:t>Ja projekts satur stingrākas prasības nekā attiecīgais ES tiesību akts, norāda pamatojumu un samērīgumu.</w:t>
            </w:r>
          </w:p>
          <w:p w14:paraId="58D3904F" w14:textId="77777777" w:rsidR="00894C55" w:rsidRPr="008F644F" w:rsidRDefault="00894C55" w:rsidP="00894C55">
            <w:pPr>
              <w:spacing w:before="100" w:beforeAutospacing="1" w:after="100" w:afterAutospacing="1" w:line="293" w:lineRule="atLeast"/>
              <w:rPr>
                <w:rFonts w:ascii="Times New Roman" w:eastAsia="Times New Roman" w:hAnsi="Times New Roman" w:cs="Times New Roman"/>
                <w:lang w:eastAsia="lv-LV"/>
              </w:rPr>
            </w:pPr>
            <w:r w:rsidRPr="008F644F">
              <w:rPr>
                <w:rFonts w:ascii="Times New Roman" w:eastAsia="Times New Roman" w:hAnsi="Times New Roman" w:cs="Times New Roman"/>
                <w:lang w:eastAsia="lv-LV"/>
              </w:rPr>
              <w:t xml:space="preserve">Norāda iespējamās alternatīvas (t.sk. alternatīvas, kas neparedz tiesiskā regulējuma izstrādi) – kādos gadījumos būtu iespējams izvairīties no stingrāku prasību </w:t>
            </w:r>
            <w:r w:rsidRPr="008F644F">
              <w:rPr>
                <w:rFonts w:ascii="Times New Roman" w:eastAsia="Times New Roman" w:hAnsi="Times New Roman" w:cs="Times New Roman"/>
                <w:lang w:eastAsia="lv-LV"/>
              </w:rPr>
              <w:lastRenderedPageBreak/>
              <w:t>noteikšanas, nekā paredzēts attiecīgajos ES tiesību aktos</w:t>
            </w:r>
          </w:p>
        </w:tc>
      </w:tr>
      <w:tr w:rsidR="00633BE5" w:rsidRPr="008F644F" w14:paraId="3219CF89" w14:textId="77777777" w:rsidTr="008C6042">
        <w:tc>
          <w:tcPr>
            <w:tcW w:w="1306" w:type="pct"/>
            <w:tcBorders>
              <w:top w:val="outset" w:sz="6" w:space="0" w:color="414142"/>
              <w:left w:val="outset" w:sz="6" w:space="0" w:color="414142"/>
              <w:bottom w:val="outset" w:sz="6" w:space="0" w:color="414142"/>
              <w:right w:val="outset" w:sz="6" w:space="0" w:color="414142"/>
            </w:tcBorders>
          </w:tcPr>
          <w:p w14:paraId="000C78A0" w14:textId="2EDDFCBA" w:rsidR="00633BE5" w:rsidRPr="00633BE5" w:rsidRDefault="00633BE5" w:rsidP="002E09E2">
            <w:pPr>
              <w:spacing w:after="0"/>
              <w:jc w:val="both"/>
              <w:rPr>
                <w:rFonts w:ascii="Times New Roman" w:hAnsi="Times New Roman" w:cs="Times New Roman"/>
              </w:rPr>
            </w:pPr>
            <w:r w:rsidRPr="00633BE5">
              <w:rPr>
                <w:rFonts w:ascii="Times New Roman" w:hAnsi="Times New Roman" w:cs="Times New Roman"/>
              </w:rPr>
              <w:lastRenderedPageBreak/>
              <w:t xml:space="preserve">Direktīvas 2001/82/EK </w:t>
            </w:r>
            <w:proofErr w:type="gramStart"/>
            <w:r w:rsidR="00F621AD">
              <w:rPr>
                <w:rFonts w:ascii="Times New Roman" w:hAnsi="Times New Roman" w:cs="Times New Roman"/>
              </w:rPr>
              <w:t>65</w:t>
            </w:r>
            <w:r w:rsidRPr="00633BE5">
              <w:rPr>
                <w:rFonts w:ascii="Times New Roman" w:hAnsi="Times New Roman" w:cs="Times New Roman"/>
              </w:rPr>
              <w:t>.panta</w:t>
            </w:r>
            <w:proofErr w:type="gramEnd"/>
            <w:r w:rsidRPr="00633BE5">
              <w:rPr>
                <w:rFonts w:ascii="Times New Roman" w:hAnsi="Times New Roman" w:cs="Times New Roman"/>
              </w:rPr>
              <w:t xml:space="preserve"> </w:t>
            </w:r>
            <w:r w:rsidR="00F621AD">
              <w:rPr>
                <w:rFonts w:ascii="Times New Roman" w:hAnsi="Times New Roman" w:cs="Times New Roman"/>
              </w:rPr>
              <w:t>1.punkta pirmā daļa</w:t>
            </w:r>
          </w:p>
        </w:tc>
        <w:tc>
          <w:tcPr>
            <w:tcW w:w="1081" w:type="pct"/>
            <w:tcBorders>
              <w:top w:val="outset" w:sz="6" w:space="0" w:color="414142"/>
              <w:left w:val="outset" w:sz="6" w:space="0" w:color="414142"/>
              <w:bottom w:val="outset" w:sz="6" w:space="0" w:color="414142"/>
              <w:right w:val="outset" w:sz="6" w:space="0" w:color="414142"/>
            </w:tcBorders>
          </w:tcPr>
          <w:p w14:paraId="797C3018" w14:textId="77777777" w:rsidR="002E3D31" w:rsidRPr="002E3D31" w:rsidRDefault="002E3D31" w:rsidP="00633BE5">
            <w:pPr>
              <w:pStyle w:val="naisc"/>
              <w:spacing w:before="0" w:beforeAutospacing="0" w:after="0" w:afterAutospacing="0"/>
              <w:jc w:val="both"/>
              <w:rPr>
                <w:sz w:val="22"/>
                <w:szCs w:val="22"/>
                <w:lang w:val="lv-LV"/>
              </w:rPr>
            </w:pPr>
            <w:r w:rsidRPr="002E3D31">
              <w:rPr>
                <w:sz w:val="22"/>
                <w:szCs w:val="22"/>
                <w:lang w:val="lv-LV"/>
              </w:rPr>
              <w:t>Noteikumu projekta 1.punkts</w:t>
            </w:r>
          </w:p>
          <w:p w14:paraId="2C4DFBBD" w14:textId="77777777" w:rsidR="002E3D31" w:rsidRPr="002E3D31" w:rsidRDefault="002E3D31" w:rsidP="00633BE5">
            <w:pPr>
              <w:pStyle w:val="naisc"/>
              <w:spacing w:before="0" w:beforeAutospacing="0" w:after="0" w:afterAutospacing="0"/>
              <w:jc w:val="both"/>
              <w:rPr>
                <w:sz w:val="22"/>
                <w:szCs w:val="22"/>
                <w:lang w:val="lv-LV"/>
              </w:rPr>
            </w:pPr>
          </w:p>
          <w:p w14:paraId="46BF3BE1" w14:textId="77777777" w:rsidR="00633BE5" w:rsidRPr="002E3D31" w:rsidRDefault="002E3D31" w:rsidP="00633BE5">
            <w:pPr>
              <w:pStyle w:val="naisc"/>
              <w:spacing w:before="0" w:beforeAutospacing="0" w:after="0" w:afterAutospacing="0"/>
              <w:jc w:val="both"/>
              <w:rPr>
                <w:sz w:val="22"/>
                <w:szCs w:val="22"/>
                <w:lang w:val="lv-LV"/>
              </w:rPr>
            </w:pPr>
            <w:r w:rsidRPr="002E3D31">
              <w:rPr>
                <w:sz w:val="22"/>
                <w:szCs w:val="22"/>
                <w:lang w:val="lv-LV"/>
              </w:rPr>
              <w:t xml:space="preserve">Noteikumu Nr.35 </w:t>
            </w:r>
            <w:r w:rsidR="00633BE5" w:rsidRPr="002E3D31">
              <w:rPr>
                <w:sz w:val="22"/>
                <w:szCs w:val="22"/>
                <w:lang w:val="lv-LV"/>
              </w:rPr>
              <w:t>4.</w:t>
            </w:r>
            <w:r w:rsidR="00633BE5" w:rsidRPr="002E3D31">
              <w:rPr>
                <w:sz w:val="22"/>
                <w:szCs w:val="22"/>
                <w:vertAlign w:val="superscript"/>
                <w:lang w:val="lv-LV"/>
              </w:rPr>
              <w:t>1</w:t>
            </w:r>
            <w:r w:rsidR="00633BE5" w:rsidRPr="002E3D31">
              <w:rPr>
                <w:sz w:val="22"/>
                <w:szCs w:val="22"/>
                <w:lang w:val="lv-LV"/>
              </w:rPr>
              <w:t>punkts</w:t>
            </w:r>
          </w:p>
        </w:tc>
        <w:tc>
          <w:tcPr>
            <w:tcW w:w="1375" w:type="pct"/>
            <w:tcBorders>
              <w:top w:val="outset" w:sz="6" w:space="0" w:color="414142"/>
              <w:left w:val="outset" w:sz="6" w:space="0" w:color="414142"/>
              <w:bottom w:val="outset" w:sz="6" w:space="0" w:color="414142"/>
              <w:right w:val="outset" w:sz="6" w:space="0" w:color="414142"/>
            </w:tcBorders>
          </w:tcPr>
          <w:p w14:paraId="316905C0" w14:textId="77777777" w:rsidR="00633BE5" w:rsidRPr="00FC64CD" w:rsidRDefault="00633BE5" w:rsidP="00633BE5">
            <w:pPr>
              <w:pStyle w:val="naisc"/>
              <w:spacing w:before="0" w:beforeAutospacing="0" w:after="0" w:afterAutospacing="0"/>
              <w:jc w:val="both"/>
              <w:rPr>
                <w:sz w:val="22"/>
                <w:szCs w:val="22"/>
                <w:lang w:val="lv-LV"/>
              </w:rPr>
            </w:pPr>
            <w:r w:rsidRPr="00FC64CD">
              <w:rPr>
                <w:sz w:val="22"/>
                <w:szCs w:val="22"/>
                <w:lang w:val="lv-LV"/>
              </w:rPr>
              <w:t>ES tiesību akta vienība tiek ieviesta pilnībā.</w:t>
            </w:r>
          </w:p>
        </w:tc>
        <w:tc>
          <w:tcPr>
            <w:tcW w:w="1238" w:type="pct"/>
            <w:tcBorders>
              <w:top w:val="outset" w:sz="6" w:space="0" w:color="414142"/>
              <w:left w:val="outset" w:sz="6" w:space="0" w:color="414142"/>
              <w:bottom w:val="outset" w:sz="6" w:space="0" w:color="414142"/>
              <w:right w:val="outset" w:sz="6" w:space="0" w:color="414142"/>
            </w:tcBorders>
          </w:tcPr>
          <w:p w14:paraId="250E5684" w14:textId="77777777" w:rsidR="00633BE5" w:rsidRPr="00FC64CD" w:rsidRDefault="00633BE5" w:rsidP="00633BE5">
            <w:pPr>
              <w:pStyle w:val="naisc"/>
              <w:spacing w:before="0" w:beforeAutospacing="0" w:after="0" w:afterAutospacing="0"/>
              <w:jc w:val="both"/>
              <w:rPr>
                <w:sz w:val="22"/>
                <w:szCs w:val="22"/>
                <w:lang w:val="lv-LV"/>
              </w:rPr>
            </w:pPr>
            <w:r w:rsidRPr="00FC64CD">
              <w:rPr>
                <w:sz w:val="22"/>
                <w:szCs w:val="22"/>
                <w:lang w:val="lv-LV"/>
              </w:rPr>
              <w:t>Attiecīgais noteikumu projekta punkts neparedz stingrākas prasības kā ES tiesību aktā.</w:t>
            </w:r>
          </w:p>
        </w:tc>
      </w:tr>
      <w:tr w:rsidR="00732E45" w:rsidRPr="008F644F" w14:paraId="4A0EF18D" w14:textId="77777777" w:rsidTr="008C6042">
        <w:tc>
          <w:tcPr>
            <w:tcW w:w="1306" w:type="pct"/>
            <w:tcBorders>
              <w:top w:val="outset" w:sz="6" w:space="0" w:color="414142"/>
              <w:left w:val="outset" w:sz="6" w:space="0" w:color="414142"/>
              <w:bottom w:val="outset" w:sz="6" w:space="0" w:color="414142"/>
              <w:right w:val="outset" w:sz="6" w:space="0" w:color="414142"/>
            </w:tcBorders>
          </w:tcPr>
          <w:p w14:paraId="233B7C7C" w14:textId="73F21F79" w:rsidR="00732E45" w:rsidRPr="00633BE5" w:rsidRDefault="00732E45" w:rsidP="002E09E2">
            <w:pPr>
              <w:spacing w:after="0"/>
              <w:jc w:val="both"/>
              <w:rPr>
                <w:rFonts w:ascii="Times New Roman" w:hAnsi="Times New Roman" w:cs="Times New Roman"/>
              </w:rPr>
            </w:pPr>
            <w:r w:rsidRPr="00633BE5">
              <w:rPr>
                <w:rFonts w:ascii="Times New Roman" w:hAnsi="Times New Roman" w:cs="Times New Roman"/>
              </w:rPr>
              <w:t xml:space="preserve">Direktīvas 2001/82/EK </w:t>
            </w:r>
            <w:proofErr w:type="gramStart"/>
            <w:r>
              <w:rPr>
                <w:rFonts w:ascii="Times New Roman" w:hAnsi="Times New Roman" w:cs="Times New Roman"/>
              </w:rPr>
              <w:t>45</w:t>
            </w:r>
            <w:r w:rsidRPr="00633BE5">
              <w:rPr>
                <w:rFonts w:ascii="Times New Roman" w:hAnsi="Times New Roman" w:cs="Times New Roman"/>
              </w:rPr>
              <w:t>.pant</w:t>
            </w:r>
            <w:r>
              <w:rPr>
                <w:rFonts w:ascii="Times New Roman" w:hAnsi="Times New Roman" w:cs="Times New Roman"/>
              </w:rPr>
              <w:t>s</w:t>
            </w:r>
            <w:proofErr w:type="gramEnd"/>
            <w:r w:rsidRPr="00633BE5">
              <w:rPr>
                <w:rFonts w:ascii="Times New Roman" w:hAnsi="Times New Roman" w:cs="Times New Roman"/>
              </w:rPr>
              <w:t xml:space="preserve">  </w:t>
            </w:r>
          </w:p>
        </w:tc>
        <w:tc>
          <w:tcPr>
            <w:tcW w:w="1081" w:type="pct"/>
            <w:tcBorders>
              <w:top w:val="outset" w:sz="6" w:space="0" w:color="414142"/>
              <w:left w:val="outset" w:sz="6" w:space="0" w:color="414142"/>
              <w:bottom w:val="outset" w:sz="6" w:space="0" w:color="414142"/>
              <w:right w:val="outset" w:sz="6" w:space="0" w:color="414142"/>
            </w:tcBorders>
          </w:tcPr>
          <w:p w14:paraId="3C235FFD" w14:textId="77777777" w:rsidR="00732E45" w:rsidRPr="002E3D31" w:rsidRDefault="00732E45" w:rsidP="00732E45">
            <w:pPr>
              <w:pStyle w:val="naisc"/>
              <w:spacing w:before="0" w:beforeAutospacing="0" w:after="0" w:afterAutospacing="0"/>
              <w:jc w:val="both"/>
              <w:rPr>
                <w:sz w:val="22"/>
                <w:szCs w:val="22"/>
                <w:lang w:val="lv-LV"/>
              </w:rPr>
            </w:pPr>
            <w:r w:rsidRPr="002E3D31">
              <w:rPr>
                <w:sz w:val="22"/>
                <w:szCs w:val="22"/>
                <w:lang w:val="lv-LV"/>
              </w:rPr>
              <w:t xml:space="preserve">Noteikumu projekta </w:t>
            </w:r>
            <w:r>
              <w:rPr>
                <w:sz w:val="22"/>
                <w:szCs w:val="22"/>
                <w:lang w:val="lv-LV"/>
              </w:rPr>
              <w:t>2</w:t>
            </w:r>
            <w:r w:rsidRPr="002E3D31">
              <w:rPr>
                <w:sz w:val="22"/>
                <w:szCs w:val="22"/>
                <w:lang w:val="lv-LV"/>
              </w:rPr>
              <w:t>.punkts</w:t>
            </w:r>
          </w:p>
          <w:p w14:paraId="34263691" w14:textId="77777777" w:rsidR="00732E45" w:rsidRPr="002E3D31" w:rsidRDefault="00732E45" w:rsidP="00732E45">
            <w:pPr>
              <w:pStyle w:val="naisc"/>
              <w:spacing w:before="0" w:beforeAutospacing="0" w:after="0" w:afterAutospacing="0"/>
              <w:jc w:val="both"/>
              <w:rPr>
                <w:sz w:val="22"/>
                <w:szCs w:val="22"/>
                <w:lang w:val="lv-LV"/>
              </w:rPr>
            </w:pPr>
            <w:r w:rsidRPr="002E3D31">
              <w:rPr>
                <w:sz w:val="22"/>
                <w:szCs w:val="22"/>
                <w:lang w:val="lv-LV"/>
              </w:rPr>
              <w:t xml:space="preserve">Noteikumu Nr.35 </w:t>
            </w:r>
            <w:r>
              <w:rPr>
                <w:sz w:val="22"/>
                <w:szCs w:val="22"/>
                <w:lang w:val="lv-LV"/>
              </w:rPr>
              <w:t>6</w:t>
            </w:r>
            <w:r w:rsidRPr="002E3D31">
              <w:rPr>
                <w:sz w:val="22"/>
                <w:szCs w:val="22"/>
                <w:lang w:val="lv-LV"/>
              </w:rPr>
              <w:t>.punkts</w:t>
            </w:r>
          </w:p>
        </w:tc>
        <w:tc>
          <w:tcPr>
            <w:tcW w:w="1375" w:type="pct"/>
            <w:tcBorders>
              <w:top w:val="outset" w:sz="6" w:space="0" w:color="414142"/>
              <w:left w:val="outset" w:sz="6" w:space="0" w:color="414142"/>
              <w:bottom w:val="outset" w:sz="6" w:space="0" w:color="414142"/>
              <w:right w:val="outset" w:sz="6" w:space="0" w:color="414142"/>
            </w:tcBorders>
          </w:tcPr>
          <w:p w14:paraId="3908215B" w14:textId="77777777" w:rsidR="00732E45" w:rsidRPr="00FC64CD" w:rsidRDefault="00732E45" w:rsidP="00732E45">
            <w:pPr>
              <w:pStyle w:val="naisc"/>
              <w:spacing w:before="0" w:beforeAutospacing="0" w:after="0" w:afterAutospacing="0"/>
              <w:jc w:val="both"/>
              <w:rPr>
                <w:sz w:val="22"/>
                <w:szCs w:val="22"/>
                <w:lang w:val="lv-LV"/>
              </w:rPr>
            </w:pPr>
            <w:r w:rsidRPr="00FC64CD">
              <w:rPr>
                <w:sz w:val="22"/>
                <w:szCs w:val="22"/>
                <w:lang w:val="lv-LV"/>
              </w:rPr>
              <w:t>ES tiesību akta vienība tiek ieviesta pilnībā.</w:t>
            </w:r>
          </w:p>
        </w:tc>
        <w:tc>
          <w:tcPr>
            <w:tcW w:w="1238" w:type="pct"/>
            <w:tcBorders>
              <w:top w:val="outset" w:sz="6" w:space="0" w:color="414142"/>
              <w:left w:val="outset" w:sz="6" w:space="0" w:color="414142"/>
              <w:bottom w:val="outset" w:sz="6" w:space="0" w:color="414142"/>
              <w:right w:val="outset" w:sz="6" w:space="0" w:color="414142"/>
            </w:tcBorders>
          </w:tcPr>
          <w:p w14:paraId="07F4813F" w14:textId="77777777" w:rsidR="00732E45" w:rsidRPr="00FC64CD" w:rsidRDefault="00732E45" w:rsidP="00732E45">
            <w:pPr>
              <w:pStyle w:val="naisc"/>
              <w:spacing w:before="0" w:beforeAutospacing="0" w:after="0" w:afterAutospacing="0"/>
              <w:jc w:val="both"/>
              <w:rPr>
                <w:sz w:val="22"/>
                <w:szCs w:val="22"/>
                <w:lang w:val="lv-LV"/>
              </w:rPr>
            </w:pPr>
            <w:r w:rsidRPr="00FC64CD">
              <w:rPr>
                <w:sz w:val="22"/>
                <w:szCs w:val="22"/>
                <w:lang w:val="lv-LV"/>
              </w:rPr>
              <w:t>Attiecīgais noteikumu projekta punkts neparedz stingrākas prasības kā ES tiesību aktā.</w:t>
            </w:r>
          </w:p>
        </w:tc>
      </w:tr>
      <w:tr w:rsidR="00732E45" w:rsidRPr="008F644F" w14:paraId="2C40BF88" w14:textId="77777777" w:rsidTr="008C6042">
        <w:tc>
          <w:tcPr>
            <w:tcW w:w="1306" w:type="pct"/>
            <w:tcBorders>
              <w:top w:val="outset" w:sz="6" w:space="0" w:color="414142"/>
              <w:left w:val="outset" w:sz="6" w:space="0" w:color="414142"/>
              <w:bottom w:val="outset" w:sz="6" w:space="0" w:color="414142"/>
              <w:right w:val="outset" w:sz="6" w:space="0" w:color="414142"/>
            </w:tcBorders>
          </w:tcPr>
          <w:p w14:paraId="3A5599BF" w14:textId="264CA4B0" w:rsidR="00732E45" w:rsidRPr="00633BE5" w:rsidRDefault="00732E45" w:rsidP="002E09E2">
            <w:pPr>
              <w:spacing w:after="0"/>
              <w:jc w:val="both"/>
              <w:rPr>
                <w:rFonts w:ascii="Times New Roman" w:hAnsi="Times New Roman" w:cs="Times New Roman"/>
              </w:rPr>
            </w:pPr>
            <w:r w:rsidRPr="00633BE5">
              <w:rPr>
                <w:rFonts w:ascii="Times New Roman" w:hAnsi="Times New Roman" w:cs="Times New Roman"/>
              </w:rPr>
              <w:t xml:space="preserve">Direktīvas 2001/82/EK </w:t>
            </w:r>
            <w:proofErr w:type="gramStart"/>
            <w:r>
              <w:rPr>
                <w:rFonts w:ascii="Times New Roman" w:hAnsi="Times New Roman" w:cs="Times New Roman"/>
              </w:rPr>
              <w:t>65</w:t>
            </w:r>
            <w:r w:rsidRPr="00633BE5">
              <w:rPr>
                <w:rFonts w:ascii="Times New Roman" w:hAnsi="Times New Roman" w:cs="Times New Roman"/>
              </w:rPr>
              <w:t>.panta</w:t>
            </w:r>
            <w:proofErr w:type="gramEnd"/>
            <w:r w:rsidRPr="00633BE5">
              <w:rPr>
                <w:rFonts w:ascii="Times New Roman" w:hAnsi="Times New Roman" w:cs="Times New Roman"/>
              </w:rPr>
              <w:t xml:space="preserve"> </w:t>
            </w:r>
            <w:r>
              <w:rPr>
                <w:rFonts w:ascii="Times New Roman" w:hAnsi="Times New Roman" w:cs="Times New Roman"/>
              </w:rPr>
              <w:t>2.punkts</w:t>
            </w:r>
          </w:p>
        </w:tc>
        <w:tc>
          <w:tcPr>
            <w:tcW w:w="1081" w:type="pct"/>
            <w:tcBorders>
              <w:top w:val="outset" w:sz="6" w:space="0" w:color="414142"/>
              <w:left w:val="outset" w:sz="6" w:space="0" w:color="414142"/>
              <w:bottom w:val="outset" w:sz="6" w:space="0" w:color="414142"/>
              <w:right w:val="outset" w:sz="6" w:space="0" w:color="414142"/>
            </w:tcBorders>
          </w:tcPr>
          <w:p w14:paraId="00F800F8" w14:textId="77777777" w:rsidR="00732E45" w:rsidRPr="002E3D31" w:rsidRDefault="00732E45" w:rsidP="00732E45">
            <w:pPr>
              <w:pStyle w:val="naisc"/>
              <w:spacing w:before="0" w:beforeAutospacing="0" w:after="0" w:afterAutospacing="0"/>
              <w:jc w:val="both"/>
              <w:rPr>
                <w:sz w:val="22"/>
                <w:szCs w:val="22"/>
                <w:lang w:val="lv-LV"/>
              </w:rPr>
            </w:pPr>
            <w:r w:rsidRPr="002E3D31">
              <w:rPr>
                <w:sz w:val="22"/>
                <w:szCs w:val="22"/>
                <w:lang w:val="lv-LV"/>
              </w:rPr>
              <w:t xml:space="preserve">Noteikumu projekta </w:t>
            </w:r>
            <w:r>
              <w:rPr>
                <w:sz w:val="22"/>
                <w:szCs w:val="22"/>
                <w:lang w:val="lv-LV"/>
              </w:rPr>
              <w:t>5</w:t>
            </w:r>
            <w:r w:rsidRPr="002E3D31">
              <w:rPr>
                <w:sz w:val="22"/>
                <w:szCs w:val="22"/>
                <w:lang w:val="lv-LV"/>
              </w:rPr>
              <w:t>.</w:t>
            </w:r>
            <w:r>
              <w:rPr>
                <w:sz w:val="22"/>
                <w:szCs w:val="22"/>
                <w:lang w:val="lv-LV"/>
              </w:rPr>
              <w:t>, 6. un 7.</w:t>
            </w:r>
            <w:r w:rsidRPr="002E3D31">
              <w:rPr>
                <w:sz w:val="22"/>
                <w:szCs w:val="22"/>
                <w:lang w:val="lv-LV"/>
              </w:rPr>
              <w:t>punkts</w:t>
            </w:r>
          </w:p>
          <w:p w14:paraId="4549CFA2" w14:textId="77777777" w:rsidR="00732E45" w:rsidRPr="002E3D31" w:rsidRDefault="00732E45" w:rsidP="00732E45">
            <w:pPr>
              <w:pStyle w:val="naisc"/>
              <w:spacing w:before="0" w:beforeAutospacing="0" w:after="0" w:afterAutospacing="0"/>
              <w:jc w:val="both"/>
              <w:rPr>
                <w:sz w:val="22"/>
                <w:szCs w:val="22"/>
                <w:lang w:val="lv-LV"/>
              </w:rPr>
            </w:pPr>
          </w:p>
          <w:p w14:paraId="3BAF53C4" w14:textId="46022954" w:rsidR="00732E45" w:rsidRPr="002E3D31" w:rsidRDefault="00732E45" w:rsidP="00732E45">
            <w:pPr>
              <w:pStyle w:val="naisc"/>
              <w:spacing w:before="0" w:beforeAutospacing="0" w:after="0" w:afterAutospacing="0"/>
              <w:jc w:val="both"/>
              <w:rPr>
                <w:sz w:val="22"/>
                <w:szCs w:val="22"/>
                <w:lang w:val="lv-LV"/>
              </w:rPr>
            </w:pPr>
            <w:r w:rsidRPr="002E3D31">
              <w:rPr>
                <w:sz w:val="22"/>
                <w:szCs w:val="22"/>
                <w:lang w:val="lv-LV"/>
              </w:rPr>
              <w:t xml:space="preserve">Noteikumu Nr.35 </w:t>
            </w:r>
            <w:r>
              <w:rPr>
                <w:sz w:val="22"/>
                <w:szCs w:val="22"/>
                <w:lang w:val="lv-LV"/>
              </w:rPr>
              <w:t>12</w:t>
            </w:r>
            <w:r w:rsidRPr="002E3D31">
              <w:rPr>
                <w:sz w:val="22"/>
                <w:szCs w:val="22"/>
                <w:lang w:val="lv-LV"/>
              </w:rPr>
              <w:t>.</w:t>
            </w:r>
            <w:r w:rsidR="009F2B63">
              <w:rPr>
                <w:sz w:val="22"/>
                <w:szCs w:val="22"/>
                <w:lang w:val="lv-LV"/>
              </w:rPr>
              <w:t xml:space="preserve"> un</w:t>
            </w:r>
            <w:r>
              <w:rPr>
                <w:sz w:val="22"/>
                <w:szCs w:val="22"/>
                <w:lang w:val="lv-LV"/>
              </w:rPr>
              <w:t xml:space="preserve"> 14.</w:t>
            </w:r>
            <w:r w:rsidRPr="002E3D31">
              <w:rPr>
                <w:sz w:val="22"/>
                <w:szCs w:val="22"/>
                <w:lang w:val="lv-LV"/>
              </w:rPr>
              <w:t>punkts</w:t>
            </w:r>
          </w:p>
        </w:tc>
        <w:tc>
          <w:tcPr>
            <w:tcW w:w="1375" w:type="pct"/>
            <w:tcBorders>
              <w:top w:val="outset" w:sz="6" w:space="0" w:color="414142"/>
              <w:left w:val="outset" w:sz="6" w:space="0" w:color="414142"/>
              <w:bottom w:val="outset" w:sz="6" w:space="0" w:color="414142"/>
              <w:right w:val="outset" w:sz="6" w:space="0" w:color="414142"/>
            </w:tcBorders>
          </w:tcPr>
          <w:p w14:paraId="502D6A4F" w14:textId="77777777" w:rsidR="00732E45" w:rsidRPr="00FC64CD" w:rsidRDefault="00732E45" w:rsidP="00732E45">
            <w:pPr>
              <w:pStyle w:val="naisc"/>
              <w:spacing w:before="0" w:beforeAutospacing="0" w:after="0" w:afterAutospacing="0"/>
              <w:jc w:val="both"/>
              <w:rPr>
                <w:sz w:val="22"/>
                <w:szCs w:val="22"/>
                <w:lang w:val="lv-LV"/>
              </w:rPr>
            </w:pPr>
            <w:r w:rsidRPr="00FC64CD">
              <w:rPr>
                <w:sz w:val="22"/>
                <w:szCs w:val="22"/>
                <w:lang w:val="lv-LV"/>
              </w:rPr>
              <w:t>ES tiesību akta vienība tiek ieviesta pilnībā.</w:t>
            </w:r>
          </w:p>
        </w:tc>
        <w:tc>
          <w:tcPr>
            <w:tcW w:w="1238" w:type="pct"/>
            <w:tcBorders>
              <w:top w:val="outset" w:sz="6" w:space="0" w:color="414142"/>
              <w:left w:val="outset" w:sz="6" w:space="0" w:color="414142"/>
              <w:bottom w:val="outset" w:sz="6" w:space="0" w:color="414142"/>
              <w:right w:val="outset" w:sz="6" w:space="0" w:color="414142"/>
            </w:tcBorders>
          </w:tcPr>
          <w:p w14:paraId="795425F2" w14:textId="77777777" w:rsidR="00732E45" w:rsidRPr="00FC64CD" w:rsidRDefault="00732E45" w:rsidP="00732E45">
            <w:pPr>
              <w:pStyle w:val="naisc"/>
              <w:spacing w:before="0" w:beforeAutospacing="0" w:after="0" w:afterAutospacing="0"/>
              <w:jc w:val="both"/>
              <w:rPr>
                <w:sz w:val="22"/>
                <w:szCs w:val="22"/>
                <w:lang w:val="lv-LV"/>
              </w:rPr>
            </w:pPr>
            <w:r w:rsidRPr="00FC64CD">
              <w:rPr>
                <w:sz w:val="22"/>
                <w:szCs w:val="22"/>
                <w:lang w:val="lv-LV"/>
              </w:rPr>
              <w:t>Attiecīgais noteikumu projekta punkts neparedz stingrākas prasības kā ES tiesību aktā.</w:t>
            </w:r>
          </w:p>
        </w:tc>
      </w:tr>
      <w:tr w:rsidR="00732E45" w:rsidRPr="008F644F" w14:paraId="653A5D59" w14:textId="77777777" w:rsidTr="008C6042">
        <w:tc>
          <w:tcPr>
            <w:tcW w:w="1306" w:type="pct"/>
            <w:tcBorders>
              <w:top w:val="outset" w:sz="6" w:space="0" w:color="414142"/>
              <w:left w:val="outset" w:sz="6" w:space="0" w:color="414142"/>
              <w:bottom w:val="outset" w:sz="6" w:space="0" w:color="414142"/>
              <w:right w:val="outset" w:sz="6" w:space="0" w:color="414142"/>
            </w:tcBorders>
          </w:tcPr>
          <w:p w14:paraId="4B009FBE" w14:textId="551F6DEC" w:rsidR="00732E45" w:rsidRPr="008F644F" w:rsidRDefault="00732E45" w:rsidP="002E09E2">
            <w:pPr>
              <w:pStyle w:val="Bezatstarpm"/>
              <w:rPr>
                <w:rFonts w:ascii="Times New Roman" w:hAnsi="Times New Roman"/>
                <w:sz w:val="24"/>
                <w:szCs w:val="24"/>
              </w:rPr>
            </w:pPr>
            <w:r w:rsidRPr="00633BE5">
              <w:rPr>
                <w:rFonts w:ascii="Times New Roman" w:hAnsi="Times New Roman"/>
              </w:rPr>
              <w:t>Direktīvas 2001/82/EK</w:t>
            </w:r>
            <w:r>
              <w:rPr>
                <w:rFonts w:ascii="Times New Roman" w:hAnsi="Times New Roman"/>
              </w:rPr>
              <w:t xml:space="preserve"> </w:t>
            </w:r>
            <w:proofErr w:type="gramStart"/>
            <w:r w:rsidRPr="00633BE5">
              <w:rPr>
                <w:rFonts w:ascii="Times New Roman" w:hAnsi="Times New Roman"/>
              </w:rPr>
              <w:t>4</w:t>
            </w:r>
            <w:r>
              <w:rPr>
                <w:rFonts w:ascii="Times New Roman" w:hAnsi="Times New Roman"/>
              </w:rPr>
              <w:t>6</w:t>
            </w:r>
            <w:r w:rsidRPr="00633BE5">
              <w:rPr>
                <w:rFonts w:ascii="Times New Roman" w:hAnsi="Times New Roman"/>
              </w:rPr>
              <w:t>.pant</w:t>
            </w:r>
            <w:r>
              <w:rPr>
                <w:rFonts w:ascii="Times New Roman" w:hAnsi="Times New Roman"/>
              </w:rPr>
              <w:t>s</w:t>
            </w:r>
            <w:proofErr w:type="gramEnd"/>
            <w:r w:rsidRPr="00633BE5">
              <w:rPr>
                <w:rFonts w:ascii="Times New Roman" w:hAnsi="Times New Roman"/>
              </w:rPr>
              <w:t xml:space="preserve">  </w:t>
            </w:r>
          </w:p>
        </w:tc>
        <w:tc>
          <w:tcPr>
            <w:tcW w:w="1081" w:type="pct"/>
            <w:tcBorders>
              <w:top w:val="outset" w:sz="6" w:space="0" w:color="414142"/>
              <w:left w:val="outset" w:sz="6" w:space="0" w:color="414142"/>
              <w:bottom w:val="outset" w:sz="6" w:space="0" w:color="414142"/>
              <w:right w:val="outset" w:sz="6" w:space="0" w:color="414142"/>
            </w:tcBorders>
          </w:tcPr>
          <w:p w14:paraId="71FD25F8" w14:textId="77777777" w:rsidR="00732E45" w:rsidRPr="002E3D31" w:rsidRDefault="00732E45" w:rsidP="00732E45">
            <w:pPr>
              <w:pStyle w:val="Bezatstarpm"/>
              <w:rPr>
                <w:rFonts w:ascii="Times New Roman" w:hAnsi="Times New Roman"/>
              </w:rPr>
            </w:pPr>
            <w:r w:rsidRPr="002E3D31">
              <w:rPr>
                <w:rFonts w:ascii="Times New Roman" w:hAnsi="Times New Roman"/>
              </w:rPr>
              <w:t>Noteikumu projekta 10.punkts</w:t>
            </w:r>
          </w:p>
          <w:p w14:paraId="17A69528" w14:textId="77777777" w:rsidR="00732E45" w:rsidRPr="002E3D31" w:rsidRDefault="00732E45" w:rsidP="00732E45">
            <w:pPr>
              <w:pStyle w:val="Bezatstarpm"/>
              <w:rPr>
                <w:rFonts w:ascii="Times New Roman" w:hAnsi="Times New Roman"/>
              </w:rPr>
            </w:pPr>
            <w:r w:rsidRPr="002E3D31">
              <w:rPr>
                <w:rFonts w:ascii="Times New Roman" w:hAnsi="Times New Roman"/>
              </w:rPr>
              <w:t>Noteikumu Nr.35 21.</w:t>
            </w:r>
            <w:r w:rsidRPr="002E3D31">
              <w:rPr>
                <w:rFonts w:ascii="Times New Roman" w:hAnsi="Times New Roman"/>
                <w:vertAlign w:val="superscript"/>
              </w:rPr>
              <w:t>1</w:t>
            </w:r>
            <w:r w:rsidRPr="002E3D31">
              <w:rPr>
                <w:rFonts w:ascii="Times New Roman" w:hAnsi="Times New Roman"/>
              </w:rPr>
              <w:t xml:space="preserve"> un 21.</w:t>
            </w:r>
            <w:r w:rsidRPr="002E3D31">
              <w:rPr>
                <w:rFonts w:ascii="Times New Roman" w:hAnsi="Times New Roman"/>
                <w:vertAlign w:val="superscript"/>
              </w:rPr>
              <w:t>2</w:t>
            </w:r>
            <w:r w:rsidRPr="002E3D31">
              <w:rPr>
                <w:rFonts w:ascii="Times New Roman" w:hAnsi="Times New Roman"/>
              </w:rPr>
              <w:t xml:space="preserve"> punkts</w:t>
            </w:r>
          </w:p>
        </w:tc>
        <w:tc>
          <w:tcPr>
            <w:tcW w:w="1375" w:type="pct"/>
            <w:tcBorders>
              <w:top w:val="outset" w:sz="6" w:space="0" w:color="414142"/>
              <w:left w:val="outset" w:sz="6" w:space="0" w:color="414142"/>
              <w:bottom w:val="outset" w:sz="6" w:space="0" w:color="414142"/>
              <w:right w:val="outset" w:sz="6" w:space="0" w:color="414142"/>
            </w:tcBorders>
          </w:tcPr>
          <w:p w14:paraId="6CB4CEF5" w14:textId="77777777" w:rsidR="00732E45" w:rsidRPr="00FC64CD" w:rsidRDefault="00732E45" w:rsidP="00732E45">
            <w:pPr>
              <w:pStyle w:val="naisc"/>
              <w:spacing w:before="0" w:beforeAutospacing="0" w:after="0" w:afterAutospacing="0"/>
              <w:jc w:val="both"/>
              <w:rPr>
                <w:sz w:val="22"/>
                <w:szCs w:val="22"/>
                <w:lang w:val="lv-LV"/>
              </w:rPr>
            </w:pPr>
            <w:r w:rsidRPr="00FC64CD">
              <w:rPr>
                <w:sz w:val="22"/>
                <w:szCs w:val="22"/>
                <w:lang w:val="lv-LV"/>
              </w:rPr>
              <w:t>ES tiesību akta vienība tiek ieviesta pilnībā.</w:t>
            </w:r>
          </w:p>
        </w:tc>
        <w:tc>
          <w:tcPr>
            <w:tcW w:w="1238" w:type="pct"/>
            <w:tcBorders>
              <w:top w:val="outset" w:sz="6" w:space="0" w:color="414142"/>
              <w:left w:val="outset" w:sz="6" w:space="0" w:color="414142"/>
              <w:bottom w:val="outset" w:sz="6" w:space="0" w:color="414142"/>
              <w:right w:val="outset" w:sz="6" w:space="0" w:color="414142"/>
            </w:tcBorders>
          </w:tcPr>
          <w:p w14:paraId="6F748C61" w14:textId="77777777" w:rsidR="00732E45" w:rsidRPr="00FC64CD" w:rsidRDefault="00732E45" w:rsidP="00732E45">
            <w:pPr>
              <w:pStyle w:val="naisc"/>
              <w:spacing w:before="0" w:beforeAutospacing="0" w:after="0" w:afterAutospacing="0"/>
              <w:jc w:val="both"/>
              <w:rPr>
                <w:sz w:val="22"/>
                <w:szCs w:val="22"/>
                <w:lang w:val="lv-LV"/>
              </w:rPr>
            </w:pPr>
            <w:r w:rsidRPr="00FC64CD">
              <w:rPr>
                <w:sz w:val="22"/>
                <w:szCs w:val="22"/>
                <w:lang w:val="lv-LV"/>
              </w:rPr>
              <w:t>Attiecīgais noteikumu projekta punkts neparedz stingrākas prasības kā ES tiesību aktā.</w:t>
            </w:r>
          </w:p>
        </w:tc>
      </w:tr>
      <w:tr w:rsidR="00732E45" w:rsidRPr="008F644F" w14:paraId="1C4CF295" w14:textId="77777777" w:rsidTr="008C6042">
        <w:tc>
          <w:tcPr>
            <w:tcW w:w="1306" w:type="pct"/>
            <w:tcBorders>
              <w:top w:val="outset" w:sz="6" w:space="0" w:color="414142"/>
              <w:left w:val="outset" w:sz="6" w:space="0" w:color="414142"/>
              <w:bottom w:val="outset" w:sz="6" w:space="0" w:color="414142"/>
              <w:right w:val="outset" w:sz="6" w:space="0" w:color="414142"/>
            </w:tcBorders>
          </w:tcPr>
          <w:p w14:paraId="0B1BFFC5" w14:textId="702D42BA" w:rsidR="00732E45" w:rsidRPr="008F644F" w:rsidRDefault="00732E45" w:rsidP="002E09E2">
            <w:pPr>
              <w:spacing w:after="0"/>
              <w:jc w:val="both"/>
              <w:rPr>
                <w:rFonts w:ascii="Times New Roman" w:hAnsi="Times New Roman"/>
                <w:sz w:val="24"/>
                <w:szCs w:val="24"/>
              </w:rPr>
            </w:pPr>
            <w:r w:rsidRPr="00633BE5">
              <w:rPr>
                <w:rFonts w:ascii="Times New Roman" w:hAnsi="Times New Roman" w:cs="Times New Roman"/>
              </w:rPr>
              <w:t>Direktīvas 2001/82/EK</w:t>
            </w:r>
            <w:r>
              <w:rPr>
                <w:rFonts w:ascii="Times New Roman" w:hAnsi="Times New Roman" w:cs="Times New Roman"/>
              </w:rPr>
              <w:t xml:space="preserve"> </w:t>
            </w:r>
            <w:proofErr w:type="gramStart"/>
            <w:r>
              <w:rPr>
                <w:rFonts w:ascii="Times New Roman" w:hAnsi="Times New Roman" w:cs="Times New Roman"/>
              </w:rPr>
              <w:t>47</w:t>
            </w:r>
            <w:r w:rsidRPr="00633BE5">
              <w:rPr>
                <w:rFonts w:ascii="Times New Roman" w:hAnsi="Times New Roman" w:cs="Times New Roman"/>
              </w:rPr>
              <w:t>.pant</w:t>
            </w:r>
            <w:r>
              <w:rPr>
                <w:rFonts w:ascii="Times New Roman" w:hAnsi="Times New Roman"/>
              </w:rPr>
              <w:t>s</w:t>
            </w:r>
            <w:proofErr w:type="gramEnd"/>
            <w:r w:rsidRPr="00633BE5">
              <w:rPr>
                <w:rFonts w:ascii="Times New Roman" w:hAnsi="Times New Roman" w:cs="Times New Roman"/>
              </w:rPr>
              <w:t xml:space="preserve">  </w:t>
            </w:r>
          </w:p>
        </w:tc>
        <w:tc>
          <w:tcPr>
            <w:tcW w:w="1081" w:type="pct"/>
            <w:tcBorders>
              <w:top w:val="outset" w:sz="6" w:space="0" w:color="414142"/>
              <w:left w:val="outset" w:sz="6" w:space="0" w:color="414142"/>
              <w:bottom w:val="outset" w:sz="6" w:space="0" w:color="414142"/>
              <w:right w:val="outset" w:sz="6" w:space="0" w:color="414142"/>
            </w:tcBorders>
          </w:tcPr>
          <w:p w14:paraId="4C2FD346" w14:textId="77777777" w:rsidR="00732E45" w:rsidRPr="002E3D31" w:rsidRDefault="00732E45" w:rsidP="00732E45">
            <w:pPr>
              <w:spacing w:after="0"/>
              <w:jc w:val="both"/>
              <w:rPr>
                <w:rFonts w:ascii="Times New Roman" w:hAnsi="Times New Roman"/>
              </w:rPr>
            </w:pPr>
            <w:r w:rsidRPr="002E3D31">
              <w:rPr>
                <w:rFonts w:ascii="Times New Roman" w:hAnsi="Times New Roman"/>
              </w:rPr>
              <w:t>Noteikumu projekta 1</w:t>
            </w:r>
            <w:r>
              <w:rPr>
                <w:rFonts w:ascii="Times New Roman" w:hAnsi="Times New Roman"/>
              </w:rPr>
              <w:t>8</w:t>
            </w:r>
            <w:r w:rsidRPr="002E3D31">
              <w:rPr>
                <w:rFonts w:ascii="Times New Roman" w:hAnsi="Times New Roman"/>
              </w:rPr>
              <w:t>.punkts</w:t>
            </w:r>
          </w:p>
          <w:p w14:paraId="61C912CC" w14:textId="77777777" w:rsidR="00732E45" w:rsidRPr="008F644F" w:rsidRDefault="00732E45" w:rsidP="00732E45">
            <w:pPr>
              <w:spacing w:after="0"/>
              <w:jc w:val="both"/>
              <w:rPr>
                <w:rFonts w:ascii="Times New Roman" w:hAnsi="Times New Roman"/>
                <w:sz w:val="24"/>
                <w:szCs w:val="24"/>
              </w:rPr>
            </w:pPr>
            <w:r w:rsidRPr="002E3D31">
              <w:rPr>
                <w:rFonts w:ascii="Times New Roman" w:hAnsi="Times New Roman"/>
              </w:rPr>
              <w:t xml:space="preserve">Noteikumu Nr.35 </w:t>
            </w:r>
            <w:r>
              <w:rPr>
                <w:rFonts w:ascii="Times New Roman" w:hAnsi="Times New Roman"/>
              </w:rPr>
              <w:t>43.</w:t>
            </w:r>
            <w:r w:rsidRPr="002E3D31">
              <w:rPr>
                <w:rFonts w:ascii="Times New Roman" w:hAnsi="Times New Roman"/>
              </w:rPr>
              <w:t>punkts</w:t>
            </w:r>
          </w:p>
        </w:tc>
        <w:tc>
          <w:tcPr>
            <w:tcW w:w="1375" w:type="pct"/>
            <w:tcBorders>
              <w:top w:val="outset" w:sz="6" w:space="0" w:color="414142"/>
              <w:left w:val="outset" w:sz="6" w:space="0" w:color="414142"/>
              <w:bottom w:val="outset" w:sz="6" w:space="0" w:color="414142"/>
              <w:right w:val="outset" w:sz="6" w:space="0" w:color="414142"/>
            </w:tcBorders>
          </w:tcPr>
          <w:p w14:paraId="79E30B4D" w14:textId="77777777" w:rsidR="00732E45" w:rsidRPr="00FC64CD" w:rsidRDefault="00732E45" w:rsidP="00732E45">
            <w:pPr>
              <w:pStyle w:val="naisc"/>
              <w:spacing w:before="0" w:beforeAutospacing="0" w:after="0" w:afterAutospacing="0"/>
              <w:jc w:val="both"/>
              <w:rPr>
                <w:sz w:val="22"/>
                <w:szCs w:val="22"/>
                <w:lang w:val="lv-LV"/>
              </w:rPr>
            </w:pPr>
            <w:r w:rsidRPr="00FC64CD">
              <w:rPr>
                <w:sz w:val="22"/>
                <w:szCs w:val="22"/>
                <w:lang w:val="lv-LV"/>
              </w:rPr>
              <w:t>ES tiesību akta vienība tiek ieviesta pilnībā.</w:t>
            </w:r>
          </w:p>
        </w:tc>
        <w:tc>
          <w:tcPr>
            <w:tcW w:w="1238" w:type="pct"/>
            <w:tcBorders>
              <w:top w:val="outset" w:sz="6" w:space="0" w:color="414142"/>
              <w:left w:val="outset" w:sz="6" w:space="0" w:color="414142"/>
              <w:bottom w:val="outset" w:sz="6" w:space="0" w:color="414142"/>
              <w:right w:val="outset" w:sz="6" w:space="0" w:color="414142"/>
            </w:tcBorders>
          </w:tcPr>
          <w:p w14:paraId="16357818" w14:textId="77777777" w:rsidR="00732E45" w:rsidRPr="00FC64CD" w:rsidRDefault="00732E45" w:rsidP="00732E45">
            <w:pPr>
              <w:pStyle w:val="naisc"/>
              <w:spacing w:before="0" w:beforeAutospacing="0" w:after="0" w:afterAutospacing="0"/>
              <w:jc w:val="both"/>
              <w:rPr>
                <w:sz w:val="22"/>
                <w:szCs w:val="22"/>
                <w:lang w:val="lv-LV"/>
              </w:rPr>
            </w:pPr>
            <w:r w:rsidRPr="00FC64CD">
              <w:rPr>
                <w:sz w:val="22"/>
                <w:szCs w:val="22"/>
                <w:lang w:val="lv-LV"/>
              </w:rPr>
              <w:t>Attiecīgais noteikumu projekta punkts neparedz stingrākas prasības kā ES tiesību aktā.</w:t>
            </w:r>
          </w:p>
        </w:tc>
      </w:tr>
      <w:tr w:rsidR="00732E45" w:rsidRPr="008F644F" w14:paraId="5C66E782" w14:textId="77777777" w:rsidTr="008C6042">
        <w:tc>
          <w:tcPr>
            <w:tcW w:w="1306" w:type="pct"/>
            <w:tcBorders>
              <w:top w:val="outset" w:sz="6" w:space="0" w:color="414142"/>
              <w:left w:val="outset" w:sz="6" w:space="0" w:color="414142"/>
              <w:bottom w:val="outset" w:sz="6" w:space="0" w:color="414142"/>
              <w:right w:val="outset" w:sz="6" w:space="0" w:color="414142"/>
            </w:tcBorders>
            <w:hideMark/>
          </w:tcPr>
          <w:p w14:paraId="4F030B01" w14:textId="77777777" w:rsidR="00732E45" w:rsidRPr="008F644F" w:rsidRDefault="00732E45" w:rsidP="00732E4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8F644F">
              <w:rPr>
                <w:rFonts w:ascii="Times New Roman" w:eastAsia="Times New Roman" w:hAnsi="Times New Roman" w:cs="Times New Roman"/>
                <w:sz w:val="24"/>
                <w:szCs w:val="24"/>
                <w:lang w:eastAsia="lv-LV"/>
              </w:rPr>
              <w:br/>
              <w:t>Kādēļ?</w:t>
            </w:r>
          </w:p>
        </w:tc>
        <w:tc>
          <w:tcPr>
            <w:tcW w:w="3694" w:type="pct"/>
            <w:gridSpan w:val="3"/>
            <w:tcBorders>
              <w:top w:val="outset" w:sz="6" w:space="0" w:color="414142"/>
              <w:left w:val="outset" w:sz="6" w:space="0" w:color="414142"/>
              <w:bottom w:val="outset" w:sz="6" w:space="0" w:color="414142"/>
              <w:right w:val="outset" w:sz="6" w:space="0" w:color="414142"/>
            </w:tcBorders>
          </w:tcPr>
          <w:p w14:paraId="42CA0D24" w14:textId="6AF9C647" w:rsidR="00732E45" w:rsidRPr="008F644F" w:rsidRDefault="00732E45">
            <w:pPr>
              <w:spacing w:after="0" w:line="240" w:lineRule="auto"/>
              <w:jc w:val="both"/>
              <w:rPr>
                <w:rFonts w:ascii="Times New Roman" w:eastAsia="Times New Roman" w:hAnsi="Times New Roman" w:cs="Times New Roman"/>
                <w:sz w:val="24"/>
                <w:szCs w:val="24"/>
                <w:lang w:eastAsia="lv-LV"/>
              </w:rPr>
            </w:pPr>
            <w:r w:rsidRPr="00FC64CD">
              <w:rPr>
                <w:rFonts w:ascii="Times New Roman" w:eastAsia="Times New Roman" w:hAnsi="Times New Roman" w:cs="Times New Roman"/>
                <w:sz w:val="24"/>
                <w:szCs w:val="24"/>
                <w:lang w:eastAsia="lv-LV"/>
              </w:rPr>
              <w:t>Tiesību normas, kas n</w:t>
            </w:r>
            <w:r>
              <w:rPr>
                <w:rFonts w:ascii="Times New Roman" w:eastAsia="Times New Roman" w:hAnsi="Times New Roman" w:cs="Times New Roman"/>
                <w:sz w:val="24"/>
                <w:szCs w:val="24"/>
                <w:lang w:eastAsia="lv-LV"/>
              </w:rPr>
              <w:t>oteiktas Direktīvā 2001/82</w:t>
            </w:r>
            <w:r w:rsidRPr="00FC64CD">
              <w:rPr>
                <w:rFonts w:ascii="Times New Roman" w:eastAsia="Times New Roman" w:hAnsi="Times New Roman" w:cs="Times New Roman"/>
                <w:sz w:val="24"/>
                <w:szCs w:val="24"/>
                <w:lang w:eastAsia="lv-LV"/>
              </w:rPr>
              <w:t>, kurā dota rīcības brīvība dalībvalstīm, nav ieviestas</w:t>
            </w:r>
            <w:r w:rsidR="00F87BF3">
              <w:rPr>
                <w:rFonts w:ascii="Times New Roman" w:eastAsia="Times New Roman" w:hAnsi="Times New Roman" w:cs="Times New Roman"/>
                <w:sz w:val="24"/>
                <w:szCs w:val="24"/>
                <w:lang w:eastAsia="lv-LV"/>
              </w:rPr>
              <w:t>, tādējādi nenosakot stingrākas prasības Latvijas komersantiem</w:t>
            </w:r>
            <w:r w:rsidR="00B453A7">
              <w:rPr>
                <w:rFonts w:ascii="Times New Roman" w:eastAsia="Times New Roman" w:hAnsi="Times New Roman" w:cs="Times New Roman"/>
                <w:sz w:val="24"/>
                <w:szCs w:val="24"/>
                <w:lang w:eastAsia="lv-LV"/>
              </w:rPr>
              <w:t xml:space="preserve"> salīdzinājumā ar citām ES dalībvalstīm</w:t>
            </w:r>
            <w:r w:rsidR="00F87BF3">
              <w:rPr>
                <w:rFonts w:ascii="Times New Roman" w:eastAsia="Times New Roman" w:hAnsi="Times New Roman" w:cs="Times New Roman"/>
                <w:sz w:val="24"/>
                <w:szCs w:val="24"/>
                <w:lang w:eastAsia="lv-LV"/>
              </w:rPr>
              <w:t>.</w:t>
            </w:r>
          </w:p>
        </w:tc>
      </w:tr>
      <w:tr w:rsidR="00732E45" w:rsidRPr="008F644F" w14:paraId="1E480EF0" w14:textId="77777777" w:rsidTr="008C6042">
        <w:tc>
          <w:tcPr>
            <w:tcW w:w="1306" w:type="pct"/>
            <w:tcBorders>
              <w:top w:val="outset" w:sz="6" w:space="0" w:color="414142"/>
              <w:left w:val="outset" w:sz="6" w:space="0" w:color="414142"/>
              <w:bottom w:val="outset" w:sz="6" w:space="0" w:color="414142"/>
              <w:right w:val="outset" w:sz="6" w:space="0" w:color="414142"/>
            </w:tcBorders>
            <w:hideMark/>
          </w:tcPr>
          <w:p w14:paraId="72CC405D" w14:textId="77777777" w:rsidR="00732E45" w:rsidRPr="008F644F" w:rsidRDefault="00732E45" w:rsidP="00732E4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94" w:type="pct"/>
            <w:gridSpan w:val="3"/>
            <w:tcBorders>
              <w:top w:val="outset" w:sz="6" w:space="0" w:color="414142"/>
              <w:left w:val="outset" w:sz="6" w:space="0" w:color="414142"/>
              <w:bottom w:val="outset" w:sz="6" w:space="0" w:color="414142"/>
              <w:right w:val="outset" w:sz="6" w:space="0" w:color="414142"/>
            </w:tcBorders>
            <w:hideMark/>
          </w:tcPr>
          <w:p w14:paraId="20CE1D55" w14:textId="77777777" w:rsidR="00732E45" w:rsidRPr="008F644F" w:rsidRDefault="00732E45" w:rsidP="00732E45">
            <w:pPr>
              <w:spacing w:after="0" w:line="240" w:lineRule="auto"/>
              <w:ind w:right="111"/>
              <w:jc w:val="both"/>
              <w:rPr>
                <w:rFonts w:ascii="Times New Roman" w:eastAsia="Calibri" w:hAnsi="Times New Roman" w:cs="Times New Roman"/>
                <w:sz w:val="24"/>
                <w:szCs w:val="24"/>
                <w:lang w:eastAsia="lv-LV"/>
              </w:rPr>
            </w:pPr>
            <w:r w:rsidRPr="008F644F">
              <w:rPr>
                <w:rFonts w:ascii="Times New Roman" w:hAnsi="Times New Roman"/>
                <w:sz w:val="24"/>
                <w:szCs w:val="24"/>
                <w:lang w:eastAsia="lv-LV"/>
              </w:rPr>
              <w:t>Projekts šo jomu neskar.</w:t>
            </w:r>
          </w:p>
        </w:tc>
      </w:tr>
      <w:tr w:rsidR="00732E45" w:rsidRPr="008F644F" w14:paraId="283F6CC7" w14:textId="77777777" w:rsidTr="008C6042">
        <w:tc>
          <w:tcPr>
            <w:tcW w:w="1306" w:type="pct"/>
            <w:tcBorders>
              <w:top w:val="outset" w:sz="6" w:space="0" w:color="414142"/>
              <w:left w:val="outset" w:sz="6" w:space="0" w:color="414142"/>
              <w:bottom w:val="outset" w:sz="6" w:space="0" w:color="414142"/>
              <w:right w:val="outset" w:sz="6" w:space="0" w:color="414142"/>
            </w:tcBorders>
            <w:hideMark/>
          </w:tcPr>
          <w:p w14:paraId="4D71C47C" w14:textId="77777777" w:rsidR="00732E45" w:rsidRPr="008F644F" w:rsidRDefault="00732E45" w:rsidP="00732E4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694" w:type="pct"/>
            <w:gridSpan w:val="3"/>
            <w:tcBorders>
              <w:top w:val="outset" w:sz="6" w:space="0" w:color="414142"/>
              <w:left w:val="outset" w:sz="6" w:space="0" w:color="414142"/>
              <w:bottom w:val="outset" w:sz="6" w:space="0" w:color="414142"/>
              <w:right w:val="outset" w:sz="6" w:space="0" w:color="414142"/>
            </w:tcBorders>
            <w:hideMark/>
          </w:tcPr>
          <w:p w14:paraId="208BA4D6" w14:textId="77777777" w:rsidR="00732E45" w:rsidRPr="008F644F" w:rsidRDefault="00732E45" w:rsidP="00732E4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Nav</w:t>
            </w:r>
          </w:p>
        </w:tc>
      </w:tr>
      <w:tr w:rsidR="00732E45" w:rsidRPr="008F644F" w14:paraId="4B01E74E" w14:textId="77777777" w:rsidTr="008C6042">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43CC943" w14:textId="77777777" w:rsidR="00732E45" w:rsidRPr="008F644F" w:rsidRDefault="00732E45" w:rsidP="00732E4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2. tabula</w:t>
            </w:r>
            <w:r w:rsidRPr="008F644F">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8F644F">
              <w:rPr>
                <w:rFonts w:ascii="Times New Roman" w:eastAsia="Times New Roman" w:hAnsi="Times New Roman" w:cs="Times New Roman"/>
                <w:b/>
                <w:bCs/>
                <w:sz w:val="24"/>
                <w:szCs w:val="24"/>
                <w:lang w:eastAsia="lv-LV"/>
              </w:rPr>
              <w:br/>
              <w:t>Pasākumi šo saistību izpildei</w:t>
            </w:r>
          </w:p>
        </w:tc>
      </w:tr>
      <w:tr w:rsidR="00732E45" w:rsidRPr="008F644F" w14:paraId="3DED40BA" w14:textId="77777777" w:rsidTr="008C6042">
        <w:tc>
          <w:tcPr>
            <w:tcW w:w="5000" w:type="pct"/>
            <w:gridSpan w:val="4"/>
            <w:tcBorders>
              <w:top w:val="outset" w:sz="6" w:space="0" w:color="414142"/>
              <w:left w:val="outset" w:sz="6" w:space="0" w:color="414142"/>
              <w:bottom w:val="outset" w:sz="6" w:space="0" w:color="414142"/>
              <w:right w:val="outset" w:sz="6" w:space="0" w:color="414142"/>
            </w:tcBorders>
            <w:vAlign w:val="center"/>
          </w:tcPr>
          <w:p w14:paraId="23137E9E" w14:textId="77777777" w:rsidR="00732E45" w:rsidRPr="008F644F" w:rsidRDefault="00732E45" w:rsidP="00F87BF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Calibri" w:hAnsi="Times New Roman" w:cs="Times New Roman"/>
                <w:sz w:val="24"/>
                <w:szCs w:val="24"/>
                <w:lang w:eastAsia="lv-LV"/>
              </w:rPr>
              <w:t>Projekts šo jomu neskar.</w:t>
            </w:r>
          </w:p>
        </w:tc>
      </w:tr>
    </w:tbl>
    <w:p w14:paraId="51D8E46E" w14:textId="77777777" w:rsidR="00646898" w:rsidRPr="008F644F" w:rsidRDefault="00646898"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72"/>
        <w:gridCol w:w="2716"/>
        <w:gridCol w:w="5626"/>
      </w:tblGrid>
      <w:tr w:rsidR="008F644F" w:rsidRPr="008F644F" w14:paraId="4EA613EE" w14:textId="77777777" w:rsidTr="008C6042">
        <w:trPr>
          <w:trHeight w:val="33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8C02708" w14:textId="77777777" w:rsidR="00894C55" w:rsidRPr="008F64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VI.</w:t>
            </w:r>
            <w:r w:rsidR="00816C11"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Sabiedrības līdzdalība un komunikācijas aktivitātes</w:t>
            </w:r>
          </w:p>
        </w:tc>
      </w:tr>
      <w:tr w:rsidR="008F644F" w:rsidRPr="008F644F" w14:paraId="15838841" w14:textId="77777777" w:rsidTr="008C6042">
        <w:trPr>
          <w:trHeight w:val="432"/>
        </w:trPr>
        <w:tc>
          <w:tcPr>
            <w:tcW w:w="473" w:type="pct"/>
            <w:tcBorders>
              <w:top w:val="outset" w:sz="6" w:space="0" w:color="414142"/>
              <w:left w:val="outset" w:sz="6" w:space="0" w:color="414142"/>
              <w:bottom w:val="outset" w:sz="6" w:space="0" w:color="414142"/>
              <w:right w:val="outset" w:sz="6" w:space="0" w:color="414142"/>
            </w:tcBorders>
            <w:hideMark/>
          </w:tcPr>
          <w:p w14:paraId="545769E0"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474" w:type="pct"/>
            <w:tcBorders>
              <w:top w:val="outset" w:sz="6" w:space="0" w:color="414142"/>
              <w:left w:val="outset" w:sz="6" w:space="0" w:color="414142"/>
              <w:bottom w:val="outset" w:sz="6" w:space="0" w:color="414142"/>
              <w:right w:val="outset" w:sz="6" w:space="0" w:color="414142"/>
            </w:tcBorders>
            <w:hideMark/>
          </w:tcPr>
          <w:p w14:paraId="38859D1A"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Plānotās sabiedrības līdzdalības un komunikācijas aktivitātes saistībā ar projektu</w:t>
            </w:r>
          </w:p>
        </w:tc>
        <w:tc>
          <w:tcPr>
            <w:tcW w:w="3052" w:type="pct"/>
            <w:tcBorders>
              <w:top w:val="outset" w:sz="6" w:space="0" w:color="414142"/>
              <w:left w:val="outset" w:sz="6" w:space="0" w:color="414142"/>
              <w:bottom w:val="outset" w:sz="6" w:space="0" w:color="414142"/>
              <w:right w:val="outset" w:sz="6" w:space="0" w:color="414142"/>
            </w:tcBorders>
            <w:hideMark/>
          </w:tcPr>
          <w:p w14:paraId="78E8C968" w14:textId="72ACFEB3" w:rsidR="00894C55" w:rsidRPr="008F644F" w:rsidRDefault="0098337B" w:rsidP="00C2775D">
            <w:pPr>
              <w:spacing w:after="0" w:line="240" w:lineRule="auto"/>
              <w:jc w:val="both"/>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 xml:space="preserve">Informācija par noteikumu projektu tiks </w:t>
            </w:r>
            <w:proofErr w:type="gramStart"/>
            <w:r w:rsidRPr="008F644F">
              <w:rPr>
                <w:rFonts w:ascii="Times New Roman" w:eastAsia="Times New Roman" w:hAnsi="Times New Roman" w:cs="Times New Roman"/>
                <w:sz w:val="24"/>
                <w:szCs w:val="24"/>
                <w:lang w:eastAsia="lv-LV"/>
              </w:rPr>
              <w:t>ievietota Zemkopības ministrijas tīmekļvietnes</w:t>
            </w:r>
            <w:proofErr w:type="gramEnd"/>
            <w:r w:rsidRPr="008F644F">
              <w:rPr>
                <w:rFonts w:ascii="Times New Roman" w:eastAsia="Times New Roman" w:hAnsi="Times New Roman" w:cs="Times New Roman"/>
                <w:sz w:val="24"/>
                <w:szCs w:val="24"/>
                <w:lang w:eastAsia="lv-LV"/>
              </w:rPr>
              <w:t xml:space="preserve"> </w:t>
            </w:r>
            <w:proofErr w:type="spellStart"/>
            <w:r w:rsidRPr="008F644F">
              <w:rPr>
                <w:rFonts w:ascii="Times New Roman" w:eastAsia="Times New Roman" w:hAnsi="Times New Roman" w:cs="Times New Roman"/>
                <w:sz w:val="24"/>
                <w:szCs w:val="24"/>
                <w:lang w:eastAsia="lv-LV"/>
              </w:rPr>
              <w:t>www.zm.gov.lv</w:t>
            </w:r>
            <w:proofErr w:type="spellEnd"/>
            <w:r w:rsidRPr="008F644F">
              <w:rPr>
                <w:rFonts w:ascii="Times New Roman" w:eastAsia="Times New Roman" w:hAnsi="Times New Roman" w:cs="Times New Roman"/>
                <w:sz w:val="24"/>
                <w:szCs w:val="24"/>
                <w:lang w:eastAsia="lv-LV"/>
              </w:rPr>
              <w:t xml:space="preserve"> sadaļā „Sabiedriskā apspriešana”.</w:t>
            </w:r>
          </w:p>
        </w:tc>
      </w:tr>
      <w:tr w:rsidR="008F644F" w:rsidRPr="008F644F" w14:paraId="2BDB3863" w14:textId="77777777" w:rsidTr="008C6042">
        <w:trPr>
          <w:trHeight w:val="264"/>
        </w:trPr>
        <w:tc>
          <w:tcPr>
            <w:tcW w:w="473" w:type="pct"/>
            <w:tcBorders>
              <w:top w:val="outset" w:sz="6" w:space="0" w:color="414142"/>
              <w:left w:val="outset" w:sz="6" w:space="0" w:color="414142"/>
              <w:bottom w:val="outset" w:sz="6" w:space="0" w:color="414142"/>
              <w:right w:val="outset" w:sz="6" w:space="0" w:color="414142"/>
            </w:tcBorders>
            <w:hideMark/>
          </w:tcPr>
          <w:p w14:paraId="720EE79F"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474" w:type="pct"/>
            <w:tcBorders>
              <w:top w:val="outset" w:sz="6" w:space="0" w:color="414142"/>
              <w:left w:val="outset" w:sz="6" w:space="0" w:color="414142"/>
              <w:bottom w:val="outset" w:sz="6" w:space="0" w:color="414142"/>
              <w:right w:val="outset" w:sz="6" w:space="0" w:color="414142"/>
            </w:tcBorders>
            <w:hideMark/>
          </w:tcPr>
          <w:p w14:paraId="40D8BFF0"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Sabiedrības līdzdalība projekta izstrādē</w:t>
            </w:r>
          </w:p>
        </w:tc>
        <w:tc>
          <w:tcPr>
            <w:tcW w:w="3052" w:type="pct"/>
            <w:tcBorders>
              <w:top w:val="outset" w:sz="6" w:space="0" w:color="414142"/>
              <w:left w:val="outset" w:sz="6" w:space="0" w:color="414142"/>
              <w:bottom w:val="outset" w:sz="6" w:space="0" w:color="414142"/>
              <w:right w:val="outset" w:sz="6" w:space="0" w:color="414142"/>
            </w:tcBorders>
            <w:hideMark/>
          </w:tcPr>
          <w:p w14:paraId="564839B8" w14:textId="42C98FE8" w:rsidR="00894C55" w:rsidRPr="008F644F" w:rsidRDefault="00DF1283" w:rsidP="00DF1283">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P</w:t>
            </w:r>
            <w:r w:rsidRPr="00DF1283">
              <w:rPr>
                <w:rFonts w:ascii="Times New Roman" w:hAnsi="Times New Roman"/>
                <w:sz w:val="24"/>
                <w:szCs w:val="24"/>
              </w:rPr>
              <w:t>rojekts saskaņots ar biedrībām „Latvijas Veterināro Zāļu Lieltirgotavu Asociācija”, “Lauksaimnieku organizāciju sadarbī</w:t>
            </w:r>
            <w:r>
              <w:rPr>
                <w:rFonts w:ascii="Times New Roman" w:hAnsi="Times New Roman"/>
                <w:sz w:val="24"/>
                <w:szCs w:val="24"/>
              </w:rPr>
              <w:t xml:space="preserve">bas padome”, “Zemnieku Saeima” un </w:t>
            </w:r>
            <w:r w:rsidRPr="00DF1283">
              <w:rPr>
                <w:rFonts w:ascii="Times New Roman" w:hAnsi="Times New Roman"/>
                <w:sz w:val="24"/>
                <w:szCs w:val="24"/>
              </w:rPr>
              <w:t>“Lat</w:t>
            </w:r>
            <w:r>
              <w:rPr>
                <w:rFonts w:ascii="Times New Roman" w:hAnsi="Times New Roman"/>
                <w:sz w:val="24"/>
                <w:szCs w:val="24"/>
              </w:rPr>
              <w:t>vijas Veterinārārstu biedrība”.</w:t>
            </w:r>
          </w:p>
        </w:tc>
      </w:tr>
      <w:tr w:rsidR="008F644F" w:rsidRPr="008F644F" w14:paraId="6687205F" w14:textId="77777777" w:rsidTr="008C6042">
        <w:trPr>
          <w:trHeight w:val="372"/>
        </w:trPr>
        <w:tc>
          <w:tcPr>
            <w:tcW w:w="473" w:type="pct"/>
            <w:tcBorders>
              <w:top w:val="outset" w:sz="6" w:space="0" w:color="414142"/>
              <w:left w:val="outset" w:sz="6" w:space="0" w:color="414142"/>
              <w:bottom w:val="outset" w:sz="6" w:space="0" w:color="414142"/>
              <w:right w:val="outset" w:sz="6" w:space="0" w:color="414142"/>
            </w:tcBorders>
            <w:hideMark/>
          </w:tcPr>
          <w:p w14:paraId="140F0110"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3.</w:t>
            </w:r>
          </w:p>
        </w:tc>
        <w:tc>
          <w:tcPr>
            <w:tcW w:w="1474" w:type="pct"/>
            <w:tcBorders>
              <w:top w:val="outset" w:sz="6" w:space="0" w:color="414142"/>
              <w:left w:val="outset" w:sz="6" w:space="0" w:color="414142"/>
              <w:bottom w:val="outset" w:sz="6" w:space="0" w:color="414142"/>
              <w:right w:val="outset" w:sz="6" w:space="0" w:color="414142"/>
            </w:tcBorders>
            <w:hideMark/>
          </w:tcPr>
          <w:p w14:paraId="1EA88726"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Sabiedrības līdzdalības rezultāti</w:t>
            </w:r>
          </w:p>
        </w:tc>
        <w:tc>
          <w:tcPr>
            <w:tcW w:w="3052" w:type="pct"/>
            <w:tcBorders>
              <w:top w:val="outset" w:sz="6" w:space="0" w:color="414142"/>
              <w:left w:val="outset" w:sz="6" w:space="0" w:color="414142"/>
              <w:bottom w:val="outset" w:sz="6" w:space="0" w:color="414142"/>
              <w:right w:val="outset" w:sz="6" w:space="0" w:color="414142"/>
            </w:tcBorders>
            <w:hideMark/>
          </w:tcPr>
          <w:p w14:paraId="42558975" w14:textId="77777777" w:rsidR="00894C55" w:rsidRPr="008F644F" w:rsidRDefault="00C3267B" w:rsidP="00C3267B">
            <w:pPr>
              <w:spacing w:after="0" w:line="240" w:lineRule="auto"/>
              <w:rPr>
                <w:rFonts w:ascii="Times New Roman" w:eastAsia="Times New Roman" w:hAnsi="Times New Roman" w:cs="Times New Roman"/>
                <w:sz w:val="24"/>
                <w:szCs w:val="24"/>
                <w:lang w:eastAsia="lv-LV"/>
              </w:rPr>
            </w:pPr>
            <w:r w:rsidRPr="008F644F">
              <w:rPr>
                <w:rFonts w:ascii="Times New Roman" w:hAnsi="Times New Roman"/>
                <w:sz w:val="24"/>
                <w:szCs w:val="24"/>
              </w:rPr>
              <w:t>Projekts šo jomu neskar.</w:t>
            </w:r>
          </w:p>
        </w:tc>
      </w:tr>
      <w:tr w:rsidR="008F644F" w:rsidRPr="008F644F" w14:paraId="2411983A" w14:textId="77777777" w:rsidTr="008C6042">
        <w:trPr>
          <w:trHeight w:val="372"/>
        </w:trPr>
        <w:tc>
          <w:tcPr>
            <w:tcW w:w="473" w:type="pct"/>
            <w:tcBorders>
              <w:top w:val="outset" w:sz="6" w:space="0" w:color="414142"/>
              <w:left w:val="outset" w:sz="6" w:space="0" w:color="414142"/>
              <w:bottom w:val="outset" w:sz="6" w:space="0" w:color="414142"/>
              <w:right w:val="outset" w:sz="6" w:space="0" w:color="414142"/>
            </w:tcBorders>
            <w:hideMark/>
          </w:tcPr>
          <w:p w14:paraId="68F1D8AA"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4.</w:t>
            </w:r>
          </w:p>
        </w:tc>
        <w:tc>
          <w:tcPr>
            <w:tcW w:w="1474" w:type="pct"/>
            <w:tcBorders>
              <w:top w:val="outset" w:sz="6" w:space="0" w:color="414142"/>
              <w:left w:val="outset" w:sz="6" w:space="0" w:color="414142"/>
              <w:bottom w:val="outset" w:sz="6" w:space="0" w:color="414142"/>
              <w:right w:val="outset" w:sz="6" w:space="0" w:color="414142"/>
            </w:tcBorders>
            <w:hideMark/>
          </w:tcPr>
          <w:p w14:paraId="2111F123"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052" w:type="pct"/>
            <w:tcBorders>
              <w:top w:val="outset" w:sz="6" w:space="0" w:color="414142"/>
              <w:left w:val="outset" w:sz="6" w:space="0" w:color="414142"/>
              <w:bottom w:val="outset" w:sz="6" w:space="0" w:color="414142"/>
              <w:right w:val="outset" w:sz="6" w:space="0" w:color="414142"/>
            </w:tcBorders>
            <w:hideMark/>
          </w:tcPr>
          <w:p w14:paraId="485C9D76" w14:textId="77777777" w:rsidR="00894C55" w:rsidRPr="008F644F" w:rsidRDefault="00C3267B" w:rsidP="00C3267B">
            <w:pPr>
              <w:spacing w:after="0" w:line="240" w:lineRule="auto"/>
              <w:rPr>
                <w:rFonts w:ascii="Times New Roman" w:eastAsia="Times New Roman" w:hAnsi="Times New Roman" w:cs="Times New Roman"/>
                <w:sz w:val="24"/>
                <w:szCs w:val="24"/>
                <w:lang w:eastAsia="lv-LV"/>
              </w:rPr>
            </w:pPr>
            <w:r w:rsidRPr="008F644F">
              <w:rPr>
                <w:rFonts w:ascii="Times New Roman" w:hAnsi="Times New Roman"/>
                <w:sz w:val="24"/>
                <w:szCs w:val="24"/>
                <w:lang w:eastAsia="lv-LV"/>
              </w:rPr>
              <w:t>Nav</w:t>
            </w:r>
          </w:p>
        </w:tc>
      </w:tr>
    </w:tbl>
    <w:p w14:paraId="5209B32C" w14:textId="77777777" w:rsidR="00894C55" w:rsidRPr="008F64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2749"/>
        <w:gridCol w:w="5742"/>
      </w:tblGrid>
      <w:tr w:rsidR="008F644F" w:rsidRPr="008F644F" w14:paraId="7778BDC6" w14:textId="77777777" w:rsidTr="008C6042">
        <w:trPr>
          <w:trHeight w:val="3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92B9179" w14:textId="77777777" w:rsidR="00894C55" w:rsidRPr="008F64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VII.</w:t>
            </w:r>
            <w:r w:rsidR="00816C11"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Tiesību akta projekta izpildes nodrošināšana un tās ietekme uz institūcijām</w:t>
            </w:r>
          </w:p>
        </w:tc>
      </w:tr>
      <w:tr w:rsidR="008F644F" w:rsidRPr="008F644F" w14:paraId="71BB7436" w14:textId="77777777" w:rsidTr="008C6042">
        <w:trPr>
          <w:trHeight w:val="336"/>
        </w:trPr>
        <w:tc>
          <w:tcPr>
            <w:tcW w:w="392" w:type="pct"/>
            <w:tcBorders>
              <w:top w:val="outset" w:sz="6" w:space="0" w:color="414142"/>
              <w:left w:val="outset" w:sz="6" w:space="0" w:color="414142"/>
              <w:bottom w:val="outset" w:sz="6" w:space="0" w:color="414142"/>
              <w:right w:val="outset" w:sz="6" w:space="0" w:color="414142"/>
            </w:tcBorders>
            <w:hideMark/>
          </w:tcPr>
          <w:p w14:paraId="6E154791" w14:textId="77777777" w:rsidR="00A91DC6" w:rsidRPr="008F644F" w:rsidRDefault="00A91DC6"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492" w:type="pct"/>
            <w:tcBorders>
              <w:top w:val="outset" w:sz="6" w:space="0" w:color="414142"/>
              <w:left w:val="outset" w:sz="6" w:space="0" w:color="414142"/>
              <w:bottom w:val="outset" w:sz="6" w:space="0" w:color="414142"/>
              <w:right w:val="outset" w:sz="6" w:space="0" w:color="414142"/>
            </w:tcBorders>
            <w:hideMark/>
          </w:tcPr>
          <w:p w14:paraId="41678295" w14:textId="77777777" w:rsidR="00A91DC6" w:rsidRPr="008F644F" w:rsidRDefault="00A91DC6"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Projekta izpildē iesaistītās institūcijas</w:t>
            </w:r>
          </w:p>
        </w:tc>
        <w:tc>
          <w:tcPr>
            <w:tcW w:w="3116" w:type="pct"/>
            <w:tcBorders>
              <w:top w:val="outset" w:sz="6" w:space="0" w:color="414142"/>
              <w:left w:val="outset" w:sz="6" w:space="0" w:color="414142"/>
              <w:bottom w:val="outset" w:sz="6" w:space="0" w:color="414142"/>
              <w:right w:val="outset" w:sz="6" w:space="0" w:color="414142"/>
            </w:tcBorders>
            <w:hideMark/>
          </w:tcPr>
          <w:p w14:paraId="3B09602D" w14:textId="77777777" w:rsidR="00A91DC6" w:rsidRPr="008F644F" w:rsidRDefault="00A91DC6" w:rsidP="00176BBC">
            <w:pPr>
              <w:spacing w:after="0" w:line="240" w:lineRule="auto"/>
              <w:jc w:val="both"/>
              <w:rPr>
                <w:rFonts w:ascii="Times New Roman" w:hAnsi="Times New Roman"/>
                <w:sz w:val="24"/>
                <w:szCs w:val="24"/>
                <w:lang w:eastAsia="lv-LV"/>
              </w:rPr>
            </w:pPr>
            <w:r w:rsidRPr="008F644F">
              <w:rPr>
                <w:rFonts w:ascii="Times New Roman" w:hAnsi="Times New Roman"/>
                <w:sz w:val="24"/>
                <w:szCs w:val="24"/>
                <w:lang w:eastAsia="lv-LV"/>
              </w:rPr>
              <w:t xml:space="preserve">Izpildi nodrošinās Zemkopības ministrijas padotībā esošais </w:t>
            </w:r>
            <w:r w:rsidR="003A0B0B">
              <w:rPr>
                <w:rFonts w:ascii="Times New Roman" w:hAnsi="Times New Roman"/>
                <w:sz w:val="24"/>
                <w:szCs w:val="24"/>
                <w:lang w:eastAsia="lv-LV"/>
              </w:rPr>
              <w:t>Pārtikas un veterinārais</w:t>
            </w:r>
            <w:r w:rsidRPr="008F644F">
              <w:rPr>
                <w:rFonts w:ascii="Times New Roman" w:hAnsi="Times New Roman"/>
                <w:sz w:val="24"/>
                <w:szCs w:val="24"/>
                <w:lang w:eastAsia="lv-LV"/>
              </w:rPr>
              <w:t xml:space="preserve"> dienests.</w:t>
            </w:r>
          </w:p>
        </w:tc>
      </w:tr>
      <w:tr w:rsidR="008F644F" w:rsidRPr="008F644F" w14:paraId="550DD41D" w14:textId="77777777" w:rsidTr="008C6042">
        <w:trPr>
          <w:trHeight w:val="360"/>
        </w:trPr>
        <w:tc>
          <w:tcPr>
            <w:tcW w:w="392" w:type="pct"/>
            <w:tcBorders>
              <w:top w:val="outset" w:sz="6" w:space="0" w:color="414142"/>
              <w:left w:val="outset" w:sz="6" w:space="0" w:color="414142"/>
              <w:bottom w:val="outset" w:sz="6" w:space="0" w:color="414142"/>
              <w:right w:val="outset" w:sz="6" w:space="0" w:color="414142"/>
            </w:tcBorders>
            <w:hideMark/>
          </w:tcPr>
          <w:p w14:paraId="3F6641F7" w14:textId="77777777" w:rsidR="00A91DC6" w:rsidRPr="008F644F" w:rsidRDefault="00A91DC6"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492" w:type="pct"/>
            <w:tcBorders>
              <w:top w:val="outset" w:sz="6" w:space="0" w:color="414142"/>
              <w:left w:val="outset" w:sz="6" w:space="0" w:color="414142"/>
              <w:bottom w:val="outset" w:sz="6" w:space="0" w:color="414142"/>
              <w:right w:val="outset" w:sz="6" w:space="0" w:color="414142"/>
            </w:tcBorders>
            <w:hideMark/>
          </w:tcPr>
          <w:p w14:paraId="50FD6E6E" w14:textId="77777777" w:rsidR="00A91DC6" w:rsidRPr="008F644F" w:rsidRDefault="00A91DC6"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Projekta izpildes ietekme uz pārvaldes funkcijām un institucionālo struktūru.</w:t>
            </w:r>
          </w:p>
          <w:p w14:paraId="258259AA" w14:textId="77777777" w:rsidR="00A91DC6" w:rsidRPr="008F644F" w:rsidRDefault="00A91DC6"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16" w:type="pct"/>
            <w:tcBorders>
              <w:top w:val="outset" w:sz="6" w:space="0" w:color="414142"/>
              <w:left w:val="outset" w:sz="6" w:space="0" w:color="414142"/>
              <w:bottom w:val="outset" w:sz="6" w:space="0" w:color="414142"/>
              <w:right w:val="outset" w:sz="6" w:space="0" w:color="414142"/>
            </w:tcBorders>
            <w:hideMark/>
          </w:tcPr>
          <w:p w14:paraId="14B69139" w14:textId="77777777" w:rsidR="00A91DC6" w:rsidRPr="008F644F" w:rsidRDefault="00A91DC6" w:rsidP="00176BBC">
            <w:pPr>
              <w:pStyle w:val="Bezatstarpm"/>
              <w:jc w:val="both"/>
              <w:rPr>
                <w:rFonts w:ascii="Times New Roman" w:hAnsi="Times New Roman"/>
                <w:sz w:val="24"/>
                <w:szCs w:val="24"/>
                <w:lang w:eastAsia="lv-LV"/>
              </w:rPr>
            </w:pPr>
            <w:r w:rsidRPr="008F644F">
              <w:rPr>
                <w:rFonts w:ascii="Times New Roman" w:hAnsi="Times New Roman"/>
                <w:sz w:val="24"/>
                <w:szCs w:val="24"/>
                <w:lang w:eastAsia="lv-LV"/>
              </w:rPr>
              <w:t>Nav ietekmes uz pārvaldes funkcijām un institucionālo struktūru.</w:t>
            </w:r>
          </w:p>
          <w:p w14:paraId="3AEDEF9B" w14:textId="77777777" w:rsidR="00A91DC6" w:rsidRPr="008F644F" w:rsidRDefault="00A91DC6" w:rsidP="00176BBC">
            <w:pPr>
              <w:pStyle w:val="Bezatstarpm"/>
              <w:jc w:val="both"/>
              <w:rPr>
                <w:lang w:eastAsia="lv-LV"/>
              </w:rPr>
            </w:pPr>
            <w:r w:rsidRPr="008F644F">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8F644F" w:rsidRPr="008F644F" w14:paraId="1CD89F00" w14:textId="77777777" w:rsidTr="008C6042">
        <w:trPr>
          <w:trHeight w:val="312"/>
        </w:trPr>
        <w:tc>
          <w:tcPr>
            <w:tcW w:w="392" w:type="pct"/>
            <w:tcBorders>
              <w:top w:val="outset" w:sz="6" w:space="0" w:color="414142"/>
              <w:left w:val="outset" w:sz="6" w:space="0" w:color="414142"/>
              <w:bottom w:val="outset" w:sz="6" w:space="0" w:color="414142"/>
              <w:right w:val="outset" w:sz="6" w:space="0" w:color="414142"/>
            </w:tcBorders>
            <w:hideMark/>
          </w:tcPr>
          <w:p w14:paraId="0E8F4F54"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3.</w:t>
            </w:r>
          </w:p>
        </w:tc>
        <w:tc>
          <w:tcPr>
            <w:tcW w:w="1492" w:type="pct"/>
            <w:tcBorders>
              <w:top w:val="outset" w:sz="6" w:space="0" w:color="414142"/>
              <w:left w:val="outset" w:sz="6" w:space="0" w:color="414142"/>
              <w:bottom w:val="outset" w:sz="6" w:space="0" w:color="414142"/>
              <w:right w:val="outset" w:sz="6" w:space="0" w:color="414142"/>
            </w:tcBorders>
            <w:hideMark/>
          </w:tcPr>
          <w:p w14:paraId="2AE3077C"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116" w:type="pct"/>
            <w:tcBorders>
              <w:top w:val="outset" w:sz="6" w:space="0" w:color="414142"/>
              <w:left w:val="outset" w:sz="6" w:space="0" w:color="414142"/>
              <w:bottom w:val="outset" w:sz="6" w:space="0" w:color="414142"/>
              <w:right w:val="outset" w:sz="6" w:space="0" w:color="414142"/>
            </w:tcBorders>
            <w:hideMark/>
          </w:tcPr>
          <w:p w14:paraId="62A2DBD6" w14:textId="77777777" w:rsidR="00894C55" w:rsidRPr="008F644F" w:rsidRDefault="00A91DC6" w:rsidP="00A91DC6">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Nav</w:t>
            </w:r>
          </w:p>
        </w:tc>
      </w:tr>
    </w:tbl>
    <w:p w14:paraId="3D5878F3" w14:textId="29FC493C" w:rsidR="00C25B49" w:rsidRDefault="00C25B49" w:rsidP="00894C55">
      <w:pPr>
        <w:spacing w:after="0" w:line="240" w:lineRule="auto"/>
        <w:rPr>
          <w:rFonts w:ascii="Times New Roman" w:hAnsi="Times New Roman" w:cs="Times New Roman"/>
          <w:sz w:val="28"/>
          <w:szCs w:val="28"/>
        </w:rPr>
      </w:pPr>
    </w:p>
    <w:p w14:paraId="4E9245C8" w14:textId="47D5D4F1" w:rsidR="00DC2C50" w:rsidRDefault="00DC2C50" w:rsidP="00894C55">
      <w:pPr>
        <w:spacing w:after="0" w:line="240" w:lineRule="auto"/>
        <w:rPr>
          <w:rFonts w:ascii="Times New Roman" w:hAnsi="Times New Roman" w:cs="Times New Roman"/>
          <w:sz w:val="28"/>
          <w:szCs w:val="28"/>
        </w:rPr>
      </w:pPr>
    </w:p>
    <w:p w14:paraId="7156ED4D" w14:textId="77777777" w:rsidR="00DC2C50" w:rsidRPr="008F644F" w:rsidRDefault="00DC2C50" w:rsidP="00894C55">
      <w:pPr>
        <w:spacing w:after="0" w:line="240" w:lineRule="auto"/>
        <w:rPr>
          <w:rFonts w:ascii="Times New Roman" w:hAnsi="Times New Roman" w:cs="Times New Roman"/>
          <w:sz w:val="28"/>
          <w:szCs w:val="28"/>
        </w:rPr>
      </w:pPr>
    </w:p>
    <w:p w14:paraId="2433E17A" w14:textId="7E53E825" w:rsidR="00A91DC6" w:rsidRPr="008F644F" w:rsidRDefault="00DC2C50" w:rsidP="00DC2C50">
      <w:pPr>
        <w:spacing w:after="0" w:line="240" w:lineRule="auto"/>
        <w:ind w:firstLine="720"/>
        <w:rPr>
          <w:rFonts w:ascii="Times New Roman" w:eastAsia="Calibri" w:hAnsi="Times New Roman" w:cs="Times New Roman"/>
          <w:sz w:val="28"/>
          <w:szCs w:val="1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K. </w:t>
      </w:r>
      <w:r w:rsidR="00B17636" w:rsidRPr="008F644F">
        <w:rPr>
          <w:rFonts w:ascii="Times New Roman" w:eastAsia="Times New Roman" w:hAnsi="Times New Roman" w:cs="Times New Roman"/>
          <w:sz w:val="28"/>
          <w:szCs w:val="28"/>
        </w:rPr>
        <w:t>Gerhards</w:t>
      </w:r>
    </w:p>
    <w:p w14:paraId="7026A74B" w14:textId="77777777" w:rsidR="00CC6CD4" w:rsidRDefault="00CC6CD4" w:rsidP="00A91DC6">
      <w:pPr>
        <w:spacing w:after="0" w:line="240" w:lineRule="auto"/>
        <w:rPr>
          <w:rFonts w:ascii="Times New Roman" w:eastAsia="Calibri" w:hAnsi="Times New Roman" w:cs="Times New Roman"/>
          <w:sz w:val="20"/>
          <w:szCs w:val="20"/>
        </w:rPr>
      </w:pPr>
    </w:p>
    <w:p w14:paraId="2E48151D" w14:textId="77777777" w:rsidR="0093187C" w:rsidRDefault="0093187C" w:rsidP="00A91DC6">
      <w:pPr>
        <w:spacing w:after="0" w:line="240" w:lineRule="auto"/>
        <w:rPr>
          <w:rFonts w:ascii="Times New Roman" w:eastAsia="Calibri" w:hAnsi="Times New Roman" w:cs="Times New Roman"/>
          <w:sz w:val="20"/>
          <w:szCs w:val="20"/>
        </w:rPr>
      </w:pPr>
    </w:p>
    <w:p w14:paraId="140D0B5F" w14:textId="77777777" w:rsidR="0093187C" w:rsidRDefault="0093187C" w:rsidP="00A91DC6">
      <w:pPr>
        <w:spacing w:after="0" w:line="240" w:lineRule="auto"/>
        <w:rPr>
          <w:rFonts w:ascii="Times New Roman" w:eastAsia="Calibri" w:hAnsi="Times New Roman" w:cs="Times New Roman"/>
          <w:sz w:val="20"/>
          <w:szCs w:val="20"/>
        </w:rPr>
      </w:pPr>
    </w:p>
    <w:p w14:paraId="107D17C9" w14:textId="77777777" w:rsidR="00DC2C50" w:rsidRDefault="00DC2C50" w:rsidP="00A91DC6">
      <w:pPr>
        <w:spacing w:after="0" w:line="240" w:lineRule="auto"/>
        <w:rPr>
          <w:rFonts w:ascii="Times New Roman" w:eastAsia="Calibri" w:hAnsi="Times New Roman" w:cs="Times New Roman"/>
          <w:sz w:val="24"/>
          <w:szCs w:val="24"/>
        </w:rPr>
      </w:pPr>
    </w:p>
    <w:p w14:paraId="5D2F2C69" w14:textId="77777777" w:rsidR="00DC2C50" w:rsidRDefault="00DC2C50" w:rsidP="00A91DC6">
      <w:pPr>
        <w:spacing w:after="0" w:line="240" w:lineRule="auto"/>
        <w:rPr>
          <w:rFonts w:ascii="Times New Roman" w:eastAsia="Calibri" w:hAnsi="Times New Roman" w:cs="Times New Roman"/>
          <w:sz w:val="24"/>
          <w:szCs w:val="24"/>
        </w:rPr>
      </w:pPr>
    </w:p>
    <w:p w14:paraId="140B8B2A" w14:textId="77777777" w:rsidR="00DC2C50" w:rsidRDefault="00DC2C50" w:rsidP="00A91DC6">
      <w:pPr>
        <w:spacing w:after="0" w:line="240" w:lineRule="auto"/>
        <w:rPr>
          <w:rFonts w:ascii="Times New Roman" w:eastAsia="Calibri" w:hAnsi="Times New Roman" w:cs="Times New Roman"/>
          <w:sz w:val="24"/>
          <w:szCs w:val="24"/>
        </w:rPr>
      </w:pPr>
    </w:p>
    <w:p w14:paraId="6D366104" w14:textId="77777777" w:rsidR="00DC2C50" w:rsidRDefault="00DC2C50" w:rsidP="00A91DC6">
      <w:pPr>
        <w:spacing w:after="0" w:line="240" w:lineRule="auto"/>
        <w:rPr>
          <w:rFonts w:ascii="Times New Roman" w:eastAsia="Calibri" w:hAnsi="Times New Roman" w:cs="Times New Roman"/>
          <w:sz w:val="24"/>
          <w:szCs w:val="24"/>
        </w:rPr>
      </w:pPr>
    </w:p>
    <w:p w14:paraId="45E6F180" w14:textId="77777777" w:rsidR="00DC2C50" w:rsidRDefault="00DC2C50" w:rsidP="00A91DC6">
      <w:pPr>
        <w:spacing w:after="0" w:line="240" w:lineRule="auto"/>
        <w:rPr>
          <w:rFonts w:ascii="Times New Roman" w:eastAsia="Calibri" w:hAnsi="Times New Roman" w:cs="Times New Roman"/>
          <w:sz w:val="24"/>
          <w:szCs w:val="24"/>
        </w:rPr>
      </w:pPr>
    </w:p>
    <w:p w14:paraId="2600D158" w14:textId="77777777" w:rsidR="00DC2C50" w:rsidRDefault="00DC2C50" w:rsidP="00A91DC6">
      <w:pPr>
        <w:spacing w:after="0" w:line="240" w:lineRule="auto"/>
        <w:rPr>
          <w:rFonts w:ascii="Times New Roman" w:eastAsia="Calibri" w:hAnsi="Times New Roman" w:cs="Times New Roman"/>
          <w:sz w:val="24"/>
          <w:szCs w:val="24"/>
        </w:rPr>
      </w:pPr>
    </w:p>
    <w:p w14:paraId="38F81FA1" w14:textId="16F73D8C" w:rsidR="00A91DC6" w:rsidRPr="00DC2C50" w:rsidRDefault="008F644F" w:rsidP="00A91DC6">
      <w:pPr>
        <w:spacing w:after="0" w:line="240" w:lineRule="auto"/>
        <w:rPr>
          <w:rFonts w:ascii="Times New Roman" w:eastAsia="Calibri" w:hAnsi="Times New Roman" w:cs="Times New Roman"/>
          <w:sz w:val="24"/>
          <w:szCs w:val="24"/>
        </w:rPr>
      </w:pPr>
      <w:r w:rsidRPr="00DC2C50">
        <w:rPr>
          <w:rFonts w:ascii="Times New Roman" w:eastAsia="Calibri" w:hAnsi="Times New Roman" w:cs="Times New Roman"/>
          <w:sz w:val="24"/>
          <w:szCs w:val="24"/>
        </w:rPr>
        <w:t>Kārkliņa</w:t>
      </w:r>
      <w:r w:rsidR="00A91DC6" w:rsidRPr="00DC2C50">
        <w:rPr>
          <w:rFonts w:ascii="Times New Roman" w:eastAsia="Calibri" w:hAnsi="Times New Roman" w:cs="Times New Roman"/>
          <w:sz w:val="24"/>
          <w:szCs w:val="24"/>
        </w:rPr>
        <w:t xml:space="preserve"> 67027</w:t>
      </w:r>
      <w:r w:rsidRPr="00DC2C50">
        <w:rPr>
          <w:rFonts w:ascii="Times New Roman" w:eastAsia="Calibri" w:hAnsi="Times New Roman" w:cs="Times New Roman"/>
          <w:sz w:val="24"/>
          <w:szCs w:val="24"/>
        </w:rPr>
        <w:t>638</w:t>
      </w:r>
    </w:p>
    <w:p w14:paraId="21E24772" w14:textId="77777777" w:rsidR="00CC6CD4" w:rsidRPr="00DC2C50" w:rsidRDefault="00CC6CD4" w:rsidP="00A91DC6">
      <w:pPr>
        <w:spacing w:after="0" w:line="240" w:lineRule="auto"/>
        <w:rPr>
          <w:rFonts w:ascii="Times New Roman" w:eastAsia="Calibri" w:hAnsi="Times New Roman" w:cs="Times New Roman"/>
          <w:sz w:val="24"/>
          <w:szCs w:val="24"/>
        </w:rPr>
      </w:pPr>
      <w:r w:rsidRPr="00DC2C50">
        <w:rPr>
          <w:rFonts w:ascii="Times New Roman" w:eastAsia="Calibri" w:hAnsi="Times New Roman" w:cs="Times New Roman"/>
          <w:sz w:val="24"/>
          <w:szCs w:val="24"/>
        </w:rPr>
        <w:t>Baiba.Karklina@zm.gov.lv</w:t>
      </w:r>
    </w:p>
    <w:sectPr w:rsidR="00CC6CD4" w:rsidRPr="00DC2C50" w:rsidSect="00183D49">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20416" w14:textId="77777777" w:rsidR="008A5E0E" w:rsidRDefault="008A5E0E" w:rsidP="00894C55">
      <w:pPr>
        <w:spacing w:after="0" w:line="240" w:lineRule="auto"/>
      </w:pPr>
      <w:r>
        <w:separator/>
      </w:r>
    </w:p>
  </w:endnote>
  <w:endnote w:type="continuationSeparator" w:id="0">
    <w:p w14:paraId="10C0069A" w14:textId="77777777" w:rsidR="008A5E0E" w:rsidRDefault="008A5E0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MS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2AC5" w14:textId="5D984B1F" w:rsidR="00894C55" w:rsidRPr="00DC2C50" w:rsidRDefault="00DC2C50" w:rsidP="00DC2C50">
    <w:pPr>
      <w:pStyle w:val="Kjene"/>
    </w:pPr>
    <w:r w:rsidRPr="00DC2C50">
      <w:rPr>
        <w:rFonts w:ascii="Times New Roman" w:hAnsi="Times New Roman" w:cs="Times New Roman"/>
        <w:sz w:val="20"/>
        <w:szCs w:val="20"/>
      </w:rPr>
      <w:t>ZManot_200619_licencesa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F0ED" w14:textId="51BDD396" w:rsidR="009A2654" w:rsidRPr="00DC2C50" w:rsidRDefault="00DC2C50" w:rsidP="00DC2C50">
    <w:pPr>
      <w:pStyle w:val="Kjene"/>
    </w:pPr>
    <w:r w:rsidRPr="00DC2C50">
      <w:rPr>
        <w:rFonts w:ascii="Times New Roman" w:hAnsi="Times New Roman" w:cs="Times New Roman"/>
        <w:sz w:val="20"/>
        <w:szCs w:val="20"/>
      </w:rPr>
      <w:t>ZManot_200619_licencesa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204BD" w14:textId="77777777" w:rsidR="008A5E0E" w:rsidRDefault="008A5E0E" w:rsidP="00894C55">
      <w:pPr>
        <w:spacing w:after="0" w:line="240" w:lineRule="auto"/>
      </w:pPr>
      <w:r>
        <w:separator/>
      </w:r>
    </w:p>
  </w:footnote>
  <w:footnote w:type="continuationSeparator" w:id="0">
    <w:p w14:paraId="7DFCEF5F" w14:textId="77777777" w:rsidR="008A5E0E" w:rsidRDefault="008A5E0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12D491" w14:textId="13A193DB"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83D49">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45EC"/>
    <w:multiLevelType w:val="hybridMultilevel"/>
    <w:tmpl w:val="AC98C0A2"/>
    <w:lvl w:ilvl="0" w:tplc="7B888CB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187094F"/>
    <w:multiLevelType w:val="hybridMultilevel"/>
    <w:tmpl w:val="ECC6E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051"/>
    <w:rsid w:val="00053957"/>
    <w:rsid w:val="000553AE"/>
    <w:rsid w:val="000562B8"/>
    <w:rsid w:val="0006521D"/>
    <w:rsid w:val="00076676"/>
    <w:rsid w:val="00080BD6"/>
    <w:rsid w:val="00083310"/>
    <w:rsid w:val="000A2EE3"/>
    <w:rsid w:val="000A3A25"/>
    <w:rsid w:val="000A4C25"/>
    <w:rsid w:val="000B519A"/>
    <w:rsid w:val="000B7C9D"/>
    <w:rsid w:val="000C26AD"/>
    <w:rsid w:val="000C7F7B"/>
    <w:rsid w:val="000D0D9E"/>
    <w:rsid w:val="000E0362"/>
    <w:rsid w:val="000F5E9D"/>
    <w:rsid w:val="0010503C"/>
    <w:rsid w:val="00105AA7"/>
    <w:rsid w:val="00114FE5"/>
    <w:rsid w:val="00116E7C"/>
    <w:rsid w:val="00146ED6"/>
    <w:rsid w:val="00154618"/>
    <w:rsid w:val="00161508"/>
    <w:rsid w:val="00176BBC"/>
    <w:rsid w:val="00183D49"/>
    <w:rsid w:val="001863E7"/>
    <w:rsid w:val="001B2CB0"/>
    <w:rsid w:val="001C1906"/>
    <w:rsid w:val="001D0642"/>
    <w:rsid w:val="001E7E19"/>
    <w:rsid w:val="001E7EC3"/>
    <w:rsid w:val="0020699D"/>
    <w:rsid w:val="00214CA0"/>
    <w:rsid w:val="0022511C"/>
    <w:rsid w:val="00226964"/>
    <w:rsid w:val="00243426"/>
    <w:rsid w:val="0024375D"/>
    <w:rsid w:val="002513B2"/>
    <w:rsid w:val="00261B4C"/>
    <w:rsid w:val="002659C7"/>
    <w:rsid w:val="00274DD9"/>
    <w:rsid w:val="00277B48"/>
    <w:rsid w:val="002802A1"/>
    <w:rsid w:val="002A1618"/>
    <w:rsid w:val="002A7085"/>
    <w:rsid w:val="002C65B9"/>
    <w:rsid w:val="002D373D"/>
    <w:rsid w:val="002D4782"/>
    <w:rsid w:val="002E09E2"/>
    <w:rsid w:val="002E1C05"/>
    <w:rsid w:val="002E3D31"/>
    <w:rsid w:val="002E5584"/>
    <w:rsid w:val="002F1B12"/>
    <w:rsid w:val="002F73FF"/>
    <w:rsid w:val="003000B8"/>
    <w:rsid w:val="00303641"/>
    <w:rsid w:val="00313387"/>
    <w:rsid w:val="00313CDD"/>
    <w:rsid w:val="00333B01"/>
    <w:rsid w:val="003445AB"/>
    <w:rsid w:val="00350638"/>
    <w:rsid w:val="00351525"/>
    <w:rsid w:val="0036502D"/>
    <w:rsid w:val="00373075"/>
    <w:rsid w:val="0037334D"/>
    <w:rsid w:val="00387EC7"/>
    <w:rsid w:val="00397266"/>
    <w:rsid w:val="003A0B0B"/>
    <w:rsid w:val="003A6DAE"/>
    <w:rsid w:val="003A7A59"/>
    <w:rsid w:val="003B0BF9"/>
    <w:rsid w:val="003B6462"/>
    <w:rsid w:val="003B75EB"/>
    <w:rsid w:val="003C018D"/>
    <w:rsid w:val="003C6ED0"/>
    <w:rsid w:val="003D0524"/>
    <w:rsid w:val="003D1773"/>
    <w:rsid w:val="003E0791"/>
    <w:rsid w:val="003E2F86"/>
    <w:rsid w:val="003F28AC"/>
    <w:rsid w:val="003F669C"/>
    <w:rsid w:val="00402C1C"/>
    <w:rsid w:val="004050A3"/>
    <w:rsid w:val="00412458"/>
    <w:rsid w:val="004269D2"/>
    <w:rsid w:val="0043236C"/>
    <w:rsid w:val="00435E45"/>
    <w:rsid w:val="00436029"/>
    <w:rsid w:val="00436D0F"/>
    <w:rsid w:val="00440ABC"/>
    <w:rsid w:val="004454FE"/>
    <w:rsid w:val="004568E2"/>
    <w:rsid w:val="00456DB3"/>
    <w:rsid w:val="00471F27"/>
    <w:rsid w:val="00495A22"/>
    <w:rsid w:val="0049737D"/>
    <w:rsid w:val="00497BBC"/>
    <w:rsid w:val="004A0BDF"/>
    <w:rsid w:val="004A560E"/>
    <w:rsid w:val="004B6B01"/>
    <w:rsid w:val="004C115A"/>
    <w:rsid w:val="004D0CE5"/>
    <w:rsid w:val="004D3DAB"/>
    <w:rsid w:val="004E1058"/>
    <w:rsid w:val="004E2384"/>
    <w:rsid w:val="004E2DFC"/>
    <w:rsid w:val="004E3843"/>
    <w:rsid w:val="004E7F3C"/>
    <w:rsid w:val="00500C95"/>
    <w:rsid w:val="0050178F"/>
    <w:rsid w:val="00502C8E"/>
    <w:rsid w:val="00516A36"/>
    <w:rsid w:val="005412F5"/>
    <w:rsid w:val="00547B88"/>
    <w:rsid w:val="00554FB7"/>
    <w:rsid w:val="00580DBC"/>
    <w:rsid w:val="005825DA"/>
    <w:rsid w:val="005A1842"/>
    <w:rsid w:val="005C1A82"/>
    <w:rsid w:val="005E78AD"/>
    <w:rsid w:val="006006C9"/>
    <w:rsid w:val="00625A87"/>
    <w:rsid w:val="00633BE5"/>
    <w:rsid w:val="00646898"/>
    <w:rsid w:val="00655C54"/>
    <w:rsid w:val="00656B50"/>
    <w:rsid w:val="006609EB"/>
    <w:rsid w:val="00672495"/>
    <w:rsid w:val="00673277"/>
    <w:rsid w:val="006732FE"/>
    <w:rsid w:val="00680AAD"/>
    <w:rsid w:val="006843AE"/>
    <w:rsid w:val="00692CA0"/>
    <w:rsid w:val="00693399"/>
    <w:rsid w:val="006A415E"/>
    <w:rsid w:val="006C61CE"/>
    <w:rsid w:val="006D5F4D"/>
    <w:rsid w:val="006E1081"/>
    <w:rsid w:val="006E7F83"/>
    <w:rsid w:val="00710F6A"/>
    <w:rsid w:val="00720585"/>
    <w:rsid w:val="007230EB"/>
    <w:rsid w:val="00730D83"/>
    <w:rsid w:val="00732312"/>
    <w:rsid w:val="00732E45"/>
    <w:rsid w:val="007541ED"/>
    <w:rsid w:val="00754AAD"/>
    <w:rsid w:val="007648B7"/>
    <w:rsid w:val="00767202"/>
    <w:rsid w:val="00773AF6"/>
    <w:rsid w:val="00787D05"/>
    <w:rsid w:val="0079268F"/>
    <w:rsid w:val="00795F71"/>
    <w:rsid w:val="007A0FD2"/>
    <w:rsid w:val="007A49C9"/>
    <w:rsid w:val="007B4041"/>
    <w:rsid w:val="007D32ED"/>
    <w:rsid w:val="007E0781"/>
    <w:rsid w:val="007E2D2D"/>
    <w:rsid w:val="007E4181"/>
    <w:rsid w:val="007E73AB"/>
    <w:rsid w:val="007F137B"/>
    <w:rsid w:val="00802A8A"/>
    <w:rsid w:val="0080539D"/>
    <w:rsid w:val="00807194"/>
    <w:rsid w:val="0081609B"/>
    <w:rsid w:val="00816C11"/>
    <w:rsid w:val="0082246A"/>
    <w:rsid w:val="008238B3"/>
    <w:rsid w:val="008264A5"/>
    <w:rsid w:val="00831805"/>
    <w:rsid w:val="00834246"/>
    <w:rsid w:val="00841CA5"/>
    <w:rsid w:val="0084769C"/>
    <w:rsid w:val="0088397C"/>
    <w:rsid w:val="00883FAA"/>
    <w:rsid w:val="00892C3A"/>
    <w:rsid w:val="00894C55"/>
    <w:rsid w:val="008A1878"/>
    <w:rsid w:val="008A5E0E"/>
    <w:rsid w:val="008B0F6C"/>
    <w:rsid w:val="008C6042"/>
    <w:rsid w:val="008D353F"/>
    <w:rsid w:val="008D61FE"/>
    <w:rsid w:val="008E267B"/>
    <w:rsid w:val="008F0BF5"/>
    <w:rsid w:val="008F17F6"/>
    <w:rsid w:val="008F63D9"/>
    <w:rsid w:val="008F644F"/>
    <w:rsid w:val="008F7F79"/>
    <w:rsid w:val="00912FDB"/>
    <w:rsid w:val="00923B97"/>
    <w:rsid w:val="00923EBD"/>
    <w:rsid w:val="0093187C"/>
    <w:rsid w:val="0093278D"/>
    <w:rsid w:val="009534B6"/>
    <w:rsid w:val="00962F7C"/>
    <w:rsid w:val="009636FB"/>
    <w:rsid w:val="00966022"/>
    <w:rsid w:val="00970C77"/>
    <w:rsid w:val="00973088"/>
    <w:rsid w:val="0098337B"/>
    <w:rsid w:val="00987D8E"/>
    <w:rsid w:val="009A2654"/>
    <w:rsid w:val="009B446A"/>
    <w:rsid w:val="009C0087"/>
    <w:rsid w:val="009E1688"/>
    <w:rsid w:val="009E2AFB"/>
    <w:rsid w:val="009E3FD1"/>
    <w:rsid w:val="009F2B63"/>
    <w:rsid w:val="00A04262"/>
    <w:rsid w:val="00A51596"/>
    <w:rsid w:val="00A6073E"/>
    <w:rsid w:val="00A61631"/>
    <w:rsid w:val="00A62BF1"/>
    <w:rsid w:val="00A75FB7"/>
    <w:rsid w:val="00A802A9"/>
    <w:rsid w:val="00A901C0"/>
    <w:rsid w:val="00A91DC6"/>
    <w:rsid w:val="00A93F64"/>
    <w:rsid w:val="00A97B10"/>
    <w:rsid w:val="00AB4368"/>
    <w:rsid w:val="00AB6D0E"/>
    <w:rsid w:val="00AC1EC0"/>
    <w:rsid w:val="00AE5567"/>
    <w:rsid w:val="00AE5C89"/>
    <w:rsid w:val="00AE6E64"/>
    <w:rsid w:val="00AF7BF1"/>
    <w:rsid w:val="00B12911"/>
    <w:rsid w:val="00B129F8"/>
    <w:rsid w:val="00B16480"/>
    <w:rsid w:val="00B17636"/>
    <w:rsid w:val="00B21461"/>
    <w:rsid w:val="00B2165C"/>
    <w:rsid w:val="00B23215"/>
    <w:rsid w:val="00B453A7"/>
    <w:rsid w:val="00B505DA"/>
    <w:rsid w:val="00B5509F"/>
    <w:rsid w:val="00B63167"/>
    <w:rsid w:val="00B672C4"/>
    <w:rsid w:val="00B82D5D"/>
    <w:rsid w:val="00BA20AA"/>
    <w:rsid w:val="00BC6D4E"/>
    <w:rsid w:val="00BD4425"/>
    <w:rsid w:val="00BE2FC9"/>
    <w:rsid w:val="00BE6C0F"/>
    <w:rsid w:val="00C03DC7"/>
    <w:rsid w:val="00C178C1"/>
    <w:rsid w:val="00C25B49"/>
    <w:rsid w:val="00C2775D"/>
    <w:rsid w:val="00C3267B"/>
    <w:rsid w:val="00C32878"/>
    <w:rsid w:val="00C408B5"/>
    <w:rsid w:val="00C44823"/>
    <w:rsid w:val="00C45B05"/>
    <w:rsid w:val="00C503D0"/>
    <w:rsid w:val="00C5120D"/>
    <w:rsid w:val="00C5687A"/>
    <w:rsid w:val="00C603AF"/>
    <w:rsid w:val="00C668E3"/>
    <w:rsid w:val="00C87F9D"/>
    <w:rsid w:val="00C90B47"/>
    <w:rsid w:val="00CA494E"/>
    <w:rsid w:val="00CB7E41"/>
    <w:rsid w:val="00CC6CD4"/>
    <w:rsid w:val="00CE5657"/>
    <w:rsid w:val="00CE7A3E"/>
    <w:rsid w:val="00CE7AFC"/>
    <w:rsid w:val="00CF0427"/>
    <w:rsid w:val="00CF7899"/>
    <w:rsid w:val="00D0567E"/>
    <w:rsid w:val="00D133F8"/>
    <w:rsid w:val="00D14A3E"/>
    <w:rsid w:val="00D207F5"/>
    <w:rsid w:val="00D42BE7"/>
    <w:rsid w:val="00D544BD"/>
    <w:rsid w:val="00D54CDF"/>
    <w:rsid w:val="00D54E34"/>
    <w:rsid w:val="00D556E0"/>
    <w:rsid w:val="00D850DA"/>
    <w:rsid w:val="00D87B27"/>
    <w:rsid w:val="00D911C8"/>
    <w:rsid w:val="00D95266"/>
    <w:rsid w:val="00D974ED"/>
    <w:rsid w:val="00DB0C45"/>
    <w:rsid w:val="00DB6C6F"/>
    <w:rsid w:val="00DC21D2"/>
    <w:rsid w:val="00DC2C50"/>
    <w:rsid w:val="00DC580C"/>
    <w:rsid w:val="00DC7FF4"/>
    <w:rsid w:val="00DD4005"/>
    <w:rsid w:val="00DE45B8"/>
    <w:rsid w:val="00DE46A8"/>
    <w:rsid w:val="00DF1283"/>
    <w:rsid w:val="00DF3EB4"/>
    <w:rsid w:val="00E00CF8"/>
    <w:rsid w:val="00E01500"/>
    <w:rsid w:val="00E12E13"/>
    <w:rsid w:val="00E20BBB"/>
    <w:rsid w:val="00E30794"/>
    <w:rsid w:val="00E3306D"/>
    <w:rsid w:val="00E3716B"/>
    <w:rsid w:val="00E3727E"/>
    <w:rsid w:val="00E45E82"/>
    <w:rsid w:val="00E533A8"/>
    <w:rsid w:val="00E606D7"/>
    <w:rsid w:val="00E62C64"/>
    <w:rsid w:val="00E762F3"/>
    <w:rsid w:val="00E8138B"/>
    <w:rsid w:val="00E8749E"/>
    <w:rsid w:val="00E90C01"/>
    <w:rsid w:val="00E952B3"/>
    <w:rsid w:val="00E97C53"/>
    <w:rsid w:val="00EA486E"/>
    <w:rsid w:val="00EA55BC"/>
    <w:rsid w:val="00EC2ABB"/>
    <w:rsid w:val="00ED130A"/>
    <w:rsid w:val="00ED710C"/>
    <w:rsid w:val="00EE0B2F"/>
    <w:rsid w:val="00EF3E32"/>
    <w:rsid w:val="00F00726"/>
    <w:rsid w:val="00F01AC0"/>
    <w:rsid w:val="00F03325"/>
    <w:rsid w:val="00F05465"/>
    <w:rsid w:val="00F05727"/>
    <w:rsid w:val="00F05F3E"/>
    <w:rsid w:val="00F06D80"/>
    <w:rsid w:val="00F16ACB"/>
    <w:rsid w:val="00F33225"/>
    <w:rsid w:val="00F418B0"/>
    <w:rsid w:val="00F41C90"/>
    <w:rsid w:val="00F43EFE"/>
    <w:rsid w:val="00F57B0C"/>
    <w:rsid w:val="00F621AD"/>
    <w:rsid w:val="00F71A95"/>
    <w:rsid w:val="00F73145"/>
    <w:rsid w:val="00F76A60"/>
    <w:rsid w:val="00F87BF3"/>
    <w:rsid w:val="00F97665"/>
    <w:rsid w:val="00FC64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913928"/>
  <w15:docId w15:val="{8E925C81-46C2-49A8-922C-DE9DF156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uiPriority w:val="99"/>
    <w:qFormat/>
    <w:rsid w:val="00402C1C"/>
    <w:pPr>
      <w:spacing w:after="0" w:line="240" w:lineRule="auto"/>
    </w:pPr>
    <w:rPr>
      <w:rFonts w:ascii="Calibri" w:eastAsia="Calibri" w:hAnsi="Calibri" w:cs="Times New Roman"/>
    </w:rPr>
  </w:style>
  <w:style w:type="character" w:styleId="Izteiksmgs">
    <w:name w:val="Strong"/>
    <w:qFormat/>
    <w:rsid w:val="00402C1C"/>
    <w:rPr>
      <w:b/>
      <w:bCs/>
    </w:rPr>
  </w:style>
  <w:style w:type="character" w:styleId="Komentraatsauce">
    <w:name w:val="annotation reference"/>
    <w:basedOn w:val="Noklusjumarindkopasfonts"/>
    <w:semiHidden/>
    <w:unhideWhenUsed/>
    <w:rsid w:val="0082246A"/>
    <w:rPr>
      <w:sz w:val="16"/>
      <w:szCs w:val="16"/>
    </w:rPr>
  </w:style>
  <w:style w:type="paragraph" w:styleId="Komentrateksts">
    <w:name w:val="annotation text"/>
    <w:basedOn w:val="Parasts"/>
    <w:link w:val="KomentratekstsRakstz"/>
    <w:uiPriority w:val="99"/>
    <w:semiHidden/>
    <w:unhideWhenUsed/>
    <w:rsid w:val="008224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246A"/>
    <w:rPr>
      <w:sz w:val="20"/>
      <w:szCs w:val="20"/>
    </w:rPr>
  </w:style>
  <w:style w:type="paragraph" w:styleId="Komentratma">
    <w:name w:val="annotation subject"/>
    <w:basedOn w:val="Komentrateksts"/>
    <w:next w:val="Komentrateksts"/>
    <w:link w:val="KomentratmaRakstz"/>
    <w:uiPriority w:val="99"/>
    <w:semiHidden/>
    <w:unhideWhenUsed/>
    <w:rsid w:val="0082246A"/>
    <w:rPr>
      <w:b/>
      <w:bCs/>
    </w:rPr>
  </w:style>
  <w:style w:type="character" w:customStyle="1" w:styleId="KomentratmaRakstz">
    <w:name w:val="Komentāra tēma Rakstz."/>
    <w:basedOn w:val="KomentratekstsRakstz"/>
    <w:link w:val="Komentratma"/>
    <w:uiPriority w:val="99"/>
    <w:semiHidden/>
    <w:rsid w:val="0082246A"/>
    <w:rPr>
      <w:b/>
      <w:bCs/>
      <w:sz w:val="20"/>
      <w:szCs w:val="20"/>
    </w:rPr>
  </w:style>
  <w:style w:type="paragraph" w:styleId="Sarakstarindkopa">
    <w:name w:val="List Paragraph"/>
    <w:basedOn w:val="Parasts"/>
    <w:uiPriority w:val="34"/>
    <w:qFormat/>
    <w:rsid w:val="009E2AFB"/>
    <w:pPr>
      <w:ind w:left="720"/>
      <w:contextualSpacing/>
    </w:pPr>
  </w:style>
  <w:style w:type="paragraph" w:styleId="Prskatjums">
    <w:name w:val="Revision"/>
    <w:hidden/>
    <w:uiPriority w:val="99"/>
    <w:semiHidden/>
    <w:rsid w:val="00D54CDF"/>
    <w:pPr>
      <w:spacing w:after="0" w:line="240" w:lineRule="auto"/>
    </w:pPr>
  </w:style>
  <w:style w:type="table" w:customStyle="1" w:styleId="Reatabula1">
    <w:name w:val="Režģa tabula1"/>
    <w:basedOn w:val="Parastatabula"/>
    <w:next w:val="Reatabula"/>
    <w:rsid w:val="0067327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67327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67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EB4"/>
    <w:pPr>
      <w:autoSpaceDE w:val="0"/>
      <w:autoSpaceDN w:val="0"/>
      <w:adjustRightInd w:val="0"/>
      <w:spacing w:after="0" w:line="240" w:lineRule="auto"/>
    </w:pPr>
    <w:rPr>
      <w:rFonts w:ascii="EUAlbertina" w:hAnsi="EUAlbertina" w:cs="EUAlbertina"/>
      <w:color w:val="000000"/>
      <w:sz w:val="24"/>
      <w:szCs w:val="24"/>
    </w:rPr>
  </w:style>
  <w:style w:type="paragraph" w:customStyle="1" w:styleId="naisc">
    <w:name w:val="naisc"/>
    <w:basedOn w:val="Parasts"/>
    <w:rsid w:val="00633BE5"/>
    <w:pPr>
      <w:spacing w:before="100" w:beforeAutospacing="1" w:after="100" w:afterAutospacing="1" w:line="240" w:lineRule="auto"/>
      <w:jc w:val="center"/>
    </w:pPr>
    <w:rPr>
      <w:rFonts w:ascii="Times New Roman" w:eastAsia="Arial Unicode MS" w:hAnsi="Times New Roman" w:cs="Times New Roman"/>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11101</Words>
  <Characters>6329</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2010.gada 28.decembra noteikumos Nr.1229 „Noteikumi par šķirnes atšķirīguma, viendabīguma un stabilitātes pārbaudi”” sākotnējās ietekmes novērtējuma ziņojums (anotācija)</vt:lpstr>
      <vt:lpstr>Ministru kabineta noteikumu projekta „Grozījumi Ministru kabineta 2010.gada 28.decembra noteikumos Nr.1229 „Noteikumi par šķirnes atšķirīguma, viendabīguma un stabilitātes pārbaudi”” sākotnējās ietekmes novērtējuma ziņojums (anotācija)</vt:lpstr>
    </vt:vector>
  </TitlesOfParts>
  <Company>Zemkopības ministrija</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11. janvāra noteikumos Nr. 35 „Kārtība, kādā izsniedzamas, apturamas, pārreģistrējamas un anulējamas speciālās atļaujas (licences) veterinārfarmaceitiskajai darbībai” sākotnējās ietekmes novērtējuma ziņojums (anotācija)</dc:title>
  <dc:subject>Anotācija</dc:subject>
  <dc:creator>Baiba Kārkliņa</dc:creator>
  <dc:description>Kārkliņa 67027638_x000d_
Baiba.Karklina@zm.gov.lv</dc:description>
  <cp:lastModifiedBy>Kristiāna Sebre</cp:lastModifiedBy>
  <cp:revision>4</cp:revision>
  <dcterms:created xsi:type="dcterms:W3CDTF">2019-06-19T11:53:00Z</dcterms:created>
  <dcterms:modified xsi:type="dcterms:W3CDTF">2019-06-21T06:45:00Z</dcterms:modified>
</cp:coreProperties>
</file>