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8F1F2" w14:textId="77777777" w:rsidR="00FC777E" w:rsidRPr="00606F70" w:rsidRDefault="00FC777E" w:rsidP="00FC777E">
      <w:pPr>
        <w:pStyle w:val="Paraststmeklis"/>
        <w:spacing w:after="0"/>
        <w:jc w:val="center"/>
        <w:rPr>
          <w:b/>
          <w:sz w:val="28"/>
          <w:szCs w:val="28"/>
        </w:rPr>
      </w:pPr>
      <w:r w:rsidRPr="00606F70">
        <w:rPr>
          <w:b/>
          <w:sz w:val="28"/>
          <w:szCs w:val="28"/>
        </w:rPr>
        <w:t>Ministru kabineta noteikumu projekta „Grozījumi Ministru kabineta 2012. gada 24</w:t>
      </w:r>
      <w:r w:rsidR="00735309" w:rsidRPr="00606F70">
        <w:rPr>
          <w:b/>
          <w:sz w:val="28"/>
          <w:szCs w:val="28"/>
        </w:rPr>
        <w:t>.</w:t>
      </w:r>
      <w:r w:rsidRPr="00606F70">
        <w:rPr>
          <w:b/>
          <w:sz w:val="28"/>
          <w:szCs w:val="28"/>
        </w:rPr>
        <w:t>jūlija</w:t>
      </w:r>
      <w:r w:rsidRPr="00606F70" w:rsidDel="000B0EF5">
        <w:rPr>
          <w:b/>
          <w:sz w:val="28"/>
          <w:szCs w:val="28"/>
        </w:rPr>
        <w:t xml:space="preserve"> </w:t>
      </w:r>
      <w:r w:rsidRPr="00606F70">
        <w:rPr>
          <w:b/>
          <w:sz w:val="28"/>
          <w:szCs w:val="28"/>
        </w:rPr>
        <w:t xml:space="preserve">noteikumos Nr. 518 </w:t>
      </w:r>
      <w:r w:rsidRPr="00606F70">
        <w:rPr>
          <w:b/>
          <w:bCs/>
          <w:sz w:val="28"/>
          <w:szCs w:val="28"/>
        </w:rPr>
        <w:t>"</w:t>
      </w:r>
      <w:r w:rsidRPr="00606F70">
        <w:rPr>
          <w:b/>
          <w:sz w:val="28"/>
          <w:szCs w:val="28"/>
        </w:rPr>
        <w:t>Augu šķir</w:t>
      </w:r>
      <w:r w:rsidR="00A91C86" w:rsidRPr="00606F70">
        <w:rPr>
          <w:b/>
          <w:sz w:val="28"/>
          <w:szCs w:val="28"/>
        </w:rPr>
        <w:t>nes</w:t>
      </w:r>
      <w:r w:rsidRPr="00606F70">
        <w:rPr>
          <w:b/>
          <w:sz w:val="28"/>
          <w:szCs w:val="28"/>
        </w:rPr>
        <w:t xml:space="preserve"> saimniecisko īpašību novērtēšanas noteikumi</w:t>
      </w:r>
      <w:r w:rsidRPr="00606F70">
        <w:rPr>
          <w:b/>
          <w:bCs/>
          <w:sz w:val="28"/>
          <w:szCs w:val="28"/>
        </w:rPr>
        <w:t>"</w:t>
      </w:r>
      <w:r w:rsidRPr="00606F70">
        <w:rPr>
          <w:rFonts w:eastAsia="Times New Roman"/>
          <w:b/>
          <w:bCs/>
          <w:sz w:val="28"/>
          <w:szCs w:val="28"/>
          <w:lang w:eastAsia="lv-LV"/>
        </w:rPr>
        <w:t>”</w:t>
      </w:r>
      <w:r w:rsidRPr="00606F70">
        <w:rPr>
          <w:b/>
          <w:sz w:val="28"/>
          <w:szCs w:val="28"/>
        </w:rPr>
        <w:t xml:space="preserve"> sākotnējās ietekmes novērtējuma ziņojums (anotācija)</w:t>
      </w:r>
    </w:p>
    <w:p w14:paraId="1DF312AE" w14:textId="77777777" w:rsidR="00DB60E4" w:rsidRDefault="00DB60E4" w:rsidP="00FC777E">
      <w:pPr>
        <w:pStyle w:val="Paraststmeklis"/>
        <w:spacing w:after="0"/>
        <w:jc w:val="center"/>
        <w:rPr>
          <w:b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52"/>
        <w:gridCol w:w="5479"/>
      </w:tblGrid>
      <w:tr w:rsidR="00DB60E4" w14:paraId="196587E2" w14:textId="77777777" w:rsidTr="009D4E18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25A632" w14:textId="77777777" w:rsidR="00DB60E4" w:rsidRPr="001C2B53" w:rsidRDefault="00DB60E4" w:rsidP="009D4E1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DB60E4" w14:paraId="6FD7501B" w14:textId="77777777" w:rsidTr="009D4E18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1ABA06" w14:textId="77777777" w:rsidR="00DB60E4" w:rsidRPr="001C2B53" w:rsidRDefault="00DB60E4" w:rsidP="009D4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5F589E" w14:textId="77777777" w:rsidR="00DB60E4" w:rsidRPr="005A5578" w:rsidRDefault="00DB60E4" w:rsidP="009D4E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78A1CC66" w14:textId="77777777" w:rsidR="005B30E0" w:rsidRPr="00665DF5" w:rsidRDefault="005B30E0" w:rsidP="0071495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410"/>
        <w:gridCol w:w="6378"/>
      </w:tblGrid>
      <w:tr w:rsidR="00580FF7" w:rsidRPr="00F551D6" w14:paraId="0623235D" w14:textId="77777777" w:rsidTr="002F04AF">
        <w:trPr>
          <w:trHeight w:val="383"/>
        </w:trPr>
        <w:tc>
          <w:tcPr>
            <w:tcW w:w="9214" w:type="dxa"/>
            <w:gridSpan w:val="3"/>
          </w:tcPr>
          <w:p w14:paraId="722B6734" w14:textId="77777777" w:rsidR="00E52AAB" w:rsidRPr="00F551D6" w:rsidRDefault="00E52AAB" w:rsidP="00EE11D3">
            <w:pPr>
              <w:pStyle w:val="Bezatstarpm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A4761">
              <w:rPr>
                <w:rFonts w:ascii="Times New Roman" w:hAnsi="Times New Roman"/>
                <w:b/>
                <w:sz w:val="24"/>
                <w:szCs w:val="24"/>
              </w:rPr>
              <w:t>I. Tiesību akta projekta izstrādes nepieciešamība</w:t>
            </w:r>
          </w:p>
        </w:tc>
      </w:tr>
      <w:tr w:rsidR="00580FF7" w:rsidRPr="00F551D6" w14:paraId="67111E3E" w14:textId="77777777" w:rsidTr="00E418F4">
        <w:trPr>
          <w:trHeight w:val="261"/>
        </w:trPr>
        <w:tc>
          <w:tcPr>
            <w:tcW w:w="426" w:type="dxa"/>
          </w:tcPr>
          <w:p w14:paraId="0D1068CD" w14:textId="77777777" w:rsidR="00E52AAB" w:rsidRPr="00CA4761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CA47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499134EC" w14:textId="77777777" w:rsidR="00E52AAB" w:rsidRPr="00CA4761" w:rsidRDefault="00E52AAB" w:rsidP="00637AB9">
            <w:pPr>
              <w:pStyle w:val="Bezatstarpm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4761">
              <w:rPr>
                <w:rFonts w:ascii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6378" w:type="dxa"/>
          </w:tcPr>
          <w:p w14:paraId="62A82144" w14:textId="5705ED69" w:rsidR="00A76449" w:rsidRPr="001A6649" w:rsidRDefault="00FC777E" w:rsidP="00A9493B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E868BA">
              <w:t>Ministru kabineta noteikumu projekts</w:t>
            </w:r>
            <w:r w:rsidR="001B091E">
              <w:t xml:space="preserve"> „Grozījumi Ministru kabineta 2012. gada 24. jūlija noteikumos Nr.518 „Augu šķirnes saimniecisko īpašību novērtēšanas noteikumi”” (turpmāk – noteikumu projekts)</w:t>
            </w:r>
            <w:r w:rsidRPr="00E868BA">
              <w:t xml:space="preserve"> sagatavots saskaņā</w:t>
            </w:r>
            <w:r w:rsidRPr="00E868BA">
              <w:rPr>
                <w:b/>
              </w:rPr>
              <w:t xml:space="preserve"> </w:t>
            </w:r>
            <w:r w:rsidRPr="00E868BA">
              <w:t>ar Sēklu un šķirņu aprites likuma 11.</w:t>
            </w:r>
            <w:r w:rsidRPr="00E868BA">
              <w:rPr>
                <w:vertAlign w:val="superscript"/>
              </w:rPr>
              <w:t>1</w:t>
            </w:r>
            <w:r w:rsidRPr="00E868BA">
              <w:t xml:space="preserve"> panta pirmās daļas 3.</w:t>
            </w:r>
            <w:r w:rsidR="00512A52">
              <w:t xml:space="preserve"> </w:t>
            </w:r>
            <w:r w:rsidRPr="00E868BA">
              <w:t>punktu.</w:t>
            </w:r>
          </w:p>
        </w:tc>
      </w:tr>
      <w:tr w:rsidR="00580FF7" w:rsidRPr="00F551D6" w14:paraId="68133910" w14:textId="77777777" w:rsidTr="00E418F4">
        <w:trPr>
          <w:trHeight w:val="274"/>
        </w:trPr>
        <w:tc>
          <w:tcPr>
            <w:tcW w:w="426" w:type="dxa"/>
          </w:tcPr>
          <w:p w14:paraId="16C229FC" w14:textId="77777777" w:rsidR="00E52AAB" w:rsidRPr="00CA4761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CA47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31D16CE2" w14:textId="77777777" w:rsidR="000669A3" w:rsidRDefault="00E52AAB" w:rsidP="009573AC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CA4761">
              <w:rPr>
                <w:rFonts w:ascii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4A4AE6C1" w14:textId="77777777" w:rsidR="000669A3" w:rsidRPr="000669A3" w:rsidRDefault="000669A3" w:rsidP="000669A3"/>
          <w:p w14:paraId="36834CFC" w14:textId="77777777" w:rsidR="000669A3" w:rsidRPr="000669A3" w:rsidRDefault="000669A3" w:rsidP="000669A3"/>
          <w:p w14:paraId="662D3556" w14:textId="77777777" w:rsidR="000669A3" w:rsidRPr="000669A3" w:rsidRDefault="000669A3" w:rsidP="000669A3"/>
          <w:p w14:paraId="6F64239E" w14:textId="77777777" w:rsidR="000669A3" w:rsidRPr="000669A3" w:rsidRDefault="000669A3" w:rsidP="000669A3"/>
          <w:p w14:paraId="6FB75C82" w14:textId="77777777" w:rsidR="000669A3" w:rsidRPr="000669A3" w:rsidRDefault="000669A3" w:rsidP="000669A3"/>
          <w:p w14:paraId="6864C7A8" w14:textId="77777777" w:rsidR="000669A3" w:rsidRPr="000669A3" w:rsidRDefault="000669A3" w:rsidP="000669A3"/>
          <w:p w14:paraId="7D4C6F8A" w14:textId="77777777" w:rsidR="000669A3" w:rsidRPr="000669A3" w:rsidRDefault="000669A3" w:rsidP="000669A3"/>
          <w:p w14:paraId="785FF678" w14:textId="77777777" w:rsidR="000669A3" w:rsidRPr="000669A3" w:rsidRDefault="000669A3" w:rsidP="000669A3"/>
          <w:p w14:paraId="147F44D2" w14:textId="77777777" w:rsidR="000669A3" w:rsidRPr="000669A3" w:rsidRDefault="000669A3" w:rsidP="000669A3"/>
          <w:p w14:paraId="717FDD11" w14:textId="77777777" w:rsidR="000669A3" w:rsidRPr="000669A3" w:rsidRDefault="000669A3" w:rsidP="000669A3"/>
          <w:p w14:paraId="5150B888" w14:textId="77777777" w:rsidR="000669A3" w:rsidRDefault="000669A3" w:rsidP="000669A3"/>
          <w:p w14:paraId="20C40DDA" w14:textId="5F0389AC" w:rsidR="00551C31" w:rsidRDefault="00551C31" w:rsidP="000669A3">
            <w:pPr>
              <w:ind w:firstLine="720"/>
            </w:pPr>
          </w:p>
          <w:p w14:paraId="3F91D64F" w14:textId="77777777" w:rsidR="00551C31" w:rsidRPr="00551C31" w:rsidRDefault="00551C31" w:rsidP="00551C31">
            <w:pPr>
              <w:ind w:firstLine="720"/>
            </w:pPr>
          </w:p>
          <w:p w14:paraId="25C5834C" w14:textId="254ABF19" w:rsidR="00E52AAB" w:rsidRPr="00551C31" w:rsidRDefault="00E52AAB" w:rsidP="00551C31">
            <w:pPr>
              <w:ind w:firstLine="720"/>
            </w:pPr>
          </w:p>
        </w:tc>
        <w:tc>
          <w:tcPr>
            <w:tcW w:w="6378" w:type="dxa"/>
          </w:tcPr>
          <w:p w14:paraId="1C5432DF" w14:textId="45D12E37" w:rsidR="00B83C93" w:rsidRPr="00E868BA" w:rsidRDefault="00B83C93" w:rsidP="00427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BA">
              <w:rPr>
                <w:rFonts w:ascii="Times New Roman" w:hAnsi="Times New Roman"/>
                <w:sz w:val="24"/>
                <w:szCs w:val="24"/>
              </w:rPr>
              <w:t>Paš</w:t>
            </w:r>
            <w:r>
              <w:rPr>
                <w:rFonts w:ascii="Times New Roman" w:hAnsi="Times New Roman"/>
                <w:sz w:val="24"/>
                <w:szCs w:val="24"/>
              </w:rPr>
              <w:t>laik</w:t>
            </w:r>
            <w:r w:rsidRPr="00E868BA">
              <w:rPr>
                <w:rFonts w:ascii="Times New Roman" w:hAnsi="Times New Roman"/>
                <w:sz w:val="24"/>
                <w:szCs w:val="24"/>
              </w:rPr>
              <w:t xml:space="preserve"> ir spēkā Ministru kabineta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8BA">
              <w:rPr>
                <w:rFonts w:ascii="Times New Roman" w:hAnsi="Times New Roman"/>
                <w:sz w:val="24"/>
                <w:szCs w:val="24"/>
              </w:rPr>
              <w:t>2012.</w:t>
            </w:r>
            <w:r w:rsidR="0053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gada</w:t>
            </w:r>
            <w:r w:rsidRPr="00E868BA">
              <w:rPr>
                <w:rFonts w:ascii="Times New Roman" w:hAnsi="Times New Roman"/>
                <w:sz w:val="24"/>
                <w:szCs w:val="24"/>
              </w:rPr>
              <w:t xml:space="preserve"> 24.</w:t>
            </w:r>
            <w:r w:rsidR="0053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jūlija </w:t>
            </w:r>
            <w:r w:rsidRPr="00E868BA">
              <w:rPr>
                <w:rFonts w:ascii="Times New Roman" w:hAnsi="Times New Roman"/>
                <w:sz w:val="24"/>
                <w:szCs w:val="24"/>
              </w:rPr>
              <w:t>noteikumi Nr.</w:t>
            </w:r>
            <w:r w:rsidR="0053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8BA">
              <w:rPr>
                <w:rFonts w:ascii="Times New Roman" w:hAnsi="Times New Roman"/>
                <w:sz w:val="24"/>
                <w:szCs w:val="24"/>
              </w:rPr>
              <w:t xml:space="preserve">518 „Augu šķirnes saimniecisko īpašību novērtēšanas noteikumi” (turpmāk – noteikumi Nr.518). </w:t>
            </w:r>
          </w:p>
          <w:p w14:paraId="65306435" w14:textId="4857B169" w:rsidR="00B83C93" w:rsidRDefault="00B83C93" w:rsidP="00667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9054F">
              <w:rPr>
                <w:rFonts w:ascii="Times New Roman" w:hAnsi="Times New Roman"/>
                <w:sz w:val="24"/>
                <w:szCs w:val="24"/>
              </w:rPr>
              <w:t>Normatīvajos aktos par sēklu un šķirņu apriti noteiktajām sugām</w:t>
            </w:r>
            <w:r w:rsidR="0079054F" w:rsidRPr="00D3037F">
              <w:rPr>
                <w:rFonts w:ascii="Times New Roman" w:hAnsi="Times New Roman"/>
                <w:sz w:val="24"/>
                <w:szCs w:val="24"/>
              </w:rPr>
              <w:t>,</w:t>
            </w:r>
            <w:r w:rsidRPr="0079054F">
              <w:rPr>
                <w:rFonts w:ascii="Times New Roman" w:hAnsi="Times New Roman"/>
                <w:sz w:val="24"/>
                <w:szCs w:val="24"/>
              </w:rPr>
              <w:t xml:space="preserve"> pirms t</w:t>
            </w:r>
            <w:r w:rsidR="0079054F" w:rsidRPr="00D3037F">
              <w:rPr>
                <w:rFonts w:ascii="Times New Roman" w:hAnsi="Times New Roman"/>
                <w:sz w:val="24"/>
                <w:szCs w:val="24"/>
              </w:rPr>
              <w:t>ās tiek</w:t>
            </w:r>
            <w:r w:rsidRPr="0079054F">
              <w:rPr>
                <w:rFonts w:ascii="Times New Roman" w:hAnsi="Times New Roman"/>
                <w:sz w:val="24"/>
                <w:szCs w:val="24"/>
              </w:rPr>
              <w:t xml:space="preserve"> iekļau</w:t>
            </w:r>
            <w:r w:rsidR="0079054F" w:rsidRPr="00D3037F">
              <w:rPr>
                <w:rFonts w:ascii="Times New Roman" w:hAnsi="Times New Roman"/>
                <w:sz w:val="24"/>
                <w:szCs w:val="24"/>
              </w:rPr>
              <w:t>tas</w:t>
            </w:r>
            <w:r w:rsidRPr="0079054F">
              <w:rPr>
                <w:rFonts w:ascii="Times New Roman" w:hAnsi="Times New Roman"/>
                <w:sz w:val="24"/>
                <w:szCs w:val="24"/>
              </w:rPr>
              <w:t xml:space="preserve"> Latvijas augu šķirņu katalogā</w:t>
            </w:r>
            <w:r w:rsidR="0079054F" w:rsidRPr="00D3037F">
              <w:rPr>
                <w:rFonts w:ascii="Times New Roman" w:hAnsi="Times New Roman"/>
                <w:sz w:val="24"/>
                <w:szCs w:val="24"/>
              </w:rPr>
              <w:t>,</w:t>
            </w:r>
            <w:r w:rsidRPr="0079054F">
              <w:rPr>
                <w:rFonts w:ascii="Times New Roman" w:hAnsi="Times New Roman"/>
                <w:sz w:val="24"/>
                <w:szCs w:val="24"/>
              </w:rPr>
              <w:t xml:space="preserve"> tiek novērtētas šķirnes saimnieciskās īpašības saskaņā ar noteikumiem Nr.518.</w:t>
            </w:r>
            <w:r w:rsidRPr="00E8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8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Augu šķirņu saimniecisko īpašību novērtēšanas (turpmāk – SĪN) mērķis ir noskaidrot šķirnes ražības, bioloģisko īpatnību, iegūtās produkcijas kvalitātes, ķīmisko un tehnoloģisko īpašību atšķirības no standartšķirnes, šķirņu izturību pret slimībām un kaitēkļiem, kā arī citas saimnieciski nozīmīgas īpašības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</w:t>
            </w:r>
            <w:r w:rsidRPr="00E868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piemērotību audzēšanai Latvijas agroklimatiskajos apstākļos.</w:t>
            </w:r>
          </w:p>
          <w:p w14:paraId="0C81453C" w14:textId="1D3E7935" w:rsidR="00131AB2" w:rsidRDefault="008E39EB" w:rsidP="00667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Nacionālās augu šķirņu padomes </w:t>
            </w:r>
            <w:r w:rsidR="00A91C86"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Eļļas augu un šķiedraugu </w:t>
            </w:r>
            <w:r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ekspertu grup</w:t>
            </w:r>
            <w:r w:rsidR="001A44D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as sanāksmē </w:t>
            </w:r>
            <w:r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tika </w:t>
            </w:r>
            <w:r w:rsidR="00131AB2"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nolemts</w:t>
            </w:r>
            <w:r w:rsidR="00B8793D"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ka </w:t>
            </w:r>
            <w:r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eļļas augiem (rapsim </w:t>
            </w:r>
            <w:r w:rsidRPr="00021A23">
              <w:rPr>
                <w:rFonts w:ascii="Times New Roman" w:hAnsi="Times New Roman"/>
                <w:sz w:val="24"/>
                <w:szCs w:val="24"/>
              </w:rPr>
              <w:t>(</w:t>
            </w:r>
            <w:r w:rsidRPr="00021A2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Brassica napus</w:t>
            </w:r>
            <w:r w:rsidRPr="00021A23">
              <w:rPr>
                <w:rFonts w:ascii="Times New Roman" w:hAnsi="Times New Roman"/>
                <w:sz w:val="24"/>
                <w:szCs w:val="24"/>
              </w:rPr>
              <w:t xml:space="preserve"> L. (</w:t>
            </w:r>
            <w:r w:rsidRPr="00021A2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partim</w:t>
            </w:r>
            <w:r w:rsidRPr="00021A23">
              <w:rPr>
                <w:rFonts w:ascii="Times New Roman" w:hAnsi="Times New Roman"/>
                <w:sz w:val="24"/>
                <w:szCs w:val="24"/>
              </w:rPr>
              <w:t>))</w:t>
            </w:r>
            <w:r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eļļas liniem </w:t>
            </w:r>
            <w:r w:rsidRPr="00021A23">
              <w:rPr>
                <w:rFonts w:ascii="Times New Roman" w:hAnsi="Times New Roman"/>
                <w:sz w:val="24"/>
                <w:szCs w:val="24"/>
              </w:rPr>
              <w:t>(</w:t>
            </w:r>
            <w:r w:rsidRPr="00021A2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Linum usitatissimum</w:t>
            </w:r>
            <w:r w:rsidRPr="00021A23">
              <w:rPr>
                <w:rFonts w:ascii="Times New Roman" w:hAnsi="Times New Roman"/>
                <w:sz w:val="24"/>
                <w:szCs w:val="24"/>
              </w:rPr>
              <w:t xml:space="preserve"> L.)</w:t>
            </w:r>
            <w:r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eļļas kaņepēm </w:t>
            </w:r>
            <w:r w:rsidRPr="00021A23">
              <w:rPr>
                <w:rFonts w:ascii="Times New Roman" w:hAnsi="Times New Roman"/>
                <w:sz w:val="24"/>
                <w:szCs w:val="24"/>
              </w:rPr>
              <w:t>(</w:t>
            </w:r>
            <w:r w:rsidRPr="00021A2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Cannabis sativa</w:t>
            </w:r>
            <w:r w:rsidRPr="00021A23">
              <w:rPr>
                <w:rFonts w:ascii="Times New Roman" w:hAnsi="Times New Roman"/>
                <w:sz w:val="24"/>
                <w:szCs w:val="24"/>
              </w:rPr>
              <w:t xml:space="preserve"> L.)</w:t>
            </w:r>
            <w:r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sojai (</w:t>
            </w:r>
            <w:r w:rsidRPr="00021A23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 xml:space="preserve">Glycine max </w:t>
            </w:r>
            <w:r w:rsidRPr="00021A23">
              <w:rPr>
                <w:rFonts w:ascii="Times New Roman" w:hAnsi="Times New Roman"/>
                <w:sz w:val="24"/>
                <w:szCs w:val="24"/>
                <w:lang w:eastAsia="lv-LV"/>
              </w:rPr>
              <w:t>(L.) Merr.)</w:t>
            </w:r>
            <w:r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) </w:t>
            </w:r>
            <w:r w:rsidR="00194690"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nepieciešams precizēt </w:t>
            </w:r>
            <w:r w:rsidR="001946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tādu </w:t>
            </w:r>
            <w:r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nosakāmo rādītāju</w:t>
            </w:r>
            <w:r w:rsidR="00B8793D"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946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kā procentuālais </w:t>
            </w:r>
            <w:r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eļļas saturs</w:t>
            </w:r>
            <w:r w:rsidR="001946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turpmāk to</w:t>
            </w:r>
            <w:r w:rsidR="008E563D"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</w:t>
            </w:r>
            <w:r w:rsidR="00021A23"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</w:t>
            </w:r>
            <w:r w:rsidR="001946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ot</w:t>
            </w:r>
            <w:r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salīdzinājumā ar standartšķirni vai standartšķirņu vidējo</w:t>
            </w:r>
            <w:r w:rsidR="0071495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rādītāju</w:t>
            </w:r>
            <w:r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Turklāt š</w:t>
            </w:r>
            <w:r w:rsidR="008E563D"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is </w:t>
            </w:r>
            <w:r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8E563D"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rādītājs ir jā</w:t>
            </w:r>
            <w:r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</w:t>
            </w:r>
            <w:r w:rsidR="008E563D"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saka </w:t>
            </w:r>
            <w:r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kā informatīv</w:t>
            </w:r>
            <w:r w:rsidR="008E563D"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par to nepiešķ</w:t>
            </w:r>
            <w:r w:rsidR="00021A23"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</w:t>
            </w:r>
            <w:r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ball</w:t>
            </w:r>
            <w:r w:rsidR="008E563D"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</w:t>
            </w:r>
            <w:r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s, </w:t>
            </w:r>
            <w:r w:rsidR="000B6AE5"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lai </w:t>
            </w:r>
            <w:r w:rsidR="001946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nepieļautu iespēju</w:t>
            </w:r>
            <w:r w:rsidR="00021A23"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ka par eļļas saturu balles tiek piešķirtas divas reizes. </w:t>
            </w:r>
            <w:r w:rsidR="008E0C54" w:rsidRPr="00021A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Eksperti nolēma, ka sojai (</w:t>
            </w:r>
            <w:r w:rsidR="008E0C54" w:rsidRPr="00021A23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 xml:space="preserve">Glycine max </w:t>
            </w:r>
            <w:r w:rsidR="008E0C54" w:rsidRPr="00021A23">
              <w:rPr>
                <w:rFonts w:ascii="Times New Roman" w:hAnsi="Times New Roman"/>
                <w:sz w:val="24"/>
                <w:szCs w:val="24"/>
                <w:lang w:eastAsia="lv-LV"/>
              </w:rPr>
              <w:t>(L.) Merr.) rādītājs “proteīna saturs” izsakāms salīdzinājumā ar standartšķirni vai standartšķirņu vidējo</w:t>
            </w:r>
            <w:r w:rsidR="0071495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rādītāju</w:t>
            </w:r>
            <w:r w:rsidR="008E0C54" w:rsidRPr="00021A2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4F1388" w:rsidRPr="00021A2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Ņemot vērā iepriekš minēto, noteikumu </w:t>
            </w:r>
            <w:r w:rsidR="004F1388">
              <w:rPr>
                <w:rFonts w:ascii="Times New Roman" w:hAnsi="Times New Roman"/>
                <w:sz w:val="24"/>
                <w:szCs w:val="24"/>
                <w:lang w:eastAsia="lv-LV"/>
              </w:rPr>
              <w:t>projektā tiek precizēt</w:t>
            </w:r>
            <w:r w:rsidR="001B091E">
              <w:rPr>
                <w:rFonts w:ascii="Times New Roman" w:hAnsi="Times New Roman"/>
                <w:sz w:val="24"/>
                <w:szCs w:val="24"/>
                <w:lang w:eastAsia="lv-LV"/>
              </w:rPr>
              <w:t>i</w:t>
            </w:r>
            <w:r w:rsidR="004F138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1.pielikuma attiec</w:t>
            </w:r>
            <w:r w:rsidR="008E0C54">
              <w:rPr>
                <w:rFonts w:ascii="Times New Roman" w:hAnsi="Times New Roman"/>
                <w:sz w:val="24"/>
                <w:szCs w:val="24"/>
                <w:lang w:eastAsia="lv-LV"/>
              </w:rPr>
              <w:t>īgie punkti,</w:t>
            </w:r>
            <w:r w:rsidR="004F138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papildinot vērtējamo</w:t>
            </w:r>
            <w:r w:rsidR="000B6AE5"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4F138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rādītājus un nosakot tos par informatīviem rādītājiem</w:t>
            </w:r>
            <w:r w:rsidR="008E0C5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Attiecīgi </w:t>
            </w:r>
            <w:r w:rsidR="00131A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  <w:r w:rsidR="00131AB2" w:rsidRPr="00131AB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6</w:t>
            </w:r>
            <w:r w:rsidR="00131A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pielikum</w:t>
            </w:r>
            <w:r w:rsidR="008E0C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 </w:t>
            </w:r>
            <w:r w:rsidR="00131A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tiek </w:t>
            </w:r>
            <w:r w:rsidR="008E0C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papildināts</w:t>
            </w:r>
            <w:r w:rsidR="001946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</w:t>
            </w:r>
            <w:r w:rsidR="00131A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formul</w:t>
            </w:r>
            <w:r w:rsidR="007905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ām</w:t>
            </w:r>
            <w:r w:rsidR="008E0C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31A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eļļas satur</w:t>
            </w:r>
            <w:r w:rsidR="007905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="008E0C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(%)</w:t>
            </w:r>
            <w:r w:rsidR="00131A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proteīna satur</w:t>
            </w:r>
            <w:r w:rsidR="007905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="008E0C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(%)</w:t>
            </w:r>
            <w:r w:rsidR="007905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pārrēķināšanai</w:t>
            </w:r>
            <w:r w:rsidR="0079054F" w:rsidDel="007905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31A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salīdzinājumā ar standartšķirni vai standartšķirņu vidējo</w:t>
            </w:r>
            <w:r w:rsidR="0071495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rādītāju</w:t>
            </w:r>
            <w:r w:rsidR="00131A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14:paraId="378B8718" w14:textId="26907D17" w:rsidR="00727910" w:rsidRDefault="008E0C54" w:rsidP="008E0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Precizējot 1.pielikumu</w:t>
            </w:r>
            <w:r w:rsidR="00BE75B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attiecīgi </w:t>
            </w:r>
            <w:r w:rsidR="0079054F">
              <w:rPr>
                <w:rFonts w:ascii="Times New Roman" w:hAnsi="Times New Roman"/>
                <w:sz w:val="24"/>
                <w:szCs w:val="24"/>
                <w:lang w:eastAsia="lv-LV"/>
              </w:rPr>
              <w:t>jā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precizē </w:t>
            </w:r>
            <w:r w:rsidR="00727910">
              <w:rPr>
                <w:rFonts w:ascii="Times New Roman" w:hAnsi="Times New Roman"/>
                <w:sz w:val="24"/>
                <w:szCs w:val="24"/>
                <w:lang w:eastAsia="lv-LV"/>
              </w:rPr>
              <w:t>arī 8.</w:t>
            </w:r>
            <w:r w:rsidR="00BF60F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727910">
              <w:rPr>
                <w:rFonts w:ascii="Times New Roman" w:hAnsi="Times New Roman"/>
                <w:sz w:val="24"/>
                <w:szCs w:val="24"/>
                <w:lang w:eastAsia="lv-LV"/>
              </w:rPr>
              <w:t>pielikum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="0072791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punkt</w:t>
            </w:r>
            <w:r w:rsidR="0079054F">
              <w:rPr>
                <w:rFonts w:ascii="Times New Roman" w:hAnsi="Times New Roman"/>
                <w:sz w:val="24"/>
                <w:szCs w:val="24"/>
                <w:lang w:eastAsia="lv-LV"/>
              </w:rPr>
              <w:t>i</w:t>
            </w:r>
            <w:r w:rsidR="00727910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727910">
              <w:rPr>
                <w:rFonts w:ascii="Times New Roman" w:hAnsi="Times New Roman"/>
                <w:sz w:val="24"/>
                <w:szCs w:val="24"/>
                <w:lang w:eastAsia="lv-LV"/>
              </w:rPr>
              <w:t>svītro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jot</w:t>
            </w:r>
            <w:r w:rsidR="0072791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rādītāju vērtējumu ballēs</w:t>
            </w:r>
            <w:r w:rsidR="000B6AE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="0072791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8.</w:t>
            </w:r>
            <w:r w:rsidR="00BF60F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pielikumā</w:t>
            </w:r>
            <w:r w:rsidR="0072791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727910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 xml:space="preserve">precizēts </w:t>
            </w:r>
            <w:r w:rsidR="0079054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arī </w:t>
            </w:r>
            <w:r w:rsidR="00727910">
              <w:rPr>
                <w:rFonts w:ascii="Times New Roman" w:hAnsi="Times New Roman"/>
                <w:sz w:val="24"/>
                <w:szCs w:val="24"/>
                <w:lang w:eastAsia="lv-LV"/>
              </w:rPr>
              <w:t>sojas proteīna rādītāj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 salīdzinājumā ar standartšķirņu</w:t>
            </w:r>
            <w:r w:rsidR="0072791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rādītāju vērtējumu, izsakot vērtējumu ballēs. </w:t>
            </w:r>
          </w:p>
          <w:p w14:paraId="5649CB90" w14:textId="387FE2E1" w:rsidR="009D300B" w:rsidRPr="00727910" w:rsidRDefault="009D3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Ņemot vērā minētos grozījumus</w:t>
            </w:r>
            <w:r w:rsidR="001A44DF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tiek paredzēts pārejas periods tām šķirnēm, kuru novērtēšana jau uzsākta, tā </w:t>
            </w:r>
            <w:r w:rsidR="006649E6">
              <w:rPr>
                <w:rFonts w:ascii="Times New Roman" w:hAnsi="Times New Roman"/>
                <w:sz w:val="24"/>
                <w:szCs w:val="24"/>
                <w:lang w:eastAsia="lv-LV"/>
              </w:rPr>
              <w:t>dod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ot iespēju turpināt un pabeigt šķirnes saimniecisko </w:t>
            </w:r>
            <w:r w:rsidR="00D5593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īpašību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novērtēšanu ar tām pašām prasībām</w:t>
            </w:r>
            <w:r w:rsidR="0079054F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BD45A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A44D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ar kādām </w:t>
            </w:r>
            <w:r w:rsidR="0079054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tika uzsākta </w:t>
            </w:r>
            <w:r w:rsidR="001A44D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šķirnes </w:t>
            </w:r>
            <w:r w:rsidR="00D5593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saimniecisko īpašību </w:t>
            </w:r>
            <w:r w:rsidR="001A44DF">
              <w:rPr>
                <w:rFonts w:ascii="Times New Roman" w:hAnsi="Times New Roman"/>
                <w:sz w:val="24"/>
                <w:szCs w:val="24"/>
                <w:lang w:eastAsia="lv-LV"/>
              </w:rPr>
              <w:t>novērtēšana.</w:t>
            </w:r>
            <w:r w:rsidR="00BD45A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D45A9" w:rsidRPr="00D960D0">
              <w:rPr>
                <w:rFonts w:ascii="Times New Roman" w:hAnsi="Times New Roman"/>
                <w:sz w:val="24"/>
                <w:szCs w:val="24"/>
                <w:lang w:eastAsia="lv-LV"/>
              </w:rPr>
              <w:t>Vasarāju sugu izmēģinājumi t</w:t>
            </w:r>
            <w:r w:rsidR="00BE75B1">
              <w:rPr>
                <w:rFonts w:ascii="Times New Roman" w:hAnsi="Times New Roman"/>
                <w:sz w:val="24"/>
                <w:szCs w:val="24"/>
                <w:lang w:eastAsia="lv-LV"/>
              </w:rPr>
              <w:t>iek</w:t>
            </w:r>
            <w:r w:rsidR="00BD45A9" w:rsidRPr="00D960D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iesēti</w:t>
            </w:r>
            <w:r w:rsidR="00BE75B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līdz kārtējā gada 30. jūnijam</w:t>
            </w:r>
            <w:r w:rsidR="0079054F">
              <w:rPr>
                <w:rFonts w:ascii="Times New Roman" w:hAnsi="Times New Roman"/>
                <w:sz w:val="24"/>
                <w:szCs w:val="24"/>
                <w:lang w:eastAsia="lv-LV"/>
              </w:rPr>
              <w:t>, tāpēc</w:t>
            </w:r>
            <w:r w:rsidR="00BE75B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par </w:t>
            </w:r>
            <w:r w:rsidR="00B60122" w:rsidRPr="00D960D0">
              <w:rPr>
                <w:rFonts w:ascii="Times New Roman" w:hAnsi="Times New Roman"/>
                <w:sz w:val="24"/>
                <w:szCs w:val="24"/>
                <w:lang w:eastAsia="lv-LV"/>
              </w:rPr>
              <w:t>atskaites punkt</w:t>
            </w:r>
            <w:r w:rsidR="00BE75B1">
              <w:rPr>
                <w:rFonts w:ascii="Times New Roman" w:hAnsi="Times New Roman"/>
                <w:sz w:val="24"/>
                <w:szCs w:val="24"/>
                <w:lang w:eastAsia="lv-LV"/>
              </w:rPr>
              <w:t>u noteikumu projektā paredzētajam pārejas periodam ir</w:t>
            </w:r>
            <w:r w:rsidR="00B60122" w:rsidRPr="00D960D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D45A9" w:rsidRPr="00D960D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izvēlēts </w:t>
            </w:r>
            <w:r w:rsidR="00BE75B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2019. gada </w:t>
            </w:r>
            <w:r w:rsidR="00BD45A9" w:rsidRPr="00D960D0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  <w:r w:rsidR="00BE75B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D45A9" w:rsidRPr="00D960D0">
              <w:rPr>
                <w:rFonts w:ascii="Times New Roman" w:hAnsi="Times New Roman"/>
                <w:sz w:val="24"/>
                <w:szCs w:val="24"/>
                <w:lang w:eastAsia="lv-LV"/>
              </w:rPr>
              <w:t>jūlijs.</w:t>
            </w:r>
            <w:r w:rsidR="00BD45A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52AAB" w:rsidRPr="00ED7D0D" w14:paraId="4D6CA035" w14:textId="77777777" w:rsidTr="00E418F4">
        <w:trPr>
          <w:trHeight w:val="435"/>
        </w:trPr>
        <w:tc>
          <w:tcPr>
            <w:tcW w:w="426" w:type="dxa"/>
          </w:tcPr>
          <w:p w14:paraId="44810E47" w14:textId="77777777" w:rsidR="00E52AAB" w:rsidRPr="00ED7D0D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D7D0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14:paraId="260D901D" w14:textId="77777777" w:rsidR="00E52AAB" w:rsidRPr="00ED7D0D" w:rsidRDefault="006677B3" w:rsidP="00A949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7B3">
              <w:rPr>
                <w:rFonts w:ascii="Times New Roman" w:hAnsi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6378" w:type="dxa"/>
          </w:tcPr>
          <w:p w14:paraId="715E6599" w14:textId="77777777" w:rsidR="000301CA" w:rsidRPr="00FC777E" w:rsidRDefault="00FC777E" w:rsidP="009A5D5C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77E">
              <w:rPr>
                <w:rFonts w:ascii="Times New Roman" w:hAnsi="Times New Roman"/>
                <w:sz w:val="24"/>
                <w:szCs w:val="24"/>
              </w:rPr>
              <w:t xml:space="preserve">Noteikumu projekta izstrādē ir iesaistīts </w:t>
            </w:r>
            <w:r w:rsidR="009A5D5C" w:rsidRPr="00FC777E">
              <w:rPr>
                <w:rFonts w:ascii="Times New Roman" w:hAnsi="Times New Roman"/>
                <w:sz w:val="24"/>
                <w:szCs w:val="24"/>
              </w:rPr>
              <w:t>V</w:t>
            </w:r>
            <w:r w:rsidR="009A5D5C">
              <w:rPr>
                <w:rFonts w:ascii="Times New Roman" w:hAnsi="Times New Roman"/>
                <w:sz w:val="24"/>
                <w:szCs w:val="24"/>
              </w:rPr>
              <w:t>alsts augu aizsardzības dienests</w:t>
            </w:r>
            <w:r w:rsidRPr="00FC77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5D5C" w:rsidRPr="00FC777E">
              <w:rPr>
                <w:rFonts w:ascii="Times New Roman" w:hAnsi="Times New Roman"/>
                <w:sz w:val="24"/>
                <w:szCs w:val="24"/>
              </w:rPr>
              <w:t>L</w:t>
            </w:r>
            <w:r w:rsidR="009A5D5C">
              <w:rPr>
                <w:rFonts w:ascii="Times New Roman" w:hAnsi="Times New Roman"/>
                <w:sz w:val="24"/>
                <w:szCs w:val="24"/>
              </w:rPr>
              <w:t>atvijas Lauksaimniecības universitāte</w:t>
            </w:r>
            <w:r w:rsidRPr="00FC777E">
              <w:rPr>
                <w:rFonts w:ascii="Times New Roman" w:hAnsi="Times New Roman"/>
                <w:sz w:val="24"/>
                <w:szCs w:val="24"/>
              </w:rPr>
              <w:t>,</w:t>
            </w:r>
            <w:r w:rsidRPr="00F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zinātniskā institūta “Agroresursu un ekonomikas institūts” (turpmāk – AREI)</w:t>
            </w:r>
            <w:r w:rsidRPr="00FC777E">
              <w:rPr>
                <w:rStyle w:val="Izteiksmg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Stendes </w:t>
            </w:r>
            <w:r w:rsidR="00F36BA0">
              <w:rPr>
                <w:rStyle w:val="Izteiksmg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un Priekuļu pētniecības centrs. </w:t>
            </w:r>
          </w:p>
        </w:tc>
      </w:tr>
      <w:tr w:rsidR="00E52AAB" w:rsidRPr="00ED7D0D" w14:paraId="31FD370C" w14:textId="77777777" w:rsidTr="00E418F4">
        <w:trPr>
          <w:trHeight w:val="349"/>
        </w:trPr>
        <w:tc>
          <w:tcPr>
            <w:tcW w:w="426" w:type="dxa"/>
          </w:tcPr>
          <w:p w14:paraId="5B4AF462" w14:textId="77777777" w:rsidR="00E52AAB" w:rsidRPr="00ED7D0D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D7D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658E395A" w14:textId="77777777" w:rsidR="00E52AAB" w:rsidRPr="00ED7D0D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D7D0D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378" w:type="dxa"/>
          </w:tcPr>
          <w:p w14:paraId="1C3B252A" w14:textId="77777777" w:rsidR="00E52AAB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D7D0D">
              <w:rPr>
                <w:rFonts w:ascii="Times New Roman" w:hAnsi="Times New Roman"/>
                <w:sz w:val="24"/>
                <w:szCs w:val="24"/>
              </w:rPr>
              <w:t>Nav</w:t>
            </w:r>
            <w:r w:rsidR="000458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0D6C37" w14:textId="77777777" w:rsidR="000301CA" w:rsidRPr="00ED7D0D" w:rsidRDefault="000301CA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35A29F" w14:textId="77777777" w:rsidR="00D715D9" w:rsidRPr="00ED7D0D" w:rsidRDefault="00D715D9" w:rsidP="00EE11D3">
      <w:pPr>
        <w:pStyle w:val="Bezatstarpm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410"/>
        <w:gridCol w:w="6237"/>
      </w:tblGrid>
      <w:tr w:rsidR="00E52AAB" w:rsidRPr="00ED7D0D" w14:paraId="3539A0D7" w14:textId="77777777" w:rsidTr="006406C0">
        <w:trPr>
          <w:trHeight w:val="570"/>
        </w:trPr>
        <w:tc>
          <w:tcPr>
            <w:tcW w:w="9073" w:type="dxa"/>
            <w:gridSpan w:val="3"/>
          </w:tcPr>
          <w:p w14:paraId="56AC90BE" w14:textId="77777777" w:rsidR="00E52AAB" w:rsidRPr="00ED7D0D" w:rsidRDefault="00E52AAB" w:rsidP="00EE11D3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D0D">
              <w:rPr>
                <w:rFonts w:ascii="Times New Roman" w:hAnsi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171FC6" w:rsidRPr="00CB7509" w14:paraId="141838E8" w14:textId="77777777" w:rsidTr="006406C0">
        <w:trPr>
          <w:trHeight w:val="570"/>
        </w:trPr>
        <w:tc>
          <w:tcPr>
            <w:tcW w:w="426" w:type="dxa"/>
          </w:tcPr>
          <w:p w14:paraId="7EDC2D72" w14:textId="77777777" w:rsidR="00171FC6" w:rsidRPr="00CB7509" w:rsidRDefault="00171FC6" w:rsidP="00171FC6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CB75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5FC86A58" w14:textId="77777777" w:rsidR="00171FC6" w:rsidRPr="00CB7509" w:rsidRDefault="00171FC6" w:rsidP="00A949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509">
              <w:rPr>
                <w:rFonts w:ascii="Times New Roman" w:hAnsi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6237" w:type="dxa"/>
          </w:tcPr>
          <w:p w14:paraId="26A49C98" w14:textId="77777777" w:rsidR="00171FC6" w:rsidRPr="00CB7509" w:rsidRDefault="00171FC6" w:rsidP="006677B3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BA">
              <w:rPr>
                <w:rFonts w:ascii="Times New Roman" w:hAnsi="Times New Roman"/>
                <w:iCs/>
                <w:sz w:val="24"/>
                <w:szCs w:val="24"/>
              </w:rPr>
              <w:t xml:space="preserve">Noteikumu projekts attiecas uz selekcionāriem, selekcionāra tiesību īpašniekiem, šķirnes uzturētājiem vai to pārstāvjiem, kas vēlas veikt </w:t>
            </w:r>
            <w:r w:rsidR="00FB0E2E">
              <w:rPr>
                <w:rFonts w:ascii="Times New Roman" w:hAnsi="Times New Roman"/>
                <w:iCs/>
                <w:sz w:val="24"/>
                <w:szCs w:val="24"/>
              </w:rPr>
              <w:t>SĪN Latvijā un SĪN veicējiem, kas nodro</w:t>
            </w:r>
            <w:r w:rsidR="00213308">
              <w:rPr>
                <w:rFonts w:ascii="Times New Roman" w:hAnsi="Times New Roman"/>
                <w:iCs/>
                <w:sz w:val="24"/>
                <w:szCs w:val="24"/>
              </w:rPr>
              <w:t>šina SĪN</w:t>
            </w:r>
            <w:r w:rsidR="00FB0E2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868BA">
              <w:rPr>
                <w:rFonts w:ascii="Times New Roman" w:hAnsi="Times New Roman"/>
                <w:iCs/>
                <w:sz w:val="24"/>
                <w:szCs w:val="24"/>
              </w:rPr>
              <w:t xml:space="preserve"> Šajā jomā grūti prognozēt pieteicēju skaitu, jo visvairāk selekcionāru ir no citām valstīm.</w:t>
            </w:r>
          </w:p>
        </w:tc>
      </w:tr>
      <w:tr w:rsidR="00171FC6" w:rsidRPr="00CB7509" w14:paraId="698A0125" w14:textId="77777777" w:rsidTr="006406C0">
        <w:trPr>
          <w:trHeight w:val="570"/>
        </w:trPr>
        <w:tc>
          <w:tcPr>
            <w:tcW w:w="426" w:type="dxa"/>
          </w:tcPr>
          <w:p w14:paraId="004BCCEA" w14:textId="77777777" w:rsidR="00171FC6" w:rsidRPr="00CB7509" w:rsidRDefault="00171FC6" w:rsidP="00171FC6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CB75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7700DC0F" w14:textId="77777777" w:rsidR="00171FC6" w:rsidRPr="00CB7509" w:rsidRDefault="00171FC6" w:rsidP="00A949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509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6237" w:type="dxa"/>
          </w:tcPr>
          <w:p w14:paraId="77072E59" w14:textId="77777777" w:rsidR="00171FC6" w:rsidRPr="00536C1B" w:rsidRDefault="00171FC6" w:rsidP="00667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BA">
              <w:rPr>
                <w:rFonts w:ascii="Times New Roman" w:hAnsi="Times New Roman"/>
                <w:sz w:val="24"/>
                <w:szCs w:val="24"/>
              </w:rPr>
              <w:t>Noteikumu projekta tiesiskais regulējums nemaina līdzšinējo administratīvo procedūru šķirnes SĪN.</w:t>
            </w:r>
            <w:r w:rsidRPr="00E868BA">
              <w:rPr>
                <w:rFonts w:ascii="Times New Roman" w:hAnsi="Times New Roman"/>
                <w:iCs/>
                <w:sz w:val="24"/>
                <w:szCs w:val="24"/>
              </w:rPr>
              <w:t xml:space="preserve"> Noteikumu projekts neuzliek papildu </w:t>
            </w:r>
            <w:r w:rsidRPr="00E868BA">
              <w:rPr>
                <w:rFonts w:ascii="Times New Roman" w:hAnsi="Times New Roman"/>
                <w:sz w:val="24"/>
                <w:szCs w:val="24"/>
              </w:rPr>
              <w:t>administratīvo slogu</w:t>
            </w:r>
            <w:r w:rsidRPr="00E868BA">
              <w:rPr>
                <w:rFonts w:ascii="Times New Roman" w:hAnsi="Times New Roman"/>
                <w:iCs/>
                <w:sz w:val="24"/>
                <w:szCs w:val="24"/>
              </w:rPr>
              <w:t xml:space="preserve"> selekcionāriem, selekcionāra tiesību īpašniekiem, šķirnes uzturētājiem vai to pārstāvjiem</w:t>
            </w:r>
            <w:r w:rsidRPr="00E868BA">
              <w:rPr>
                <w:rFonts w:ascii="Times New Roman" w:hAnsi="Times New Roman"/>
                <w:sz w:val="24"/>
                <w:szCs w:val="24"/>
              </w:rPr>
              <w:t>, jo neparedz papildu informācijas sniegšanas vai uzglabāšanas pienākumus.</w:t>
            </w:r>
          </w:p>
        </w:tc>
      </w:tr>
      <w:tr w:rsidR="00171FC6" w:rsidRPr="00CB7509" w14:paraId="1685D968" w14:textId="77777777" w:rsidTr="006406C0">
        <w:trPr>
          <w:trHeight w:val="570"/>
        </w:trPr>
        <w:tc>
          <w:tcPr>
            <w:tcW w:w="426" w:type="dxa"/>
          </w:tcPr>
          <w:p w14:paraId="6E5AC92C" w14:textId="77777777" w:rsidR="00171FC6" w:rsidRPr="00CB7509" w:rsidRDefault="00171FC6" w:rsidP="00171FC6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CB75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2BE489EF" w14:textId="77777777" w:rsidR="00171FC6" w:rsidRPr="00CB7509" w:rsidRDefault="00171FC6" w:rsidP="00A949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509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6237" w:type="dxa"/>
          </w:tcPr>
          <w:p w14:paraId="798C4D7E" w14:textId="77777777" w:rsidR="00171FC6" w:rsidRPr="00CB7509" w:rsidRDefault="00171FC6" w:rsidP="00A949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BA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8B0AF0" w:rsidRPr="00CB7509" w14:paraId="265DA075" w14:textId="77777777" w:rsidTr="006406C0">
        <w:trPr>
          <w:trHeight w:val="570"/>
        </w:trPr>
        <w:tc>
          <w:tcPr>
            <w:tcW w:w="426" w:type="dxa"/>
          </w:tcPr>
          <w:p w14:paraId="27F21D5C" w14:textId="77777777" w:rsidR="008B0AF0" w:rsidRPr="00CB7509" w:rsidRDefault="008B0AF0" w:rsidP="008B0AF0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11E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0E5D1D34" w14:textId="77777777" w:rsidR="008B0AF0" w:rsidRPr="00CB7509" w:rsidRDefault="008B0AF0" w:rsidP="00A949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188">
              <w:rPr>
                <w:rFonts w:ascii="Times New Roman" w:hAnsi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6237" w:type="dxa"/>
          </w:tcPr>
          <w:p w14:paraId="25361202" w14:textId="77777777" w:rsidR="008B0AF0" w:rsidRPr="00E868BA" w:rsidRDefault="00EF25ED" w:rsidP="00A949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8B0AF0" w:rsidRPr="00CB7509" w14:paraId="066CAB7D" w14:textId="77777777" w:rsidTr="006406C0">
        <w:trPr>
          <w:trHeight w:val="132"/>
        </w:trPr>
        <w:tc>
          <w:tcPr>
            <w:tcW w:w="426" w:type="dxa"/>
          </w:tcPr>
          <w:p w14:paraId="70E17826" w14:textId="77777777" w:rsidR="008B0AF0" w:rsidRPr="00CB7509" w:rsidRDefault="008B0AF0" w:rsidP="008B0AF0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B7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4CB4D3B" w14:textId="77777777" w:rsidR="008B0AF0" w:rsidRPr="00CB7509" w:rsidRDefault="008B0AF0" w:rsidP="008B0AF0">
            <w:pPr>
              <w:pStyle w:val="Bezatstarpm"/>
              <w:spacing w:line="340" w:lineRule="atLeast"/>
              <w:rPr>
                <w:rFonts w:ascii="Times New Roman" w:hAnsi="Times New Roman"/>
                <w:sz w:val="24"/>
                <w:szCs w:val="24"/>
              </w:rPr>
            </w:pPr>
            <w:r w:rsidRPr="00CB7509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237" w:type="dxa"/>
          </w:tcPr>
          <w:p w14:paraId="565E9AFC" w14:textId="77777777" w:rsidR="008B0AF0" w:rsidRPr="00CB7509" w:rsidRDefault="008B0AF0" w:rsidP="008B0AF0">
            <w:pPr>
              <w:pStyle w:val="Bezatstarpm"/>
              <w:spacing w:line="340" w:lineRule="atLeast"/>
              <w:rPr>
                <w:rFonts w:ascii="Times New Roman" w:hAnsi="Times New Roman"/>
                <w:sz w:val="24"/>
                <w:szCs w:val="24"/>
              </w:rPr>
            </w:pPr>
            <w:r w:rsidRPr="00E868BA">
              <w:rPr>
                <w:rFonts w:ascii="Times New Roman" w:hAnsi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11FB8A25" w14:textId="77777777" w:rsidR="000301CA" w:rsidRDefault="000301CA" w:rsidP="00AA5351">
      <w:pPr>
        <w:spacing w:after="0" w:line="240" w:lineRule="auto"/>
        <w:rPr>
          <w:rFonts w:ascii="Times New Roman" w:hAnsi="Times New Roman"/>
          <w:i/>
          <w:sz w:val="24"/>
          <w:szCs w:val="24"/>
          <w:lang w:eastAsia="lv-LV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3809E4" w:rsidRPr="00E1650F" w14:paraId="6DB3DC92" w14:textId="77777777" w:rsidTr="00AE19F6">
        <w:trPr>
          <w:trHeight w:val="570"/>
        </w:trPr>
        <w:tc>
          <w:tcPr>
            <w:tcW w:w="9073" w:type="dxa"/>
          </w:tcPr>
          <w:p w14:paraId="79EF559A" w14:textId="77777777" w:rsidR="003809E4" w:rsidRPr="00E1650F" w:rsidRDefault="003809E4" w:rsidP="00AE19F6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  <w:r w:rsidRPr="00E165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809E4" w:rsidRPr="00E1650F" w14:paraId="2F424985" w14:textId="77777777" w:rsidTr="00AE19F6">
        <w:trPr>
          <w:trHeight w:val="570"/>
        </w:trPr>
        <w:tc>
          <w:tcPr>
            <w:tcW w:w="9073" w:type="dxa"/>
          </w:tcPr>
          <w:p w14:paraId="2821AEF9" w14:textId="77777777" w:rsidR="003809E4" w:rsidRPr="00E1650F" w:rsidRDefault="003809E4" w:rsidP="0071495E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D0B3C99" w14:textId="77777777" w:rsidR="003809E4" w:rsidRPr="00E1650F" w:rsidRDefault="003809E4" w:rsidP="003809E4">
      <w:pPr>
        <w:spacing w:after="0" w:line="240" w:lineRule="auto"/>
        <w:rPr>
          <w:rFonts w:ascii="Times New Roman" w:hAnsi="Times New Roman"/>
          <w:i/>
          <w:sz w:val="24"/>
          <w:szCs w:val="24"/>
          <w:lang w:eastAsia="lv-LV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3809E4" w:rsidRPr="00E1650F" w14:paraId="21B93F72" w14:textId="77777777" w:rsidTr="00AE19F6">
        <w:trPr>
          <w:trHeight w:val="570"/>
        </w:trPr>
        <w:tc>
          <w:tcPr>
            <w:tcW w:w="9073" w:type="dxa"/>
          </w:tcPr>
          <w:p w14:paraId="532085C9" w14:textId="77777777" w:rsidR="003809E4" w:rsidRPr="00E1650F" w:rsidRDefault="003809E4" w:rsidP="00AE19F6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3809E4" w:rsidRPr="00E1650F" w14:paraId="22BF77CF" w14:textId="77777777" w:rsidTr="00AE19F6">
        <w:trPr>
          <w:trHeight w:val="570"/>
        </w:trPr>
        <w:tc>
          <w:tcPr>
            <w:tcW w:w="9073" w:type="dxa"/>
          </w:tcPr>
          <w:p w14:paraId="5AC3C092" w14:textId="77777777" w:rsidR="003809E4" w:rsidRPr="00E1650F" w:rsidRDefault="003809E4" w:rsidP="0071495E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66400B7" w14:textId="77777777" w:rsidR="003809E4" w:rsidRPr="00E1650F" w:rsidRDefault="003809E4" w:rsidP="003809E4">
      <w:pPr>
        <w:spacing w:after="0" w:line="240" w:lineRule="auto"/>
        <w:rPr>
          <w:rFonts w:ascii="Times New Roman" w:hAnsi="Times New Roman"/>
          <w:i/>
          <w:sz w:val="24"/>
          <w:szCs w:val="24"/>
          <w:lang w:eastAsia="lv-LV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3809E4" w:rsidRPr="00E1650F" w14:paraId="682491AE" w14:textId="77777777" w:rsidTr="00AE19F6">
        <w:trPr>
          <w:trHeight w:val="570"/>
        </w:trPr>
        <w:tc>
          <w:tcPr>
            <w:tcW w:w="9073" w:type="dxa"/>
            <w:vAlign w:val="center"/>
          </w:tcPr>
          <w:p w14:paraId="657C2F04" w14:textId="77777777" w:rsidR="003809E4" w:rsidRPr="00E1650F" w:rsidRDefault="003809E4" w:rsidP="00AE19F6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809E4" w:rsidRPr="00E1650F" w14:paraId="346B3C24" w14:textId="77777777" w:rsidTr="00AE19F6">
        <w:trPr>
          <w:trHeight w:val="570"/>
        </w:trPr>
        <w:tc>
          <w:tcPr>
            <w:tcW w:w="9073" w:type="dxa"/>
          </w:tcPr>
          <w:p w14:paraId="5DF5A942" w14:textId="6D434BA6" w:rsidR="003809E4" w:rsidRPr="00E1650F" w:rsidRDefault="003809E4" w:rsidP="0071495E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lastRenderedPageBreak/>
              <w:t>Projekts šo jomu neskar</w:t>
            </w:r>
            <w:r w:rsidR="001B091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0EF11E4" w14:textId="77777777" w:rsidR="000301CA" w:rsidRPr="00CB7509" w:rsidRDefault="000301CA" w:rsidP="00AA5351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5022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9"/>
        <w:gridCol w:w="3135"/>
        <w:gridCol w:w="5457"/>
      </w:tblGrid>
      <w:tr w:rsidR="00E52AAB" w:rsidRPr="000D51A1" w14:paraId="21CA2D0D" w14:textId="77777777" w:rsidTr="00283C31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14:paraId="687D1637" w14:textId="3AC796A7" w:rsidR="00E52AAB" w:rsidRPr="006A3891" w:rsidRDefault="00E52AAB" w:rsidP="001945F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52AAB" w:rsidRPr="000D51A1" w14:paraId="5F1C69AE" w14:textId="77777777" w:rsidTr="00283C31">
        <w:trPr>
          <w:trHeight w:val="540"/>
        </w:trPr>
        <w:tc>
          <w:tcPr>
            <w:tcW w:w="31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2F02DE" w14:textId="77777777" w:rsidR="00E52AAB" w:rsidRPr="006A3891" w:rsidRDefault="00E52AAB" w:rsidP="0092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8DF2DC" w14:textId="77777777" w:rsidR="00E52AAB" w:rsidRPr="00EA4635" w:rsidRDefault="00E52AAB" w:rsidP="008A274A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A4635">
              <w:rPr>
                <w:rFonts w:ascii="Times New Roman" w:hAnsi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32AAD78F" w14:textId="274F086C" w:rsidR="00E54213" w:rsidRPr="00EA4635" w:rsidRDefault="001945F1" w:rsidP="001945F1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Sabiedriskā apspriešana. </w:t>
            </w:r>
          </w:p>
        </w:tc>
      </w:tr>
      <w:tr w:rsidR="00E52AAB" w:rsidRPr="000D51A1" w14:paraId="424DA18F" w14:textId="77777777" w:rsidTr="00283C31">
        <w:trPr>
          <w:trHeight w:val="330"/>
        </w:trPr>
        <w:tc>
          <w:tcPr>
            <w:tcW w:w="31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0F2528" w14:textId="77777777" w:rsidR="00E52AAB" w:rsidRPr="006A3891" w:rsidRDefault="00E52AAB" w:rsidP="0092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114D6B" w14:textId="77777777" w:rsidR="00E52AAB" w:rsidRPr="006A3891" w:rsidRDefault="00E52AAB" w:rsidP="008A274A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5467312A" w14:textId="15EB56CB" w:rsidR="000742BB" w:rsidRDefault="00E54213" w:rsidP="00DD7802">
            <w:pPr>
              <w:pStyle w:val="Bezatstarpm"/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078">
              <w:rPr>
                <w:rFonts w:ascii="Times New Roman" w:hAnsi="Times New Roman"/>
                <w:sz w:val="24"/>
                <w:szCs w:val="24"/>
              </w:rPr>
              <w:t>Noteikumu projekt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1945F1">
              <w:rPr>
                <w:rFonts w:ascii="Times New Roman" w:hAnsi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saskaņots ar </w:t>
            </w:r>
            <w:r w:rsidRPr="002A7078">
              <w:rPr>
                <w:rFonts w:ascii="Times New Roman" w:hAnsi="Times New Roman"/>
                <w:sz w:val="24"/>
                <w:szCs w:val="24"/>
              </w:rPr>
              <w:t>Lauksaimnieku organizāciju sadarbības padom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2A7078">
              <w:rPr>
                <w:rFonts w:ascii="Times New Roman" w:hAnsi="Times New Roman"/>
                <w:sz w:val="24"/>
                <w:szCs w:val="24"/>
              </w:rPr>
              <w:t xml:space="preserve"> un Zemnieku saeim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1945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D3CC32" w14:textId="73B2F80A" w:rsidR="009B47A0" w:rsidRPr="002A7078" w:rsidRDefault="001945F1" w:rsidP="00387E41">
            <w:pPr>
              <w:pStyle w:val="Bezatstarpm"/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23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Informācija par noteikumu projektu </w:t>
            </w:r>
            <w:r w:rsidR="00387E4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 27.03.2019. līdz 05.04.2019. </w:t>
            </w:r>
            <w:r w:rsidR="009B47A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tika </w:t>
            </w:r>
            <w:r w:rsidR="009B47A0" w:rsidRPr="00C17230">
              <w:rPr>
                <w:rFonts w:ascii="Times New Roman" w:hAnsi="Times New Roman"/>
                <w:sz w:val="24"/>
                <w:szCs w:val="24"/>
                <w:lang w:eastAsia="lv-LV"/>
              </w:rPr>
              <w:t>ievietot</w:t>
            </w:r>
            <w:r w:rsidR="00387E41"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="009B47A0" w:rsidRPr="00C1723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9B47A0">
              <w:rPr>
                <w:rFonts w:ascii="Times New Roman" w:hAnsi="Times New Roman"/>
                <w:sz w:val="24"/>
                <w:szCs w:val="24"/>
                <w:lang w:eastAsia="lv-LV"/>
              </w:rPr>
              <w:t>Zemkopības ministrijas tīmekļ</w:t>
            </w:r>
            <w:r w:rsidR="009B47A0" w:rsidRPr="000742BB">
              <w:rPr>
                <w:rFonts w:ascii="Times New Roman" w:hAnsi="Times New Roman"/>
                <w:sz w:val="24"/>
                <w:szCs w:val="24"/>
                <w:lang w:eastAsia="lv-LV"/>
              </w:rPr>
              <w:t>vietnes www.zm.gov.lv sadaļā „Sabiedriskā apspriešana”</w:t>
            </w:r>
            <w:r w:rsidR="00387E41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="009B47A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52AAB" w:rsidRPr="000D51A1" w14:paraId="45283B11" w14:textId="77777777" w:rsidTr="00283C31">
        <w:trPr>
          <w:trHeight w:val="465"/>
        </w:trPr>
        <w:tc>
          <w:tcPr>
            <w:tcW w:w="31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3BCD7B" w14:textId="15D5EBA8" w:rsidR="00E52AAB" w:rsidRPr="006A3891" w:rsidRDefault="00E52AAB" w:rsidP="0092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46BC0E" w14:textId="77777777" w:rsidR="00E52AAB" w:rsidRPr="006A3891" w:rsidRDefault="00E52AAB" w:rsidP="008A274A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10A92CCC" w14:textId="59A870A8" w:rsidR="00E52AAB" w:rsidRPr="003F0D3B" w:rsidRDefault="00E54213" w:rsidP="006677B3">
            <w:pPr>
              <w:pStyle w:val="Bezatstarpm"/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B2E">
              <w:rPr>
                <w:rFonts w:ascii="Times New Roman" w:hAnsi="Times New Roman"/>
                <w:sz w:val="24"/>
                <w:szCs w:val="24"/>
              </w:rPr>
              <w:t>Par tīmekļvietnē www.zm.gov.lv ievietoto noteikumu projektu iebildumi un priekšlikumi no sabiedrības netika saņemti.</w:t>
            </w:r>
          </w:p>
        </w:tc>
      </w:tr>
      <w:tr w:rsidR="00E52AAB" w:rsidRPr="000D51A1" w14:paraId="15AC030F" w14:textId="77777777" w:rsidTr="00283C31">
        <w:trPr>
          <w:trHeight w:val="152"/>
        </w:trPr>
        <w:tc>
          <w:tcPr>
            <w:tcW w:w="31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6ED46B" w14:textId="77777777" w:rsidR="00E52AAB" w:rsidRPr="006A3891" w:rsidRDefault="00E52AAB" w:rsidP="0092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D7CD29" w14:textId="77777777" w:rsidR="00E52AAB" w:rsidRPr="006A3891" w:rsidRDefault="00E52AAB" w:rsidP="008A274A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1AE671E4" w14:textId="77777777" w:rsidR="00E52AAB" w:rsidRPr="006A3891" w:rsidRDefault="00E52AAB" w:rsidP="008A274A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04588D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02FE1804" w14:textId="77777777" w:rsidR="008B0AF0" w:rsidRDefault="008B0AF0" w:rsidP="008A2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22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9"/>
        <w:gridCol w:w="3135"/>
        <w:gridCol w:w="5457"/>
      </w:tblGrid>
      <w:tr w:rsidR="008B0AF0" w:rsidRPr="006A3891" w14:paraId="1346925B" w14:textId="77777777" w:rsidTr="00E321CF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14:paraId="41271467" w14:textId="006D6039" w:rsidR="008B0AF0" w:rsidRPr="006A3891" w:rsidRDefault="008B0AF0" w:rsidP="00B309C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B0AF0" w:rsidRPr="006A3891" w14:paraId="7BBC64AB" w14:textId="77777777" w:rsidTr="00E321CF">
        <w:trPr>
          <w:trHeight w:val="420"/>
        </w:trPr>
        <w:tc>
          <w:tcPr>
            <w:tcW w:w="31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56965DB" w14:textId="77777777" w:rsidR="008B0AF0" w:rsidRPr="006A3891" w:rsidRDefault="008B0AF0" w:rsidP="00E32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755043" w14:textId="77777777" w:rsidR="008B0AF0" w:rsidRPr="006A3891" w:rsidRDefault="008B0AF0" w:rsidP="00E321C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3A94DBAE" w14:textId="77777777" w:rsidR="008B0AF0" w:rsidRPr="006A3891" w:rsidRDefault="008B0AF0" w:rsidP="008B0AF0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868BA">
              <w:rPr>
                <w:rFonts w:ascii="Times New Roman" w:hAnsi="Times New Roman"/>
                <w:sz w:val="24"/>
                <w:szCs w:val="24"/>
              </w:rPr>
              <w:t>Noteikumu projekta izpildi nodrošinās L</w:t>
            </w:r>
            <w:r>
              <w:rPr>
                <w:rFonts w:ascii="Times New Roman" w:hAnsi="Times New Roman"/>
                <w:sz w:val="24"/>
                <w:szCs w:val="24"/>
              </w:rPr>
              <w:t>atvijas Lauksaimniecības universitāte un</w:t>
            </w:r>
            <w:r w:rsidRPr="00E868BA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>alsts augu aizsardzības dienests.</w:t>
            </w:r>
          </w:p>
        </w:tc>
      </w:tr>
      <w:tr w:rsidR="008B0AF0" w:rsidRPr="006A3891" w14:paraId="3DC16EA3" w14:textId="77777777" w:rsidTr="00E321CF">
        <w:trPr>
          <w:trHeight w:val="450"/>
        </w:trPr>
        <w:tc>
          <w:tcPr>
            <w:tcW w:w="31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56EF8C0" w14:textId="77777777" w:rsidR="008B0AF0" w:rsidRPr="006A3891" w:rsidRDefault="008B0AF0" w:rsidP="00E32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497E59" w14:textId="77777777" w:rsidR="008B0AF0" w:rsidRPr="006A3891" w:rsidRDefault="008B0AF0" w:rsidP="00E321C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5780D055" w14:textId="77777777" w:rsidR="008B0AF0" w:rsidRPr="000D51A1" w:rsidRDefault="008B0AF0" w:rsidP="00E321CF">
            <w:pPr>
              <w:pStyle w:val="Bezatstarpm"/>
              <w:spacing w:line="30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D51A1">
              <w:rPr>
                <w:rFonts w:ascii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2B976650" w14:textId="77777777" w:rsidR="008B0AF0" w:rsidRDefault="008B0AF0" w:rsidP="00E321CF">
            <w:pPr>
              <w:pStyle w:val="Bezatstarpm"/>
              <w:spacing w:line="3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BA">
              <w:rPr>
                <w:rFonts w:ascii="Times New Roman" w:hAnsi="Times New Roman"/>
                <w:color w:val="000000"/>
                <w:sz w:val="24"/>
                <w:szCs w:val="24"/>
              </w:rPr>
              <w:t>Noteikumu projekta izpilde tiks nodrošināta, pamatojoties uz esošo institūciju funkcijām.</w:t>
            </w:r>
          </w:p>
          <w:p w14:paraId="16C99E77" w14:textId="77777777" w:rsidR="00AE0D57" w:rsidRDefault="00AE0D57" w:rsidP="00AE0D57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Saistībā ar noteikumu projekta izpildi nav nepieciešams veidot jaunas, ne arī likvidēt vai reorganizēt esošas institūcijas.</w:t>
            </w:r>
          </w:p>
          <w:p w14:paraId="03C528F8" w14:textId="4FD10316" w:rsidR="00AE0D57" w:rsidRPr="006A3891" w:rsidRDefault="00AE0D57" w:rsidP="00AE0D57">
            <w:pPr>
              <w:pStyle w:val="Bezatstarpm"/>
              <w:spacing w:line="300" w:lineRule="atLeast"/>
              <w:jc w:val="both"/>
              <w:rPr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 projekta izpilde neietekmēs institūcijām pieejamos cilvēkresursus.</w:t>
            </w:r>
          </w:p>
        </w:tc>
      </w:tr>
      <w:tr w:rsidR="008B0AF0" w:rsidRPr="006A3891" w14:paraId="285BC48B" w14:textId="77777777" w:rsidTr="00E321CF">
        <w:trPr>
          <w:trHeight w:val="168"/>
        </w:trPr>
        <w:tc>
          <w:tcPr>
            <w:tcW w:w="31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0BE3410" w14:textId="77777777" w:rsidR="008B0AF0" w:rsidRPr="006A3891" w:rsidRDefault="008B0AF0" w:rsidP="00E32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E02347" w14:textId="77777777" w:rsidR="008B0AF0" w:rsidRPr="006A3891" w:rsidRDefault="008B0AF0" w:rsidP="00E321C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3891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40B62FFD" w14:textId="77777777" w:rsidR="008B0AF0" w:rsidRPr="006A3891" w:rsidRDefault="008B0AF0" w:rsidP="00E321C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868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14:paraId="638FD4D9" w14:textId="77777777" w:rsidR="008A274A" w:rsidRDefault="008A274A" w:rsidP="008A2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56632" w14:textId="77777777" w:rsidR="000301CA" w:rsidRDefault="000301CA" w:rsidP="008A2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70E81" w14:textId="77777777" w:rsidR="00606F70" w:rsidRDefault="00606F70" w:rsidP="008A2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8E4C14" w14:textId="2A5DC063" w:rsidR="00E55FDA" w:rsidRPr="00606F70" w:rsidRDefault="00606F70" w:rsidP="008A27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Zemkopības ministrs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F25ED" w:rsidRPr="00606F70">
        <w:rPr>
          <w:rFonts w:ascii="Times New Roman" w:hAnsi="Times New Roman"/>
          <w:sz w:val="28"/>
          <w:szCs w:val="28"/>
        </w:rPr>
        <w:t>K</w:t>
      </w:r>
      <w:r w:rsidR="001B091E" w:rsidRPr="00606F70">
        <w:rPr>
          <w:rFonts w:ascii="Times New Roman" w:hAnsi="Times New Roman"/>
          <w:sz w:val="28"/>
          <w:szCs w:val="28"/>
        </w:rPr>
        <w:t>.</w:t>
      </w:r>
      <w:r w:rsidR="00EF25ED" w:rsidRPr="00606F70">
        <w:rPr>
          <w:rFonts w:ascii="Times New Roman" w:hAnsi="Times New Roman"/>
          <w:sz w:val="28"/>
          <w:szCs w:val="28"/>
        </w:rPr>
        <w:t xml:space="preserve"> Gerhards</w:t>
      </w:r>
    </w:p>
    <w:p w14:paraId="740972C7" w14:textId="77777777" w:rsidR="008A274A" w:rsidRDefault="008A274A" w:rsidP="00760C77">
      <w:pPr>
        <w:pStyle w:val="Bezatstarpm"/>
        <w:rPr>
          <w:rFonts w:ascii="Times New Roman" w:hAnsi="Times New Roman"/>
          <w:sz w:val="18"/>
          <w:szCs w:val="18"/>
        </w:rPr>
      </w:pPr>
    </w:p>
    <w:p w14:paraId="2985427E" w14:textId="77777777" w:rsidR="008A274A" w:rsidRDefault="008A274A" w:rsidP="00760C77">
      <w:pPr>
        <w:pStyle w:val="Bezatstarpm"/>
        <w:rPr>
          <w:rFonts w:ascii="Times New Roman" w:hAnsi="Times New Roman"/>
          <w:sz w:val="18"/>
          <w:szCs w:val="18"/>
        </w:rPr>
      </w:pPr>
    </w:p>
    <w:p w14:paraId="78549B89" w14:textId="77777777" w:rsidR="00130430" w:rsidRDefault="00130430" w:rsidP="00760C77">
      <w:pPr>
        <w:pStyle w:val="Bezatstarpm"/>
        <w:rPr>
          <w:rFonts w:ascii="Times New Roman" w:hAnsi="Times New Roman"/>
          <w:sz w:val="18"/>
          <w:szCs w:val="18"/>
        </w:rPr>
      </w:pPr>
    </w:p>
    <w:p w14:paraId="60DFC6B6" w14:textId="77777777" w:rsidR="00130430" w:rsidRDefault="00130430" w:rsidP="00760C77">
      <w:pPr>
        <w:pStyle w:val="Bezatstarpm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14:paraId="03D71C59" w14:textId="77777777" w:rsidR="00130430" w:rsidRDefault="00130430" w:rsidP="00760C77">
      <w:pPr>
        <w:pStyle w:val="Bezatstarpm"/>
        <w:rPr>
          <w:rFonts w:ascii="Times New Roman" w:hAnsi="Times New Roman"/>
          <w:sz w:val="18"/>
          <w:szCs w:val="18"/>
        </w:rPr>
      </w:pPr>
    </w:p>
    <w:p w14:paraId="6E6728D8" w14:textId="77777777" w:rsidR="00130430" w:rsidRDefault="00130430" w:rsidP="00760C77">
      <w:pPr>
        <w:pStyle w:val="Bezatstarpm"/>
        <w:rPr>
          <w:rFonts w:ascii="Times New Roman" w:hAnsi="Times New Roman"/>
          <w:sz w:val="18"/>
          <w:szCs w:val="18"/>
        </w:rPr>
      </w:pPr>
    </w:p>
    <w:p w14:paraId="0696CE40" w14:textId="77777777" w:rsidR="008A274A" w:rsidRPr="00606F70" w:rsidRDefault="008A274A" w:rsidP="00760C77">
      <w:pPr>
        <w:pStyle w:val="Bezatstarpm"/>
        <w:rPr>
          <w:rFonts w:ascii="Times New Roman" w:hAnsi="Times New Roman"/>
          <w:sz w:val="24"/>
          <w:szCs w:val="24"/>
        </w:rPr>
      </w:pPr>
    </w:p>
    <w:p w14:paraId="62731064" w14:textId="77777777" w:rsidR="00573D46" w:rsidRPr="00606F70" w:rsidRDefault="00171FC6" w:rsidP="00D86D4D">
      <w:pPr>
        <w:pStyle w:val="Bezatstarpm"/>
        <w:rPr>
          <w:rFonts w:ascii="Times New Roman" w:hAnsi="Times New Roman"/>
          <w:sz w:val="24"/>
          <w:szCs w:val="24"/>
        </w:rPr>
      </w:pPr>
      <w:r w:rsidRPr="00606F70">
        <w:rPr>
          <w:rFonts w:ascii="Times New Roman" w:hAnsi="Times New Roman"/>
          <w:sz w:val="24"/>
          <w:szCs w:val="24"/>
        </w:rPr>
        <w:t>Bajale</w:t>
      </w:r>
      <w:r w:rsidR="00573D46" w:rsidRPr="00606F70">
        <w:rPr>
          <w:rFonts w:ascii="Times New Roman" w:hAnsi="Times New Roman"/>
          <w:sz w:val="24"/>
          <w:szCs w:val="24"/>
        </w:rPr>
        <w:t xml:space="preserve"> 670273</w:t>
      </w:r>
      <w:r w:rsidR="00213308" w:rsidRPr="00606F70">
        <w:rPr>
          <w:rFonts w:ascii="Times New Roman" w:hAnsi="Times New Roman"/>
          <w:sz w:val="24"/>
          <w:szCs w:val="24"/>
        </w:rPr>
        <w:t>13</w:t>
      </w:r>
    </w:p>
    <w:p w14:paraId="7348AD6F" w14:textId="0BF50D03" w:rsidR="00AF2BB4" w:rsidRPr="00606F70" w:rsidRDefault="00356506" w:rsidP="00D86D4D">
      <w:pPr>
        <w:pStyle w:val="Bezatstarpm"/>
        <w:rPr>
          <w:rFonts w:ascii="Times New Roman" w:hAnsi="Times New Roman"/>
          <w:sz w:val="24"/>
          <w:szCs w:val="24"/>
        </w:rPr>
      </w:pPr>
      <w:hyperlink r:id="rId8" w:history="1">
        <w:r w:rsidR="00213308" w:rsidRPr="00606F70">
          <w:rPr>
            <w:rStyle w:val="Hipersaite"/>
            <w:rFonts w:ascii="Times New Roman" w:hAnsi="Times New Roman"/>
            <w:sz w:val="24"/>
            <w:szCs w:val="24"/>
          </w:rPr>
          <w:t>daiga.bajale@zm.gov.lv</w:t>
        </w:r>
      </w:hyperlink>
    </w:p>
    <w:sectPr w:rsidR="00AF2BB4" w:rsidRPr="00606F70" w:rsidSect="00356506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37BD1" w14:textId="77777777" w:rsidR="00C3180E" w:rsidRDefault="00C3180E" w:rsidP="00EE11D3">
      <w:pPr>
        <w:spacing w:after="0" w:line="240" w:lineRule="auto"/>
      </w:pPr>
      <w:r>
        <w:separator/>
      </w:r>
    </w:p>
  </w:endnote>
  <w:endnote w:type="continuationSeparator" w:id="0">
    <w:p w14:paraId="584CB7F0" w14:textId="77777777" w:rsidR="00C3180E" w:rsidRDefault="00C3180E" w:rsidP="00EE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7EBC4" w14:textId="7336A9A7" w:rsidR="0093364C" w:rsidRPr="00356506" w:rsidRDefault="00356506" w:rsidP="00356506">
    <w:pPr>
      <w:pStyle w:val="Kjene"/>
    </w:pPr>
    <w:r w:rsidRPr="00356506">
      <w:rPr>
        <w:rFonts w:ascii="Times New Roman" w:hAnsi="Times New Roman"/>
        <w:sz w:val="20"/>
        <w:szCs w:val="20"/>
      </w:rPr>
      <w:t>ZManot_210519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E72A0" w14:textId="42CAE94E" w:rsidR="000A59C3" w:rsidRPr="00356506" w:rsidRDefault="00356506" w:rsidP="00356506">
    <w:pPr>
      <w:pStyle w:val="Kjene"/>
    </w:pPr>
    <w:r w:rsidRPr="00356506">
      <w:rPr>
        <w:rFonts w:ascii="Times New Roman" w:hAnsi="Times New Roman"/>
        <w:sz w:val="20"/>
        <w:szCs w:val="20"/>
      </w:rPr>
      <w:t>ZManot_210519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DFA3A" w14:textId="77777777" w:rsidR="00C3180E" w:rsidRDefault="00C3180E" w:rsidP="00EE11D3">
      <w:pPr>
        <w:spacing w:after="0" w:line="240" w:lineRule="auto"/>
      </w:pPr>
      <w:r>
        <w:separator/>
      </w:r>
    </w:p>
  </w:footnote>
  <w:footnote w:type="continuationSeparator" w:id="0">
    <w:p w14:paraId="0CC137D7" w14:textId="77777777" w:rsidR="00C3180E" w:rsidRDefault="00C3180E" w:rsidP="00EE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61305" w14:textId="5BD11C88" w:rsidR="00E52AAB" w:rsidRPr="008A274A" w:rsidRDefault="00E52AAB" w:rsidP="008A274A">
    <w:pPr>
      <w:pStyle w:val="Galvene"/>
      <w:jc w:val="center"/>
      <w:rPr>
        <w:rFonts w:ascii="Times New Roman" w:hAnsi="Times New Roman"/>
        <w:sz w:val="24"/>
        <w:szCs w:val="24"/>
      </w:rPr>
    </w:pPr>
    <w:r w:rsidRPr="0054754F">
      <w:rPr>
        <w:rFonts w:ascii="Times New Roman" w:hAnsi="Times New Roman"/>
        <w:sz w:val="24"/>
        <w:szCs w:val="24"/>
      </w:rPr>
      <w:fldChar w:fldCharType="begin"/>
    </w:r>
    <w:r w:rsidRPr="0054754F">
      <w:rPr>
        <w:rFonts w:ascii="Times New Roman" w:hAnsi="Times New Roman"/>
        <w:sz w:val="24"/>
        <w:szCs w:val="24"/>
      </w:rPr>
      <w:instrText>PAGE   \* MERGEFORMAT</w:instrText>
    </w:r>
    <w:r w:rsidRPr="0054754F">
      <w:rPr>
        <w:rFonts w:ascii="Times New Roman" w:hAnsi="Times New Roman"/>
        <w:sz w:val="24"/>
        <w:szCs w:val="24"/>
      </w:rPr>
      <w:fldChar w:fldCharType="separate"/>
    </w:r>
    <w:r w:rsidR="00356506">
      <w:rPr>
        <w:rFonts w:ascii="Times New Roman" w:hAnsi="Times New Roman"/>
        <w:noProof/>
        <w:sz w:val="24"/>
        <w:szCs w:val="24"/>
      </w:rPr>
      <w:t>3</w:t>
    </w:r>
    <w:r w:rsidRPr="0054754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E115E"/>
    <w:multiLevelType w:val="hybridMultilevel"/>
    <w:tmpl w:val="CC486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E3A16"/>
    <w:multiLevelType w:val="hybridMultilevel"/>
    <w:tmpl w:val="10D647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05"/>
    <w:rsid w:val="0000062A"/>
    <w:rsid w:val="00001835"/>
    <w:rsid w:val="0000272B"/>
    <w:rsid w:val="0000372B"/>
    <w:rsid w:val="0000522E"/>
    <w:rsid w:val="000066A2"/>
    <w:rsid w:val="00010392"/>
    <w:rsid w:val="00011CF2"/>
    <w:rsid w:val="00012F4D"/>
    <w:rsid w:val="00014D88"/>
    <w:rsid w:val="00015579"/>
    <w:rsid w:val="00016CEC"/>
    <w:rsid w:val="00016CF9"/>
    <w:rsid w:val="000174B6"/>
    <w:rsid w:val="00017DA2"/>
    <w:rsid w:val="00020785"/>
    <w:rsid w:val="00021A23"/>
    <w:rsid w:val="00024111"/>
    <w:rsid w:val="00026DDD"/>
    <w:rsid w:val="000301CA"/>
    <w:rsid w:val="0003167B"/>
    <w:rsid w:val="00033C1C"/>
    <w:rsid w:val="00034718"/>
    <w:rsid w:val="00040852"/>
    <w:rsid w:val="0004588D"/>
    <w:rsid w:val="000463E5"/>
    <w:rsid w:val="00050CC4"/>
    <w:rsid w:val="000512E5"/>
    <w:rsid w:val="00055D53"/>
    <w:rsid w:val="0006121C"/>
    <w:rsid w:val="000669A3"/>
    <w:rsid w:val="00066BE7"/>
    <w:rsid w:val="00066E1A"/>
    <w:rsid w:val="00067E02"/>
    <w:rsid w:val="000709C7"/>
    <w:rsid w:val="00071416"/>
    <w:rsid w:val="000721B3"/>
    <w:rsid w:val="0007222D"/>
    <w:rsid w:val="000732A4"/>
    <w:rsid w:val="000742BB"/>
    <w:rsid w:val="0007495B"/>
    <w:rsid w:val="000813E6"/>
    <w:rsid w:val="000815E6"/>
    <w:rsid w:val="000823E2"/>
    <w:rsid w:val="00084DAB"/>
    <w:rsid w:val="00085EA0"/>
    <w:rsid w:val="0008694A"/>
    <w:rsid w:val="0008770F"/>
    <w:rsid w:val="00091C07"/>
    <w:rsid w:val="00097C26"/>
    <w:rsid w:val="000A5345"/>
    <w:rsid w:val="000A59C3"/>
    <w:rsid w:val="000A6BDB"/>
    <w:rsid w:val="000B1FB6"/>
    <w:rsid w:val="000B32D5"/>
    <w:rsid w:val="000B3951"/>
    <w:rsid w:val="000B3E1D"/>
    <w:rsid w:val="000B6AE5"/>
    <w:rsid w:val="000C55F3"/>
    <w:rsid w:val="000C60EC"/>
    <w:rsid w:val="000D306C"/>
    <w:rsid w:val="000D5162"/>
    <w:rsid w:val="000D51A1"/>
    <w:rsid w:val="000D5D6A"/>
    <w:rsid w:val="000E4DAC"/>
    <w:rsid w:val="000E5CB8"/>
    <w:rsid w:val="000E7EAF"/>
    <w:rsid w:val="000F07FE"/>
    <w:rsid w:val="000F0CA1"/>
    <w:rsid w:val="000F2495"/>
    <w:rsid w:val="000F34FE"/>
    <w:rsid w:val="000F491D"/>
    <w:rsid w:val="000F57BF"/>
    <w:rsid w:val="000F5E5F"/>
    <w:rsid w:val="001007F6"/>
    <w:rsid w:val="001012A6"/>
    <w:rsid w:val="00104241"/>
    <w:rsid w:val="001053E6"/>
    <w:rsid w:val="00110664"/>
    <w:rsid w:val="00110BE7"/>
    <w:rsid w:val="00112280"/>
    <w:rsid w:val="00120DA1"/>
    <w:rsid w:val="00122D6E"/>
    <w:rsid w:val="00123511"/>
    <w:rsid w:val="00124537"/>
    <w:rsid w:val="00124C4D"/>
    <w:rsid w:val="001251FB"/>
    <w:rsid w:val="001270B4"/>
    <w:rsid w:val="00130430"/>
    <w:rsid w:val="00130EFE"/>
    <w:rsid w:val="00131AB2"/>
    <w:rsid w:val="00132D77"/>
    <w:rsid w:val="00133A49"/>
    <w:rsid w:val="00136C43"/>
    <w:rsid w:val="001428C6"/>
    <w:rsid w:val="00146858"/>
    <w:rsid w:val="0014741D"/>
    <w:rsid w:val="0014794B"/>
    <w:rsid w:val="00150A00"/>
    <w:rsid w:val="00152CB0"/>
    <w:rsid w:val="00153158"/>
    <w:rsid w:val="0015415A"/>
    <w:rsid w:val="00157719"/>
    <w:rsid w:val="001612D8"/>
    <w:rsid w:val="001618E1"/>
    <w:rsid w:val="0016208A"/>
    <w:rsid w:val="0016509D"/>
    <w:rsid w:val="00165858"/>
    <w:rsid w:val="00167423"/>
    <w:rsid w:val="00171519"/>
    <w:rsid w:val="001719F6"/>
    <w:rsid w:val="00171FC6"/>
    <w:rsid w:val="00176F47"/>
    <w:rsid w:val="00180892"/>
    <w:rsid w:val="0018090A"/>
    <w:rsid w:val="00180ADF"/>
    <w:rsid w:val="00180E2E"/>
    <w:rsid w:val="00180F33"/>
    <w:rsid w:val="001841F4"/>
    <w:rsid w:val="001945F1"/>
    <w:rsid w:val="00194690"/>
    <w:rsid w:val="001946CA"/>
    <w:rsid w:val="001A1F06"/>
    <w:rsid w:val="001A2F29"/>
    <w:rsid w:val="001A44DF"/>
    <w:rsid w:val="001A6649"/>
    <w:rsid w:val="001A69CB"/>
    <w:rsid w:val="001B091E"/>
    <w:rsid w:val="001B10A5"/>
    <w:rsid w:val="001B1839"/>
    <w:rsid w:val="001B4AF1"/>
    <w:rsid w:val="001B6BE8"/>
    <w:rsid w:val="001C0363"/>
    <w:rsid w:val="001C2E8D"/>
    <w:rsid w:val="001C3534"/>
    <w:rsid w:val="001C3C3D"/>
    <w:rsid w:val="001C3CC4"/>
    <w:rsid w:val="001C43BD"/>
    <w:rsid w:val="001C7378"/>
    <w:rsid w:val="001D00BF"/>
    <w:rsid w:val="001D32EF"/>
    <w:rsid w:val="001D6889"/>
    <w:rsid w:val="001D7C16"/>
    <w:rsid w:val="001E4E47"/>
    <w:rsid w:val="001F2A56"/>
    <w:rsid w:val="001F4A37"/>
    <w:rsid w:val="001F4EF0"/>
    <w:rsid w:val="001F5007"/>
    <w:rsid w:val="001F51C8"/>
    <w:rsid w:val="001F6597"/>
    <w:rsid w:val="002002E1"/>
    <w:rsid w:val="00203E57"/>
    <w:rsid w:val="002041C8"/>
    <w:rsid w:val="002041D3"/>
    <w:rsid w:val="00205E26"/>
    <w:rsid w:val="00205E99"/>
    <w:rsid w:val="00213308"/>
    <w:rsid w:val="00213873"/>
    <w:rsid w:val="002149AB"/>
    <w:rsid w:val="0022005A"/>
    <w:rsid w:val="002205B8"/>
    <w:rsid w:val="00225A2F"/>
    <w:rsid w:val="00232B75"/>
    <w:rsid w:val="00232EBD"/>
    <w:rsid w:val="00233A86"/>
    <w:rsid w:val="002346B3"/>
    <w:rsid w:val="0023762B"/>
    <w:rsid w:val="00237B9E"/>
    <w:rsid w:val="00237DEB"/>
    <w:rsid w:val="0024497B"/>
    <w:rsid w:val="002500C9"/>
    <w:rsid w:val="00251968"/>
    <w:rsid w:val="00254A1F"/>
    <w:rsid w:val="00256126"/>
    <w:rsid w:val="00256178"/>
    <w:rsid w:val="00260A08"/>
    <w:rsid w:val="00263B6B"/>
    <w:rsid w:val="00264428"/>
    <w:rsid w:val="002663DB"/>
    <w:rsid w:val="002706DA"/>
    <w:rsid w:val="00270772"/>
    <w:rsid w:val="00272B56"/>
    <w:rsid w:val="00274D69"/>
    <w:rsid w:val="00275072"/>
    <w:rsid w:val="0027557E"/>
    <w:rsid w:val="00276323"/>
    <w:rsid w:val="00283C31"/>
    <w:rsid w:val="00284014"/>
    <w:rsid w:val="002853B0"/>
    <w:rsid w:val="00292327"/>
    <w:rsid w:val="00293DB8"/>
    <w:rsid w:val="00294FD9"/>
    <w:rsid w:val="00297664"/>
    <w:rsid w:val="002A1310"/>
    <w:rsid w:val="002A3222"/>
    <w:rsid w:val="002A32F1"/>
    <w:rsid w:val="002A57C1"/>
    <w:rsid w:val="002A7078"/>
    <w:rsid w:val="002B0C98"/>
    <w:rsid w:val="002B3503"/>
    <w:rsid w:val="002B4344"/>
    <w:rsid w:val="002B4D14"/>
    <w:rsid w:val="002B6443"/>
    <w:rsid w:val="002C0139"/>
    <w:rsid w:val="002C1446"/>
    <w:rsid w:val="002C5FC0"/>
    <w:rsid w:val="002C7A37"/>
    <w:rsid w:val="002C7AB6"/>
    <w:rsid w:val="002D12B9"/>
    <w:rsid w:val="002D3236"/>
    <w:rsid w:val="002D4019"/>
    <w:rsid w:val="002D63AA"/>
    <w:rsid w:val="002D680D"/>
    <w:rsid w:val="002D7956"/>
    <w:rsid w:val="002E5206"/>
    <w:rsid w:val="002E5E2F"/>
    <w:rsid w:val="002F04AF"/>
    <w:rsid w:val="002F2F9B"/>
    <w:rsid w:val="002F5050"/>
    <w:rsid w:val="002F6974"/>
    <w:rsid w:val="002F714E"/>
    <w:rsid w:val="00302F43"/>
    <w:rsid w:val="003048DA"/>
    <w:rsid w:val="003057F8"/>
    <w:rsid w:val="003112CF"/>
    <w:rsid w:val="00313252"/>
    <w:rsid w:val="00316A42"/>
    <w:rsid w:val="003205B4"/>
    <w:rsid w:val="003241EC"/>
    <w:rsid w:val="003257FE"/>
    <w:rsid w:val="00347A8E"/>
    <w:rsid w:val="00351312"/>
    <w:rsid w:val="00356506"/>
    <w:rsid w:val="003635A1"/>
    <w:rsid w:val="00370C7B"/>
    <w:rsid w:val="00371C50"/>
    <w:rsid w:val="00374E5E"/>
    <w:rsid w:val="003757DB"/>
    <w:rsid w:val="00375CF0"/>
    <w:rsid w:val="003809E4"/>
    <w:rsid w:val="00387E41"/>
    <w:rsid w:val="00390028"/>
    <w:rsid w:val="003920FA"/>
    <w:rsid w:val="0039405D"/>
    <w:rsid w:val="00394CD2"/>
    <w:rsid w:val="003961C0"/>
    <w:rsid w:val="003A0AEC"/>
    <w:rsid w:val="003A5DDE"/>
    <w:rsid w:val="003A64C4"/>
    <w:rsid w:val="003B0AAE"/>
    <w:rsid w:val="003B284D"/>
    <w:rsid w:val="003B2D5D"/>
    <w:rsid w:val="003B57EE"/>
    <w:rsid w:val="003B5806"/>
    <w:rsid w:val="003B5964"/>
    <w:rsid w:val="003B7105"/>
    <w:rsid w:val="003C0AE3"/>
    <w:rsid w:val="003C51E2"/>
    <w:rsid w:val="003C608A"/>
    <w:rsid w:val="003C65D8"/>
    <w:rsid w:val="003D43E8"/>
    <w:rsid w:val="003D679F"/>
    <w:rsid w:val="003E02C5"/>
    <w:rsid w:val="003E052A"/>
    <w:rsid w:val="003E059A"/>
    <w:rsid w:val="003E0EB3"/>
    <w:rsid w:val="003E1727"/>
    <w:rsid w:val="003E3A74"/>
    <w:rsid w:val="003F0D3B"/>
    <w:rsid w:val="003F789F"/>
    <w:rsid w:val="004000C3"/>
    <w:rsid w:val="00406E78"/>
    <w:rsid w:val="00412C44"/>
    <w:rsid w:val="004208E8"/>
    <w:rsid w:val="00424254"/>
    <w:rsid w:val="00426EF9"/>
    <w:rsid w:val="00427D0A"/>
    <w:rsid w:val="0043149D"/>
    <w:rsid w:val="004377E4"/>
    <w:rsid w:val="004378E1"/>
    <w:rsid w:val="00442FEC"/>
    <w:rsid w:val="00443ADA"/>
    <w:rsid w:val="004464C6"/>
    <w:rsid w:val="00447428"/>
    <w:rsid w:val="00447BBF"/>
    <w:rsid w:val="004539B9"/>
    <w:rsid w:val="00463865"/>
    <w:rsid w:val="00466C1E"/>
    <w:rsid w:val="004675CA"/>
    <w:rsid w:val="004723DF"/>
    <w:rsid w:val="0047242C"/>
    <w:rsid w:val="00482664"/>
    <w:rsid w:val="004832E9"/>
    <w:rsid w:val="00484D68"/>
    <w:rsid w:val="00486749"/>
    <w:rsid w:val="00486D71"/>
    <w:rsid w:val="00491479"/>
    <w:rsid w:val="00492664"/>
    <w:rsid w:val="004A18A6"/>
    <w:rsid w:val="004A40E7"/>
    <w:rsid w:val="004B08D5"/>
    <w:rsid w:val="004B1637"/>
    <w:rsid w:val="004B28CB"/>
    <w:rsid w:val="004B43B0"/>
    <w:rsid w:val="004B75F8"/>
    <w:rsid w:val="004C2705"/>
    <w:rsid w:val="004C3FB5"/>
    <w:rsid w:val="004C4858"/>
    <w:rsid w:val="004C5232"/>
    <w:rsid w:val="004D09A6"/>
    <w:rsid w:val="004D2208"/>
    <w:rsid w:val="004D3F14"/>
    <w:rsid w:val="004D3FA1"/>
    <w:rsid w:val="004D7FD3"/>
    <w:rsid w:val="004E6CDF"/>
    <w:rsid w:val="004E75CE"/>
    <w:rsid w:val="004F096D"/>
    <w:rsid w:val="004F1388"/>
    <w:rsid w:val="004F43AE"/>
    <w:rsid w:val="004F5C12"/>
    <w:rsid w:val="005034F8"/>
    <w:rsid w:val="00504AA6"/>
    <w:rsid w:val="0050538B"/>
    <w:rsid w:val="005071EC"/>
    <w:rsid w:val="00512A52"/>
    <w:rsid w:val="00512A9E"/>
    <w:rsid w:val="005131B2"/>
    <w:rsid w:val="0051375E"/>
    <w:rsid w:val="00516B79"/>
    <w:rsid w:val="00517421"/>
    <w:rsid w:val="005177AB"/>
    <w:rsid w:val="00521E66"/>
    <w:rsid w:val="005233CC"/>
    <w:rsid w:val="005239B9"/>
    <w:rsid w:val="00524566"/>
    <w:rsid w:val="00532344"/>
    <w:rsid w:val="0053461A"/>
    <w:rsid w:val="00536C1B"/>
    <w:rsid w:val="005425C9"/>
    <w:rsid w:val="00542B29"/>
    <w:rsid w:val="00543F71"/>
    <w:rsid w:val="00544864"/>
    <w:rsid w:val="00545CCB"/>
    <w:rsid w:val="00545FE3"/>
    <w:rsid w:val="0054754F"/>
    <w:rsid w:val="00551C31"/>
    <w:rsid w:val="00552ECD"/>
    <w:rsid w:val="00553332"/>
    <w:rsid w:val="00553628"/>
    <w:rsid w:val="00553905"/>
    <w:rsid w:val="00553E3C"/>
    <w:rsid w:val="00560674"/>
    <w:rsid w:val="00565D2F"/>
    <w:rsid w:val="00570BF6"/>
    <w:rsid w:val="00573D46"/>
    <w:rsid w:val="00577334"/>
    <w:rsid w:val="00577954"/>
    <w:rsid w:val="00580FF7"/>
    <w:rsid w:val="00585730"/>
    <w:rsid w:val="0059757B"/>
    <w:rsid w:val="005A59C9"/>
    <w:rsid w:val="005A7B38"/>
    <w:rsid w:val="005B0EA6"/>
    <w:rsid w:val="005B30E0"/>
    <w:rsid w:val="005B3DE1"/>
    <w:rsid w:val="005B6FA9"/>
    <w:rsid w:val="005B7A43"/>
    <w:rsid w:val="005B7CC3"/>
    <w:rsid w:val="005C26F7"/>
    <w:rsid w:val="005C2754"/>
    <w:rsid w:val="005C2DDC"/>
    <w:rsid w:val="005C6F42"/>
    <w:rsid w:val="005D0CE0"/>
    <w:rsid w:val="005E574C"/>
    <w:rsid w:val="005F065A"/>
    <w:rsid w:val="005F0E66"/>
    <w:rsid w:val="005F2B6B"/>
    <w:rsid w:val="0060107E"/>
    <w:rsid w:val="0060497C"/>
    <w:rsid w:val="00605F08"/>
    <w:rsid w:val="00606F70"/>
    <w:rsid w:val="00611DDA"/>
    <w:rsid w:val="00612269"/>
    <w:rsid w:val="00613A14"/>
    <w:rsid w:val="006160F7"/>
    <w:rsid w:val="0061619C"/>
    <w:rsid w:val="00616D5E"/>
    <w:rsid w:val="00621764"/>
    <w:rsid w:val="006258BE"/>
    <w:rsid w:val="00626E87"/>
    <w:rsid w:val="006273DB"/>
    <w:rsid w:val="00627AAE"/>
    <w:rsid w:val="00637AB9"/>
    <w:rsid w:val="006406C0"/>
    <w:rsid w:val="0064098F"/>
    <w:rsid w:val="006432DF"/>
    <w:rsid w:val="0065081B"/>
    <w:rsid w:val="00650C4D"/>
    <w:rsid w:val="006510BB"/>
    <w:rsid w:val="006515F3"/>
    <w:rsid w:val="00651B7F"/>
    <w:rsid w:val="0065218B"/>
    <w:rsid w:val="0065414B"/>
    <w:rsid w:val="006558A6"/>
    <w:rsid w:val="00663C44"/>
    <w:rsid w:val="00663CFE"/>
    <w:rsid w:val="006649E6"/>
    <w:rsid w:val="00665DF5"/>
    <w:rsid w:val="006677B3"/>
    <w:rsid w:val="00667D9E"/>
    <w:rsid w:val="0067547E"/>
    <w:rsid w:val="0067671E"/>
    <w:rsid w:val="00680D3B"/>
    <w:rsid w:val="00690D2E"/>
    <w:rsid w:val="00690F98"/>
    <w:rsid w:val="00691E3B"/>
    <w:rsid w:val="0069254C"/>
    <w:rsid w:val="006A07B1"/>
    <w:rsid w:val="006A2745"/>
    <w:rsid w:val="006A3891"/>
    <w:rsid w:val="006A396F"/>
    <w:rsid w:val="006A5ED1"/>
    <w:rsid w:val="006A6205"/>
    <w:rsid w:val="006A6546"/>
    <w:rsid w:val="006B1A2B"/>
    <w:rsid w:val="006B2140"/>
    <w:rsid w:val="006B2276"/>
    <w:rsid w:val="006B37C2"/>
    <w:rsid w:val="006B3DDB"/>
    <w:rsid w:val="006B42F5"/>
    <w:rsid w:val="006B7741"/>
    <w:rsid w:val="006D668C"/>
    <w:rsid w:val="006E1D1F"/>
    <w:rsid w:val="006E2B86"/>
    <w:rsid w:val="006E3B87"/>
    <w:rsid w:val="006E3DA2"/>
    <w:rsid w:val="006E511E"/>
    <w:rsid w:val="006E663C"/>
    <w:rsid w:val="006E670C"/>
    <w:rsid w:val="006E7817"/>
    <w:rsid w:val="006F2F6F"/>
    <w:rsid w:val="006F5DAF"/>
    <w:rsid w:val="006F605F"/>
    <w:rsid w:val="0070068F"/>
    <w:rsid w:val="00700AB0"/>
    <w:rsid w:val="007010FE"/>
    <w:rsid w:val="0070231B"/>
    <w:rsid w:val="00702377"/>
    <w:rsid w:val="007034B4"/>
    <w:rsid w:val="007057A0"/>
    <w:rsid w:val="007069A9"/>
    <w:rsid w:val="00713DB0"/>
    <w:rsid w:val="0071495E"/>
    <w:rsid w:val="0071576A"/>
    <w:rsid w:val="007219CF"/>
    <w:rsid w:val="00727910"/>
    <w:rsid w:val="00731F6B"/>
    <w:rsid w:val="00734C62"/>
    <w:rsid w:val="00734E92"/>
    <w:rsid w:val="00735309"/>
    <w:rsid w:val="00735585"/>
    <w:rsid w:val="00740168"/>
    <w:rsid w:val="00740B81"/>
    <w:rsid w:val="00743F87"/>
    <w:rsid w:val="0074533F"/>
    <w:rsid w:val="00755182"/>
    <w:rsid w:val="00760C77"/>
    <w:rsid w:val="0076348D"/>
    <w:rsid w:val="00765723"/>
    <w:rsid w:val="007723A2"/>
    <w:rsid w:val="0077344E"/>
    <w:rsid w:val="00773583"/>
    <w:rsid w:val="0077593D"/>
    <w:rsid w:val="00776668"/>
    <w:rsid w:val="00782791"/>
    <w:rsid w:val="00784B25"/>
    <w:rsid w:val="007856A0"/>
    <w:rsid w:val="0079054F"/>
    <w:rsid w:val="00795DBE"/>
    <w:rsid w:val="007B08D0"/>
    <w:rsid w:val="007B5D7B"/>
    <w:rsid w:val="007C1EC3"/>
    <w:rsid w:val="007C7061"/>
    <w:rsid w:val="007D146C"/>
    <w:rsid w:val="007D4BA4"/>
    <w:rsid w:val="007D63DF"/>
    <w:rsid w:val="007D6445"/>
    <w:rsid w:val="007D759E"/>
    <w:rsid w:val="007D7782"/>
    <w:rsid w:val="007E1632"/>
    <w:rsid w:val="007E4A44"/>
    <w:rsid w:val="007E5BB3"/>
    <w:rsid w:val="007E6065"/>
    <w:rsid w:val="007E6A2D"/>
    <w:rsid w:val="007F049A"/>
    <w:rsid w:val="007F09E4"/>
    <w:rsid w:val="007F2C7F"/>
    <w:rsid w:val="007F4DEE"/>
    <w:rsid w:val="007F505C"/>
    <w:rsid w:val="007F77E8"/>
    <w:rsid w:val="00801143"/>
    <w:rsid w:val="00801738"/>
    <w:rsid w:val="00806825"/>
    <w:rsid w:val="008125F7"/>
    <w:rsid w:val="00813CA7"/>
    <w:rsid w:val="008172C5"/>
    <w:rsid w:val="0082175C"/>
    <w:rsid w:val="00825B2E"/>
    <w:rsid w:val="00827022"/>
    <w:rsid w:val="00830852"/>
    <w:rsid w:val="0083359D"/>
    <w:rsid w:val="00834C65"/>
    <w:rsid w:val="00836D19"/>
    <w:rsid w:val="00841DEB"/>
    <w:rsid w:val="00845AC2"/>
    <w:rsid w:val="00845B22"/>
    <w:rsid w:val="00850CC8"/>
    <w:rsid w:val="00850D98"/>
    <w:rsid w:val="0085318A"/>
    <w:rsid w:val="00853F40"/>
    <w:rsid w:val="0085483E"/>
    <w:rsid w:val="00857F46"/>
    <w:rsid w:val="0086105B"/>
    <w:rsid w:val="0086221D"/>
    <w:rsid w:val="0086371E"/>
    <w:rsid w:val="00864B4A"/>
    <w:rsid w:val="00866DC4"/>
    <w:rsid w:val="00872EC6"/>
    <w:rsid w:val="00880EBF"/>
    <w:rsid w:val="0088118B"/>
    <w:rsid w:val="00884924"/>
    <w:rsid w:val="00895D96"/>
    <w:rsid w:val="008978F4"/>
    <w:rsid w:val="008A274A"/>
    <w:rsid w:val="008A4FB4"/>
    <w:rsid w:val="008A7F39"/>
    <w:rsid w:val="008B0AF0"/>
    <w:rsid w:val="008B4541"/>
    <w:rsid w:val="008B6EA8"/>
    <w:rsid w:val="008B6F6E"/>
    <w:rsid w:val="008C47A3"/>
    <w:rsid w:val="008C53F8"/>
    <w:rsid w:val="008C6800"/>
    <w:rsid w:val="008C6812"/>
    <w:rsid w:val="008C7C01"/>
    <w:rsid w:val="008C7D02"/>
    <w:rsid w:val="008D2192"/>
    <w:rsid w:val="008D253B"/>
    <w:rsid w:val="008D6EEF"/>
    <w:rsid w:val="008D72B2"/>
    <w:rsid w:val="008E028E"/>
    <w:rsid w:val="008E0C54"/>
    <w:rsid w:val="008E0CB4"/>
    <w:rsid w:val="008E153C"/>
    <w:rsid w:val="008E39EB"/>
    <w:rsid w:val="008E5283"/>
    <w:rsid w:val="008E5382"/>
    <w:rsid w:val="008E563D"/>
    <w:rsid w:val="008E6608"/>
    <w:rsid w:val="008F48AC"/>
    <w:rsid w:val="008F5682"/>
    <w:rsid w:val="009001DA"/>
    <w:rsid w:val="00905D80"/>
    <w:rsid w:val="00907673"/>
    <w:rsid w:val="00907970"/>
    <w:rsid w:val="00907A16"/>
    <w:rsid w:val="00913F0D"/>
    <w:rsid w:val="00915A92"/>
    <w:rsid w:val="00917C7F"/>
    <w:rsid w:val="00923BF2"/>
    <w:rsid w:val="00923E94"/>
    <w:rsid w:val="0092617B"/>
    <w:rsid w:val="00931D8D"/>
    <w:rsid w:val="00931ECA"/>
    <w:rsid w:val="0093364C"/>
    <w:rsid w:val="00941754"/>
    <w:rsid w:val="00941996"/>
    <w:rsid w:val="00941AEB"/>
    <w:rsid w:val="009432B7"/>
    <w:rsid w:val="00944AF4"/>
    <w:rsid w:val="00945F1D"/>
    <w:rsid w:val="009541A8"/>
    <w:rsid w:val="009566BC"/>
    <w:rsid w:val="009573AC"/>
    <w:rsid w:val="009622DB"/>
    <w:rsid w:val="00962D9F"/>
    <w:rsid w:val="00963454"/>
    <w:rsid w:val="0096483A"/>
    <w:rsid w:val="00974185"/>
    <w:rsid w:val="00975F55"/>
    <w:rsid w:val="00981A7A"/>
    <w:rsid w:val="009827C6"/>
    <w:rsid w:val="00985512"/>
    <w:rsid w:val="0098608F"/>
    <w:rsid w:val="00986F8C"/>
    <w:rsid w:val="009873BA"/>
    <w:rsid w:val="00987EC9"/>
    <w:rsid w:val="00995297"/>
    <w:rsid w:val="00996F73"/>
    <w:rsid w:val="009A17DB"/>
    <w:rsid w:val="009A1F6C"/>
    <w:rsid w:val="009A2237"/>
    <w:rsid w:val="009A364D"/>
    <w:rsid w:val="009A3CA8"/>
    <w:rsid w:val="009A4F43"/>
    <w:rsid w:val="009A5D5C"/>
    <w:rsid w:val="009A7D86"/>
    <w:rsid w:val="009B2121"/>
    <w:rsid w:val="009B34D5"/>
    <w:rsid w:val="009B47A0"/>
    <w:rsid w:val="009B5631"/>
    <w:rsid w:val="009B6350"/>
    <w:rsid w:val="009B751C"/>
    <w:rsid w:val="009C3189"/>
    <w:rsid w:val="009C4085"/>
    <w:rsid w:val="009D300B"/>
    <w:rsid w:val="009D399D"/>
    <w:rsid w:val="009E0A96"/>
    <w:rsid w:val="009F0642"/>
    <w:rsid w:val="009F6FD8"/>
    <w:rsid w:val="009F74D5"/>
    <w:rsid w:val="00A01BE5"/>
    <w:rsid w:val="00A04B8A"/>
    <w:rsid w:val="00A12A07"/>
    <w:rsid w:val="00A17B8D"/>
    <w:rsid w:val="00A20D01"/>
    <w:rsid w:val="00A22B3F"/>
    <w:rsid w:val="00A22D0A"/>
    <w:rsid w:val="00A304C0"/>
    <w:rsid w:val="00A30F27"/>
    <w:rsid w:val="00A3204A"/>
    <w:rsid w:val="00A320DD"/>
    <w:rsid w:val="00A33CE7"/>
    <w:rsid w:val="00A358B8"/>
    <w:rsid w:val="00A376DD"/>
    <w:rsid w:val="00A41086"/>
    <w:rsid w:val="00A431B5"/>
    <w:rsid w:val="00A4501C"/>
    <w:rsid w:val="00A45289"/>
    <w:rsid w:val="00A453CC"/>
    <w:rsid w:val="00A45B5B"/>
    <w:rsid w:val="00A46515"/>
    <w:rsid w:val="00A51194"/>
    <w:rsid w:val="00A51E42"/>
    <w:rsid w:val="00A5442D"/>
    <w:rsid w:val="00A544E8"/>
    <w:rsid w:val="00A556A4"/>
    <w:rsid w:val="00A57151"/>
    <w:rsid w:val="00A62A03"/>
    <w:rsid w:val="00A67E5F"/>
    <w:rsid w:val="00A721AB"/>
    <w:rsid w:val="00A729A9"/>
    <w:rsid w:val="00A74489"/>
    <w:rsid w:val="00A76449"/>
    <w:rsid w:val="00A80370"/>
    <w:rsid w:val="00A82550"/>
    <w:rsid w:val="00A82594"/>
    <w:rsid w:val="00A85EE4"/>
    <w:rsid w:val="00A91C86"/>
    <w:rsid w:val="00A91F05"/>
    <w:rsid w:val="00A939F1"/>
    <w:rsid w:val="00A9493B"/>
    <w:rsid w:val="00A964AB"/>
    <w:rsid w:val="00A96F65"/>
    <w:rsid w:val="00AA0CB9"/>
    <w:rsid w:val="00AA32C2"/>
    <w:rsid w:val="00AA5351"/>
    <w:rsid w:val="00AA63A2"/>
    <w:rsid w:val="00AA7110"/>
    <w:rsid w:val="00AA7E1E"/>
    <w:rsid w:val="00AB0CCB"/>
    <w:rsid w:val="00AB44D5"/>
    <w:rsid w:val="00AB5CBE"/>
    <w:rsid w:val="00AB60BF"/>
    <w:rsid w:val="00AC382A"/>
    <w:rsid w:val="00AC543D"/>
    <w:rsid w:val="00AD7F02"/>
    <w:rsid w:val="00AE0D57"/>
    <w:rsid w:val="00AE128A"/>
    <w:rsid w:val="00AE1CF0"/>
    <w:rsid w:val="00AE23A6"/>
    <w:rsid w:val="00AE444D"/>
    <w:rsid w:val="00AE617B"/>
    <w:rsid w:val="00AE68AA"/>
    <w:rsid w:val="00AE7909"/>
    <w:rsid w:val="00AF2BB4"/>
    <w:rsid w:val="00AF68B6"/>
    <w:rsid w:val="00B032C9"/>
    <w:rsid w:val="00B13DCF"/>
    <w:rsid w:val="00B204E2"/>
    <w:rsid w:val="00B22218"/>
    <w:rsid w:val="00B22601"/>
    <w:rsid w:val="00B228DA"/>
    <w:rsid w:val="00B23334"/>
    <w:rsid w:val="00B23AA0"/>
    <w:rsid w:val="00B24D65"/>
    <w:rsid w:val="00B26C42"/>
    <w:rsid w:val="00B30065"/>
    <w:rsid w:val="00B309C4"/>
    <w:rsid w:val="00B3123E"/>
    <w:rsid w:val="00B32393"/>
    <w:rsid w:val="00B37038"/>
    <w:rsid w:val="00B42D5A"/>
    <w:rsid w:val="00B5270C"/>
    <w:rsid w:val="00B54002"/>
    <w:rsid w:val="00B60122"/>
    <w:rsid w:val="00B64252"/>
    <w:rsid w:val="00B653A4"/>
    <w:rsid w:val="00B67478"/>
    <w:rsid w:val="00B677C3"/>
    <w:rsid w:val="00B67BA2"/>
    <w:rsid w:val="00B72337"/>
    <w:rsid w:val="00B808EE"/>
    <w:rsid w:val="00B8240C"/>
    <w:rsid w:val="00B82FFE"/>
    <w:rsid w:val="00B83C93"/>
    <w:rsid w:val="00B83F4C"/>
    <w:rsid w:val="00B84CA9"/>
    <w:rsid w:val="00B8679A"/>
    <w:rsid w:val="00B86B61"/>
    <w:rsid w:val="00B8787F"/>
    <w:rsid w:val="00B8793D"/>
    <w:rsid w:val="00B91915"/>
    <w:rsid w:val="00B92683"/>
    <w:rsid w:val="00B92DAB"/>
    <w:rsid w:val="00B942F7"/>
    <w:rsid w:val="00B9529F"/>
    <w:rsid w:val="00B978B8"/>
    <w:rsid w:val="00BA1F84"/>
    <w:rsid w:val="00BA7A0C"/>
    <w:rsid w:val="00BB1043"/>
    <w:rsid w:val="00BC1C8D"/>
    <w:rsid w:val="00BC1FDD"/>
    <w:rsid w:val="00BC38E9"/>
    <w:rsid w:val="00BC38FE"/>
    <w:rsid w:val="00BC4374"/>
    <w:rsid w:val="00BC6D43"/>
    <w:rsid w:val="00BD1CC3"/>
    <w:rsid w:val="00BD2BCB"/>
    <w:rsid w:val="00BD3C1D"/>
    <w:rsid w:val="00BD45A9"/>
    <w:rsid w:val="00BD6EFE"/>
    <w:rsid w:val="00BE36AE"/>
    <w:rsid w:val="00BE48EF"/>
    <w:rsid w:val="00BE6B5D"/>
    <w:rsid w:val="00BE75B1"/>
    <w:rsid w:val="00BE7C0C"/>
    <w:rsid w:val="00BF54B6"/>
    <w:rsid w:val="00BF60FE"/>
    <w:rsid w:val="00BF7BB6"/>
    <w:rsid w:val="00C021B8"/>
    <w:rsid w:val="00C02333"/>
    <w:rsid w:val="00C02A58"/>
    <w:rsid w:val="00C07023"/>
    <w:rsid w:val="00C074F6"/>
    <w:rsid w:val="00C10918"/>
    <w:rsid w:val="00C11877"/>
    <w:rsid w:val="00C1368E"/>
    <w:rsid w:val="00C15BAA"/>
    <w:rsid w:val="00C17230"/>
    <w:rsid w:val="00C20E4F"/>
    <w:rsid w:val="00C22684"/>
    <w:rsid w:val="00C23F36"/>
    <w:rsid w:val="00C2417D"/>
    <w:rsid w:val="00C26556"/>
    <w:rsid w:val="00C26BE4"/>
    <w:rsid w:val="00C27558"/>
    <w:rsid w:val="00C3180E"/>
    <w:rsid w:val="00C31AAB"/>
    <w:rsid w:val="00C351DA"/>
    <w:rsid w:val="00C40E43"/>
    <w:rsid w:val="00C40FD4"/>
    <w:rsid w:val="00C42A2C"/>
    <w:rsid w:val="00C43AD8"/>
    <w:rsid w:val="00C462EA"/>
    <w:rsid w:val="00C50A01"/>
    <w:rsid w:val="00C56DE9"/>
    <w:rsid w:val="00C57045"/>
    <w:rsid w:val="00C57825"/>
    <w:rsid w:val="00C60225"/>
    <w:rsid w:val="00C65901"/>
    <w:rsid w:val="00C72F64"/>
    <w:rsid w:val="00C75283"/>
    <w:rsid w:val="00C77F59"/>
    <w:rsid w:val="00C81973"/>
    <w:rsid w:val="00C81A0F"/>
    <w:rsid w:val="00C83131"/>
    <w:rsid w:val="00CA37D0"/>
    <w:rsid w:val="00CA4761"/>
    <w:rsid w:val="00CB006E"/>
    <w:rsid w:val="00CB5313"/>
    <w:rsid w:val="00CB7509"/>
    <w:rsid w:val="00CB7E68"/>
    <w:rsid w:val="00CC2DC5"/>
    <w:rsid w:val="00CC788E"/>
    <w:rsid w:val="00CD2005"/>
    <w:rsid w:val="00CD5203"/>
    <w:rsid w:val="00CD799C"/>
    <w:rsid w:val="00CE0516"/>
    <w:rsid w:val="00CE2C17"/>
    <w:rsid w:val="00CE3784"/>
    <w:rsid w:val="00CE58BD"/>
    <w:rsid w:val="00CE67CA"/>
    <w:rsid w:val="00CF1EAD"/>
    <w:rsid w:val="00CF2F8D"/>
    <w:rsid w:val="00CF39AA"/>
    <w:rsid w:val="00CF49D8"/>
    <w:rsid w:val="00CF51ED"/>
    <w:rsid w:val="00D005BA"/>
    <w:rsid w:val="00D0275B"/>
    <w:rsid w:val="00D02B52"/>
    <w:rsid w:val="00D03D1A"/>
    <w:rsid w:val="00D110E4"/>
    <w:rsid w:val="00D11CE2"/>
    <w:rsid w:val="00D12C91"/>
    <w:rsid w:val="00D12FA3"/>
    <w:rsid w:val="00D1619D"/>
    <w:rsid w:val="00D1703E"/>
    <w:rsid w:val="00D20948"/>
    <w:rsid w:val="00D2588B"/>
    <w:rsid w:val="00D27CC6"/>
    <w:rsid w:val="00D3037F"/>
    <w:rsid w:val="00D30BF6"/>
    <w:rsid w:val="00D3111B"/>
    <w:rsid w:val="00D34BFB"/>
    <w:rsid w:val="00D43306"/>
    <w:rsid w:val="00D43A48"/>
    <w:rsid w:val="00D44AD3"/>
    <w:rsid w:val="00D46FFF"/>
    <w:rsid w:val="00D50142"/>
    <w:rsid w:val="00D51970"/>
    <w:rsid w:val="00D52698"/>
    <w:rsid w:val="00D53D83"/>
    <w:rsid w:val="00D546EE"/>
    <w:rsid w:val="00D55572"/>
    <w:rsid w:val="00D5593D"/>
    <w:rsid w:val="00D56602"/>
    <w:rsid w:val="00D608C5"/>
    <w:rsid w:val="00D6238E"/>
    <w:rsid w:val="00D62D4C"/>
    <w:rsid w:val="00D65224"/>
    <w:rsid w:val="00D65FDC"/>
    <w:rsid w:val="00D715D9"/>
    <w:rsid w:val="00D73305"/>
    <w:rsid w:val="00D77036"/>
    <w:rsid w:val="00D8056E"/>
    <w:rsid w:val="00D86D4D"/>
    <w:rsid w:val="00D915A3"/>
    <w:rsid w:val="00D92501"/>
    <w:rsid w:val="00D92A0D"/>
    <w:rsid w:val="00D9450A"/>
    <w:rsid w:val="00D95147"/>
    <w:rsid w:val="00D960D0"/>
    <w:rsid w:val="00D96983"/>
    <w:rsid w:val="00DA1C87"/>
    <w:rsid w:val="00DA5545"/>
    <w:rsid w:val="00DA5973"/>
    <w:rsid w:val="00DA6AC5"/>
    <w:rsid w:val="00DB3F91"/>
    <w:rsid w:val="00DB421D"/>
    <w:rsid w:val="00DB59C0"/>
    <w:rsid w:val="00DB60E4"/>
    <w:rsid w:val="00DC0593"/>
    <w:rsid w:val="00DC0781"/>
    <w:rsid w:val="00DC43B1"/>
    <w:rsid w:val="00DC5DCD"/>
    <w:rsid w:val="00DC689E"/>
    <w:rsid w:val="00DD5CED"/>
    <w:rsid w:val="00DD7288"/>
    <w:rsid w:val="00DD7802"/>
    <w:rsid w:val="00DD78BD"/>
    <w:rsid w:val="00DD7CCB"/>
    <w:rsid w:val="00DE1678"/>
    <w:rsid w:val="00DE3C55"/>
    <w:rsid w:val="00DE44CF"/>
    <w:rsid w:val="00DE671F"/>
    <w:rsid w:val="00DE69F6"/>
    <w:rsid w:val="00DE70DB"/>
    <w:rsid w:val="00DF0094"/>
    <w:rsid w:val="00DF0958"/>
    <w:rsid w:val="00DF519C"/>
    <w:rsid w:val="00DF548E"/>
    <w:rsid w:val="00DF66E6"/>
    <w:rsid w:val="00DF7931"/>
    <w:rsid w:val="00DF7ADF"/>
    <w:rsid w:val="00E03DC0"/>
    <w:rsid w:val="00E04C8E"/>
    <w:rsid w:val="00E050D8"/>
    <w:rsid w:val="00E131EA"/>
    <w:rsid w:val="00E1399E"/>
    <w:rsid w:val="00E16A02"/>
    <w:rsid w:val="00E21248"/>
    <w:rsid w:val="00E21B8D"/>
    <w:rsid w:val="00E25265"/>
    <w:rsid w:val="00E27F96"/>
    <w:rsid w:val="00E31F07"/>
    <w:rsid w:val="00E34AF5"/>
    <w:rsid w:val="00E35240"/>
    <w:rsid w:val="00E3599A"/>
    <w:rsid w:val="00E418F4"/>
    <w:rsid w:val="00E52AAB"/>
    <w:rsid w:val="00E541FD"/>
    <w:rsid w:val="00E54213"/>
    <w:rsid w:val="00E55FDA"/>
    <w:rsid w:val="00E56B1A"/>
    <w:rsid w:val="00E61C08"/>
    <w:rsid w:val="00E63F2A"/>
    <w:rsid w:val="00E66262"/>
    <w:rsid w:val="00E71242"/>
    <w:rsid w:val="00E71AB8"/>
    <w:rsid w:val="00E723C0"/>
    <w:rsid w:val="00E73C09"/>
    <w:rsid w:val="00E7464F"/>
    <w:rsid w:val="00E77DBD"/>
    <w:rsid w:val="00E804C7"/>
    <w:rsid w:val="00E82A97"/>
    <w:rsid w:val="00E91255"/>
    <w:rsid w:val="00E9696E"/>
    <w:rsid w:val="00EA4635"/>
    <w:rsid w:val="00EA70D3"/>
    <w:rsid w:val="00EB2656"/>
    <w:rsid w:val="00EB2791"/>
    <w:rsid w:val="00EC6949"/>
    <w:rsid w:val="00ED37BB"/>
    <w:rsid w:val="00ED4A91"/>
    <w:rsid w:val="00ED52F7"/>
    <w:rsid w:val="00ED5E49"/>
    <w:rsid w:val="00ED7D0D"/>
    <w:rsid w:val="00EE04DE"/>
    <w:rsid w:val="00EE07C8"/>
    <w:rsid w:val="00EE080A"/>
    <w:rsid w:val="00EE11D3"/>
    <w:rsid w:val="00EE317D"/>
    <w:rsid w:val="00EE4B60"/>
    <w:rsid w:val="00EF25ED"/>
    <w:rsid w:val="00EF2859"/>
    <w:rsid w:val="00EF3389"/>
    <w:rsid w:val="00EF495E"/>
    <w:rsid w:val="00F03D64"/>
    <w:rsid w:val="00F04CC5"/>
    <w:rsid w:val="00F05BD1"/>
    <w:rsid w:val="00F06847"/>
    <w:rsid w:val="00F06B39"/>
    <w:rsid w:val="00F07882"/>
    <w:rsid w:val="00F14996"/>
    <w:rsid w:val="00F1540A"/>
    <w:rsid w:val="00F205A7"/>
    <w:rsid w:val="00F226A5"/>
    <w:rsid w:val="00F228AA"/>
    <w:rsid w:val="00F25DCC"/>
    <w:rsid w:val="00F268D0"/>
    <w:rsid w:val="00F26CC9"/>
    <w:rsid w:val="00F27846"/>
    <w:rsid w:val="00F328D4"/>
    <w:rsid w:val="00F347B8"/>
    <w:rsid w:val="00F36092"/>
    <w:rsid w:val="00F364EC"/>
    <w:rsid w:val="00F36BA0"/>
    <w:rsid w:val="00F434D7"/>
    <w:rsid w:val="00F45727"/>
    <w:rsid w:val="00F47330"/>
    <w:rsid w:val="00F4733E"/>
    <w:rsid w:val="00F52ABC"/>
    <w:rsid w:val="00F547E6"/>
    <w:rsid w:val="00F551D6"/>
    <w:rsid w:val="00F56770"/>
    <w:rsid w:val="00F56FB4"/>
    <w:rsid w:val="00F60443"/>
    <w:rsid w:val="00F604AE"/>
    <w:rsid w:val="00F60964"/>
    <w:rsid w:val="00F63C6B"/>
    <w:rsid w:val="00F65501"/>
    <w:rsid w:val="00F7057B"/>
    <w:rsid w:val="00F70D92"/>
    <w:rsid w:val="00F73ADE"/>
    <w:rsid w:val="00F77A00"/>
    <w:rsid w:val="00F818F5"/>
    <w:rsid w:val="00F836E2"/>
    <w:rsid w:val="00F8492A"/>
    <w:rsid w:val="00F854B4"/>
    <w:rsid w:val="00F91EB5"/>
    <w:rsid w:val="00F93936"/>
    <w:rsid w:val="00FA001C"/>
    <w:rsid w:val="00FA0E4A"/>
    <w:rsid w:val="00FA1065"/>
    <w:rsid w:val="00FA3546"/>
    <w:rsid w:val="00FA509B"/>
    <w:rsid w:val="00FA57FD"/>
    <w:rsid w:val="00FB0E2E"/>
    <w:rsid w:val="00FB0FB0"/>
    <w:rsid w:val="00FB4C35"/>
    <w:rsid w:val="00FB54D5"/>
    <w:rsid w:val="00FB671F"/>
    <w:rsid w:val="00FC40BC"/>
    <w:rsid w:val="00FC4705"/>
    <w:rsid w:val="00FC6E1D"/>
    <w:rsid w:val="00FC71E1"/>
    <w:rsid w:val="00FC777E"/>
    <w:rsid w:val="00FC7CDC"/>
    <w:rsid w:val="00FD2ECC"/>
    <w:rsid w:val="00FD3740"/>
    <w:rsid w:val="00FD3F82"/>
    <w:rsid w:val="00FD6E02"/>
    <w:rsid w:val="00FE27B0"/>
    <w:rsid w:val="00FE455B"/>
    <w:rsid w:val="00FF1972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722708"/>
  <w15:docId w15:val="{FCC66DF2-D2F9-4692-A5C2-589CD601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50142"/>
    <w:pPr>
      <w:spacing w:after="200" w:line="276" w:lineRule="auto"/>
    </w:pPr>
    <w:rPr>
      <w:lang w:eastAsia="en-US"/>
    </w:rPr>
  </w:style>
  <w:style w:type="paragraph" w:styleId="Virsraksts3">
    <w:name w:val="heading 3"/>
    <w:basedOn w:val="Parasts"/>
    <w:link w:val="Virsraksts3Rakstz"/>
    <w:uiPriority w:val="9"/>
    <w:qFormat/>
    <w:locked/>
    <w:rsid w:val="00D608C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99"/>
    <w:qFormat/>
    <w:rsid w:val="00EE11D3"/>
    <w:rPr>
      <w:lang w:eastAsia="en-US"/>
    </w:rPr>
  </w:style>
  <w:style w:type="paragraph" w:styleId="Galvene">
    <w:name w:val="header"/>
    <w:basedOn w:val="Parasts"/>
    <w:link w:val="GalveneRakstz"/>
    <w:uiPriority w:val="99"/>
    <w:rsid w:val="00EE1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EE11D3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EE1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EE11D3"/>
    <w:rPr>
      <w:rFonts w:cs="Times New Roman"/>
    </w:rPr>
  </w:style>
  <w:style w:type="character" w:styleId="Komentraatsauce">
    <w:name w:val="annotation reference"/>
    <w:basedOn w:val="Noklusjumarindkopasfonts"/>
    <w:uiPriority w:val="99"/>
    <w:semiHidden/>
    <w:rsid w:val="001251FB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251F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1251F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1251F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Hipersaite">
    <w:name w:val="Hyperlink"/>
    <w:basedOn w:val="Noklusjumarindkopasfonts"/>
    <w:uiPriority w:val="99"/>
    <w:unhideWhenUsed/>
    <w:rsid w:val="00D46FFF"/>
    <w:rPr>
      <w:color w:val="0000FF" w:themeColor="hyperlink"/>
      <w:u w:val="single"/>
    </w:rPr>
  </w:style>
  <w:style w:type="paragraph" w:styleId="Paraststmeklis">
    <w:name w:val="Normal (Web)"/>
    <w:basedOn w:val="Parasts"/>
    <w:unhideWhenUsed/>
    <w:rsid w:val="00443AD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A1F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131B2"/>
    <w:pPr>
      <w:ind w:left="720"/>
      <w:contextualSpacing/>
    </w:pPr>
  </w:style>
  <w:style w:type="paragraph" w:customStyle="1" w:styleId="naislab">
    <w:name w:val="naislab"/>
    <w:basedOn w:val="Parasts"/>
    <w:rsid w:val="001A6649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D608C5"/>
    <w:rPr>
      <w:rFonts w:ascii="Times New Roman" w:eastAsia="Times New Roman" w:hAnsi="Times New Roman"/>
      <w:b/>
      <w:bCs/>
      <w:color w:val="414142"/>
      <w:sz w:val="35"/>
      <w:szCs w:val="35"/>
    </w:rPr>
  </w:style>
  <w:style w:type="paragraph" w:customStyle="1" w:styleId="liknoteik1">
    <w:name w:val="lik_noteik1"/>
    <w:basedOn w:val="Parasts"/>
    <w:rsid w:val="00D608C5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Parasts"/>
    <w:rsid w:val="00D608C5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Izteiksmgs">
    <w:name w:val="Strong"/>
    <w:uiPriority w:val="22"/>
    <w:qFormat/>
    <w:locked/>
    <w:rsid w:val="00FC777E"/>
    <w:rPr>
      <w:b/>
      <w:bCs/>
    </w:rPr>
  </w:style>
  <w:style w:type="numbering" w:customStyle="1" w:styleId="Bezsaraksta1">
    <w:name w:val="Bez saraksta1"/>
    <w:next w:val="Bezsaraksta"/>
    <w:uiPriority w:val="99"/>
    <w:semiHidden/>
    <w:unhideWhenUsed/>
    <w:rsid w:val="0017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7220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420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ga.bajale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7E1E-6285-431E-862D-205B8084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4219</Words>
  <Characters>2406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„Grozījumi Ministru kabineta 2011. gada 22. novembra noteikumos Nr. 899 "Noteikumi par lopbarības augu sēklu maisījumiem, kas paredzēti dabiskās vides saglabāšanai" ” sākotnējās ietekmes novērtējuma ziņojums</vt:lpstr>
      <vt:lpstr/>
    </vt:vector>
  </TitlesOfParts>
  <Company>Zemkopības Ministrija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</dc:title>
  <dc:subject>Anotācija</dc:subject>
  <dc:creator>Daiga Bajale</dc:creator>
  <dc:description>Bajale 67027313_x000d_
daiga.bajale@zm.gov.lv</dc:description>
  <cp:lastModifiedBy>Kristiāna Sebre</cp:lastModifiedBy>
  <cp:revision>7</cp:revision>
  <cp:lastPrinted>2018-08-15T07:24:00Z</cp:lastPrinted>
  <dcterms:created xsi:type="dcterms:W3CDTF">2019-05-21T06:35:00Z</dcterms:created>
  <dcterms:modified xsi:type="dcterms:W3CDTF">2019-05-21T13:49:00Z</dcterms:modified>
</cp:coreProperties>
</file>