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F7E8E" w14:textId="0C133A0F" w:rsidR="00EA6CD3" w:rsidRPr="00507DE7" w:rsidRDefault="00EA6CD3" w:rsidP="00590D25">
      <w:pPr>
        <w:ind w:left="397" w:hanging="397"/>
        <w:contextualSpacing/>
        <w:jc w:val="center"/>
        <w:rPr>
          <w:b/>
          <w:sz w:val="28"/>
          <w:szCs w:val="28"/>
          <w:lang w:val="lv-LV"/>
        </w:rPr>
      </w:pPr>
      <w:bookmarkStart w:id="0" w:name="OLE_LINK3"/>
      <w:bookmarkStart w:id="1" w:name="OLE_LINK1"/>
      <w:bookmarkStart w:id="2" w:name="OLE_LINK2"/>
      <w:r w:rsidRPr="00507DE7">
        <w:rPr>
          <w:b/>
          <w:sz w:val="28"/>
          <w:szCs w:val="28"/>
          <w:lang w:val="lv-LV"/>
        </w:rPr>
        <w:t xml:space="preserve">Ministru kabineta noteikumu projekta </w:t>
      </w:r>
      <w:r w:rsidR="002D79F5" w:rsidRPr="00507DE7">
        <w:rPr>
          <w:b/>
          <w:sz w:val="28"/>
          <w:szCs w:val="28"/>
          <w:lang w:val="lv-LV"/>
        </w:rPr>
        <w:t>”</w:t>
      </w:r>
      <w:r w:rsidR="004E5990" w:rsidRPr="00507DE7">
        <w:rPr>
          <w:b/>
          <w:sz w:val="28"/>
          <w:szCs w:val="28"/>
          <w:lang w:val="lv-LV"/>
        </w:rPr>
        <w:t xml:space="preserve">Darbības programmas </w:t>
      </w:r>
      <w:r w:rsidR="004E5990" w:rsidRPr="00507DE7">
        <w:rPr>
          <w:b/>
          <w:sz w:val="28"/>
          <w:szCs w:val="28"/>
          <w:shd w:val="clear" w:color="auto" w:fill="FFFFFF"/>
          <w:lang w:val="lv-LV"/>
        </w:rPr>
        <w:t xml:space="preserve">"Izaugsme un nodarbinātība" </w:t>
      </w:r>
      <w:r w:rsidR="004E5990" w:rsidRPr="00507DE7">
        <w:rPr>
          <w:b/>
          <w:sz w:val="28"/>
          <w:szCs w:val="28"/>
          <w:lang w:val="lv-LV"/>
        </w:rPr>
        <w:t xml:space="preserve">3.1.1. </w:t>
      </w:r>
      <w:r w:rsidR="004E5990" w:rsidRPr="00507DE7">
        <w:rPr>
          <w:b/>
          <w:sz w:val="28"/>
          <w:szCs w:val="28"/>
          <w:shd w:val="clear" w:color="auto" w:fill="FFFFFF"/>
          <w:lang w:val="lv-LV"/>
        </w:rPr>
        <w:t xml:space="preserve">specifiskā atbalsta mērķa </w:t>
      </w:r>
      <w:r w:rsidR="004E5990" w:rsidRPr="00507DE7">
        <w:rPr>
          <w:b/>
          <w:sz w:val="28"/>
          <w:szCs w:val="28"/>
          <w:lang w:val="lv-LV"/>
        </w:rPr>
        <w:t>“Sekmēt mazo, vidējo komersantu izveidi un attīstību, īpaši apstrādes rūpniecībā un RIS3 prioritārajās nozarēs” 3.1.</w:t>
      </w:r>
      <w:r w:rsidR="004E5990" w:rsidRPr="000A4306">
        <w:rPr>
          <w:b/>
          <w:sz w:val="28"/>
          <w:szCs w:val="28"/>
          <w:lang w:val="lv-LV"/>
        </w:rPr>
        <w:t>1.3. p</w:t>
      </w:r>
      <w:r w:rsidR="004E5990" w:rsidRPr="00507DE7">
        <w:rPr>
          <w:b/>
          <w:sz w:val="28"/>
          <w:szCs w:val="28"/>
          <w:lang w:val="lv-LV"/>
        </w:rPr>
        <w:t>asākuma “Atbalsts mazo, vidējo komersantu finansējuma piesaistei kapitāla tirgos” īstenošanas noteikumi”</w:t>
      </w:r>
      <w:r w:rsidR="00C63189">
        <w:rPr>
          <w:b/>
          <w:sz w:val="28"/>
          <w:szCs w:val="28"/>
          <w:lang w:val="lv-LV"/>
        </w:rPr>
        <w:t xml:space="preserve"> </w:t>
      </w:r>
      <w:r w:rsidRPr="00507DE7">
        <w:rPr>
          <w:b/>
          <w:sz w:val="28"/>
          <w:szCs w:val="28"/>
          <w:lang w:val="lv-LV"/>
        </w:rPr>
        <w:t>sākotnējās ietekmes novērtējuma ziņojums (anotācija)</w:t>
      </w:r>
    </w:p>
    <w:p w14:paraId="4F03DE00" w14:textId="343ABDE0" w:rsidR="00310924" w:rsidRPr="00507DE7" w:rsidRDefault="00310924" w:rsidP="000141AD">
      <w:pPr>
        <w:contextualSpacing/>
        <w:rPr>
          <w:b/>
          <w:sz w:val="28"/>
          <w:szCs w:val="28"/>
          <w:lang w:val="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2"/>
        <w:gridCol w:w="6804"/>
      </w:tblGrid>
      <w:tr w:rsidR="00833707" w:rsidRPr="00507DE7" w14:paraId="04D05FAF" w14:textId="77777777" w:rsidTr="00E50BE5">
        <w:trPr>
          <w:trHeight w:val="405"/>
        </w:trPr>
        <w:tc>
          <w:tcPr>
            <w:tcW w:w="9206" w:type="dxa"/>
            <w:gridSpan w:val="2"/>
            <w:tcBorders>
              <w:top w:val="outset" w:sz="6" w:space="0" w:color="414142"/>
              <w:left w:val="outset" w:sz="6" w:space="0" w:color="414142"/>
              <w:bottom w:val="outset" w:sz="6" w:space="0" w:color="414142"/>
              <w:right w:val="outset" w:sz="6" w:space="0" w:color="414142"/>
            </w:tcBorders>
          </w:tcPr>
          <w:p w14:paraId="703A3A02" w14:textId="03E6F870" w:rsidR="00833707" w:rsidRPr="00507DE7" w:rsidRDefault="00833707" w:rsidP="000141AD">
            <w:pPr>
              <w:ind w:right="344"/>
              <w:contextualSpacing/>
              <w:jc w:val="both"/>
              <w:rPr>
                <w:rFonts w:eastAsia="Times New Roman"/>
                <w:iCs/>
                <w:sz w:val="24"/>
                <w:szCs w:val="24"/>
                <w:lang w:val="lv-LV" w:eastAsia="lv-LV"/>
              </w:rPr>
            </w:pPr>
            <w:r w:rsidRPr="00507DE7">
              <w:rPr>
                <w:rFonts w:eastAsia="Times New Roman"/>
                <w:b/>
                <w:bCs/>
                <w:iCs/>
                <w:sz w:val="24"/>
                <w:szCs w:val="24"/>
                <w:lang w:val="lv-LV" w:eastAsia="lv-LV"/>
              </w:rPr>
              <w:t>Tiesību akta projekta anotācijas kopsavilkums</w:t>
            </w:r>
          </w:p>
        </w:tc>
      </w:tr>
      <w:bookmarkEnd w:id="0"/>
      <w:bookmarkEnd w:id="1"/>
      <w:bookmarkEnd w:id="2"/>
      <w:tr w:rsidR="00833707" w:rsidRPr="00507DE7" w14:paraId="6436A03E" w14:textId="77777777" w:rsidTr="00E50BE5">
        <w:trPr>
          <w:trHeight w:val="405"/>
        </w:trPr>
        <w:tc>
          <w:tcPr>
            <w:tcW w:w="2402" w:type="dxa"/>
            <w:tcBorders>
              <w:top w:val="outset" w:sz="6" w:space="0" w:color="414142"/>
              <w:left w:val="outset" w:sz="6" w:space="0" w:color="414142"/>
              <w:bottom w:val="outset" w:sz="6" w:space="0" w:color="414142"/>
              <w:right w:val="outset" w:sz="6" w:space="0" w:color="414142"/>
            </w:tcBorders>
            <w:hideMark/>
          </w:tcPr>
          <w:p w14:paraId="70666EE3" w14:textId="1E81E684" w:rsidR="00833707" w:rsidRPr="00507DE7" w:rsidRDefault="00833707" w:rsidP="000141AD">
            <w:pPr>
              <w:contextualSpacing/>
              <w:rPr>
                <w:rFonts w:eastAsia="Times New Roman"/>
                <w:sz w:val="24"/>
                <w:szCs w:val="24"/>
                <w:lang w:val="lv-LV" w:eastAsia="lv-LV"/>
              </w:rPr>
            </w:pPr>
            <w:r w:rsidRPr="00507DE7">
              <w:rPr>
                <w:rFonts w:eastAsia="Times New Roman"/>
                <w:iCs/>
                <w:sz w:val="24"/>
                <w:szCs w:val="24"/>
                <w:lang w:val="lv-LV" w:eastAsia="lv-LV"/>
              </w:rPr>
              <w:t>Mērķis, risinājums un projekta spēkā stāšanās laiks (500 zīmes bez atstarpēm)</w:t>
            </w:r>
          </w:p>
        </w:tc>
        <w:tc>
          <w:tcPr>
            <w:tcW w:w="6804" w:type="dxa"/>
            <w:tcBorders>
              <w:top w:val="outset" w:sz="6" w:space="0" w:color="414142"/>
              <w:left w:val="outset" w:sz="6" w:space="0" w:color="414142"/>
              <w:bottom w:val="outset" w:sz="6" w:space="0" w:color="414142"/>
              <w:right w:val="outset" w:sz="6" w:space="0" w:color="414142"/>
            </w:tcBorders>
            <w:hideMark/>
          </w:tcPr>
          <w:p w14:paraId="2403473E" w14:textId="77777777" w:rsidR="00EF5EDE" w:rsidRPr="00EF5EDE" w:rsidRDefault="00EF5EDE" w:rsidP="00EF5EDE">
            <w:pPr>
              <w:pStyle w:val="Default"/>
              <w:contextualSpacing/>
              <w:jc w:val="both"/>
              <w:rPr>
                <w:rFonts w:ascii="Times New Roman" w:eastAsia="Times New Roman" w:hAnsi="Times New Roman"/>
                <w:iCs/>
                <w:lang w:eastAsia="lv-LV"/>
              </w:rPr>
            </w:pPr>
            <w:r w:rsidRPr="00EF5EDE">
              <w:rPr>
                <w:rFonts w:ascii="Times New Roman" w:eastAsia="Times New Roman" w:hAnsi="Times New Roman"/>
                <w:iCs/>
                <w:lang w:eastAsia="lv-LV"/>
              </w:rPr>
              <w:t xml:space="preserve">Atbilstoši Ministru kabineta 2017.gada 21.marta rīkojuma Nr.126 “Par Finanšu sektora attīstības plānu 2017.–2019.gadam” 3.1.1.apakšpunktam un Ministru kabineta 2018.gada 4.decembra sēdē apstiprinātajam Finanšu ministrijas informatīvajam ziņojumam “ES atbalsta instrumenta izstrāde MVU finansējuma piesaistei kapitāla tirgos”, Ekonomikas ministrija ir sagatavojusi regulējuma projektu par atbalsta pasākuma finansējumu trīs gadu </w:t>
            </w:r>
            <w:proofErr w:type="spellStart"/>
            <w:r w:rsidRPr="00EF5EDE">
              <w:rPr>
                <w:rFonts w:ascii="Times New Roman" w:eastAsia="Times New Roman" w:hAnsi="Times New Roman"/>
                <w:iCs/>
                <w:lang w:eastAsia="lv-LV"/>
              </w:rPr>
              <w:t>pilotprogrammai</w:t>
            </w:r>
            <w:proofErr w:type="spellEnd"/>
            <w:r w:rsidRPr="00EF5EDE">
              <w:rPr>
                <w:rFonts w:ascii="Times New Roman" w:eastAsia="Times New Roman" w:hAnsi="Times New Roman"/>
                <w:iCs/>
                <w:lang w:eastAsia="lv-LV"/>
              </w:rPr>
              <w:t xml:space="preserve"> ar kopējo budžetu 2 miljoni </w:t>
            </w:r>
            <w:proofErr w:type="spellStart"/>
            <w:r w:rsidRPr="00EF5EDE">
              <w:rPr>
                <w:rFonts w:ascii="Times New Roman" w:eastAsia="Times New Roman" w:hAnsi="Times New Roman"/>
                <w:i/>
                <w:iCs/>
                <w:lang w:eastAsia="lv-LV"/>
              </w:rPr>
              <w:t>euro</w:t>
            </w:r>
            <w:proofErr w:type="spellEnd"/>
            <w:r w:rsidRPr="00EF5EDE">
              <w:rPr>
                <w:rFonts w:ascii="Times New Roman" w:eastAsia="Times New Roman" w:hAnsi="Times New Roman"/>
                <w:iCs/>
                <w:lang w:eastAsia="lv-LV"/>
              </w:rPr>
              <w:t>.</w:t>
            </w:r>
          </w:p>
          <w:p w14:paraId="24B8E504" w14:textId="2CD0DD3B" w:rsidR="00833707" w:rsidRPr="00507DE7" w:rsidRDefault="00EF5EDE" w:rsidP="00EF5EDE">
            <w:pPr>
              <w:contextualSpacing/>
              <w:jc w:val="both"/>
              <w:rPr>
                <w:rFonts w:eastAsia="Times New Roman"/>
                <w:iCs/>
                <w:sz w:val="24"/>
                <w:szCs w:val="24"/>
                <w:lang w:val="lv-LV" w:eastAsia="lv-LV"/>
              </w:rPr>
            </w:pPr>
            <w:r w:rsidRPr="00EF5EDE">
              <w:rPr>
                <w:rFonts w:eastAsia="Times New Roman"/>
                <w:iCs/>
                <w:sz w:val="24"/>
                <w:szCs w:val="24"/>
                <w:lang w:val="lv-LV" w:eastAsia="lv-LV"/>
              </w:rPr>
              <w:t>Plānotais spēkā stāšanas laiks atbilstoši normatīvajos aktos noteiktajai kārtībai.</w:t>
            </w:r>
          </w:p>
        </w:tc>
      </w:tr>
    </w:tbl>
    <w:p w14:paraId="6A8022D4" w14:textId="77777777" w:rsidR="00310924" w:rsidRPr="00507DE7" w:rsidRDefault="00310924" w:rsidP="000141AD">
      <w:pPr>
        <w:tabs>
          <w:tab w:val="right" w:pos="9072"/>
        </w:tabs>
        <w:contextualSpacing/>
        <w:rPr>
          <w:sz w:val="24"/>
          <w:szCs w:val="24"/>
          <w:lang w:val="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143"/>
        <w:gridCol w:w="2164"/>
        <w:gridCol w:w="6629"/>
      </w:tblGrid>
      <w:tr w:rsidR="00844176" w:rsidRPr="00507DE7" w14:paraId="02364BB3" w14:textId="77777777" w:rsidTr="00C414AE">
        <w:trPr>
          <w:trHeight w:val="405"/>
        </w:trPr>
        <w:tc>
          <w:tcPr>
            <w:tcW w:w="9206" w:type="dxa"/>
            <w:gridSpan w:val="4"/>
            <w:tcBorders>
              <w:top w:val="outset" w:sz="6" w:space="0" w:color="414142"/>
              <w:left w:val="outset" w:sz="6" w:space="0" w:color="414142"/>
              <w:bottom w:val="outset" w:sz="6" w:space="0" w:color="414142"/>
              <w:right w:val="outset" w:sz="6" w:space="0" w:color="414142"/>
            </w:tcBorders>
            <w:hideMark/>
          </w:tcPr>
          <w:p w14:paraId="12E54FE2" w14:textId="77777777" w:rsidR="00844176" w:rsidRPr="00507DE7" w:rsidRDefault="00844176" w:rsidP="000141AD">
            <w:pPr>
              <w:ind w:firstLine="300"/>
              <w:contextualSpacing/>
              <w:jc w:val="center"/>
              <w:rPr>
                <w:rFonts w:eastAsia="Times New Roman"/>
                <w:sz w:val="24"/>
                <w:szCs w:val="24"/>
                <w:lang w:val="lv-LV" w:eastAsia="lv-LV"/>
              </w:rPr>
            </w:pPr>
            <w:r w:rsidRPr="00507DE7">
              <w:rPr>
                <w:rFonts w:eastAsia="Times New Roman"/>
                <w:b/>
                <w:bCs/>
                <w:color w:val="000000"/>
                <w:sz w:val="24"/>
                <w:szCs w:val="24"/>
                <w:lang w:val="lv-LV" w:eastAsia="lv-LV"/>
              </w:rPr>
              <w:t>I. Tiesību akta projekta izstrādes nepieciešamība</w:t>
            </w:r>
          </w:p>
        </w:tc>
      </w:tr>
      <w:tr w:rsidR="00844176" w:rsidRPr="00507DE7" w14:paraId="7F385C9A" w14:textId="77777777" w:rsidTr="00C414AE">
        <w:trPr>
          <w:trHeight w:val="405"/>
        </w:trPr>
        <w:tc>
          <w:tcPr>
            <w:tcW w:w="413" w:type="dxa"/>
            <w:gridSpan w:val="2"/>
            <w:tcBorders>
              <w:top w:val="outset" w:sz="6" w:space="0" w:color="414142"/>
              <w:left w:val="outset" w:sz="6" w:space="0" w:color="414142"/>
              <w:bottom w:val="outset" w:sz="6" w:space="0" w:color="414142"/>
              <w:right w:val="outset" w:sz="6" w:space="0" w:color="414142"/>
            </w:tcBorders>
            <w:hideMark/>
          </w:tcPr>
          <w:p w14:paraId="7802C726" w14:textId="77777777" w:rsidR="00844176" w:rsidRPr="00507DE7" w:rsidRDefault="00844176" w:rsidP="000141AD">
            <w:pPr>
              <w:contextualSpacing/>
              <w:rPr>
                <w:rFonts w:eastAsia="Times New Roman"/>
                <w:sz w:val="24"/>
                <w:szCs w:val="24"/>
                <w:lang w:val="lv-LV" w:eastAsia="lv-LV"/>
              </w:rPr>
            </w:pPr>
            <w:r w:rsidRPr="00507DE7">
              <w:rPr>
                <w:rFonts w:eastAsia="Times New Roman"/>
                <w:color w:val="000000"/>
                <w:sz w:val="24"/>
                <w:szCs w:val="24"/>
                <w:lang w:val="lv-LV" w:eastAsia="lv-LV"/>
              </w:rPr>
              <w:t>1.</w:t>
            </w:r>
          </w:p>
        </w:tc>
        <w:tc>
          <w:tcPr>
            <w:tcW w:w="2164"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507DE7" w:rsidRDefault="00844176" w:rsidP="000141AD">
            <w:pPr>
              <w:contextualSpacing/>
              <w:rPr>
                <w:rFonts w:eastAsia="Times New Roman"/>
                <w:sz w:val="24"/>
                <w:szCs w:val="24"/>
                <w:lang w:val="lv-LV" w:eastAsia="lv-LV"/>
              </w:rPr>
            </w:pPr>
            <w:r w:rsidRPr="00507DE7">
              <w:rPr>
                <w:rFonts w:eastAsia="Times New Roman"/>
                <w:color w:val="000000"/>
                <w:sz w:val="24"/>
                <w:szCs w:val="24"/>
                <w:lang w:val="lv-LV" w:eastAsia="lv-LV"/>
              </w:rPr>
              <w:t>Pamatojums</w:t>
            </w:r>
          </w:p>
        </w:tc>
        <w:tc>
          <w:tcPr>
            <w:tcW w:w="6629" w:type="dxa"/>
            <w:tcBorders>
              <w:top w:val="outset" w:sz="6" w:space="0" w:color="414142"/>
              <w:left w:val="outset" w:sz="6" w:space="0" w:color="414142"/>
              <w:bottom w:val="outset" w:sz="6" w:space="0" w:color="414142"/>
              <w:right w:val="outset" w:sz="6" w:space="0" w:color="414142"/>
            </w:tcBorders>
            <w:hideMark/>
          </w:tcPr>
          <w:p w14:paraId="79DF1BBF" w14:textId="1A42E2DD" w:rsidR="00844176" w:rsidRPr="00507DE7" w:rsidRDefault="009C3B76" w:rsidP="000141AD">
            <w:pPr>
              <w:contextualSpacing/>
              <w:jc w:val="both"/>
              <w:rPr>
                <w:sz w:val="24"/>
                <w:szCs w:val="24"/>
                <w:lang w:val="lv-LV"/>
              </w:rPr>
            </w:pPr>
            <w:r w:rsidRPr="009259C5">
              <w:rPr>
                <w:sz w:val="24"/>
                <w:szCs w:val="24"/>
                <w:lang w:val="lv-LV"/>
              </w:rPr>
              <w:t>Ministru kabinet</w:t>
            </w:r>
            <w:r w:rsidR="00DA7CED">
              <w:rPr>
                <w:sz w:val="24"/>
                <w:szCs w:val="24"/>
                <w:lang w:val="lv-LV"/>
              </w:rPr>
              <w:t>a</w:t>
            </w:r>
            <w:r w:rsidRPr="009259C5">
              <w:rPr>
                <w:sz w:val="24"/>
                <w:szCs w:val="24"/>
                <w:lang w:val="lv-LV"/>
              </w:rPr>
              <w:t xml:space="preserve"> </w:t>
            </w:r>
            <w:r w:rsidR="00DA7CED" w:rsidRPr="00507DE7">
              <w:rPr>
                <w:sz w:val="24"/>
                <w:szCs w:val="24"/>
                <w:lang w:val="lv-LV"/>
              </w:rPr>
              <w:t>2018.</w:t>
            </w:r>
            <w:r w:rsidR="00DA7CED">
              <w:rPr>
                <w:sz w:val="24"/>
                <w:szCs w:val="24"/>
                <w:lang w:val="lv-LV"/>
              </w:rPr>
              <w:t> </w:t>
            </w:r>
            <w:r w:rsidR="00DA7CED" w:rsidRPr="009259C5">
              <w:rPr>
                <w:sz w:val="24"/>
                <w:szCs w:val="24"/>
                <w:lang w:val="lv-LV"/>
              </w:rPr>
              <w:t>gada 4.</w:t>
            </w:r>
            <w:r w:rsidR="00DA7CED">
              <w:rPr>
                <w:sz w:val="24"/>
                <w:szCs w:val="24"/>
                <w:lang w:val="lv-LV"/>
              </w:rPr>
              <w:t> </w:t>
            </w:r>
            <w:r w:rsidR="00DA7CED" w:rsidRPr="009259C5">
              <w:rPr>
                <w:sz w:val="24"/>
                <w:szCs w:val="24"/>
                <w:lang w:val="lv-LV"/>
              </w:rPr>
              <w:t>decembr</w:t>
            </w:r>
            <w:r w:rsidR="00DA7CED">
              <w:rPr>
                <w:sz w:val="24"/>
                <w:szCs w:val="24"/>
                <w:lang w:val="lv-LV"/>
              </w:rPr>
              <w:t>a sēdes</w:t>
            </w:r>
            <w:r w:rsidR="00DA7CED" w:rsidRPr="009259C5">
              <w:rPr>
                <w:sz w:val="24"/>
                <w:szCs w:val="24"/>
                <w:lang w:val="lv-LV"/>
              </w:rPr>
              <w:t xml:space="preserve"> </w:t>
            </w:r>
            <w:r w:rsidR="00A84EFE">
              <w:rPr>
                <w:sz w:val="24"/>
                <w:szCs w:val="24"/>
                <w:lang w:val="lv-LV"/>
              </w:rPr>
              <w:t>protokollēmum</w:t>
            </w:r>
            <w:r w:rsidR="00BD3E54">
              <w:rPr>
                <w:sz w:val="24"/>
                <w:szCs w:val="24"/>
                <w:lang w:val="lv-LV"/>
              </w:rPr>
              <w:t>a</w:t>
            </w:r>
            <w:r w:rsidR="00A84EFE">
              <w:rPr>
                <w:sz w:val="24"/>
                <w:szCs w:val="24"/>
                <w:lang w:val="lv-LV"/>
              </w:rPr>
              <w:t xml:space="preserve"> </w:t>
            </w:r>
            <w:r w:rsidR="00CE3BE7" w:rsidRPr="00507DE7">
              <w:rPr>
                <w:sz w:val="24"/>
                <w:szCs w:val="24"/>
                <w:lang w:val="lv-LV"/>
              </w:rPr>
              <w:t>(</w:t>
            </w:r>
            <w:proofErr w:type="spellStart"/>
            <w:r w:rsidR="00CE3BE7">
              <w:rPr>
                <w:sz w:val="24"/>
                <w:szCs w:val="24"/>
                <w:lang w:val="lv-LV"/>
              </w:rPr>
              <w:t>p</w:t>
            </w:r>
            <w:r w:rsidR="00CE3BE7" w:rsidRPr="00507DE7">
              <w:rPr>
                <w:sz w:val="24"/>
                <w:szCs w:val="24"/>
                <w:lang w:val="lv-LV"/>
              </w:rPr>
              <w:t>rot.Nr</w:t>
            </w:r>
            <w:proofErr w:type="spellEnd"/>
            <w:r w:rsidR="00CE3BE7" w:rsidRPr="00507DE7">
              <w:rPr>
                <w:sz w:val="24"/>
                <w:szCs w:val="24"/>
                <w:lang w:val="lv-LV"/>
              </w:rPr>
              <w:t>.</w:t>
            </w:r>
            <w:r w:rsidR="00D029F8">
              <w:rPr>
                <w:sz w:val="24"/>
                <w:szCs w:val="24"/>
                <w:lang w:val="lv-LV"/>
              </w:rPr>
              <w:t> </w:t>
            </w:r>
            <w:r w:rsidR="00CE3BE7" w:rsidRPr="00507DE7">
              <w:rPr>
                <w:sz w:val="24"/>
                <w:szCs w:val="24"/>
                <w:lang w:val="lv-LV"/>
              </w:rPr>
              <w:t>58; 35.</w:t>
            </w:r>
            <w:r w:rsidR="00D029F8">
              <w:rPr>
                <w:sz w:val="24"/>
                <w:szCs w:val="24"/>
                <w:lang w:val="lv-LV"/>
              </w:rPr>
              <w:t> </w:t>
            </w:r>
            <w:r w:rsidR="00CE3BE7" w:rsidRPr="00507DE7">
              <w:rPr>
                <w:sz w:val="24"/>
                <w:szCs w:val="24"/>
                <w:lang w:val="lv-LV"/>
              </w:rPr>
              <w:t>§</w:t>
            </w:r>
            <w:r w:rsidR="00CE3BE7">
              <w:rPr>
                <w:sz w:val="24"/>
                <w:szCs w:val="24"/>
                <w:lang w:val="lv-LV"/>
              </w:rPr>
              <w:t>)</w:t>
            </w:r>
            <w:r w:rsidR="00BD5BCD">
              <w:rPr>
                <w:sz w:val="24"/>
                <w:szCs w:val="24"/>
                <w:lang w:val="lv-LV"/>
              </w:rPr>
              <w:t xml:space="preserve"> 2.2.</w:t>
            </w:r>
            <w:r w:rsidR="00D029F8">
              <w:rPr>
                <w:sz w:val="24"/>
                <w:szCs w:val="24"/>
                <w:lang w:val="lv-LV"/>
              </w:rPr>
              <w:t> </w:t>
            </w:r>
            <w:r w:rsidR="00BD5BCD">
              <w:rPr>
                <w:sz w:val="24"/>
                <w:szCs w:val="24"/>
                <w:lang w:val="lv-LV"/>
              </w:rPr>
              <w:t>punkts</w:t>
            </w:r>
            <w:r w:rsidR="00CE3BE7">
              <w:rPr>
                <w:sz w:val="24"/>
                <w:szCs w:val="24"/>
                <w:lang w:val="lv-LV"/>
              </w:rPr>
              <w:t>, ar ko, iz</w:t>
            </w:r>
            <w:r w:rsidRPr="009259C5">
              <w:rPr>
                <w:sz w:val="24"/>
                <w:szCs w:val="24"/>
                <w:lang w:val="lv-LV"/>
              </w:rPr>
              <w:t>skat</w:t>
            </w:r>
            <w:r w:rsidR="00CE3BE7">
              <w:rPr>
                <w:sz w:val="24"/>
                <w:szCs w:val="24"/>
                <w:lang w:val="lv-LV"/>
              </w:rPr>
              <w:t>ot</w:t>
            </w:r>
            <w:r w:rsidRPr="009259C5">
              <w:rPr>
                <w:sz w:val="24"/>
                <w:szCs w:val="24"/>
                <w:lang w:val="lv-LV"/>
              </w:rPr>
              <w:t xml:space="preserve"> </w:t>
            </w:r>
            <w:r w:rsidR="009259C5" w:rsidRPr="009259C5">
              <w:rPr>
                <w:sz w:val="24"/>
                <w:szCs w:val="24"/>
                <w:lang w:val="lv-LV"/>
              </w:rPr>
              <w:t>Finanšu ministrijas (</w:t>
            </w:r>
            <w:r w:rsidR="009259C5">
              <w:rPr>
                <w:sz w:val="24"/>
                <w:szCs w:val="24"/>
                <w:lang w:val="lv-LV"/>
              </w:rPr>
              <w:t xml:space="preserve">turpmāk – </w:t>
            </w:r>
            <w:r w:rsidRPr="009259C5">
              <w:rPr>
                <w:sz w:val="24"/>
                <w:szCs w:val="24"/>
                <w:lang w:val="lv-LV"/>
              </w:rPr>
              <w:t>FM</w:t>
            </w:r>
            <w:r w:rsidR="009259C5">
              <w:rPr>
                <w:sz w:val="24"/>
                <w:szCs w:val="24"/>
                <w:lang w:val="lv-LV"/>
              </w:rPr>
              <w:t>)</w:t>
            </w:r>
            <w:r w:rsidRPr="009259C5">
              <w:rPr>
                <w:sz w:val="24"/>
                <w:szCs w:val="24"/>
                <w:lang w:val="lv-LV"/>
              </w:rPr>
              <w:t xml:space="preserve"> sagatavot</w:t>
            </w:r>
            <w:r w:rsidR="00CE3BE7">
              <w:rPr>
                <w:sz w:val="24"/>
                <w:szCs w:val="24"/>
                <w:lang w:val="lv-LV"/>
              </w:rPr>
              <w:t>o</w:t>
            </w:r>
            <w:r w:rsidRPr="009259C5">
              <w:rPr>
                <w:sz w:val="24"/>
                <w:szCs w:val="24"/>
                <w:lang w:val="lv-LV"/>
              </w:rPr>
              <w:t xml:space="preserve"> informatīv</w:t>
            </w:r>
            <w:r w:rsidR="00CE3BE7">
              <w:rPr>
                <w:sz w:val="24"/>
                <w:szCs w:val="24"/>
                <w:lang w:val="lv-LV"/>
              </w:rPr>
              <w:t>o</w:t>
            </w:r>
            <w:r w:rsidRPr="009259C5">
              <w:rPr>
                <w:sz w:val="24"/>
                <w:szCs w:val="24"/>
                <w:lang w:val="lv-LV"/>
              </w:rPr>
              <w:t xml:space="preserve"> ziņojum</w:t>
            </w:r>
            <w:r w:rsidR="00CE3BE7">
              <w:rPr>
                <w:sz w:val="24"/>
                <w:szCs w:val="24"/>
                <w:lang w:val="lv-LV"/>
              </w:rPr>
              <w:t>u</w:t>
            </w:r>
            <w:r w:rsidRPr="009259C5">
              <w:rPr>
                <w:sz w:val="24"/>
                <w:szCs w:val="24"/>
                <w:lang w:val="lv-LV"/>
              </w:rPr>
              <w:t xml:space="preserve"> “ES fondu atbalsta</w:t>
            </w:r>
            <w:r w:rsidRPr="00507DE7">
              <w:rPr>
                <w:sz w:val="24"/>
                <w:szCs w:val="24"/>
                <w:lang w:val="lv-LV"/>
              </w:rPr>
              <w:t xml:space="preserve"> instrumenta izstrāde MVU finansējuma piesaistei kapitāla tirgos” </w:t>
            </w:r>
            <w:r w:rsidR="00B268DF">
              <w:rPr>
                <w:sz w:val="24"/>
                <w:szCs w:val="24"/>
                <w:lang w:val="lv-LV"/>
              </w:rPr>
              <w:t>(</w:t>
            </w:r>
            <w:r w:rsidRPr="00507DE7">
              <w:rPr>
                <w:sz w:val="24"/>
                <w:szCs w:val="24"/>
                <w:lang w:val="lv-LV"/>
              </w:rPr>
              <w:t>TA-2409)</w:t>
            </w:r>
            <w:r w:rsidR="002D3250">
              <w:rPr>
                <w:rStyle w:val="FootnoteReference"/>
                <w:sz w:val="24"/>
                <w:szCs w:val="24"/>
                <w:lang w:val="lv-LV"/>
              </w:rPr>
              <w:footnoteReference w:id="2"/>
            </w:r>
            <w:r w:rsidR="00493E38">
              <w:rPr>
                <w:sz w:val="24"/>
                <w:szCs w:val="24"/>
                <w:lang w:val="lv-LV"/>
              </w:rPr>
              <w:t xml:space="preserve"> (turpmāk – informatīvais ziņojums)</w:t>
            </w:r>
            <w:r w:rsidRPr="00507DE7">
              <w:rPr>
                <w:sz w:val="24"/>
                <w:szCs w:val="24"/>
                <w:lang w:val="lv-LV"/>
              </w:rPr>
              <w:t xml:space="preserve">, </w:t>
            </w:r>
            <w:r w:rsidR="00B268DF">
              <w:rPr>
                <w:sz w:val="24"/>
                <w:szCs w:val="24"/>
                <w:lang w:val="lv-LV"/>
              </w:rPr>
              <w:t xml:space="preserve">tika </w:t>
            </w:r>
            <w:r w:rsidRPr="00507DE7">
              <w:rPr>
                <w:sz w:val="24"/>
                <w:szCs w:val="24"/>
                <w:lang w:val="lv-LV"/>
              </w:rPr>
              <w:t>uzd</w:t>
            </w:r>
            <w:r w:rsidR="00B268DF">
              <w:rPr>
                <w:sz w:val="24"/>
                <w:szCs w:val="24"/>
                <w:lang w:val="lv-LV"/>
              </w:rPr>
              <w:t xml:space="preserve">ots </w:t>
            </w:r>
            <w:r w:rsidR="009B1C11">
              <w:rPr>
                <w:sz w:val="24"/>
                <w:szCs w:val="24"/>
                <w:lang w:val="lv-LV"/>
              </w:rPr>
              <w:t>Ekonomikas ministrijai (</w:t>
            </w:r>
            <w:r w:rsidRPr="00507DE7">
              <w:rPr>
                <w:sz w:val="24"/>
                <w:szCs w:val="24"/>
                <w:lang w:val="lv-LV"/>
              </w:rPr>
              <w:t>EM</w:t>
            </w:r>
            <w:r w:rsidR="009B1C11">
              <w:rPr>
                <w:sz w:val="24"/>
                <w:szCs w:val="24"/>
                <w:lang w:val="lv-LV"/>
              </w:rPr>
              <w:t>)</w:t>
            </w:r>
            <w:r w:rsidRPr="00507DE7">
              <w:rPr>
                <w:sz w:val="24"/>
                <w:szCs w:val="24"/>
                <w:lang w:val="lv-LV"/>
              </w:rPr>
              <w:t xml:space="preserve"> </w:t>
            </w:r>
            <w:r w:rsidR="00821F90">
              <w:rPr>
                <w:sz w:val="24"/>
                <w:szCs w:val="24"/>
                <w:lang w:val="lv-LV"/>
              </w:rPr>
              <w:t xml:space="preserve">sadarbībā ar FM </w:t>
            </w:r>
            <w:r w:rsidRPr="00507DE7">
              <w:rPr>
                <w:sz w:val="24"/>
                <w:szCs w:val="24"/>
                <w:lang w:val="lv-LV"/>
              </w:rPr>
              <w:t xml:space="preserve">līdz </w:t>
            </w:r>
            <w:r w:rsidRPr="003819FC">
              <w:rPr>
                <w:sz w:val="24"/>
                <w:szCs w:val="24"/>
                <w:lang w:val="lv-LV"/>
              </w:rPr>
              <w:t>2019.</w:t>
            </w:r>
            <w:r w:rsidR="005540AB" w:rsidRPr="003819FC">
              <w:rPr>
                <w:sz w:val="24"/>
                <w:szCs w:val="24"/>
                <w:lang w:val="lv-LV"/>
              </w:rPr>
              <w:t> </w:t>
            </w:r>
            <w:r w:rsidRPr="003819FC">
              <w:rPr>
                <w:sz w:val="24"/>
                <w:szCs w:val="24"/>
                <w:lang w:val="lv-LV"/>
              </w:rPr>
              <w:t>gada 15.</w:t>
            </w:r>
            <w:r w:rsidR="005540AB" w:rsidRPr="003819FC">
              <w:rPr>
                <w:sz w:val="24"/>
                <w:szCs w:val="24"/>
                <w:lang w:val="lv-LV"/>
              </w:rPr>
              <w:t> </w:t>
            </w:r>
            <w:r w:rsidRPr="003819FC">
              <w:rPr>
                <w:sz w:val="24"/>
                <w:szCs w:val="24"/>
                <w:lang w:val="lv-LV"/>
              </w:rPr>
              <w:t>decembrim iesniegt Ministru kabinetā specifiskā atbalsta mērķa īstenošanas noteikumus, projektu vērtēšanas kritērijus, kritēriju piemērošanas metodiku un sākotnējo novērtējumu</w:t>
            </w:r>
            <w:r w:rsidR="002F227A" w:rsidRPr="003819FC">
              <w:rPr>
                <w:sz w:val="24"/>
                <w:szCs w:val="24"/>
                <w:lang w:val="lv-LV"/>
              </w:rPr>
              <w:t xml:space="preserve">, un iesniegt Ministru kabinetā specifiskā atbalsta mērķa īstenošanas noteikumus, izpildot ar Ministru kabineta 2017.gada 21.marta rīkojumu Nr.126 </w:t>
            </w:r>
            <w:r w:rsidR="00F438F2">
              <w:rPr>
                <w:sz w:val="24"/>
                <w:szCs w:val="24"/>
                <w:lang w:val="lv-LV"/>
              </w:rPr>
              <w:t>“</w:t>
            </w:r>
            <w:r w:rsidR="002F227A" w:rsidRPr="003819FC">
              <w:rPr>
                <w:sz w:val="24"/>
                <w:szCs w:val="24"/>
                <w:lang w:val="lv-LV"/>
              </w:rPr>
              <w:t>Par Finanšu sektora attīstības plānu 2017.–2019.gadam</w:t>
            </w:r>
            <w:r w:rsidR="00F438F2">
              <w:rPr>
                <w:sz w:val="24"/>
                <w:szCs w:val="24"/>
                <w:lang w:val="lv-LV"/>
              </w:rPr>
              <w:t>”</w:t>
            </w:r>
            <w:r w:rsidR="002F227A" w:rsidRPr="003819FC">
              <w:rPr>
                <w:sz w:val="24"/>
                <w:szCs w:val="24"/>
                <w:lang w:val="lv-LV"/>
              </w:rPr>
              <w:t xml:space="preserve"> apstiprinātā Finanšu sektora attīstības plāna 2017.-2019.gadam 3.1.1.apakšpunktā noteikto uzdevumu</w:t>
            </w:r>
            <w:r w:rsidRPr="003819FC">
              <w:rPr>
                <w:sz w:val="24"/>
                <w:szCs w:val="24"/>
                <w:lang w:val="lv-LV"/>
              </w:rPr>
              <w:t>.</w:t>
            </w:r>
          </w:p>
        </w:tc>
      </w:tr>
      <w:tr w:rsidR="0032285D" w:rsidRPr="00507DE7" w14:paraId="62EDED08" w14:textId="77777777" w:rsidTr="00C414AE">
        <w:trPr>
          <w:trHeight w:val="465"/>
        </w:trPr>
        <w:tc>
          <w:tcPr>
            <w:tcW w:w="413" w:type="dxa"/>
            <w:gridSpan w:val="2"/>
            <w:tcBorders>
              <w:top w:val="outset" w:sz="6" w:space="0" w:color="414142"/>
              <w:left w:val="outset" w:sz="6" w:space="0" w:color="414142"/>
              <w:bottom w:val="outset" w:sz="6" w:space="0" w:color="414142"/>
              <w:right w:val="outset" w:sz="6" w:space="0" w:color="414142"/>
            </w:tcBorders>
            <w:hideMark/>
          </w:tcPr>
          <w:p w14:paraId="304587A4" w14:textId="77777777" w:rsidR="0032285D" w:rsidRPr="00507DE7" w:rsidRDefault="0032285D" w:rsidP="000141AD">
            <w:pPr>
              <w:contextualSpacing/>
              <w:rPr>
                <w:rFonts w:eastAsia="Times New Roman"/>
                <w:sz w:val="24"/>
                <w:szCs w:val="24"/>
                <w:lang w:val="lv-LV" w:eastAsia="lv-LV"/>
              </w:rPr>
            </w:pPr>
            <w:r w:rsidRPr="00507DE7">
              <w:rPr>
                <w:rFonts w:eastAsia="Times New Roman"/>
                <w:color w:val="000000"/>
                <w:sz w:val="24"/>
                <w:szCs w:val="24"/>
                <w:lang w:val="lv-LV" w:eastAsia="lv-LV"/>
              </w:rPr>
              <w:t>2.</w:t>
            </w:r>
          </w:p>
        </w:tc>
        <w:tc>
          <w:tcPr>
            <w:tcW w:w="2164" w:type="dxa"/>
            <w:tcBorders>
              <w:top w:val="outset" w:sz="6" w:space="0" w:color="414142"/>
              <w:left w:val="outset" w:sz="6" w:space="0" w:color="414142"/>
              <w:bottom w:val="outset" w:sz="6" w:space="0" w:color="414142"/>
              <w:right w:val="outset" w:sz="6" w:space="0" w:color="414142"/>
            </w:tcBorders>
            <w:hideMark/>
          </w:tcPr>
          <w:p w14:paraId="40AD4671" w14:textId="6C2B1742" w:rsidR="0032285D" w:rsidRPr="00507DE7" w:rsidRDefault="0032285D" w:rsidP="000141AD">
            <w:pPr>
              <w:contextualSpacing/>
              <w:rPr>
                <w:rFonts w:eastAsia="Times New Roman"/>
                <w:sz w:val="24"/>
                <w:szCs w:val="24"/>
                <w:lang w:val="lv-LV" w:eastAsia="lv-LV"/>
              </w:rPr>
            </w:pPr>
            <w:r w:rsidRPr="00507DE7">
              <w:rPr>
                <w:rFonts w:eastAsia="Times New Roman"/>
                <w:color w:val="000000"/>
                <w:sz w:val="24"/>
                <w:szCs w:val="24"/>
                <w:lang w:val="lv-LV" w:eastAsia="lv-LV"/>
              </w:rPr>
              <w:t>Pašreizējā situācija un problēmas, kuru risināšanai tiesību akta projekts izstrādāts, tiesiskā regulējuma mērķis un būtība</w:t>
            </w:r>
          </w:p>
        </w:tc>
        <w:tc>
          <w:tcPr>
            <w:tcW w:w="6629" w:type="dxa"/>
            <w:tcBorders>
              <w:top w:val="outset" w:sz="6" w:space="0" w:color="414142"/>
              <w:left w:val="outset" w:sz="6" w:space="0" w:color="414142"/>
              <w:bottom w:val="outset" w:sz="6" w:space="0" w:color="414142"/>
              <w:right w:val="outset" w:sz="6" w:space="0" w:color="414142"/>
            </w:tcBorders>
          </w:tcPr>
          <w:p w14:paraId="37B02D8E" w14:textId="6C0F6BAC" w:rsidR="009C3B76" w:rsidRPr="00507DE7" w:rsidRDefault="009C3B76" w:rsidP="0041027F">
            <w:pPr>
              <w:contextualSpacing/>
              <w:jc w:val="both"/>
              <w:rPr>
                <w:sz w:val="24"/>
                <w:szCs w:val="24"/>
                <w:lang w:val="lv-LV"/>
              </w:rPr>
            </w:pPr>
            <w:r w:rsidRPr="00507DE7">
              <w:rPr>
                <w:sz w:val="24"/>
                <w:szCs w:val="24"/>
                <w:lang w:val="lv-LV"/>
              </w:rPr>
              <w:t xml:space="preserve">Latvijas kapitāla tirgus ir viens no vismazāk attīstītajiem kapitāla tirgiem </w:t>
            </w:r>
            <w:r w:rsidR="00FF4471">
              <w:rPr>
                <w:sz w:val="24"/>
                <w:szCs w:val="24"/>
                <w:lang w:val="lv-LV"/>
              </w:rPr>
              <w:t xml:space="preserve">Eiropas Savienībā (turpmāk – </w:t>
            </w:r>
            <w:r w:rsidRPr="00507DE7">
              <w:rPr>
                <w:sz w:val="24"/>
                <w:szCs w:val="24"/>
                <w:lang w:val="lv-LV"/>
              </w:rPr>
              <w:t>ES</w:t>
            </w:r>
            <w:r w:rsidR="00FF4471">
              <w:rPr>
                <w:sz w:val="24"/>
                <w:szCs w:val="24"/>
                <w:lang w:val="lv-LV"/>
              </w:rPr>
              <w:t>)</w:t>
            </w:r>
            <w:r w:rsidRPr="00507DE7">
              <w:rPr>
                <w:sz w:val="24"/>
                <w:szCs w:val="24"/>
                <w:lang w:val="lv-LV"/>
              </w:rPr>
              <w:t xml:space="preserve">, kamēr Ziemeļvalstīs </w:t>
            </w:r>
            <w:r w:rsidR="007C2DA6">
              <w:rPr>
                <w:sz w:val="24"/>
                <w:szCs w:val="24"/>
                <w:lang w:val="lv-LV"/>
              </w:rPr>
              <w:t>–</w:t>
            </w:r>
            <w:r w:rsidRPr="00507DE7">
              <w:rPr>
                <w:sz w:val="24"/>
                <w:szCs w:val="24"/>
                <w:lang w:val="lv-LV"/>
              </w:rPr>
              <w:t xml:space="preserve"> viens</w:t>
            </w:r>
            <w:r w:rsidR="007C2DA6">
              <w:rPr>
                <w:sz w:val="24"/>
                <w:szCs w:val="24"/>
                <w:lang w:val="lv-LV"/>
              </w:rPr>
              <w:t xml:space="preserve"> </w:t>
            </w:r>
            <w:r w:rsidRPr="00507DE7">
              <w:rPr>
                <w:sz w:val="24"/>
                <w:szCs w:val="24"/>
                <w:lang w:val="lv-LV"/>
              </w:rPr>
              <w:t xml:space="preserve">no attīstītākajiem pasaulē. Šobrīd akciju tirgus lielums (tirgus kapitalizācija) attiecībā pret kopējo ekonomikas lielumu ir salīdzinoši mazs. </w:t>
            </w:r>
            <w:r w:rsidRPr="00507DE7">
              <w:rPr>
                <w:b/>
                <w:sz w:val="24"/>
                <w:szCs w:val="24"/>
                <w:lang w:val="lv-LV"/>
              </w:rPr>
              <w:t>Latvijas tirgus kapitalizācija 2017.gadā sasniedza tikai 4,6%</w:t>
            </w:r>
            <w:r w:rsidRPr="00507DE7">
              <w:rPr>
                <w:sz w:val="24"/>
                <w:szCs w:val="24"/>
                <w:lang w:val="lv-LV"/>
              </w:rPr>
              <w:t xml:space="preserve"> no iekšzemes kopprodukta (turpmāk – IKP), kas ir būtiski zem ES vidējā rādītāja </w:t>
            </w:r>
            <w:r w:rsidR="00A3079E">
              <w:rPr>
                <w:sz w:val="24"/>
                <w:szCs w:val="24"/>
                <w:lang w:val="lv-LV"/>
              </w:rPr>
              <w:t>–</w:t>
            </w:r>
            <w:r w:rsidRPr="00507DE7">
              <w:rPr>
                <w:sz w:val="24"/>
                <w:szCs w:val="24"/>
                <w:lang w:val="lv-LV"/>
              </w:rPr>
              <w:t xml:space="preserve"> 77,9%, savukārt kaimiņvalstīs Igaunijā un Lietuvā šie rādītāji ir attiecīgi 11,2% un 9,0%</w:t>
            </w:r>
            <w:r w:rsidRPr="00507DE7">
              <w:rPr>
                <w:rStyle w:val="FootnoteReference"/>
                <w:sz w:val="24"/>
                <w:szCs w:val="24"/>
                <w:lang w:val="lv-LV"/>
              </w:rPr>
              <w:footnoteReference w:id="3"/>
            </w:r>
            <w:r w:rsidRPr="00507DE7">
              <w:rPr>
                <w:sz w:val="24"/>
                <w:szCs w:val="24"/>
                <w:lang w:val="lv-LV"/>
              </w:rPr>
              <w:t>.</w:t>
            </w:r>
            <w:r w:rsidR="00A77F8F">
              <w:rPr>
                <w:sz w:val="24"/>
                <w:szCs w:val="24"/>
                <w:lang w:val="lv-LV"/>
              </w:rPr>
              <w:t xml:space="preserve"> </w:t>
            </w:r>
            <w:r w:rsidRPr="00507DE7">
              <w:rPr>
                <w:sz w:val="24"/>
                <w:szCs w:val="24"/>
                <w:lang w:val="lv-LV"/>
              </w:rPr>
              <w:t>Tajā pašā laikā</w:t>
            </w:r>
            <w:r w:rsidR="00551BEC">
              <w:rPr>
                <w:sz w:val="24"/>
                <w:szCs w:val="24"/>
                <w:lang w:val="lv-LV"/>
              </w:rPr>
              <w:t>,</w:t>
            </w:r>
            <w:r w:rsidRPr="00507DE7">
              <w:rPr>
                <w:sz w:val="24"/>
                <w:szCs w:val="24"/>
                <w:lang w:val="lv-LV"/>
              </w:rPr>
              <w:t xml:space="preserve"> 25% no Latvijas MVU norāda, ka būtu gatavi finansējuma piesaistei kapitāla tirgos, lai varētu sekmēt to izaugsmes iespējas</w:t>
            </w:r>
            <w:r w:rsidRPr="00507DE7">
              <w:rPr>
                <w:rStyle w:val="FootnoteReference"/>
                <w:sz w:val="24"/>
                <w:szCs w:val="24"/>
                <w:lang w:val="lv-LV"/>
              </w:rPr>
              <w:footnoteReference w:id="4"/>
            </w:r>
            <w:r w:rsidRPr="00507DE7">
              <w:rPr>
                <w:sz w:val="24"/>
                <w:szCs w:val="24"/>
                <w:lang w:val="lv-LV"/>
              </w:rPr>
              <w:t>. Atbilstoši “</w:t>
            </w:r>
            <w:proofErr w:type="spellStart"/>
            <w:r w:rsidRPr="00507DE7">
              <w:rPr>
                <w:sz w:val="24"/>
                <w:szCs w:val="24"/>
                <w:lang w:val="lv-LV"/>
              </w:rPr>
              <w:t>Nasdaq</w:t>
            </w:r>
            <w:proofErr w:type="spellEnd"/>
            <w:r w:rsidRPr="00507DE7">
              <w:rPr>
                <w:sz w:val="24"/>
                <w:szCs w:val="24"/>
                <w:lang w:val="lv-LV"/>
              </w:rPr>
              <w:t xml:space="preserve"> </w:t>
            </w:r>
            <w:proofErr w:type="spellStart"/>
            <w:r w:rsidRPr="00507DE7">
              <w:rPr>
                <w:sz w:val="24"/>
                <w:szCs w:val="24"/>
                <w:lang w:val="lv-LV"/>
              </w:rPr>
              <w:t>Riga</w:t>
            </w:r>
            <w:proofErr w:type="spellEnd"/>
            <w:r w:rsidRPr="00507DE7">
              <w:rPr>
                <w:sz w:val="24"/>
                <w:szCs w:val="24"/>
                <w:lang w:val="lv-LV"/>
              </w:rPr>
              <w:t>” sniegtajai informācijai</w:t>
            </w:r>
            <w:r w:rsidR="00DD16E0">
              <w:rPr>
                <w:sz w:val="24"/>
                <w:szCs w:val="24"/>
                <w:lang w:val="lv-LV"/>
              </w:rPr>
              <w:t>,</w:t>
            </w:r>
            <w:r w:rsidRPr="00507DE7">
              <w:rPr>
                <w:sz w:val="24"/>
                <w:szCs w:val="24"/>
                <w:lang w:val="lv-LV"/>
              </w:rPr>
              <w:t xml:space="preserve"> tiek prognozēts, ka </w:t>
            </w:r>
            <w:r w:rsidRPr="00507DE7">
              <w:rPr>
                <w:sz w:val="24"/>
                <w:szCs w:val="24"/>
                <w:lang w:val="lv-LV"/>
              </w:rPr>
              <w:lastRenderedPageBreak/>
              <w:t>nāk</w:t>
            </w:r>
            <w:r w:rsidR="00DD16E0">
              <w:rPr>
                <w:sz w:val="24"/>
                <w:szCs w:val="24"/>
                <w:lang w:val="lv-LV"/>
              </w:rPr>
              <w:t>amo</w:t>
            </w:r>
            <w:r w:rsidRPr="00507DE7">
              <w:rPr>
                <w:sz w:val="24"/>
                <w:szCs w:val="24"/>
                <w:lang w:val="lv-LV"/>
              </w:rPr>
              <w:t xml:space="preserve"> 2-3 gadu laikā vismaz 10 uzņēmumi varētu kotēt akcijas biržā.</w:t>
            </w:r>
          </w:p>
          <w:p w14:paraId="4B8C9A7C" w14:textId="77777777" w:rsidR="00BF1030" w:rsidRDefault="00BF1030" w:rsidP="00BF1030">
            <w:pPr>
              <w:contextualSpacing/>
              <w:jc w:val="both"/>
              <w:rPr>
                <w:sz w:val="24"/>
                <w:szCs w:val="24"/>
                <w:lang w:val="lv-LV"/>
              </w:rPr>
            </w:pPr>
          </w:p>
          <w:p w14:paraId="7CD06943" w14:textId="42E03119" w:rsidR="009C3B76" w:rsidRDefault="009C3B76" w:rsidP="00AE479D">
            <w:pPr>
              <w:ind w:firstLine="304"/>
              <w:contextualSpacing/>
              <w:jc w:val="both"/>
              <w:rPr>
                <w:sz w:val="24"/>
                <w:szCs w:val="24"/>
                <w:lang w:val="lv-LV"/>
              </w:rPr>
            </w:pPr>
            <w:r w:rsidRPr="00507DE7">
              <w:rPr>
                <w:sz w:val="24"/>
                <w:szCs w:val="24"/>
                <w:lang w:val="lv-LV"/>
              </w:rPr>
              <w:t>Biržas “</w:t>
            </w:r>
            <w:proofErr w:type="spellStart"/>
            <w:r w:rsidRPr="00507DE7">
              <w:rPr>
                <w:sz w:val="24"/>
                <w:szCs w:val="24"/>
                <w:lang w:val="lv-LV"/>
              </w:rPr>
              <w:t>Nasdaq</w:t>
            </w:r>
            <w:proofErr w:type="spellEnd"/>
            <w:r w:rsidRPr="00507DE7">
              <w:rPr>
                <w:sz w:val="24"/>
                <w:szCs w:val="24"/>
                <w:lang w:val="lv-LV"/>
              </w:rPr>
              <w:t xml:space="preserve"> </w:t>
            </w:r>
            <w:proofErr w:type="spellStart"/>
            <w:r w:rsidRPr="00507DE7">
              <w:rPr>
                <w:sz w:val="24"/>
                <w:szCs w:val="24"/>
                <w:lang w:val="lv-LV"/>
              </w:rPr>
              <w:t>Riga</w:t>
            </w:r>
            <w:proofErr w:type="spellEnd"/>
            <w:r w:rsidRPr="00507DE7">
              <w:rPr>
                <w:sz w:val="24"/>
                <w:szCs w:val="24"/>
                <w:lang w:val="lv-LV"/>
              </w:rPr>
              <w:t xml:space="preserve">” Baltijas Oficiālajā sarakstā šobrīd ir iekļautas tikai četru Latvijas uzņēmumu akcijas un vēl trīs uzņēmumu akcijas tiek tirgotas Baltijas Alternatīvajā tirgū </w:t>
            </w:r>
            <w:r w:rsidRPr="00193168">
              <w:rPr>
                <w:i/>
                <w:sz w:val="24"/>
                <w:szCs w:val="24"/>
                <w:lang w:val="lv-LV"/>
              </w:rPr>
              <w:t>First North</w:t>
            </w:r>
            <w:r w:rsidRPr="00507DE7">
              <w:rPr>
                <w:sz w:val="24"/>
                <w:szCs w:val="24"/>
                <w:lang w:val="lv-LV"/>
              </w:rPr>
              <w:t>. Salīdzinājumam</w:t>
            </w:r>
            <w:r w:rsidR="00193168">
              <w:rPr>
                <w:sz w:val="24"/>
                <w:szCs w:val="24"/>
                <w:lang w:val="lv-LV"/>
              </w:rPr>
              <w:t>,</w:t>
            </w:r>
            <w:r w:rsidRPr="00507DE7">
              <w:rPr>
                <w:sz w:val="24"/>
                <w:szCs w:val="24"/>
                <w:lang w:val="lv-LV"/>
              </w:rPr>
              <w:t xml:space="preserve"> Baltijas Oficiālajā sarakstā ir iekļautas 15 Igaunijas un 13 Lietuvas uzņēmumu akcijas.</w:t>
            </w:r>
          </w:p>
          <w:p w14:paraId="3EAA0247" w14:textId="77777777" w:rsidR="00AD375A" w:rsidRPr="00507DE7" w:rsidRDefault="00AD375A" w:rsidP="00AD375A">
            <w:pPr>
              <w:contextualSpacing/>
              <w:jc w:val="both"/>
              <w:rPr>
                <w:sz w:val="24"/>
                <w:szCs w:val="24"/>
                <w:lang w:val="lv-LV"/>
              </w:rPr>
            </w:pPr>
          </w:p>
          <w:p w14:paraId="626336E2" w14:textId="32B69BCA" w:rsidR="009C3B76" w:rsidRPr="00A14826" w:rsidRDefault="00493E38" w:rsidP="000141AD">
            <w:pPr>
              <w:ind w:firstLine="304"/>
              <w:contextualSpacing/>
              <w:jc w:val="both"/>
              <w:rPr>
                <w:sz w:val="24"/>
                <w:szCs w:val="24"/>
                <w:lang w:val="lv-LV"/>
              </w:rPr>
            </w:pPr>
            <w:r w:rsidRPr="00A14826">
              <w:rPr>
                <w:sz w:val="24"/>
                <w:szCs w:val="24"/>
                <w:lang w:val="lv-LV"/>
              </w:rPr>
              <w:t>Finanšu ministrija informatīvajā ziņojumā atsaucās uz</w:t>
            </w:r>
            <w:r w:rsidR="00055D7A" w:rsidRPr="00A14826">
              <w:rPr>
                <w:sz w:val="24"/>
                <w:szCs w:val="24"/>
                <w:lang w:val="lv-LV"/>
              </w:rPr>
              <w:t xml:space="preserve"> 2018.gada 30.jūlija</w:t>
            </w:r>
            <w:r w:rsidR="00637098" w:rsidRPr="00A14826">
              <w:rPr>
                <w:sz w:val="24"/>
                <w:szCs w:val="24"/>
                <w:lang w:val="lv-LV"/>
              </w:rPr>
              <w:t xml:space="preserve"> </w:t>
            </w:r>
            <w:r w:rsidR="00055D7A" w:rsidRPr="00A14826">
              <w:rPr>
                <w:sz w:val="24"/>
                <w:szCs w:val="24"/>
                <w:lang w:val="lv-LV"/>
              </w:rPr>
              <w:t>Eiropas Rekonstrukcijas un attīstības bankas</w:t>
            </w:r>
            <w:r w:rsidR="00637098" w:rsidRPr="00A14826">
              <w:rPr>
                <w:sz w:val="24"/>
                <w:szCs w:val="24"/>
                <w:lang w:val="lv-LV"/>
              </w:rPr>
              <w:t xml:space="preserve"> </w:t>
            </w:r>
            <w:r w:rsidR="002F4425">
              <w:rPr>
                <w:sz w:val="24"/>
                <w:szCs w:val="24"/>
                <w:lang w:val="lv-LV"/>
              </w:rPr>
              <w:t xml:space="preserve">(turpmāk – ERAF) </w:t>
            </w:r>
            <w:r w:rsidR="00637098" w:rsidRPr="00A14826">
              <w:rPr>
                <w:sz w:val="24"/>
                <w:szCs w:val="24"/>
                <w:lang w:val="lv-LV"/>
              </w:rPr>
              <w:t xml:space="preserve">konceptuālo ziņojumu </w:t>
            </w:r>
            <w:r w:rsidR="00055D7A" w:rsidRPr="00A14826">
              <w:rPr>
                <w:rFonts w:eastAsia="Times New Roman"/>
                <w:sz w:val="24"/>
                <w:szCs w:val="24"/>
                <w:lang w:val="lv-LV" w:eastAsia="lv-LV"/>
              </w:rPr>
              <w:t xml:space="preserve">“ES Struktūrfondu atbalsta instrumenta izstrāde Mazo un vidējo uzņēmumu (turpmāk – MVU) finansējuma piesaistei kapitāla tirgos” (turpmāk </w:t>
            </w:r>
            <w:r w:rsidR="00C10BE0">
              <w:rPr>
                <w:rFonts w:eastAsia="Times New Roman"/>
                <w:sz w:val="24"/>
                <w:szCs w:val="24"/>
                <w:lang w:val="lv-LV" w:eastAsia="lv-LV"/>
              </w:rPr>
              <w:t xml:space="preserve">– </w:t>
            </w:r>
            <w:r w:rsidR="00055D7A" w:rsidRPr="00A14826">
              <w:rPr>
                <w:rFonts w:eastAsia="Times New Roman"/>
                <w:sz w:val="24"/>
                <w:szCs w:val="24"/>
                <w:lang w:val="lv-LV" w:eastAsia="lv-LV"/>
              </w:rPr>
              <w:t>projekta</w:t>
            </w:r>
            <w:r w:rsidR="00C10BE0">
              <w:rPr>
                <w:rFonts w:eastAsia="Times New Roman"/>
                <w:sz w:val="24"/>
                <w:szCs w:val="24"/>
                <w:lang w:val="lv-LV" w:eastAsia="lv-LV"/>
              </w:rPr>
              <w:t xml:space="preserve"> </w:t>
            </w:r>
            <w:r w:rsidR="00055D7A" w:rsidRPr="00A14826">
              <w:rPr>
                <w:rFonts w:eastAsia="Times New Roman"/>
                <w:sz w:val="24"/>
                <w:szCs w:val="24"/>
                <w:lang w:val="lv-LV" w:eastAsia="lv-LV"/>
              </w:rPr>
              <w:t>konceptuālais ziņojums)</w:t>
            </w:r>
            <w:r w:rsidR="00637098" w:rsidRPr="00A14826">
              <w:rPr>
                <w:rStyle w:val="FootnoteReference"/>
                <w:rFonts w:eastAsia="Times New Roman"/>
                <w:sz w:val="24"/>
                <w:szCs w:val="24"/>
                <w:lang w:val="lv-LV" w:eastAsia="lv-LV"/>
              </w:rPr>
              <w:footnoteReference w:id="5"/>
            </w:r>
            <w:r w:rsidR="00055D7A" w:rsidRPr="00A14826">
              <w:rPr>
                <w:rFonts w:eastAsia="Times New Roman"/>
                <w:sz w:val="24"/>
                <w:szCs w:val="24"/>
                <w:lang w:val="lv-LV" w:eastAsia="lv-LV"/>
              </w:rPr>
              <w:t xml:space="preserve"> </w:t>
            </w:r>
            <w:r w:rsidRPr="00A14826">
              <w:rPr>
                <w:sz w:val="24"/>
                <w:szCs w:val="24"/>
                <w:lang w:val="lv-LV"/>
              </w:rPr>
              <w:t>konceptuālo ziņojumu</w:t>
            </w:r>
            <w:r w:rsidRPr="00A14826">
              <w:rPr>
                <w:rStyle w:val="FootnoteReference"/>
                <w:sz w:val="24"/>
                <w:szCs w:val="24"/>
                <w:lang w:val="lv-LV"/>
              </w:rPr>
              <w:footnoteReference w:id="6"/>
            </w:r>
            <w:r w:rsidR="00055D7A" w:rsidRPr="00A14826">
              <w:rPr>
                <w:sz w:val="24"/>
                <w:szCs w:val="24"/>
                <w:lang w:val="lv-LV"/>
              </w:rPr>
              <w:t>, kurā</w:t>
            </w:r>
            <w:r w:rsidRPr="00A14826">
              <w:rPr>
                <w:sz w:val="24"/>
                <w:szCs w:val="24"/>
                <w:lang w:val="lv-LV"/>
              </w:rPr>
              <w:t xml:space="preserve"> </w:t>
            </w:r>
            <w:r w:rsidR="00A14826">
              <w:rPr>
                <w:sz w:val="24"/>
                <w:szCs w:val="24"/>
                <w:lang w:val="lv-LV"/>
              </w:rPr>
              <w:t>t</w:t>
            </w:r>
            <w:r w:rsidR="00193168" w:rsidRPr="00A14826">
              <w:rPr>
                <w:sz w:val="24"/>
                <w:szCs w:val="24"/>
                <w:lang w:val="lv-LV"/>
              </w:rPr>
              <w:t>iek</w:t>
            </w:r>
            <w:r w:rsidR="009C3B76" w:rsidRPr="00A14826">
              <w:rPr>
                <w:sz w:val="24"/>
                <w:szCs w:val="24"/>
                <w:lang w:val="lv-LV"/>
              </w:rPr>
              <w:t xml:space="preserve"> identificē</w:t>
            </w:r>
            <w:r w:rsidR="00193168" w:rsidRPr="00A14826">
              <w:rPr>
                <w:sz w:val="24"/>
                <w:szCs w:val="24"/>
                <w:lang w:val="lv-LV"/>
              </w:rPr>
              <w:t>ti</w:t>
            </w:r>
            <w:r w:rsidR="009C3B76" w:rsidRPr="00A14826">
              <w:rPr>
                <w:sz w:val="24"/>
                <w:szCs w:val="24"/>
                <w:lang w:val="lv-LV"/>
              </w:rPr>
              <w:t xml:space="preserve"> vairāk</w:t>
            </w:r>
            <w:r w:rsidR="00193168" w:rsidRPr="00A14826">
              <w:rPr>
                <w:sz w:val="24"/>
                <w:szCs w:val="24"/>
                <w:lang w:val="lv-LV"/>
              </w:rPr>
              <w:t>i</w:t>
            </w:r>
            <w:r w:rsidR="009C3B76" w:rsidRPr="00A14826">
              <w:rPr>
                <w:sz w:val="24"/>
                <w:szCs w:val="24"/>
                <w:lang w:val="lv-LV"/>
              </w:rPr>
              <w:t xml:space="preserve"> iemesl</w:t>
            </w:r>
            <w:r w:rsidR="00193168" w:rsidRPr="00A14826">
              <w:rPr>
                <w:sz w:val="24"/>
                <w:szCs w:val="24"/>
                <w:lang w:val="lv-LV"/>
              </w:rPr>
              <w:t>i</w:t>
            </w:r>
            <w:r w:rsidR="009C3B76" w:rsidRPr="00A14826">
              <w:rPr>
                <w:sz w:val="24"/>
                <w:szCs w:val="24"/>
                <w:lang w:val="lv-LV"/>
              </w:rPr>
              <w:t>, kas kavē strauji augošu uzņēmumu kotāciju biržā:</w:t>
            </w:r>
          </w:p>
          <w:p w14:paraId="133D6C92" w14:textId="1D3C03CA" w:rsidR="009C3B76" w:rsidRPr="000141AD" w:rsidRDefault="000141AD" w:rsidP="00231FF2">
            <w:pPr>
              <w:ind w:left="729" w:hanging="425"/>
              <w:jc w:val="both"/>
              <w:rPr>
                <w:sz w:val="24"/>
                <w:szCs w:val="24"/>
                <w:lang w:val="lv-LV"/>
              </w:rPr>
            </w:pPr>
            <w:r>
              <w:rPr>
                <w:sz w:val="24"/>
                <w:szCs w:val="24"/>
                <w:lang w:val="lv-LV"/>
              </w:rPr>
              <w:t>1)</w:t>
            </w:r>
            <w:r w:rsidRPr="00507DE7">
              <w:rPr>
                <w:sz w:val="24"/>
                <w:szCs w:val="24"/>
                <w:lang w:val="lv-LV"/>
              </w:rPr>
              <w:tab/>
            </w:r>
            <w:r w:rsidR="009C3B76" w:rsidRPr="000141AD">
              <w:rPr>
                <w:b/>
                <w:sz w:val="24"/>
                <w:szCs w:val="24"/>
                <w:lang w:val="lv-LV"/>
              </w:rPr>
              <w:t>Augstas izmaksas</w:t>
            </w:r>
            <w:r w:rsidR="009C3B76" w:rsidRPr="000141AD">
              <w:rPr>
                <w:sz w:val="24"/>
                <w:szCs w:val="24"/>
                <w:lang w:val="lv-LV"/>
              </w:rPr>
              <w:t>, lai uzsāktu akciju kotēšanu biržā. Zemais pieprasījums un ierobežotā pieredze konsultāciju tirgū sadārdzina sagatavošanos sākotnējam publiskajam piedāvājumam (turpmāk starptautiskais saīsinājums - “IPO”). Konceptuālajā ziņojumā analizētas akciju un parādu vērtspapīru emisijas nepieciešamās izmaksas - uzņēmumu padziļināto izpētes (</w:t>
            </w:r>
            <w:proofErr w:type="spellStart"/>
            <w:r w:rsidR="009C3B76" w:rsidRPr="000141AD">
              <w:rPr>
                <w:i/>
                <w:sz w:val="24"/>
                <w:szCs w:val="24"/>
                <w:lang w:val="lv-LV"/>
              </w:rPr>
              <w:t>Due</w:t>
            </w:r>
            <w:proofErr w:type="spellEnd"/>
            <w:r w:rsidR="009C3B76" w:rsidRPr="000141AD">
              <w:rPr>
                <w:i/>
                <w:sz w:val="24"/>
                <w:szCs w:val="24"/>
                <w:lang w:val="lv-LV"/>
              </w:rPr>
              <w:t xml:space="preserve"> </w:t>
            </w:r>
            <w:proofErr w:type="spellStart"/>
            <w:r w:rsidR="009C3B76" w:rsidRPr="000141AD">
              <w:rPr>
                <w:i/>
                <w:sz w:val="24"/>
                <w:szCs w:val="24"/>
                <w:lang w:val="lv-LV"/>
              </w:rPr>
              <w:t>diligence</w:t>
            </w:r>
            <w:proofErr w:type="spellEnd"/>
            <w:r w:rsidR="009C3B76" w:rsidRPr="000141AD">
              <w:rPr>
                <w:sz w:val="24"/>
                <w:szCs w:val="24"/>
                <w:lang w:val="lv-LV"/>
              </w:rPr>
              <w:t>), prospekta sagatavošanas, juridiskās un finanšu konsultāciju izmaksas kopumā var sastādīt līdz pat 300 000 EUR</w:t>
            </w:r>
            <w:r w:rsidR="009C3B76" w:rsidRPr="00507DE7">
              <w:rPr>
                <w:rStyle w:val="FootnoteReference"/>
                <w:sz w:val="24"/>
                <w:szCs w:val="24"/>
                <w:lang w:val="lv-LV"/>
              </w:rPr>
              <w:footnoteReference w:id="7"/>
            </w:r>
            <w:r w:rsidR="009C3B76" w:rsidRPr="000141AD">
              <w:rPr>
                <w:sz w:val="24"/>
                <w:szCs w:val="24"/>
                <w:lang w:val="lv-LV"/>
              </w:rPr>
              <w:t>, kas ir augstas izmaksas maziem un vidējiem uzņēmumiem un ir viens no iemesliem, kāpēc MVU ir salīdzinoši neliela interese par finansējuma piesaisti kapitāla tirgos. Turklāt jāņem vērā, ka vienmēr pastāv IPO neizdošanās risks nelabvēlīgas tirgus situācijas vai citu apstākļu dēļ.</w:t>
            </w:r>
          </w:p>
          <w:p w14:paraId="367AE92B" w14:textId="77777777" w:rsidR="009C3B76" w:rsidRPr="00507DE7" w:rsidRDefault="009C3B76" w:rsidP="00231FF2">
            <w:pPr>
              <w:ind w:left="729" w:hanging="425"/>
              <w:contextualSpacing/>
              <w:jc w:val="both"/>
              <w:rPr>
                <w:sz w:val="24"/>
                <w:szCs w:val="24"/>
                <w:lang w:val="lv-LV"/>
              </w:rPr>
            </w:pPr>
            <w:r w:rsidRPr="00507DE7">
              <w:rPr>
                <w:sz w:val="24"/>
                <w:szCs w:val="24"/>
                <w:lang w:val="lv-LV"/>
              </w:rPr>
              <w:t>2)</w:t>
            </w:r>
            <w:r w:rsidRPr="00507DE7">
              <w:rPr>
                <w:sz w:val="24"/>
                <w:szCs w:val="24"/>
                <w:lang w:val="lv-LV"/>
              </w:rPr>
              <w:tab/>
            </w:r>
            <w:r w:rsidRPr="00507DE7">
              <w:rPr>
                <w:b/>
                <w:sz w:val="24"/>
                <w:szCs w:val="24"/>
                <w:lang w:val="lv-LV"/>
              </w:rPr>
              <w:t>Zema tirgus likviditāte</w:t>
            </w:r>
            <w:r w:rsidRPr="00507DE7">
              <w:rPr>
                <w:sz w:val="24"/>
                <w:szCs w:val="24"/>
                <w:lang w:val="lv-LV"/>
              </w:rPr>
              <w:t>. Latvijas kapitāla tirgum ir raksturīga zema tirgus likviditāte, kas rada negatīvu “apburto loku”, jo samazina lielākiem investoriem iespējas realizēt akcijas otrreizējā tirgū. Likviditātes trūkums attur arī riska kapitāla uzņēmumus apsvērt kotāciju biržā kā potenciālu izejas stratēģiju.</w:t>
            </w:r>
          </w:p>
          <w:p w14:paraId="244FDF14" w14:textId="48FDA3C5" w:rsidR="009C3B76" w:rsidRDefault="009C3B76" w:rsidP="00231FF2">
            <w:pPr>
              <w:ind w:left="729" w:hanging="425"/>
              <w:contextualSpacing/>
              <w:jc w:val="both"/>
              <w:rPr>
                <w:sz w:val="24"/>
                <w:szCs w:val="24"/>
                <w:lang w:val="lv-LV"/>
              </w:rPr>
            </w:pPr>
            <w:r w:rsidRPr="00507DE7">
              <w:rPr>
                <w:sz w:val="24"/>
                <w:szCs w:val="24"/>
                <w:lang w:val="lv-LV"/>
              </w:rPr>
              <w:t>3)</w:t>
            </w:r>
            <w:r w:rsidRPr="00507DE7">
              <w:rPr>
                <w:sz w:val="24"/>
                <w:szCs w:val="24"/>
                <w:lang w:val="lv-LV"/>
              </w:rPr>
              <w:tab/>
            </w:r>
            <w:r w:rsidRPr="00507DE7">
              <w:rPr>
                <w:b/>
                <w:sz w:val="24"/>
                <w:szCs w:val="24"/>
                <w:lang w:val="lv-LV"/>
              </w:rPr>
              <w:t>Nepietiekamas zināšanas par ieguvumiem no uzņēmumu kotācijas biržā</w:t>
            </w:r>
            <w:r w:rsidRPr="00507DE7">
              <w:rPr>
                <w:sz w:val="24"/>
                <w:szCs w:val="24"/>
                <w:lang w:val="lv-LV"/>
              </w:rPr>
              <w:t xml:space="preserve"> un vispārējs akciju tirdzniecības kultūras trūkums. OECD ziņojumā ir norādīts, ka uzņēmumus no kotācijas biržā attur ne tikai augstas kotācijas izmaksas un regulatīvais slogs, bet arī vispārējo zināšanu par kapitāla tirgiem trūkums, akciju tirdzniecības kultūras un atbilstošas korporatīvās pārvaldības trūkums.</w:t>
            </w:r>
          </w:p>
          <w:p w14:paraId="4580A9A9" w14:textId="77777777" w:rsidR="00FF3FE7" w:rsidRPr="00507DE7" w:rsidRDefault="00FF3FE7" w:rsidP="00FF3FE7">
            <w:pPr>
              <w:contextualSpacing/>
              <w:jc w:val="both"/>
              <w:rPr>
                <w:sz w:val="24"/>
                <w:szCs w:val="24"/>
                <w:lang w:val="lv-LV"/>
              </w:rPr>
            </w:pPr>
          </w:p>
          <w:p w14:paraId="272DCE8B" w14:textId="77777777" w:rsidR="009C3B76" w:rsidRPr="00507DE7" w:rsidRDefault="009C3B76" w:rsidP="00231FF2">
            <w:pPr>
              <w:ind w:firstLine="304"/>
              <w:contextualSpacing/>
              <w:jc w:val="both"/>
              <w:rPr>
                <w:b/>
                <w:sz w:val="24"/>
                <w:szCs w:val="24"/>
                <w:lang w:val="lv-LV"/>
              </w:rPr>
            </w:pPr>
            <w:r w:rsidRPr="00507DE7">
              <w:rPr>
                <w:b/>
                <w:sz w:val="24"/>
                <w:szCs w:val="24"/>
                <w:lang w:val="lv-LV"/>
              </w:rPr>
              <w:t>Atbalsta instrumenta dizains</w:t>
            </w:r>
          </w:p>
          <w:p w14:paraId="235980E4" w14:textId="5104BCAE" w:rsidR="009C3B76" w:rsidRPr="00507DE7" w:rsidRDefault="009C3B76" w:rsidP="00394365">
            <w:pPr>
              <w:ind w:firstLine="304"/>
              <w:contextualSpacing/>
              <w:jc w:val="both"/>
              <w:rPr>
                <w:sz w:val="24"/>
                <w:szCs w:val="24"/>
                <w:lang w:val="lv-LV"/>
              </w:rPr>
            </w:pPr>
            <w:r w:rsidRPr="00507DE7">
              <w:rPr>
                <w:sz w:val="24"/>
                <w:szCs w:val="24"/>
                <w:lang w:val="lv-LV"/>
              </w:rPr>
              <w:t xml:space="preserve">Atbalsts plānots komersantiem, kas atbilstoši 2014. gada 17. jūnija Komisijas regulas (ES) Nr. 651/2014, ar ko noteiktas atbalsta </w:t>
            </w:r>
            <w:r w:rsidRPr="00507DE7">
              <w:rPr>
                <w:sz w:val="24"/>
                <w:szCs w:val="24"/>
                <w:lang w:val="lv-LV"/>
              </w:rPr>
              <w:lastRenderedPageBreak/>
              <w:t xml:space="preserve">kategorijas atzīst par saderīgām ar iekšējo tirgu, piemērojot Līguma par Eiropas Savienības darbību 107. un 108. pantu (turpmāk – Komisijas regula Nr. 651/2014) 1. pielikumam atbilst </w:t>
            </w:r>
            <w:r w:rsidRPr="00507DE7">
              <w:rPr>
                <w:b/>
                <w:sz w:val="24"/>
                <w:szCs w:val="24"/>
                <w:lang w:val="lv-LV"/>
              </w:rPr>
              <w:t xml:space="preserve">mazā un vidējā uzņēmuma statusam </w:t>
            </w:r>
            <w:r w:rsidRPr="00507DE7">
              <w:rPr>
                <w:sz w:val="24"/>
                <w:szCs w:val="24"/>
                <w:lang w:val="lv-LV"/>
              </w:rPr>
              <w:t>(Darbinieku skaits līdz 250, apgrozījums nepārsniedz 50 milj. EUR un bilances vērtība nepārsniedz 43. milj. EUR</w:t>
            </w:r>
            <w:r w:rsidR="0080421C">
              <w:rPr>
                <w:sz w:val="24"/>
                <w:szCs w:val="24"/>
                <w:lang w:val="lv-LV"/>
              </w:rPr>
              <w:t xml:space="preserve"> un </w:t>
            </w:r>
            <w:r w:rsidR="0004217D">
              <w:rPr>
                <w:sz w:val="24"/>
                <w:szCs w:val="24"/>
                <w:lang w:val="lv-LV"/>
              </w:rPr>
              <w:t>ar saimniecisko darbību atbalstāmajā nozarē nodarbojas vismaz trīs gadus</w:t>
            </w:r>
            <w:r w:rsidRPr="00507DE7">
              <w:rPr>
                <w:sz w:val="24"/>
                <w:szCs w:val="24"/>
                <w:lang w:val="lv-LV"/>
              </w:rPr>
              <w:t>)</w:t>
            </w:r>
            <w:r w:rsidRPr="00507DE7">
              <w:rPr>
                <w:rStyle w:val="FootnoteReference"/>
                <w:sz w:val="24"/>
                <w:szCs w:val="24"/>
                <w:lang w:val="lv-LV"/>
              </w:rPr>
              <w:footnoteReference w:id="8"/>
            </w:r>
            <w:r w:rsidRPr="00507DE7">
              <w:rPr>
                <w:sz w:val="24"/>
                <w:szCs w:val="24"/>
                <w:lang w:val="lv-LV"/>
              </w:rPr>
              <w:t xml:space="preserve">. Diskusijās ar iesaistītajām pusēm tika diskutēts par iespēju ieviest papildu kritērijus un atbalstīt tādus komersantus, kuri kapitāla tirgos plāno piesaistīt vismaz 1-2 miljonus </w:t>
            </w:r>
            <w:proofErr w:type="spellStart"/>
            <w:r w:rsidRPr="00507DE7">
              <w:rPr>
                <w:i/>
                <w:sz w:val="24"/>
                <w:szCs w:val="24"/>
                <w:lang w:val="lv-LV"/>
              </w:rPr>
              <w:t>euro</w:t>
            </w:r>
            <w:proofErr w:type="spellEnd"/>
            <w:r w:rsidRPr="00507DE7">
              <w:rPr>
                <w:sz w:val="24"/>
                <w:szCs w:val="24"/>
                <w:lang w:val="lv-LV"/>
              </w:rPr>
              <w:t xml:space="preserve"> un kuru ikgadējais apgrozījums pārsniedz 2 milj. </w:t>
            </w:r>
            <w:proofErr w:type="spellStart"/>
            <w:r w:rsidRPr="00507DE7">
              <w:rPr>
                <w:i/>
                <w:sz w:val="24"/>
                <w:szCs w:val="24"/>
                <w:lang w:val="lv-LV"/>
              </w:rPr>
              <w:t>euro</w:t>
            </w:r>
            <w:proofErr w:type="spellEnd"/>
            <w:r w:rsidRPr="00507DE7">
              <w:rPr>
                <w:i/>
                <w:sz w:val="24"/>
                <w:szCs w:val="24"/>
                <w:lang w:val="lv-LV"/>
              </w:rPr>
              <w:t xml:space="preserve"> </w:t>
            </w:r>
            <w:r w:rsidRPr="00507DE7">
              <w:rPr>
                <w:sz w:val="24"/>
                <w:szCs w:val="24"/>
                <w:lang w:val="lv-LV"/>
              </w:rPr>
              <w:t>gadā, pamatojoties uz 2018.</w:t>
            </w:r>
            <w:r w:rsidR="00547BA2">
              <w:rPr>
                <w:sz w:val="24"/>
                <w:szCs w:val="24"/>
                <w:lang w:val="lv-LV"/>
              </w:rPr>
              <w:t> </w:t>
            </w:r>
            <w:r w:rsidRPr="00507DE7">
              <w:rPr>
                <w:sz w:val="24"/>
                <w:szCs w:val="24"/>
                <w:lang w:val="lv-LV"/>
              </w:rPr>
              <w:t xml:space="preserve">gada datiem par uzņēmumiem, kas iekļauti </w:t>
            </w:r>
            <w:r w:rsidRPr="00507DE7">
              <w:rPr>
                <w:i/>
                <w:sz w:val="24"/>
                <w:szCs w:val="24"/>
                <w:lang w:val="lv-LV"/>
              </w:rPr>
              <w:t xml:space="preserve">First North </w:t>
            </w:r>
            <w:r w:rsidRPr="00507DE7">
              <w:rPr>
                <w:sz w:val="24"/>
                <w:szCs w:val="24"/>
                <w:lang w:val="lv-LV"/>
              </w:rPr>
              <w:t>sarakstā</w:t>
            </w:r>
            <w:r w:rsidR="000B56BB">
              <w:rPr>
                <w:sz w:val="24"/>
                <w:szCs w:val="24"/>
                <w:lang w:val="lv-LV"/>
              </w:rPr>
              <w:t>,</w:t>
            </w:r>
            <w:r w:rsidRPr="00507DE7">
              <w:rPr>
                <w:sz w:val="24"/>
                <w:szCs w:val="24"/>
                <w:lang w:val="lv-LV"/>
              </w:rPr>
              <w:t xml:space="preserve"> un to vidējais apgrozījums sastāda 4,4, milj. </w:t>
            </w:r>
            <w:proofErr w:type="spellStart"/>
            <w:r w:rsidRPr="00507DE7">
              <w:rPr>
                <w:i/>
                <w:sz w:val="24"/>
                <w:szCs w:val="24"/>
                <w:lang w:val="lv-LV"/>
              </w:rPr>
              <w:t>euro</w:t>
            </w:r>
            <w:proofErr w:type="spellEnd"/>
            <w:r w:rsidRPr="00507DE7">
              <w:rPr>
                <w:i/>
                <w:sz w:val="24"/>
                <w:szCs w:val="24"/>
                <w:lang w:val="lv-LV"/>
              </w:rPr>
              <w:t xml:space="preserve">. </w:t>
            </w:r>
            <w:r w:rsidRPr="00507DE7">
              <w:rPr>
                <w:sz w:val="24"/>
                <w:szCs w:val="24"/>
                <w:lang w:val="lv-LV"/>
              </w:rPr>
              <w:t xml:space="preserve">Tajā pašā laikā, liela daļa sarakstā ietverto uzņēmumu (39%) ikgadējais apgrozījums nepārsniedz 2 miljonus </w:t>
            </w:r>
            <w:proofErr w:type="spellStart"/>
            <w:r w:rsidRPr="00507DE7">
              <w:rPr>
                <w:i/>
                <w:sz w:val="24"/>
                <w:szCs w:val="24"/>
                <w:lang w:val="lv-LV"/>
              </w:rPr>
              <w:t>euro</w:t>
            </w:r>
            <w:proofErr w:type="spellEnd"/>
            <w:r w:rsidRPr="00507DE7">
              <w:rPr>
                <w:rStyle w:val="FootnoteReference"/>
                <w:i/>
                <w:sz w:val="24"/>
                <w:szCs w:val="24"/>
                <w:lang w:val="lv-LV"/>
              </w:rPr>
              <w:footnoteReference w:id="9"/>
            </w:r>
            <w:r w:rsidRPr="00507DE7">
              <w:rPr>
                <w:i/>
                <w:sz w:val="24"/>
                <w:szCs w:val="24"/>
                <w:lang w:val="lv-LV"/>
              </w:rPr>
              <w:t xml:space="preserve">. </w:t>
            </w:r>
            <w:r w:rsidRPr="00507DE7">
              <w:rPr>
                <w:sz w:val="24"/>
                <w:szCs w:val="24"/>
                <w:lang w:val="lv-LV"/>
              </w:rPr>
              <w:t>Ņemot vērā, ka minētā atbalsta programma 2014. – 2020.gada ES struktūrfondu plānošanas perioda ietvaros plānota kā pilotprojekts, lai neierobežotu komersantu iespējas pieteikties atbalstam, projektu vērtēšanas kritērijos šādi nosacījumi netika ietverti.</w:t>
            </w:r>
          </w:p>
          <w:p w14:paraId="3BB26EDD" w14:textId="3942FF1C" w:rsidR="009C3B76" w:rsidRPr="00507DE7" w:rsidRDefault="009C3B76" w:rsidP="00394365">
            <w:pPr>
              <w:ind w:firstLine="304"/>
              <w:contextualSpacing/>
              <w:jc w:val="both"/>
              <w:rPr>
                <w:sz w:val="24"/>
                <w:szCs w:val="24"/>
                <w:lang w:val="lv-LV"/>
              </w:rPr>
            </w:pPr>
            <w:r w:rsidRPr="00507DE7">
              <w:rPr>
                <w:sz w:val="24"/>
                <w:szCs w:val="24"/>
                <w:lang w:val="lv-LV"/>
              </w:rPr>
              <w:t xml:space="preserve">Tādejādi atbalsta programma paredz, ka </w:t>
            </w:r>
            <w:r w:rsidRPr="00507DE7">
              <w:rPr>
                <w:b/>
                <w:sz w:val="24"/>
                <w:szCs w:val="24"/>
                <w:lang w:val="lv-LV"/>
              </w:rPr>
              <w:t xml:space="preserve">atbalstāmas būs mazās un vidējās komercsabiedrības, Latvijā reģistrētas sabiedrības ar ierobežotu atbildību (turpmāk – SIA) vai akciju sabiedrības (turpmāk – AS) </w:t>
            </w:r>
            <w:r w:rsidRPr="00507DE7">
              <w:rPr>
                <w:sz w:val="24"/>
                <w:szCs w:val="24"/>
                <w:lang w:val="lv-LV"/>
              </w:rPr>
              <w:t>un atbilst noteikumu projektā noteiktajiem kritērijiem (skat. projekta vērtēšanas kritērijus).</w:t>
            </w:r>
            <w:r w:rsidRPr="00507DE7">
              <w:rPr>
                <w:b/>
                <w:sz w:val="24"/>
                <w:szCs w:val="24"/>
                <w:lang w:val="lv-LV"/>
              </w:rPr>
              <w:t xml:space="preserve"> </w:t>
            </w:r>
            <w:r w:rsidRPr="00507DE7">
              <w:rPr>
                <w:sz w:val="24"/>
                <w:szCs w:val="24"/>
                <w:lang w:val="lv-LV"/>
              </w:rPr>
              <w:t>Pasākuma ietvaros netiek sniegts finansējums projekta iesniedzējiem, kas darbojas Komisijas regulas Nr.</w:t>
            </w:r>
            <w:r w:rsidR="008A6F0F">
              <w:rPr>
                <w:sz w:val="24"/>
                <w:szCs w:val="24"/>
                <w:lang w:val="lv-LV"/>
              </w:rPr>
              <w:t> </w:t>
            </w:r>
            <w:r w:rsidRPr="00507DE7">
              <w:rPr>
                <w:sz w:val="24"/>
                <w:szCs w:val="24"/>
                <w:lang w:val="lv-LV"/>
              </w:rPr>
              <w:t xml:space="preserve">651/2014 1.panta 3.punktā minētajās komercdarbības nozarēs. Tāpat atbalstam nevarēs kvalificēties uzņēmumi, kas atbilstoši </w:t>
            </w:r>
            <w:r w:rsidR="00B4522D" w:rsidRPr="00507DE7">
              <w:rPr>
                <w:sz w:val="24"/>
                <w:szCs w:val="24"/>
                <w:lang w:val="lv-LV"/>
              </w:rPr>
              <w:t xml:space="preserve">Komisijas </w:t>
            </w:r>
            <w:r w:rsidRPr="00507DE7">
              <w:rPr>
                <w:sz w:val="24"/>
                <w:szCs w:val="24"/>
                <w:lang w:val="lv-LV"/>
              </w:rPr>
              <w:t>regulai Nr</w:t>
            </w:r>
            <w:r w:rsidR="00B4522D" w:rsidRPr="00507DE7">
              <w:rPr>
                <w:sz w:val="24"/>
                <w:szCs w:val="24"/>
                <w:lang w:val="lv-LV"/>
              </w:rPr>
              <w:t>.</w:t>
            </w:r>
            <w:r w:rsidR="00B4522D">
              <w:rPr>
                <w:sz w:val="24"/>
                <w:szCs w:val="24"/>
                <w:lang w:val="lv-LV"/>
              </w:rPr>
              <w:t> </w:t>
            </w:r>
            <w:r w:rsidRPr="00507DE7">
              <w:rPr>
                <w:sz w:val="24"/>
                <w:szCs w:val="24"/>
                <w:lang w:val="lv-LV"/>
              </w:rPr>
              <w:t xml:space="preserve">651/2014 atbilst grūtībās nonākuša komersanta definīcijai. </w:t>
            </w:r>
          </w:p>
          <w:p w14:paraId="4753EB6D" w14:textId="4DD35873" w:rsidR="009C3B76" w:rsidRPr="00507DE7" w:rsidRDefault="009C3B76" w:rsidP="00394365">
            <w:pPr>
              <w:ind w:firstLine="304"/>
              <w:contextualSpacing/>
              <w:jc w:val="both"/>
              <w:rPr>
                <w:sz w:val="24"/>
                <w:szCs w:val="24"/>
                <w:lang w:val="lv-LV"/>
              </w:rPr>
            </w:pPr>
            <w:r w:rsidRPr="00507DE7">
              <w:rPr>
                <w:sz w:val="24"/>
                <w:szCs w:val="24"/>
                <w:lang w:val="lv-LV"/>
              </w:rPr>
              <w:t>Ņemot vērā, ka pēdējo gadu laikā attīstās ne vien akciju tirgus, bet arī parāda vērtspapīru tirgus</w:t>
            </w:r>
            <w:r w:rsidR="00B4522D">
              <w:rPr>
                <w:sz w:val="24"/>
                <w:szCs w:val="24"/>
                <w:lang w:val="lv-LV"/>
              </w:rPr>
              <w:t>,</w:t>
            </w:r>
            <w:r w:rsidRPr="00507DE7">
              <w:rPr>
                <w:sz w:val="24"/>
                <w:szCs w:val="24"/>
                <w:lang w:val="lv-LV"/>
              </w:rPr>
              <w:t xml:space="preserve"> par ko liecina pieaugošais parāda vērstpapīru emitentu skaits, pasākums paredz </w:t>
            </w:r>
            <w:r w:rsidRPr="00507DE7">
              <w:rPr>
                <w:b/>
                <w:sz w:val="24"/>
                <w:szCs w:val="24"/>
                <w:lang w:val="lv-LV"/>
              </w:rPr>
              <w:t>nodrošināt atbalstu gan akciju, gan parāda vērstpapīru (obligāciju) emisijai</w:t>
            </w:r>
            <w:r w:rsidRPr="00507DE7">
              <w:rPr>
                <w:sz w:val="24"/>
                <w:szCs w:val="24"/>
                <w:lang w:val="lv-LV"/>
              </w:rPr>
              <w:t>. Pasākuma ietvaros atbalsta saņēmējiem ir jānodrošina sekmīga akciju iekļaušana AS “</w:t>
            </w:r>
            <w:proofErr w:type="spellStart"/>
            <w:r w:rsidRPr="00507DE7">
              <w:rPr>
                <w:b/>
                <w:sz w:val="24"/>
                <w:szCs w:val="24"/>
                <w:lang w:val="lv-LV"/>
              </w:rPr>
              <w:t>Nasdaq</w:t>
            </w:r>
            <w:proofErr w:type="spellEnd"/>
            <w:r w:rsidRPr="00507DE7">
              <w:rPr>
                <w:b/>
                <w:sz w:val="24"/>
                <w:szCs w:val="24"/>
                <w:lang w:val="lv-LV"/>
              </w:rPr>
              <w:t xml:space="preserve"> </w:t>
            </w:r>
            <w:proofErr w:type="spellStart"/>
            <w:r w:rsidRPr="00507DE7">
              <w:rPr>
                <w:b/>
                <w:sz w:val="24"/>
                <w:szCs w:val="24"/>
                <w:lang w:val="lv-LV"/>
              </w:rPr>
              <w:t>Riga</w:t>
            </w:r>
            <w:proofErr w:type="spellEnd"/>
            <w:r w:rsidRPr="00507DE7">
              <w:rPr>
                <w:b/>
                <w:sz w:val="24"/>
                <w:szCs w:val="24"/>
                <w:lang w:val="lv-LV"/>
              </w:rPr>
              <w:t>” Baltijas Regulētajā tirgū</w:t>
            </w:r>
            <w:r w:rsidRPr="00507DE7">
              <w:rPr>
                <w:sz w:val="24"/>
                <w:szCs w:val="24"/>
                <w:lang w:val="lv-LV"/>
              </w:rPr>
              <w:t xml:space="preserve"> (Baltijas Oficiālajā sarakstā vai Baltijas Otrajā sarakstā) </w:t>
            </w:r>
            <w:r w:rsidRPr="00507DE7">
              <w:rPr>
                <w:b/>
                <w:sz w:val="24"/>
                <w:szCs w:val="24"/>
                <w:lang w:val="lv-LV"/>
              </w:rPr>
              <w:t>vai Baltijas Alternatīvajā tirgū “First North”</w:t>
            </w:r>
            <w:r w:rsidRPr="00507DE7">
              <w:rPr>
                <w:sz w:val="24"/>
                <w:szCs w:val="24"/>
                <w:lang w:val="lv-LV"/>
              </w:rPr>
              <w:t xml:space="preserve"> (</w:t>
            </w:r>
            <w:r w:rsidRPr="00A4431A">
              <w:rPr>
                <w:i/>
                <w:sz w:val="24"/>
                <w:szCs w:val="24"/>
                <w:lang w:val="lv-LV"/>
              </w:rPr>
              <w:t>First North</w:t>
            </w:r>
            <w:r w:rsidRPr="00507DE7">
              <w:rPr>
                <w:sz w:val="24"/>
                <w:szCs w:val="24"/>
                <w:lang w:val="lv-LV"/>
              </w:rPr>
              <w:t xml:space="preserve"> Baltijas akciju saraksts) vai sekmīga parāda vērtspapīru iekļaušana AS “</w:t>
            </w:r>
            <w:proofErr w:type="spellStart"/>
            <w:r w:rsidRPr="00507DE7">
              <w:rPr>
                <w:sz w:val="24"/>
                <w:szCs w:val="24"/>
                <w:lang w:val="lv-LV"/>
              </w:rPr>
              <w:t>Nasdaq</w:t>
            </w:r>
            <w:proofErr w:type="spellEnd"/>
            <w:r w:rsidRPr="00507DE7">
              <w:rPr>
                <w:sz w:val="24"/>
                <w:szCs w:val="24"/>
                <w:lang w:val="lv-LV"/>
              </w:rPr>
              <w:t xml:space="preserve"> </w:t>
            </w:r>
            <w:proofErr w:type="spellStart"/>
            <w:r w:rsidRPr="00507DE7">
              <w:rPr>
                <w:sz w:val="24"/>
                <w:szCs w:val="24"/>
                <w:lang w:val="lv-LV"/>
              </w:rPr>
              <w:t>Riga</w:t>
            </w:r>
            <w:proofErr w:type="spellEnd"/>
            <w:r w:rsidRPr="00507DE7">
              <w:rPr>
                <w:sz w:val="24"/>
                <w:szCs w:val="24"/>
                <w:lang w:val="lv-LV"/>
              </w:rPr>
              <w:t xml:space="preserve">” Baltijas Regulētajā tirgū </w:t>
            </w:r>
            <w:r w:rsidR="00A4431A">
              <w:rPr>
                <w:sz w:val="24"/>
                <w:szCs w:val="24"/>
                <w:lang w:val="lv-LV"/>
              </w:rPr>
              <w:t>–</w:t>
            </w:r>
            <w:r w:rsidRPr="00507DE7">
              <w:rPr>
                <w:sz w:val="24"/>
                <w:szCs w:val="24"/>
                <w:lang w:val="lv-LV"/>
              </w:rPr>
              <w:t xml:space="preserve"> Baltijas</w:t>
            </w:r>
            <w:r w:rsidR="00A4431A">
              <w:rPr>
                <w:sz w:val="24"/>
                <w:szCs w:val="24"/>
                <w:lang w:val="lv-LV"/>
              </w:rPr>
              <w:t xml:space="preserve"> </w:t>
            </w:r>
            <w:r w:rsidRPr="00507DE7">
              <w:rPr>
                <w:sz w:val="24"/>
                <w:szCs w:val="24"/>
                <w:lang w:val="lv-LV"/>
              </w:rPr>
              <w:t>parāda vērtspapīru sarakstā (Korporatīvie Parāda vērtspapīri) vai Alternatīvajā tirgū “First North” (</w:t>
            </w:r>
            <w:r w:rsidRPr="008329F6">
              <w:rPr>
                <w:i/>
                <w:sz w:val="24"/>
                <w:szCs w:val="24"/>
                <w:lang w:val="lv-LV"/>
              </w:rPr>
              <w:t>First North</w:t>
            </w:r>
            <w:r w:rsidRPr="00507DE7">
              <w:rPr>
                <w:sz w:val="24"/>
                <w:szCs w:val="24"/>
                <w:lang w:val="lv-LV"/>
              </w:rPr>
              <w:t xml:space="preserve"> Baltijas parāda vērtspapīru saraksts).</w:t>
            </w:r>
          </w:p>
          <w:p w14:paraId="797B97F3" w14:textId="345C0935" w:rsidR="009C3B76" w:rsidRPr="00507DE7" w:rsidRDefault="009C3B76" w:rsidP="00394365">
            <w:pPr>
              <w:ind w:firstLine="304"/>
              <w:contextualSpacing/>
              <w:jc w:val="both"/>
              <w:rPr>
                <w:sz w:val="24"/>
                <w:szCs w:val="24"/>
                <w:lang w:val="lv-LV"/>
              </w:rPr>
            </w:pPr>
            <w:r w:rsidRPr="00507DE7">
              <w:rPr>
                <w:sz w:val="24"/>
                <w:szCs w:val="24"/>
                <w:lang w:val="lv-LV"/>
              </w:rPr>
              <w:t xml:space="preserve">Par </w:t>
            </w:r>
            <w:r w:rsidRPr="00507DE7">
              <w:rPr>
                <w:b/>
                <w:sz w:val="24"/>
                <w:szCs w:val="24"/>
                <w:lang w:val="lv-LV"/>
              </w:rPr>
              <w:t xml:space="preserve">sekmīgu akciju emisiju uzskata akciju emisiju vismaz </w:t>
            </w:r>
            <w:r w:rsidRPr="00010875">
              <w:rPr>
                <w:b/>
                <w:sz w:val="24"/>
                <w:szCs w:val="24"/>
                <w:lang w:val="lv-LV"/>
              </w:rPr>
              <w:t>500 000</w:t>
            </w:r>
            <w:r w:rsidRPr="00507DE7">
              <w:rPr>
                <w:b/>
                <w:i/>
                <w:sz w:val="24"/>
                <w:szCs w:val="24"/>
                <w:lang w:val="lv-LV"/>
              </w:rPr>
              <w:t xml:space="preserve"> </w:t>
            </w:r>
            <w:proofErr w:type="spellStart"/>
            <w:r w:rsidRPr="00507DE7">
              <w:rPr>
                <w:b/>
                <w:i/>
                <w:sz w:val="24"/>
                <w:szCs w:val="24"/>
                <w:lang w:val="lv-LV"/>
              </w:rPr>
              <w:t>euro</w:t>
            </w:r>
            <w:proofErr w:type="spellEnd"/>
            <w:r w:rsidRPr="00507DE7">
              <w:rPr>
                <w:b/>
                <w:sz w:val="24"/>
                <w:szCs w:val="24"/>
                <w:lang w:val="lv-LV"/>
              </w:rPr>
              <w:t xml:space="preserve"> apmērā</w:t>
            </w:r>
            <w:r w:rsidRPr="00507DE7">
              <w:rPr>
                <w:sz w:val="24"/>
                <w:szCs w:val="24"/>
                <w:lang w:val="lv-LV"/>
              </w:rPr>
              <w:t>, kas iekļauta jebkura AS “</w:t>
            </w:r>
            <w:proofErr w:type="spellStart"/>
            <w:r w:rsidRPr="00507DE7">
              <w:rPr>
                <w:sz w:val="24"/>
                <w:szCs w:val="24"/>
                <w:lang w:val="lv-LV"/>
              </w:rPr>
              <w:t>Nasdaq</w:t>
            </w:r>
            <w:proofErr w:type="spellEnd"/>
            <w:r w:rsidRPr="00507DE7">
              <w:rPr>
                <w:sz w:val="24"/>
                <w:szCs w:val="24"/>
                <w:lang w:val="lv-LV"/>
              </w:rPr>
              <w:t xml:space="preserve"> </w:t>
            </w:r>
            <w:proofErr w:type="spellStart"/>
            <w:r w:rsidRPr="00507DE7">
              <w:rPr>
                <w:sz w:val="24"/>
                <w:szCs w:val="24"/>
                <w:lang w:val="lv-LV"/>
              </w:rPr>
              <w:t>Riga</w:t>
            </w:r>
            <w:proofErr w:type="spellEnd"/>
            <w:r w:rsidRPr="00507DE7">
              <w:rPr>
                <w:sz w:val="24"/>
                <w:szCs w:val="24"/>
                <w:lang w:val="lv-LV"/>
              </w:rPr>
              <w:t xml:space="preserve">” regulētā tirgus akciju sarakstā pēc projekta iesniedzēja izvēles, ja attiecīgā akciju iekļaušana regulētajā tirgū notiek ne vēlāk kā divu gadu laikā no sadarbības iestādes līguma par pasākuma darbību īstenošanu noslēgšanas. </w:t>
            </w:r>
          </w:p>
          <w:p w14:paraId="15813FF0" w14:textId="7A6610B0" w:rsidR="009C3B76" w:rsidRPr="00507DE7" w:rsidRDefault="009C3B76" w:rsidP="00394365">
            <w:pPr>
              <w:ind w:firstLine="304"/>
              <w:contextualSpacing/>
              <w:jc w:val="both"/>
              <w:rPr>
                <w:sz w:val="24"/>
                <w:szCs w:val="24"/>
                <w:lang w:val="lv-LV"/>
              </w:rPr>
            </w:pPr>
            <w:r w:rsidRPr="00507DE7">
              <w:rPr>
                <w:sz w:val="24"/>
                <w:szCs w:val="24"/>
                <w:lang w:val="lv-LV"/>
              </w:rPr>
              <w:t xml:space="preserve">Par </w:t>
            </w:r>
            <w:r w:rsidRPr="00507DE7">
              <w:rPr>
                <w:b/>
                <w:sz w:val="24"/>
                <w:szCs w:val="24"/>
                <w:lang w:val="lv-LV"/>
              </w:rPr>
              <w:t xml:space="preserve">sekmīgu parāda vērtspapīru emisiju uzskata emisiju bez minimālā kvantitatīvā sliekšņa </w:t>
            </w:r>
            <w:r w:rsidRPr="00507DE7">
              <w:rPr>
                <w:sz w:val="24"/>
                <w:szCs w:val="24"/>
                <w:lang w:val="lv-LV"/>
              </w:rPr>
              <w:t>iekļaušanu jebkura AS “</w:t>
            </w:r>
            <w:proofErr w:type="spellStart"/>
            <w:r w:rsidRPr="00507DE7">
              <w:rPr>
                <w:sz w:val="24"/>
                <w:szCs w:val="24"/>
                <w:lang w:val="lv-LV"/>
              </w:rPr>
              <w:t>Nasdaq</w:t>
            </w:r>
            <w:proofErr w:type="spellEnd"/>
            <w:r w:rsidRPr="00507DE7">
              <w:rPr>
                <w:sz w:val="24"/>
                <w:szCs w:val="24"/>
                <w:lang w:val="lv-LV"/>
              </w:rPr>
              <w:t xml:space="preserve"> </w:t>
            </w:r>
            <w:proofErr w:type="spellStart"/>
            <w:r w:rsidRPr="00507DE7">
              <w:rPr>
                <w:sz w:val="24"/>
                <w:szCs w:val="24"/>
                <w:lang w:val="lv-LV"/>
              </w:rPr>
              <w:t>Riga</w:t>
            </w:r>
            <w:proofErr w:type="spellEnd"/>
            <w:r w:rsidRPr="00507DE7">
              <w:rPr>
                <w:sz w:val="24"/>
                <w:szCs w:val="24"/>
                <w:lang w:val="lv-LV"/>
              </w:rPr>
              <w:t xml:space="preserve">” regulētā tirgus parāda vērtspapīru sarakstā pēc projekta </w:t>
            </w:r>
            <w:r w:rsidRPr="00507DE7">
              <w:rPr>
                <w:sz w:val="24"/>
                <w:szCs w:val="24"/>
                <w:lang w:val="lv-LV"/>
              </w:rPr>
              <w:lastRenderedPageBreak/>
              <w:t>iesniedzēja izvēles, ja attiecīgo parāda vērtspapīru iekļaušana regulētajā tirgū notiek ne vēlāk kā divu gadu laikā no sadarbības iestādes līguma par pasākuma darbību īstenošanu noslēgšanas.</w:t>
            </w:r>
          </w:p>
          <w:p w14:paraId="1A7E9B01" w14:textId="3D692099" w:rsidR="009C3B76" w:rsidRPr="00507DE7" w:rsidRDefault="009C3B76" w:rsidP="00394365">
            <w:pPr>
              <w:ind w:firstLine="304"/>
              <w:contextualSpacing/>
              <w:jc w:val="both"/>
              <w:rPr>
                <w:sz w:val="24"/>
                <w:szCs w:val="24"/>
                <w:lang w:val="lv-LV"/>
              </w:rPr>
            </w:pPr>
            <w:r w:rsidRPr="00507DE7">
              <w:rPr>
                <w:sz w:val="24"/>
                <w:szCs w:val="24"/>
                <w:lang w:val="lv-LV"/>
              </w:rPr>
              <w:t xml:space="preserve">Pasākuma ietvaros plānots akciju emisijas gadījumā atbalstāmi šādi tirdzniecības vietas iekļaušanas veidi: </w:t>
            </w:r>
            <w:r w:rsidRPr="00507DE7">
              <w:rPr>
                <w:b/>
                <w:sz w:val="24"/>
                <w:szCs w:val="24"/>
                <w:lang w:val="lv-LV"/>
              </w:rPr>
              <w:t>sākotnējais publiskais piedāvājums</w:t>
            </w:r>
            <w:r w:rsidRPr="00507DE7">
              <w:rPr>
                <w:sz w:val="24"/>
                <w:szCs w:val="24"/>
                <w:lang w:val="lv-LV"/>
              </w:rPr>
              <w:t xml:space="preserve"> (</w:t>
            </w:r>
            <w:r w:rsidRPr="008E1D15">
              <w:rPr>
                <w:i/>
                <w:sz w:val="24"/>
                <w:szCs w:val="24"/>
                <w:lang w:val="en-US"/>
              </w:rPr>
              <w:t>initial public offering</w:t>
            </w:r>
            <w:r w:rsidRPr="00507DE7">
              <w:rPr>
                <w:i/>
                <w:sz w:val="24"/>
                <w:szCs w:val="24"/>
                <w:lang w:val="lv-LV"/>
              </w:rPr>
              <w:t xml:space="preserve"> jeb IPO</w:t>
            </w:r>
            <w:r w:rsidRPr="00507DE7">
              <w:rPr>
                <w:sz w:val="24"/>
                <w:szCs w:val="24"/>
                <w:lang w:val="lv-LV"/>
              </w:rPr>
              <w:t xml:space="preserve">), </w:t>
            </w:r>
            <w:r w:rsidRPr="00507DE7">
              <w:rPr>
                <w:b/>
                <w:sz w:val="24"/>
                <w:szCs w:val="24"/>
                <w:lang w:val="lv-LV"/>
              </w:rPr>
              <w:t>privātā izvietošana</w:t>
            </w:r>
            <w:r w:rsidRPr="00507DE7">
              <w:rPr>
                <w:sz w:val="24"/>
                <w:szCs w:val="24"/>
                <w:lang w:val="lv-LV"/>
              </w:rPr>
              <w:t xml:space="preserve">, </w:t>
            </w:r>
            <w:r w:rsidRPr="00507DE7">
              <w:rPr>
                <w:b/>
                <w:sz w:val="24"/>
                <w:szCs w:val="24"/>
                <w:lang w:val="lv-LV"/>
              </w:rPr>
              <w:t>otrreizējs publiskais piedāvājums</w:t>
            </w:r>
            <w:r w:rsidRPr="00507DE7">
              <w:rPr>
                <w:sz w:val="24"/>
                <w:szCs w:val="24"/>
                <w:lang w:val="lv-LV"/>
              </w:rPr>
              <w:t xml:space="preserve"> (</w:t>
            </w:r>
            <w:r w:rsidRPr="00867106">
              <w:rPr>
                <w:i/>
                <w:sz w:val="24"/>
                <w:szCs w:val="24"/>
                <w:lang w:val="en-US"/>
              </w:rPr>
              <w:t>secondary</w:t>
            </w:r>
            <w:r w:rsidRPr="008E1D15">
              <w:rPr>
                <w:i/>
                <w:sz w:val="24"/>
                <w:szCs w:val="24"/>
                <w:lang w:val="en-US"/>
              </w:rPr>
              <w:t xml:space="preserve"> public offering</w:t>
            </w:r>
            <w:r w:rsidRPr="00507DE7">
              <w:rPr>
                <w:i/>
                <w:sz w:val="24"/>
                <w:szCs w:val="24"/>
                <w:lang w:val="lv-LV"/>
              </w:rPr>
              <w:t xml:space="preserve"> jeb SPO), </w:t>
            </w:r>
            <w:r w:rsidRPr="00507DE7">
              <w:rPr>
                <w:b/>
                <w:sz w:val="24"/>
                <w:szCs w:val="24"/>
                <w:lang w:val="lv-LV"/>
              </w:rPr>
              <w:t>turpmākais publiskais piedāvājums</w:t>
            </w:r>
            <w:r w:rsidRPr="00507DE7">
              <w:rPr>
                <w:sz w:val="24"/>
                <w:szCs w:val="24"/>
                <w:lang w:val="lv-LV"/>
              </w:rPr>
              <w:t xml:space="preserve"> (</w:t>
            </w:r>
            <w:r w:rsidRPr="008E1D15">
              <w:rPr>
                <w:i/>
                <w:sz w:val="24"/>
                <w:szCs w:val="24"/>
                <w:lang w:val="en-US"/>
              </w:rPr>
              <w:t xml:space="preserve">follow-on public offering </w:t>
            </w:r>
            <w:r w:rsidRPr="00507DE7">
              <w:rPr>
                <w:i/>
                <w:sz w:val="24"/>
                <w:szCs w:val="24"/>
                <w:lang w:val="lv-LV"/>
              </w:rPr>
              <w:t>jeb FPO</w:t>
            </w:r>
            <w:r w:rsidRPr="00507DE7">
              <w:rPr>
                <w:sz w:val="24"/>
                <w:szCs w:val="24"/>
                <w:lang w:val="lv-LV"/>
              </w:rPr>
              <w:t xml:space="preserve">), kā arī </w:t>
            </w:r>
            <w:r w:rsidRPr="00507DE7">
              <w:rPr>
                <w:b/>
                <w:sz w:val="24"/>
                <w:szCs w:val="24"/>
                <w:lang w:val="lv-LV"/>
              </w:rPr>
              <w:t>akciju iekļaušana tirdzniecības vietā bez publiskā piedāvājuma</w:t>
            </w:r>
            <w:r w:rsidRPr="00507DE7">
              <w:rPr>
                <w:sz w:val="24"/>
                <w:szCs w:val="24"/>
                <w:lang w:val="lv-LV"/>
              </w:rPr>
              <w:t xml:space="preserve"> (</w:t>
            </w:r>
            <w:r w:rsidRPr="008E1D15">
              <w:rPr>
                <w:i/>
                <w:sz w:val="24"/>
                <w:szCs w:val="24"/>
                <w:lang w:val="en-US"/>
              </w:rPr>
              <w:t>technical listing</w:t>
            </w:r>
            <w:r w:rsidRPr="00507DE7">
              <w:rPr>
                <w:i/>
                <w:sz w:val="24"/>
                <w:szCs w:val="24"/>
                <w:lang w:val="lv-LV"/>
              </w:rPr>
              <w:t>)</w:t>
            </w:r>
            <w:r w:rsidRPr="00507DE7">
              <w:rPr>
                <w:rStyle w:val="FootnoteReference"/>
                <w:sz w:val="24"/>
                <w:szCs w:val="24"/>
                <w:lang w:val="lv-LV"/>
              </w:rPr>
              <w:footnoteReference w:id="10"/>
            </w:r>
            <w:r w:rsidRPr="00507DE7">
              <w:rPr>
                <w:sz w:val="24"/>
                <w:szCs w:val="24"/>
                <w:lang w:val="lv-LV"/>
              </w:rPr>
              <w:t xml:space="preserve"> kopā ar otrreizēju publisku piedāvājumu. </w:t>
            </w:r>
          </w:p>
          <w:p w14:paraId="060D2D6A" w14:textId="7B1592F0" w:rsidR="009C3B76" w:rsidRPr="00507DE7" w:rsidRDefault="009C3B76" w:rsidP="00394365">
            <w:pPr>
              <w:ind w:firstLine="304"/>
              <w:contextualSpacing/>
              <w:jc w:val="both"/>
              <w:rPr>
                <w:sz w:val="24"/>
                <w:szCs w:val="24"/>
                <w:lang w:val="lv-LV"/>
              </w:rPr>
            </w:pPr>
            <w:r w:rsidRPr="00507DE7">
              <w:rPr>
                <w:sz w:val="24"/>
                <w:szCs w:val="24"/>
                <w:lang w:val="lv-LV"/>
              </w:rPr>
              <w:t>Pasākuma ietvaros atbilstoši Komisijas regulas Nr. 651/2014. 18.</w:t>
            </w:r>
            <w:r w:rsidR="00345B76">
              <w:rPr>
                <w:sz w:val="24"/>
                <w:szCs w:val="24"/>
                <w:lang w:val="lv-LV"/>
              </w:rPr>
              <w:t> </w:t>
            </w:r>
            <w:r w:rsidRPr="00507DE7">
              <w:rPr>
                <w:sz w:val="24"/>
                <w:szCs w:val="24"/>
                <w:lang w:val="lv-LV"/>
              </w:rPr>
              <w:t>panta 3.</w:t>
            </w:r>
            <w:r w:rsidR="00345B76">
              <w:rPr>
                <w:sz w:val="24"/>
                <w:szCs w:val="24"/>
                <w:lang w:val="lv-LV"/>
              </w:rPr>
              <w:t> </w:t>
            </w:r>
            <w:r w:rsidRPr="00507DE7">
              <w:rPr>
                <w:sz w:val="24"/>
                <w:szCs w:val="24"/>
                <w:lang w:val="lv-LV"/>
              </w:rPr>
              <w:t>punktam</w:t>
            </w:r>
            <w:r w:rsidRPr="00507DE7">
              <w:rPr>
                <w:rStyle w:val="FootnoteReference"/>
                <w:sz w:val="24"/>
                <w:szCs w:val="24"/>
                <w:lang w:val="lv-LV"/>
              </w:rPr>
              <w:footnoteReference w:id="11"/>
            </w:r>
            <w:r w:rsidRPr="00507DE7">
              <w:rPr>
                <w:sz w:val="24"/>
                <w:szCs w:val="24"/>
                <w:lang w:val="lv-LV"/>
              </w:rPr>
              <w:t xml:space="preserve"> ir </w:t>
            </w:r>
            <w:r w:rsidRPr="00507DE7">
              <w:rPr>
                <w:b/>
                <w:sz w:val="24"/>
                <w:szCs w:val="24"/>
                <w:lang w:val="lv-LV"/>
              </w:rPr>
              <w:t>attiecināmas</w:t>
            </w:r>
            <w:r w:rsidRPr="00507DE7">
              <w:rPr>
                <w:sz w:val="24"/>
                <w:szCs w:val="24"/>
                <w:lang w:val="lv-LV"/>
              </w:rPr>
              <w:t xml:space="preserve"> šādas finansējuma saņēmējam sniegto ārējo konsultantu pakalpojumu </w:t>
            </w:r>
            <w:r w:rsidRPr="00507DE7">
              <w:rPr>
                <w:b/>
                <w:sz w:val="24"/>
                <w:szCs w:val="24"/>
                <w:lang w:val="lv-LV"/>
              </w:rPr>
              <w:t>izmaksas akciju vai parāda vērtspapīru iekļaušanai tirdzniecības vietā</w:t>
            </w:r>
            <w:r w:rsidRPr="00507DE7">
              <w:rPr>
                <w:sz w:val="24"/>
                <w:szCs w:val="24"/>
                <w:lang w:val="lv-LV"/>
              </w:rPr>
              <w:t xml:space="preserve">: </w:t>
            </w:r>
          </w:p>
          <w:p w14:paraId="4293E9E3" w14:textId="3EAAB5DC" w:rsidR="009C3B76" w:rsidRPr="00507DE7" w:rsidRDefault="009C3B76" w:rsidP="00C414AE">
            <w:pPr>
              <w:pStyle w:val="ListParagraph"/>
              <w:numPr>
                <w:ilvl w:val="0"/>
                <w:numId w:val="29"/>
              </w:numPr>
              <w:ind w:left="729"/>
              <w:jc w:val="both"/>
              <w:rPr>
                <w:sz w:val="24"/>
                <w:szCs w:val="24"/>
                <w:lang w:val="lv-LV"/>
              </w:rPr>
            </w:pPr>
            <w:r w:rsidRPr="00507DE7">
              <w:rPr>
                <w:sz w:val="24"/>
                <w:szCs w:val="24"/>
                <w:lang w:val="lv-LV"/>
              </w:rPr>
              <w:t>kapitāla piesaistīšanas (</w:t>
            </w:r>
            <w:r w:rsidR="0004217D">
              <w:rPr>
                <w:sz w:val="24"/>
                <w:szCs w:val="24"/>
                <w:lang w:val="lv-LV"/>
              </w:rPr>
              <w:t>emisijas organizētāja</w:t>
            </w:r>
            <w:r w:rsidRPr="00507DE7">
              <w:rPr>
                <w:sz w:val="24"/>
                <w:szCs w:val="24"/>
                <w:lang w:val="lv-LV"/>
              </w:rPr>
              <w:t xml:space="preserve"> pakalpojumu) izmaksas, </w:t>
            </w:r>
          </w:p>
          <w:p w14:paraId="3F809403" w14:textId="77777777" w:rsidR="009C3B76" w:rsidRPr="00507DE7" w:rsidRDefault="009C3B76" w:rsidP="00C414AE">
            <w:pPr>
              <w:pStyle w:val="ListParagraph"/>
              <w:numPr>
                <w:ilvl w:val="0"/>
                <w:numId w:val="29"/>
              </w:numPr>
              <w:ind w:left="729"/>
              <w:jc w:val="both"/>
              <w:rPr>
                <w:sz w:val="24"/>
                <w:szCs w:val="24"/>
                <w:lang w:val="lv-LV"/>
              </w:rPr>
            </w:pPr>
            <w:r w:rsidRPr="00507DE7">
              <w:rPr>
                <w:sz w:val="24"/>
                <w:szCs w:val="24"/>
                <w:lang w:val="lv-LV"/>
              </w:rPr>
              <w:t xml:space="preserve">emisijas prospekta (vai reģistrācijas dokumenta, vērtspapīru apraksta un kopsavilkuma, ja emisijas prospekts sastāv no atsevišķiem dokumentiem), piedāvājuma dokumenta vai uzņēmuma apraksta sagatavošanas, apstiprināšanas un publicēšanas izdevumi, </w:t>
            </w:r>
          </w:p>
          <w:p w14:paraId="42BB1C2B" w14:textId="77777777" w:rsidR="009C3B76" w:rsidRPr="00507DE7" w:rsidRDefault="009C3B76" w:rsidP="00C414AE">
            <w:pPr>
              <w:pStyle w:val="ListParagraph"/>
              <w:numPr>
                <w:ilvl w:val="0"/>
                <w:numId w:val="29"/>
              </w:numPr>
              <w:ind w:left="729"/>
              <w:jc w:val="both"/>
              <w:rPr>
                <w:sz w:val="24"/>
                <w:szCs w:val="24"/>
                <w:lang w:val="lv-LV"/>
              </w:rPr>
            </w:pPr>
            <w:r w:rsidRPr="00507DE7">
              <w:rPr>
                <w:sz w:val="24"/>
                <w:szCs w:val="24"/>
                <w:lang w:val="lv-LV"/>
              </w:rPr>
              <w:t>padziļinātās izpētes (</w:t>
            </w:r>
            <w:proofErr w:type="spellStart"/>
            <w:r w:rsidRPr="00507DE7">
              <w:rPr>
                <w:i/>
                <w:sz w:val="24"/>
                <w:szCs w:val="24"/>
                <w:lang w:val="lv-LV"/>
              </w:rPr>
              <w:t>Due</w:t>
            </w:r>
            <w:proofErr w:type="spellEnd"/>
            <w:r w:rsidRPr="00507DE7">
              <w:rPr>
                <w:i/>
                <w:sz w:val="24"/>
                <w:szCs w:val="24"/>
                <w:lang w:val="lv-LV"/>
              </w:rPr>
              <w:t xml:space="preserve"> </w:t>
            </w:r>
            <w:proofErr w:type="spellStart"/>
            <w:r w:rsidRPr="00507DE7">
              <w:rPr>
                <w:i/>
                <w:sz w:val="24"/>
                <w:szCs w:val="24"/>
                <w:lang w:val="lv-LV"/>
              </w:rPr>
              <w:t>diligence</w:t>
            </w:r>
            <w:proofErr w:type="spellEnd"/>
            <w:r w:rsidRPr="00507DE7">
              <w:rPr>
                <w:sz w:val="24"/>
                <w:szCs w:val="24"/>
                <w:lang w:val="lv-LV"/>
              </w:rPr>
              <w:t>) un ar to saistītās izpētes izdevumi,</w:t>
            </w:r>
          </w:p>
          <w:p w14:paraId="1F3478BC" w14:textId="6FDFFF87" w:rsidR="009C3B76" w:rsidRPr="00507DE7" w:rsidRDefault="009C3B76" w:rsidP="00C414AE">
            <w:pPr>
              <w:pStyle w:val="ListParagraph"/>
              <w:numPr>
                <w:ilvl w:val="0"/>
                <w:numId w:val="29"/>
              </w:numPr>
              <w:ind w:left="729"/>
              <w:jc w:val="both"/>
              <w:rPr>
                <w:sz w:val="24"/>
                <w:szCs w:val="24"/>
                <w:lang w:val="lv-LV"/>
              </w:rPr>
            </w:pPr>
            <w:r w:rsidRPr="00507DE7">
              <w:rPr>
                <w:sz w:val="24"/>
                <w:szCs w:val="24"/>
                <w:lang w:val="lv-LV"/>
              </w:rPr>
              <w:t>Alternatīvā tirgus “First North” sertificētā konsultanta piesaistes un pakalpojumu izmaksas līdz vērtspapīru iekļaušanai Alternatīvajā tirgū “First North”,</w:t>
            </w:r>
          </w:p>
          <w:p w14:paraId="3B089957" w14:textId="2AA0A4D3" w:rsidR="009C3B76" w:rsidRPr="00507DE7" w:rsidRDefault="009C3B76" w:rsidP="00C414AE">
            <w:pPr>
              <w:pStyle w:val="ListParagraph"/>
              <w:numPr>
                <w:ilvl w:val="0"/>
                <w:numId w:val="29"/>
              </w:numPr>
              <w:ind w:left="729"/>
              <w:jc w:val="both"/>
              <w:rPr>
                <w:sz w:val="24"/>
                <w:szCs w:val="24"/>
                <w:lang w:val="lv-LV"/>
              </w:rPr>
            </w:pPr>
            <w:r w:rsidRPr="00507DE7">
              <w:rPr>
                <w:sz w:val="24"/>
                <w:szCs w:val="24"/>
                <w:lang w:val="lv-LV"/>
              </w:rPr>
              <w:t>jebkuras juridiskās, finanšu, nodokļu, auditoru, sertificētu konsultantu konsultāciju izmaksas saistībā, kas atbilst Komisijas regulas Nr.</w:t>
            </w:r>
            <w:r w:rsidR="00197D9A">
              <w:rPr>
                <w:sz w:val="24"/>
                <w:szCs w:val="24"/>
                <w:lang w:val="lv-LV"/>
              </w:rPr>
              <w:t> </w:t>
            </w:r>
            <w:r w:rsidRPr="00507DE7">
              <w:rPr>
                <w:sz w:val="24"/>
                <w:szCs w:val="24"/>
                <w:lang w:val="lv-LV"/>
              </w:rPr>
              <w:t>651/2014 18.</w:t>
            </w:r>
            <w:r w:rsidR="00197D9A">
              <w:rPr>
                <w:sz w:val="24"/>
                <w:szCs w:val="24"/>
                <w:lang w:val="lv-LV"/>
              </w:rPr>
              <w:t> </w:t>
            </w:r>
            <w:r w:rsidRPr="00507DE7">
              <w:rPr>
                <w:sz w:val="24"/>
                <w:szCs w:val="24"/>
                <w:lang w:val="lv-LV"/>
              </w:rPr>
              <w:t>panta 4.</w:t>
            </w:r>
            <w:r w:rsidR="00197D9A">
              <w:rPr>
                <w:sz w:val="24"/>
                <w:szCs w:val="24"/>
                <w:lang w:val="lv-LV"/>
              </w:rPr>
              <w:t> </w:t>
            </w:r>
            <w:r w:rsidRPr="00507DE7">
              <w:rPr>
                <w:sz w:val="24"/>
                <w:szCs w:val="24"/>
                <w:lang w:val="lv-LV"/>
              </w:rPr>
              <w:t>punktam</w:t>
            </w:r>
            <w:r w:rsidR="00AD375A">
              <w:rPr>
                <w:sz w:val="24"/>
                <w:szCs w:val="24"/>
                <w:lang w:val="lv-LV"/>
              </w:rPr>
              <w:t>.</w:t>
            </w:r>
          </w:p>
          <w:p w14:paraId="53EF7EAA" w14:textId="3D62E87E" w:rsidR="009C3B76" w:rsidRPr="00507DE7" w:rsidRDefault="009C3B76" w:rsidP="00394365">
            <w:pPr>
              <w:ind w:firstLine="357"/>
              <w:contextualSpacing/>
              <w:jc w:val="both"/>
              <w:rPr>
                <w:sz w:val="24"/>
                <w:szCs w:val="24"/>
                <w:lang w:val="lv-LV"/>
              </w:rPr>
            </w:pPr>
            <w:r w:rsidRPr="00507DE7">
              <w:rPr>
                <w:sz w:val="24"/>
                <w:szCs w:val="24"/>
                <w:lang w:val="lv-LV"/>
              </w:rPr>
              <w:t xml:space="preserve">Pasākuma ietvaros nav attiecināmas izmaksas par jebkura </w:t>
            </w:r>
            <w:r w:rsidRPr="00507DE7">
              <w:rPr>
                <w:b/>
                <w:sz w:val="24"/>
                <w:szCs w:val="24"/>
                <w:lang w:val="lv-LV"/>
              </w:rPr>
              <w:t xml:space="preserve">regulētā tirgus </w:t>
            </w:r>
            <w:r w:rsidRPr="00507DE7">
              <w:rPr>
                <w:sz w:val="24"/>
                <w:szCs w:val="24"/>
                <w:lang w:val="lv-LV"/>
              </w:rPr>
              <w:t>(AS “</w:t>
            </w:r>
            <w:proofErr w:type="spellStart"/>
            <w:r w:rsidRPr="00507DE7">
              <w:rPr>
                <w:sz w:val="24"/>
                <w:szCs w:val="24"/>
                <w:lang w:val="lv-LV"/>
              </w:rPr>
              <w:t>Nasdaq</w:t>
            </w:r>
            <w:proofErr w:type="spellEnd"/>
            <w:r w:rsidRPr="00507DE7">
              <w:rPr>
                <w:sz w:val="24"/>
                <w:szCs w:val="24"/>
                <w:lang w:val="lv-LV"/>
              </w:rPr>
              <w:t xml:space="preserve"> </w:t>
            </w:r>
            <w:proofErr w:type="spellStart"/>
            <w:r w:rsidRPr="00507DE7">
              <w:rPr>
                <w:sz w:val="24"/>
                <w:szCs w:val="24"/>
                <w:lang w:val="lv-LV"/>
              </w:rPr>
              <w:t>Riga</w:t>
            </w:r>
            <w:proofErr w:type="spellEnd"/>
            <w:r w:rsidRPr="00507DE7">
              <w:rPr>
                <w:sz w:val="24"/>
                <w:szCs w:val="24"/>
                <w:lang w:val="lv-LV"/>
              </w:rPr>
              <w:t xml:space="preserve">” / </w:t>
            </w:r>
            <w:proofErr w:type="spellStart"/>
            <w:r w:rsidRPr="00507DE7">
              <w:rPr>
                <w:sz w:val="24"/>
                <w:szCs w:val="24"/>
                <w:lang w:val="lv-LV"/>
              </w:rPr>
              <w:t>Nasdaq</w:t>
            </w:r>
            <w:proofErr w:type="spellEnd"/>
            <w:r w:rsidRPr="00507DE7">
              <w:rPr>
                <w:sz w:val="24"/>
                <w:szCs w:val="24"/>
                <w:lang w:val="lv-LV"/>
              </w:rPr>
              <w:t xml:space="preserve"> centrālā vērtspapīru depozitārija </w:t>
            </w:r>
            <w:proofErr w:type="spellStart"/>
            <w:r w:rsidRPr="001148F2">
              <w:rPr>
                <w:i/>
                <w:sz w:val="24"/>
                <w:szCs w:val="24"/>
                <w:lang w:val="lv-LV"/>
              </w:rPr>
              <w:t>Societas</w:t>
            </w:r>
            <w:proofErr w:type="spellEnd"/>
            <w:r w:rsidRPr="001148F2">
              <w:rPr>
                <w:i/>
                <w:sz w:val="24"/>
                <w:szCs w:val="24"/>
                <w:lang w:val="lv-LV"/>
              </w:rPr>
              <w:t xml:space="preserve"> </w:t>
            </w:r>
            <w:proofErr w:type="spellStart"/>
            <w:r w:rsidRPr="001148F2">
              <w:rPr>
                <w:i/>
                <w:sz w:val="24"/>
                <w:szCs w:val="24"/>
                <w:lang w:val="lv-LV"/>
              </w:rPr>
              <w:t>Europaea</w:t>
            </w:r>
            <w:proofErr w:type="spellEnd"/>
            <w:r w:rsidRPr="00507DE7">
              <w:rPr>
                <w:sz w:val="24"/>
                <w:szCs w:val="24"/>
                <w:lang w:val="lv-LV"/>
              </w:rPr>
              <w:t xml:space="preserve"> (turpmāk </w:t>
            </w:r>
            <w:r w:rsidR="001148F2">
              <w:rPr>
                <w:sz w:val="24"/>
                <w:szCs w:val="24"/>
                <w:lang w:val="lv-LV"/>
              </w:rPr>
              <w:t>–</w:t>
            </w:r>
            <w:r w:rsidRPr="00507DE7">
              <w:rPr>
                <w:sz w:val="24"/>
                <w:szCs w:val="24"/>
                <w:lang w:val="lv-LV"/>
              </w:rPr>
              <w:t xml:space="preserve"> </w:t>
            </w:r>
            <w:proofErr w:type="spellStart"/>
            <w:r w:rsidRPr="00507DE7">
              <w:rPr>
                <w:sz w:val="24"/>
                <w:szCs w:val="24"/>
                <w:lang w:val="lv-LV"/>
              </w:rPr>
              <w:t>Nasdaq</w:t>
            </w:r>
            <w:proofErr w:type="spellEnd"/>
            <w:r w:rsidR="001148F2">
              <w:rPr>
                <w:sz w:val="24"/>
                <w:szCs w:val="24"/>
                <w:lang w:val="lv-LV"/>
              </w:rPr>
              <w:t xml:space="preserve"> </w:t>
            </w:r>
            <w:r w:rsidRPr="00507DE7">
              <w:rPr>
                <w:sz w:val="24"/>
                <w:szCs w:val="24"/>
                <w:lang w:val="lv-LV"/>
              </w:rPr>
              <w:t xml:space="preserve">CSD SE) </w:t>
            </w:r>
            <w:r w:rsidRPr="00507DE7">
              <w:rPr>
                <w:b/>
                <w:sz w:val="24"/>
                <w:szCs w:val="24"/>
                <w:lang w:val="lv-LV"/>
              </w:rPr>
              <w:t>emitentiem piemērojamām maksām,</w:t>
            </w:r>
            <w:r w:rsidRPr="00507DE7">
              <w:rPr>
                <w:sz w:val="24"/>
                <w:szCs w:val="24"/>
                <w:lang w:val="lv-LV"/>
              </w:rPr>
              <w:t xml:space="preserve"> pievienošanās un gada maksām, maksām par AS “</w:t>
            </w:r>
            <w:proofErr w:type="spellStart"/>
            <w:r w:rsidRPr="00507DE7">
              <w:rPr>
                <w:sz w:val="24"/>
                <w:szCs w:val="24"/>
                <w:lang w:val="lv-LV"/>
              </w:rPr>
              <w:t>Nasdaq</w:t>
            </w:r>
            <w:proofErr w:type="spellEnd"/>
            <w:r w:rsidRPr="00507DE7">
              <w:rPr>
                <w:sz w:val="24"/>
                <w:szCs w:val="24"/>
                <w:lang w:val="lv-LV"/>
              </w:rPr>
              <w:t xml:space="preserve"> </w:t>
            </w:r>
            <w:proofErr w:type="spellStart"/>
            <w:r w:rsidRPr="00507DE7">
              <w:rPr>
                <w:sz w:val="24"/>
                <w:szCs w:val="24"/>
                <w:lang w:val="lv-LV"/>
              </w:rPr>
              <w:t>Riga</w:t>
            </w:r>
            <w:proofErr w:type="spellEnd"/>
            <w:r w:rsidRPr="00507DE7">
              <w:rPr>
                <w:sz w:val="24"/>
                <w:szCs w:val="24"/>
                <w:lang w:val="lv-LV"/>
              </w:rPr>
              <w:t xml:space="preserve">” / </w:t>
            </w:r>
            <w:proofErr w:type="spellStart"/>
            <w:r w:rsidRPr="00507DE7">
              <w:rPr>
                <w:sz w:val="24"/>
                <w:szCs w:val="24"/>
                <w:lang w:val="lv-LV"/>
              </w:rPr>
              <w:t>Nasdaq</w:t>
            </w:r>
            <w:proofErr w:type="spellEnd"/>
            <w:r w:rsidRPr="00507DE7">
              <w:rPr>
                <w:sz w:val="24"/>
                <w:szCs w:val="24"/>
                <w:lang w:val="lv-LV"/>
              </w:rPr>
              <w:t xml:space="preserve"> CSD SE pakalpojumiem un citas regulārās maksas saistībā ar kotāciju un tirdzniecību), </w:t>
            </w:r>
            <w:r w:rsidRPr="00507DE7">
              <w:rPr>
                <w:b/>
                <w:sz w:val="24"/>
                <w:szCs w:val="24"/>
                <w:lang w:val="lv-LV"/>
              </w:rPr>
              <w:t xml:space="preserve">ar iekļaušanu regulētajā tirgū nesaistītām izmaksām </w:t>
            </w:r>
            <w:r w:rsidRPr="00507DE7">
              <w:rPr>
                <w:sz w:val="24"/>
                <w:szCs w:val="24"/>
                <w:lang w:val="lv-LV"/>
              </w:rPr>
              <w:t xml:space="preserve">un </w:t>
            </w:r>
            <w:r w:rsidRPr="00507DE7">
              <w:rPr>
                <w:b/>
                <w:sz w:val="24"/>
                <w:szCs w:val="24"/>
                <w:lang w:val="lv-LV"/>
              </w:rPr>
              <w:t>regulāriem maksājumiem ikdienas komercdarbības ietvaro</w:t>
            </w:r>
            <w:r w:rsidRPr="00507DE7">
              <w:rPr>
                <w:sz w:val="24"/>
                <w:szCs w:val="24"/>
                <w:lang w:val="lv-LV"/>
              </w:rPr>
              <w:t xml:space="preserve">s. Tāpat nav attiecināmas projekta iesniedzēja </w:t>
            </w:r>
            <w:r w:rsidRPr="00507DE7">
              <w:rPr>
                <w:b/>
                <w:sz w:val="24"/>
                <w:szCs w:val="24"/>
                <w:lang w:val="lv-LV"/>
              </w:rPr>
              <w:t>iekšējās pārveides izmaksas</w:t>
            </w:r>
            <w:r w:rsidRPr="00507DE7">
              <w:rPr>
                <w:sz w:val="24"/>
                <w:szCs w:val="24"/>
                <w:lang w:val="lv-LV"/>
              </w:rPr>
              <w:t xml:space="preserve">, kas nav tieši saistītas ar iekļaušanu regulētajā tirgū un nepieciešamas šim mērķim (piemēram, izmaiņas finansējuma saņēmēja iekšējā organizatoriskajā struktūrā </w:t>
            </w:r>
            <w:r w:rsidR="00D96F7F">
              <w:rPr>
                <w:sz w:val="24"/>
                <w:szCs w:val="24"/>
                <w:lang w:val="lv-LV"/>
              </w:rPr>
              <w:t>–</w:t>
            </w:r>
            <w:r w:rsidRPr="00507DE7">
              <w:rPr>
                <w:sz w:val="24"/>
                <w:szCs w:val="24"/>
                <w:lang w:val="lv-LV"/>
              </w:rPr>
              <w:t xml:space="preserve"> nodaļu, departamentu u.tml. struktūrā) un izmaksas, par kurām nav iesniegti finanšu līdzekļu izlietojumu apliecinošie dokumenti.</w:t>
            </w:r>
          </w:p>
          <w:p w14:paraId="25DB145B" w14:textId="3158CBB9" w:rsidR="009C3B76" w:rsidRPr="00507DE7" w:rsidRDefault="009C3B76" w:rsidP="00394365">
            <w:pPr>
              <w:ind w:firstLine="357"/>
              <w:contextualSpacing/>
              <w:jc w:val="both"/>
              <w:rPr>
                <w:sz w:val="24"/>
                <w:szCs w:val="24"/>
                <w:lang w:val="lv-LV"/>
              </w:rPr>
            </w:pPr>
            <w:r w:rsidRPr="00507DE7">
              <w:rPr>
                <w:sz w:val="24"/>
                <w:szCs w:val="24"/>
                <w:lang w:val="lv-LV"/>
              </w:rPr>
              <w:t xml:space="preserve">Vienam projekta iesniedzējam maksimālais finansējums ir </w:t>
            </w:r>
            <w:r w:rsidRPr="00507DE7">
              <w:rPr>
                <w:b/>
                <w:sz w:val="24"/>
                <w:szCs w:val="24"/>
                <w:lang w:val="lv-LV"/>
              </w:rPr>
              <w:t>100 000</w:t>
            </w:r>
            <w:r w:rsidRPr="00507DE7">
              <w:rPr>
                <w:sz w:val="24"/>
                <w:szCs w:val="24"/>
                <w:lang w:val="lv-LV"/>
              </w:rPr>
              <w:t xml:space="preserve"> </w:t>
            </w:r>
            <w:proofErr w:type="spellStart"/>
            <w:r w:rsidRPr="00507DE7">
              <w:rPr>
                <w:b/>
                <w:i/>
                <w:sz w:val="24"/>
                <w:szCs w:val="24"/>
                <w:lang w:val="lv-LV"/>
              </w:rPr>
              <w:t>euro</w:t>
            </w:r>
            <w:proofErr w:type="spellEnd"/>
            <w:r w:rsidRPr="00507DE7">
              <w:rPr>
                <w:b/>
                <w:i/>
                <w:sz w:val="24"/>
                <w:szCs w:val="24"/>
                <w:lang w:val="lv-LV"/>
              </w:rPr>
              <w:t xml:space="preserve"> </w:t>
            </w:r>
            <w:r w:rsidRPr="00507DE7">
              <w:rPr>
                <w:b/>
                <w:sz w:val="24"/>
                <w:szCs w:val="24"/>
                <w:lang w:val="lv-LV"/>
              </w:rPr>
              <w:t>viena akciju emisijas iesnieguma gadījumā</w:t>
            </w:r>
            <w:r w:rsidRPr="00507DE7">
              <w:rPr>
                <w:b/>
                <w:i/>
                <w:sz w:val="24"/>
                <w:szCs w:val="24"/>
                <w:lang w:val="lv-LV"/>
              </w:rPr>
              <w:t xml:space="preserve"> un </w:t>
            </w:r>
            <w:r w:rsidRPr="00507DE7">
              <w:rPr>
                <w:b/>
                <w:sz w:val="24"/>
                <w:szCs w:val="24"/>
                <w:lang w:val="lv-LV"/>
              </w:rPr>
              <w:t>20 000</w:t>
            </w:r>
            <w:r w:rsidRPr="00507DE7">
              <w:rPr>
                <w:sz w:val="24"/>
                <w:szCs w:val="24"/>
                <w:lang w:val="lv-LV"/>
              </w:rPr>
              <w:t xml:space="preserve"> </w:t>
            </w:r>
            <w:proofErr w:type="spellStart"/>
            <w:r w:rsidRPr="00507DE7">
              <w:rPr>
                <w:b/>
                <w:i/>
                <w:sz w:val="24"/>
                <w:szCs w:val="24"/>
                <w:lang w:val="lv-LV"/>
              </w:rPr>
              <w:t>euro</w:t>
            </w:r>
            <w:proofErr w:type="spellEnd"/>
            <w:r w:rsidRPr="00507DE7">
              <w:rPr>
                <w:b/>
                <w:i/>
                <w:sz w:val="24"/>
                <w:szCs w:val="24"/>
                <w:lang w:val="lv-LV"/>
              </w:rPr>
              <w:t xml:space="preserve"> </w:t>
            </w:r>
            <w:r w:rsidRPr="00507DE7">
              <w:rPr>
                <w:b/>
                <w:sz w:val="24"/>
                <w:szCs w:val="24"/>
                <w:lang w:val="lv-LV"/>
              </w:rPr>
              <w:t>viena parādu vērtspapīru emisijas iesnieguma gadījumā</w:t>
            </w:r>
            <w:r w:rsidRPr="00507DE7">
              <w:rPr>
                <w:sz w:val="24"/>
                <w:szCs w:val="24"/>
                <w:lang w:val="lv-LV"/>
              </w:rPr>
              <w:t xml:space="preserve">, </w:t>
            </w:r>
            <w:r w:rsidRPr="00507DE7">
              <w:rPr>
                <w:b/>
                <w:sz w:val="24"/>
                <w:szCs w:val="24"/>
                <w:lang w:val="lv-LV"/>
              </w:rPr>
              <w:t>maksimālajai atbalsta intensitātei nepārsniedzot 50%</w:t>
            </w:r>
            <w:r w:rsidRPr="00507DE7">
              <w:rPr>
                <w:sz w:val="24"/>
                <w:szCs w:val="24"/>
                <w:lang w:val="lv-LV"/>
              </w:rPr>
              <w:t xml:space="preserve"> no pasākumam attiecināmajām izmaksām.</w:t>
            </w:r>
          </w:p>
          <w:p w14:paraId="1DB15566" w14:textId="1726B43B" w:rsidR="009C3B76" w:rsidRPr="00507DE7" w:rsidRDefault="009C3B76" w:rsidP="00394365">
            <w:pPr>
              <w:ind w:firstLine="357"/>
              <w:contextualSpacing/>
              <w:jc w:val="both"/>
              <w:rPr>
                <w:sz w:val="24"/>
                <w:szCs w:val="24"/>
                <w:lang w:val="lv-LV"/>
              </w:rPr>
            </w:pPr>
            <w:r w:rsidRPr="00507DE7">
              <w:rPr>
                <w:sz w:val="24"/>
                <w:szCs w:val="24"/>
                <w:lang w:val="lv-LV"/>
              </w:rPr>
              <w:lastRenderedPageBreak/>
              <w:t xml:space="preserve">Pasākuma ietvaros </w:t>
            </w:r>
            <w:r w:rsidRPr="00507DE7">
              <w:rPr>
                <w:b/>
                <w:sz w:val="24"/>
                <w:szCs w:val="24"/>
                <w:lang w:val="lv-LV"/>
              </w:rPr>
              <w:t>atbalsts tiek piešķirts</w:t>
            </w:r>
            <w:r w:rsidRPr="00507DE7">
              <w:rPr>
                <w:sz w:val="24"/>
                <w:szCs w:val="24"/>
                <w:lang w:val="lv-LV"/>
              </w:rPr>
              <w:t xml:space="preserve"> </w:t>
            </w:r>
            <w:r w:rsidRPr="00507DE7">
              <w:rPr>
                <w:b/>
                <w:sz w:val="24"/>
                <w:szCs w:val="24"/>
                <w:lang w:val="lv-LV"/>
              </w:rPr>
              <w:t xml:space="preserve">tikai pēc sekmīgas akciju vai parāda vērstpapīru iekļaušanās tirdzniecības vietā </w:t>
            </w:r>
            <w:r w:rsidRPr="00507DE7">
              <w:rPr>
                <w:sz w:val="24"/>
                <w:szCs w:val="24"/>
                <w:lang w:val="lv-LV"/>
              </w:rPr>
              <w:t>– proti, uzņēmums vispirms iesniedz pieteikuma dokumentāciju sadarbības iestādei – Centrālajai un finanšu līgumu aģentūrai (turpmāk – CFLA) – un atbalsts tiek izmaksāts tikai pēc sekmīgas iekļaušanās tirdzniecības vietā ar mērķi nodrošināt atbalsta saņēmēju motivāciju sagatavot pēc iespējas kvalitatīvu projektu iesniegšanu.</w:t>
            </w:r>
            <w:r w:rsidR="00A77F8F">
              <w:rPr>
                <w:sz w:val="24"/>
                <w:szCs w:val="24"/>
                <w:lang w:val="lv-LV"/>
              </w:rPr>
              <w:t xml:space="preserve"> </w:t>
            </w:r>
            <w:r w:rsidRPr="00507DE7">
              <w:rPr>
                <w:sz w:val="24"/>
                <w:szCs w:val="24"/>
                <w:lang w:val="lv-LV"/>
              </w:rPr>
              <w:t>Atbilstoši programmas uzbūvei, atbalsta piešķiršanas brīdis ir līguma noslēgšana ar CFLA.</w:t>
            </w:r>
          </w:p>
          <w:p w14:paraId="3725DFC7" w14:textId="3F6CF5BE" w:rsidR="009C3B76" w:rsidRPr="00507DE7" w:rsidRDefault="009C3B76" w:rsidP="00394365">
            <w:pPr>
              <w:ind w:firstLine="357"/>
              <w:contextualSpacing/>
              <w:jc w:val="both"/>
              <w:rPr>
                <w:sz w:val="24"/>
                <w:szCs w:val="24"/>
                <w:lang w:val="lv-LV"/>
              </w:rPr>
            </w:pPr>
            <w:r w:rsidRPr="00507DE7">
              <w:rPr>
                <w:sz w:val="24"/>
                <w:szCs w:val="24"/>
                <w:lang w:val="lv-LV"/>
              </w:rPr>
              <w:t xml:space="preserve">Finansējuma saņēmējs zaudē tiesības uz finansējumu, ja nesasniedz mērķus, kuriem finansējums piešķirts, </w:t>
            </w:r>
            <w:r w:rsidRPr="00507DE7">
              <w:rPr>
                <w:b/>
                <w:sz w:val="24"/>
                <w:szCs w:val="24"/>
                <w:lang w:val="lv-LV"/>
              </w:rPr>
              <w:t xml:space="preserve">neuzsāk pasākuma darbības </w:t>
            </w:r>
            <w:r w:rsidR="0004217D">
              <w:rPr>
                <w:b/>
                <w:sz w:val="24"/>
                <w:szCs w:val="24"/>
                <w:lang w:val="lv-LV"/>
              </w:rPr>
              <w:t>gada</w:t>
            </w:r>
            <w:r w:rsidRPr="00507DE7">
              <w:rPr>
                <w:b/>
                <w:sz w:val="24"/>
                <w:szCs w:val="24"/>
                <w:lang w:val="lv-LV"/>
              </w:rPr>
              <w:t xml:space="preserve"> laikā</w:t>
            </w:r>
            <w:r w:rsidRPr="00CE5D8D">
              <w:rPr>
                <w:rStyle w:val="FootnoteReference"/>
                <w:sz w:val="24"/>
                <w:szCs w:val="24"/>
                <w:lang w:val="lv-LV"/>
              </w:rPr>
              <w:footnoteReference w:id="12"/>
            </w:r>
            <w:r w:rsidRPr="00507DE7">
              <w:rPr>
                <w:sz w:val="24"/>
                <w:szCs w:val="24"/>
                <w:lang w:val="lv-LV"/>
              </w:rPr>
              <w:t xml:space="preserve"> </w:t>
            </w:r>
            <w:r w:rsidRPr="00507DE7">
              <w:rPr>
                <w:b/>
                <w:sz w:val="24"/>
                <w:szCs w:val="24"/>
                <w:lang w:val="lv-LV"/>
              </w:rPr>
              <w:t>no finansējuma piešķiršanas</w:t>
            </w:r>
            <w:r w:rsidRPr="00507DE7">
              <w:rPr>
                <w:sz w:val="24"/>
                <w:szCs w:val="24"/>
                <w:lang w:val="lv-LV"/>
              </w:rPr>
              <w:t xml:space="preserve"> </w:t>
            </w:r>
            <w:r w:rsidRPr="00507DE7">
              <w:rPr>
                <w:b/>
                <w:sz w:val="24"/>
                <w:szCs w:val="24"/>
                <w:lang w:val="lv-LV"/>
              </w:rPr>
              <w:t>brīža</w:t>
            </w:r>
            <w:r w:rsidRPr="00507DE7">
              <w:rPr>
                <w:sz w:val="24"/>
                <w:szCs w:val="24"/>
                <w:lang w:val="lv-LV"/>
              </w:rPr>
              <w:t xml:space="preserve"> </w:t>
            </w:r>
            <w:r w:rsidRPr="00507DE7">
              <w:rPr>
                <w:b/>
                <w:sz w:val="24"/>
                <w:szCs w:val="24"/>
                <w:lang w:val="lv-LV"/>
              </w:rPr>
              <w:t>vai nepilda</w:t>
            </w:r>
            <w:r w:rsidRPr="00507DE7">
              <w:rPr>
                <w:sz w:val="24"/>
                <w:szCs w:val="24"/>
                <w:lang w:val="lv-LV"/>
              </w:rPr>
              <w:t xml:space="preserve"> noteikumu projektā vai </w:t>
            </w:r>
            <w:r w:rsidRPr="00507DE7">
              <w:rPr>
                <w:b/>
                <w:sz w:val="24"/>
                <w:szCs w:val="24"/>
                <w:lang w:val="lv-LV"/>
              </w:rPr>
              <w:t>līgumā</w:t>
            </w:r>
            <w:r w:rsidRPr="00507DE7">
              <w:rPr>
                <w:sz w:val="24"/>
                <w:szCs w:val="24"/>
                <w:lang w:val="lv-LV"/>
              </w:rPr>
              <w:t xml:space="preserve"> ar sadarbības iestādi par pasākuma darbību īstenošanu </w:t>
            </w:r>
            <w:r w:rsidRPr="00507DE7">
              <w:rPr>
                <w:b/>
                <w:sz w:val="24"/>
                <w:szCs w:val="24"/>
                <w:lang w:val="lv-LV"/>
              </w:rPr>
              <w:t>noteiktos pienākumus</w:t>
            </w:r>
            <w:r w:rsidRPr="00507DE7">
              <w:rPr>
                <w:sz w:val="24"/>
                <w:szCs w:val="24"/>
                <w:lang w:val="lv-LV"/>
              </w:rPr>
              <w:t xml:space="preserve">. </w:t>
            </w:r>
          </w:p>
          <w:p w14:paraId="5863D2CB" w14:textId="6AFB1EDF" w:rsidR="00AD375A" w:rsidRDefault="009C3B76" w:rsidP="00394365">
            <w:pPr>
              <w:ind w:firstLine="357"/>
              <w:contextualSpacing/>
              <w:jc w:val="both"/>
              <w:rPr>
                <w:sz w:val="24"/>
                <w:szCs w:val="24"/>
                <w:lang w:val="lv-LV"/>
              </w:rPr>
            </w:pPr>
            <w:bookmarkStart w:id="3" w:name="_Hlk11679360"/>
            <w:r w:rsidRPr="00507DE7">
              <w:rPr>
                <w:sz w:val="24"/>
                <w:szCs w:val="24"/>
                <w:lang w:val="lv-LV"/>
              </w:rPr>
              <w:t>Akciju emisijas atbalstāmo darbību ietvaros finansējuma saņēmējs iesniedz sadarbības iestādei (CFLA) Finanšu un kapitāla tirgus komisijas apstiprinātu emisijas prospektu (vai reģistrācijas dokumentu, vērtspapīru aprakstu un kopsavilkumu, ja emisijas prospekts sastāv no atsevišķiem dokumentiem), prospektu (vai reģistrācijas dokumentu, vērtspapīru aprakstu un kopsavilkumu, ja prospekts sastāv no atsevišķiem dokumentiem), piedāvājuma dokumentu, vai AS “</w:t>
            </w:r>
            <w:proofErr w:type="spellStart"/>
            <w:r w:rsidRPr="00507DE7">
              <w:rPr>
                <w:sz w:val="24"/>
                <w:szCs w:val="24"/>
                <w:lang w:val="lv-LV"/>
              </w:rPr>
              <w:t>Nasdaq</w:t>
            </w:r>
            <w:proofErr w:type="spellEnd"/>
            <w:r w:rsidRPr="00507DE7">
              <w:rPr>
                <w:sz w:val="24"/>
                <w:szCs w:val="24"/>
                <w:lang w:val="lv-LV"/>
              </w:rPr>
              <w:t xml:space="preserve"> </w:t>
            </w:r>
            <w:proofErr w:type="spellStart"/>
            <w:r w:rsidRPr="00507DE7">
              <w:rPr>
                <w:sz w:val="24"/>
                <w:szCs w:val="24"/>
                <w:lang w:val="lv-LV"/>
              </w:rPr>
              <w:t>Riga</w:t>
            </w:r>
            <w:proofErr w:type="spellEnd"/>
            <w:r w:rsidRPr="00507DE7">
              <w:rPr>
                <w:sz w:val="24"/>
                <w:szCs w:val="24"/>
                <w:lang w:val="lv-LV"/>
              </w:rPr>
              <w:t>” apstiprinātu uzņēmuma aprakstu (ja saskaņā ar Finanšu instrumentu tirgus likum</w:t>
            </w:r>
            <w:r w:rsidR="00C86327">
              <w:rPr>
                <w:sz w:val="24"/>
                <w:szCs w:val="24"/>
                <w:lang w:val="lv-LV"/>
              </w:rPr>
              <w:t>a 16.pantu</w:t>
            </w:r>
            <w:r w:rsidRPr="00507DE7">
              <w:rPr>
                <w:sz w:val="24"/>
                <w:szCs w:val="24"/>
                <w:lang w:val="lv-LV"/>
              </w:rPr>
              <w:t xml:space="preserve"> finansējuma saņēmējam nav pienākums sagatavot emisijas prospektu, prospektu vai piedāvājuma dokumentu) viena gada laikā no sadarbības iestādes līguma par pasākuma darbību īstenošanu noslēgšanas vai parāda vērtspapīru emisijas atbalstāmo darbību ietvaros finansējuma saņēmējs neiesniedz sadarbības iestādei Finanšu un kapitāla tirgus komisijas apstiprinātu emisijas prospektu (vai </w:t>
            </w:r>
            <w:proofErr w:type="spellStart"/>
            <w:r w:rsidRPr="00507DE7">
              <w:rPr>
                <w:sz w:val="24"/>
                <w:szCs w:val="24"/>
                <w:lang w:val="lv-LV"/>
              </w:rPr>
              <w:t>pamatprospektu</w:t>
            </w:r>
            <w:proofErr w:type="spellEnd"/>
            <w:r w:rsidRPr="00507DE7">
              <w:rPr>
                <w:sz w:val="24"/>
                <w:szCs w:val="24"/>
                <w:lang w:val="lv-LV"/>
              </w:rPr>
              <w:t>, ja tas sagatavots emisijas prospekta vietā) vai piedāvājuma dokumentu (ja finansējuma saņēmējam tas jāgatavo un jāpublicē saskaņā ar Finanšu instrumentu tirgus likumu), vai AS “</w:t>
            </w:r>
            <w:proofErr w:type="spellStart"/>
            <w:r w:rsidRPr="00507DE7">
              <w:rPr>
                <w:sz w:val="24"/>
                <w:szCs w:val="24"/>
                <w:lang w:val="lv-LV"/>
              </w:rPr>
              <w:t>Nasdaq</w:t>
            </w:r>
            <w:proofErr w:type="spellEnd"/>
            <w:r w:rsidRPr="00507DE7">
              <w:rPr>
                <w:sz w:val="24"/>
                <w:szCs w:val="24"/>
                <w:lang w:val="lv-LV"/>
              </w:rPr>
              <w:t xml:space="preserve"> </w:t>
            </w:r>
            <w:proofErr w:type="spellStart"/>
            <w:r w:rsidRPr="00507DE7">
              <w:rPr>
                <w:sz w:val="24"/>
                <w:szCs w:val="24"/>
                <w:lang w:val="lv-LV"/>
              </w:rPr>
              <w:t>Riga</w:t>
            </w:r>
            <w:proofErr w:type="spellEnd"/>
            <w:r w:rsidRPr="00507DE7">
              <w:rPr>
                <w:sz w:val="24"/>
                <w:szCs w:val="24"/>
                <w:lang w:val="lv-LV"/>
              </w:rPr>
              <w:t xml:space="preserve">” apstiprinātu uzņēmuma aprakstu vai vērtspapīru aprakstu (ja saskaņā ar Finanšu instrumentu tirgus likumu </w:t>
            </w:r>
            <w:r w:rsidR="00C86327">
              <w:rPr>
                <w:sz w:val="24"/>
                <w:szCs w:val="24"/>
                <w:lang w:val="lv-LV"/>
              </w:rPr>
              <w:t xml:space="preserve">16.pantu </w:t>
            </w:r>
            <w:r w:rsidRPr="00507DE7">
              <w:rPr>
                <w:sz w:val="24"/>
                <w:szCs w:val="24"/>
                <w:lang w:val="lv-LV"/>
              </w:rPr>
              <w:t>finansējuma saņēmējam nav pienākums sagatavot emisijas prospektu (</w:t>
            </w:r>
            <w:proofErr w:type="spellStart"/>
            <w:r w:rsidRPr="00507DE7">
              <w:rPr>
                <w:sz w:val="24"/>
                <w:szCs w:val="24"/>
                <w:lang w:val="lv-LV"/>
              </w:rPr>
              <w:t>pamatprospektu</w:t>
            </w:r>
            <w:proofErr w:type="spellEnd"/>
            <w:r w:rsidRPr="00507DE7">
              <w:rPr>
                <w:sz w:val="24"/>
                <w:szCs w:val="24"/>
                <w:lang w:val="lv-LV"/>
              </w:rPr>
              <w:t>) vai piedāvājuma dokumentu) viena gada laikā no sadarbības iestādes līguma par pasākuma darbību īstenošanu noslēgšanas atbilstoši komersanta iesniegtajam darbības plānam un tā izpildes laika grafikam.</w:t>
            </w:r>
          </w:p>
          <w:bookmarkEnd w:id="3"/>
          <w:p w14:paraId="57A40E2E" w14:textId="77777777" w:rsidR="00AD375A" w:rsidRPr="00507DE7" w:rsidRDefault="00AD375A" w:rsidP="00D71D93">
            <w:pPr>
              <w:contextualSpacing/>
              <w:jc w:val="both"/>
              <w:rPr>
                <w:sz w:val="24"/>
                <w:szCs w:val="24"/>
                <w:lang w:val="lv-LV"/>
              </w:rPr>
            </w:pPr>
          </w:p>
          <w:p w14:paraId="59063557" w14:textId="77777777" w:rsidR="009C3B76" w:rsidRPr="00507DE7" w:rsidRDefault="009C3B76" w:rsidP="00D71D93">
            <w:pPr>
              <w:ind w:firstLine="360"/>
              <w:contextualSpacing/>
              <w:jc w:val="both"/>
              <w:rPr>
                <w:b/>
                <w:sz w:val="24"/>
                <w:szCs w:val="24"/>
                <w:lang w:val="lv-LV"/>
              </w:rPr>
            </w:pPr>
            <w:r w:rsidRPr="00507DE7">
              <w:rPr>
                <w:b/>
                <w:sz w:val="24"/>
                <w:szCs w:val="24"/>
                <w:lang w:val="lv-LV"/>
              </w:rPr>
              <w:t>Sasniedzamie rezultāti</w:t>
            </w:r>
          </w:p>
          <w:p w14:paraId="5E391FF3" w14:textId="4E78FC13" w:rsidR="009C3B76" w:rsidRPr="0080421C" w:rsidRDefault="00F00283" w:rsidP="00394365">
            <w:pPr>
              <w:ind w:firstLine="357"/>
              <w:contextualSpacing/>
              <w:jc w:val="both"/>
              <w:rPr>
                <w:b/>
                <w:sz w:val="24"/>
                <w:szCs w:val="24"/>
                <w:lang w:val="lv-LV"/>
              </w:rPr>
            </w:pPr>
            <w:r>
              <w:rPr>
                <w:sz w:val="24"/>
                <w:szCs w:val="24"/>
                <w:lang w:val="lv-LV"/>
              </w:rPr>
              <w:t>Tr</w:t>
            </w:r>
            <w:r w:rsidR="0000292D">
              <w:rPr>
                <w:sz w:val="24"/>
                <w:szCs w:val="24"/>
                <w:lang w:val="lv-LV"/>
              </w:rPr>
              <w:t>īs</w:t>
            </w:r>
            <w:r w:rsidRPr="00507DE7">
              <w:rPr>
                <w:sz w:val="24"/>
                <w:szCs w:val="24"/>
                <w:lang w:val="lv-LV"/>
              </w:rPr>
              <w:t xml:space="preserve"> </w:t>
            </w:r>
            <w:r w:rsidR="009C3B76" w:rsidRPr="00507DE7">
              <w:rPr>
                <w:sz w:val="24"/>
                <w:szCs w:val="24"/>
                <w:lang w:val="lv-LV"/>
              </w:rPr>
              <w:t xml:space="preserve">gadu pilotprojekta ietvaros no </w:t>
            </w:r>
            <w:r w:rsidR="009C3B76" w:rsidRPr="00507DE7">
              <w:rPr>
                <w:b/>
                <w:sz w:val="24"/>
                <w:szCs w:val="24"/>
                <w:lang w:val="lv-LV"/>
              </w:rPr>
              <w:t>2020. līdz 2023.gadam pasākuma ietvaros pieejamais finansējums, kas finansēts no ERAF</w:t>
            </w:r>
            <w:r w:rsidR="009C3B76" w:rsidRPr="0080421C">
              <w:rPr>
                <w:b/>
                <w:sz w:val="24"/>
                <w:szCs w:val="24"/>
                <w:lang w:val="lv-LV"/>
              </w:rPr>
              <w:t>, ir 2 milj. EUR</w:t>
            </w:r>
            <w:r w:rsidR="009C3B76" w:rsidRPr="0080421C">
              <w:rPr>
                <w:sz w:val="24"/>
                <w:szCs w:val="24"/>
                <w:lang w:val="lv-LV"/>
              </w:rPr>
              <w:t xml:space="preserve">, no kuriem </w:t>
            </w:r>
            <w:r w:rsidR="009C3B76" w:rsidRPr="0080421C">
              <w:rPr>
                <w:b/>
                <w:sz w:val="24"/>
                <w:szCs w:val="24"/>
                <w:lang w:val="lv-LV"/>
              </w:rPr>
              <w:t>1.5 milj. EUR tiktu novirzīti akciju emisijas atbalstam</w:t>
            </w:r>
            <w:r w:rsidR="009C3B76" w:rsidRPr="0080421C">
              <w:rPr>
                <w:sz w:val="24"/>
                <w:szCs w:val="24"/>
                <w:lang w:val="lv-LV"/>
              </w:rPr>
              <w:t>, savukārt 0</w:t>
            </w:r>
            <w:r w:rsidR="009C3B76" w:rsidRPr="0080421C">
              <w:rPr>
                <w:b/>
                <w:sz w:val="24"/>
                <w:szCs w:val="24"/>
                <w:lang w:val="lv-LV"/>
              </w:rPr>
              <w:t xml:space="preserve">.5 milj. EUR būtu novirzāmi parādu vērstpapīru emisijas atbalstam. </w:t>
            </w:r>
          </w:p>
          <w:p w14:paraId="508B82D8" w14:textId="29BCA66B" w:rsidR="009C3B76" w:rsidRPr="0080421C" w:rsidRDefault="009C3B76" w:rsidP="00394365">
            <w:pPr>
              <w:ind w:firstLine="357"/>
              <w:contextualSpacing/>
              <w:jc w:val="both"/>
              <w:rPr>
                <w:b/>
                <w:sz w:val="24"/>
                <w:szCs w:val="24"/>
                <w:lang w:val="lv-LV"/>
              </w:rPr>
            </w:pPr>
            <w:r w:rsidRPr="0080421C">
              <w:rPr>
                <w:sz w:val="24"/>
                <w:szCs w:val="24"/>
                <w:lang w:val="lv-LV"/>
              </w:rPr>
              <w:t>Ņemot vērā snieguma ietvara nosacījumu izpildi darbības programmas ietvaros 3.</w:t>
            </w:r>
            <w:r w:rsidR="006E3709" w:rsidRPr="0080421C">
              <w:rPr>
                <w:sz w:val="24"/>
                <w:szCs w:val="24"/>
                <w:lang w:val="lv-LV"/>
              </w:rPr>
              <w:t> </w:t>
            </w:r>
            <w:r w:rsidRPr="0080421C">
              <w:rPr>
                <w:sz w:val="24"/>
                <w:szCs w:val="24"/>
                <w:lang w:val="lv-LV"/>
              </w:rPr>
              <w:t xml:space="preserve">prioritārajā virzienā, </w:t>
            </w:r>
            <w:r w:rsidR="006E3709" w:rsidRPr="0080421C">
              <w:rPr>
                <w:sz w:val="24"/>
                <w:szCs w:val="24"/>
                <w:lang w:val="lv-LV"/>
              </w:rPr>
              <w:t>Ekonomikas ministrija</w:t>
            </w:r>
            <w:r w:rsidR="00972DB1" w:rsidRPr="0080421C">
              <w:rPr>
                <w:sz w:val="24"/>
                <w:szCs w:val="24"/>
                <w:lang w:val="lv-LV"/>
              </w:rPr>
              <w:t>i,</w:t>
            </w:r>
            <w:r w:rsidR="006E3709" w:rsidRPr="0080421C">
              <w:rPr>
                <w:sz w:val="24"/>
                <w:szCs w:val="24"/>
                <w:lang w:val="lv-LV"/>
              </w:rPr>
              <w:t xml:space="preserve"> </w:t>
            </w:r>
            <w:r w:rsidRPr="0080421C">
              <w:rPr>
                <w:sz w:val="24"/>
                <w:szCs w:val="24"/>
                <w:lang w:val="lv-LV"/>
              </w:rPr>
              <w:t xml:space="preserve">atbilstoši </w:t>
            </w:r>
            <w:r w:rsidR="003863DC" w:rsidRPr="0080421C">
              <w:rPr>
                <w:sz w:val="24"/>
                <w:szCs w:val="24"/>
                <w:lang w:val="lv-LV"/>
              </w:rPr>
              <w:t xml:space="preserve">Ministru kabineta </w:t>
            </w:r>
            <w:r w:rsidRPr="0080421C">
              <w:rPr>
                <w:sz w:val="24"/>
                <w:szCs w:val="24"/>
                <w:lang w:val="lv-LV"/>
              </w:rPr>
              <w:t>2019.</w:t>
            </w:r>
            <w:r w:rsidR="006E3709" w:rsidRPr="0080421C">
              <w:rPr>
                <w:sz w:val="24"/>
                <w:szCs w:val="24"/>
                <w:lang w:val="lv-LV"/>
              </w:rPr>
              <w:t> </w:t>
            </w:r>
            <w:r w:rsidRPr="0080421C">
              <w:rPr>
                <w:sz w:val="24"/>
                <w:szCs w:val="24"/>
                <w:lang w:val="lv-LV"/>
              </w:rPr>
              <w:t>gada 23.</w:t>
            </w:r>
            <w:r w:rsidR="006E3709" w:rsidRPr="0080421C">
              <w:rPr>
                <w:sz w:val="24"/>
                <w:szCs w:val="24"/>
                <w:lang w:val="lv-LV"/>
              </w:rPr>
              <w:t> </w:t>
            </w:r>
            <w:r w:rsidRPr="0080421C">
              <w:rPr>
                <w:sz w:val="24"/>
                <w:szCs w:val="24"/>
                <w:lang w:val="lv-LV"/>
              </w:rPr>
              <w:t xml:space="preserve">aprīļa sēdē </w:t>
            </w:r>
            <w:r w:rsidR="006A6490" w:rsidRPr="0080421C">
              <w:rPr>
                <w:sz w:val="24"/>
                <w:szCs w:val="24"/>
                <w:lang w:val="lv-LV"/>
              </w:rPr>
              <w:t xml:space="preserve"> </w:t>
            </w:r>
            <w:r w:rsidR="00972DB1" w:rsidRPr="0080421C">
              <w:rPr>
                <w:sz w:val="24"/>
                <w:szCs w:val="24"/>
                <w:lang w:val="lv-LV"/>
              </w:rPr>
              <w:lastRenderedPageBreak/>
              <w:t>no</w:t>
            </w:r>
            <w:r w:rsidRPr="0080421C">
              <w:rPr>
                <w:sz w:val="24"/>
                <w:szCs w:val="24"/>
                <w:lang w:val="lv-LV"/>
              </w:rPr>
              <w:t>lemtajam</w:t>
            </w:r>
            <w:r w:rsidR="003F66D7" w:rsidRPr="0080421C">
              <w:rPr>
                <w:sz w:val="24"/>
                <w:szCs w:val="24"/>
                <w:lang w:val="lv-LV"/>
              </w:rPr>
              <w:t xml:space="preserve"> (</w:t>
            </w:r>
            <w:r w:rsidR="00F40158" w:rsidRPr="0080421C">
              <w:rPr>
                <w:sz w:val="24"/>
                <w:szCs w:val="24"/>
                <w:lang w:val="lv-LV"/>
              </w:rPr>
              <w:t>P</w:t>
            </w:r>
            <w:r w:rsidR="003F66D7" w:rsidRPr="0080421C">
              <w:rPr>
                <w:sz w:val="24"/>
                <w:szCs w:val="24"/>
                <w:lang w:val="lv-LV"/>
              </w:rPr>
              <w:t>rot</w:t>
            </w:r>
            <w:r w:rsidR="00F40158" w:rsidRPr="0080421C">
              <w:rPr>
                <w:sz w:val="24"/>
                <w:szCs w:val="24"/>
                <w:lang w:val="lv-LV"/>
              </w:rPr>
              <w:t>.</w:t>
            </w:r>
            <w:r w:rsidR="003F66D7" w:rsidRPr="0080421C">
              <w:rPr>
                <w:sz w:val="24"/>
                <w:szCs w:val="24"/>
                <w:lang w:val="lv-LV"/>
              </w:rPr>
              <w:t xml:space="preserve"> Nr. 21, 23.§</w:t>
            </w:r>
            <w:r w:rsidR="00E468CD" w:rsidRPr="0080421C">
              <w:rPr>
                <w:sz w:val="24"/>
                <w:szCs w:val="24"/>
                <w:lang w:val="lv-LV"/>
              </w:rPr>
              <w:t>,</w:t>
            </w:r>
            <w:r w:rsidR="003F66D7" w:rsidRPr="0080421C">
              <w:rPr>
                <w:sz w:val="24"/>
                <w:szCs w:val="24"/>
                <w:lang w:val="lv-LV"/>
              </w:rPr>
              <w:t xml:space="preserve"> </w:t>
            </w:r>
            <w:r w:rsidR="00B364E6" w:rsidRPr="0080421C">
              <w:rPr>
                <w:sz w:val="24"/>
                <w:szCs w:val="24"/>
              </w:rPr>
              <w:t xml:space="preserve">TA-412, </w:t>
            </w:r>
            <w:r w:rsidR="00B364E6" w:rsidRPr="0080421C">
              <w:rPr>
                <w:sz w:val="24"/>
                <w:szCs w:val="24"/>
                <w:lang w:val="lv-LV"/>
              </w:rPr>
              <w:t>I</w:t>
            </w:r>
            <w:r w:rsidR="003F66D7" w:rsidRPr="0080421C">
              <w:rPr>
                <w:sz w:val="24"/>
                <w:szCs w:val="24"/>
                <w:lang w:val="lv-LV"/>
              </w:rPr>
              <w:t xml:space="preserve">nformatīvais ziņojums “Par Kohēzijas politikas Eiropas Savienības fondu investīciju aktualitātēm līdz 2018.gada </w:t>
            </w:r>
            <w:proofErr w:type="gramStart"/>
            <w:r w:rsidR="003F66D7" w:rsidRPr="0080421C">
              <w:rPr>
                <w:sz w:val="24"/>
                <w:szCs w:val="24"/>
                <w:lang w:val="lv-LV"/>
              </w:rPr>
              <w:t>31.decembrim</w:t>
            </w:r>
            <w:proofErr w:type="gramEnd"/>
            <w:r w:rsidR="003F66D7" w:rsidRPr="0080421C">
              <w:rPr>
                <w:sz w:val="24"/>
                <w:szCs w:val="24"/>
                <w:lang w:val="lv-LV"/>
              </w:rPr>
              <w:t xml:space="preserve"> un 2019.gada februāra ikmēneša operatīvā informācija”</w:t>
            </w:r>
            <w:r w:rsidR="003F66D7" w:rsidRPr="0080421C">
              <w:rPr>
                <w:sz w:val="24"/>
                <w:szCs w:val="24"/>
              </w:rPr>
              <w:t>)</w:t>
            </w:r>
            <w:r w:rsidR="00972DB1" w:rsidRPr="0080421C">
              <w:rPr>
                <w:sz w:val="24"/>
                <w:szCs w:val="24"/>
                <w:lang w:val="lv-LV"/>
              </w:rPr>
              <w:t>,</w:t>
            </w:r>
            <w:r w:rsidRPr="0080421C">
              <w:rPr>
                <w:sz w:val="24"/>
                <w:szCs w:val="24"/>
                <w:lang w:val="lv-LV"/>
              </w:rPr>
              <w:t xml:space="preserve"> līdz 2019. gada 1. jūlijam ir jāiesniedz FM priekšlikums par prioritāro virzienu attiecīgo fondu snieguma rezerves finansējuma izmantošanu, t.sk., par plānoto 3.1.1.3.pasākumam nepieciešamo finansējumu.</w:t>
            </w:r>
          </w:p>
          <w:p w14:paraId="132782F2" w14:textId="69D5D4BB" w:rsidR="009C3B76" w:rsidRPr="0080421C" w:rsidRDefault="009C3B76" w:rsidP="00F127D1">
            <w:pPr>
              <w:ind w:firstLine="357"/>
              <w:contextualSpacing/>
              <w:jc w:val="both"/>
              <w:rPr>
                <w:sz w:val="24"/>
                <w:szCs w:val="24"/>
                <w:lang w:val="lv-LV"/>
              </w:rPr>
            </w:pPr>
            <w:r w:rsidRPr="0080421C">
              <w:rPr>
                <w:sz w:val="24"/>
                <w:szCs w:val="24"/>
                <w:lang w:val="lv-LV"/>
              </w:rPr>
              <w:t xml:space="preserve">Pasākuma ietvaros tiek plānots sasniegt šādus rezultatīvos rādītājus – privātais piesaistītais finansējums uz </w:t>
            </w:r>
            <w:r w:rsidRPr="0080421C">
              <w:rPr>
                <w:b/>
                <w:sz w:val="24"/>
                <w:szCs w:val="24"/>
                <w:lang w:val="lv-LV"/>
              </w:rPr>
              <w:t xml:space="preserve">2023.gada 31.decembri ir ne mazāks kā 9 500 000 </w:t>
            </w:r>
            <w:proofErr w:type="spellStart"/>
            <w:r w:rsidRPr="0080421C">
              <w:rPr>
                <w:b/>
                <w:i/>
                <w:sz w:val="24"/>
                <w:szCs w:val="24"/>
                <w:lang w:val="lv-LV"/>
              </w:rPr>
              <w:t>euro</w:t>
            </w:r>
            <w:proofErr w:type="spellEnd"/>
            <w:r w:rsidRPr="0080421C">
              <w:rPr>
                <w:b/>
                <w:i/>
                <w:sz w:val="24"/>
                <w:szCs w:val="24"/>
                <w:lang w:val="lv-LV"/>
              </w:rPr>
              <w:t xml:space="preserve"> </w:t>
            </w:r>
            <w:r w:rsidRPr="0080421C">
              <w:rPr>
                <w:sz w:val="24"/>
                <w:szCs w:val="24"/>
                <w:lang w:val="lv-LV"/>
              </w:rPr>
              <w:t xml:space="preserve">(ieskaita uzņēmuma līdzfinansējumu un tirdzniecības vietā piesaistīto privāto finansējumu), kā arī pasākuma ietvaros </w:t>
            </w:r>
            <w:r w:rsidRPr="0080421C">
              <w:rPr>
                <w:b/>
                <w:sz w:val="24"/>
                <w:szCs w:val="24"/>
                <w:lang w:val="lv-LV"/>
              </w:rPr>
              <w:t>atbalstīto komersantu skaits ir 40 komersanti</w:t>
            </w:r>
            <w:r w:rsidRPr="0080421C">
              <w:rPr>
                <w:sz w:val="24"/>
                <w:szCs w:val="24"/>
                <w:lang w:val="lv-LV"/>
              </w:rPr>
              <w:t>, tostarp 15 komersanti ir saņēmuši finansējumu akciju emisijai un 25 komersanti ir saņēmuši finansējumu parāda vērtspapīru emisijai.</w:t>
            </w:r>
          </w:p>
          <w:p w14:paraId="6DD735A9" w14:textId="12A33155" w:rsidR="009C3B76" w:rsidRPr="0080421C" w:rsidRDefault="009C3B76" w:rsidP="00F127D1">
            <w:pPr>
              <w:ind w:firstLine="357"/>
              <w:contextualSpacing/>
              <w:jc w:val="both"/>
              <w:rPr>
                <w:sz w:val="24"/>
                <w:szCs w:val="24"/>
                <w:lang w:val="lv-LV"/>
              </w:rPr>
            </w:pPr>
            <w:r w:rsidRPr="0080421C">
              <w:rPr>
                <w:sz w:val="24"/>
                <w:szCs w:val="24"/>
                <w:lang w:val="lv-LV"/>
              </w:rPr>
              <w:t>Pasākuma ietvaros tiek sniegts ieguldījums rādītājā “mazo un vidējo komersantu (MVK) skaits uz 1000 iedzīvotājiem” un rādītājā “mazo un vidējo komersantu (MVK) produktivitāte uz vienu nodarbināto”.</w:t>
            </w:r>
          </w:p>
          <w:p w14:paraId="0507833D" w14:textId="77777777" w:rsidR="00516734" w:rsidRPr="0080421C" w:rsidRDefault="00516734" w:rsidP="00516734">
            <w:pPr>
              <w:contextualSpacing/>
              <w:jc w:val="both"/>
              <w:rPr>
                <w:sz w:val="24"/>
                <w:szCs w:val="24"/>
                <w:lang w:val="lv-LV"/>
              </w:rPr>
            </w:pPr>
          </w:p>
          <w:p w14:paraId="743273A0" w14:textId="4ABD50F8" w:rsidR="009C3B76" w:rsidRPr="0080421C" w:rsidRDefault="009C3B76" w:rsidP="00AD375A">
            <w:pPr>
              <w:ind w:firstLine="357"/>
              <w:contextualSpacing/>
              <w:jc w:val="both"/>
              <w:rPr>
                <w:b/>
                <w:sz w:val="24"/>
                <w:szCs w:val="24"/>
                <w:lang w:val="lv-LV"/>
              </w:rPr>
            </w:pPr>
            <w:r w:rsidRPr="0080421C">
              <w:rPr>
                <w:b/>
                <w:sz w:val="24"/>
                <w:szCs w:val="24"/>
                <w:lang w:val="lv-LV"/>
              </w:rPr>
              <w:t>Projektu atlases norise</w:t>
            </w:r>
          </w:p>
          <w:p w14:paraId="7116D882" w14:textId="77777777" w:rsidR="0004217D" w:rsidRDefault="0004217D" w:rsidP="0004217D">
            <w:pPr>
              <w:contextualSpacing/>
              <w:jc w:val="both"/>
              <w:rPr>
                <w:sz w:val="24"/>
                <w:szCs w:val="24"/>
                <w:lang w:val="lv-LV"/>
              </w:rPr>
            </w:pPr>
            <w:r w:rsidRPr="00507DE7">
              <w:rPr>
                <w:sz w:val="24"/>
                <w:szCs w:val="24"/>
                <w:lang w:val="lv-LV"/>
              </w:rPr>
              <w:t>Pasākuma atlases īstenošanas veids ir atklāta projektu iesniegumu atlase</w:t>
            </w:r>
            <w:r>
              <w:rPr>
                <w:sz w:val="24"/>
                <w:szCs w:val="24"/>
                <w:lang w:val="lv-LV"/>
              </w:rPr>
              <w:t>, ko CFLA organizē katru mēnesi (t.i., vērtējot  attiecīgajā mēnesī iesniegtos projektus) līdz brīdim,</w:t>
            </w:r>
            <w:r w:rsidRPr="00507DE7">
              <w:rPr>
                <w:sz w:val="24"/>
                <w:szCs w:val="24"/>
                <w:lang w:val="lv-LV"/>
              </w:rPr>
              <w:t xml:space="preserve"> </w:t>
            </w:r>
            <w:r>
              <w:rPr>
                <w:sz w:val="24"/>
                <w:szCs w:val="24"/>
                <w:lang w:val="lv-LV"/>
              </w:rPr>
              <w:t xml:space="preserve">kad </w:t>
            </w:r>
            <w:r w:rsidRPr="00507DE7">
              <w:rPr>
                <w:sz w:val="24"/>
                <w:szCs w:val="24"/>
                <w:lang w:val="lv-LV"/>
              </w:rPr>
              <w:t>tiek nokontraktēts viss pasākumam pieejamais finansējums. Gadījumā, ja projekts tiek noraidīts, tas pats projekta iesniedzējs var uzlabot savu projektu un to kā jaunu projektu iesniegt CFLA vērtēšanai.</w:t>
            </w:r>
          </w:p>
          <w:p w14:paraId="09F04E06" w14:textId="65C17189" w:rsidR="0032285D" w:rsidRPr="00507DE7" w:rsidRDefault="009C3B76" w:rsidP="00F127D1">
            <w:pPr>
              <w:ind w:firstLine="357"/>
              <w:contextualSpacing/>
              <w:jc w:val="both"/>
              <w:rPr>
                <w:sz w:val="24"/>
                <w:szCs w:val="24"/>
                <w:lang w:val="lv-LV"/>
              </w:rPr>
            </w:pPr>
            <w:r w:rsidRPr="0080421C">
              <w:rPr>
                <w:sz w:val="24"/>
                <w:szCs w:val="24"/>
                <w:lang w:val="lv-LV"/>
              </w:rPr>
              <w:t>Lai nodrošinātu, ka pasākumā pieejamais finansējums tiek piešķirts pēc iespējas gatavākiem projektiem ar augstāku sekmības potenciālu tirdzniecības vietā, projektu vērtēšanas laikā tiek piesaistīts tirdzniecības vietas eksperts, kā arī var tikt lūgts atsevišķs tirdzniecības vietas atzinums par konkrētā uzņēma gatavību dalībai tirdzniecības vietā.</w:t>
            </w:r>
          </w:p>
        </w:tc>
      </w:tr>
      <w:tr w:rsidR="0032285D" w:rsidRPr="00507DE7" w14:paraId="41041CF1" w14:textId="77777777" w:rsidTr="00C414AE">
        <w:trPr>
          <w:trHeight w:val="465"/>
        </w:trPr>
        <w:tc>
          <w:tcPr>
            <w:tcW w:w="413" w:type="dxa"/>
            <w:gridSpan w:val="2"/>
            <w:tcBorders>
              <w:top w:val="outset" w:sz="6" w:space="0" w:color="414142"/>
              <w:left w:val="outset" w:sz="6" w:space="0" w:color="414142"/>
              <w:bottom w:val="outset" w:sz="6" w:space="0" w:color="414142"/>
              <w:right w:val="outset" w:sz="6" w:space="0" w:color="414142"/>
            </w:tcBorders>
            <w:hideMark/>
          </w:tcPr>
          <w:p w14:paraId="5CAB363A" w14:textId="77777777" w:rsidR="0032285D" w:rsidRPr="00507DE7" w:rsidRDefault="0032285D" w:rsidP="000141AD">
            <w:pPr>
              <w:contextualSpacing/>
              <w:rPr>
                <w:rFonts w:eastAsia="Times New Roman"/>
                <w:sz w:val="24"/>
                <w:szCs w:val="24"/>
                <w:lang w:val="lv-LV" w:eastAsia="lv-LV"/>
              </w:rPr>
            </w:pPr>
            <w:r w:rsidRPr="00507DE7">
              <w:rPr>
                <w:rFonts w:eastAsia="Times New Roman"/>
                <w:color w:val="000000"/>
                <w:sz w:val="24"/>
                <w:szCs w:val="24"/>
                <w:lang w:val="lv-LV" w:eastAsia="lv-LV"/>
              </w:rPr>
              <w:lastRenderedPageBreak/>
              <w:t>3.</w:t>
            </w:r>
          </w:p>
        </w:tc>
        <w:tc>
          <w:tcPr>
            <w:tcW w:w="2164" w:type="dxa"/>
            <w:tcBorders>
              <w:top w:val="outset" w:sz="6" w:space="0" w:color="414142"/>
              <w:left w:val="outset" w:sz="6" w:space="0" w:color="414142"/>
              <w:bottom w:val="outset" w:sz="6" w:space="0" w:color="414142"/>
              <w:right w:val="outset" w:sz="6" w:space="0" w:color="414142"/>
            </w:tcBorders>
            <w:hideMark/>
          </w:tcPr>
          <w:p w14:paraId="2F4C459C" w14:textId="04375688" w:rsidR="0032285D" w:rsidRPr="00507DE7" w:rsidRDefault="0032285D" w:rsidP="000141AD">
            <w:pPr>
              <w:contextualSpacing/>
              <w:rPr>
                <w:rFonts w:eastAsia="Times New Roman"/>
                <w:sz w:val="24"/>
                <w:szCs w:val="24"/>
                <w:lang w:val="lv-LV" w:eastAsia="lv-LV"/>
              </w:rPr>
            </w:pPr>
            <w:r w:rsidRPr="00507DE7">
              <w:rPr>
                <w:rFonts w:eastAsia="Times New Roman"/>
                <w:color w:val="000000"/>
                <w:sz w:val="24"/>
                <w:szCs w:val="24"/>
                <w:lang w:val="lv-LV" w:eastAsia="lv-LV"/>
              </w:rPr>
              <w:t>Projekta izstrādē iesaistītās institūcijas un publiskās personas kapitālsabiedrības</w:t>
            </w:r>
          </w:p>
        </w:tc>
        <w:tc>
          <w:tcPr>
            <w:tcW w:w="6629" w:type="dxa"/>
            <w:tcBorders>
              <w:top w:val="outset" w:sz="6" w:space="0" w:color="414142"/>
              <w:left w:val="outset" w:sz="6" w:space="0" w:color="414142"/>
              <w:bottom w:val="outset" w:sz="6" w:space="0" w:color="414142"/>
              <w:right w:val="outset" w:sz="6" w:space="0" w:color="414142"/>
            </w:tcBorders>
            <w:hideMark/>
          </w:tcPr>
          <w:p w14:paraId="1C1732C9" w14:textId="35A3ACEA" w:rsidR="0032285D" w:rsidRPr="00507DE7" w:rsidRDefault="0032285D" w:rsidP="000141AD">
            <w:pPr>
              <w:ind w:left="60"/>
              <w:contextualSpacing/>
              <w:rPr>
                <w:rFonts w:eastAsia="Times New Roman"/>
                <w:sz w:val="24"/>
                <w:szCs w:val="24"/>
                <w:lang w:val="lv-LV" w:eastAsia="lv-LV"/>
              </w:rPr>
            </w:pPr>
            <w:r w:rsidRPr="00507DE7">
              <w:rPr>
                <w:sz w:val="24"/>
                <w:szCs w:val="24"/>
                <w:lang w:val="lv-LV"/>
              </w:rPr>
              <w:t xml:space="preserve">Ekonomikas ministrija, </w:t>
            </w:r>
            <w:r w:rsidR="003831C3" w:rsidRPr="00507DE7">
              <w:rPr>
                <w:sz w:val="24"/>
                <w:szCs w:val="24"/>
                <w:lang w:val="lv-LV"/>
              </w:rPr>
              <w:t>Finanšu ministrija</w:t>
            </w:r>
            <w:r w:rsidR="00405AC0">
              <w:rPr>
                <w:sz w:val="24"/>
                <w:szCs w:val="24"/>
                <w:lang w:val="lv-LV"/>
              </w:rPr>
              <w:t xml:space="preserve"> un</w:t>
            </w:r>
            <w:r w:rsidR="009C3B76" w:rsidRPr="00507DE7">
              <w:rPr>
                <w:sz w:val="24"/>
                <w:szCs w:val="24"/>
                <w:lang w:val="lv-LV"/>
              </w:rPr>
              <w:t xml:space="preserve"> </w:t>
            </w:r>
            <w:r w:rsidR="007B7D87" w:rsidRPr="00507DE7">
              <w:rPr>
                <w:sz w:val="24"/>
                <w:szCs w:val="24"/>
                <w:lang w:val="lv-LV"/>
              </w:rPr>
              <w:t>CFLA</w:t>
            </w:r>
            <w:r w:rsidR="009C3B76" w:rsidRPr="00507DE7">
              <w:rPr>
                <w:sz w:val="24"/>
                <w:szCs w:val="24"/>
                <w:lang w:val="lv-LV"/>
              </w:rPr>
              <w:t xml:space="preserve">, </w:t>
            </w:r>
          </w:p>
        </w:tc>
      </w:tr>
      <w:tr w:rsidR="0032285D" w:rsidRPr="00507DE7" w14:paraId="3C98D228" w14:textId="77777777" w:rsidTr="00C414AE">
        <w:tc>
          <w:tcPr>
            <w:tcW w:w="413" w:type="dxa"/>
            <w:gridSpan w:val="2"/>
            <w:tcBorders>
              <w:top w:val="outset" w:sz="6" w:space="0" w:color="414142"/>
              <w:left w:val="outset" w:sz="6" w:space="0" w:color="414142"/>
              <w:bottom w:val="outset" w:sz="6" w:space="0" w:color="414142"/>
              <w:right w:val="outset" w:sz="6" w:space="0" w:color="414142"/>
            </w:tcBorders>
            <w:hideMark/>
          </w:tcPr>
          <w:p w14:paraId="55D70DCF" w14:textId="77777777" w:rsidR="0032285D" w:rsidRPr="00507DE7" w:rsidRDefault="0032285D" w:rsidP="000141AD">
            <w:pPr>
              <w:contextualSpacing/>
              <w:rPr>
                <w:rFonts w:eastAsia="Times New Roman"/>
                <w:sz w:val="24"/>
                <w:szCs w:val="24"/>
                <w:lang w:val="lv-LV" w:eastAsia="lv-LV"/>
              </w:rPr>
            </w:pPr>
            <w:r w:rsidRPr="00507DE7">
              <w:rPr>
                <w:rFonts w:eastAsia="Times New Roman"/>
                <w:color w:val="000000"/>
                <w:sz w:val="24"/>
                <w:szCs w:val="24"/>
                <w:lang w:val="lv-LV" w:eastAsia="lv-LV"/>
              </w:rPr>
              <w:t>4.</w:t>
            </w:r>
          </w:p>
        </w:tc>
        <w:tc>
          <w:tcPr>
            <w:tcW w:w="2164" w:type="dxa"/>
            <w:tcBorders>
              <w:top w:val="outset" w:sz="6" w:space="0" w:color="414142"/>
              <w:left w:val="outset" w:sz="6" w:space="0" w:color="414142"/>
              <w:bottom w:val="outset" w:sz="6" w:space="0" w:color="414142"/>
              <w:right w:val="outset" w:sz="6" w:space="0" w:color="414142"/>
            </w:tcBorders>
            <w:hideMark/>
          </w:tcPr>
          <w:p w14:paraId="3639AA3F" w14:textId="77777777" w:rsidR="0032285D" w:rsidRPr="00507DE7" w:rsidRDefault="0032285D" w:rsidP="000141AD">
            <w:pPr>
              <w:contextualSpacing/>
              <w:rPr>
                <w:rFonts w:eastAsia="Times New Roman"/>
                <w:sz w:val="24"/>
                <w:szCs w:val="24"/>
                <w:lang w:val="lv-LV" w:eastAsia="lv-LV"/>
              </w:rPr>
            </w:pPr>
            <w:r w:rsidRPr="00507DE7">
              <w:rPr>
                <w:rFonts w:eastAsia="Times New Roman"/>
                <w:color w:val="000000"/>
                <w:sz w:val="24"/>
                <w:szCs w:val="24"/>
                <w:lang w:val="lv-LV" w:eastAsia="lv-LV"/>
              </w:rPr>
              <w:t>Cita informācija</w:t>
            </w:r>
          </w:p>
        </w:tc>
        <w:tc>
          <w:tcPr>
            <w:tcW w:w="6629" w:type="dxa"/>
            <w:tcBorders>
              <w:top w:val="outset" w:sz="6" w:space="0" w:color="414142"/>
              <w:left w:val="outset" w:sz="6" w:space="0" w:color="414142"/>
              <w:bottom w:val="outset" w:sz="6" w:space="0" w:color="414142"/>
              <w:right w:val="outset" w:sz="6" w:space="0" w:color="414142"/>
            </w:tcBorders>
            <w:hideMark/>
          </w:tcPr>
          <w:p w14:paraId="5D4509E1" w14:textId="11D1E477" w:rsidR="0032285D" w:rsidRPr="00507DE7" w:rsidRDefault="007B7D87" w:rsidP="000141AD">
            <w:pPr>
              <w:contextualSpacing/>
              <w:rPr>
                <w:rFonts w:eastAsia="Times New Roman"/>
                <w:sz w:val="24"/>
                <w:szCs w:val="24"/>
                <w:lang w:val="lv-LV" w:eastAsia="lv-LV"/>
              </w:rPr>
            </w:pPr>
            <w:r w:rsidRPr="00507DE7">
              <w:rPr>
                <w:rFonts w:eastAsia="Times New Roman"/>
                <w:sz w:val="24"/>
                <w:szCs w:val="24"/>
                <w:lang w:val="lv-LV" w:eastAsia="lv-LV"/>
              </w:rPr>
              <w:t xml:space="preserve">Nav </w:t>
            </w:r>
          </w:p>
        </w:tc>
      </w:tr>
      <w:tr w:rsidR="0032285D" w:rsidRPr="00507DE7" w14:paraId="5271E387" w14:textId="77777777" w:rsidTr="00C414AE">
        <w:trPr>
          <w:trHeight w:val="128"/>
        </w:trPr>
        <w:tc>
          <w:tcPr>
            <w:tcW w:w="9206" w:type="dxa"/>
            <w:gridSpan w:val="4"/>
            <w:tcBorders>
              <w:top w:val="outset" w:sz="6" w:space="0" w:color="414142"/>
              <w:left w:val="nil"/>
              <w:bottom w:val="outset" w:sz="6" w:space="0" w:color="414142"/>
              <w:right w:val="nil"/>
            </w:tcBorders>
            <w:hideMark/>
          </w:tcPr>
          <w:p w14:paraId="4DC32511" w14:textId="45015372" w:rsidR="0032285D" w:rsidRPr="00507DE7" w:rsidRDefault="0032285D" w:rsidP="000141AD">
            <w:pPr>
              <w:tabs>
                <w:tab w:val="left" w:pos="990"/>
              </w:tabs>
              <w:contextualSpacing/>
              <w:rPr>
                <w:rFonts w:eastAsia="Times New Roman"/>
                <w:sz w:val="24"/>
                <w:szCs w:val="24"/>
                <w:lang w:val="lv-LV" w:eastAsia="lv-LV"/>
              </w:rPr>
            </w:pPr>
          </w:p>
        </w:tc>
      </w:tr>
      <w:tr w:rsidR="0032285D" w:rsidRPr="00507DE7" w14:paraId="7175E08A" w14:textId="77777777" w:rsidTr="00C414AE">
        <w:trPr>
          <w:trHeight w:val="555"/>
        </w:trPr>
        <w:tc>
          <w:tcPr>
            <w:tcW w:w="9206" w:type="dxa"/>
            <w:gridSpan w:val="4"/>
            <w:tcBorders>
              <w:top w:val="nil"/>
              <w:left w:val="outset" w:sz="6" w:space="0" w:color="414142"/>
              <w:bottom w:val="outset" w:sz="6" w:space="0" w:color="414142"/>
              <w:right w:val="outset" w:sz="6" w:space="0" w:color="414142"/>
            </w:tcBorders>
            <w:hideMark/>
          </w:tcPr>
          <w:p w14:paraId="0CDF66C2" w14:textId="77777777" w:rsidR="0032285D" w:rsidRPr="00507DE7" w:rsidRDefault="0032285D" w:rsidP="000141AD">
            <w:pPr>
              <w:ind w:firstLine="300"/>
              <w:contextualSpacing/>
              <w:jc w:val="center"/>
              <w:rPr>
                <w:rFonts w:eastAsia="Times New Roman"/>
                <w:sz w:val="24"/>
                <w:szCs w:val="24"/>
                <w:lang w:val="lv-LV" w:eastAsia="lv-LV"/>
              </w:rPr>
            </w:pPr>
            <w:r w:rsidRPr="00507DE7">
              <w:rPr>
                <w:rFonts w:eastAsia="Times New Roman"/>
                <w:b/>
                <w:bCs/>
                <w:color w:val="000000"/>
                <w:sz w:val="24"/>
                <w:szCs w:val="24"/>
                <w:lang w:val="lv-LV" w:eastAsia="lv-LV"/>
              </w:rPr>
              <w:t>II. Tiesību akta projekta ietekme uz sabiedrību, tautsaimniecības attīstību un administratīvo slogu</w:t>
            </w:r>
          </w:p>
        </w:tc>
      </w:tr>
      <w:tr w:rsidR="0032285D" w:rsidRPr="00507DE7" w14:paraId="3867AEAD" w14:textId="77777777" w:rsidTr="00C414AE">
        <w:trPr>
          <w:trHeight w:val="465"/>
        </w:trPr>
        <w:tc>
          <w:tcPr>
            <w:tcW w:w="270" w:type="dxa"/>
            <w:tcBorders>
              <w:top w:val="outset" w:sz="6" w:space="0" w:color="414142"/>
              <w:left w:val="outset" w:sz="6" w:space="0" w:color="414142"/>
              <w:bottom w:val="outset" w:sz="6" w:space="0" w:color="414142"/>
              <w:right w:val="outset" w:sz="6" w:space="0" w:color="414142"/>
            </w:tcBorders>
            <w:hideMark/>
          </w:tcPr>
          <w:p w14:paraId="5233F396" w14:textId="77777777" w:rsidR="0032285D" w:rsidRPr="00507DE7" w:rsidRDefault="0032285D" w:rsidP="000141AD">
            <w:pPr>
              <w:contextualSpacing/>
              <w:rPr>
                <w:rFonts w:eastAsia="Times New Roman"/>
                <w:sz w:val="24"/>
                <w:szCs w:val="24"/>
                <w:lang w:val="lv-LV" w:eastAsia="lv-LV"/>
              </w:rPr>
            </w:pPr>
            <w:r w:rsidRPr="00507DE7">
              <w:rPr>
                <w:rFonts w:eastAsia="Times New Roman"/>
                <w:color w:val="000000"/>
                <w:sz w:val="24"/>
                <w:szCs w:val="24"/>
                <w:lang w:val="lv-LV" w:eastAsia="lv-LV"/>
              </w:rPr>
              <w:t>1.</w:t>
            </w:r>
          </w:p>
        </w:tc>
        <w:tc>
          <w:tcPr>
            <w:tcW w:w="2307" w:type="dxa"/>
            <w:gridSpan w:val="2"/>
            <w:tcBorders>
              <w:top w:val="outset" w:sz="6" w:space="0" w:color="414142"/>
              <w:left w:val="outset" w:sz="6" w:space="0" w:color="414142"/>
              <w:bottom w:val="outset" w:sz="6" w:space="0" w:color="414142"/>
              <w:right w:val="outset" w:sz="6" w:space="0" w:color="414142"/>
            </w:tcBorders>
            <w:hideMark/>
          </w:tcPr>
          <w:p w14:paraId="2E14993C" w14:textId="77777777" w:rsidR="0032285D" w:rsidRPr="00507DE7" w:rsidRDefault="0032285D" w:rsidP="000141AD">
            <w:pPr>
              <w:contextualSpacing/>
              <w:rPr>
                <w:rFonts w:eastAsia="Times New Roman"/>
                <w:sz w:val="24"/>
                <w:szCs w:val="24"/>
                <w:lang w:val="lv-LV" w:eastAsia="lv-LV"/>
              </w:rPr>
            </w:pPr>
            <w:r w:rsidRPr="00507DE7">
              <w:rPr>
                <w:rFonts w:eastAsia="Times New Roman"/>
                <w:color w:val="000000"/>
                <w:sz w:val="24"/>
                <w:szCs w:val="24"/>
                <w:lang w:val="lv-LV" w:eastAsia="lv-LV"/>
              </w:rPr>
              <w:t xml:space="preserve">Sabiedrības </w:t>
            </w:r>
            <w:proofErr w:type="spellStart"/>
            <w:r w:rsidRPr="00507DE7">
              <w:rPr>
                <w:rFonts w:eastAsia="Times New Roman"/>
                <w:color w:val="000000"/>
                <w:sz w:val="24"/>
                <w:szCs w:val="24"/>
                <w:lang w:val="lv-LV" w:eastAsia="lv-LV"/>
              </w:rPr>
              <w:t>mērķgrupas</w:t>
            </w:r>
            <w:proofErr w:type="spellEnd"/>
            <w:r w:rsidRPr="00507DE7">
              <w:rPr>
                <w:rFonts w:eastAsia="Times New Roman"/>
                <w:color w:val="000000"/>
                <w:sz w:val="24"/>
                <w:szCs w:val="24"/>
                <w:lang w:val="lv-LV" w:eastAsia="lv-LV"/>
              </w:rPr>
              <w:t>, kuras tiesiskais regulējums ietekmē vai varētu ietekmēt</w:t>
            </w:r>
          </w:p>
        </w:tc>
        <w:tc>
          <w:tcPr>
            <w:tcW w:w="6629" w:type="dxa"/>
            <w:tcBorders>
              <w:top w:val="outset" w:sz="6" w:space="0" w:color="414142"/>
              <w:left w:val="outset" w:sz="6" w:space="0" w:color="414142"/>
              <w:bottom w:val="outset" w:sz="6" w:space="0" w:color="414142"/>
              <w:right w:val="outset" w:sz="6" w:space="0" w:color="414142"/>
            </w:tcBorders>
            <w:hideMark/>
          </w:tcPr>
          <w:p w14:paraId="6747612B" w14:textId="7BB7033A" w:rsidR="0032285D" w:rsidRPr="00507DE7" w:rsidRDefault="0032285D" w:rsidP="0004217D">
            <w:pPr>
              <w:ind w:right="201"/>
              <w:contextualSpacing/>
              <w:jc w:val="both"/>
              <w:rPr>
                <w:sz w:val="24"/>
                <w:szCs w:val="24"/>
                <w:lang w:val="lv-LV"/>
              </w:rPr>
            </w:pPr>
            <w:r w:rsidRPr="00507DE7">
              <w:rPr>
                <w:sz w:val="24"/>
                <w:szCs w:val="24"/>
                <w:lang w:val="lv-LV"/>
              </w:rPr>
              <w:t>Latvijā reģistrēti mazie un vidējie komersanti</w:t>
            </w:r>
            <w:r w:rsidR="0004217D">
              <w:rPr>
                <w:sz w:val="24"/>
                <w:szCs w:val="24"/>
                <w:lang w:val="lv-LV"/>
              </w:rPr>
              <w:t>.</w:t>
            </w:r>
          </w:p>
        </w:tc>
      </w:tr>
      <w:tr w:rsidR="0032285D" w:rsidRPr="00507DE7" w14:paraId="7D9FA66B" w14:textId="77777777" w:rsidTr="00C414AE">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7CA4E694" w14:textId="77777777" w:rsidR="0032285D" w:rsidRPr="00507DE7" w:rsidRDefault="0032285D" w:rsidP="000141AD">
            <w:pPr>
              <w:contextualSpacing/>
              <w:rPr>
                <w:rFonts w:eastAsia="Times New Roman"/>
                <w:sz w:val="24"/>
                <w:szCs w:val="24"/>
                <w:lang w:val="lv-LV" w:eastAsia="lv-LV"/>
              </w:rPr>
            </w:pPr>
            <w:r w:rsidRPr="00507DE7">
              <w:rPr>
                <w:rFonts w:eastAsia="Times New Roman"/>
                <w:color w:val="000000"/>
                <w:sz w:val="24"/>
                <w:szCs w:val="24"/>
                <w:lang w:val="lv-LV" w:eastAsia="lv-LV"/>
              </w:rPr>
              <w:t>2.</w:t>
            </w:r>
          </w:p>
        </w:tc>
        <w:tc>
          <w:tcPr>
            <w:tcW w:w="2307" w:type="dxa"/>
            <w:gridSpan w:val="2"/>
            <w:tcBorders>
              <w:top w:val="outset" w:sz="6" w:space="0" w:color="414142"/>
              <w:left w:val="outset" w:sz="6" w:space="0" w:color="414142"/>
              <w:bottom w:val="outset" w:sz="6" w:space="0" w:color="414142"/>
              <w:right w:val="outset" w:sz="6" w:space="0" w:color="414142"/>
            </w:tcBorders>
            <w:hideMark/>
          </w:tcPr>
          <w:p w14:paraId="5D2EC3C2" w14:textId="77777777" w:rsidR="0032285D" w:rsidRPr="00507DE7" w:rsidRDefault="0032285D" w:rsidP="000141AD">
            <w:pPr>
              <w:contextualSpacing/>
              <w:rPr>
                <w:rFonts w:eastAsia="Times New Roman"/>
                <w:sz w:val="24"/>
                <w:szCs w:val="24"/>
                <w:lang w:val="lv-LV" w:eastAsia="lv-LV"/>
              </w:rPr>
            </w:pPr>
            <w:r w:rsidRPr="00507DE7">
              <w:rPr>
                <w:rFonts w:eastAsia="Times New Roman"/>
                <w:color w:val="000000"/>
                <w:sz w:val="24"/>
                <w:szCs w:val="24"/>
                <w:lang w:val="lv-LV" w:eastAsia="lv-LV"/>
              </w:rPr>
              <w:t xml:space="preserve">Tiesiskā regulējuma ietekme uz </w:t>
            </w:r>
            <w:r w:rsidRPr="00507DE7">
              <w:rPr>
                <w:rFonts w:eastAsia="Times New Roman"/>
                <w:color w:val="000000"/>
                <w:sz w:val="24"/>
                <w:szCs w:val="24"/>
                <w:lang w:val="lv-LV" w:eastAsia="lv-LV"/>
              </w:rPr>
              <w:lastRenderedPageBreak/>
              <w:t>tautsaimniecību un administratīvo slogu</w:t>
            </w:r>
          </w:p>
        </w:tc>
        <w:tc>
          <w:tcPr>
            <w:tcW w:w="6629" w:type="dxa"/>
            <w:tcBorders>
              <w:top w:val="outset" w:sz="6" w:space="0" w:color="414142"/>
              <w:left w:val="outset" w:sz="6" w:space="0" w:color="414142"/>
              <w:bottom w:val="outset" w:sz="6" w:space="0" w:color="414142"/>
              <w:right w:val="outset" w:sz="6" w:space="0" w:color="414142"/>
            </w:tcBorders>
            <w:hideMark/>
          </w:tcPr>
          <w:p w14:paraId="099E8F81" w14:textId="77777777" w:rsidR="0032285D" w:rsidRPr="00507DE7" w:rsidRDefault="00CC40B2" w:rsidP="0004217D">
            <w:pPr>
              <w:pStyle w:val="BodyText"/>
              <w:ind w:right="201"/>
              <w:contextualSpacing/>
              <w:rPr>
                <w:rFonts w:eastAsia="Calibri"/>
                <w:sz w:val="24"/>
                <w:szCs w:val="24"/>
                <w:lang w:eastAsia="en-US"/>
              </w:rPr>
            </w:pPr>
            <w:r w:rsidRPr="00507DE7">
              <w:rPr>
                <w:rFonts w:eastAsia="Calibri"/>
                <w:sz w:val="24"/>
                <w:szCs w:val="24"/>
                <w:lang w:eastAsia="en-US"/>
              </w:rPr>
              <w:lastRenderedPageBreak/>
              <w:t xml:space="preserve">Ar tiesisko regulējumu mazajiem un vidējiem komersantiem tiek radīti labvēlīgi apstākļi ārējā finansējuma piesaistīšanai komercdarbības attīstīšanai, paplašināšanai, jaunu produktu vai </w:t>
            </w:r>
            <w:r w:rsidRPr="00507DE7">
              <w:rPr>
                <w:rFonts w:eastAsia="Calibri"/>
                <w:sz w:val="24"/>
                <w:szCs w:val="24"/>
                <w:lang w:eastAsia="en-US"/>
              </w:rPr>
              <w:lastRenderedPageBreak/>
              <w:t xml:space="preserve">pakalpojumu piedāvāšanai, izmantojot biržas pakalpojumus, līdz ar to kopējā ietekme uz tautsaimniecību ir vērtējama kā pozitīva, jo pārdot </w:t>
            </w:r>
            <w:r w:rsidR="007B7D87" w:rsidRPr="00507DE7">
              <w:rPr>
                <w:rFonts w:eastAsia="Calibri"/>
                <w:sz w:val="24"/>
                <w:szCs w:val="24"/>
                <w:lang w:eastAsia="en-US"/>
              </w:rPr>
              <w:t>komersanta akcijas biržā var tikai tāds komersants, kura dzīvotspēja ir pamatota un tās attīstības prognozes liecina par izaugsmi.</w:t>
            </w:r>
          </w:p>
          <w:p w14:paraId="6F637207" w14:textId="77777777" w:rsidR="0004217D" w:rsidRDefault="0004217D" w:rsidP="0004217D">
            <w:pPr>
              <w:pStyle w:val="BodyText"/>
              <w:ind w:right="201"/>
              <w:contextualSpacing/>
              <w:rPr>
                <w:rFonts w:eastAsia="Calibri"/>
                <w:sz w:val="24"/>
                <w:szCs w:val="24"/>
                <w:lang w:eastAsia="en-US"/>
              </w:rPr>
            </w:pPr>
          </w:p>
          <w:p w14:paraId="551A6669" w14:textId="77777777" w:rsidR="0004217D" w:rsidRDefault="0004217D" w:rsidP="0004217D">
            <w:pPr>
              <w:pStyle w:val="BodyText"/>
              <w:ind w:right="201"/>
              <w:contextualSpacing/>
              <w:rPr>
                <w:rFonts w:eastAsia="Calibri"/>
                <w:sz w:val="24"/>
                <w:szCs w:val="24"/>
                <w:lang w:eastAsia="en-US"/>
              </w:rPr>
            </w:pPr>
            <w:r>
              <w:rPr>
                <w:rFonts w:eastAsia="Calibri"/>
                <w:sz w:val="24"/>
                <w:szCs w:val="24"/>
                <w:lang w:eastAsia="en-US"/>
              </w:rPr>
              <w:t xml:space="preserve">Ar tiesisko regulējumu netiek noteikti papildus pienākumi. </w:t>
            </w:r>
          </w:p>
          <w:p w14:paraId="62F21F17" w14:textId="70D7AB53" w:rsidR="007B7D87" w:rsidRPr="00507DE7" w:rsidRDefault="007B7D87" w:rsidP="0004217D">
            <w:pPr>
              <w:pStyle w:val="BodyText"/>
              <w:ind w:right="201" w:firstLine="364"/>
              <w:contextualSpacing/>
              <w:rPr>
                <w:rFonts w:eastAsia="Calibri"/>
                <w:sz w:val="24"/>
                <w:szCs w:val="24"/>
                <w:lang w:eastAsia="en-US"/>
              </w:rPr>
            </w:pPr>
          </w:p>
        </w:tc>
      </w:tr>
      <w:tr w:rsidR="0032285D" w:rsidRPr="00507DE7" w14:paraId="183D00C8" w14:textId="77777777" w:rsidTr="00C414AE">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70C05ABE" w14:textId="77777777" w:rsidR="0032285D" w:rsidRPr="00507DE7" w:rsidRDefault="0032285D" w:rsidP="000141AD">
            <w:pPr>
              <w:contextualSpacing/>
              <w:rPr>
                <w:rFonts w:eastAsia="Times New Roman"/>
                <w:sz w:val="24"/>
                <w:szCs w:val="24"/>
                <w:lang w:val="lv-LV" w:eastAsia="lv-LV"/>
              </w:rPr>
            </w:pPr>
            <w:r w:rsidRPr="00507DE7">
              <w:rPr>
                <w:rFonts w:eastAsia="Times New Roman"/>
                <w:color w:val="000000"/>
                <w:sz w:val="24"/>
                <w:szCs w:val="24"/>
                <w:lang w:val="lv-LV" w:eastAsia="lv-LV"/>
              </w:rPr>
              <w:lastRenderedPageBreak/>
              <w:t>3.</w:t>
            </w:r>
          </w:p>
        </w:tc>
        <w:tc>
          <w:tcPr>
            <w:tcW w:w="2307" w:type="dxa"/>
            <w:gridSpan w:val="2"/>
            <w:tcBorders>
              <w:top w:val="outset" w:sz="6" w:space="0" w:color="414142"/>
              <w:left w:val="outset" w:sz="6" w:space="0" w:color="414142"/>
              <w:bottom w:val="outset" w:sz="6" w:space="0" w:color="414142"/>
              <w:right w:val="outset" w:sz="6" w:space="0" w:color="414142"/>
            </w:tcBorders>
            <w:hideMark/>
          </w:tcPr>
          <w:p w14:paraId="1E661F3D" w14:textId="77777777" w:rsidR="0032285D" w:rsidRPr="00507DE7" w:rsidRDefault="0032285D" w:rsidP="000141AD">
            <w:pPr>
              <w:contextualSpacing/>
              <w:rPr>
                <w:rFonts w:eastAsia="Times New Roman"/>
                <w:sz w:val="24"/>
                <w:szCs w:val="24"/>
                <w:lang w:val="lv-LV" w:eastAsia="lv-LV"/>
              </w:rPr>
            </w:pPr>
            <w:r w:rsidRPr="00507DE7">
              <w:rPr>
                <w:rFonts w:eastAsia="Times New Roman"/>
                <w:color w:val="000000"/>
                <w:sz w:val="24"/>
                <w:szCs w:val="24"/>
                <w:lang w:val="lv-LV" w:eastAsia="lv-LV"/>
              </w:rPr>
              <w:t>Administratīvo izmaksu monetārs novērtējums</w:t>
            </w:r>
          </w:p>
        </w:tc>
        <w:tc>
          <w:tcPr>
            <w:tcW w:w="6629" w:type="dxa"/>
            <w:tcBorders>
              <w:top w:val="outset" w:sz="6" w:space="0" w:color="414142"/>
              <w:left w:val="outset" w:sz="6" w:space="0" w:color="414142"/>
              <w:bottom w:val="outset" w:sz="6" w:space="0" w:color="414142"/>
              <w:right w:val="outset" w:sz="6" w:space="0" w:color="414142"/>
            </w:tcBorders>
            <w:hideMark/>
          </w:tcPr>
          <w:p w14:paraId="4EC93682" w14:textId="2781478D" w:rsidR="0032285D" w:rsidRPr="00507DE7" w:rsidRDefault="00D05947" w:rsidP="000141AD">
            <w:pPr>
              <w:pStyle w:val="BodyText"/>
              <w:ind w:right="201"/>
              <w:contextualSpacing/>
              <w:rPr>
                <w:rFonts w:eastAsia="Calibri"/>
                <w:sz w:val="24"/>
                <w:szCs w:val="24"/>
                <w:lang w:eastAsia="en-US"/>
              </w:rPr>
            </w:pPr>
            <w:r w:rsidRPr="00507DE7">
              <w:rPr>
                <w:sz w:val="24"/>
                <w:szCs w:val="24"/>
              </w:rPr>
              <w:t>CFLA vadības izmaksas tiks finansētas atbilstoši sabiedrības CFLA programmu pārvaldības izmaksu attiecināšanas metodikai.</w:t>
            </w:r>
          </w:p>
        </w:tc>
      </w:tr>
      <w:tr w:rsidR="0032285D" w:rsidRPr="00507DE7" w14:paraId="63E70159" w14:textId="77777777" w:rsidTr="00C414AE">
        <w:trPr>
          <w:trHeight w:val="510"/>
        </w:trPr>
        <w:tc>
          <w:tcPr>
            <w:tcW w:w="270" w:type="dxa"/>
            <w:tcBorders>
              <w:top w:val="outset" w:sz="6" w:space="0" w:color="414142"/>
              <w:left w:val="outset" w:sz="6" w:space="0" w:color="414142"/>
              <w:bottom w:val="outset" w:sz="6" w:space="0" w:color="414142"/>
              <w:right w:val="outset" w:sz="6" w:space="0" w:color="414142"/>
            </w:tcBorders>
          </w:tcPr>
          <w:p w14:paraId="514814CB" w14:textId="7368CE68" w:rsidR="0032285D" w:rsidRPr="00507DE7" w:rsidRDefault="0032285D" w:rsidP="000141AD">
            <w:pPr>
              <w:contextualSpacing/>
              <w:rPr>
                <w:rFonts w:eastAsia="Times New Roman"/>
                <w:color w:val="000000"/>
                <w:sz w:val="24"/>
                <w:szCs w:val="24"/>
                <w:lang w:val="lv-LV" w:eastAsia="lv-LV"/>
              </w:rPr>
            </w:pPr>
            <w:r w:rsidRPr="00507DE7">
              <w:rPr>
                <w:rFonts w:eastAsia="Times New Roman"/>
                <w:color w:val="000000"/>
                <w:sz w:val="24"/>
                <w:szCs w:val="24"/>
                <w:lang w:val="lv-LV" w:eastAsia="lv-LV"/>
              </w:rPr>
              <w:t>4.</w:t>
            </w:r>
          </w:p>
        </w:tc>
        <w:tc>
          <w:tcPr>
            <w:tcW w:w="2307" w:type="dxa"/>
            <w:gridSpan w:val="2"/>
            <w:tcBorders>
              <w:top w:val="outset" w:sz="6" w:space="0" w:color="414142"/>
              <w:left w:val="outset" w:sz="6" w:space="0" w:color="414142"/>
              <w:bottom w:val="outset" w:sz="6" w:space="0" w:color="414142"/>
              <w:right w:val="outset" w:sz="6" w:space="0" w:color="414142"/>
            </w:tcBorders>
          </w:tcPr>
          <w:p w14:paraId="55528B28" w14:textId="4CFFA408" w:rsidR="0032285D" w:rsidRPr="00507DE7" w:rsidRDefault="0032285D" w:rsidP="000141AD">
            <w:pPr>
              <w:contextualSpacing/>
              <w:rPr>
                <w:rFonts w:eastAsia="Times New Roman"/>
                <w:color w:val="000000"/>
                <w:sz w:val="24"/>
                <w:szCs w:val="24"/>
                <w:lang w:val="lv-LV" w:eastAsia="lv-LV"/>
              </w:rPr>
            </w:pPr>
            <w:r w:rsidRPr="00507DE7">
              <w:rPr>
                <w:rFonts w:eastAsia="Times New Roman"/>
                <w:iCs/>
                <w:sz w:val="24"/>
                <w:szCs w:val="24"/>
                <w:lang w:val="lv-LV" w:eastAsia="lv-LV"/>
              </w:rPr>
              <w:t>Atbilstības izmaksu monetārs novērtējums</w:t>
            </w:r>
          </w:p>
        </w:tc>
        <w:tc>
          <w:tcPr>
            <w:tcW w:w="6629" w:type="dxa"/>
            <w:tcBorders>
              <w:top w:val="outset" w:sz="6" w:space="0" w:color="414142"/>
              <w:left w:val="outset" w:sz="6" w:space="0" w:color="414142"/>
              <w:bottom w:val="outset" w:sz="6" w:space="0" w:color="414142"/>
              <w:right w:val="outset" w:sz="6" w:space="0" w:color="414142"/>
            </w:tcBorders>
          </w:tcPr>
          <w:p w14:paraId="5AB16E72" w14:textId="074365E6" w:rsidR="0032285D" w:rsidRPr="00507DE7" w:rsidRDefault="00D05947" w:rsidP="000141AD">
            <w:pPr>
              <w:pStyle w:val="BodyText"/>
              <w:ind w:right="201"/>
              <w:contextualSpacing/>
              <w:rPr>
                <w:rFonts w:eastAsia="Calibri"/>
                <w:sz w:val="24"/>
                <w:szCs w:val="24"/>
                <w:lang w:eastAsia="en-US"/>
              </w:rPr>
            </w:pPr>
            <w:r w:rsidRPr="00507DE7">
              <w:rPr>
                <w:rFonts w:eastAsia="Calibri"/>
                <w:sz w:val="24"/>
                <w:szCs w:val="24"/>
                <w:lang w:eastAsia="en-US"/>
              </w:rPr>
              <w:t>Nav attiecināms</w:t>
            </w:r>
          </w:p>
        </w:tc>
      </w:tr>
      <w:tr w:rsidR="0032285D" w:rsidRPr="00507DE7" w14:paraId="2F7C8B1B" w14:textId="77777777" w:rsidTr="00C414AE">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7753AD2E" w14:textId="602F8A05" w:rsidR="0032285D" w:rsidRPr="00507DE7" w:rsidRDefault="0032285D" w:rsidP="000141AD">
            <w:pPr>
              <w:contextualSpacing/>
              <w:rPr>
                <w:rFonts w:eastAsia="Times New Roman"/>
                <w:sz w:val="24"/>
                <w:szCs w:val="24"/>
                <w:lang w:val="lv-LV" w:eastAsia="lv-LV"/>
              </w:rPr>
            </w:pPr>
            <w:r w:rsidRPr="00507DE7">
              <w:rPr>
                <w:rFonts w:eastAsia="Times New Roman"/>
                <w:color w:val="000000"/>
                <w:sz w:val="24"/>
                <w:szCs w:val="24"/>
                <w:lang w:val="lv-LV" w:eastAsia="lv-LV"/>
              </w:rPr>
              <w:t>5.</w:t>
            </w:r>
          </w:p>
        </w:tc>
        <w:tc>
          <w:tcPr>
            <w:tcW w:w="2307" w:type="dxa"/>
            <w:gridSpan w:val="2"/>
            <w:tcBorders>
              <w:top w:val="outset" w:sz="6" w:space="0" w:color="414142"/>
              <w:left w:val="outset" w:sz="6" w:space="0" w:color="414142"/>
              <w:bottom w:val="outset" w:sz="6" w:space="0" w:color="414142"/>
              <w:right w:val="outset" w:sz="6" w:space="0" w:color="414142"/>
            </w:tcBorders>
            <w:hideMark/>
          </w:tcPr>
          <w:p w14:paraId="6027A436" w14:textId="77777777" w:rsidR="0032285D" w:rsidRPr="00507DE7" w:rsidRDefault="0032285D" w:rsidP="000141AD">
            <w:pPr>
              <w:contextualSpacing/>
              <w:rPr>
                <w:rFonts w:eastAsia="Times New Roman"/>
                <w:sz w:val="24"/>
                <w:szCs w:val="24"/>
                <w:lang w:val="lv-LV" w:eastAsia="lv-LV"/>
              </w:rPr>
            </w:pPr>
            <w:r w:rsidRPr="00507DE7">
              <w:rPr>
                <w:rFonts w:eastAsia="Times New Roman"/>
                <w:color w:val="000000"/>
                <w:sz w:val="24"/>
                <w:szCs w:val="24"/>
                <w:lang w:val="lv-LV" w:eastAsia="lv-LV"/>
              </w:rPr>
              <w:t>Cita informācija</w:t>
            </w:r>
          </w:p>
        </w:tc>
        <w:tc>
          <w:tcPr>
            <w:tcW w:w="6629" w:type="dxa"/>
            <w:tcBorders>
              <w:top w:val="outset" w:sz="6" w:space="0" w:color="414142"/>
              <w:left w:val="outset" w:sz="6" w:space="0" w:color="414142"/>
              <w:bottom w:val="outset" w:sz="6" w:space="0" w:color="414142"/>
              <w:right w:val="outset" w:sz="6" w:space="0" w:color="414142"/>
            </w:tcBorders>
            <w:hideMark/>
          </w:tcPr>
          <w:p w14:paraId="6BD39809" w14:textId="0D857CF1" w:rsidR="0032285D" w:rsidRPr="00507DE7" w:rsidRDefault="009C3B76" w:rsidP="000141AD">
            <w:pPr>
              <w:ind w:right="201"/>
              <w:contextualSpacing/>
              <w:jc w:val="both"/>
              <w:rPr>
                <w:sz w:val="24"/>
                <w:szCs w:val="24"/>
                <w:lang w:val="lv-LV"/>
              </w:rPr>
            </w:pPr>
            <w:r w:rsidRPr="00507DE7">
              <w:rPr>
                <w:sz w:val="24"/>
                <w:szCs w:val="24"/>
                <w:lang w:val="lv-LV"/>
              </w:rPr>
              <w:t>Nav</w:t>
            </w:r>
          </w:p>
        </w:tc>
      </w:tr>
    </w:tbl>
    <w:p w14:paraId="57D2014F" w14:textId="77777777" w:rsidR="00E0333C" w:rsidRPr="00507DE7" w:rsidRDefault="00E0333C" w:rsidP="000141AD">
      <w:pPr>
        <w:contextualSpacing/>
        <w:rPr>
          <w:rFonts w:eastAsia="Times New Roman"/>
          <w:sz w:val="24"/>
          <w:szCs w:val="24"/>
          <w:lang w:val="lv-LV" w:eastAsia="lv-LV"/>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E0333C" w:rsidRPr="00507DE7" w14:paraId="5C3AC8E5" w14:textId="77777777" w:rsidTr="00C414AE">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2E8916C1" w14:textId="77777777" w:rsidR="00E0333C" w:rsidRPr="00507DE7" w:rsidRDefault="00E0333C" w:rsidP="000141AD">
            <w:pPr>
              <w:contextualSpacing/>
              <w:jc w:val="center"/>
              <w:rPr>
                <w:rFonts w:eastAsia="Times New Roman"/>
                <w:b/>
                <w:sz w:val="24"/>
                <w:szCs w:val="24"/>
                <w:lang w:val="lv-LV" w:eastAsia="lv-LV"/>
              </w:rPr>
            </w:pPr>
            <w:r w:rsidRPr="00507DE7">
              <w:rPr>
                <w:rFonts w:eastAsia="Times New Roman"/>
                <w:b/>
                <w:bCs/>
                <w:sz w:val="24"/>
                <w:szCs w:val="24"/>
                <w:lang w:val="lv-LV" w:eastAsia="lv-LV"/>
              </w:rPr>
              <w:t>III. Tiesību akta projekta ietekme uz valsts budžetu un pašvaldību budžetiem</w:t>
            </w:r>
          </w:p>
        </w:tc>
      </w:tr>
      <w:tr w:rsidR="00E0333C" w:rsidRPr="00507DE7" w14:paraId="07D6D83D" w14:textId="77777777" w:rsidTr="00C414AE">
        <w:tc>
          <w:tcPr>
            <w:tcW w:w="9180" w:type="dxa"/>
            <w:tcBorders>
              <w:top w:val="single" w:sz="4" w:space="0" w:color="auto"/>
              <w:left w:val="single" w:sz="4" w:space="0" w:color="auto"/>
              <w:bottom w:val="single" w:sz="4" w:space="0" w:color="auto"/>
              <w:right w:val="single" w:sz="4" w:space="0" w:color="auto"/>
            </w:tcBorders>
            <w:shd w:val="clear" w:color="auto" w:fill="auto"/>
          </w:tcPr>
          <w:p w14:paraId="5639F0C7" w14:textId="325E111F" w:rsidR="00E0333C" w:rsidRPr="00507DE7" w:rsidRDefault="00C414AE" w:rsidP="000141AD">
            <w:pPr>
              <w:contextualSpacing/>
              <w:jc w:val="center"/>
              <w:rPr>
                <w:rFonts w:eastAsia="Times New Roman"/>
                <w:bCs/>
                <w:sz w:val="24"/>
                <w:szCs w:val="24"/>
                <w:lang w:val="lv-LV" w:eastAsia="lv-LV"/>
              </w:rPr>
            </w:pPr>
            <w:r w:rsidRPr="00507DE7">
              <w:rPr>
                <w:sz w:val="24"/>
                <w:szCs w:val="24"/>
                <w:lang w:val="lv-LV"/>
              </w:rPr>
              <w:t>Projekts šo jomu neskar</w:t>
            </w:r>
          </w:p>
        </w:tc>
      </w:tr>
    </w:tbl>
    <w:p w14:paraId="57F14BC5" w14:textId="512F1E09" w:rsidR="00844176" w:rsidRPr="00507DE7" w:rsidRDefault="00844176" w:rsidP="000141AD">
      <w:pPr>
        <w:contextualSpacing/>
        <w:rPr>
          <w:rFonts w:eastAsia="Times New Roman"/>
          <w:sz w:val="24"/>
          <w:szCs w:val="24"/>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3"/>
        <w:gridCol w:w="2101"/>
        <w:gridCol w:w="6661"/>
      </w:tblGrid>
      <w:tr w:rsidR="00844176" w:rsidRPr="00507DE7" w14:paraId="6C33CD82" w14:textId="77777777" w:rsidTr="0015181C">
        <w:trPr>
          <w:trHeight w:val="22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507DE7" w:rsidRDefault="00844176" w:rsidP="000141AD">
            <w:pPr>
              <w:ind w:firstLine="300"/>
              <w:contextualSpacing/>
              <w:jc w:val="center"/>
              <w:rPr>
                <w:rFonts w:eastAsia="Times New Roman"/>
                <w:b/>
                <w:bCs/>
                <w:sz w:val="24"/>
                <w:szCs w:val="24"/>
                <w:lang w:val="lv-LV" w:eastAsia="lv-LV"/>
              </w:rPr>
            </w:pPr>
            <w:r w:rsidRPr="00507DE7">
              <w:rPr>
                <w:rFonts w:eastAsia="Times New Roman"/>
                <w:b/>
                <w:bCs/>
                <w:sz w:val="24"/>
                <w:szCs w:val="24"/>
                <w:lang w:val="lv-LV" w:eastAsia="lv-LV"/>
              </w:rPr>
              <w:t>IV. Tiesību akta projekta ietekme uz spēkā esošo tiesību normu sistēmu</w:t>
            </w:r>
          </w:p>
        </w:tc>
      </w:tr>
      <w:tr w:rsidR="00844176" w:rsidRPr="00507DE7" w14:paraId="57818953" w14:textId="77777777" w:rsidTr="00475ACA">
        <w:tc>
          <w:tcPr>
            <w:tcW w:w="241"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507DE7" w:rsidRDefault="00844176" w:rsidP="000141AD">
            <w:pPr>
              <w:contextualSpacing/>
              <w:rPr>
                <w:rFonts w:eastAsia="Times New Roman"/>
                <w:sz w:val="24"/>
                <w:szCs w:val="24"/>
                <w:lang w:val="lv-LV" w:eastAsia="lv-LV"/>
              </w:rPr>
            </w:pPr>
            <w:r w:rsidRPr="00507DE7">
              <w:rPr>
                <w:rFonts w:eastAsia="Times New Roman"/>
                <w:sz w:val="24"/>
                <w:szCs w:val="24"/>
                <w:lang w:val="lv-LV" w:eastAsia="lv-LV"/>
              </w:rPr>
              <w:t>1.</w:t>
            </w:r>
          </w:p>
        </w:tc>
        <w:tc>
          <w:tcPr>
            <w:tcW w:w="1141" w:type="pct"/>
            <w:tcBorders>
              <w:top w:val="outset" w:sz="6" w:space="0" w:color="414142"/>
              <w:left w:val="outset" w:sz="6" w:space="0" w:color="414142"/>
              <w:bottom w:val="outset" w:sz="6" w:space="0" w:color="414142"/>
              <w:right w:val="outset" w:sz="6" w:space="0" w:color="414142"/>
            </w:tcBorders>
            <w:hideMark/>
          </w:tcPr>
          <w:p w14:paraId="6B0EF5B6" w14:textId="77777777" w:rsidR="00844176" w:rsidRPr="00507DE7" w:rsidRDefault="00844176" w:rsidP="000141AD">
            <w:pPr>
              <w:contextualSpacing/>
              <w:rPr>
                <w:rFonts w:eastAsia="Times New Roman"/>
                <w:sz w:val="24"/>
                <w:szCs w:val="24"/>
                <w:lang w:val="lv-LV" w:eastAsia="lv-LV"/>
              </w:rPr>
            </w:pPr>
            <w:r w:rsidRPr="00507DE7">
              <w:rPr>
                <w:rFonts w:eastAsia="Times New Roman"/>
                <w:sz w:val="24"/>
                <w:szCs w:val="24"/>
                <w:lang w:val="lv-LV" w:eastAsia="lv-LV"/>
              </w:rPr>
              <w:t>Nepieciešamie saistītie tiesību aktu projekti</w:t>
            </w:r>
          </w:p>
        </w:tc>
        <w:tc>
          <w:tcPr>
            <w:tcW w:w="3618" w:type="pct"/>
            <w:tcBorders>
              <w:top w:val="outset" w:sz="6" w:space="0" w:color="414142"/>
              <w:left w:val="outset" w:sz="6" w:space="0" w:color="414142"/>
              <w:bottom w:val="outset" w:sz="6" w:space="0" w:color="414142"/>
              <w:right w:val="outset" w:sz="6" w:space="0" w:color="414142"/>
            </w:tcBorders>
            <w:hideMark/>
          </w:tcPr>
          <w:p w14:paraId="37F545BF" w14:textId="632D4BCC" w:rsidR="00844176" w:rsidRPr="00507DE7" w:rsidRDefault="00F51937" w:rsidP="000141AD">
            <w:pPr>
              <w:pStyle w:val="BodyText"/>
              <w:ind w:right="142"/>
              <w:contextualSpacing/>
              <w:rPr>
                <w:rFonts w:eastAsia="Calibri"/>
                <w:sz w:val="24"/>
                <w:szCs w:val="24"/>
                <w:lang w:eastAsia="en-US"/>
              </w:rPr>
            </w:pPr>
            <w:r w:rsidRPr="00507DE7">
              <w:rPr>
                <w:sz w:val="24"/>
                <w:szCs w:val="24"/>
              </w:rPr>
              <w:t>Projekts šo jomu neskar</w:t>
            </w:r>
          </w:p>
        </w:tc>
      </w:tr>
      <w:tr w:rsidR="00844176" w:rsidRPr="00507DE7" w14:paraId="3469659F" w14:textId="77777777" w:rsidTr="00475ACA">
        <w:tc>
          <w:tcPr>
            <w:tcW w:w="241"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507DE7" w:rsidRDefault="00844176" w:rsidP="000141AD">
            <w:pPr>
              <w:contextualSpacing/>
              <w:rPr>
                <w:rFonts w:eastAsia="Times New Roman"/>
                <w:sz w:val="24"/>
                <w:szCs w:val="24"/>
                <w:lang w:val="lv-LV" w:eastAsia="lv-LV"/>
              </w:rPr>
            </w:pPr>
            <w:r w:rsidRPr="00507DE7">
              <w:rPr>
                <w:rFonts w:eastAsia="Times New Roman"/>
                <w:sz w:val="24"/>
                <w:szCs w:val="24"/>
                <w:lang w:val="lv-LV" w:eastAsia="lv-LV"/>
              </w:rPr>
              <w:t>2.</w:t>
            </w:r>
          </w:p>
        </w:tc>
        <w:tc>
          <w:tcPr>
            <w:tcW w:w="1141"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507DE7" w:rsidRDefault="00844176" w:rsidP="000141AD">
            <w:pPr>
              <w:contextualSpacing/>
              <w:rPr>
                <w:rFonts w:eastAsia="Times New Roman"/>
                <w:sz w:val="24"/>
                <w:szCs w:val="24"/>
                <w:lang w:val="lv-LV" w:eastAsia="lv-LV"/>
              </w:rPr>
            </w:pPr>
            <w:r w:rsidRPr="00507DE7">
              <w:rPr>
                <w:rFonts w:eastAsia="Times New Roman"/>
                <w:sz w:val="24"/>
                <w:szCs w:val="24"/>
                <w:lang w:val="lv-LV" w:eastAsia="lv-LV"/>
              </w:rPr>
              <w:t>Atbildīgā institūcija</w:t>
            </w:r>
          </w:p>
        </w:tc>
        <w:tc>
          <w:tcPr>
            <w:tcW w:w="3618" w:type="pct"/>
            <w:tcBorders>
              <w:top w:val="outset" w:sz="6" w:space="0" w:color="414142"/>
              <w:left w:val="outset" w:sz="6" w:space="0" w:color="414142"/>
              <w:bottom w:val="outset" w:sz="6" w:space="0" w:color="414142"/>
              <w:right w:val="outset" w:sz="6" w:space="0" w:color="414142"/>
            </w:tcBorders>
            <w:hideMark/>
          </w:tcPr>
          <w:p w14:paraId="3DEC7C4D" w14:textId="77777777" w:rsidR="00844176" w:rsidRPr="00507DE7" w:rsidRDefault="007F6449" w:rsidP="000141AD">
            <w:pPr>
              <w:pStyle w:val="BodyText"/>
              <w:ind w:right="142"/>
              <w:contextualSpacing/>
              <w:rPr>
                <w:rFonts w:eastAsia="Calibri"/>
                <w:sz w:val="24"/>
                <w:szCs w:val="24"/>
                <w:lang w:eastAsia="en-US"/>
              </w:rPr>
            </w:pPr>
            <w:r w:rsidRPr="00507DE7">
              <w:rPr>
                <w:rFonts w:eastAsia="Calibri"/>
                <w:sz w:val="24"/>
                <w:szCs w:val="24"/>
                <w:lang w:eastAsia="en-US"/>
              </w:rPr>
              <w:t>Ekonomikas ministrija</w:t>
            </w:r>
          </w:p>
        </w:tc>
      </w:tr>
      <w:tr w:rsidR="00844176" w:rsidRPr="00507DE7" w14:paraId="32F2DD54" w14:textId="77777777" w:rsidTr="00475ACA">
        <w:trPr>
          <w:trHeight w:val="22"/>
        </w:trPr>
        <w:tc>
          <w:tcPr>
            <w:tcW w:w="241"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507DE7" w:rsidRDefault="00844176" w:rsidP="000141AD">
            <w:pPr>
              <w:contextualSpacing/>
              <w:rPr>
                <w:rFonts w:eastAsia="Times New Roman"/>
                <w:sz w:val="24"/>
                <w:szCs w:val="24"/>
                <w:lang w:val="lv-LV" w:eastAsia="lv-LV"/>
              </w:rPr>
            </w:pPr>
            <w:r w:rsidRPr="00507DE7">
              <w:rPr>
                <w:rFonts w:eastAsia="Times New Roman"/>
                <w:sz w:val="24"/>
                <w:szCs w:val="24"/>
                <w:lang w:val="lv-LV" w:eastAsia="lv-LV"/>
              </w:rPr>
              <w:t>3.</w:t>
            </w:r>
          </w:p>
        </w:tc>
        <w:tc>
          <w:tcPr>
            <w:tcW w:w="1141"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507DE7" w:rsidRDefault="00844176" w:rsidP="000141AD">
            <w:pPr>
              <w:contextualSpacing/>
              <w:rPr>
                <w:rFonts w:eastAsia="Times New Roman"/>
                <w:sz w:val="24"/>
                <w:szCs w:val="24"/>
                <w:lang w:val="lv-LV" w:eastAsia="lv-LV"/>
              </w:rPr>
            </w:pPr>
            <w:r w:rsidRPr="00507DE7">
              <w:rPr>
                <w:rFonts w:eastAsia="Times New Roman"/>
                <w:sz w:val="24"/>
                <w:szCs w:val="24"/>
                <w:lang w:val="lv-LV" w:eastAsia="lv-LV"/>
              </w:rPr>
              <w:t>Cita informācija</w:t>
            </w:r>
          </w:p>
        </w:tc>
        <w:tc>
          <w:tcPr>
            <w:tcW w:w="3618" w:type="pct"/>
            <w:tcBorders>
              <w:top w:val="outset" w:sz="6" w:space="0" w:color="414142"/>
              <w:left w:val="outset" w:sz="6" w:space="0" w:color="414142"/>
              <w:bottom w:val="outset" w:sz="6" w:space="0" w:color="414142"/>
              <w:right w:val="outset" w:sz="6" w:space="0" w:color="414142"/>
            </w:tcBorders>
            <w:hideMark/>
          </w:tcPr>
          <w:p w14:paraId="637C4F16" w14:textId="31042FB9" w:rsidR="00844176" w:rsidRPr="00507DE7" w:rsidRDefault="00475ACA" w:rsidP="000141AD">
            <w:pPr>
              <w:contextualSpacing/>
              <w:jc w:val="both"/>
              <w:rPr>
                <w:sz w:val="24"/>
                <w:szCs w:val="24"/>
                <w:lang w:val="lv-LV"/>
              </w:rPr>
            </w:pPr>
            <w:r>
              <w:rPr>
                <w:sz w:val="24"/>
                <w:szCs w:val="24"/>
                <w:lang w:val="lv-LV"/>
              </w:rPr>
              <w:t>Nav</w:t>
            </w:r>
          </w:p>
        </w:tc>
      </w:tr>
    </w:tbl>
    <w:p w14:paraId="2A21AD4B" w14:textId="77777777" w:rsidR="00844176" w:rsidRPr="00507DE7" w:rsidRDefault="00844176" w:rsidP="000141AD">
      <w:pPr>
        <w:contextualSpacing/>
        <w:rPr>
          <w:rFonts w:eastAsia="Times New Roman"/>
          <w:sz w:val="24"/>
          <w:szCs w:val="24"/>
          <w:lang w:val="lv-LV" w:eastAsia="lv-LV"/>
        </w:rPr>
      </w:pPr>
    </w:p>
    <w:tbl>
      <w:tblPr>
        <w:tblW w:w="928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84"/>
      </w:tblGrid>
      <w:tr w:rsidR="00844176" w:rsidRPr="00507DE7" w14:paraId="07C3ABEE" w14:textId="77777777" w:rsidTr="00507DE7">
        <w:tc>
          <w:tcPr>
            <w:tcW w:w="0" w:type="auto"/>
            <w:tcBorders>
              <w:top w:val="outset" w:sz="6" w:space="0" w:color="414142"/>
              <w:left w:val="outset" w:sz="6" w:space="0" w:color="414142"/>
              <w:bottom w:val="outset" w:sz="6" w:space="0" w:color="414142"/>
              <w:right w:val="outset" w:sz="6" w:space="0" w:color="414142"/>
            </w:tcBorders>
            <w:hideMark/>
          </w:tcPr>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26"/>
              <w:gridCol w:w="2086"/>
              <w:gridCol w:w="1843"/>
              <w:gridCol w:w="2409"/>
              <w:gridCol w:w="2450"/>
            </w:tblGrid>
            <w:tr w:rsidR="00D05947" w:rsidRPr="00507DE7" w14:paraId="0EEF6FF5" w14:textId="77777777" w:rsidTr="00055D7A">
              <w:trPr>
                <w:trHeight w:val="421"/>
              </w:trPr>
              <w:tc>
                <w:tcPr>
                  <w:tcW w:w="9214" w:type="dxa"/>
                  <w:gridSpan w:val="5"/>
                  <w:vAlign w:val="center"/>
                </w:tcPr>
                <w:p w14:paraId="5990468D" w14:textId="77777777" w:rsidR="00D05947" w:rsidRPr="00507DE7" w:rsidRDefault="00D05947" w:rsidP="00E50BE5">
                  <w:pPr>
                    <w:contextualSpacing/>
                    <w:jc w:val="center"/>
                    <w:rPr>
                      <w:sz w:val="24"/>
                      <w:szCs w:val="24"/>
                      <w:lang w:val="lv-LV"/>
                    </w:rPr>
                  </w:pPr>
                  <w:r w:rsidRPr="00507DE7">
                    <w:rPr>
                      <w:b/>
                      <w:sz w:val="24"/>
                      <w:szCs w:val="24"/>
                      <w:lang w:val="lv-LV"/>
                    </w:rPr>
                    <w:t>V. Tiesību akta projekta atbilstība Latvijas Republikas starptautiskajām saistībām</w:t>
                  </w:r>
                </w:p>
              </w:tc>
            </w:tr>
            <w:tr w:rsidR="00D05947" w:rsidRPr="00507DE7" w14:paraId="06A1E0B9" w14:textId="77777777" w:rsidTr="00B96BE0">
              <w:trPr>
                <w:trHeight w:val="553"/>
              </w:trPr>
              <w:tc>
                <w:tcPr>
                  <w:tcW w:w="426" w:type="dxa"/>
                </w:tcPr>
                <w:p w14:paraId="12A6D097" w14:textId="77777777" w:rsidR="00D05947" w:rsidRPr="00507DE7" w:rsidRDefault="00D05947" w:rsidP="000141AD">
                  <w:pPr>
                    <w:contextualSpacing/>
                    <w:jc w:val="both"/>
                    <w:rPr>
                      <w:sz w:val="24"/>
                      <w:szCs w:val="24"/>
                      <w:lang w:val="lv-LV"/>
                    </w:rPr>
                  </w:pPr>
                  <w:r w:rsidRPr="00507DE7">
                    <w:rPr>
                      <w:sz w:val="24"/>
                      <w:szCs w:val="24"/>
                      <w:lang w:val="lv-LV"/>
                    </w:rPr>
                    <w:t>1.</w:t>
                  </w:r>
                </w:p>
              </w:tc>
              <w:tc>
                <w:tcPr>
                  <w:tcW w:w="2086" w:type="dxa"/>
                </w:tcPr>
                <w:p w14:paraId="249CE861" w14:textId="77777777" w:rsidR="00D05947" w:rsidRPr="00507DE7" w:rsidRDefault="00D05947" w:rsidP="00197C9D">
                  <w:pPr>
                    <w:ind w:right="148"/>
                    <w:contextualSpacing/>
                    <w:jc w:val="both"/>
                    <w:rPr>
                      <w:sz w:val="24"/>
                      <w:szCs w:val="24"/>
                      <w:lang w:val="lv-LV"/>
                    </w:rPr>
                  </w:pPr>
                  <w:r w:rsidRPr="00507DE7">
                    <w:rPr>
                      <w:sz w:val="24"/>
                      <w:szCs w:val="24"/>
                      <w:lang w:val="lv-LV"/>
                    </w:rPr>
                    <w:t>Saistības pret Eiropas Savienību</w:t>
                  </w:r>
                </w:p>
              </w:tc>
              <w:tc>
                <w:tcPr>
                  <w:tcW w:w="6702" w:type="dxa"/>
                  <w:gridSpan w:val="3"/>
                </w:tcPr>
                <w:p w14:paraId="328B9B91" w14:textId="77777777" w:rsidR="00D05947" w:rsidRPr="00507DE7" w:rsidRDefault="00D05947" w:rsidP="00AD4F2E">
                  <w:pPr>
                    <w:ind w:left="139" w:right="139"/>
                    <w:contextualSpacing/>
                    <w:jc w:val="both"/>
                    <w:rPr>
                      <w:sz w:val="24"/>
                      <w:szCs w:val="24"/>
                      <w:lang w:val="lv-LV"/>
                    </w:rPr>
                  </w:pPr>
                  <w:r w:rsidRPr="00507DE7">
                    <w:rPr>
                      <w:sz w:val="24"/>
                      <w:szCs w:val="24"/>
                      <w:lang w:val="lv-LV"/>
                    </w:rPr>
                    <w:t xml:space="preserve">Ar Noteikumu projektu tiks ieviestas prasības šādiem Eiropas Savienības tiesību aktiem: </w:t>
                  </w:r>
                </w:p>
                <w:p w14:paraId="6EE612AA" w14:textId="58A6E8C0" w:rsidR="00D05947" w:rsidRPr="00507DE7" w:rsidRDefault="00D05947" w:rsidP="00D61EDF">
                  <w:pPr>
                    <w:numPr>
                      <w:ilvl w:val="0"/>
                      <w:numId w:val="31"/>
                    </w:numPr>
                    <w:tabs>
                      <w:tab w:val="left" w:pos="425"/>
                    </w:tabs>
                    <w:ind w:left="139" w:firstLine="0"/>
                    <w:contextualSpacing/>
                    <w:jc w:val="both"/>
                    <w:rPr>
                      <w:sz w:val="24"/>
                      <w:szCs w:val="24"/>
                      <w:lang w:val="lv-LV"/>
                    </w:rPr>
                  </w:pPr>
                  <w:r w:rsidRPr="00507DE7">
                    <w:rPr>
                      <w:sz w:val="24"/>
                      <w:szCs w:val="24"/>
                      <w:lang w:val="lv-LV"/>
                    </w:rPr>
                    <w:t>Komisijas</w:t>
                  </w:r>
                  <w:r w:rsidR="00886C65">
                    <w:rPr>
                      <w:sz w:val="24"/>
                      <w:szCs w:val="24"/>
                      <w:lang w:val="lv-LV"/>
                    </w:rPr>
                    <w:t xml:space="preserve"> 2014.gada 17.jūnija</w:t>
                  </w:r>
                  <w:r w:rsidRPr="00507DE7">
                    <w:rPr>
                      <w:sz w:val="24"/>
                      <w:szCs w:val="24"/>
                      <w:lang w:val="lv-LV"/>
                    </w:rPr>
                    <w:t xml:space="preserve"> regulas Nr</w:t>
                  </w:r>
                  <w:r w:rsidR="00651C12" w:rsidRPr="00507DE7">
                    <w:rPr>
                      <w:sz w:val="24"/>
                      <w:szCs w:val="24"/>
                      <w:lang w:val="lv-LV"/>
                    </w:rPr>
                    <w:t>.</w:t>
                  </w:r>
                  <w:r w:rsidR="00651C12">
                    <w:rPr>
                      <w:sz w:val="24"/>
                      <w:szCs w:val="24"/>
                      <w:lang w:val="lv-LV"/>
                    </w:rPr>
                    <w:t> </w:t>
                  </w:r>
                  <w:r w:rsidRPr="00507DE7">
                    <w:rPr>
                      <w:sz w:val="24"/>
                      <w:szCs w:val="24"/>
                      <w:lang w:val="lv-LV"/>
                    </w:rPr>
                    <w:t>651/2014</w:t>
                  </w:r>
                  <w:r w:rsidR="00886C65">
                    <w:rPr>
                      <w:sz w:val="24"/>
                      <w:szCs w:val="24"/>
                      <w:lang w:val="lv-LV"/>
                    </w:rPr>
                    <w:t>, ar kuru noteiktas atbalsta kategorijas atzīst par saderīgām ar iekšējo tirgu, piemērojot Līguma 107. un 108.pantu</w:t>
                  </w:r>
                  <w:r w:rsidRPr="00507DE7">
                    <w:rPr>
                      <w:sz w:val="24"/>
                      <w:szCs w:val="24"/>
                      <w:lang w:val="lv-LV"/>
                    </w:rPr>
                    <w:t>;</w:t>
                  </w:r>
                </w:p>
                <w:p w14:paraId="37565905" w14:textId="77BE6AE9" w:rsidR="0071042E" w:rsidRPr="00507DE7" w:rsidRDefault="00886C65" w:rsidP="00D61EDF">
                  <w:pPr>
                    <w:numPr>
                      <w:ilvl w:val="0"/>
                      <w:numId w:val="31"/>
                    </w:numPr>
                    <w:tabs>
                      <w:tab w:val="left" w:pos="425"/>
                    </w:tabs>
                    <w:ind w:left="139" w:firstLine="0"/>
                    <w:contextualSpacing/>
                    <w:jc w:val="both"/>
                    <w:rPr>
                      <w:sz w:val="24"/>
                      <w:szCs w:val="24"/>
                      <w:lang w:val="lv-LV"/>
                    </w:rPr>
                  </w:pPr>
                  <w:r>
                    <w:rPr>
                      <w:sz w:val="24"/>
                      <w:szCs w:val="24"/>
                      <w:lang w:val="lv-LV"/>
                    </w:rPr>
                    <w:t xml:space="preserve">Eiropas Parlamenta un Padomes 2013.gada 17.decembris </w:t>
                  </w:r>
                  <w:r w:rsidR="0071042E" w:rsidRPr="00507DE7">
                    <w:rPr>
                      <w:sz w:val="24"/>
                      <w:szCs w:val="24"/>
                      <w:lang w:val="lv-LV"/>
                    </w:rPr>
                    <w:t>regulas Nr.</w:t>
                  </w:r>
                  <w:r w:rsidR="00651C12">
                    <w:rPr>
                      <w:sz w:val="24"/>
                      <w:szCs w:val="24"/>
                      <w:lang w:val="lv-LV"/>
                    </w:rPr>
                    <w:t> </w:t>
                  </w:r>
                  <w:r w:rsidR="0071042E" w:rsidRPr="00507DE7">
                    <w:rPr>
                      <w:sz w:val="24"/>
                      <w:szCs w:val="24"/>
                      <w:lang w:val="lv-LV"/>
                    </w:rPr>
                    <w:t>1301/2013</w:t>
                  </w:r>
                  <w:r>
                    <w:rPr>
                      <w:sz w:val="24"/>
                      <w:szCs w:val="24"/>
                      <w:lang w:val="lv-LV"/>
                    </w:rPr>
                    <w:t xml:space="preserve"> par Eiropas Reģionālās attīstības fondu un īpašiem noteikumiem attiecībā uz mērķi “Investīcijas izaugsmei un nodarbinātībai” un ar ko atceļ Regulu (EK) Nr.1080/2006</w:t>
                  </w:r>
                  <w:r w:rsidR="00785E8B">
                    <w:rPr>
                      <w:sz w:val="24"/>
                      <w:szCs w:val="24"/>
                      <w:lang w:val="lv-LV"/>
                    </w:rPr>
                    <w:t>.</w:t>
                  </w:r>
                </w:p>
              </w:tc>
            </w:tr>
            <w:tr w:rsidR="00D05947" w:rsidRPr="00507DE7" w14:paraId="49B14338" w14:textId="77777777" w:rsidTr="00B96BE0">
              <w:trPr>
                <w:trHeight w:val="339"/>
              </w:trPr>
              <w:tc>
                <w:tcPr>
                  <w:tcW w:w="426" w:type="dxa"/>
                </w:tcPr>
                <w:p w14:paraId="0B36CCC3" w14:textId="77777777" w:rsidR="00D05947" w:rsidRPr="00507DE7" w:rsidRDefault="00D05947" w:rsidP="000141AD">
                  <w:pPr>
                    <w:contextualSpacing/>
                    <w:jc w:val="both"/>
                    <w:rPr>
                      <w:sz w:val="24"/>
                      <w:szCs w:val="24"/>
                      <w:lang w:val="lv-LV"/>
                    </w:rPr>
                  </w:pPr>
                  <w:r w:rsidRPr="00507DE7">
                    <w:rPr>
                      <w:sz w:val="24"/>
                      <w:szCs w:val="24"/>
                      <w:lang w:val="lv-LV"/>
                    </w:rPr>
                    <w:t>2.</w:t>
                  </w:r>
                </w:p>
              </w:tc>
              <w:tc>
                <w:tcPr>
                  <w:tcW w:w="2086" w:type="dxa"/>
                </w:tcPr>
                <w:p w14:paraId="505A071E" w14:textId="77777777" w:rsidR="00D05947" w:rsidRPr="00507DE7" w:rsidRDefault="00D05947" w:rsidP="00197C9D">
                  <w:pPr>
                    <w:ind w:right="148"/>
                    <w:contextualSpacing/>
                    <w:jc w:val="both"/>
                    <w:rPr>
                      <w:sz w:val="24"/>
                      <w:szCs w:val="24"/>
                      <w:lang w:val="lv-LV"/>
                    </w:rPr>
                  </w:pPr>
                  <w:r w:rsidRPr="00507DE7">
                    <w:rPr>
                      <w:sz w:val="24"/>
                      <w:szCs w:val="24"/>
                      <w:lang w:val="lv-LV"/>
                    </w:rPr>
                    <w:t>Citas starptautiskās saistības</w:t>
                  </w:r>
                </w:p>
              </w:tc>
              <w:tc>
                <w:tcPr>
                  <w:tcW w:w="6702" w:type="dxa"/>
                  <w:gridSpan w:val="3"/>
                </w:tcPr>
                <w:p w14:paraId="28CFDF2B" w14:textId="77777777" w:rsidR="00D05947" w:rsidRPr="00507DE7" w:rsidRDefault="00D05947" w:rsidP="000141AD">
                  <w:pPr>
                    <w:ind w:left="75"/>
                    <w:contextualSpacing/>
                    <w:jc w:val="both"/>
                    <w:rPr>
                      <w:sz w:val="24"/>
                      <w:szCs w:val="24"/>
                      <w:lang w:val="lv-LV"/>
                    </w:rPr>
                  </w:pPr>
                  <w:r w:rsidRPr="00507DE7">
                    <w:rPr>
                      <w:sz w:val="24"/>
                      <w:szCs w:val="24"/>
                      <w:lang w:val="lv-LV"/>
                    </w:rPr>
                    <w:t>Projekts šo jomu neskar.</w:t>
                  </w:r>
                </w:p>
              </w:tc>
            </w:tr>
            <w:tr w:rsidR="00D05947" w:rsidRPr="00507DE7" w14:paraId="5828A5AF" w14:textId="77777777" w:rsidTr="00B96BE0">
              <w:trPr>
                <w:trHeight w:val="476"/>
              </w:trPr>
              <w:tc>
                <w:tcPr>
                  <w:tcW w:w="426" w:type="dxa"/>
                </w:tcPr>
                <w:p w14:paraId="306CA9F0" w14:textId="77777777" w:rsidR="00D05947" w:rsidRPr="00507DE7" w:rsidRDefault="00D05947" w:rsidP="000141AD">
                  <w:pPr>
                    <w:contextualSpacing/>
                    <w:jc w:val="both"/>
                    <w:rPr>
                      <w:sz w:val="24"/>
                      <w:szCs w:val="24"/>
                      <w:lang w:val="lv-LV"/>
                    </w:rPr>
                  </w:pPr>
                  <w:r w:rsidRPr="00507DE7">
                    <w:rPr>
                      <w:sz w:val="24"/>
                      <w:szCs w:val="24"/>
                      <w:lang w:val="lv-LV"/>
                    </w:rPr>
                    <w:t>3.</w:t>
                  </w:r>
                </w:p>
              </w:tc>
              <w:tc>
                <w:tcPr>
                  <w:tcW w:w="2086" w:type="dxa"/>
                </w:tcPr>
                <w:p w14:paraId="53C039EC" w14:textId="77777777" w:rsidR="00D05947" w:rsidRPr="00507DE7" w:rsidRDefault="00D05947" w:rsidP="00197C9D">
                  <w:pPr>
                    <w:ind w:right="148"/>
                    <w:contextualSpacing/>
                    <w:jc w:val="both"/>
                    <w:rPr>
                      <w:sz w:val="24"/>
                      <w:szCs w:val="24"/>
                      <w:lang w:val="lv-LV"/>
                    </w:rPr>
                  </w:pPr>
                  <w:r w:rsidRPr="00507DE7">
                    <w:rPr>
                      <w:sz w:val="24"/>
                      <w:szCs w:val="24"/>
                      <w:lang w:val="lv-LV"/>
                    </w:rPr>
                    <w:t>Cita informācija</w:t>
                  </w:r>
                </w:p>
              </w:tc>
              <w:tc>
                <w:tcPr>
                  <w:tcW w:w="6702" w:type="dxa"/>
                  <w:gridSpan w:val="3"/>
                </w:tcPr>
                <w:p w14:paraId="107AF57E" w14:textId="7298CFF0" w:rsidR="00D05947" w:rsidRPr="00507DE7" w:rsidRDefault="00D05947" w:rsidP="000141AD">
                  <w:pPr>
                    <w:ind w:left="75"/>
                    <w:contextualSpacing/>
                    <w:jc w:val="both"/>
                    <w:rPr>
                      <w:sz w:val="24"/>
                      <w:szCs w:val="24"/>
                      <w:lang w:val="lv-LV"/>
                    </w:rPr>
                  </w:pPr>
                  <w:r w:rsidRPr="00507DE7">
                    <w:rPr>
                      <w:sz w:val="24"/>
                      <w:szCs w:val="24"/>
                      <w:lang w:val="lv-LV"/>
                    </w:rPr>
                    <w:t>Nav</w:t>
                  </w:r>
                </w:p>
              </w:tc>
            </w:tr>
            <w:tr w:rsidR="00D05947" w:rsidRPr="00507DE7" w14:paraId="1B08FA9A" w14:textId="77777777" w:rsidTr="00055D7A">
              <w:tblPrEx>
                <w:tblCellMar>
                  <w:left w:w="108" w:type="dxa"/>
                  <w:right w:w="108" w:type="dxa"/>
                </w:tblCellMar>
                <w:tblLook w:val="01E0" w:firstRow="1" w:lastRow="1" w:firstColumn="1" w:lastColumn="1" w:noHBand="0" w:noVBand="0"/>
              </w:tblPrEx>
              <w:tc>
                <w:tcPr>
                  <w:tcW w:w="9214" w:type="dxa"/>
                  <w:gridSpan w:val="5"/>
                  <w:tcBorders>
                    <w:top w:val="single" w:sz="4" w:space="0" w:color="000000"/>
                    <w:left w:val="single" w:sz="4" w:space="0" w:color="000000"/>
                    <w:bottom w:val="single" w:sz="4" w:space="0" w:color="000000"/>
                    <w:right w:val="single" w:sz="4" w:space="0" w:color="000000"/>
                  </w:tcBorders>
                </w:tcPr>
                <w:p w14:paraId="3F2C20CA" w14:textId="443F654C" w:rsidR="00D07485" w:rsidRDefault="00D05947" w:rsidP="000141AD">
                  <w:pPr>
                    <w:contextualSpacing/>
                    <w:jc w:val="both"/>
                    <w:rPr>
                      <w:b/>
                      <w:sz w:val="24"/>
                      <w:szCs w:val="24"/>
                      <w:lang w:val="lv-LV"/>
                    </w:rPr>
                  </w:pPr>
                  <w:r w:rsidRPr="00507DE7">
                    <w:rPr>
                      <w:b/>
                      <w:sz w:val="24"/>
                      <w:szCs w:val="24"/>
                      <w:lang w:val="lv-LV"/>
                    </w:rPr>
                    <w:t>1.tabula</w:t>
                  </w:r>
                </w:p>
                <w:p w14:paraId="2A690C48" w14:textId="1AF2ABF8" w:rsidR="00D05947" w:rsidRPr="00507DE7" w:rsidRDefault="00D05947" w:rsidP="000141AD">
                  <w:pPr>
                    <w:contextualSpacing/>
                    <w:jc w:val="both"/>
                    <w:rPr>
                      <w:sz w:val="24"/>
                      <w:szCs w:val="24"/>
                      <w:lang w:val="lv-LV"/>
                    </w:rPr>
                  </w:pPr>
                  <w:r w:rsidRPr="00507DE7">
                    <w:rPr>
                      <w:b/>
                      <w:sz w:val="24"/>
                      <w:szCs w:val="24"/>
                      <w:lang w:val="lv-LV"/>
                    </w:rPr>
                    <w:t>Tiesību akta projekta atbilstība ES tiesību aktiem</w:t>
                  </w:r>
                </w:p>
              </w:tc>
            </w:tr>
            <w:tr w:rsidR="00D05947" w:rsidRPr="00507DE7" w14:paraId="623F66E3" w14:textId="77777777" w:rsidTr="00B96BE0">
              <w:tblPrEx>
                <w:tblCellMar>
                  <w:left w:w="108" w:type="dxa"/>
                  <w:right w:w="108" w:type="dxa"/>
                </w:tblCellMar>
                <w:tblLook w:val="01E0" w:firstRow="1" w:lastRow="1" w:firstColumn="1" w:lastColumn="1" w:noHBand="0" w:noVBand="0"/>
              </w:tblPrEx>
              <w:tc>
                <w:tcPr>
                  <w:tcW w:w="2512" w:type="dxa"/>
                  <w:gridSpan w:val="2"/>
                  <w:tcBorders>
                    <w:top w:val="single" w:sz="4" w:space="0" w:color="000000"/>
                    <w:left w:val="single" w:sz="4" w:space="0" w:color="000000"/>
                    <w:bottom w:val="single" w:sz="4" w:space="0" w:color="000000"/>
                    <w:right w:val="single" w:sz="4" w:space="0" w:color="000000"/>
                  </w:tcBorders>
                </w:tcPr>
                <w:p w14:paraId="4282B49F" w14:textId="77777777" w:rsidR="00D05947" w:rsidRPr="00507DE7" w:rsidRDefault="00D05947" w:rsidP="000141AD">
                  <w:pPr>
                    <w:contextualSpacing/>
                    <w:jc w:val="both"/>
                    <w:rPr>
                      <w:sz w:val="24"/>
                      <w:szCs w:val="24"/>
                      <w:lang w:val="lv-LV"/>
                    </w:rPr>
                  </w:pPr>
                  <w:r w:rsidRPr="00507DE7">
                    <w:rPr>
                      <w:sz w:val="24"/>
                      <w:szCs w:val="24"/>
                      <w:lang w:val="lv-LV"/>
                    </w:rPr>
                    <w:t>Attiecīgā ES tiesību akta datums, numurs un nosaukums</w:t>
                  </w:r>
                </w:p>
              </w:tc>
              <w:tc>
                <w:tcPr>
                  <w:tcW w:w="6702" w:type="dxa"/>
                  <w:gridSpan w:val="3"/>
                  <w:tcBorders>
                    <w:top w:val="single" w:sz="4" w:space="0" w:color="000000"/>
                    <w:left w:val="single" w:sz="4" w:space="0" w:color="000000"/>
                    <w:bottom w:val="single" w:sz="4" w:space="0" w:color="000000"/>
                    <w:right w:val="single" w:sz="4" w:space="0" w:color="000000"/>
                  </w:tcBorders>
                </w:tcPr>
                <w:p w14:paraId="7A6C0E92" w14:textId="70D7AD47" w:rsidR="00D05947" w:rsidRPr="00507DE7" w:rsidRDefault="00886C65" w:rsidP="00E215C1">
                  <w:pPr>
                    <w:contextualSpacing/>
                    <w:jc w:val="both"/>
                    <w:rPr>
                      <w:sz w:val="24"/>
                      <w:szCs w:val="24"/>
                      <w:lang w:val="lv-LV"/>
                    </w:rPr>
                  </w:pPr>
                  <w:r w:rsidRPr="00507DE7">
                    <w:rPr>
                      <w:sz w:val="24"/>
                      <w:szCs w:val="24"/>
                      <w:lang w:val="lv-LV"/>
                    </w:rPr>
                    <w:t>Komisijas</w:t>
                  </w:r>
                  <w:r>
                    <w:rPr>
                      <w:sz w:val="24"/>
                      <w:szCs w:val="24"/>
                      <w:lang w:val="lv-LV"/>
                    </w:rPr>
                    <w:t xml:space="preserve"> 2014.gada 17.jūnija</w:t>
                  </w:r>
                  <w:r w:rsidRPr="00507DE7">
                    <w:rPr>
                      <w:sz w:val="24"/>
                      <w:szCs w:val="24"/>
                      <w:lang w:val="lv-LV"/>
                    </w:rPr>
                    <w:t xml:space="preserve"> regulas Nr.</w:t>
                  </w:r>
                  <w:r>
                    <w:rPr>
                      <w:sz w:val="24"/>
                      <w:szCs w:val="24"/>
                      <w:lang w:val="lv-LV"/>
                    </w:rPr>
                    <w:t> </w:t>
                  </w:r>
                  <w:r w:rsidRPr="00507DE7">
                    <w:rPr>
                      <w:sz w:val="24"/>
                      <w:szCs w:val="24"/>
                      <w:lang w:val="lv-LV"/>
                    </w:rPr>
                    <w:t>651/2014</w:t>
                  </w:r>
                  <w:r>
                    <w:rPr>
                      <w:sz w:val="24"/>
                      <w:szCs w:val="24"/>
                      <w:lang w:val="lv-LV"/>
                    </w:rPr>
                    <w:t>, ar kuru noteiktas atbalsta kategorijas atzīst par saderīgām ar iekšējo tirgu, piemērojot Līguma 107. un 108.pantu</w:t>
                  </w:r>
                  <w:r w:rsidR="0043280D">
                    <w:rPr>
                      <w:sz w:val="24"/>
                      <w:szCs w:val="24"/>
                      <w:lang w:val="lv-LV"/>
                    </w:rPr>
                    <w:t xml:space="preserve"> (R</w:t>
                  </w:r>
                  <w:r w:rsidR="0043280D" w:rsidRPr="00507DE7">
                    <w:rPr>
                      <w:sz w:val="24"/>
                      <w:szCs w:val="24"/>
                      <w:lang w:val="lv-LV"/>
                    </w:rPr>
                    <w:t>egula Nr.</w:t>
                  </w:r>
                  <w:r w:rsidR="0043280D">
                    <w:rPr>
                      <w:sz w:val="24"/>
                      <w:szCs w:val="24"/>
                      <w:lang w:val="lv-LV"/>
                    </w:rPr>
                    <w:t> </w:t>
                  </w:r>
                  <w:r w:rsidR="0043280D" w:rsidRPr="00507DE7">
                    <w:rPr>
                      <w:sz w:val="24"/>
                      <w:szCs w:val="24"/>
                      <w:lang w:val="lv-LV"/>
                    </w:rPr>
                    <w:t>651/2014</w:t>
                  </w:r>
                  <w:r w:rsidR="0043280D">
                    <w:rPr>
                      <w:sz w:val="24"/>
                      <w:szCs w:val="24"/>
                      <w:lang w:val="lv-LV"/>
                    </w:rPr>
                    <w:t>)</w:t>
                  </w:r>
                  <w:r w:rsidR="00D05947" w:rsidRPr="00507DE7">
                    <w:rPr>
                      <w:sz w:val="24"/>
                      <w:szCs w:val="24"/>
                      <w:lang w:val="lv-LV"/>
                    </w:rPr>
                    <w:t>;</w:t>
                  </w:r>
                </w:p>
                <w:p w14:paraId="5BD05450" w14:textId="7C38E6D4" w:rsidR="0071042E" w:rsidRPr="00507DE7" w:rsidRDefault="00886C65" w:rsidP="00E215C1">
                  <w:pPr>
                    <w:contextualSpacing/>
                    <w:jc w:val="both"/>
                    <w:rPr>
                      <w:sz w:val="24"/>
                      <w:szCs w:val="24"/>
                      <w:lang w:val="lv-LV"/>
                    </w:rPr>
                  </w:pPr>
                  <w:r>
                    <w:rPr>
                      <w:sz w:val="24"/>
                      <w:szCs w:val="24"/>
                      <w:lang w:val="lv-LV"/>
                    </w:rPr>
                    <w:t xml:space="preserve">Eiropas Parlamenta un Padomes 2013.gada 17.decembris </w:t>
                  </w:r>
                  <w:r w:rsidRPr="00507DE7">
                    <w:rPr>
                      <w:sz w:val="24"/>
                      <w:szCs w:val="24"/>
                      <w:lang w:val="lv-LV"/>
                    </w:rPr>
                    <w:t>regulas Nr.</w:t>
                  </w:r>
                  <w:r>
                    <w:rPr>
                      <w:sz w:val="24"/>
                      <w:szCs w:val="24"/>
                      <w:lang w:val="lv-LV"/>
                    </w:rPr>
                    <w:t> </w:t>
                  </w:r>
                  <w:r w:rsidRPr="00507DE7">
                    <w:rPr>
                      <w:sz w:val="24"/>
                      <w:szCs w:val="24"/>
                      <w:lang w:val="lv-LV"/>
                    </w:rPr>
                    <w:t>1301/2013</w:t>
                  </w:r>
                  <w:r>
                    <w:rPr>
                      <w:sz w:val="24"/>
                      <w:szCs w:val="24"/>
                      <w:lang w:val="lv-LV"/>
                    </w:rPr>
                    <w:t xml:space="preserve"> par Eiropas Reģionālās attīstības fondu un īpašiem noteikumiem attiecībā uz mērķi “Investīcijas izaugsmei un nodarbinātībai” un ar ko atceļ Regulu (EK) Nr.1080/2006</w:t>
                  </w:r>
                  <w:r w:rsidR="0043280D">
                    <w:rPr>
                      <w:sz w:val="24"/>
                      <w:szCs w:val="24"/>
                      <w:lang w:val="lv-LV"/>
                    </w:rPr>
                    <w:t xml:space="preserve"> (R</w:t>
                  </w:r>
                  <w:r w:rsidR="0043280D" w:rsidRPr="00507DE7">
                    <w:rPr>
                      <w:sz w:val="24"/>
                      <w:szCs w:val="24"/>
                      <w:lang w:val="lv-LV"/>
                    </w:rPr>
                    <w:t>egula Nr.</w:t>
                  </w:r>
                  <w:r w:rsidR="0043280D">
                    <w:rPr>
                      <w:sz w:val="24"/>
                      <w:szCs w:val="24"/>
                      <w:lang w:val="lv-LV"/>
                    </w:rPr>
                    <w:t> </w:t>
                  </w:r>
                  <w:r w:rsidR="0043280D" w:rsidRPr="00507DE7">
                    <w:rPr>
                      <w:sz w:val="24"/>
                      <w:szCs w:val="24"/>
                      <w:lang w:val="lv-LV"/>
                    </w:rPr>
                    <w:t>651/2014</w:t>
                  </w:r>
                  <w:r w:rsidR="0043280D">
                    <w:rPr>
                      <w:sz w:val="24"/>
                      <w:szCs w:val="24"/>
                      <w:lang w:val="lv-LV"/>
                    </w:rPr>
                    <w:t>)</w:t>
                  </w:r>
                  <w:r>
                    <w:rPr>
                      <w:sz w:val="24"/>
                      <w:szCs w:val="24"/>
                      <w:lang w:val="lv-LV"/>
                    </w:rPr>
                    <w:t>.</w:t>
                  </w:r>
                </w:p>
              </w:tc>
            </w:tr>
            <w:tr w:rsidR="00D05947" w:rsidRPr="00507DE7" w14:paraId="08B09D65" w14:textId="77777777" w:rsidTr="00B96BE0">
              <w:tblPrEx>
                <w:tblCellMar>
                  <w:left w:w="108" w:type="dxa"/>
                  <w:right w:w="108" w:type="dxa"/>
                </w:tblCellMar>
                <w:tblLook w:val="01E0" w:firstRow="1" w:lastRow="1" w:firstColumn="1" w:lastColumn="1" w:noHBand="0" w:noVBand="0"/>
              </w:tblPrEx>
              <w:tc>
                <w:tcPr>
                  <w:tcW w:w="2512" w:type="dxa"/>
                  <w:gridSpan w:val="2"/>
                  <w:tcBorders>
                    <w:top w:val="single" w:sz="4" w:space="0" w:color="000000"/>
                    <w:left w:val="single" w:sz="4" w:space="0" w:color="000000"/>
                    <w:bottom w:val="single" w:sz="4" w:space="0" w:color="000000"/>
                    <w:right w:val="single" w:sz="4" w:space="0" w:color="000000"/>
                  </w:tcBorders>
                </w:tcPr>
                <w:p w14:paraId="355B0CE6" w14:textId="77777777" w:rsidR="00D05947" w:rsidRPr="00507DE7" w:rsidRDefault="00D05947" w:rsidP="000141AD">
                  <w:pPr>
                    <w:contextualSpacing/>
                    <w:jc w:val="both"/>
                    <w:rPr>
                      <w:sz w:val="24"/>
                      <w:szCs w:val="24"/>
                      <w:lang w:val="lv-LV"/>
                    </w:rPr>
                  </w:pPr>
                  <w:r w:rsidRPr="00507DE7">
                    <w:rPr>
                      <w:sz w:val="24"/>
                      <w:szCs w:val="24"/>
                      <w:lang w:val="lv-LV"/>
                    </w:rPr>
                    <w:lastRenderedPageBreak/>
                    <w:t>A</w:t>
                  </w:r>
                </w:p>
              </w:tc>
              <w:tc>
                <w:tcPr>
                  <w:tcW w:w="1843" w:type="dxa"/>
                  <w:tcBorders>
                    <w:top w:val="single" w:sz="4" w:space="0" w:color="000000"/>
                    <w:left w:val="single" w:sz="4" w:space="0" w:color="000000"/>
                    <w:bottom w:val="single" w:sz="4" w:space="0" w:color="000000"/>
                    <w:right w:val="single" w:sz="4" w:space="0" w:color="000000"/>
                  </w:tcBorders>
                </w:tcPr>
                <w:p w14:paraId="010AA5C1" w14:textId="77777777" w:rsidR="00D05947" w:rsidRPr="00507DE7" w:rsidRDefault="00D05947" w:rsidP="000141AD">
                  <w:pPr>
                    <w:contextualSpacing/>
                    <w:jc w:val="both"/>
                    <w:rPr>
                      <w:sz w:val="24"/>
                      <w:szCs w:val="24"/>
                      <w:lang w:val="lv-LV"/>
                    </w:rPr>
                  </w:pPr>
                  <w:r w:rsidRPr="00507DE7">
                    <w:rPr>
                      <w:sz w:val="24"/>
                      <w:szCs w:val="24"/>
                      <w:lang w:val="lv-LV"/>
                    </w:rPr>
                    <w:t>B</w:t>
                  </w:r>
                </w:p>
              </w:tc>
              <w:tc>
                <w:tcPr>
                  <w:tcW w:w="2409" w:type="dxa"/>
                  <w:tcBorders>
                    <w:top w:val="single" w:sz="4" w:space="0" w:color="000000"/>
                    <w:left w:val="single" w:sz="4" w:space="0" w:color="000000"/>
                    <w:bottom w:val="single" w:sz="4" w:space="0" w:color="000000"/>
                    <w:right w:val="single" w:sz="4" w:space="0" w:color="000000"/>
                  </w:tcBorders>
                </w:tcPr>
                <w:p w14:paraId="10859A8F" w14:textId="77777777" w:rsidR="00D05947" w:rsidRPr="00507DE7" w:rsidRDefault="00D05947" w:rsidP="000141AD">
                  <w:pPr>
                    <w:contextualSpacing/>
                    <w:jc w:val="both"/>
                    <w:rPr>
                      <w:sz w:val="24"/>
                      <w:szCs w:val="24"/>
                      <w:lang w:val="lv-LV"/>
                    </w:rPr>
                  </w:pPr>
                  <w:r w:rsidRPr="00507DE7">
                    <w:rPr>
                      <w:sz w:val="24"/>
                      <w:szCs w:val="24"/>
                      <w:lang w:val="lv-LV"/>
                    </w:rPr>
                    <w:t>C</w:t>
                  </w:r>
                </w:p>
              </w:tc>
              <w:tc>
                <w:tcPr>
                  <w:tcW w:w="2450" w:type="dxa"/>
                  <w:tcBorders>
                    <w:top w:val="single" w:sz="4" w:space="0" w:color="000000"/>
                    <w:left w:val="single" w:sz="4" w:space="0" w:color="000000"/>
                    <w:bottom w:val="single" w:sz="4" w:space="0" w:color="000000"/>
                    <w:right w:val="single" w:sz="4" w:space="0" w:color="000000"/>
                  </w:tcBorders>
                </w:tcPr>
                <w:p w14:paraId="70871153" w14:textId="77777777" w:rsidR="00D05947" w:rsidRPr="00507DE7" w:rsidRDefault="00D05947" w:rsidP="000141AD">
                  <w:pPr>
                    <w:contextualSpacing/>
                    <w:jc w:val="both"/>
                    <w:rPr>
                      <w:sz w:val="24"/>
                      <w:szCs w:val="24"/>
                      <w:lang w:val="lv-LV"/>
                    </w:rPr>
                  </w:pPr>
                  <w:r w:rsidRPr="00507DE7">
                    <w:rPr>
                      <w:sz w:val="24"/>
                      <w:szCs w:val="24"/>
                      <w:lang w:val="lv-LV"/>
                    </w:rPr>
                    <w:t>D</w:t>
                  </w:r>
                </w:p>
              </w:tc>
            </w:tr>
            <w:tr w:rsidR="00D05947" w:rsidRPr="00507DE7" w14:paraId="0461F5BA" w14:textId="77777777" w:rsidTr="00B96BE0">
              <w:tblPrEx>
                <w:tblCellMar>
                  <w:left w:w="108" w:type="dxa"/>
                  <w:right w:w="108" w:type="dxa"/>
                </w:tblCellMar>
                <w:tblLook w:val="01E0" w:firstRow="1" w:lastRow="1" w:firstColumn="1" w:lastColumn="1" w:noHBand="0" w:noVBand="0"/>
              </w:tblPrEx>
              <w:tc>
                <w:tcPr>
                  <w:tcW w:w="2512" w:type="dxa"/>
                  <w:gridSpan w:val="2"/>
                  <w:tcBorders>
                    <w:top w:val="single" w:sz="4" w:space="0" w:color="000000"/>
                    <w:left w:val="single" w:sz="4" w:space="0" w:color="000000"/>
                    <w:bottom w:val="single" w:sz="4" w:space="0" w:color="000000"/>
                    <w:right w:val="single" w:sz="4" w:space="0" w:color="000000"/>
                  </w:tcBorders>
                </w:tcPr>
                <w:p w14:paraId="7A92EDB3" w14:textId="6968BB0F" w:rsidR="00D05947" w:rsidRPr="00886C65" w:rsidRDefault="00D05947" w:rsidP="00AD2008">
                  <w:pPr>
                    <w:contextualSpacing/>
                    <w:rPr>
                      <w:sz w:val="24"/>
                      <w:szCs w:val="24"/>
                      <w:lang w:val="lv-LV"/>
                    </w:rPr>
                  </w:pPr>
                  <w:r w:rsidRPr="00886C65">
                    <w:rPr>
                      <w:sz w:val="24"/>
                      <w:szCs w:val="24"/>
                      <w:lang w:val="lv-LV"/>
                    </w:rPr>
                    <w:t>Attiecīgā ES tiesību akta panta numurs (uzskaitot katru tiesību akta vienību – pantu, daļu, punktu, apakšpunktu)</w:t>
                  </w:r>
                </w:p>
              </w:tc>
              <w:tc>
                <w:tcPr>
                  <w:tcW w:w="1843" w:type="dxa"/>
                  <w:tcBorders>
                    <w:top w:val="single" w:sz="4" w:space="0" w:color="000000"/>
                    <w:left w:val="single" w:sz="4" w:space="0" w:color="000000"/>
                    <w:bottom w:val="single" w:sz="4" w:space="0" w:color="000000"/>
                    <w:right w:val="single" w:sz="4" w:space="0" w:color="000000"/>
                  </w:tcBorders>
                </w:tcPr>
                <w:p w14:paraId="71B5ED33" w14:textId="77777777" w:rsidR="00D05947" w:rsidRPr="00886C65" w:rsidRDefault="00D05947" w:rsidP="00AD2008">
                  <w:pPr>
                    <w:contextualSpacing/>
                    <w:rPr>
                      <w:sz w:val="24"/>
                      <w:szCs w:val="24"/>
                      <w:lang w:val="lv-LV"/>
                    </w:rPr>
                  </w:pPr>
                  <w:r w:rsidRPr="00886C65">
                    <w:rPr>
                      <w:sz w:val="24"/>
                      <w:szCs w:val="24"/>
                      <w:lang w:val="lv-LV"/>
                    </w:rPr>
                    <w:t>Projekta vienība, kas pārņem vai ievieš katru šīs tabulas A ailē minēto ES tiesību akta vienību, vai tiesību akts, kur attiecīgā ES tiesību akta vienība pārņemta vai ieviesta</w:t>
                  </w:r>
                </w:p>
              </w:tc>
              <w:tc>
                <w:tcPr>
                  <w:tcW w:w="2409" w:type="dxa"/>
                  <w:tcBorders>
                    <w:top w:val="single" w:sz="4" w:space="0" w:color="000000"/>
                    <w:left w:val="single" w:sz="4" w:space="0" w:color="000000"/>
                    <w:bottom w:val="single" w:sz="4" w:space="0" w:color="000000"/>
                    <w:right w:val="single" w:sz="4" w:space="0" w:color="000000"/>
                  </w:tcBorders>
                </w:tcPr>
                <w:p w14:paraId="6B59C36C" w14:textId="77777777" w:rsidR="00D05947" w:rsidRPr="00886C65" w:rsidRDefault="00D05947" w:rsidP="00AD2008">
                  <w:pPr>
                    <w:contextualSpacing/>
                    <w:rPr>
                      <w:sz w:val="24"/>
                      <w:szCs w:val="24"/>
                      <w:lang w:val="lv-LV"/>
                    </w:rPr>
                  </w:pPr>
                  <w:r w:rsidRPr="00886C65">
                    <w:rPr>
                      <w:sz w:val="24"/>
                      <w:szCs w:val="24"/>
                      <w:lang w:val="lv-LV"/>
                    </w:rPr>
                    <w:t>Informācija par to, vai šīs tabulas A ailē minētās ES tiesību akta vienības tiek pārņemtas vai ieviestas pilnībā vai daļēji.</w:t>
                  </w:r>
                </w:p>
                <w:p w14:paraId="6DAAF6D9" w14:textId="77777777" w:rsidR="00D05947" w:rsidRPr="00886C65" w:rsidRDefault="00D05947" w:rsidP="00AD2008">
                  <w:pPr>
                    <w:contextualSpacing/>
                    <w:rPr>
                      <w:sz w:val="24"/>
                      <w:szCs w:val="24"/>
                      <w:lang w:val="lv-LV"/>
                    </w:rPr>
                  </w:pPr>
                  <w:r w:rsidRPr="00886C65">
                    <w:rPr>
                      <w:sz w:val="24"/>
                      <w:szCs w:val="24"/>
                      <w:lang w:val="lv-LV"/>
                    </w:rPr>
                    <w:t>Ja attiecīgā ES tiesību akta vienība tiek pārņemta vai ieviesta daļēji, – sniedz attiecīgu skaidrojumu, kā arī precīzi norāda, kad un kādā veidā ES tiesību akta vienība tiks pārņemta vai ieviesta pilnībā.</w:t>
                  </w:r>
                </w:p>
                <w:p w14:paraId="52CCE355" w14:textId="77777777" w:rsidR="00D05947" w:rsidRPr="00886C65" w:rsidRDefault="00D05947" w:rsidP="00AD2008">
                  <w:pPr>
                    <w:contextualSpacing/>
                    <w:rPr>
                      <w:sz w:val="24"/>
                      <w:szCs w:val="24"/>
                      <w:lang w:val="lv-LV"/>
                    </w:rPr>
                  </w:pPr>
                  <w:r w:rsidRPr="00886C65">
                    <w:rPr>
                      <w:sz w:val="24"/>
                      <w:szCs w:val="24"/>
                      <w:lang w:val="lv-LV"/>
                    </w:rPr>
                    <w:t>Norāda institūciju, kas ir atbildīga par šo saistību izpildi pilnībā</w:t>
                  </w:r>
                </w:p>
              </w:tc>
              <w:tc>
                <w:tcPr>
                  <w:tcW w:w="2450" w:type="dxa"/>
                  <w:tcBorders>
                    <w:top w:val="single" w:sz="4" w:space="0" w:color="000000"/>
                    <w:left w:val="single" w:sz="4" w:space="0" w:color="000000"/>
                    <w:bottom w:val="single" w:sz="4" w:space="0" w:color="000000"/>
                    <w:right w:val="single" w:sz="4" w:space="0" w:color="000000"/>
                  </w:tcBorders>
                </w:tcPr>
                <w:p w14:paraId="193A2180" w14:textId="77777777" w:rsidR="00D05947" w:rsidRPr="00886C65" w:rsidRDefault="00D05947" w:rsidP="00AD2008">
                  <w:pPr>
                    <w:contextualSpacing/>
                    <w:rPr>
                      <w:sz w:val="24"/>
                      <w:szCs w:val="24"/>
                      <w:lang w:val="lv-LV"/>
                    </w:rPr>
                  </w:pPr>
                  <w:r w:rsidRPr="00886C65">
                    <w:rPr>
                      <w:sz w:val="24"/>
                      <w:szCs w:val="24"/>
                      <w:lang w:val="lv-LV"/>
                    </w:rPr>
                    <w:t>Informācija par to, vai šīs tabulas B ailē minētās projekta vienības paredz stingrākas prasības nekā šīs tabulas A ailē minētās ES tiesību akta vienības.</w:t>
                  </w:r>
                </w:p>
                <w:p w14:paraId="6623FB5F" w14:textId="77777777" w:rsidR="00D05947" w:rsidRPr="00886C65" w:rsidRDefault="00D05947" w:rsidP="00AD2008">
                  <w:pPr>
                    <w:contextualSpacing/>
                    <w:rPr>
                      <w:sz w:val="24"/>
                      <w:szCs w:val="24"/>
                      <w:lang w:val="lv-LV"/>
                    </w:rPr>
                  </w:pPr>
                  <w:r w:rsidRPr="00886C65">
                    <w:rPr>
                      <w:sz w:val="24"/>
                      <w:szCs w:val="24"/>
                      <w:lang w:val="lv-LV"/>
                    </w:rPr>
                    <w:t>Ja projekts satur stingrākas prasības nekā attiecīgais ES tiesību akts, – norāda pamatojumu un samērīgumu.</w:t>
                  </w:r>
                </w:p>
                <w:p w14:paraId="0D6F5D7B" w14:textId="77777777" w:rsidR="00D05947" w:rsidRPr="00886C65" w:rsidRDefault="00D05947" w:rsidP="00AD2008">
                  <w:pPr>
                    <w:contextualSpacing/>
                    <w:rPr>
                      <w:sz w:val="24"/>
                      <w:szCs w:val="24"/>
                      <w:lang w:val="lv-LV"/>
                    </w:rPr>
                  </w:pPr>
                  <w:r w:rsidRPr="00886C65">
                    <w:rPr>
                      <w:sz w:val="24"/>
                      <w:szCs w:val="24"/>
                      <w:lang w:val="lv-LV"/>
                    </w:rPr>
                    <w:t>Norāda iespējamās alternatīvas (t.sk. alternatīvas, kas neparedz tiesiskā regulējuma izstrādi) – kādos gadījumos būtu iespējams izvairīties no stingrāku prasību noteikšanas, nekā paredzēts attiecīgajos ES tiesību aktos</w:t>
                  </w:r>
                </w:p>
              </w:tc>
            </w:tr>
            <w:tr w:rsidR="0071042E" w:rsidRPr="00507DE7" w14:paraId="5F1C694F" w14:textId="77777777" w:rsidTr="00B96BE0">
              <w:tblPrEx>
                <w:tblCellMar>
                  <w:left w:w="108" w:type="dxa"/>
                  <w:right w:w="108" w:type="dxa"/>
                </w:tblCellMar>
                <w:tblLook w:val="01E0" w:firstRow="1" w:lastRow="1" w:firstColumn="1" w:lastColumn="1" w:noHBand="0" w:noVBand="0"/>
              </w:tblPrEx>
              <w:tc>
                <w:tcPr>
                  <w:tcW w:w="2512" w:type="dxa"/>
                  <w:gridSpan w:val="2"/>
                  <w:tcBorders>
                    <w:top w:val="single" w:sz="4" w:space="0" w:color="000000"/>
                    <w:left w:val="single" w:sz="4" w:space="0" w:color="000000"/>
                    <w:bottom w:val="single" w:sz="4" w:space="0" w:color="000000"/>
                    <w:right w:val="single" w:sz="4" w:space="0" w:color="000000"/>
                  </w:tcBorders>
                </w:tcPr>
                <w:p w14:paraId="55764E80" w14:textId="0950FB21" w:rsidR="0071042E" w:rsidRPr="00507DE7" w:rsidRDefault="0071042E" w:rsidP="000141AD">
                  <w:pPr>
                    <w:contextualSpacing/>
                    <w:jc w:val="both"/>
                    <w:rPr>
                      <w:sz w:val="24"/>
                      <w:szCs w:val="24"/>
                      <w:lang w:val="lv-LV"/>
                    </w:rPr>
                  </w:pPr>
                  <w:r w:rsidRPr="00507DE7">
                    <w:rPr>
                      <w:sz w:val="24"/>
                      <w:szCs w:val="24"/>
                      <w:lang w:val="lv-LV"/>
                    </w:rPr>
                    <w:t>Regulas Nr.</w:t>
                  </w:r>
                  <w:r w:rsidR="00A32C53">
                    <w:rPr>
                      <w:sz w:val="24"/>
                      <w:szCs w:val="24"/>
                      <w:lang w:val="lv-LV"/>
                    </w:rPr>
                    <w:t> </w:t>
                  </w:r>
                  <w:r w:rsidRPr="00507DE7">
                    <w:rPr>
                      <w:sz w:val="24"/>
                      <w:szCs w:val="24"/>
                      <w:lang w:val="lv-LV"/>
                    </w:rPr>
                    <w:t>651/2014 I</w:t>
                  </w:r>
                  <w:r w:rsidR="00284239">
                    <w:rPr>
                      <w:sz w:val="24"/>
                      <w:szCs w:val="24"/>
                      <w:lang w:val="lv-LV"/>
                    </w:rPr>
                    <w:t> </w:t>
                  </w:r>
                  <w:r w:rsidRPr="00507DE7">
                    <w:rPr>
                      <w:sz w:val="24"/>
                      <w:szCs w:val="24"/>
                      <w:lang w:val="lv-LV"/>
                    </w:rPr>
                    <w:t>pielikums</w:t>
                  </w:r>
                </w:p>
              </w:tc>
              <w:tc>
                <w:tcPr>
                  <w:tcW w:w="1843" w:type="dxa"/>
                  <w:tcBorders>
                    <w:top w:val="single" w:sz="4" w:space="0" w:color="000000"/>
                    <w:left w:val="single" w:sz="4" w:space="0" w:color="000000"/>
                    <w:bottom w:val="single" w:sz="4" w:space="0" w:color="000000"/>
                    <w:right w:val="single" w:sz="4" w:space="0" w:color="000000"/>
                  </w:tcBorders>
                </w:tcPr>
                <w:p w14:paraId="36AE696E" w14:textId="2C3194B4" w:rsidR="0071042E" w:rsidRPr="00507DE7" w:rsidRDefault="0071042E" w:rsidP="000141AD">
                  <w:pPr>
                    <w:contextualSpacing/>
                    <w:jc w:val="both"/>
                    <w:rPr>
                      <w:sz w:val="24"/>
                      <w:szCs w:val="24"/>
                      <w:lang w:val="lv-LV"/>
                    </w:rPr>
                  </w:pPr>
                  <w:r w:rsidRPr="00507DE7">
                    <w:rPr>
                      <w:sz w:val="24"/>
                      <w:szCs w:val="24"/>
                      <w:lang w:val="lv-LV"/>
                    </w:rPr>
                    <w:t>2.</w:t>
                  </w:r>
                  <w:r w:rsidR="00B96BE0">
                    <w:rPr>
                      <w:sz w:val="24"/>
                      <w:szCs w:val="24"/>
                      <w:lang w:val="lv-LV"/>
                    </w:rPr>
                    <w:t> </w:t>
                  </w:r>
                  <w:r w:rsidRPr="00507DE7">
                    <w:rPr>
                      <w:sz w:val="24"/>
                      <w:szCs w:val="24"/>
                      <w:lang w:val="lv-LV"/>
                    </w:rPr>
                    <w:t>punkts</w:t>
                  </w:r>
                </w:p>
              </w:tc>
              <w:tc>
                <w:tcPr>
                  <w:tcW w:w="2409" w:type="dxa"/>
                  <w:tcBorders>
                    <w:top w:val="single" w:sz="4" w:space="0" w:color="000000"/>
                    <w:left w:val="single" w:sz="4" w:space="0" w:color="000000"/>
                    <w:bottom w:val="single" w:sz="4" w:space="0" w:color="000000"/>
                    <w:right w:val="single" w:sz="4" w:space="0" w:color="000000"/>
                  </w:tcBorders>
                </w:tcPr>
                <w:p w14:paraId="5C0F6E23" w14:textId="63C4F180" w:rsidR="0071042E" w:rsidRPr="00886C65" w:rsidRDefault="0071042E" w:rsidP="000141AD">
                  <w:pPr>
                    <w:contextualSpacing/>
                    <w:jc w:val="both"/>
                    <w:rPr>
                      <w:sz w:val="24"/>
                      <w:szCs w:val="24"/>
                      <w:lang w:val="lv-LV"/>
                    </w:rPr>
                  </w:pPr>
                  <w:r w:rsidRPr="00886C65">
                    <w:rPr>
                      <w:sz w:val="24"/>
                      <w:szCs w:val="24"/>
                      <w:lang w:val="lv-LV"/>
                    </w:rPr>
                    <w:t>Ieviests pilnībā</w:t>
                  </w:r>
                </w:p>
              </w:tc>
              <w:tc>
                <w:tcPr>
                  <w:tcW w:w="2450" w:type="dxa"/>
                  <w:tcBorders>
                    <w:top w:val="single" w:sz="4" w:space="0" w:color="000000"/>
                    <w:left w:val="single" w:sz="4" w:space="0" w:color="000000"/>
                    <w:bottom w:val="single" w:sz="4" w:space="0" w:color="000000"/>
                    <w:right w:val="single" w:sz="4" w:space="0" w:color="000000"/>
                  </w:tcBorders>
                </w:tcPr>
                <w:p w14:paraId="57011200" w14:textId="4AD8388D" w:rsidR="0071042E" w:rsidRPr="00605399" w:rsidRDefault="0071042E" w:rsidP="000141AD">
                  <w:pPr>
                    <w:contextualSpacing/>
                    <w:jc w:val="both"/>
                    <w:rPr>
                      <w:sz w:val="24"/>
                      <w:szCs w:val="24"/>
                      <w:lang w:val="lv-LV"/>
                    </w:rPr>
                  </w:pPr>
                  <w:r w:rsidRPr="00605399">
                    <w:rPr>
                      <w:sz w:val="24"/>
                      <w:szCs w:val="24"/>
                      <w:lang w:val="lv-LV"/>
                    </w:rPr>
                    <w:t>Neparedz stingrākas prasības</w:t>
                  </w:r>
                </w:p>
              </w:tc>
            </w:tr>
            <w:tr w:rsidR="0071042E" w:rsidRPr="00507DE7" w14:paraId="283D5000" w14:textId="77777777" w:rsidTr="00B96BE0">
              <w:tblPrEx>
                <w:tblCellMar>
                  <w:left w:w="108" w:type="dxa"/>
                  <w:right w:w="108" w:type="dxa"/>
                </w:tblCellMar>
                <w:tblLook w:val="01E0" w:firstRow="1" w:lastRow="1" w:firstColumn="1" w:lastColumn="1" w:noHBand="0" w:noVBand="0"/>
              </w:tblPrEx>
              <w:tc>
                <w:tcPr>
                  <w:tcW w:w="2512" w:type="dxa"/>
                  <w:gridSpan w:val="2"/>
                  <w:tcBorders>
                    <w:top w:val="single" w:sz="4" w:space="0" w:color="000000"/>
                    <w:left w:val="single" w:sz="4" w:space="0" w:color="000000"/>
                    <w:bottom w:val="single" w:sz="4" w:space="0" w:color="000000"/>
                    <w:right w:val="single" w:sz="4" w:space="0" w:color="000000"/>
                  </w:tcBorders>
                </w:tcPr>
                <w:p w14:paraId="4B2F2507" w14:textId="09E5C0A7" w:rsidR="0071042E" w:rsidRPr="00507DE7" w:rsidRDefault="0071042E" w:rsidP="000141AD">
                  <w:pPr>
                    <w:contextualSpacing/>
                    <w:jc w:val="both"/>
                    <w:rPr>
                      <w:sz w:val="24"/>
                      <w:szCs w:val="24"/>
                      <w:lang w:val="lv-LV"/>
                    </w:rPr>
                  </w:pPr>
                  <w:r w:rsidRPr="00507DE7">
                    <w:rPr>
                      <w:sz w:val="24"/>
                      <w:szCs w:val="24"/>
                      <w:lang w:val="lv-LV"/>
                    </w:rPr>
                    <w:t>Regulas Nr.</w:t>
                  </w:r>
                  <w:r w:rsidR="00A32C53">
                    <w:rPr>
                      <w:sz w:val="24"/>
                      <w:szCs w:val="24"/>
                      <w:lang w:val="lv-LV"/>
                    </w:rPr>
                    <w:t> </w:t>
                  </w:r>
                  <w:r w:rsidRPr="00507DE7">
                    <w:rPr>
                      <w:sz w:val="24"/>
                      <w:szCs w:val="24"/>
                      <w:lang w:val="lv-LV"/>
                    </w:rPr>
                    <w:t>651/2014 1.</w:t>
                  </w:r>
                  <w:r w:rsidR="00A32C53">
                    <w:rPr>
                      <w:sz w:val="24"/>
                      <w:szCs w:val="24"/>
                      <w:lang w:val="lv-LV"/>
                    </w:rPr>
                    <w:t> </w:t>
                  </w:r>
                  <w:r w:rsidRPr="00507DE7">
                    <w:rPr>
                      <w:sz w:val="24"/>
                      <w:szCs w:val="24"/>
                      <w:lang w:val="lv-LV"/>
                    </w:rPr>
                    <w:t>panta 4.</w:t>
                  </w:r>
                  <w:r w:rsidR="00A32C53">
                    <w:rPr>
                      <w:sz w:val="24"/>
                      <w:szCs w:val="24"/>
                      <w:lang w:val="lv-LV"/>
                    </w:rPr>
                    <w:t> </w:t>
                  </w:r>
                  <w:r w:rsidRPr="00507DE7">
                    <w:rPr>
                      <w:sz w:val="24"/>
                      <w:szCs w:val="24"/>
                      <w:lang w:val="lv-LV"/>
                    </w:rPr>
                    <w:t>punkta a</w:t>
                  </w:r>
                  <w:r w:rsidR="006D5340">
                    <w:rPr>
                      <w:sz w:val="24"/>
                      <w:szCs w:val="24"/>
                      <w:lang w:val="lv-LV"/>
                    </w:rPr>
                    <w:t>)</w:t>
                  </w:r>
                  <w:r w:rsidR="00AB037A">
                    <w:rPr>
                      <w:sz w:val="24"/>
                      <w:szCs w:val="24"/>
                      <w:lang w:val="lv-LV"/>
                    </w:rPr>
                    <w:t> </w:t>
                  </w:r>
                  <w:r w:rsidRPr="00507DE7">
                    <w:rPr>
                      <w:sz w:val="24"/>
                      <w:szCs w:val="24"/>
                      <w:lang w:val="lv-LV"/>
                    </w:rPr>
                    <w:t>apakšpunkts</w:t>
                  </w:r>
                </w:p>
              </w:tc>
              <w:tc>
                <w:tcPr>
                  <w:tcW w:w="1843" w:type="dxa"/>
                  <w:tcBorders>
                    <w:top w:val="single" w:sz="4" w:space="0" w:color="000000"/>
                    <w:left w:val="single" w:sz="4" w:space="0" w:color="000000"/>
                    <w:bottom w:val="single" w:sz="4" w:space="0" w:color="000000"/>
                    <w:right w:val="single" w:sz="4" w:space="0" w:color="000000"/>
                  </w:tcBorders>
                </w:tcPr>
                <w:p w14:paraId="6AAC5D13" w14:textId="6B1DBA72" w:rsidR="0071042E" w:rsidRPr="00507DE7" w:rsidRDefault="0071042E" w:rsidP="000141AD">
                  <w:pPr>
                    <w:contextualSpacing/>
                    <w:jc w:val="both"/>
                    <w:rPr>
                      <w:sz w:val="24"/>
                      <w:szCs w:val="24"/>
                      <w:lang w:val="lv-LV"/>
                    </w:rPr>
                  </w:pPr>
                  <w:r w:rsidRPr="00507DE7">
                    <w:rPr>
                      <w:sz w:val="24"/>
                      <w:szCs w:val="24"/>
                      <w:lang w:val="lv-LV"/>
                    </w:rPr>
                    <w:t>13.</w:t>
                  </w:r>
                  <w:r w:rsidR="0087171D">
                    <w:rPr>
                      <w:sz w:val="24"/>
                      <w:szCs w:val="24"/>
                      <w:lang w:val="lv-LV"/>
                    </w:rPr>
                    <w:t> </w:t>
                  </w:r>
                  <w:r w:rsidRPr="00507DE7">
                    <w:rPr>
                      <w:sz w:val="24"/>
                      <w:szCs w:val="24"/>
                      <w:lang w:val="lv-LV"/>
                    </w:rPr>
                    <w:t>punkts</w:t>
                  </w:r>
                </w:p>
              </w:tc>
              <w:tc>
                <w:tcPr>
                  <w:tcW w:w="2409" w:type="dxa"/>
                  <w:tcBorders>
                    <w:top w:val="single" w:sz="4" w:space="0" w:color="000000"/>
                    <w:left w:val="single" w:sz="4" w:space="0" w:color="000000"/>
                    <w:bottom w:val="single" w:sz="4" w:space="0" w:color="000000"/>
                    <w:right w:val="single" w:sz="4" w:space="0" w:color="000000"/>
                  </w:tcBorders>
                </w:tcPr>
                <w:p w14:paraId="717B9271" w14:textId="77777777" w:rsidR="0071042E" w:rsidRPr="00605399" w:rsidRDefault="0071042E" w:rsidP="000141AD">
                  <w:pPr>
                    <w:contextualSpacing/>
                    <w:jc w:val="both"/>
                    <w:rPr>
                      <w:sz w:val="24"/>
                      <w:szCs w:val="24"/>
                      <w:lang w:val="lv-LV"/>
                    </w:rPr>
                  </w:pPr>
                  <w:r w:rsidRPr="00605399">
                    <w:rPr>
                      <w:sz w:val="24"/>
                      <w:szCs w:val="24"/>
                      <w:lang w:val="lv-LV"/>
                    </w:rPr>
                    <w:t>Ieviests pilnībā</w:t>
                  </w:r>
                </w:p>
              </w:tc>
              <w:tc>
                <w:tcPr>
                  <w:tcW w:w="2450" w:type="dxa"/>
                  <w:tcBorders>
                    <w:top w:val="single" w:sz="4" w:space="0" w:color="000000"/>
                    <w:left w:val="single" w:sz="4" w:space="0" w:color="000000"/>
                    <w:bottom w:val="single" w:sz="4" w:space="0" w:color="000000"/>
                    <w:right w:val="single" w:sz="4" w:space="0" w:color="000000"/>
                  </w:tcBorders>
                </w:tcPr>
                <w:p w14:paraId="2CADF283" w14:textId="77777777" w:rsidR="0071042E" w:rsidRPr="00605399" w:rsidRDefault="0071042E" w:rsidP="000141AD">
                  <w:pPr>
                    <w:contextualSpacing/>
                    <w:jc w:val="both"/>
                    <w:rPr>
                      <w:sz w:val="24"/>
                      <w:szCs w:val="24"/>
                      <w:lang w:val="lv-LV"/>
                    </w:rPr>
                  </w:pPr>
                  <w:r w:rsidRPr="00605399">
                    <w:rPr>
                      <w:sz w:val="24"/>
                      <w:szCs w:val="24"/>
                      <w:lang w:val="lv-LV"/>
                    </w:rPr>
                    <w:t>Neparedz stingrākas prasības</w:t>
                  </w:r>
                </w:p>
              </w:tc>
            </w:tr>
            <w:tr w:rsidR="0071042E" w:rsidRPr="00507DE7" w14:paraId="3134E49A" w14:textId="77777777" w:rsidTr="00B96BE0">
              <w:tblPrEx>
                <w:tblCellMar>
                  <w:left w:w="108" w:type="dxa"/>
                  <w:right w:w="108" w:type="dxa"/>
                </w:tblCellMar>
                <w:tblLook w:val="01E0" w:firstRow="1" w:lastRow="1" w:firstColumn="1" w:lastColumn="1" w:noHBand="0" w:noVBand="0"/>
              </w:tblPrEx>
              <w:tc>
                <w:tcPr>
                  <w:tcW w:w="2512" w:type="dxa"/>
                  <w:gridSpan w:val="2"/>
                  <w:tcBorders>
                    <w:top w:val="single" w:sz="4" w:space="0" w:color="000000"/>
                    <w:left w:val="single" w:sz="4" w:space="0" w:color="000000"/>
                    <w:bottom w:val="single" w:sz="4" w:space="0" w:color="000000"/>
                    <w:right w:val="single" w:sz="4" w:space="0" w:color="000000"/>
                  </w:tcBorders>
                </w:tcPr>
                <w:p w14:paraId="5332E39E" w14:textId="04C8A340" w:rsidR="0071042E" w:rsidRPr="00507DE7" w:rsidRDefault="0071042E" w:rsidP="000141AD">
                  <w:pPr>
                    <w:contextualSpacing/>
                    <w:jc w:val="both"/>
                    <w:rPr>
                      <w:sz w:val="24"/>
                      <w:szCs w:val="24"/>
                      <w:lang w:val="lv-LV"/>
                    </w:rPr>
                  </w:pPr>
                  <w:r w:rsidRPr="00507DE7">
                    <w:rPr>
                      <w:sz w:val="24"/>
                      <w:szCs w:val="24"/>
                      <w:lang w:val="lv-LV"/>
                    </w:rPr>
                    <w:t>Regulas Nr.</w:t>
                  </w:r>
                  <w:r w:rsidR="002755A7">
                    <w:rPr>
                      <w:sz w:val="24"/>
                      <w:szCs w:val="24"/>
                      <w:lang w:val="lv-LV"/>
                    </w:rPr>
                    <w:t> </w:t>
                  </w:r>
                  <w:r w:rsidRPr="00507DE7">
                    <w:rPr>
                      <w:sz w:val="24"/>
                      <w:szCs w:val="24"/>
                      <w:lang w:val="lv-LV"/>
                    </w:rPr>
                    <w:t>651/2014 2.</w:t>
                  </w:r>
                  <w:r w:rsidR="00A32C53">
                    <w:rPr>
                      <w:sz w:val="24"/>
                      <w:szCs w:val="24"/>
                      <w:lang w:val="lv-LV"/>
                    </w:rPr>
                    <w:t> </w:t>
                  </w:r>
                  <w:r w:rsidRPr="00507DE7">
                    <w:rPr>
                      <w:sz w:val="24"/>
                      <w:szCs w:val="24"/>
                      <w:lang w:val="lv-LV"/>
                    </w:rPr>
                    <w:t>panta 18.</w:t>
                  </w:r>
                  <w:r w:rsidR="00A32C53">
                    <w:rPr>
                      <w:sz w:val="24"/>
                      <w:szCs w:val="24"/>
                      <w:lang w:val="lv-LV"/>
                    </w:rPr>
                    <w:t> </w:t>
                  </w:r>
                  <w:r w:rsidRPr="00507DE7">
                    <w:rPr>
                      <w:sz w:val="24"/>
                      <w:szCs w:val="24"/>
                      <w:lang w:val="lv-LV"/>
                    </w:rPr>
                    <w:t>punkts</w:t>
                  </w:r>
                </w:p>
              </w:tc>
              <w:tc>
                <w:tcPr>
                  <w:tcW w:w="1843" w:type="dxa"/>
                  <w:tcBorders>
                    <w:top w:val="single" w:sz="4" w:space="0" w:color="000000"/>
                    <w:left w:val="single" w:sz="4" w:space="0" w:color="000000"/>
                    <w:bottom w:val="single" w:sz="4" w:space="0" w:color="000000"/>
                    <w:right w:val="single" w:sz="4" w:space="0" w:color="000000"/>
                  </w:tcBorders>
                </w:tcPr>
                <w:p w14:paraId="62531982" w14:textId="6E86A97D" w:rsidR="0071042E" w:rsidRPr="00507DE7" w:rsidRDefault="0071042E" w:rsidP="000141AD">
                  <w:pPr>
                    <w:contextualSpacing/>
                    <w:jc w:val="both"/>
                    <w:rPr>
                      <w:sz w:val="24"/>
                      <w:szCs w:val="24"/>
                      <w:lang w:val="lv-LV"/>
                    </w:rPr>
                  </w:pPr>
                  <w:r w:rsidRPr="00507DE7">
                    <w:rPr>
                      <w:sz w:val="24"/>
                      <w:szCs w:val="24"/>
                      <w:lang w:val="lv-LV"/>
                    </w:rPr>
                    <w:t>13.</w:t>
                  </w:r>
                  <w:r w:rsidR="0087171D">
                    <w:rPr>
                      <w:sz w:val="24"/>
                      <w:szCs w:val="24"/>
                      <w:lang w:val="lv-LV"/>
                    </w:rPr>
                    <w:t> </w:t>
                  </w:r>
                  <w:r w:rsidRPr="00507DE7">
                    <w:rPr>
                      <w:sz w:val="24"/>
                      <w:szCs w:val="24"/>
                      <w:lang w:val="lv-LV"/>
                    </w:rPr>
                    <w:t>punkts</w:t>
                  </w:r>
                </w:p>
              </w:tc>
              <w:tc>
                <w:tcPr>
                  <w:tcW w:w="2409" w:type="dxa"/>
                  <w:tcBorders>
                    <w:top w:val="single" w:sz="4" w:space="0" w:color="000000"/>
                    <w:left w:val="single" w:sz="4" w:space="0" w:color="000000"/>
                    <w:bottom w:val="single" w:sz="4" w:space="0" w:color="000000"/>
                    <w:right w:val="single" w:sz="4" w:space="0" w:color="000000"/>
                  </w:tcBorders>
                </w:tcPr>
                <w:p w14:paraId="29068CC2" w14:textId="77777777" w:rsidR="0071042E" w:rsidRPr="00605399" w:rsidRDefault="0071042E" w:rsidP="000141AD">
                  <w:pPr>
                    <w:contextualSpacing/>
                    <w:jc w:val="both"/>
                    <w:rPr>
                      <w:sz w:val="24"/>
                      <w:szCs w:val="24"/>
                      <w:lang w:val="lv-LV"/>
                    </w:rPr>
                  </w:pPr>
                  <w:r w:rsidRPr="00605399">
                    <w:rPr>
                      <w:sz w:val="24"/>
                      <w:szCs w:val="24"/>
                      <w:lang w:val="lv-LV"/>
                    </w:rPr>
                    <w:t>Ieviests pilnībā</w:t>
                  </w:r>
                </w:p>
              </w:tc>
              <w:tc>
                <w:tcPr>
                  <w:tcW w:w="2450" w:type="dxa"/>
                  <w:tcBorders>
                    <w:top w:val="single" w:sz="4" w:space="0" w:color="000000"/>
                    <w:left w:val="single" w:sz="4" w:space="0" w:color="000000"/>
                    <w:bottom w:val="single" w:sz="4" w:space="0" w:color="000000"/>
                    <w:right w:val="single" w:sz="4" w:space="0" w:color="000000"/>
                  </w:tcBorders>
                </w:tcPr>
                <w:p w14:paraId="7B52C3F7" w14:textId="77777777" w:rsidR="0071042E" w:rsidRPr="00605399" w:rsidRDefault="0071042E" w:rsidP="000141AD">
                  <w:pPr>
                    <w:contextualSpacing/>
                    <w:jc w:val="both"/>
                    <w:rPr>
                      <w:sz w:val="24"/>
                      <w:szCs w:val="24"/>
                      <w:lang w:val="lv-LV"/>
                    </w:rPr>
                  </w:pPr>
                  <w:r w:rsidRPr="00605399">
                    <w:rPr>
                      <w:sz w:val="24"/>
                      <w:szCs w:val="24"/>
                      <w:lang w:val="lv-LV"/>
                    </w:rPr>
                    <w:t>Neparedz stingrākas prasības</w:t>
                  </w:r>
                </w:p>
              </w:tc>
            </w:tr>
            <w:tr w:rsidR="0071042E" w:rsidRPr="00507DE7" w14:paraId="350BDF33" w14:textId="77777777" w:rsidTr="00B96BE0">
              <w:tblPrEx>
                <w:tblCellMar>
                  <w:left w:w="108" w:type="dxa"/>
                  <w:right w:w="108" w:type="dxa"/>
                </w:tblCellMar>
                <w:tblLook w:val="01E0" w:firstRow="1" w:lastRow="1" w:firstColumn="1" w:lastColumn="1" w:noHBand="0" w:noVBand="0"/>
              </w:tblPrEx>
              <w:tc>
                <w:tcPr>
                  <w:tcW w:w="2512" w:type="dxa"/>
                  <w:gridSpan w:val="2"/>
                  <w:tcBorders>
                    <w:top w:val="single" w:sz="4" w:space="0" w:color="000000"/>
                    <w:left w:val="single" w:sz="4" w:space="0" w:color="000000"/>
                    <w:bottom w:val="single" w:sz="4" w:space="0" w:color="000000"/>
                    <w:right w:val="single" w:sz="4" w:space="0" w:color="000000"/>
                  </w:tcBorders>
                </w:tcPr>
                <w:p w14:paraId="5532A3D0" w14:textId="2CAF52C7" w:rsidR="0071042E" w:rsidRPr="00507DE7" w:rsidRDefault="0071042E" w:rsidP="000141AD">
                  <w:pPr>
                    <w:contextualSpacing/>
                    <w:jc w:val="both"/>
                    <w:rPr>
                      <w:sz w:val="24"/>
                      <w:szCs w:val="24"/>
                      <w:lang w:val="lv-LV"/>
                    </w:rPr>
                  </w:pPr>
                  <w:r w:rsidRPr="00507DE7">
                    <w:rPr>
                      <w:sz w:val="24"/>
                      <w:szCs w:val="24"/>
                      <w:lang w:val="lv-LV"/>
                    </w:rPr>
                    <w:t>Regulas Nr.651/2014 1</w:t>
                  </w:r>
                  <w:r w:rsidR="00A32C53" w:rsidRPr="00507DE7">
                    <w:rPr>
                      <w:sz w:val="24"/>
                      <w:szCs w:val="24"/>
                      <w:lang w:val="lv-LV"/>
                    </w:rPr>
                    <w:t>.</w:t>
                  </w:r>
                  <w:r w:rsidR="00A32C53">
                    <w:rPr>
                      <w:sz w:val="24"/>
                      <w:szCs w:val="24"/>
                      <w:lang w:val="lv-LV"/>
                    </w:rPr>
                    <w:t> </w:t>
                  </w:r>
                  <w:r w:rsidRPr="00507DE7">
                    <w:rPr>
                      <w:sz w:val="24"/>
                      <w:szCs w:val="24"/>
                      <w:lang w:val="lv-LV"/>
                    </w:rPr>
                    <w:t>panta 2.</w:t>
                  </w:r>
                  <w:r w:rsidR="00A32C53">
                    <w:rPr>
                      <w:sz w:val="24"/>
                      <w:szCs w:val="24"/>
                      <w:lang w:val="lv-LV"/>
                    </w:rPr>
                    <w:t> </w:t>
                  </w:r>
                  <w:r w:rsidRPr="00507DE7">
                    <w:rPr>
                      <w:sz w:val="24"/>
                      <w:szCs w:val="24"/>
                      <w:lang w:val="lv-LV"/>
                    </w:rPr>
                    <w:t>punkt</w:t>
                  </w:r>
                  <w:r w:rsidR="00886C65">
                    <w:rPr>
                      <w:sz w:val="24"/>
                      <w:szCs w:val="24"/>
                      <w:lang w:val="lv-LV"/>
                    </w:rPr>
                    <w:t>s</w:t>
                  </w:r>
                  <w:r w:rsidRPr="00507DE7">
                    <w:rPr>
                      <w:sz w:val="24"/>
                      <w:szCs w:val="24"/>
                      <w:lang w:val="lv-LV"/>
                    </w:rPr>
                    <w:t xml:space="preserve"> un 3.</w:t>
                  </w:r>
                  <w:r w:rsidR="003C7CB3">
                    <w:rPr>
                      <w:sz w:val="24"/>
                      <w:szCs w:val="24"/>
                      <w:lang w:val="lv-LV"/>
                    </w:rPr>
                    <w:t> </w:t>
                  </w:r>
                  <w:r w:rsidRPr="00507DE7">
                    <w:rPr>
                      <w:sz w:val="24"/>
                      <w:szCs w:val="24"/>
                      <w:lang w:val="lv-LV"/>
                    </w:rPr>
                    <w:t>punkts</w:t>
                  </w:r>
                </w:p>
              </w:tc>
              <w:tc>
                <w:tcPr>
                  <w:tcW w:w="1843" w:type="dxa"/>
                  <w:tcBorders>
                    <w:top w:val="single" w:sz="4" w:space="0" w:color="000000"/>
                    <w:left w:val="single" w:sz="4" w:space="0" w:color="000000"/>
                    <w:bottom w:val="single" w:sz="4" w:space="0" w:color="000000"/>
                    <w:right w:val="single" w:sz="4" w:space="0" w:color="000000"/>
                  </w:tcBorders>
                </w:tcPr>
                <w:p w14:paraId="12C3416D" w14:textId="3F2106D6" w:rsidR="0071042E" w:rsidRPr="00507DE7" w:rsidRDefault="0071042E" w:rsidP="000141AD">
                  <w:pPr>
                    <w:contextualSpacing/>
                    <w:jc w:val="both"/>
                    <w:rPr>
                      <w:sz w:val="24"/>
                      <w:szCs w:val="24"/>
                      <w:lang w:val="lv-LV"/>
                    </w:rPr>
                  </w:pPr>
                  <w:r w:rsidRPr="00507DE7">
                    <w:rPr>
                      <w:sz w:val="24"/>
                      <w:szCs w:val="24"/>
                      <w:lang w:val="lv-LV"/>
                    </w:rPr>
                    <w:t>13.</w:t>
                  </w:r>
                  <w:r w:rsidR="0087171D">
                    <w:rPr>
                      <w:sz w:val="24"/>
                      <w:szCs w:val="24"/>
                      <w:lang w:val="lv-LV"/>
                    </w:rPr>
                    <w:t> </w:t>
                  </w:r>
                  <w:r w:rsidRPr="00507DE7">
                    <w:rPr>
                      <w:sz w:val="24"/>
                      <w:szCs w:val="24"/>
                      <w:lang w:val="lv-LV"/>
                    </w:rPr>
                    <w:t>punkts</w:t>
                  </w:r>
                </w:p>
              </w:tc>
              <w:tc>
                <w:tcPr>
                  <w:tcW w:w="2409" w:type="dxa"/>
                  <w:tcBorders>
                    <w:top w:val="single" w:sz="4" w:space="0" w:color="000000"/>
                    <w:left w:val="single" w:sz="4" w:space="0" w:color="000000"/>
                    <w:bottom w:val="single" w:sz="4" w:space="0" w:color="000000"/>
                    <w:right w:val="single" w:sz="4" w:space="0" w:color="000000"/>
                  </w:tcBorders>
                </w:tcPr>
                <w:p w14:paraId="67B1A46C" w14:textId="77777777" w:rsidR="0071042E" w:rsidRPr="00605399" w:rsidRDefault="0071042E" w:rsidP="000141AD">
                  <w:pPr>
                    <w:contextualSpacing/>
                    <w:jc w:val="both"/>
                    <w:rPr>
                      <w:sz w:val="24"/>
                      <w:szCs w:val="24"/>
                      <w:lang w:val="lv-LV"/>
                    </w:rPr>
                  </w:pPr>
                  <w:r w:rsidRPr="00605399">
                    <w:rPr>
                      <w:sz w:val="24"/>
                      <w:szCs w:val="24"/>
                      <w:lang w:val="lv-LV"/>
                    </w:rPr>
                    <w:t>Ieviests pilnībā</w:t>
                  </w:r>
                </w:p>
              </w:tc>
              <w:tc>
                <w:tcPr>
                  <w:tcW w:w="2450" w:type="dxa"/>
                  <w:tcBorders>
                    <w:top w:val="single" w:sz="4" w:space="0" w:color="000000"/>
                    <w:left w:val="single" w:sz="4" w:space="0" w:color="000000"/>
                    <w:bottom w:val="single" w:sz="4" w:space="0" w:color="000000"/>
                    <w:right w:val="single" w:sz="4" w:space="0" w:color="000000"/>
                  </w:tcBorders>
                </w:tcPr>
                <w:p w14:paraId="24FDBB6C" w14:textId="77777777" w:rsidR="0071042E" w:rsidRPr="00605399" w:rsidRDefault="0071042E" w:rsidP="000141AD">
                  <w:pPr>
                    <w:contextualSpacing/>
                    <w:jc w:val="both"/>
                    <w:rPr>
                      <w:sz w:val="24"/>
                      <w:szCs w:val="24"/>
                      <w:lang w:val="lv-LV"/>
                    </w:rPr>
                  </w:pPr>
                  <w:r w:rsidRPr="00605399">
                    <w:rPr>
                      <w:sz w:val="24"/>
                      <w:szCs w:val="24"/>
                      <w:lang w:val="lv-LV"/>
                    </w:rPr>
                    <w:t>Neparedz stingrākas prasības</w:t>
                  </w:r>
                </w:p>
              </w:tc>
            </w:tr>
            <w:tr w:rsidR="0071042E" w:rsidRPr="00507DE7" w14:paraId="4EE9CDA8" w14:textId="77777777" w:rsidTr="00B96BE0">
              <w:tblPrEx>
                <w:tblCellMar>
                  <w:left w:w="108" w:type="dxa"/>
                  <w:right w:w="108" w:type="dxa"/>
                </w:tblCellMar>
                <w:tblLook w:val="01E0" w:firstRow="1" w:lastRow="1" w:firstColumn="1" w:lastColumn="1" w:noHBand="0" w:noVBand="0"/>
              </w:tblPrEx>
              <w:tc>
                <w:tcPr>
                  <w:tcW w:w="2512" w:type="dxa"/>
                  <w:gridSpan w:val="2"/>
                  <w:tcBorders>
                    <w:top w:val="single" w:sz="4" w:space="0" w:color="000000"/>
                    <w:left w:val="single" w:sz="4" w:space="0" w:color="000000"/>
                    <w:bottom w:val="single" w:sz="4" w:space="0" w:color="000000"/>
                    <w:right w:val="single" w:sz="4" w:space="0" w:color="000000"/>
                  </w:tcBorders>
                </w:tcPr>
                <w:p w14:paraId="237E6D83" w14:textId="56278986" w:rsidR="0071042E" w:rsidRPr="00507DE7" w:rsidRDefault="0071042E" w:rsidP="000141AD">
                  <w:pPr>
                    <w:contextualSpacing/>
                    <w:jc w:val="both"/>
                    <w:rPr>
                      <w:sz w:val="24"/>
                      <w:szCs w:val="24"/>
                      <w:lang w:val="lv-LV"/>
                    </w:rPr>
                  </w:pPr>
                  <w:r w:rsidRPr="00507DE7">
                    <w:rPr>
                      <w:sz w:val="24"/>
                      <w:szCs w:val="24"/>
                      <w:lang w:val="lv-LV"/>
                    </w:rPr>
                    <w:t>Regulas Nr.</w:t>
                  </w:r>
                  <w:r w:rsidR="002755A7">
                    <w:rPr>
                      <w:sz w:val="24"/>
                      <w:szCs w:val="24"/>
                      <w:lang w:val="lv-LV"/>
                    </w:rPr>
                    <w:t> </w:t>
                  </w:r>
                  <w:r w:rsidRPr="00507DE7">
                    <w:rPr>
                      <w:sz w:val="24"/>
                      <w:szCs w:val="24"/>
                      <w:lang w:val="lv-LV"/>
                    </w:rPr>
                    <w:t>651/2014 2</w:t>
                  </w:r>
                  <w:r w:rsidR="002755A7" w:rsidRPr="00507DE7">
                    <w:rPr>
                      <w:sz w:val="24"/>
                      <w:szCs w:val="24"/>
                      <w:lang w:val="lv-LV"/>
                    </w:rPr>
                    <w:t>.</w:t>
                  </w:r>
                  <w:r w:rsidR="002755A7">
                    <w:rPr>
                      <w:sz w:val="24"/>
                      <w:szCs w:val="24"/>
                      <w:lang w:val="lv-LV"/>
                    </w:rPr>
                    <w:t> </w:t>
                  </w:r>
                  <w:r w:rsidRPr="00507DE7">
                    <w:rPr>
                      <w:sz w:val="24"/>
                      <w:szCs w:val="24"/>
                      <w:lang w:val="lv-LV"/>
                    </w:rPr>
                    <w:t>panta 23</w:t>
                  </w:r>
                  <w:r w:rsidR="002755A7" w:rsidRPr="00507DE7">
                    <w:rPr>
                      <w:sz w:val="24"/>
                      <w:szCs w:val="24"/>
                      <w:lang w:val="lv-LV"/>
                    </w:rPr>
                    <w:t>.</w:t>
                  </w:r>
                  <w:r w:rsidR="002755A7">
                    <w:rPr>
                      <w:sz w:val="24"/>
                      <w:szCs w:val="24"/>
                      <w:lang w:val="lv-LV"/>
                    </w:rPr>
                    <w:t> </w:t>
                  </w:r>
                  <w:r w:rsidRPr="00507DE7">
                    <w:rPr>
                      <w:sz w:val="24"/>
                      <w:szCs w:val="24"/>
                      <w:lang w:val="lv-LV"/>
                    </w:rPr>
                    <w:t>punkts</w:t>
                  </w:r>
                </w:p>
              </w:tc>
              <w:tc>
                <w:tcPr>
                  <w:tcW w:w="1843" w:type="dxa"/>
                  <w:tcBorders>
                    <w:top w:val="single" w:sz="4" w:space="0" w:color="000000"/>
                    <w:left w:val="single" w:sz="4" w:space="0" w:color="000000"/>
                    <w:bottom w:val="single" w:sz="4" w:space="0" w:color="000000"/>
                    <w:right w:val="single" w:sz="4" w:space="0" w:color="000000"/>
                  </w:tcBorders>
                </w:tcPr>
                <w:p w14:paraId="443C0717" w14:textId="71102544" w:rsidR="0071042E" w:rsidRPr="00507DE7" w:rsidRDefault="0071042E" w:rsidP="000141AD">
                  <w:pPr>
                    <w:contextualSpacing/>
                    <w:jc w:val="both"/>
                    <w:rPr>
                      <w:sz w:val="24"/>
                      <w:szCs w:val="24"/>
                      <w:lang w:val="lv-LV"/>
                    </w:rPr>
                  </w:pPr>
                  <w:r w:rsidRPr="00507DE7">
                    <w:rPr>
                      <w:sz w:val="24"/>
                      <w:szCs w:val="24"/>
                      <w:lang w:val="lv-LV"/>
                    </w:rPr>
                    <w:t>14.</w:t>
                  </w:r>
                  <w:r w:rsidR="0087171D">
                    <w:rPr>
                      <w:sz w:val="24"/>
                      <w:szCs w:val="24"/>
                      <w:lang w:val="lv-LV"/>
                    </w:rPr>
                    <w:t> </w:t>
                  </w:r>
                  <w:r w:rsidRPr="00507DE7">
                    <w:rPr>
                      <w:sz w:val="24"/>
                      <w:szCs w:val="24"/>
                      <w:lang w:val="lv-LV"/>
                    </w:rPr>
                    <w:t>punkts</w:t>
                  </w:r>
                </w:p>
              </w:tc>
              <w:tc>
                <w:tcPr>
                  <w:tcW w:w="2409" w:type="dxa"/>
                  <w:tcBorders>
                    <w:top w:val="single" w:sz="4" w:space="0" w:color="000000"/>
                    <w:left w:val="single" w:sz="4" w:space="0" w:color="000000"/>
                    <w:bottom w:val="single" w:sz="4" w:space="0" w:color="000000"/>
                    <w:right w:val="single" w:sz="4" w:space="0" w:color="000000"/>
                  </w:tcBorders>
                </w:tcPr>
                <w:p w14:paraId="4DE8E8A7" w14:textId="77777777" w:rsidR="0071042E" w:rsidRPr="00605399" w:rsidRDefault="0071042E" w:rsidP="000141AD">
                  <w:pPr>
                    <w:contextualSpacing/>
                    <w:jc w:val="both"/>
                    <w:rPr>
                      <w:sz w:val="24"/>
                      <w:szCs w:val="24"/>
                      <w:lang w:val="lv-LV"/>
                    </w:rPr>
                  </w:pPr>
                  <w:r w:rsidRPr="00605399">
                    <w:rPr>
                      <w:sz w:val="24"/>
                      <w:szCs w:val="24"/>
                      <w:lang w:val="lv-LV"/>
                    </w:rPr>
                    <w:t>Ieviests pilnībā</w:t>
                  </w:r>
                </w:p>
              </w:tc>
              <w:tc>
                <w:tcPr>
                  <w:tcW w:w="2450" w:type="dxa"/>
                  <w:tcBorders>
                    <w:top w:val="single" w:sz="4" w:space="0" w:color="000000"/>
                    <w:left w:val="single" w:sz="4" w:space="0" w:color="000000"/>
                    <w:bottom w:val="single" w:sz="4" w:space="0" w:color="000000"/>
                    <w:right w:val="single" w:sz="4" w:space="0" w:color="000000"/>
                  </w:tcBorders>
                </w:tcPr>
                <w:p w14:paraId="7B322CB3" w14:textId="77777777" w:rsidR="0071042E" w:rsidRPr="00605399" w:rsidRDefault="0071042E" w:rsidP="000141AD">
                  <w:pPr>
                    <w:contextualSpacing/>
                    <w:jc w:val="both"/>
                    <w:rPr>
                      <w:sz w:val="24"/>
                      <w:szCs w:val="24"/>
                      <w:lang w:val="lv-LV"/>
                    </w:rPr>
                  </w:pPr>
                  <w:r w:rsidRPr="00605399">
                    <w:rPr>
                      <w:sz w:val="24"/>
                      <w:szCs w:val="24"/>
                      <w:lang w:val="lv-LV"/>
                    </w:rPr>
                    <w:t>Neparedz stingrākas prasības</w:t>
                  </w:r>
                </w:p>
              </w:tc>
            </w:tr>
            <w:tr w:rsidR="0071042E" w:rsidRPr="00507DE7" w14:paraId="6E85281B" w14:textId="77777777" w:rsidTr="00B96BE0">
              <w:tblPrEx>
                <w:tblCellMar>
                  <w:left w:w="108" w:type="dxa"/>
                  <w:right w:w="108" w:type="dxa"/>
                </w:tblCellMar>
                <w:tblLook w:val="01E0" w:firstRow="1" w:lastRow="1" w:firstColumn="1" w:lastColumn="1" w:noHBand="0" w:noVBand="0"/>
              </w:tblPrEx>
              <w:tc>
                <w:tcPr>
                  <w:tcW w:w="2512" w:type="dxa"/>
                  <w:gridSpan w:val="2"/>
                  <w:tcBorders>
                    <w:top w:val="single" w:sz="4" w:space="0" w:color="000000"/>
                    <w:left w:val="single" w:sz="4" w:space="0" w:color="000000"/>
                    <w:bottom w:val="single" w:sz="4" w:space="0" w:color="000000"/>
                    <w:right w:val="single" w:sz="4" w:space="0" w:color="000000"/>
                  </w:tcBorders>
                </w:tcPr>
                <w:p w14:paraId="7A837EF8" w14:textId="0C1AC2C9" w:rsidR="0071042E" w:rsidRPr="00507DE7" w:rsidRDefault="0071042E" w:rsidP="000141AD">
                  <w:pPr>
                    <w:contextualSpacing/>
                    <w:jc w:val="both"/>
                    <w:rPr>
                      <w:sz w:val="24"/>
                      <w:szCs w:val="24"/>
                      <w:lang w:val="lv-LV"/>
                    </w:rPr>
                  </w:pPr>
                  <w:r w:rsidRPr="00507DE7">
                    <w:rPr>
                      <w:sz w:val="24"/>
                      <w:szCs w:val="24"/>
                      <w:lang w:val="lv-LV"/>
                    </w:rPr>
                    <w:t>Regulas Nr</w:t>
                  </w:r>
                  <w:r w:rsidR="002755A7" w:rsidRPr="00507DE7">
                    <w:rPr>
                      <w:sz w:val="24"/>
                      <w:szCs w:val="24"/>
                      <w:lang w:val="lv-LV"/>
                    </w:rPr>
                    <w:t>.</w:t>
                  </w:r>
                  <w:r w:rsidR="002755A7">
                    <w:rPr>
                      <w:sz w:val="24"/>
                      <w:szCs w:val="24"/>
                      <w:lang w:val="lv-LV"/>
                    </w:rPr>
                    <w:t> </w:t>
                  </w:r>
                  <w:r w:rsidRPr="00507DE7">
                    <w:rPr>
                      <w:sz w:val="24"/>
                      <w:szCs w:val="24"/>
                      <w:lang w:val="lv-LV"/>
                    </w:rPr>
                    <w:t>651/2014 6.</w:t>
                  </w:r>
                  <w:r w:rsidR="002755A7">
                    <w:rPr>
                      <w:sz w:val="24"/>
                      <w:szCs w:val="24"/>
                      <w:lang w:val="lv-LV"/>
                    </w:rPr>
                    <w:t> </w:t>
                  </w:r>
                  <w:r w:rsidRPr="00507DE7">
                    <w:rPr>
                      <w:sz w:val="24"/>
                      <w:szCs w:val="24"/>
                      <w:lang w:val="lv-LV"/>
                    </w:rPr>
                    <w:t xml:space="preserve">pants </w:t>
                  </w:r>
                </w:p>
              </w:tc>
              <w:tc>
                <w:tcPr>
                  <w:tcW w:w="1843" w:type="dxa"/>
                  <w:tcBorders>
                    <w:top w:val="single" w:sz="4" w:space="0" w:color="000000"/>
                    <w:left w:val="single" w:sz="4" w:space="0" w:color="000000"/>
                    <w:bottom w:val="single" w:sz="4" w:space="0" w:color="000000"/>
                    <w:right w:val="single" w:sz="4" w:space="0" w:color="000000"/>
                  </w:tcBorders>
                </w:tcPr>
                <w:p w14:paraId="21AAE13D" w14:textId="1372A6A1" w:rsidR="0071042E" w:rsidRPr="00507DE7" w:rsidRDefault="0071042E" w:rsidP="000141AD">
                  <w:pPr>
                    <w:contextualSpacing/>
                    <w:jc w:val="both"/>
                    <w:rPr>
                      <w:i/>
                      <w:sz w:val="24"/>
                      <w:szCs w:val="24"/>
                      <w:lang w:val="lv-LV"/>
                    </w:rPr>
                  </w:pPr>
                  <w:r w:rsidRPr="00507DE7">
                    <w:rPr>
                      <w:sz w:val="24"/>
                      <w:szCs w:val="24"/>
                      <w:lang w:val="lv-LV"/>
                    </w:rPr>
                    <w:t>14.</w:t>
                  </w:r>
                  <w:r w:rsidR="0087171D">
                    <w:rPr>
                      <w:sz w:val="24"/>
                      <w:szCs w:val="24"/>
                      <w:lang w:val="lv-LV"/>
                    </w:rPr>
                    <w:t> </w:t>
                  </w:r>
                  <w:r w:rsidRPr="00507DE7">
                    <w:rPr>
                      <w:sz w:val="24"/>
                      <w:szCs w:val="24"/>
                      <w:lang w:val="lv-LV"/>
                    </w:rPr>
                    <w:t>punkts</w:t>
                  </w:r>
                </w:p>
              </w:tc>
              <w:tc>
                <w:tcPr>
                  <w:tcW w:w="2409" w:type="dxa"/>
                  <w:tcBorders>
                    <w:top w:val="single" w:sz="4" w:space="0" w:color="000000"/>
                    <w:left w:val="single" w:sz="4" w:space="0" w:color="000000"/>
                    <w:bottom w:val="single" w:sz="4" w:space="0" w:color="000000"/>
                    <w:right w:val="single" w:sz="4" w:space="0" w:color="000000"/>
                  </w:tcBorders>
                </w:tcPr>
                <w:p w14:paraId="338F9F6D" w14:textId="77777777" w:rsidR="0071042E" w:rsidRPr="00605399" w:rsidRDefault="0071042E" w:rsidP="000141AD">
                  <w:pPr>
                    <w:contextualSpacing/>
                    <w:jc w:val="both"/>
                    <w:rPr>
                      <w:sz w:val="24"/>
                      <w:szCs w:val="24"/>
                      <w:lang w:val="lv-LV"/>
                    </w:rPr>
                  </w:pPr>
                  <w:r w:rsidRPr="00605399">
                    <w:rPr>
                      <w:sz w:val="24"/>
                      <w:szCs w:val="24"/>
                      <w:lang w:val="lv-LV"/>
                    </w:rPr>
                    <w:t>Ieviests pilnībā</w:t>
                  </w:r>
                </w:p>
              </w:tc>
              <w:tc>
                <w:tcPr>
                  <w:tcW w:w="2450" w:type="dxa"/>
                  <w:tcBorders>
                    <w:top w:val="single" w:sz="4" w:space="0" w:color="000000"/>
                    <w:left w:val="single" w:sz="4" w:space="0" w:color="000000"/>
                    <w:bottom w:val="single" w:sz="4" w:space="0" w:color="000000"/>
                    <w:right w:val="single" w:sz="4" w:space="0" w:color="000000"/>
                  </w:tcBorders>
                </w:tcPr>
                <w:p w14:paraId="27E3F044" w14:textId="77777777" w:rsidR="0071042E" w:rsidRPr="00605399" w:rsidRDefault="0071042E" w:rsidP="000141AD">
                  <w:pPr>
                    <w:contextualSpacing/>
                    <w:jc w:val="both"/>
                    <w:rPr>
                      <w:sz w:val="24"/>
                      <w:szCs w:val="24"/>
                      <w:lang w:val="lv-LV"/>
                    </w:rPr>
                  </w:pPr>
                  <w:r w:rsidRPr="00605399">
                    <w:rPr>
                      <w:sz w:val="24"/>
                      <w:szCs w:val="24"/>
                      <w:lang w:val="lv-LV"/>
                    </w:rPr>
                    <w:t>Neparedz stingrākas prasības</w:t>
                  </w:r>
                </w:p>
              </w:tc>
            </w:tr>
            <w:tr w:rsidR="0071042E" w:rsidRPr="00507DE7" w14:paraId="0CE39058" w14:textId="77777777" w:rsidTr="00B96BE0">
              <w:tblPrEx>
                <w:tblCellMar>
                  <w:left w:w="108" w:type="dxa"/>
                  <w:right w:w="108" w:type="dxa"/>
                </w:tblCellMar>
                <w:tblLook w:val="01E0" w:firstRow="1" w:lastRow="1" w:firstColumn="1" w:lastColumn="1" w:noHBand="0" w:noVBand="0"/>
              </w:tblPrEx>
              <w:tc>
                <w:tcPr>
                  <w:tcW w:w="2512" w:type="dxa"/>
                  <w:gridSpan w:val="2"/>
                  <w:tcBorders>
                    <w:top w:val="single" w:sz="4" w:space="0" w:color="000000"/>
                    <w:left w:val="single" w:sz="4" w:space="0" w:color="000000"/>
                    <w:bottom w:val="single" w:sz="4" w:space="0" w:color="000000"/>
                    <w:right w:val="single" w:sz="4" w:space="0" w:color="000000"/>
                  </w:tcBorders>
                </w:tcPr>
                <w:p w14:paraId="3A423942" w14:textId="2BB2F417" w:rsidR="0071042E" w:rsidRPr="00507DE7" w:rsidRDefault="0071042E" w:rsidP="000141AD">
                  <w:pPr>
                    <w:contextualSpacing/>
                    <w:jc w:val="both"/>
                    <w:rPr>
                      <w:sz w:val="24"/>
                      <w:szCs w:val="24"/>
                      <w:lang w:val="lv-LV"/>
                    </w:rPr>
                  </w:pPr>
                  <w:r w:rsidRPr="00507DE7">
                    <w:rPr>
                      <w:sz w:val="24"/>
                      <w:szCs w:val="24"/>
                      <w:lang w:val="lv-LV"/>
                    </w:rPr>
                    <w:t xml:space="preserve">Regulas </w:t>
                  </w:r>
                  <w:r w:rsidR="003C7CB3">
                    <w:rPr>
                      <w:sz w:val="24"/>
                      <w:szCs w:val="24"/>
                      <w:lang w:val="lv-LV"/>
                    </w:rPr>
                    <w:t>Nr. </w:t>
                  </w:r>
                  <w:r w:rsidRPr="00507DE7">
                    <w:rPr>
                      <w:sz w:val="24"/>
                      <w:szCs w:val="24"/>
                      <w:lang w:val="lv-LV"/>
                    </w:rPr>
                    <w:t xml:space="preserve">651/2014 </w:t>
                  </w:r>
                  <w:r w:rsidR="00264D5E" w:rsidRPr="00507DE7">
                    <w:rPr>
                      <w:sz w:val="24"/>
                      <w:szCs w:val="24"/>
                      <w:lang w:val="lv-LV"/>
                    </w:rPr>
                    <w:t>9</w:t>
                  </w:r>
                  <w:r w:rsidRPr="00507DE7">
                    <w:rPr>
                      <w:sz w:val="24"/>
                      <w:szCs w:val="24"/>
                      <w:lang w:val="lv-LV"/>
                    </w:rPr>
                    <w:t>.</w:t>
                  </w:r>
                  <w:r w:rsidR="003C7CB3">
                    <w:rPr>
                      <w:sz w:val="24"/>
                      <w:szCs w:val="24"/>
                      <w:lang w:val="lv-LV"/>
                    </w:rPr>
                    <w:t> </w:t>
                  </w:r>
                  <w:r w:rsidRPr="00507DE7">
                    <w:rPr>
                      <w:sz w:val="24"/>
                      <w:szCs w:val="24"/>
                      <w:lang w:val="lv-LV"/>
                    </w:rPr>
                    <w:t>panta 1.</w:t>
                  </w:r>
                  <w:r w:rsidR="003C7CB3">
                    <w:rPr>
                      <w:sz w:val="24"/>
                      <w:szCs w:val="24"/>
                      <w:lang w:val="lv-LV"/>
                    </w:rPr>
                    <w:t xml:space="preserve"> </w:t>
                  </w:r>
                  <w:r w:rsidR="00264D5E" w:rsidRPr="00507DE7">
                    <w:rPr>
                      <w:sz w:val="24"/>
                      <w:szCs w:val="24"/>
                      <w:lang w:val="lv-LV"/>
                    </w:rPr>
                    <w:t>un 4.</w:t>
                  </w:r>
                  <w:r w:rsidR="003C7CB3">
                    <w:rPr>
                      <w:sz w:val="24"/>
                      <w:szCs w:val="24"/>
                      <w:lang w:val="lv-LV"/>
                    </w:rPr>
                    <w:t> </w:t>
                  </w:r>
                  <w:r w:rsidRPr="00507DE7">
                    <w:rPr>
                      <w:sz w:val="24"/>
                      <w:szCs w:val="24"/>
                      <w:lang w:val="lv-LV"/>
                    </w:rPr>
                    <w:t>punkts</w:t>
                  </w:r>
                </w:p>
              </w:tc>
              <w:tc>
                <w:tcPr>
                  <w:tcW w:w="1843" w:type="dxa"/>
                  <w:tcBorders>
                    <w:top w:val="single" w:sz="4" w:space="0" w:color="000000"/>
                    <w:left w:val="single" w:sz="4" w:space="0" w:color="000000"/>
                    <w:bottom w:val="single" w:sz="4" w:space="0" w:color="000000"/>
                    <w:right w:val="single" w:sz="4" w:space="0" w:color="000000"/>
                  </w:tcBorders>
                </w:tcPr>
                <w:p w14:paraId="199B5A9E" w14:textId="306F2AF5" w:rsidR="0071042E" w:rsidRPr="00507DE7" w:rsidRDefault="00264D5E" w:rsidP="000141AD">
                  <w:pPr>
                    <w:contextualSpacing/>
                    <w:jc w:val="both"/>
                    <w:rPr>
                      <w:sz w:val="24"/>
                      <w:szCs w:val="24"/>
                      <w:lang w:val="lv-LV"/>
                    </w:rPr>
                  </w:pPr>
                  <w:r w:rsidRPr="00507DE7">
                    <w:rPr>
                      <w:sz w:val="24"/>
                      <w:szCs w:val="24"/>
                      <w:lang w:val="lv-LV"/>
                    </w:rPr>
                    <w:t>30</w:t>
                  </w:r>
                  <w:r w:rsidR="0071042E" w:rsidRPr="00507DE7">
                    <w:rPr>
                      <w:sz w:val="24"/>
                      <w:szCs w:val="24"/>
                      <w:lang w:val="lv-LV"/>
                    </w:rPr>
                    <w:t>.</w:t>
                  </w:r>
                  <w:r w:rsidR="0087171D">
                    <w:rPr>
                      <w:sz w:val="24"/>
                      <w:szCs w:val="24"/>
                      <w:lang w:val="lv-LV"/>
                    </w:rPr>
                    <w:t> </w:t>
                  </w:r>
                  <w:r w:rsidR="0071042E" w:rsidRPr="00507DE7">
                    <w:rPr>
                      <w:sz w:val="24"/>
                      <w:szCs w:val="24"/>
                      <w:lang w:val="lv-LV"/>
                    </w:rPr>
                    <w:t>punkts</w:t>
                  </w:r>
                </w:p>
              </w:tc>
              <w:tc>
                <w:tcPr>
                  <w:tcW w:w="2409" w:type="dxa"/>
                  <w:tcBorders>
                    <w:top w:val="single" w:sz="4" w:space="0" w:color="000000"/>
                    <w:left w:val="single" w:sz="4" w:space="0" w:color="000000"/>
                    <w:bottom w:val="single" w:sz="4" w:space="0" w:color="000000"/>
                    <w:right w:val="single" w:sz="4" w:space="0" w:color="000000"/>
                  </w:tcBorders>
                </w:tcPr>
                <w:p w14:paraId="77F0175E" w14:textId="1D324625" w:rsidR="0071042E" w:rsidRPr="00605399" w:rsidRDefault="0071042E" w:rsidP="000141AD">
                  <w:pPr>
                    <w:contextualSpacing/>
                    <w:jc w:val="both"/>
                    <w:rPr>
                      <w:sz w:val="24"/>
                      <w:szCs w:val="24"/>
                      <w:lang w:val="lv-LV"/>
                    </w:rPr>
                  </w:pPr>
                  <w:r w:rsidRPr="00605399">
                    <w:rPr>
                      <w:sz w:val="24"/>
                      <w:szCs w:val="24"/>
                      <w:lang w:val="lv-LV"/>
                    </w:rPr>
                    <w:t>Ieviests pilnībā</w:t>
                  </w:r>
                </w:p>
              </w:tc>
              <w:tc>
                <w:tcPr>
                  <w:tcW w:w="2450" w:type="dxa"/>
                  <w:tcBorders>
                    <w:top w:val="single" w:sz="4" w:space="0" w:color="000000"/>
                    <w:left w:val="single" w:sz="4" w:space="0" w:color="000000"/>
                    <w:bottom w:val="single" w:sz="4" w:space="0" w:color="000000"/>
                    <w:right w:val="single" w:sz="4" w:space="0" w:color="000000"/>
                  </w:tcBorders>
                </w:tcPr>
                <w:p w14:paraId="50BD6549" w14:textId="53DBAD7A" w:rsidR="0071042E" w:rsidRPr="00605399" w:rsidRDefault="0071042E" w:rsidP="000141AD">
                  <w:pPr>
                    <w:contextualSpacing/>
                    <w:jc w:val="both"/>
                    <w:rPr>
                      <w:sz w:val="24"/>
                      <w:szCs w:val="24"/>
                      <w:lang w:val="lv-LV"/>
                    </w:rPr>
                  </w:pPr>
                  <w:r w:rsidRPr="00605399">
                    <w:rPr>
                      <w:sz w:val="24"/>
                      <w:szCs w:val="24"/>
                      <w:lang w:val="lv-LV"/>
                    </w:rPr>
                    <w:t>Neparedz stingrākas prasības</w:t>
                  </w:r>
                </w:p>
              </w:tc>
            </w:tr>
            <w:tr w:rsidR="0071042E" w:rsidRPr="00507DE7" w14:paraId="08E6F0B5" w14:textId="77777777" w:rsidTr="00B96BE0">
              <w:tblPrEx>
                <w:tblCellMar>
                  <w:left w:w="108" w:type="dxa"/>
                  <w:right w:w="108" w:type="dxa"/>
                </w:tblCellMar>
                <w:tblLook w:val="01E0" w:firstRow="1" w:lastRow="1" w:firstColumn="1" w:lastColumn="1" w:noHBand="0" w:noVBand="0"/>
              </w:tblPrEx>
              <w:tc>
                <w:tcPr>
                  <w:tcW w:w="2512" w:type="dxa"/>
                  <w:gridSpan w:val="2"/>
                  <w:tcBorders>
                    <w:top w:val="single" w:sz="4" w:space="0" w:color="000000"/>
                    <w:left w:val="single" w:sz="4" w:space="0" w:color="000000"/>
                    <w:bottom w:val="single" w:sz="4" w:space="0" w:color="000000"/>
                    <w:right w:val="single" w:sz="4" w:space="0" w:color="000000"/>
                  </w:tcBorders>
                </w:tcPr>
                <w:p w14:paraId="056097FC" w14:textId="003ADA6A" w:rsidR="0071042E" w:rsidRPr="00507DE7" w:rsidRDefault="0071042E" w:rsidP="000141AD">
                  <w:pPr>
                    <w:contextualSpacing/>
                    <w:jc w:val="both"/>
                    <w:rPr>
                      <w:sz w:val="24"/>
                      <w:szCs w:val="24"/>
                      <w:lang w:val="lv-LV"/>
                    </w:rPr>
                  </w:pPr>
                  <w:r w:rsidRPr="00507DE7">
                    <w:rPr>
                      <w:sz w:val="24"/>
                      <w:szCs w:val="24"/>
                      <w:lang w:val="lv-LV"/>
                    </w:rPr>
                    <w:t xml:space="preserve">Regulas </w:t>
                  </w:r>
                  <w:r w:rsidR="003C7CB3">
                    <w:rPr>
                      <w:sz w:val="24"/>
                      <w:szCs w:val="24"/>
                      <w:lang w:val="lv-LV"/>
                    </w:rPr>
                    <w:t>Nr. </w:t>
                  </w:r>
                  <w:r w:rsidRPr="00507DE7">
                    <w:rPr>
                      <w:sz w:val="24"/>
                      <w:szCs w:val="24"/>
                      <w:lang w:val="lv-LV"/>
                    </w:rPr>
                    <w:t>651/2014 12.</w:t>
                  </w:r>
                  <w:r w:rsidR="003C7CB3">
                    <w:rPr>
                      <w:sz w:val="24"/>
                      <w:szCs w:val="24"/>
                      <w:lang w:val="lv-LV"/>
                    </w:rPr>
                    <w:t> </w:t>
                  </w:r>
                  <w:r w:rsidRPr="00507DE7">
                    <w:rPr>
                      <w:sz w:val="24"/>
                      <w:szCs w:val="24"/>
                      <w:lang w:val="lv-LV"/>
                    </w:rPr>
                    <w:t>panta 1.</w:t>
                  </w:r>
                  <w:r w:rsidR="003C7CB3">
                    <w:rPr>
                      <w:sz w:val="24"/>
                      <w:szCs w:val="24"/>
                      <w:lang w:val="lv-LV"/>
                    </w:rPr>
                    <w:t> </w:t>
                  </w:r>
                  <w:r w:rsidRPr="00507DE7">
                    <w:rPr>
                      <w:sz w:val="24"/>
                      <w:szCs w:val="24"/>
                      <w:lang w:val="lv-LV"/>
                    </w:rPr>
                    <w:t>punkts</w:t>
                  </w:r>
                </w:p>
              </w:tc>
              <w:tc>
                <w:tcPr>
                  <w:tcW w:w="1843" w:type="dxa"/>
                  <w:tcBorders>
                    <w:top w:val="single" w:sz="4" w:space="0" w:color="000000"/>
                    <w:left w:val="single" w:sz="4" w:space="0" w:color="000000"/>
                    <w:bottom w:val="single" w:sz="4" w:space="0" w:color="000000"/>
                    <w:right w:val="single" w:sz="4" w:space="0" w:color="000000"/>
                  </w:tcBorders>
                </w:tcPr>
                <w:p w14:paraId="65B361E8" w14:textId="33CFC2E2" w:rsidR="0071042E" w:rsidRPr="00507DE7" w:rsidRDefault="0071042E" w:rsidP="000141AD">
                  <w:pPr>
                    <w:contextualSpacing/>
                    <w:jc w:val="both"/>
                    <w:rPr>
                      <w:i/>
                      <w:sz w:val="24"/>
                      <w:szCs w:val="24"/>
                      <w:lang w:val="lv-LV"/>
                    </w:rPr>
                  </w:pPr>
                  <w:r w:rsidRPr="00507DE7">
                    <w:rPr>
                      <w:sz w:val="24"/>
                      <w:szCs w:val="24"/>
                      <w:lang w:val="lv-LV"/>
                    </w:rPr>
                    <w:t>29.</w:t>
                  </w:r>
                  <w:r w:rsidR="0087171D">
                    <w:rPr>
                      <w:sz w:val="24"/>
                      <w:szCs w:val="24"/>
                      <w:lang w:val="lv-LV"/>
                    </w:rPr>
                    <w:t> </w:t>
                  </w:r>
                  <w:r w:rsidRPr="00507DE7">
                    <w:rPr>
                      <w:sz w:val="24"/>
                      <w:szCs w:val="24"/>
                      <w:lang w:val="lv-LV"/>
                    </w:rPr>
                    <w:t>punkts</w:t>
                  </w:r>
                </w:p>
              </w:tc>
              <w:tc>
                <w:tcPr>
                  <w:tcW w:w="2409" w:type="dxa"/>
                  <w:tcBorders>
                    <w:top w:val="single" w:sz="4" w:space="0" w:color="000000"/>
                    <w:left w:val="single" w:sz="4" w:space="0" w:color="000000"/>
                    <w:bottom w:val="single" w:sz="4" w:space="0" w:color="000000"/>
                    <w:right w:val="single" w:sz="4" w:space="0" w:color="000000"/>
                  </w:tcBorders>
                </w:tcPr>
                <w:p w14:paraId="2DBFE670" w14:textId="77777777" w:rsidR="0071042E" w:rsidRPr="00605399" w:rsidRDefault="0071042E" w:rsidP="000141AD">
                  <w:pPr>
                    <w:contextualSpacing/>
                    <w:jc w:val="both"/>
                    <w:rPr>
                      <w:sz w:val="24"/>
                      <w:szCs w:val="24"/>
                      <w:lang w:val="lv-LV"/>
                    </w:rPr>
                  </w:pPr>
                  <w:r w:rsidRPr="00605399">
                    <w:rPr>
                      <w:sz w:val="24"/>
                      <w:szCs w:val="24"/>
                      <w:lang w:val="lv-LV"/>
                    </w:rPr>
                    <w:t>Ieviests pilnībā</w:t>
                  </w:r>
                </w:p>
              </w:tc>
              <w:tc>
                <w:tcPr>
                  <w:tcW w:w="2450" w:type="dxa"/>
                  <w:tcBorders>
                    <w:top w:val="single" w:sz="4" w:space="0" w:color="000000"/>
                    <w:left w:val="single" w:sz="4" w:space="0" w:color="000000"/>
                    <w:bottom w:val="single" w:sz="4" w:space="0" w:color="000000"/>
                    <w:right w:val="single" w:sz="4" w:space="0" w:color="000000"/>
                  </w:tcBorders>
                </w:tcPr>
                <w:p w14:paraId="35F81268" w14:textId="77777777" w:rsidR="0071042E" w:rsidRPr="00605399" w:rsidRDefault="0071042E" w:rsidP="000141AD">
                  <w:pPr>
                    <w:contextualSpacing/>
                    <w:jc w:val="both"/>
                    <w:rPr>
                      <w:sz w:val="24"/>
                      <w:szCs w:val="24"/>
                      <w:lang w:val="lv-LV"/>
                    </w:rPr>
                  </w:pPr>
                  <w:r w:rsidRPr="00605399">
                    <w:rPr>
                      <w:sz w:val="24"/>
                      <w:szCs w:val="24"/>
                      <w:lang w:val="lv-LV"/>
                    </w:rPr>
                    <w:t>Neparedz stingrākas prasības</w:t>
                  </w:r>
                </w:p>
              </w:tc>
            </w:tr>
            <w:tr w:rsidR="0071042E" w:rsidRPr="00507DE7" w14:paraId="1C0D9736" w14:textId="77777777" w:rsidTr="00B96BE0">
              <w:tblPrEx>
                <w:tblCellMar>
                  <w:left w:w="108" w:type="dxa"/>
                  <w:right w:w="108" w:type="dxa"/>
                </w:tblCellMar>
                <w:tblLook w:val="01E0" w:firstRow="1" w:lastRow="1" w:firstColumn="1" w:lastColumn="1" w:noHBand="0" w:noVBand="0"/>
              </w:tblPrEx>
              <w:tc>
                <w:tcPr>
                  <w:tcW w:w="2512" w:type="dxa"/>
                  <w:gridSpan w:val="2"/>
                  <w:tcBorders>
                    <w:top w:val="single" w:sz="4" w:space="0" w:color="000000"/>
                    <w:left w:val="single" w:sz="4" w:space="0" w:color="000000"/>
                    <w:bottom w:val="single" w:sz="4" w:space="0" w:color="000000"/>
                    <w:right w:val="single" w:sz="4" w:space="0" w:color="000000"/>
                  </w:tcBorders>
                </w:tcPr>
                <w:p w14:paraId="1EAD09D3" w14:textId="18A4FA15" w:rsidR="0071042E" w:rsidRPr="00507DE7" w:rsidRDefault="0071042E" w:rsidP="000141AD">
                  <w:pPr>
                    <w:contextualSpacing/>
                    <w:rPr>
                      <w:sz w:val="24"/>
                      <w:szCs w:val="24"/>
                      <w:lang w:val="lv-LV"/>
                    </w:rPr>
                  </w:pPr>
                  <w:r w:rsidRPr="00507DE7">
                    <w:rPr>
                      <w:sz w:val="24"/>
                      <w:szCs w:val="24"/>
                      <w:lang w:val="lv-LV"/>
                    </w:rPr>
                    <w:t>Regulas Nr</w:t>
                  </w:r>
                  <w:r w:rsidR="003C7CB3" w:rsidRPr="00507DE7">
                    <w:rPr>
                      <w:sz w:val="24"/>
                      <w:szCs w:val="24"/>
                      <w:lang w:val="lv-LV"/>
                    </w:rPr>
                    <w:t>.</w:t>
                  </w:r>
                  <w:r w:rsidR="003C7CB3">
                    <w:rPr>
                      <w:sz w:val="24"/>
                      <w:szCs w:val="24"/>
                      <w:lang w:val="lv-LV"/>
                    </w:rPr>
                    <w:t> </w:t>
                  </w:r>
                  <w:r w:rsidRPr="00507DE7">
                    <w:rPr>
                      <w:sz w:val="24"/>
                      <w:szCs w:val="24"/>
                      <w:lang w:val="lv-LV"/>
                    </w:rPr>
                    <w:t>651/2014 1</w:t>
                  </w:r>
                  <w:r w:rsidR="00264D5E" w:rsidRPr="00507DE7">
                    <w:rPr>
                      <w:sz w:val="24"/>
                      <w:szCs w:val="24"/>
                      <w:lang w:val="lv-LV"/>
                    </w:rPr>
                    <w:t>8</w:t>
                  </w:r>
                  <w:r w:rsidR="003C7CB3" w:rsidRPr="00507DE7">
                    <w:rPr>
                      <w:sz w:val="24"/>
                      <w:szCs w:val="24"/>
                      <w:lang w:val="lv-LV"/>
                    </w:rPr>
                    <w:t>.</w:t>
                  </w:r>
                  <w:r w:rsidR="003C7CB3">
                    <w:rPr>
                      <w:sz w:val="24"/>
                      <w:szCs w:val="24"/>
                      <w:lang w:val="lv-LV"/>
                    </w:rPr>
                    <w:t> </w:t>
                  </w:r>
                  <w:r w:rsidR="00264D5E" w:rsidRPr="00507DE7">
                    <w:rPr>
                      <w:sz w:val="24"/>
                      <w:szCs w:val="24"/>
                      <w:lang w:val="lv-LV"/>
                    </w:rPr>
                    <w:t>p</w:t>
                  </w:r>
                  <w:r w:rsidRPr="00507DE7">
                    <w:rPr>
                      <w:sz w:val="24"/>
                      <w:szCs w:val="24"/>
                      <w:lang w:val="lv-LV"/>
                    </w:rPr>
                    <w:t>ant</w:t>
                  </w:r>
                  <w:r w:rsidR="00264D5E" w:rsidRPr="00507DE7">
                    <w:rPr>
                      <w:sz w:val="24"/>
                      <w:szCs w:val="24"/>
                      <w:lang w:val="lv-LV"/>
                    </w:rPr>
                    <w:t xml:space="preserve">s </w:t>
                  </w:r>
                </w:p>
              </w:tc>
              <w:tc>
                <w:tcPr>
                  <w:tcW w:w="1843" w:type="dxa"/>
                  <w:tcBorders>
                    <w:top w:val="single" w:sz="4" w:space="0" w:color="000000"/>
                    <w:left w:val="single" w:sz="4" w:space="0" w:color="000000"/>
                    <w:bottom w:val="single" w:sz="4" w:space="0" w:color="000000"/>
                    <w:right w:val="single" w:sz="4" w:space="0" w:color="000000"/>
                  </w:tcBorders>
                </w:tcPr>
                <w:p w14:paraId="6F5EB4B9" w14:textId="447435B0" w:rsidR="0071042E" w:rsidRPr="00507DE7" w:rsidRDefault="00264D5E" w:rsidP="000141AD">
                  <w:pPr>
                    <w:contextualSpacing/>
                    <w:jc w:val="both"/>
                    <w:rPr>
                      <w:sz w:val="24"/>
                      <w:szCs w:val="24"/>
                      <w:lang w:val="lv-LV"/>
                    </w:rPr>
                  </w:pPr>
                  <w:r w:rsidRPr="00507DE7">
                    <w:rPr>
                      <w:sz w:val="24"/>
                      <w:szCs w:val="24"/>
                      <w:lang w:val="lv-LV"/>
                    </w:rPr>
                    <w:t>20</w:t>
                  </w:r>
                  <w:r w:rsidR="0071042E" w:rsidRPr="00507DE7">
                    <w:rPr>
                      <w:sz w:val="24"/>
                      <w:szCs w:val="24"/>
                      <w:lang w:val="lv-LV"/>
                    </w:rPr>
                    <w:t>.</w:t>
                  </w:r>
                  <w:r w:rsidR="0087171D">
                    <w:rPr>
                      <w:sz w:val="24"/>
                      <w:szCs w:val="24"/>
                      <w:lang w:val="lv-LV"/>
                    </w:rPr>
                    <w:t> </w:t>
                  </w:r>
                  <w:r w:rsidR="0071042E" w:rsidRPr="00507DE7">
                    <w:rPr>
                      <w:sz w:val="24"/>
                      <w:szCs w:val="24"/>
                      <w:lang w:val="lv-LV"/>
                    </w:rPr>
                    <w:t>punkts</w:t>
                  </w:r>
                </w:p>
              </w:tc>
              <w:tc>
                <w:tcPr>
                  <w:tcW w:w="2409" w:type="dxa"/>
                  <w:tcBorders>
                    <w:top w:val="single" w:sz="4" w:space="0" w:color="000000"/>
                    <w:left w:val="single" w:sz="4" w:space="0" w:color="000000"/>
                    <w:bottom w:val="single" w:sz="4" w:space="0" w:color="000000"/>
                    <w:right w:val="single" w:sz="4" w:space="0" w:color="000000"/>
                  </w:tcBorders>
                </w:tcPr>
                <w:p w14:paraId="1F480B94" w14:textId="77777777" w:rsidR="0071042E" w:rsidRPr="00605399" w:rsidRDefault="0071042E" w:rsidP="000141AD">
                  <w:pPr>
                    <w:contextualSpacing/>
                    <w:jc w:val="both"/>
                    <w:rPr>
                      <w:sz w:val="24"/>
                      <w:szCs w:val="24"/>
                      <w:lang w:val="lv-LV"/>
                    </w:rPr>
                  </w:pPr>
                  <w:r w:rsidRPr="00605399">
                    <w:rPr>
                      <w:sz w:val="24"/>
                      <w:szCs w:val="24"/>
                      <w:lang w:val="lv-LV"/>
                    </w:rPr>
                    <w:t>Ieviests pilnībā</w:t>
                  </w:r>
                </w:p>
              </w:tc>
              <w:tc>
                <w:tcPr>
                  <w:tcW w:w="2450" w:type="dxa"/>
                  <w:tcBorders>
                    <w:top w:val="single" w:sz="4" w:space="0" w:color="000000"/>
                    <w:left w:val="single" w:sz="4" w:space="0" w:color="000000"/>
                    <w:bottom w:val="single" w:sz="4" w:space="0" w:color="000000"/>
                    <w:right w:val="single" w:sz="4" w:space="0" w:color="000000"/>
                  </w:tcBorders>
                </w:tcPr>
                <w:p w14:paraId="29F0F5AC" w14:textId="77777777" w:rsidR="0071042E" w:rsidRPr="00605399" w:rsidRDefault="0071042E" w:rsidP="000141AD">
                  <w:pPr>
                    <w:contextualSpacing/>
                    <w:jc w:val="both"/>
                    <w:rPr>
                      <w:sz w:val="24"/>
                      <w:szCs w:val="24"/>
                      <w:lang w:val="lv-LV"/>
                    </w:rPr>
                  </w:pPr>
                  <w:r w:rsidRPr="00605399">
                    <w:rPr>
                      <w:sz w:val="24"/>
                      <w:szCs w:val="24"/>
                      <w:lang w:val="lv-LV"/>
                    </w:rPr>
                    <w:t>Neparedz stingrākas prasības</w:t>
                  </w:r>
                </w:p>
              </w:tc>
            </w:tr>
            <w:tr w:rsidR="00264D5E" w:rsidRPr="00507DE7" w14:paraId="5D1AF90B" w14:textId="77777777" w:rsidTr="00B96BE0">
              <w:tblPrEx>
                <w:tblCellMar>
                  <w:left w:w="108" w:type="dxa"/>
                  <w:right w:w="108" w:type="dxa"/>
                </w:tblCellMar>
                <w:tblLook w:val="01E0" w:firstRow="1" w:lastRow="1" w:firstColumn="1" w:lastColumn="1" w:noHBand="0" w:noVBand="0"/>
              </w:tblPrEx>
              <w:tc>
                <w:tcPr>
                  <w:tcW w:w="2512" w:type="dxa"/>
                  <w:gridSpan w:val="2"/>
                  <w:tcBorders>
                    <w:top w:val="single" w:sz="4" w:space="0" w:color="000000"/>
                    <w:left w:val="single" w:sz="4" w:space="0" w:color="000000"/>
                    <w:bottom w:val="single" w:sz="4" w:space="0" w:color="000000"/>
                    <w:right w:val="single" w:sz="4" w:space="0" w:color="000000"/>
                  </w:tcBorders>
                </w:tcPr>
                <w:p w14:paraId="35222BBC" w14:textId="1BA0D21E" w:rsidR="00264D5E" w:rsidRPr="00507DE7" w:rsidRDefault="00264D5E" w:rsidP="000141AD">
                  <w:pPr>
                    <w:contextualSpacing/>
                    <w:rPr>
                      <w:sz w:val="24"/>
                      <w:szCs w:val="24"/>
                      <w:lang w:val="lv-LV"/>
                    </w:rPr>
                  </w:pPr>
                  <w:r w:rsidRPr="00507DE7">
                    <w:rPr>
                      <w:sz w:val="24"/>
                      <w:szCs w:val="24"/>
                      <w:lang w:val="lv-LV"/>
                    </w:rPr>
                    <w:t>Regulas Nr</w:t>
                  </w:r>
                  <w:r w:rsidR="003C7CB3" w:rsidRPr="00507DE7">
                    <w:rPr>
                      <w:sz w:val="24"/>
                      <w:szCs w:val="24"/>
                      <w:lang w:val="lv-LV"/>
                    </w:rPr>
                    <w:t>.</w:t>
                  </w:r>
                  <w:r w:rsidR="003C7CB3">
                    <w:rPr>
                      <w:sz w:val="24"/>
                      <w:szCs w:val="24"/>
                      <w:lang w:val="lv-LV"/>
                    </w:rPr>
                    <w:t> </w:t>
                  </w:r>
                  <w:r w:rsidRPr="00507DE7">
                    <w:rPr>
                      <w:sz w:val="24"/>
                      <w:szCs w:val="24"/>
                      <w:lang w:val="lv-LV"/>
                    </w:rPr>
                    <w:t>651/2014 18</w:t>
                  </w:r>
                  <w:r w:rsidR="003C7CB3" w:rsidRPr="00507DE7">
                    <w:rPr>
                      <w:sz w:val="24"/>
                      <w:szCs w:val="24"/>
                      <w:lang w:val="lv-LV"/>
                    </w:rPr>
                    <w:t>.</w:t>
                  </w:r>
                  <w:r w:rsidR="003C7CB3">
                    <w:rPr>
                      <w:sz w:val="24"/>
                      <w:szCs w:val="24"/>
                      <w:lang w:val="lv-LV"/>
                    </w:rPr>
                    <w:t> </w:t>
                  </w:r>
                  <w:r w:rsidRPr="00507DE7">
                    <w:rPr>
                      <w:sz w:val="24"/>
                      <w:szCs w:val="24"/>
                      <w:lang w:val="lv-LV"/>
                    </w:rPr>
                    <w:t>panta 4.</w:t>
                  </w:r>
                  <w:r w:rsidR="003C7CB3">
                    <w:rPr>
                      <w:sz w:val="24"/>
                      <w:szCs w:val="24"/>
                      <w:lang w:val="lv-LV"/>
                    </w:rPr>
                    <w:t> </w:t>
                  </w:r>
                  <w:r w:rsidRPr="00507DE7">
                    <w:rPr>
                      <w:sz w:val="24"/>
                      <w:szCs w:val="24"/>
                      <w:lang w:val="lv-LV"/>
                    </w:rPr>
                    <w:t>punkts</w:t>
                  </w:r>
                </w:p>
              </w:tc>
              <w:tc>
                <w:tcPr>
                  <w:tcW w:w="1843" w:type="dxa"/>
                  <w:tcBorders>
                    <w:top w:val="single" w:sz="4" w:space="0" w:color="000000"/>
                    <w:left w:val="single" w:sz="4" w:space="0" w:color="000000"/>
                    <w:bottom w:val="single" w:sz="4" w:space="0" w:color="000000"/>
                    <w:right w:val="single" w:sz="4" w:space="0" w:color="000000"/>
                  </w:tcBorders>
                </w:tcPr>
                <w:p w14:paraId="7AF4A97A" w14:textId="393C75C2" w:rsidR="00264D5E" w:rsidRPr="00507DE7" w:rsidRDefault="00264D5E" w:rsidP="000141AD">
                  <w:pPr>
                    <w:contextualSpacing/>
                    <w:jc w:val="both"/>
                    <w:rPr>
                      <w:sz w:val="24"/>
                      <w:szCs w:val="24"/>
                      <w:lang w:val="lv-LV"/>
                    </w:rPr>
                  </w:pPr>
                  <w:r w:rsidRPr="00507DE7">
                    <w:rPr>
                      <w:sz w:val="24"/>
                      <w:szCs w:val="24"/>
                      <w:lang w:val="lv-LV"/>
                    </w:rPr>
                    <w:t>16.</w:t>
                  </w:r>
                  <w:r w:rsidR="0087171D">
                    <w:rPr>
                      <w:sz w:val="24"/>
                      <w:szCs w:val="24"/>
                      <w:lang w:val="lv-LV"/>
                    </w:rPr>
                    <w:t> </w:t>
                  </w:r>
                  <w:r w:rsidRPr="00507DE7">
                    <w:rPr>
                      <w:sz w:val="24"/>
                      <w:szCs w:val="24"/>
                      <w:lang w:val="lv-LV"/>
                    </w:rPr>
                    <w:t>punkts</w:t>
                  </w:r>
                </w:p>
              </w:tc>
              <w:tc>
                <w:tcPr>
                  <w:tcW w:w="2409" w:type="dxa"/>
                  <w:tcBorders>
                    <w:top w:val="single" w:sz="4" w:space="0" w:color="000000"/>
                    <w:left w:val="single" w:sz="4" w:space="0" w:color="000000"/>
                    <w:bottom w:val="single" w:sz="4" w:space="0" w:color="000000"/>
                    <w:right w:val="single" w:sz="4" w:space="0" w:color="000000"/>
                  </w:tcBorders>
                </w:tcPr>
                <w:p w14:paraId="1716B9E3" w14:textId="5A0F72DC" w:rsidR="00264D5E" w:rsidRPr="00605399" w:rsidRDefault="00264D5E" w:rsidP="000141AD">
                  <w:pPr>
                    <w:contextualSpacing/>
                    <w:jc w:val="both"/>
                    <w:rPr>
                      <w:sz w:val="24"/>
                      <w:szCs w:val="24"/>
                      <w:lang w:val="lv-LV"/>
                    </w:rPr>
                  </w:pPr>
                  <w:r w:rsidRPr="00605399">
                    <w:rPr>
                      <w:sz w:val="24"/>
                      <w:szCs w:val="24"/>
                      <w:lang w:val="lv-LV"/>
                    </w:rPr>
                    <w:t>Ieviests pilnībā</w:t>
                  </w:r>
                </w:p>
              </w:tc>
              <w:tc>
                <w:tcPr>
                  <w:tcW w:w="2450" w:type="dxa"/>
                  <w:tcBorders>
                    <w:top w:val="single" w:sz="4" w:space="0" w:color="000000"/>
                    <w:left w:val="single" w:sz="4" w:space="0" w:color="000000"/>
                    <w:bottom w:val="single" w:sz="4" w:space="0" w:color="000000"/>
                    <w:right w:val="single" w:sz="4" w:space="0" w:color="000000"/>
                  </w:tcBorders>
                </w:tcPr>
                <w:p w14:paraId="5DE60A03" w14:textId="269CB2E5" w:rsidR="00264D5E" w:rsidRPr="00605399" w:rsidRDefault="00264D5E" w:rsidP="000141AD">
                  <w:pPr>
                    <w:contextualSpacing/>
                    <w:jc w:val="both"/>
                    <w:rPr>
                      <w:sz w:val="24"/>
                      <w:szCs w:val="24"/>
                      <w:lang w:val="lv-LV"/>
                    </w:rPr>
                  </w:pPr>
                  <w:r w:rsidRPr="00605399">
                    <w:rPr>
                      <w:sz w:val="24"/>
                      <w:szCs w:val="24"/>
                      <w:lang w:val="lv-LV"/>
                    </w:rPr>
                    <w:t>Neparedz stingrākas prasības</w:t>
                  </w:r>
                </w:p>
              </w:tc>
            </w:tr>
            <w:tr w:rsidR="00264D5E" w:rsidRPr="00507DE7" w14:paraId="7FC52337" w14:textId="77777777" w:rsidTr="00B96BE0">
              <w:tblPrEx>
                <w:tblCellMar>
                  <w:left w:w="108" w:type="dxa"/>
                  <w:right w:w="108" w:type="dxa"/>
                </w:tblCellMar>
                <w:tblLook w:val="01E0" w:firstRow="1" w:lastRow="1" w:firstColumn="1" w:lastColumn="1" w:noHBand="0" w:noVBand="0"/>
              </w:tblPrEx>
              <w:tc>
                <w:tcPr>
                  <w:tcW w:w="2512" w:type="dxa"/>
                  <w:gridSpan w:val="2"/>
                  <w:tcBorders>
                    <w:top w:val="single" w:sz="4" w:space="0" w:color="000000"/>
                    <w:left w:val="single" w:sz="4" w:space="0" w:color="000000"/>
                    <w:bottom w:val="single" w:sz="4" w:space="0" w:color="000000"/>
                    <w:right w:val="single" w:sz="4" w:space="0" w:color="000000"/>
                  </w:tcBorders>
                </w:tcPr>
                <w:p w14:paraId="587337B5" w14:textId="7EA6DA8F" w:rsidR="00264D5E" w:rsidRPr="00507DE7" w:rsidRDefault="00264D5E" w:rsidP="000141AD">
                  <w:pPr>
                    <w:contextualSpacing/>
                    <w:rPr>
                      <w:sz w:val="24"/>
                      <w:szCs w:val="24"/>
                      <w:lang w:val="lv-LV"/>
                    </w:rPr>
                  </w:pPr>
                  <w:r w:rsidRPr="00507DE7">
                    <w:rPr>
                      <w:sz w:val="24"/>
                      <w:szCs w:val="24"/>
                      <w:lang w:val="lv-LV"/>
                    </w:rPr>
                    <w:t>Regulas Nr.</w:t>
                  </w:r>
                  <w:r w:rsidR="003C7CB3">
                    <w:rPr>
                      <w:sz w:val="24"/>
                      <w:szCs w:val="24"/>
                      <w:lang w:val="lv-LV"/>
                    </w:rPr>
                    <w:t> </w:t>
                  </w:r>
                  <w:r w:rsidRPr="00507DE7">
                    <w:rPr>
                      <w:sz w:val="24"/>
                      <w:szCs w:val="24"/>
                      <w:lang w:val="lv-LV"/>
                    </w:rPr>
                    <w:t>651/2014 21.</w:t>
                  </w:r>
                  <w:r w:rsidR="003C7CB3">
                    <w:rPr>
                      <w:sz w:val="24"/>
                      <w:szCs w:val="24"/>
                      <w:lang w:val="lv-LV"/>
                    </w:rPr>
                    <w:t> </w:t>
                  </w:r>
                  <w:r w:rsidRPr="00507DE7">
                    <w:rPr>
                      <w:sz w:val="24"/>
                      <w:szCs w:val="24"/>
                      <w:lang w:val="lv-LV"/>
                    </w:rPr>
                    <w:t>pants</w:t>
                  </w:r>
                </w:p>
              </w:tc>
              <w:tc>
                <w:tcPr>
                  <w:tcW w:w="1843" w:type="dxa"/>
                  <w:tcBorders>
                    <w:top w:val="single" w:sz="4" w:space="0" w:color="000000"/>
                    <w:left w:val="single" w:sz="4" w:space="0" w:color="000000"/>
                    <w:bottom w:val="single" w:sz="4" w:space="0" w:color="000000"/>
                    <w:right w:val="single" w:sz="4" w:space="0" w:color="000000"/>
                  </w:tcBorders>
                </w:tcPr>
                <w:p w14:paraId="572D1257" w14:textId="5F7E5EA1" w:rsidR="00264D5E" w:rsidRPr="00507DE7" w:rsidRDefault="00264D5E" w:rsidP="000141AD">
                  <w:pPr>
                    <w:contextualSpacing/>
                    <w:jc w:val="both"/>
                    <w:rPr>
                      <w:sz w:val="24"/>
                      <w:szCs w:val="24"/>
                      <w:lang w:val="lv-LV"/>
                    </w:rPr>
                  </w:pPr>
                  <w:r w:rsidRPr="00507DE7">
                    <w:rPr>
                      <w:sz w:val="24"/>
                      <w:szCs w:val="24"/>
                      <w:lang w:val="lv-LV"/>
                    </w:rPr>
                    <w:t>31.</w:t>
                  </w:r>
                  <w:r w:rsidR="0087171D">
                    <w:rPr>
                      <w:sz w:val="24"/>
                      <w:szCs w:val="24"/>
                      <w:lang w:val="lv-LV"/>
                    </w:rPr>
                    <w:t> </w:t>
                  </w:r>
                  <w:r w:rsidRPr="00507DE7">
                    <w:rPr>
                      <w:sz w:val="24"/>
                      <w:szCs w:val="24"/>
                      <w:lang w:val="lv-LV"/>
                    </w:rPr>
                    <w:t>punkts</w:t>
                  </w:r>
                </w:p>
              </w:tc>
              <w:tc>
                <w:tcPr>
                  <w:tcW w:w="2409" w:type="dxa"/>
                  <w:tcBorders>
                    <w:top w:val="single" w:sz="4" w:space="0" w:color="000000"/>
                    <w:left w:val="single" w:sz="4" w:space="0" w:color="000000"/>
                    <w:bottom w:val="single" w:sz="4" w:space="0" w:color="000000"/>
                    <w:right w:val="single" w:sz="4" w:space="0" w:color="000000"/>
                  </w:tcBorders>
                </w:tcPr>
                <w:p w14:paraId="7725698C" w14:textId="3147D62C" w:rsidR="00264D5E" w:rsidRPr="00605399" w:rsidRDefault="00264D5E" w:rsidP="000141AD">
                  <w:pPr>
                    <w:contextualSpacing/>
                    <w:jc w:val="both"/>
                    <w:rPr>
                      <w:sz w:val="24"/>
                      <w:szCs w:val="24"/>
                      <w:lang w:val="lv-LV"/>
                    </w:rPr>
                  </w:pPr>
                  <w:r w:rsidRPr="00605399">
                    <w:rPr>
                      <w:sz w:val="24"/>
                      <w:szCs w:val="24"/>
                      <w:lang w:val="lv-LV"/>
                    </w:rPr>
                    <w:t>Ieviests pilnībā</w:t>
                  </w:r>
                </w:p>
              </w:tc>
              <w:tc>
                <w:tcPr>
                  <w:tcW w:w="2450" w:type="dxa"/>
                  <w:tcBorders>
                    <w:top w:val="single" w:sz="4" w:space="0" w:color="000000"/>
                    <w:left w:val="single" w:sz="4" w:space="0" w:color="000000"/>
                    <w:bottom w:val="single" w:sz="4" w:space="0" w:color="000000"/>
                    <w:right w:val="single" w:sz="4" w:space="0" w:color="000000"/>
                  </w:tcBorders>
                </w:tcPr>
                <w:p w14:paraId="714F06CF" w14:textId="16F95E43" w:rsidR="00264D5E" w:rsidRPr="00605399" w:rsidRDefault="00264D5E" w:rsidP="000141AD">
                  <w:pPr>
                    <w:contextualSpacing/>
                    <w:jc w:val="both"/>
                    <w:rPr>
                      <w:sz w:val="24"/>
                      <w:szCs w:val="24"/>
                      <w:lang w:val="lv-LV"/>
                    </w:rPr>
                  </w:pPr>
                  <w:r w:rsidRPr="00605399">
                    <w:rPr>
                      <w:sz w:val="24"/>
                      <w:szCs w:val="24"/>
                      <w:lang w:val="lv-LV"/>
                    </w:rPr>
                    <w:t>Neparedz stingrākas prasības</w:t>
                  </w:r>
                </w:p>
              </w:tc>
            </w:tr>
            <w:tr w:rsidR="00264D5E" w:rsidRPr="00507DE7" w14:paraId="473E95B1" w14:textId="77777777" w:rsidTr="00B96BE0">
              <w:tblPrEx>
                <w:tblCellMar>
                  <w:left w:w="108" w:type="dxa"/>
                  <w:right w:w="108" w:type="dxa"/>
                </w:tblCellMar>
                <w:tblLook w:val="01E0" w:firstRow="1" w:lastRow="1" w:firstColumn="1" w:lastColumn="1" w:noHBand="0" w:noVBand="0"/>
              </w:tblPrEx>
              <w:tc>
                <w:tcPr>
                  <w:tcW w:w="2512" w:type="dxa"/>
                  <w:gridSpan w:val="2"/>
                  <w:tcBorders>
                    <w:top w:val="single" w:sz="4" w:space="0" w:color="000000"/>
                    <w:left w:val="single" w:sz="4" w:space="0" w:color="000000"/>
                    <w:bottom w:val="single" w:sz="4" w:space="0" w:color="000000"/>
                    <w:right w:val="single" w:sz="4" w:space="0" w:color="000000"/>
                  </w:tcBorders>
                </w:tcPr>
                <w:p w14:paraId="369844CE" w14:textId="74BEDD14" w:rsidR="004F1CF3" w:rsidRPr="004F1CF3" w:rsidRDefault="00264D5E" w:rsidP="004F1CF3">
                  <w:pPr>
                    <w:contextualSpacing/>
                    <w:rPr>
                      <w:sz w:val="24"/>
                      <w:szCs w:val="24"/>
                      <w:lang w:val="lv-LV"/>
                    </w:rPr>
                  </w:pPr>
                  <w:r w:rsidRPr="00507DE7">
                    <w:rPr>
                      <w:sz w:val="24"/>
                      <w:szCs w:val="24"/>
                      <w:lang w:val="lv-LV"/>
                    </w:rPr>
                    <w:lastRenderedPageBreak/>
                    <w:t>Regulas Nr.</w:t>
                  </w:r>
                  <w:r w:rsidR="003C7CB3">
                    <w:rPr>
                      <w:sz w:val="24"/>
                      <w:szCs w:val="24"/>
                      <w:lang w:val="lv-LV"/>
                    </w:rPr>
                    <w:t> </w:t>
                  </w:r>
                  <w:r w:rsidRPr="00507DE7">
                    <w:rPr>
                      <w:sz w:val="24"/>
                      <w:szCs w:val="24"/>
                      <w:lang w:val="lv-LV"/>
                    </w:rPr>
                    <w:t>1301/2013 3.</w:t>
                  </w:r>
                  <w:r w:rsidR="003C7CB3">
                    <w:rPr>
                      <w:sz w:val="24"/>
                      <w:szCs w:val="24"/>
                      <w:lang w:val="lv-LV"/>
                    </w:rPr>
                    <w:t> </w:t>
                  </w:r>
                  <w:r w:rsidRPr="00507DE7">
                    <w:rPr>
                      <w:sz w:val="24"/>
                      <w:szCs w:val="24"/>
                      <w:lang w:val="lv-LV"/>
                    </w:rPr>
                    <w:t>panta 3.</w:t>
                  </w:r>
                  <w:r w:rsidR="003C7CB3">
                    <w:rPr>
                      <w:sz w:val="24"/>
                      <w:szCs w:val="24"/>
                      <w:lang w:val="lv-LV"/>
                    </w:rPr>
                    <w:t> </w:t>
                  </w:r>
                  <w:r w:rsidRPr="00507DE7">
                    <w:rPr>
                      <w:sz w:val="24"/>
                      <w:szCs w:val="24"/>
                      <w:lang w:val="lv-LV"/>
                    </w:rPr>
                    <w:t>punkts</w:t>
                  </w:r>
                  <w:bookmarkStart w:id="4" w:name="_GoBack"/>
                  <w:bookmarkEnd w:id="4"/>
                </w:p>
              </w:tc>
              <w:tc>
                <w:tcPr>
                  <w:tcW w:w="1843" w:type="dxa"/>
                  <w:tcBorders>
                    <w:top w:val="single" w:sz="4" w:space="0" w:color="000000"/>
                    <w:left w:val="single" w:sz="4" w:space="0" w:color="000000"/>
                    <w:bottom w:val="single" w:sz="4" w:space="0" w:color="000000"/>
                    <w:right w:val="single" w:sz="4" w:space="0" w:color="000000"/>
                  </w:tcBorders>
                </w:tcPr>
                <w:p w14:paraId="0A9455FA" w14:textId="0E012773" w:rsidR="00264D5E" w:rsidRPr="00507DE7" w:rsidRDefault="00264D5E" w:rsidP="000141AD">
                  <w:pPr>
                    <w:contextualSpacing/>
                    <w:jc w:val="both"/>
                    <w:rPr>
                      <w:sz w:val="24"/>
                      <w:szCs w:val="24"/>
                      <w:lang w:val="lv-LV"/>
                    </w:rPr>
                  </w:pPr>
                  <w:r w:rsidRPr="00507DE7">
                    <w:rPr>
                      <w:sz w:val="24"/>
                      <w:szCs w:val="24"/>
                      <w:lang w:val="lv-LV"/>
                    </w:rPr>
                    <w:t>13.</w:t>
                  </w:r>
                  <w:r w:rsidR="0087171D">
                    <w:rPr>
                      <w:sz w:val="24"/>
                      <w:szCs w:val="24"/>
                      <w:lang w:val="lv-LV"/>
                    </w:rPr>
                    <w:t> </w:t>
                  </w:r>
                  <w:r w:rsidRPr="00507DE7">
                    <w:rPr>
                      <w:sz w:val="24"/>
                      <w:szCs w:val="24"/>
                      <w:lang w:val="lv-LV"/>
                    </w:rPr>
                    <w:t>punkts</w:t>
                  </w:r>
                </w:p>
              </w:tc>
              <w:tc>
                <w:tcPr>
                  <w:tcW w:w="2409" w:type="dxa"/>
                  <w:tcBorders>
                    <w:top w:val="single" w:sz="4" w:space="0" w:color="000000"/>
                    <w:left w:val="single" w:sz="4" w:space="0" w:color="000000"/>
                    <w:bottom w:val="single" w:sz="4" w:space="0" w:color="000000"/>
                    <w:right w:val="single" w:sz="4" w:space="0" w:color="000000"/>
                  </w:tcBorders>
                </w:tcPr>
                <w:p w14:paraId="77B301B4" w14:textId="76F22F79" w:rsidR="00264D5E" w:rsidRPr="00605399" w:rsidRDefault="00264D5E" w:rsidP="000141AD">
                  <w:pPr>
                    <w:contextualSpacing/>
                    <w:jc w:val="both"/>
                    <w:rPr>
                      <w:sz w:val="24"/>
                      <w:szCs w:val="24"/>
                      <w:lang w:val="lv-LV"/>
                    </w:rPr>
                  </w:pPr>
                  <w:r w:rsidRPr="00605399">
                    <w:rPr>
                      <w:sz w:val="24"/>
                      <w:szCs w:val="24"/>
                      <w:lang w:val="lv-LV"/>
                    </w:rPr>
                    <w:t>Ieviests pilnībā</w:t>
                  </w:r>
                </w:p>
              </w:tc>
              <w:tc>
                <w:tcPr>
                  <w:tcW w:w="2450" w:type="dxa"/>
                  <w:tcBorders>
                    <w:top w:val="single" w:sz="4" w:space="0" w:color="000000"/>
                    <w:left w:val="single" w:sz="4" w:space="0" w:color="000000"/>
                    <w:bottom w:val="single" w:sz="4" w:space="0" w:color="000000"/>
                    <w:right w:val="single" w:sz="4" w:space="0" w:color="000000"/>
                  </w:tcBorders>
                </w:tcPr>
                <w:p w14:paraId="295544D6" w14:textId="661FC58E" w:rsidR="00264D5E" w:rsidRPr="003573B3" w:rsidRDefault="00264D5E" w:rsidP="000141AD">
                  <w:pPr>
                    <w:contextualSpacing/>
                    <w:jc w:val="both"/>
                    <w:rPr>
                      <w:sz w:val="24"/>
                      <w:szCs w:val="24"/>
                      <w:lang w:val="lv-LV"/>
                    </w:rPr>
                  </w:pPr>
                  <w:r w:rsidRPr="003573B3">
                    <w:rPr>
                      <w:sz w:val="24"/>
                      <w:szCs w:val="24"/>
                      <w:lang w:val="lv-LV"/>
                    </w:rPr>
                    <w:t>Neparedz stingrākas prasības</w:t>
                  </w:r>
                </w:p>
              </w:tc>
            </w:tr>
            <w:tr w:rsidR="0071042E" w:rsidRPr="00507DE7" w14:paraId="26A4EEDA" w14:textId="77777777" w:rsidTr="00AD2008">
              <w:tblPrEx>
                <w:tblCellMar>
                  <w:left w:w="108" w:type="dxa"/>
                  <w:right w:w="108" w:type="dxa"/>
                </w:tblCellMar>
                <w:tblLook w:val="01E0" w:firstRow="1" w:lastRow="1" w:firstColumn="1" w:lastColumn="1" w:noHBand="0" w:noVBand="0"/>
              </w:tblPrEx>
              <w:tc>
                <w:tcPr>
                  <w:tcW w:w="4355" w:type="dxa"/>
                  <w:gridSpan w:val="3"/>
                  <w:tcBorders>
                    <w:top w:val="single" w:sz="4" w:space="0" w:color="000000"/>
                    <w:left w:val="single" w:sz="4" w:space="0" w:color="000000"/>
                    <w:bottom w:val="single" w:sz="4" w:space="0" w:color="000000"/>
                    <w:right w:val="single" w:sz="4" w:space="0" w:color="000000"/>
                  </w:tcBorders>
                </w:tcPr>
                <w:p w14:paraId="506EB048" w14:textId="77777777" w:rsidR="0071042E" w:rsidRPr="00507DE7" w:rsidRDefault="0071042E" w:rsidP="000141AD">
                  <w:pPr>
                    <w:contextualSpacing/>
                    <w:jc w:val="both"/>
                    <w:rPr>
                      <w:sz w:val="24"/>
                      <w:szCs w:val="24"/>
                      <w:lang w:val="lv-LV"/>
                    </w:rPr>
                  </w:pPr>
                  <w:r w:rsidRPr="00507DE7">
                    <w:rPr>
                      <w:sz w:val="24"/>
                      <w:szCs w:val="24"/>
                      <w:lang w:val="lv-LV"/>
                    </w:rPr>
                    <w:t>Kā ir izmantota ES tiesību aktā paredzētā rīcības brīvība dalībvalstij pārņemt vai ieviest noteiktas ES tiesību akta normas?</w:t>
                  </w:r>
                </w:p>
              </w:tc>
              <w:tc>
                <w:tcPr>
                  <w:tcW w:w="4859" w:type="dxa"/>
                  <w:gridSpan w:val="2"/>
                  <w:tcBorders>
                    <w:top w:val="single" w:sz="4" w:space="0" w:color="000000"/>
                    <w:left w:val="single" w:sz="4" w:space="0" w:color="000000"/>
                    <w:bottom w:val="single" w:sz="4" w:space="0" w:color="000000"/>
                    <w:right w:val="single" w:sz="4" w:space="0" w:color="000000"/>
                  </w:tcBorders>
                </w:tcPr>
                <w:p w14:paraId="416DA6CD" w14:textId="23E25106" w:rsidR="0071042E" w:rsidRPr="00507DE7" w:rsidRDefault="003C7CB3" w:rsidP="000141AD">
                  <w:pPr>
                    <w:contextualSpacing/>
                    <w:jc w:val="both"/>
                    <w:rPr>
                      <w:sz w:val="24"/>
                      <w:szCs w:val="24"/>
                      <w:lang w:val="lv-LV"/>
                    </w:rPr>
                  </w:pPr>
                  <w:r>
                    <w:rPr>
                      <w:sz w:val="24"/>
                      <w:szCs w:val="24"/>
                      <w:lang w:val="lv-LV"/>
                    </w:rPr>
                    <w:t>P</w:t>
                  </w:r>
                  <w:r w:rsidR="0071042E" w:rsidRPr="00507DE7">
                    <w:rPr>
                      <w:sz w:val="24"/>
                      <w:szCs w:val="24"/>
                      <w:lang w:val="lv-LV"/>
                    </w:rPr>
                    <w:t>rojekts šo jomu neskar.</w:t>
                  </w:r>
                </w:p>
              </w:tc>
            </w:tr>
            <w:tr w:rsidR="0071042E" w:rsidRPr="00507DE7" w14:paraId="0868E481" w14:textId="77777777" w:rsidTr="00AD2008">
              <w:tblPrEx>
                <w:tblCellMar>
                  <w:left w:w="108" w:type="dxa"/>
                  <w:right w:w="108" w:type="dxa"/>
                </w:tblCellMar>
                <w:tblLook w:val="01E0" w:firstRow="1" w:lastRow="1" w:firstColumn="1" w:lastColumn="1" w:noHBand="0" w:noVBand="0"/>
              </w:tblPrEx>
              <w:tc>
                <w:tcPr>
                  <w:tcW w:w="4355" w:type="dxa"/>
                  <w:gridSpan w:val="3"/>
                  <w:tcBorders>
                    <w:top w:val="single" w:sz="4" w:space="0" w:color="000000"/>
                    <w:left w:val="single" w:sz="4" w:space="0" w:color="000000"/>
                    <w:bottom w:val="single" w:sz="4" w:space="0" w:color="000000"/>
                    <w:right w:val="single" w:sz="4" w:space="0" w:color="000000"/>
                  </w:tcBorders>
                </w:tcPr>
                <w:p w14:paraId="206BD5A6" w14:textId="77777777" w:rsidR="0071042E" w:rsidRPr="00507DE7" w:rsidRDefault="0071042E" w:rsidP="000141AD">
                  <w:pPr>
                    <w:contextualSpacing/>
                    <w:jc w:val="both"/>
                    <w:rPr>
                      <w:i/>
                      <w:sz w:val="24"/>
                      <w:szCs w:val="24"/>
                      <w:lang w:val="lv-LV"/>
                    </w:rPr>
                  </w:pPr>
                  <w:r w:rsidRPr="00507DE7">
                    <w:rPr>
                      <w:sz w:val="24"/>
                      <w:szCs w:val="24"/>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859" w:type="dxa"/>
                  <w:gridSpan w:val="2"/>
                  <w:tcBorders>
                    <w:top w:val="single" w:sz="4" w:space="0" w:color="000000"/>
                    <w:left w:val="single" w:sz="4" w:space="0" w:color="000000"/>
                    <w:bottom w:val="single" w:sz="4" w:space="0" w:color="000000"/>
                    <w:right w:val="single" w:sz="4" w:space="0" w:color="000000"/>
                  </w:tcBorders>
                </w:tcPr>
                <w:p w14:paraId="63EFFA79" w14:textId="484B3D83" w:rsidR="0071042E" w:rsidRPr="00507DE7" w:rsidRDefault="003C7CB3" w:rsidP="000141AD">
                  <w:pPr>
                    <w:contextualSpacing/>
                    <w:jc w:val="both"/>
                    <w:rPr>
                      <w:sz w:val="24"/>
                      <w:szCs w:val="24"/>
                      <w:lang w:val="lv-LV"/>
                    </w:rPr>
                  </w:pPr>
                  <w:r>
                    <w:rPr>
                      <w:sz w:val="24"/>
                      <w:szCs w:val="24"/>
                      <w:lang w:val="lv-LV"/>
                    </w:rPr>
                    <w:t>P</w:t>
                  </w:r>
                  <w:r w:rsidR="0071042E" w:rsidRPr="00507DE7">
                    <w:rPr>
                      <w:sz w:val="24"/>
                      <w:szCs w:val="24"/>
                      <w:lang w:val="lv-LV"/>
                    </w:rPr>
                    <w:t>rojekts šo jomu neskar.</w:t>
                  </w:r>
                </w:p>
              </w:tc>
            </w:tr>
            <w:tr w:rsidR="0071042E" w:rsidRPr="00507DE7" w14:paraId="77778E05" w14:textId="77777777" w:rsidTr="00AD2008">
              <w:tblPrEx>
                <w:tblCellMar>
                  <w:left w:w="108" w:type="dxa"/>
                  <w:right w:w="108" w:type="dxa"/>
                </w:tblCellMar>
                <w:tblLook w:val="01E0" w:firstRow="1" w:lastRow="1" w:firstColumn="1" w:lastColumn="1" w:noHBand="0" w:noVBand="0"/>
              </w:tblPrEx>
              <w:tc>
                <w:tcPr>
                  <w:tcW w:w="4355" w:type="dxa"/>
                  <w:gridSpan w:val="3"/>
                  <w:tcBorders>
                    <w:top w:val="single" w:sz="4" w:space="0" w:color="000000"/>
                    <w:left w:val="single" w:sz="4" w:space="0" w:color="000000"/>
                    <w:bottom w:val="single" w:sz="4" w:space="0" w:color="000000"/>
                    <w:right w:val="single" w:sz="4" w:space="0" w:color="000000"/>
                  </w:tcBorders>
                </w:tcPr>
                <w:p w14:paraId="3B12D599" w14:textId="77777777" w:rsidR="0071042E" w:rsidRPr="00507DE7" w:rsidRDefault="0071042E" w:rsidP="000141AD">
                  <w:pPr>
                    <w:contextualSpacing/>
                    <w:jc w:val="both"/>
                    <w:rPr>
                      <w:i/>
                      <w:sz w:val="24"/>
                      <w:szCs w:val="24"/>
                      <w:lang w:val="lv-LV"/>
                    </w:rPr>
                  </w:pPr>
                  <w:r w:rsidRPr="00507DE7">
                    <w:rPr>
                      <w:sz w:val="24"/>
                      <w:szCs w:val="24"/>
                      <w:lang w:val="lv-LV"/>
                    </w:rPr>
                    <w:t>Cita informācija</w:t>
                  </w:r>
                </w:p>
              </w:tc>
              <w:tc>
                <w:tcPr>
                  <w:tcW w:w="4859" w:type="dxa"/>
                  <w:gridSpan w:val="2"/>
                  <w:tcBorders>
                    <w:top w:val="single" w:sz="4" w:space="0" w:color="000000"/>
                    <w:left w:val="single" w:sz="4" w:space="0" w:color="000000"/>
                    <w:bottom w:val="single" w:sz="4" w:space="0" w:color="000000"/>
                    <w:right w:val="single" w:sz="4" w:space="0" w:color="000000"/>
                  </w:tcBorders>
                </w:tcPr>
                <w:p w14:paraId="5C9912EA" w14:textId="77777777" w:rsidR="0071042E" w:rsidRPr="00507DE7" w:rsidRDefault="0071042E" w:rsidP="000141AD">
                  <w:pPr>
                    <w:contextualSpacing/>
                    <w:jc w:val="both"/>
                    <w:rPr>
                      <w:sz w:val="24"/>
                      <w:szCs w:val="24"/>
                      <w:lang w:val="lv-LV"/>
                    </w:rPr>
                  </w:pPr>
                  <w:r w:rsidRPr="00507DE7">
                    <w:rPr>
                      <w:sz w:val="24"/>
                      <w:szCs w:val="24"/>
                      <w:lang w:val="lv-LV"/>
                    </w:rPr>
                    <w:t>Nav.</w:t>
                  </w:r>
                </w:p>
              </w:tc>
            </w:tr>
          </w:tbl>
          <w:p w14:paraId="6901DE8D" w14:textId="728453D0" w:rsidR="00844176" w:rsidRPr="00507DE7" w:rsidRDefault="00844176" w:rsidP="000141AD">
            <w:pPr>
              <w:contextualSpacing/>
              <w:rPr>
                <w:rFonts w:eastAsia="Times New Roman"/>
                <w:sz w:val="24"/>
                <w:szCs w:val="24"/>
                <w:lang w:val="lv-LV" w:eastAsia="lv-LV"/>
              </w:rPr>
            </w:pPr>
          </w:p>
        </w:tc>
      </w:tr>
    </w:tbl>
    <w:p w14:paraId="43B2E7F0" w14:textId="25774D2A" w:rsidR="00E0333C" w:rsidRDefault="00E0333C" w:rsidP="000141AD">
      <w:pPr>
        <w:contextualSpacing/>
        <w:rPr>
          <w:rFonts w:eastAsia="Times New Roman"/>
          <w:color w:val="000000"/>
          <w:sz w:val="24"/>
          <w:szCs w:val="24"/>
          <w:lang w:val="lv-LV"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126"/>
        <w:gridCol w:w="6661"/>
      </w:tblGrid>
      <w:tr w:rsidR="00D2343F" w:rsidRPr="00D2343F" w14:paraId="5C2138F3" w14:textId="77777777" w:rsidTr="00B96BE0">
        <w:trPr>
          <w:tblCellSpacing w:w="15" w:type="dxa"/>
        </w:trPr>
        <w:tc>
          <w:tcPr>
            <w:tcW w:w="9146" w:type="dxa"/>
            <w:gridSpan w:val="3"/>
            <w:tcBorders>
              <w:top w:val="outset" w:sz="6" w:space="0" w:color="auto"/>
              <w:left w:val="outset" w:sz="6" w:space="0" w:color="auto"/>
              <w:bottom w:val="outset" w:sz="6" w:space="0" w:color="auto"/>
              <w:right w:val="outset" w:sz="6" w:space="0" w:color="auto"/>
            </w:tcBorders>
            <w:vAlign w:val="center"/>
            <w:hideMark/>
          </w:tcPr>
          <w:p w14:paraId="31426B75" w14:textId="77777777" w:rsidR="00B96BE0" w:rsidRPr="00D2343F" w:rsidRDefault="00B96BE0">
            <w:pPr>
              <w:rPr>
                <w:rFonts w:eastAsia="Times New Roman"/>
                <w:b/>
                <w:bCs/>
                <w:iCs/>
                <w:sz w:val="24"/>
                <w:szCs w:val="24"/>
                <w:lang w:val="lv-LV" w:eastAsia="lv-LV"/>
              </w:rPr>
            </w:pPr>
            <w:r w:rsidRPr="00D2343F">
              <w:rPr>
                <w:rFonts w:eastAsia="Times New Roman"/>
                <w:b/>
                <w:bCs/>
                <w:iCs/>
                <w:sz w:val="24"/>
                <w:szCs w:val="24"/>
                <w:lang w:val="lv-LV" w:eastAsia="lv-LV"/>
              </w:rPr>
              <w:t>VI. Sabiedrības līdzdalība un komunikācijas aktivitātes</w:t>
            </w:r>
          </w:p>
        </w:tc>
      </w:tr>
      <w:tr w:rsidR="00D2343F" w:rsidRPr="00D2343F" w14:paraId="6966E1C0" w14:textId="77777777" w:rsidTr="00B96BE0">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0192AD21" w14:textId="77777777" w:rsidR="00B96BE0" w:rsidRPr="00D2343F" w:rsidRDefault="00B96BE0">
            <w:pPr>
              <w:rPr>
                <w:rFonts w:eastAsia="Times New Roman"/>
                <w:iCs/>
                <w:sz w:val="24"/>
                <w:szCs w:val="24"/>
                <w:lang w:val="lv-LV" w:eastAsia="lv-LV"/>
              </w:rPr>
            </w:pPr>
            <w:r w:rsidRPr="00D2343F">
              <w:rPr>
                <w:rFonts w:eastAsia="Times New Roman"/>
                <w:iCs/>
                <w:sz w:val="24"/>
                <w:szCs w:val="24"/>
                <w:lang w:val="lv-LV" w:eastAsia="lv-LV"/>
              </w:rPr>
              <w:t>1.</w:t>
            </w:r>
          </w:p>
        </w:tc>
        <w:tc>
          <w:tcPr>
            <w:tcW w:w="2096" w:type="dxa"/>
            <w:tcBorders>
              <w:top w:val="outset" w:sz="6" w:space="0" w:color="auto"/>
              <w:left w:val="outset" w:sz="6" w:space="0" w:color="auto"/>
              <w:bottom w:val="outset" w:sz="6" w:space="0" w:color="auto"/>
              <w:right w:val="outset" w:sz="6" w:space="0" w:color="auto"/>
            </w:tcBorders>
            <w:hideMark/>
          </w:tcPr>
          <w:p w14:paraId="73087F36" w14:textId="77777777" w:rsidR="00B96BE0" w:rsidRPr="00D2343F" w:rsidRDefault="00B96BE0">
            <w:pPr>
              <w:rPr>
                <w:rFonts w:eastAsia="Times New Roman"/>
                <w:iCs/>
                <w:sz w:val="24"/>
                <w:szCs w:val="24"/>
                <w:lang w:val="lv-LV" w:eastAsia="lv-LV"/>
              </w:rPr>
            </w:pPr>
            <w:r w:rsidRPr="00D2343F">
              <w:rPr>
                <w:rFonts w:eastAsia="Times New Roman"/>
                <w:iCs/>
                <w:sz w:val="24"/>
                <w:szCs w:val="24"/>
                <w:lang w:val="lv-LV" w:eastAsia="lv-LV"/>
              </w:rPr>
              <w:t>Plānotās sabiedrības līdzdalības un komunikācijas aktivitātes saistībā ar projektu</w:t>
            </w:r>
          </w:p>
        </w:tc>
        <w:tc>
          <w:tcPr>
            <w:tcW w:w="6617" w:type="dxa"/>
            <w:tcBorders>
              <w:top w:val="outset" w:sz="6" w:space="0" w:color="auto"/>
              <w:left w:val="outset" w:sz="6" w:space="0" w:color="auto"/>
              <w:bottom w:val="outset" w:sz="6" w:space="0" w:color="auto"/>
              <w:right w:val="outset" w:sz="6" w:space="0" w:color="auto"/>
            </w:tcBorders>
            <w:hideMark/>
          </w:tcPr>
          <w:p w14:paraId="32DD363B" w14:textId="2A5B9261" w:rsidR="00A6582E" w:rsidRPr="0080421C" w:rsidRDefault="00B96BE0">
            <w:pPr>
              <w:rPr>
                <w:rFonts w:eastAsia="Times New Roman"/>
                <w:iCs/>
                <w:sz w:val="24"/>
                <w:szCs w:val="24"/>
                <w:lang w:val="lv-LV" w:eastAsia="lv-LV"/>
              </w:rPr>
            </w:pPr>
            <w:r w:rsidRPr="0080421C">
              <w:rPr>
                <w:rFonts w:eastAsia="Times New Roman"/>
                <w:iCs/>
                <w:sz w:val="24"/>
                <w:szCs w:val="24"/>
                <w:lang w:val="lv-LV" w:eastAsia="lv-LV"/>
              </w:rPr>
              <w:t>Noteikumu projekts 2019.</w:t>
            </w:r>
            <w:r w:rsidR="002A41B9" w:rsidRPr="0080421C">
              <w:rPr>
                <w:rFonts w:eastAsia="Times New Roman"/>
                <w:iCs/>
                <w:sz w:val="24"/>
                <w:szCs w:val="24"/>
                <w:lang w:val="lv-LV" w:eastAsia="lv-LV"/>
              </w:rPr>
              <w:t> </w:t>
            </w:r>
            <w:r w:rsidRPr="0080421C">
              <w:rPr>
                <w:rFonts w:eastAsia="Times New Roman"/>
                <w:iCs/>
                <w:sz w:val="24"/>
                <w:szCs w:val="24"/>
                <w:lang w:val="lv-LV" w:eastAsia="lv-LV"/>
              </w:rPr>
              <w:t>gada 30.</w:t>
            </w:r>
            <w:r w:rsidR="002A41B9" w:rsidRPr="0080421C">
              <w:rPr>
                <w:rFonts w:eastAsia="Times New Roman"/>
                <w:iCs/>
                <w:sz w:val="24"/>
                <w:szCs w:val="24"/>
                <w:lang w:val="lv-LV" w:eastAsia="lv-LV"/>
              </w:rPr>
              <w:t> </w:t>
            </w:r>
            <w:r w:rsidRPr="0080421C">
              <w:rPr>
                <w:rFonts w:eastAsia="Times New Roman"/>
                <w:iCs/>
                <w:sz w:val="24"/>
                <w:szCs w:val="24"/>
                <w:lang w:val="lv-LV" w:eastAsia="lv-LV"/>
              </w:rPr>
              <w:t xml:space="preserve">aprīlī ievietots Ekonomikas ministrijas </w:t>
            </w:r>
            <w:r w:rsidR="00E60485" w:rsidRPr="0080421C">
              <w:rPr>
                <w:rFonts w:eastAsia="Times New Roman"/>
                <w:iCs/>
                <w:sz w:val="24"/>
                <w:szCs w:val="24"/>
                <w:lang w:val="lv-LV" w:eastAsia="lv-LV"/>
              </w:rPr>
              <w:t>tīmekļa vietnē</w:t>
            </w:r>
            <w:r w:rsidR="00FD2890" w:rsidRPr="0080421C">
              <w:rPr>
                <w:rFonts w:eastAsia="Times New Roman"/>
                <w:iCs/>
                <w:sz w:val="24"/>
                <w:szCs w:val="24"/>
                <w:lang w:val="lv-LV" w:eastAsia="lv-LV"/>
              </w:rPr>
              <w:t>:</w:t>
            </w:r>
            <w:r w:rsidRPr="0080421C">
              <w:rPr>
                <w:rFonts w:eastAsia="Times New Roman"/>
                <w:iCs/>
                <w:sz w:val="24"/>
                <w:szCs w:val="24"/>
                <w:lang w:val="lv-LV" w:eastAsia="lv-LV"/>
              </w:rPr>
              <w:t xml:space="preserve"> </w:t>
            </w:r>
            <w:hyperlink r:id="rId8" w:history="1">
              <w:r w:rsidRPr="0080421C">
                <w:rPr>
                  <w:rStyle w:val="Hyperlink"/>
                  <w:rFonts w:eastAsia="Times New Roman"/>
                  <w:iCs/>
                  <w:color w:val="auto"/>
                  <w:sz w:val="24"/>
                  <w:szCs w:val="24"/>
                  <w:lang w:val="lv-LV" w:eastAsia="lv-LV"/>
                </w:rPr>
                <w:t>https://em.gov.lv/lv/par_ministriju/sabiedribas_lidzdaliba/diskusiju_dokumenti/</w:t>
              </w:r>
            </w:hyperlink>
            <w:r w:rsidR="00E60485" w:rsidRPr="0080421C">
              <w:rPr>
                <w:rFonts w:eastAsia="Times New Roman"/>
                <w:iCs/>
                <w:sz w:val="24"/>
                <w:szCs w:val="24"/>
                <w:lang w:val="lv-LV" w:eastAsia="lv-LV"/>
              </w:rPr>
              <w:t xml:space="preserve"> un</w:t>
            </w:r>
          </w:p>
          <w:p w14:paraId="2124CF13" w14:textId="77777777" w:rsidR="00E60485" w:rsidRPr="0080421C" w:rsidRDefault="00E60485" w:rsidP="00E60485">
            <w:pPr>
              <w:rPr>
                <w:rFonts w:eastAsia="Times New Roman"/>
                <w:iCs/>
                <w:sz w:val="24"/>
                <w:szCs w:val="24"/>
                <w:lang w:val="lv-LV" w:eastAsia="lv-LV"/>
              </w:rPr>
            </w:pPr>
            <w:r w:rsidRPr="0080421C">
              <w:rPr>
                <w:rFonts w:eastAsia="Times New Roman"/>
                <w:iCs/>
                <w:sz w:val="24"/>
                <w:szCs w:val="24"/>
                <w:lang w:val="lv-LV" w:eastAsia="lv-LV"/>
              </w:rPr>
              <w:t>Ministru kabineta tīmekļa vietnē:</w:t>
            </w:r>
          </w:p>
          <w:p w14:paraId="7378A53F" w14:textId="1C28D1F6" w:rsidR="000354AB" w:rsidRPr="0080421C" w:rsidRDefault="00E50BE5" w:rsidP="00E60485">
            <w:pPr>
              <w:rPr>
                <w:rFonts w:eastAsia="Times New Roman"/>
                <w:iCs/>
                <w:sz w:val="24"/>
                <w:szCs w:val="24"/>
                <w:lang w:val="lv-LV" w:eastAsia="lv-LV"/>
              </w:rPr>
            </w:pPr>
            <w:hyperlink r:id="rId9" w:history="1">
              <w:r w:rsidR="00E60485" w:rsidRPr="0080421C">
                <w:rPr>
                  <w:rStyle w:val="Hyperlink"/>
                  <w:color w:val="auto"/>
                  <w:sz w:val="24"/>
                  <w:lang w:val="lv-LV"/>
                </w:rPr>
                <w:t>https://www.mk.gov.lv/content/ministru-kabineta-diskusiju-dokumenti</w:t>
              </w:r>
            </w:hyperlink>
          </w:p>
          <w:p w14:paraId="28052B9D" w14:textId="160B5B79" w:rsidR="00B96BE0" w:rsidRPr="0080421C" w:rsidRDefault="00B96BE0">
            <w:pPr>
              <w:rPr>
                <w:rFonts w:eastAsia="Times New Roman"/>
                <w:iCs/>
                <w:sz w:val="24"/>
                <w:szCs w:val="24"/>
                <w:lang w:val="lv-LV" w:eastAsia="lv-LV"/>
              </w:rPr>
            </w:pPr>
            <w:r w:rsidRPr="0080421C">
              <w:rPr>
                <w:rFonts w:eastAsia="Times New Roman"/>
                <w:iCs/>
                <w:sz w:val="24"/>
                <w:szCs w:val="24"/>
                <w:lang w:val="lv-LV" w:eastAsia="lv-LV"/>
              </w:rPr>
              <w:t>Termiņš līdzdalībai tika noteikts līdz 2019.</w:t>
            </w:r>
            <w:r w:rsidR="00676467" w:rsidRPr="0080421C">
              <w:rPr>
                <w:rFonts w:eastAsia="Times New Roman"/>
                <w:iCs/>
                <w:sz w:val="24"/>
                <w:szCs w:val="24"/>
                <w:lang w:val="lv-LV" w:eastAsia="lv-LV"/>
              </w:rPr>
              <w:t> </w:t>
            </w:r>
            <w:r w:rsidRPr="0080421C">
              <w:rPr>
                <w:rFonts w:eastAsia="Times New Roman"/>
                <w:iCs/>
                <w:sz w:val="24"/>
                <w:szCs w:val="24"/>
                <w:lang w:val="lv-LV" w:eastAsia="lv-LV"/>
              </w:rPr>
              <w:t>gada 16.</w:t>
            </w:r>
            <w:r w:rsidR="00676467" w:rsidRPr="0080421C">
              <w:rPr>
                <w:rFonts w:eastAsia="Times New Roman"/>
                <w:iCs/>
                <w:sz w:val="24"/>
                <w:szCs w:val="24"/>
                <w:lang w:val="lv-LV" w:eastAsia="lv-LV"/>
              </w:rPr>
              <w:t> </w:t>
            </w:r>
            <w:r w:rsidRPr="0080421C">
              <w:rPr>
                <w:rFonts w:eastAsia="Times New Roman"/>
                <w:iCs/>
                <w:sz w:val="24"/>
                <w:szCs w:val="24"/>
                <w:lang w:val="lv-LV" w:eastAsia="lv-LV"/>
              </w:rPr>
              <w:t>maijam.</w:t>
            </w:r>
          </w:p>
        </w:tc>
      </w:tr>
      <w:tr w:rsidR="00D2343F" w:rsidRPr="00D2343F" w14:paraId="21CC223D" w14:textId="77777777" w:rsidTr="00B96BE0">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2AEF7A0A" w14:textId="77777777" w:rsidR="00B96BE0" w:rsidRPr="00D2343F" w:rsidRDefault="00B96BE0">
            <w:pPr>
              <w:rPr>
                <w:rFonts w:eastAsia="Times New Roman"/>
                <w:iCs/>
                <w:sz w:val="24"/>
                <w:szCs w:val="24"/>
                <w:lang w:val="lv-LV" w:eastAsia="lv-LV"/>
              </w:rPr>
            </w:pPr>
            <w:r w:rsidRPr="00D2343F">
              <w:rPr>
                <w:rFonts w:eastAsia="Times New Roman"/>
                <w:iCs/>
                <w:sz w:val="24"/>
                <w:szCs w:val="24"/>
                <w:lang w:val="lv-LV" w:eastAsia="lv-LV"/>
              </w:rPr>
              <w:t>2.</w:t>
            </w:r>
          </w:p>
        </w:tc>
        <w:tc>
          <w:tcPr>
            <w:tcW w:w="2096" w:type="dxa"/>
            <w:tcBorders>
              <w:top w:val="outset" w:sz="6" w:space="0" w:color="auto"/>
              <w:left w:val="outset" w:sz="6" w:space="0" w:color="auto"/>
              <w:bottom w:val="outset" w:sz="6" w:space="0" w:color="auto"/>
              <w:right w:val="outset" w:sz="6" w:space="0" w:color="auto"/>
            </w:tcBorders>
            <w:hideMark/>
          </w:tcPr>
          <w:p w14:paraId="40298BB4" w14:textId="77777777" w:rsidR="00B96BE0" w:rsidRPr="00D2343F" w:rsidRDefault="00B96BE0">
            <w:pPr>
              <w:rPr>
                <w:rFonts w:eastAsia="Times New Roman"/>
                <w:iCs/>
                <w:sz w:val="24"/>
                <w:szCs w:val="24"/>
                <w:lang w:val="lv-LV" w:eastAsia="lv-LV"/>
              </w:rPr>
            </w:pPr>
            <w:r w:rsidRPr="00D2343F">
              <w:rPr>
                <w:rFonts w:eastAsia="Times New Roman"/>
                <w:iCs/>
                <w:sz w:val="24"/>
                <w:szCs w:val="24"/>
                <w:lang w:val="lv-LV" w:eastAsia="lv-LV"/>
              </w:rPr>
              <w:t>Sabiedrības līdzdalība projekta izstrādē</w:t>
            </w:r>
          </w:p>
        </w:tc>
        <w:tc>
          <w:tcPr>
            <w:tcW w:w="6617" w:type="dxa"/>
            <w:tcBorders>
              <w:top w:val="outset" w:sz="6" w:space="0" w:color="auto"/>
              <w:left w:val="outset" w:sz="6" w:space="0" w:color="auto"/>
              <w:bottom w:val="outset" w:sz="6" w:space="0" w:color="auto"/>
              <w:right w:val="outset" w:sz="6" w:space="0" w:color="auto"/>
            </w:tcBorders>
            <w:hideMark/>
          </w:tcPr>
          <w:p w14:paraId="566B148C" w14:textId="6FE63448" w:rsidR="00B63FAF" w:rsidRPr="0080421C" w:rsidRDefault="00B63FAF" w:rsidP="00B63FAF">
            <w:pPr>
              <w:rPr>
                <w:rFonts w:eastAsia="Times New Roman"/>
                <w:iCs/>
                <w:sz w:val="24"/>
                <w:szCs w:val="24"/>
                <w:lang w:val="lv-LV" w:eastAsia="lv-LV"/>
              </w:rPr>
            </w:pPr>
            <w:r w:rsidRPr="0080421C">
              <w:rPr>
                <w:rFonts w:eastAsia="Times New Roman"/>
                <w:iCs/>
                <w:sz w:val="24"/>
                <w:szCs w:val="24"/>
                <w:lang w:val="lv-LV" w:eastAsia="lv-LV"/>
              </w:rPr>
              <w:t xml:space="preserve">Informācija par noteikumu projektu 2019. gada </w:t>
            </w:r>
            <w:r w:rsidR="00497317" w:rsidRPr="0080421C">
              <w:rPr>
                <w:rFonts w:eastAsia="Times New Roman"/>
                <w:iCs/>
                <w:sz w:val="24"/>
                <w:szCs w:val="24"/>
                <w:lang w:val="lv-LV" w:eastAsia="lv-LV"/>
              </w:rPr>
              <w:t>30</w:t>
            </w:r>
            <w:r w:rsidRPr="0080421C">
              <w:rPr>
                <w:rFonts w:eastAsia="Times New Roman"/>
                <w:iCs/>
                <w:sz w:val="24"/>
                <w:szCs w:val="24"/>
                <w:lang w:val="lv-LV" w:eastAsia="lv-LV"/>
              </w:rPr>
              <w:t xml:space="preserve">. </w:t>
            </w:r>
            <w:r w:rsidR="00497317" w:rsidRPr="0080421C">
              <w:rPr>
                <w:rFonts w:eastAsia="Times New Roman"/>
                <w:iCs/>
                <w:sz w:val="24"/>
                <w:szCs w:val="24"/>
                <w:lang w:val="lv-LV" w:eastAsia="lv-LV"/>
              </w:rPr>
              <w:t>aprīlī</w:t>
            </w:r>
            <w:r w:rsidRPr="0080421C">
              <w:rPr>
                <w:rFonts w:eastAsia="Times New Roman"/>
                <w:iCs/>
                <w:sz w:val="24"/>
                <w:szCs w:val="24"/>
                <w:lang w:val="lv-LV" w:eastAsia="lv-LV"/>
              </w:rPr>
              <w:t xml:space="preserve"> tika ievietota Ekonomikas ministrijas tīmekļa vietnē </w:t>
            </w:r>
            <w:hyperlink r:id="rId10" w:history="1">
              <w:r w:rsidRPr="0080421C">
                <w:rPr>
                  <w:rStyle w:val="Hyperlink"/>
                  <w:color w:val="auto"/>
                  <w:sz w:val="24"/>
                  <w:lang w:val="lv-LV"/>
                </w:rPr>
                <w:t>https://www.em.gov.lv/lv/par_ministriju/sabiedribas_lidzdaliba/diskusiju_dokumenti/</w:t>
              </w:r>
            </w:hyperlink>
            <w:r w:rsidRPr="0080421C">
              <w:rPr>
                <w:rFonts w:eastAsia="Times New Roman"/>
                <w:iCs/>
                <w:sz w:val="24"/>
                <w:szCs w:val="24"/>
                <w:lang w:val="lv-LV" w:eastAsia="lv-LV"/>
              </w:rPr>
              <w:t xml:space="preserve"> un</w:t>
            </w:r>
          </w:p>
          <w:p w14:paraId="650017DF" w14:textId="77777777" w:rsidR="00B63FAF" w:rsidRPr="0080421C" w:rsidRDefault="00B63FAF" w:rsidP="00B63FAF">
            <w:pPr>
              <w:rPr>
                <w:rFonts w:eastAsia="Times New Roman"/>
                <w:iCs/>
                <w:sz w:val="24"/>
                <w:szCs w:val="24"/>
                <w:lang w:val="lv-LV" w:eastAsia="lv-LV"/>
              </w:rPr>
            </w:pPr>
            <w:r w:rsidRPr="0080421C">
              <w:rPr>
                <w:rFonts w:eastAsia="Times New Roman"/>
                <w:iCs/>
                <w:sz w:val="24"/>
                <w:szCs w:val="24"/>
                <w:lang w:val="lv-LV" w:eastAsia="lv-LV"/>
              </w:rPr>
              <w:t>Ministru kabineta tīmekļa vietnē:</w:t>
            </w:r>
          </w:p>
          <w:p w14:paraId="14E14977" w14:textId="75C3B5F0" w:rsidR="00B96BE0" w:rsidRPr="0080421C" w:rsidRDefault="00E50BE5" w:rsidP="00B63FAF">
            <w:pPr>
              <w:rPr>
                <w:rFonts w:eastAsia="Times New Roman"/>
                <w:iCs/>
                <w:sz w:val="24"/>
                <w:szCs w:val="24"/>
                <w:lang w:val="lv-LV" w:eastAsia="lv-LV"/>
              </w:rPr>
            </w:pPr>
            <w:hyperlink r:id="rId11" w:history="1">
              <w:r w:rsidR="00B63FAF" w:rsidRPr="0080421C">
                <w:rPr>
                  <w:rStyle w:val="Hyperlink"/>
                  <w:color w:val="auto"/>
                  <w:sz w:val="24"/>
                  <w:lang w:val="lv-LV"/>
                </w:rPr>
                <w:t>https://www.mk.gov.lv/content/ministru-kabineta-diskusiju-dokumenti</w:t>
              </w:r>
            </w:hyperlink>
            <w:r w:rsidR="00BF1030" w:rsidRPr="0080421C">
              <w:rPr>
                <w:rFonts w:eastAsia="Times New Roman"/>
                <w:iCs/>
                <w:sz w:val="24"/>
                <w:szCs w:val="24"/>
                <w:lang w:val="lv-LV" w:eastAsia="lv-LV"/>
              </w:rPr>
              <w:t>.</w:t>
            </w:r>
          </w:p>
        </w:tc>
      </w:tr>
      <w:tr w:rsidR="00D2343F" w:rsidRPr="00D2343F" w14:paraId="72B5D592" w14:textId="77777777" w:rsidTr="00B96BE0">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2F4A46FE" w14:textId="77777777" w:rsidR="00B96BE0" w:rsidRPr="00D2343F" w:rsidRDefault="00B96BE0">
            <w:pPr>
              <w:rPr>
                <w:rFonts w:eastAsia="Times New Roman"/>
                <w:iCs/>
                <w:sz w:val="24"/>
                <w:szCs w:val="24"/>
                <w:lang w:val="lv-LV" w:eastAsia="lv-LV"/>
              </w:rPr>
            </w:pPr>
            <w:r w:rsidRPr="00D2343F">
              <w:rPr>
                <w:rFonts w:eastAsia="Times New Roman"/>
                <w:iCs/>
                <w:sz w:val="24"/>
                <w:szCs w:val="24"/>
                <w:lang w:val="lv-LV" w:eastAsia="lv-LV"/>
              </w:rPr>
              <w:t>3.</w:t>
            </w:r>
          </w:p>
        </w:tc>
        <w:tc>
          <w:tcPr>
            <w:tcW w:w="2096" w:type="dxa"/>
            <w:tcBorders>
              <w:top w:val="outset" w:sz="6" w:space="0" w:color="auto"/>
              <w:left w:val="outset" w:sz="6" w:space="0" w:color="auto"/>
              <w:bottom w:val="outset" w:sz="6" w:space="0" w:color="auto"/>
              <w:right w:val="outset" w:sz="6" w:space="0" w:color="auto"/>
            </w:tcBorders>
            <w:hideMark/>
          </w:tcPr>
          <w:p w14:paraId="4F924707" w14:textId="77777777" w:rsidR="00B96BE0" w:rsidRPr="00D2343F" w:rsidRDefault="00B96BE0">
            <w:pPr>
              <w:rPr>
                <w:rFonts w:eastAsia="Times New Roman"/>
                <w:iCs/>
                <w:sz w:val="24"/>
                <w:szCs w:val="24"/>
                <w:lang w:val="lv-LV" w:eastAsia="lv-LV"/>
              </w:rPr>
            </w:pPr>
            <w:r w:rsidRPr="00D2343F">
              <w:rPr>
                <w:rFonts w:eastAsia="Times New Roman"/>
                <w:iCs/>
                <w:sz w:val="24"/>
                <w:szCs w:val="24"/>
                <w:lang w:val="lv-LV" w:eastAsia="lv-LV"/>
              </w:rPr>
              <w:t>Sabiedrības līdzdalības rezultāti</w:t>
            </w:r>
          </w:p>
        </w:tc>
        <w:tc>
          <w:tcPr>
            <w:tcW w:w="6617" w:type="dxa"/>
            <w:tcBorders>
              <w:top w:val="outset" w:sz="6" w:space="0" w:color="auto"/>
              <w:left w:val="outset" w:sz="6" w:space="0" w:color="auto"/>
              <w:bottom w:val="outset" w:sz="6" w:space="0" w:color="auto"/>
              <w:right w:val="outset" w:sz="6" w:space="0" w:color="auto"/>
            </w:tcBorders>
            <w:hideMark/>
          </w:tcPr>
          <w:p w14:paraId="39BBBFB2" w14:textId="503754F9" w:rsidR="00B96BE0" w:rsidRPr="00D2343F" w:rsidRDefault="00B96BE0">
            <w:pPr>
              <w:rPr>
                <w:rFonts w:eastAsia="Times New Roman"/>
                <w:iCs/>
                <w:sz w:val="24"/>
                <w:szCs w:val="24"/>
                <w:lang w:val="lv-LV" w:eastAsia="lv-LV"/>
              </w:rPr>
            </w:pPr>
            <w:r w:rsidRPr="00D2343F">
              <w:rPr>
                <w:rFonts w:eastAsia="Times New Roman"/>
                <w:iCs/>
                <w:sz w:val="24"/>
                <w:szCs w:val="24"/>
                <w:lang w:val="lv-LV" w:eastAsia="lv-LV"/>
              </w:rPr>
              <w:t xml:space="preserve">Sabiedrības </w:t>
            </w:r>
            <w:r w:rsidR="0013430A">
              <w:rPr>
                <w:rFonts w:eastAsia="Times New Roman"/>
                <w:iCs/>
                <w:sz w:val="24"/>
                <w:szCs w:val="24"/>
                <w:lang w:val="lv-LV" w:eastAsia="lv-LV"/>
              </w:rPr>
              <w:t xml:space="preserve">pārstāvju </w:t>
            </w:r>
            <w:r w:rsidRPr="00D2343F">
              <w:rPr>
                <w:rFonts w:eastAsia="Times New Roman"/>
                <w:iCs/>
                <w:sz w:val="24"/>
                <w:szCs w:val="24"/>
                <w:lang w:val="lv-LV" w:eastAsia="lv-LV"/>
              </w:rPr>
              <w:t xml:space="preserve">priekšlikumi </w:t>
            </w:r>
            <w:r w:rsidR="0013430A">
              <w:rPr>
                <w:rFonts w:eastAsia="Times New Roman"/>
                <w:iCs/>
                <w:sz w:val="24"/>
                <w:szCs w:val="24"/>
                <w:lang w:val="lv-LV" w:eastAsia="lv-LV"/>
              </w:rPr>
              <w:t>vai</w:t>
            </w:r>
            <w:r w:rsidR="000F1495">
              <w:rPr>
                <w:rFonts w:eastAsia="Times New Roman"/>
                <w:iCs/>
                <w:sz w:val="24"/>
                <w:szCs w:val="24"/>
                <w:lang w:val="lv-LV" w:eastAsia="lv-LV"/>
              </w:rPr>
              <w:t xml:space="preserve"> iebildumi</w:t>
            </w:r>
            <w:r w:rsidR="0013430A">
              <w:rPr>
                <w:rFonts w:eastAsia="Times New Roman"/>
                <w:iCs/>
                <w:sz w:val="24"/>
                <w:szCs w:val="24"/>
                <w:lang w:val="lv-LV" w:eastAsia="lv-LV"/>
              </w:rPr>
              <w:t xml:space="preserve"> </w:t>
            </w:r>
            <w:r w:rsidRPr="00D2343F">
              <w:rPr>
                <w:rFonts w:eastAsia="Times New Roman"/>
                <w:iCs/>
                <w:sz w:val="24"/>
                <w:szCs w:val="24"/>
                <w:lang w:val="lv-LV" w:eastAsia="lv-LV"/>
              </w:rPr>
              <w:t xml:space="preserve">netika </w:t>
            </w:r>
            <w:r w:rsidR="000533BC">
              <w:rPr>
                <w:rFonts w:eastAsia="Times New Roman"/>
                <w:iCs/>
                <w:sz w:val="24"/>
                <w:szCs w:val="24"/>
                <w:lang w:val="lv-LV" w:eastAsia="lv-LV"/>
              </w:rPr>
              <w:t>saņemti</w:t>
            </w:r>
            <w:r w:rsidR="00BF1030">
              <w:rPr>
                <w:rFonts w:eastAsia="Times New Roman"/>
                <w:iCs/>
                <w:sz w:val="24"/>
                <w:szCs w:val="24"/>
                <w:lang w:val="lv-LV" w:eastAsia="lv-LV"/>
              </w:rPr>
              <w:t>.</w:t>
            </w:r>
          </w:p>
        </w:tc>
      </w:tr>
      <w:tr w:rsidR="00D2343F" w:rsidRPr="00D2343F" w14:paraId="1D4B0FDD" w14:textId="77777777" w:rsidTr="00B96BE0">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4CF2DF0" w14:textId="77777777" w:rsidR="00B96BE0" w:rsidRPr="00D2343F" w:rsidRDefault="00B96BE0">
            <w:pPr>
              <w:rPr>
                <w:rFonts w:eastAsia="Times New Roman"/>
                <w:iCs/>
                <w:sz w:val="24"/>
                <w:szCs w:val="24"/>
                <w:lang w:val="lv-LV" w:eastAsia="lv-LV"/>
              </w:rPr>
            </w:pPr>
            <w:r w:rsidRPr="00D2343F">
              <w:rPr>
                <w:rFonts w:eastAsia="Times New Roman"/>
                <w:iCs/>
                <w:sz w:val="24"/>
                <w:szCs w:val="24"/>
                <w:lang w:val="lv-LV" w:eastAsia="lv-LV"/>
              </w:rPr>
              <w:t>4.</w:t>
            </w:r>
          </w:p>
        </w:tc>
        <w:tc>
          <w:tcPr>
            <w:tcW w:w="2096" w:type="dxa"/>
            <w:tcBorders>
              <w:top w:val="outset" w:sz="6" w:space="0" w:color="auto"/>
              <w:left w:val="outset" w:sz="6" w:space="0" w:color="auto"/>
              <w:bottom w:val="outset" w:sz="6" w:space="0" w:color="auto"/>
              <w:right w:val="outset" w:sz="6" w:space="0" w:color="auto"/>
            </w:tcBorders>
            <w:hideMark/>
          </w:tcPr>
          <w:p w14:paraId="5B22193E" w14:textId="77777777" w:rsidR="00B96BE0" w:rsidRPr="00D2343F" w:rsidRDefault="00B96BE0">
            <w:pPr>
              <w:rPr>
                <w:rFonts w:eastAsia="Times New Roman"/>
                <w:iCs/>
                <w:sz w:val="24"/>
                <w:szCs w:val="24"/>
                <w:lang w:val="lv-LV" w:eastAsia="lv-LV"/>
              </w:rPr>
            </w:pPr>
            <w:r w:rsidRPr="00D2343F">
              <w:rPr>
                <w:rFonts w:eastAsia="Times New Roman"/>
                <w:iCs/>
                <w:sz w:val="24"/>
                <w:szCs w:val="24"/>
                <w:lang w:val="lv-LV" w:eastAsia="lv-LV"/>
              </w:rPr>
              <w:t>Cita informācija</w:t>
            </w:r>
          </w:p>
        </w:tc>
        <w:tc>
          <w:tcPr>
            <w:tcW w:w="6617" w:type="dxa"/>
            <w:tcBorders>
              <w:top w:val="outset" w:sz="6" w:space="0" w:color="auto"/>
              <w:left w:val="outset" w:sz="6" w:space="0" w:color="auto"/>
              <w:bottom w:val="outset" w:sz="6" w:space="0" w:color="auto"/>
              <w:right w:val="outset" w:sz="6" w:space="0" w:color="auto"/>
            </w:tcBorders>
            <w:hideMark/>
          </w:tcPr>
          <w:p w14:paraId="462F3D2F" w14:textId="0FF5E055" w:rsidR="00B96BE0" w:rsidRPr="00D2343F" w:rsidRDefault="00B96BE0">
            <w:pPr>
              <w:rPr>
                <w:rFonts w:eastAsia="Times New Roman"/>
                <w:iCs/>
                <w:sz w:val="24"/>
                <w:szCs w:val="24"/>
                <w:lang w:val="lv-LV" w:eastAsia="lv-LV"/>
              </w:rPr>
            </w:pPr>
            <w:r w:rsidRPr="00D2343F">
              <w:rPr>
                <w:rFonts w:eastAsia="Times New Roman"/>
                <w:iCs/>
                <w:sz w:val="24"/>
                <w:szCs w:val="24"/>
                <w:lang w:val="lv-LV" w:eastAsia="lv-LV"/>
              </w:rPr>
              <w:t>Nav</w:t>
            </w:r>
          </w:p>
        </w:tc>
      </w:tr>
    </w:tbl>
    <w:p w14:paraId="037E1C30" w14:textId="180C0407" w:rsidR="00B96BE0" w:rsidRDefault="00B96BE0" w:rsidP="000141AD">
      <w:pPr>
        <w:contextualSpacing/>
        <w:jc w:val="both"/>
        <w:rPr>
          <w:sz w:val="24"/>
          <w:szCs w:val="24"/>
          <w:lang w:val="lv-LV"/>
        </w:rPr>
      </w:pPr>
    </w:p>
    <w:tbl>
      <w:tblPr>
        <w:tblW w:w="9211" w:type="dxa"/>
        <w:tblInd w:w="-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5"/>
        <w:gridCol w:w="2154"/>
        <w:gridCol w:w="6662"/>
      </w:tblGrid>
      <w:tr w:rsidR="00B96BE0" w:rsidRPr="00507DE7" w14:paraId="6A7CBFAF" w14:textId="77777777" w:rsidTr="00B96BE0">
        <w:trPr>
          <w:trHeight w:val="375"/>
        </w:trPr>
        <w:tc>
          <w:tcPr>
            <w:tcW w:w="9211" w:type="dxa"/>
            <w:gridSpan w:val="3"/>
            <w:tcBorders>
              <w:top w:val="outset" w:sz="6" w:space="0" w:color="414142"/>
              <w:left w:val="outset" w:sz="6" w:space="0" w:color="414142"/>
              <w:bottom w:val="outset" w:sz="6" w:space="0" w:color="414142"/>
              <w:right w:val="outset" w:sz="6" w:space="0" w:color="414142"/>
            </w:tcBorders>
            <w:hideMark/>
          </w:tcPr>
          <w:p w14:paraId="1AB69B9E" w14:textId="77777777" w:rsidR="00B96BE0" w:rsidRPr="00507DE7" w:rsidRDefault="00B96BE0" w:rsidP="00055D7A">
            <w:pPr>
              <w:ind w:firstLine="300"/>
              <w:contextualSpacing/>
              <w:jc w:val="center"/>
              <w:rPr>
                <w:rFonts w:eastAsia="Times New Roman"/>
                <w:sz w:val="24"/>
                <w:szCs w:val="24"/>
                <w:lang w:val="lv-LV" w:eastAsia="lv-LV"/>
              </w:rPr>
            </w:pPr>
            <w:r w:rsidRPr="00507DE7">
              <w:rPr>
                <w:rFonts w:eastAsia="Times New Roman"/>
                <w:b/>
                <w:bCs/>
                <w:color w:val="000000"/>
                <w:sz w:val="24"/>
                <w:szCs w:val="24"/>
                <w:lang w:val="lv-LV" w:eastAsia="lv-LV"/>
              </w:rPr>
              <w:t>VII. Tiesību akta projekta izpildes nodrošināšana un tās ietekme uz institūcijām</w:t>
            </w:r>
          </w:p>
        </w:tc>
      </w:tr>
      <w:tr w:rsidR="00B96BE0" w:rsidRPr="00507DE7" w14:paraId="1D748782" w14:textId="77777777" w:rsidTr="00B96BE0">
        <w:trPr>
          <w:trHeight w:val="420"/>
        </w:trPr>
        <w:tc>
          <w:tcPr>
            <w:tcW w:w="395" w:type="dxa"/>
            <w:tcBorders>
              <w:top w:val="outset" w:sz="6" w:space="0" w:color="414142"/>
              <w:left w:val="outset" w:sz="6" w:space="0" w:color="414142"/>
              <w:bottom w:val="outset" w:sz="6" w:space="0" w:color="414142"/>
              <w:right w:val="outset" w:sz="6" w:space="0" w:color="414142"/>
            </w:tcBorders>
            <w:hideMark/>
          </w:tcPr>
          <w:p w14:paraId="4ED27AC2" w14:textId="77777777" w:rsidR="00B96BE0" w:rsidRPr="00507DE7" w:rsidRDefault="00B96BE0" w:rsidP="00055D7A">
            <w:pPr>
              <w:contextualSpacing/>
              <w:rPr>
                <w:rFonts w:eastAsia="Times New Roman"/>
                <w:sz w:val="24"/>
                <w:szCs w:val="24"/>
                <w:lang w:val="lv-LV" w:eastAsia="lv-LV"/>
              </w:rPr>
            </w:pPr>
            <w:r w:rsidRPr="00507DE7">
              <w:rPr>
                <w:rFonts w:eastAsia="Times New Roman"/>
                <w:color w:val="000000"/>
                <w:sz w:val="24"/>
                <w:szCs w:val="24"/>
                <w:lang w:val="lv-LV" w:eastAsia="lv-LV"/>
              </w:rPr>
              <w:t>1.</w:t>
            </w:r>
          </w:p>
        </w:tc>
        <w:tc>
          <w:tcPr>
            <w:tcW w:w="2154" w:type="dxa"/>
            <w:tcBorders>
              <w:top w:val="outset" w:sz="6" w:space="0" w:color="414142"/>
              <w:left w:val="outset" w:sz="6" w:space="0" w:color="414142"/>
              <w:bottom w:val="outset" w:sz="6" w:space="0" w:color="414142"/>
              <w:right w:val="outset" w:sz="6" w:space="0" w:color="414142"/>
            </w:tcBorders>
            <w:hideMark/>
          </w:tcPr>
          <w:p w14:paraId="7BBC4AAD" w14:textId="77777777" w:rsidR="00B96BE0" w:rsidRPr="00507DE7" w:rsidRDefault="00B96BE0" w:rsidP="00055D7A">
            <w:pPr>
              <w:ind w:right="112"/>
              <w:contextualSpacing/>
              <w:jc w:val="both"/>
              <w:rPr>
                <w:sz w:val="24"/>
                <w:szCs w:val="24"/>
                <w:lang w:val="lv-LV"/>
              </w:rPr>
            </w:pPr>
            <w:r w:rsidRPr="00507DE7">
              <w:rPr>
                <w:sz w:val="24"/>
                <w:szCs w:val="24"/>
                <w:lang w:val="lv-LV"/>
              </w:rPr>
              <w:t>Projekta izpildē iesaistītās institūcijas</w:t>
            </w:r>
          </w:p>
        </w:tc>
        <w:tc>
          <w:tcPr>
            <w:tcW w:w="6662" w:type="dxa"/>
            <w:tcBorders>
              <w:top w:val="outset" w:sz="6" w:space="0" w:color="414142"/>
              <w:left w:val="outset" w:sz="6" w:space="0" w:color="414142"/>
              <w:bottom w:val="outset" w:sz="6" w:space="0" w:color="414142"/>
              <w:right w:val="outset" w:sz="6" w:space="0" w:color="414142"/>
            </w:tcBorders>
            <w:hideMark/>
          </w:tcPr>
          <w:p w14:paraId="0189C5C3" w14:textId="4867C682" w:rsidR="00B96BE0" w:rsidRPr="00507DE7" w:rsidRDefault="00B96BE0" w:rsidP="00055D7A">
            <w:pPr>
              <w:ind w:left="82" w:right="161"/>
              <w:contextualSpacing/>
              <w:jc w:val="both"/>
              <w:rPr>
                <w:sz w:val="24"/>
                <w:szCs w:val="24"/>
                <w:lang w:val="lv-LV"/>
              </w:rPr>
            </w:pPr>
            <w:r w:rsidRPr="00507DE7">
              <w:rPr>
                <w:sz w:val="24"/>
                <w:szCs w:val="24"/>
                <w:lang w:val="lv-LV"/>
              </w:rPr>
              <w:t>Ekonomikas ministrija</w:t>
            </w:r>
            <w:r w:rsidR="009762F8">
              <w:rPr>
                <w:sz w:val="24"/>
                <w:szCs w:val="24"/>
                <w:lang w:val="lv-LV"/>
              </w:rPr>
              <w:t xml:space="preserve"> </w:t>
            </w:r>
            <w:r w:rsidR="009762F8" w:rsidRPr="009762F8">
              <w:rPr>
                <w:sz w:val="24"/>
                <w:szCs w:val="24"/>
                <w:lang w:val="lv-LV"/>
              </w:rPr>
              <w:t>kā atbildīgā iestāde un</w:t>
            </w:r>
            <w:r w:rsidRPr="00507DE7">
              <w:rPr>
                <w:sz w:val="24"/>
                <w:szCs w:val="24"/>
                <w:lang w:val="lv-LV"/>
              </w:rPr>
              <w:t xml:space="preserve"> CFLA</w:t>
            </w:r>
            <w:r w:rsidR="009762F8">
              <w:rPr>
                <w:sz w:val="24"/>
                <w:szCs w:val="24"/>
                <w:lang w:val="lv-LV"/>
              </w:rPr>
              <w:t xml:space="preserve"> </w:t>
            </w:r>
            <w:r w:rsidR="00C51C2E" w:rsidRPr="00C51C2E">
              <w:rPr>
                <w:sz w:val="24"/>
                <w:szCs w:val="24"/>
                <w:lang w:val="lv-LV"/>
              </w:rPr>
              <w:t>kā sadarbības iestāde</w:t>
            </w:r>
            <w:r w:rsidR="00BF1030">
              <w:rPr>
                <w:sz w:val="24"/>
                <w:szCs w:val="24"/>
                <w:lang w:val="lv-LV"/>
              </w:rPr>
              <w:t>.</w:t>
            </w:r>
          </w:p>
        </w:tc>
      </w:tr>
      <w:tr w:rsidR="00B96BE0" w:rsidRPr="00507DE7" w14:paraId="1A251D3B" w14:textId="77777777" w:rsidTr="00B96BE0">
        <w:trPr>
          <w:trHeight w:val="450"/>
        </w:trPr>
        <w:tc>
          <w:tcPr>
            <w:tcW w:w="395" w:type="dxa"/>
            <w:tcBorders>
              <w:top w:val="outset" w:sz="6" w:space="0" w:color="414142"/>
              <w:left w:val="outset" w:sz="6" w:space="0" w:color="414142"/>
              <w:bottom w:val="outset" w:sz="6" w:space="0" w:color="414142"/>
              <w:right w:val="outset" w:sz="6" w:space="0" w:color="414142"/>
            </w:tcBorders>
            <w:hideMark/>
          </w:tcPr>
          <w:p w14:paraId="1A7F4C83" w14:textId="77777777" w:rsidR="00B96BE0" w:rsidRPr="00507DE7" w:rsidRDefault="00B96BE0" w:rsidP="00055D7A">
            <w:pPr>
              <w:contextualSpacing/>
              <w:rPr>
                <w:rFonts w:eastAsia="Times New Roman"/>
                <w:sz w:val="24"/>
                <w:szCs w:val="24"/>
                <w:lang w:val="lv-LV" w:eastAsia="lv-LV"/>
              </w:rPr>
            </w:pPr>
            <w:r w:rsidRPr="00507DE7">
              <w:rPr>
                <w:rFonts w:eastAsia="Times New Roman"/>
                <w:color w:val="000000"/>
                <w:sz w:val="24"/>
                <w:szCs w:val="24"/>
                <w:lang w:val="lv-LV" w:eastAsia="lv-LV"/>
              </w:rPr>
              <w:t>2.</w:t>
            </w:r>
          </w:p>
        </w:tc>
        <w:tc>
          <w:tcPr>
            <w:tcW w:w="2154" w:type="dxa"/>
            <w:tcBorders>
              <w:top w:val="outset" w:sz="6" w:space="0" w:color="414142"/>
              <w:left w:val="outset" w:sz="6" w:space="0" w:color="414142"/>
              <w:bottom w:val="outset" w:sz="6" w:space="0" w:color="414142"/>
              <w:right w:val="outset" w:sz="6" w:space="0" w:color="414142"/>
            </w:tcBorders>
            <w:hideMark/>
          </w:tcPr>
          <w:p w14:paraId="20A70B1B" w14:textId="77777777" w:rsidR="00B96BE0" w:rsidRPr="00507DE7" w:rsidRDefault="00B96BE0" w:rsidP="00055D7A">
            <w:pPr>
              <w:ind w:right="112"/>
              <w:contextualSpacing/>
              <w:jc w:val="both"/>
              <w:rPr>
                <w:sz w:val="24"/>
                <w:szCs w:val="24"/>
                <w:lang w:val="lv-LV"/>
              </w:rPr>
            </w:pPr>
            <w:r w:rsidRPr="00507DE7">
              <w:rPr>
                <w:sz w:val="24"/>
                <w:szCs w:val="24"/>
                <w:lang w:val="lv-LV"/>
              </w:rPr>
              <w:t xml:space="preserve">Projekta izpildes ietekme uz pārvaldes funkcijām un institucionālo struktūru. Jaunu institūciju izveide, esošu institūciju likvidācija vai reorganizācija, to ietekme uz </w:t>
            </w:r>
            <w:r w:rsidRPr="00507DE7">
              <w:rPr>
                <w:sz w:val="24"/>
                <w:szCs w:val="24"/>
                <w:lang w:val="lv-LV"/>
              </w:rPr>
              <w:lastRenderedPageBreak/>
              <w:t>institūcijas cilvēkresursiem.</w:t>
            </w:r>
          </w:p>
        </w:tc>
        <w:tc>
          <w:tcPr>
            <w:tcW w:w="6662" w:type="dxa"/>
            <w:tcBorders>
              <w:top w:val="outset" w:sz="6" w:space="0" w:color="414142"/>
              <w:left w:val="outset" w:sz="6" w:space="0" w:color="414142"/>
              <w:bottom w:val="outset" w:sz="6" w:space="0" w:color="414142"/>
              <w:right w:val="outset" w:sz="6" w:space="0" w:color="414142"/>
            </w:tcBorders>
            <w:hideMark/>
          </w:tcPr>
          <w:p w14:paraId="2D76961E" w14:textId="77777777" w:rsidR="0013430A" w:rsidRPr="0013430A" w:rsidRDefault="0013430A" w:rsidP="0013430A">
            <w:pPr>
              <w:ind w:left="82" w:right="161"/>
              <w:contextualSpacing/>
              <w:jc w:val="both"/>
              <w:rPr>
                <w:sz w:val="24"/>
                <w:szCs w:val="24"/>
                <w:lang w:val="lv-LV"/>
              </w:rPr>
            </w:pPr>
            <w:r w:rsidRPr="0013430A">
              <w:rPr>
                <w:sz w:val="24"/>
                <w:szCs w:val="24"/>
                <w:lang w:val="lv-LV"/>
              </w:rPr>
              <w:lastRenderedPageBreak/>
              <w:t>Nav plānota jaunu institūciju izveide, esošu institūciju likvidācija vai reorganizācija.</w:t>
            </w:r>
          </w:p>
          <w:p w14:paraId="4361CDE8" w14:textId="3AE8A1E8" w:rsidR="00B96BE0" w:rsidRPr="00507DE7" w:rsidRDefault="00B96BE0" w:rsidP="00055D7A">
            <w:pPr>
              <w:ind w:left="82" w:right="161"/>
              <w:contextualSpacing/>
              <w:jc w:val="both"/>
              <w:rPr>
                <w:sz w:val="24"/>
                <w:szCs w:val="24"/>
                <w:lang w:val="lv-LV"/>
              </w:rPr>
            </w:pPr>
            <w:r w:rsidRPr="00507DE7">
              <w:rPr>
                <w:sz w:val="24"/>
                <w:szCs w:val="24"/>
                <w:lang w:val="lv-LV"/>
              </w:rPr>
              <w:t xml:space="preserve">Ministru kabineta noteikumu projekta izpilde tiks nodrošināta Ekonomikas ministrijas un </w:t>
            </w:r>
            <w:r w:rsidR="00411D1A">
              <w:rPr>
                <w:sz w:val="24"/>
                <w:szCs w:val="24"/>
                <w:lang w:val="lv-LV"/>
              </w:rPr>
              <w:t>CFLA</w:t>
            </w:r>
            <w:r w:rsidRPr="00507DE7">
              <w:rPr>
                <w:sz w:val="24"/>
                <w:szCs w:val="24"/>
                <w:lang w:val="lv-LV"/>
              </w:rPr>
              <w:t xml:space="preserve"> esošo funkciju </w:t>
            </w:r>
            <w:r w:rsidR="005E27F9">
              <w:rPr>
                <w:sz w:val="24"/>
                <w:szCs w:val="24"/>
                <w:lang w:val="lv-LV"/>
              </w:rPr>
              <w:t xml:space="preserve">un </w:t>
            </w:r>
            <w:r w:rsidR="005E27F9" w:rsidRPr="005E27F9">
              <w:rPr>
                <w:sz w:val="24"/>
                <w:szCs w:val="24"/>
                <w:lang w:val="lv-LV"/>
              </w:rPr>
              <w:t xml:space="preserve">cilvēkresursu </w:t>
            </w:r>
            <w:r w:rsidRPr="00507DE7">
              <w:rPr>
                <w:sz w:val="24"/>
                <w:szCs w:val="24"/>
                <w:lang w:val="lv-LV"/>
              </w:rPr>
              <w:t>ietvaros.</w:t>
            </w:r>
          </w:p>
        </w:tc>
      </w:tr>
      <w:tr w:rsidR="00B96BE0" w:rsidRPr="00507DE7" w14:paraId="1E2460AF" w14:textId="77777777" w:rsidTr="0013430A">
        <w:trPr>
          <w:trHeight w:val="300"/>
        </w:trPr>
        <w:tc>
          <w:tcPr>
            <w:tcW w:w="395" w:type="dxa"/>
            <w:tcBorders>
              <w:top w:val="outset" w:sz="6" w:space="0" w:color="414142"/>
              <w:left w:val="outset" w:sz="6" w:space="0" w:color="414142"/>
              <w:bottom w:val="outset" w:sz="6" w:space="0" w:color="414142"/>
              <w:right w:val="outset" w:sz="6" w:space="0" w:color="414142"/>
            </w:tcBorders>
            <w:hideMark/>
          </w:tcPr>
          <w:p w14:paraId="1CDF176F" w14:textId="77777777" w:rsidR="00B96BE0" w:rsidRPr="00507DE7" w:rsidRDefault="00B96BE0" w:rsidP="00055D7A">
            <w:pPr>
              <w:contextualSpacing/>
              <w:rPr>
                <w:rFonts w:eastAsia="Times New Roman"/>
                <w:sz w:val="24"/>
                <w:szCs w:val="24"/>
                <w:lang w:val="lv-LV" w:eastAsia="lv-LV"/>
              </w:rPr>
            </w:pPr>
            <w:r w:rsidRPr="00507DE7">
              <w:rPr>
                <w:rFonts w:eastAsia="Times New Roman"/>
                <w:color w:val="000000"/>
                <w:sz w:val="24"/>
                <w:szCs w:val="24"/>
                <w:lang w:val="lv-LV" w:eastAsia="lv-LV"/>
              </w:rPr>
              <w:lastRenderedPageBreak/>
              <w:t>3.</w:t>
            </w:r>
          </w:p>
        </w:tc>
        <w:tc>
          <w:tcPr>
            <w:tcW w:w="2154" w:type="dxa"/>
            <w:tcBorders>
              <w:top w:val="outset" w:sz="6" w:space="0" w:color="414142"/>
              <w:left w:val="outset" w:sz="6" w:space="0" w:color="414142"/>
              <w:bottom w:val="outset" w:sz="6" w:space="0" w:color="414142"/>
              <w:right w:val="outset" w:sz="6" w:space="0" w:color="414142"/>
            </w:tcBorders>
            <w:hideMark/>
          </w:tcPr>
          <w:p w14:paraId="3592BD3D" w14:textId="77777777" w:rsidR="00B96BE0" w:rsidRPr="00507DE7" w:rsidRDefault="00B96BE0" w:rsidP="00055D7A">
            <w:pPr>
              <w:contextualSpacing/>
              <w:jc w:val="both"/>
              <w:rPr>
                <w:rFonts w:eastAsia="Times New Roman"/>
                <w:sz w:val="24"/>
                <w:szCs w:val="24"/>
                <w:lang w:val="lv-LV" w:eastAsia="lv-LV"/>
              </w:rPr>
            </w:pPr>
            <w:r w:rsidRPr="00507DE7">
              <w:rPr>
                <w:rFonts w:eastAsia="Times New Roman"/>
                <w:sz w:val="24"/>
                <w:szCs w:val="24"/>
                <w:lang w:val="lv-LV" w:eastAsia="lv-LV"/>
              </w:rPr>
              <w:t>Cita informācija</w:t>
            </w:r>
          </w:p>
        </w:tc>
        <w:tc>
          <w:tcPr>
            <w:tcW w:w="6662" w:type="dxa"/>
            <w:tcBorders>
              <w:top w:val="outset" w:sz="6" w:space="0" w:color="414142"/>
              <w:left w:val="outset" w:sz="6" w:space="0" w:color="414142"/>
              <w:bottom w:val="outset" w:sz="6" w:space="0" w:color="414142"/>
              <w:right w:val="outset" w:sz="6" w:space="0" w:color="414142"/>
            </w:tcBorders>
            <w:hideMark/>
          </w:tcPr>
          <w:p w14:paraId="5972A4AD" w14:textId="77777777" w:rsidR="00B96BE0" w:rsidRPr="00507DE7" w:rsidRDefault="00B96BE0" w:rsidP="00055D7A">
            <w:pPr>
              <w:contextualSpacing/>
              <w:jc w:val="both"/>
              <w:rPr>
                <w:rFonts w:eastAsia="Times New Roman"/>
                <w:sz w:val="24"/>
                <w:szCs w:val="24"/>
                <w:lang w:val="lv-LV" w:eastAsia="lv-LV"/>
              </w:rPr>
            </w:pPr>
            <w:r w:rsidRPr="00507DE7">
              <w:rPr>
                <w:rFonts w:eastAsia="Times New Roman"/>
                <w:sz w:val="24"/>
                <w:szCs w:val="24"/>
                <w:lang w:val="lv-LV" w:eastAsia="lv-LV"/>
              </w:rPr>
              <w:t>Nav</w:t>
            </w:r>
          </w:p>
        </w:tc>
      </w:tr>
    </w:tbl>
    <w:p w14:paraId="749DD943" w14:textId="77777777" w:rsidR="00B96BE0" w:rsidRPr="00507DE7" w:rsidRDefault="00B96BE0" w:rsidP="00B96BE0">
      <w:pPr>
        <w:contextualSpacing/>
        <w:jc w:val="both"/>
        <w:rPr>
          <w:sz w:val="24"/>
          <w:szCs w:val="24"/>
          <w:lang w:val="lv-LV"/>
        </w:rPr>
      </w:pPr>
    </w:p>
    <w:p w14:paraId="4A6C6F44" w14:textId="3CF5725F" w:rsidR="00B96BE0" w:rsidRDefault="00B96BE0" w:rsidP="000141AD">
      <w:pPr>
        <w:contextualSpacing/>
        <w:jc w:val="both"/>
        <w:rPr>
          <w:sz w:val="24"/>
          <w:szCs w:val="24"/>
          <w:lang w:val="lv-LV"/>
        </w:rPr>
      </w:pPr>
    </w:p>
    <w:p w14:paraId="37849580" w14:textId="77777777" w:rsidR="004048B9" w:rsidRPr="00507DE7" w:rsidRDefault="004048B9" w:rsidP="000141AD">
      <w:pPr>
        <w:contextualSpacing/>
        <w:jc w:val="both"/>
        <w:rPr>
          <w:sz w:val="24"/>
          <w:szCs w:val="24"/>
          <w:lang w:val="lv-LV"/>
        </w:rPr>
      </w:pPr>
      <w:r w:rsidRPr="00507DE7">
        <w:rPr>
          <w:sz w:val="24"/>
          <w:szCs w:val="24"/>
          <w:lang w:val="lv-LV"/>
        </w:rPr>
        <w:t>Iesniedzējs:</w:t>
      </w:r>
    </w:p>
    <w:p w14:paraId="2B68E31D" w14:textId="38BB5A49" w:rsidR="00374CF3" w:rsidRPr="00507DE7" w:rsidRDefault="00374CF3" w:rsidP="000141AD">
      <w:pPr>
        <w:tabs>
          <w:tab w:val="left" w:pos="6804"/>
        </w:tabs>
        <w:contextualSpacing/>
        <w:jc w:val="both"/>
        <w:rPr>
          <w:sz w:val="24"/>
          <w:szCs w:val="24"/>
          <w:lang w:val="lv-LV"/>
        </w:rPr>
      </w:pPr>
      <w:r w:rsidRPr="00507DE7">
        <w:rPr>
          <w:sz w:val="24"/>
          <w:szCs w:val="24"/>
          <w:lang w:val="lv-LV"/>
        </w:rPr>
        <w:t>Ekonomikas ministrs</w:t>
      </w:r>
      <w:r w:rsidRPr="00507DE7">
        <w:rPr>
          <w:sz w:val="24"/>
          <w:szCs w:val="24"/>
          <w:lang w:val="lv-LV"/>
        </w:rPr>
        <w:tab/>
      </w:r>
      <w:proofErr w:type="spellStart"/>
      <w:r w:rsidRPr="00507DE7">
        <w:rPr>
          <w:sz w:val="24"/>
          <w:szCs w:val="24"/>
          <w:lang w:val="lv-LV"/>
        </w:rPr>
        <w:t>R.Nemiro</w:t>
      </w:r>
      <w:proofErr w:type="spellEnd"/>
    </w:p>
    <w:p w14:paraId="10F9896C" w14:textId="0D2A5479" w:rsidR="00EB184B" w:rsidRPr="00507DE7" w:rsidRDefault="00EB184B" w:rsidP="000141AD">
      <w:pPr>
        <w:tabs>
          <w:tab w:val="left" w:pos="6804"/>
        </w:tabs>
        <w:contextualSpacing/>
        <w:jc w:val="both"/>
        <w:rPr>
          <w:sz w:val="24"/>
          <w:szCs w:val="24"/>
          <w:lang w:val="lv-LV"/>
        </w:rPr>
      </w:pPr>
    </w:p>
    <w:p w14:paraId="2BF756D0" w14:textId="77777777" w:rsidR="00507DE7" w:rsidRPr="00507DE7" w:rsidRDefault="00507DE7" w:rsidP="000141AD">
      <w:pPr>
        <w:tabs>
          <w:tab w:val="left" w:pos="6804"/>
        </w:tabs>
        <w:contextualSpacing/>
        <w:jc w:val="both"/>
        <w:rPr>
          <w:sz w:val="24"/>
          <w:szCs w:val="24"/>
          <w:lang w:val="lv-LV"/>
        </w:rPr>
      </w:pPr>
    </w:p>
    <w:p w14:paraId="50199F2B" w14:textId="77777777" w:rsidR="000A0059" w:rsidRPr="00507DE7" w:rsidRDefault="00EB184B" w:rsidP="000141AD">
      <w:pPr>
        <w:tabs>
          <w:tab w:val="left" w:pos="6804"/>
        </w:tabs>
        <w:contextualSpacing/>
        <w:jc w:val="both"/>
        <w:rPr>
          <w:sz w:val="24"/>
          <w:szCs w:val="24"/>
          <w:lang w:val="lv-LV"/>
        </w:rPr>
      </w:pPr>
      <w:r w:rsidRPr="00507DE7">
        <w:rPr>
          <w:sz w:val="24"/>
          <w:szCs w:val="24"/>
          <w:lang w:val="lv-LV"/>
        </w:rPr>
        <w:t>Vīza:</w:t>
      </w:r>
    </w:p>
    <w:p w14:paraId="01FC1189" w14:textId="3D329E53" w:rsidR="002C504B" w:rsidRPr="00507DE7" w:rsidRDefault="00EB184B" w:rsidP="000141AD">
      <w:pPr>
        <w:tabs>
          <w:tab w:val="left" w:pos="6804"/>
        </w:tabs>
        <w:contextualSpacing/>
        <w:jc w:val="both"/>
        <w:rPr>
          <w:sz w:val="24"/>
          <w:szCs w:val="24"/>
          <w:lang w:val="lv-LV"/>
        </w:rPr>
      </w:pPr>
      <w:r w:rsidRPr="00507DE7">
        <w:rPr>
          <w:sz w:val="24"/>
          <w:szCs w:val="24"/>
          <w:lang w:val="lv-LV"/>
        </w:rPr>
        <w:t>Valsts sekretār</w:t>
      </w:r>
      <w:r w:rsidR="006C20C5" w:rsidRPr="00507DE7">
        <w:rPr>
          <w:sz w:val="24"/>
          <w:szCs w:val="24"/>
          <w:lang w:val="lv-LV"/>
        </w:rPr>
        <w:t>s</w:t>
      </w:r>
      <w:r w:rsidR="006C20C5" w:rsidRPr="00507DE7">
        <w:rPr>
          <w:sz w:val="24"/>
          <w:szCs w:val="24"/>
          <w:lang w:val="lv-LV"/>
        </w:rPr>
        <w:tab/>
      </w:r>
      <w:proofErr w:type="spellStart"/>
      <w:r w:rsidR="00F06F21" w:rsidRPr="00507DE7">
        <w:rPr>
          <w:sz w:val="24"/>
          <w:szCs w:val="24"/>
          <w:lang w:val="lv-LV"/>
        </w:rPr>
        <w:t>Ē.Eglītis</w:t>
      </w:r>
      <w:proofErr w:type="spellEnd"/>
    </w:p>
    <w:p w14:paraId="49413DDA" w14:textId="77777777" w:rsidR="00507DE7" w:rsidRDefault="00507DE7" w:rsidP="000141AD">
      <w:pPr>
        <w:contextualSpacing/>
        <w:rPr>
          <w:sz w:val="16"/>
          <w:szCs w:val="16"/>
          <w:lang w:val="lv-LV"/>
        </w:rPr>
      </w:pPr>
    </w:p>
    <w:p w14:paraId="6FA28967" w14:textId="77777777" w:rsidR="00507DE7" w:rsidRDefault="00507DE7" w:rsidP="000141AD">
      <w:pPr>
        <w:contextualSpacing/>
        <w:rPr>
          <w:sz w:val="16"/>
          <w:szCs w:val="16"/>
          <w:lang w:val="lv-LV"/>
        </w:rPr>
      </w:pPr>
    </w:p>
    <w:p w14:paraId="0E3B6E0F" w14:textId="497E1F0A" w:rsidR="0094022B" w:rsidRPr="00C9276F" w:rsidRDefault="00374CF3" w:rsidP="000141AD">
      <w:pPr>
        <w:contextualSpacing/>
        <w:rPr>
          <w:sz w:val="16"/>
          <w:szCs w:val="16"/>
          <w:lang w:val="lv-LV"/>
        </w:rPr>
      </w:pPr>
      <w:r w:rsidRPr="00C9276F">
        <w:rPr>
          <w:sz w:val="16"/>
          <w:szCs w:val="16"/>
          <w:lang w:val="lv-LV"/>
        </w:rPr>
        <w:t>Evita Valgača</w:t>
      </w:r>
      <w:r w:rsidR="0094022B" w:rsidRPr="00C9276F">
        <w:rPr>
          <w:sz w:val="16"/>
          <w:szCs w:val="16"/>
          <w:lang w:val="lv-LV"/>
        </w:rPr>
        <w:t xml:space="preserve">, </w:t>
      </w:r>
      <w:r w:rsidRPr="00C9276F">
        <w:rPr>
          <w:sz w:val="16"/>
          <w:szCs w:val="16"/>
          <w:lang w:val="lv-LV"/>
        </w:rPr>
        <w:t>67013298</w:t>
      </w:r>
    </w:p>
    <w:p w14:paraId="0C520F51" w14:textId="560B7A11" w:rsidR="00374CF3" w:rsidRPr="00C9276F" w:rsidRDefault="00E50BE5" w:rsidP="000141AD">
      <w:pPr>
        <w:contextualSpacing/>
        <w:rPr>
          <w:sz w:val="16"/>
          <w:szCs w:val="16"/>
          <w:lang w:val="lv-LV"/>
        </w:rPr>
      </w:pPr>
      <w:hyperlink r:id="rId12" w:history="1">
        <w:r w:rsidR="00374CF3" w:rsidRPr="00C9276F">
          <w:rPr>
            <w:rStyle w:val="Hyperlink"/>
            <w:sz w:val="16"/>
            <w:szCs w:val="16"/>
            <w:lang w:val="lv-LV"/>
          </w:rPr>
          <w:t>Evita.Valgaca@em.gov.lv</w:t>
        </w:r>
      </w:hyperlink>
      <w:r w:rsidR="00374CF3" w:rsidRPr="00C9276F">
        <w:rPr>
          <w:sz w:val="16"/>
          <w:szCs w:val="16"/>
          <w:lang w:val="lv-LV"/>
        </w:rPr>
        <w:t xml:space="preserve"> </w:t>
      </w:r>
    </w:p>
    <w:sectPr w:rsidR="00374CF3" w:rsidRPr="00C9276F" w:rsidSect="00D146CC">
      <w:headerReference w:type="default" r:id="rId13"/>
      <w:footerReference w:type="default" r:id="rId14"/>
      <w:footerReference w:type="first" r:id="rId15"/>
      <w:endnotePr>
        <w:numFmt w:val="decimal"/>
      </w:endnotePr>
      <w:type w:val="continuous"/>
      <w:pgSz w:w="11906" w:h="16838" w:code="9"/>
      <w:pgMar w:top="1304" w:right="1134"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D8E53" w14:textId="77777777" w:rsidR="00F93BC8" w:rsidRDefault="00F93BC8" w:rsidP="006B2FEF">
      <w:r>
        <w:separator/>
      </w:r>
    </w:p>
  </w:endnote>
  <w:endnote w:type="continuationSeparator" w:id="0">
    <w:p w14:paraId="12CC264C" w14:textId="77777777" w:rsidR="00F93BC8" w:rsidRDefault="00F93BC8" w:rsidP="006B2FEF">
      <w:r>
        <w:continuationSeparator/>
      </w:r>
    </w:p>
  </w:endnote>
  <w:endnote w:type="continuationNotice" w:id="1">
    <w:p w14:paraId="5D9D4B9E" w14:textId="77777777" w:rsidR="00F93BC8" w:rsidRDefault="00F93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D52F" w14:textId="13D4375D" w:rsidR="00055D7A" w:rsidRPr="00BB55EA" w:rsidRDefault="00055D7A" w:rsidP="00E37F50">
    <w:pPr>
      <w:pStyle w:val="Footer"/>
      <w:jc w:val="both"/>
      <w:rPr>
        <w:lang w:val="lv-LV"/>
      </w:rPr>
    </w:pPr>
    <w:r w:rsidRPr="00586FD1">
      <w:rPr>
        <w:lang w:val="lv-LV"/>
      </w:rPr>
      <w:t>EMAnot_</w:t>
    </w:r>
    <w:r w:rsidR="004F1CF3">
      <w:rPr>
        <w:lang w:val="lv-LV"/>
      </w:rPr>
      <w:t>18</w:t>
    </w:r>
    <w:r w:rsidRPr="00586FD1">
      <w:rPr>
        <w:lang w:val="lv-LV"/>
      </w:rPr>
      <w:t>062019_MVU_kotacija_3113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FF2A6" w14:textId="5FA097F2" w:rsidR="00055D7A" w:rsidRDefault="00055D7A" w:rsidP="003B7B62">
    <w:pPr>
      <w:pStyle w:val="Footer"/>
      <w:jc w:val="both"/>
    </w:pPr>
    <w:r w:rsidRPr="00586FD1">
      <w:rPr>
        <w:noProof/>
      </w:rPr>
      <w:t>EMAnot_</w:t>
    </w:r>
    <w:r w:rsidR="004F1CF3">
      <w:rPr>
        <w:noProof/>
      </w:rPr>
      <w:t>18</w:t>
    </w:r>
    <w:r w:rsidRPr="00586FD1">
      <w:rPr>
        <w:noProof/>
      </w:rPr>
      <w:t>062019_MVU_kotacija_3113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4E585" w14:textId="77777777" w:rsidR="00F93BC8" w:rsidRDefault="00F93BC8" w:rsidP="006B2FEF">
      <w:r>
        <w:separator/>
      </w:r>
    </w:p>
  </w:footnote>
  <w:footnote w:type="continuationSeparator" w:id="0">
    <w:p w14:paraId="613C898B" w14:textId="77777777" w:rsidR="00F93BC8" w:rsidRDefault="00F93BC8" w:rsidP="006B2FEF">
      <w:r>
        <w:continuationSeparator/>
      </w:r>
    </w:p>
  </w:footnote>
  <w:footnote w:type="continuationNotice" w:id="1">
    <w:p w14:paraId="37D65068" w14:textId="77777777" w:rsidR="00F93BC8" w:rsidRDefault="00F93BC8"/>
  </w:footnote>
  <w:footnote w:id="2">
    <w:p w14:paraId="5F8E7198" w14:textId="65A53CB6" w:rsidR="00055D7A" w:rsidRPr="0080421C" w:rsidRDefault="00055D7A">
      <w:pPr>
        <w:pStyle w:val="FootnoteText"/>
      </w:pPr>
      <w:r>
        <w:rPr>
          <w:rStyle w:val="FootnoteReference"/>
        </w:rPr>
        <w:footnoteRef/>
      </w:r>
      <w:r>
        <w:t xml:space="preserve"> </w:t>
      </w:r>
      <w:hyperlink r:id="rId1" w:history="1">
        <w:r w:rsidRPr="0080421C">
          <w:rPr>
            <w:rStyle w:val="Hyperlink"/>
            <w:color w:val="auto"/>
          </w:rPr>
          <w:t>http://tap.mk.gov.lv/doc/2018_12/FMzin_081118_MVUkotacija.2409.DOCX</w:t>
        </w:r>
      </w:hyperlink>
    </w:p>
  </w:footnote>
  <w:footnote w:id="3">
    <w:p w14:paraId="087C1B23" w14:textId="77777777" w:rsidR="00055D7A" w:rsidRPr="0080421C" w:rsidRDefault="00055D7A" w:rsidP="009C3B76">
      <w:pPr>
        <w:pStyle w:val="FootnoteText"/>
        <w:rPr>
          <w:sz w:val="16"/>
          <w:szCs w:val="16"/>
          <w:lang w:val="en-US"/>
        </w:rPr>
      </w:pPr>
      <w:r w:rsidRPr="0080421C">
        <w:rPr>
          <w:rStyle w:val="FootnoteReference"/>
          <w:sz w:val="16"/>
          <w:szCs w:val="16"/>
        </w:rPr>
        <w:footnoteRef/>
      </w:r>
      <w:r w:rsidRPr="0080421C">
        <w:rPr>
          <w:sz w:val="16"/>
          <w:szCs w:val="16"/>
        </w:rPr>
        <w:t xml:space="preserve"> </w:t>
      </w:r>
      <w:r w:rsidRPr="0080421C">
        <w:rPr>
          <w:sz w:val="16"/>
          <w:szCs w:val="16"/>
          <w:lang w:val="en-US"/>
        </w:rPr>
        <w:t xml:space="preserve">CEIC data, </w:t>
      </w:r>
      <w:hyperlink r:id="rId2" w:history="1">
        <w:r w:rsidRPr="0080421C">
          <w:rPr>
            <w:rStyle w:val="Hyperlink"/>
            <w:color w:val="auto"/>
            <w:sz w:val="16"/>
            <w:szCs w:val="16"/>
            <w:lang w:val="en-US"/>
          </w:rPr>
          <w:t>https://www.ceicdata.com</w:t>
        </w:r>
      </w:hyperlink>
      <w:r w:rsidRPr="0080421C">
        <w:rPr>
          <w:sz w:val="16"/>
          <w:szCs w:val="16"/>
          <w:lang w:val="en-US"/>
        </w:rPr>
        <w:t xml:space="preserve"> </w:t>
      </w:r>
    </w:p>
  </w:footnote>
  <w:footnote w:id="4">
    <w:p w14:paraId="1C29BE59" w14:textId="77777777" w:rsidR="00055D7A" w:rsidRPr="0080421C" w:rsidRDefault="00055D7A" w:rsidP="009C3B76">
      <w:pPr>
        <w:pStyle w:val="FootnoteText"/>
        <w:rPr>
          <w:sz w:val="16"/>
          <w:szCs w:val="16"/>
        </w:rPr>
      </w:pPr>
      <w:r w:rsidRPr="0080421C">
        <w:rPr>
          <w:rStyle w:val="FootnoteReference"/>
          <w:sz w:val="16"/>
          <w:szCs w:val="16"/>
          <w:lang w:val="en-US"/>
        </w:rPr>
        <w:footnoteRef/>
      </w:r>
      <w:r w:rsidRPr="0080421C">
        <w:rPr>
          <w:sz w:val="16"/>
          <w:szCs w:val="16"/>
          <w:lang w:val="en-US"/>
        </w:rPr>
        <w:t xml:space="preserve"> European Commission, 2017. Survey on the access to finance of enterprises</w:t>
      </w:r>
      <w:r w:rsidRPr="0080421C">
        <w:rPr>
          <w:sz w:val="16"/>
          <w:szCs w:val="16"/>
        </w:rPr>
        <w:t xml:space="preserve"> (SAFE), </w:t>
      </w:r>
      <w:hyperlink r:id="rId3" w:history="1">
        <w:r w:rsidRPr="0080421C">
          <w:rPr>
            <w:rStyle w:val="Hyperlink"/>
            <w:color w:val="auto"/>
            <w:sz w:val="16"/>
            <w:szCs w:val="16"/>
          </w:rPr>
          <w:t>https://ec.europa.eu/docsroom/documents/26641</w:t>
        </w:r>
      </w:hyperlink>
      <w:r w:rsidRPr="0080421C">
        <w:rPr>
          <w:sz w:val="16"/>
          <w:szCs w:val="16"/>
        </w:rPr>
        <w:t xml:space="preserve"> </w:t>
      </w:r>
    </w:p>
  </w:footnote>
  <w:footnote w:id="5">
    <w:p w14:paraId="1F4F4D36" w14:textId="1CE6533F" w:rsidR="00637098" w:rsidRPr="0080421C" w:rsidRDefault="00637098">
      <w:pPr>
        <w:pStyle w:val="FootnoteText"/>
        <w:rPr>
          <w:sz w:val="16"/>
          <w:szCs w:val="16"/>
        </w:rPr>
      </w:pPr>
      <w:r w:rsidRPr="0080421C">
        <w:rPr>
          <w:rStyle w:val="FootnoteReference"/>
          <w:sz w:val="16"/>
          <w:szCs w:val="16"/>
        </w:rPr>
        <w:footnoteRef/>
      </w:r>
      <w:r w:rsidRPr="0080421C">
        <w:rPr>
          <w:sz w:val="16"/>
          <w:szCs w:val="16"/>
        </w:rPr>
        <w:t xml:space="preserve"> Projekta konceptuālā ziņojuma izstrādātājs - </w:t>
      </w:r>
      <w:proofErr w:type="spellStart"/>
      <w:r w:rsidRPr="0080421C">
        <w:rPr>
          <w:bCs/>
          <w:sz w:val="16"/>
          <w:szCs w:val="16"/>
        </w:rPr>
        <w:t>Mattig</w:t>
      </w:r>
      <w:proofErr w:type="spellEnd"/>
      <w:r w:rsidRPr="0080421C">
        <w:rPr>
          <w:bCs/>
          <w:sz w:val="16"/>
          <w:szCs w:val="16"/>
        </w:rPr>
        <w:t xml:space="preserve"> </w:t>
      </w:r>
      <w:proofErr w:type="spellStart"/>
      <w:r w:rsidRPr="0080421C">
        <w:rPr>
          <w:bCs/>
          <w:sz w:val="16"/>
          <w:szCs w:val="16"/>
        </w:rPr>
        <w:t>Management</w:t>
      </w:r>
      <w:proofErr w:type="spellEnd"/>
      <w:r w:rsidRPr="0080421C">
        <w:rPr>
          <w:bCs/>
          <w:sz w:val="16"/>
          <w:szCs w:val="16"/>
        </w:rPr>
        <w:t xml:space="preserve"> </w:t>
      </w:r>
      <w:proofErr w:type="spellStart"/>
      <w:r w:rsidRPr="0080421C">
        <w:rPr>
          <w:bCs/>
          <w:sz w:val="16"/>
          <w:szCs w:val="16"/>
        </w:rPr>
        <w:t>Partners</w:t>
      </w:r>
      <w:proofErr w:type="spellEnd"/>
      <w:r w:rsidRPr="0080421C">
        <w:rPr>
          <w:bCs/>
          <w:sz w:val="16"/>
          <w:szCs w:val="16"/>
        </w:rPr>
        <w:t xml:space="preserve"> </w:t>
      </w:r>
      <w:proofErr w:type="spellStart"/>
      <w:r w:rsidRPr="0080421C">
        <w:rPr>
          <w:bCs/>
          <w:sz w:val="16"/>
          <w:szCs w:val="16"/>
        </w:rPr>
        <w:t>GmbH</w:t>
      </w:r>
      <w:proofErr w:type="spellEnd"/>
      <w:r w:rsidRPr="0080421C">
        <w:rPr>
          <w:bCs/>
          <w:sz w:val="16"/>
          <w:szCs w:val="16"/>
        </w:rPr>
        <w:t xml:space="preserve">, </w:t>
      </w:r>
      <w:r w:rsidRPr="0080421C">
        <w:rPr>
          <w:sz w:val="16"/>
          <w:szCs w:val="16"/>
        </w:rPr>
        <w:t>SIA CE Services,</w:t>
      </w:r>
      <w:r w:rsidRPr="0080421C">
        <w:rPr>
          <w:bCs/>
          <w:sz w:val="16"/>
          <w:szCs w:val="16"/>
        </w:rPr>
        <w:t xml:space="preserve"> zvērinātu advokātu birojs “</w:t>
      </w:r>
      <w:proofErr w:type="spellStart"/>
      <w:r w:rsidRPr="0080421C">
        <w:rPr>
          <w:bCs/>
          <w:sz w:val="16"/>
          <w:szCs w:val="16"/>
        </w:rPr>
        <w:t>Eversheds</w:t>
      </w:r>
      <w:proofErr w:type="spellEnd"/>
      <w:r w:rsidRPr="0080421C">
        <w:rPr>
          <w:bCs/>
          <w:sz w:val="16"/>
          <w:szCs w:val="16"/>
        </w:rPr>
        <w:t xml:space="preserve"> </w:t>
      </w:r>
      <w:proofErr w:type="spellStart"/>
      <w:r w:rsidRPr="0080421C">
        <w:rPr>
          <w:bCs/>
          <w:sz w:val="16"/>
          <w:szCs w:val="16"/>
        </w:rPr>
        <w:t>Sutherland</w:t>
      </w:r>
      <w:proofErr w:type="spellEnd"/>
      <w:r w:rsidRPr="0080421C">
        <w:rPr>
          <w:bCs/>
          <w:sz w:val="16"/>
          <w:szCs w:val="16"/>
        </w:rPr>
        <w:t xml:space="preserve"> Bitāns”</w:t>
      </w:r>
    </w:p>
  </w:footnote>
  <w:footnote w:id="6">
    <w:p w14:paraId="3058E691" w14:textId="6FCC4375" w:rsidR="00055D7A" w:rsidRPr="0080421C" w:rsidRDefault="00055D7A">
      <w:pPr>
        <w:pStyle w:val="FootnoteText"/>
        <w:rPr>
          <w:sz w:val="16"/>
          <w:szCs w:val="16"/>
        </w:rPr>
      </w:pPr>
      <w:r w:rsidRPr="0080421C">
        <w:rPr>
          <w:rStyle w:val="FootnoteReference"/>
          <w:sz w:val="16"/>
          <w:szCs w:val="16"/>
        </w:rPr>
        <w:footnoteRef/>
      </w:r>
      <w:r w:rsidRPr="0080421C">
        <w:rPr>
          <w:sz w:val="16"/>
          <w:szCs w:val="16"/>
        </w:rPr>
        <w:t xml:space="preserve"> “</w:t>
      </w:r>
      <w:r w:rsidRPr="0080421C">
        <w:rPr>
          <w:sz w:val="16"/>
          <w:szCs w:val="16"/>
          <w:lang w:val="en-US"/>
        </w:rPr>
        <w:t xml:space="preserve">Design Report: Structural Fund Based SME Equity Support Instrument” prepared by </w:t>
      </w:r>
      <w:proofErr w:type="spellStart"/>
      <w:r w:rsidRPr="0080421C">
        <w:rPr>
          <w:sz w:val="16"/>
          <w:szCs w:val="16"/>
          <w:lang w:val="en-US"/>
        </w:rPr>
        <w:t>Mattig</w:t>
      </w:r>
      <w:proofErr w:type="spellEnd"/>
      <w:r w:rsidRPr="0080421C">
        <w:rPr>
          <w:sz w:val="16"/>
          <w:szCs w:val="16"/>
          <w:lang w:val="en-US"/>
        </w:rPr>
        <w:t xml:space="preserve"> Management Partners GmbH, SIA CE Services and Eversheds Sutherland </w:t>
      </w:r>
      <w:proofErr w:type="spellStart"/>
      <w:r w:rsidRPr="0080421C">
        <w:rPr>
          <w:sz w:val="16"/>
          <w:szCs w:val="16"/>
          <w:lang w:val="en-US"/>
        </w:rPr>
        <w:t>Bitāns</w:t>
      </w:r>
      <w:proofErr w:type="spellEnd"/>
      <w:r w:rsidRPr="0080421C">
        <w:rPr>
          <w:sz w:val="16"/>
          <w:szCs w:val="16"/>
          <w:lang w:val="en-US"/>
        </w:rPr>
        <w:t xml:space="preserve"> law firm, Riga and Vienna, July 2018</w:t>
      </w:r>
      <w:r w:rsidRPr="0080421C">
        <w:rPr>
          <w:sz w:val="16"/>
          <w:szCs w:val="16"/>
        </w:rPr>
        <w:t xml:space="preserve"> (angļu val.)</w:t>
      </w:r>
    </w:p>
  </w:footnote>
  <w:footnote w:id="7">
    <w:p w14:paraId="0059B181" w14:textId="7E3CA669" w:rsidR="00055D7A" w:rsidRPr="0080421C" w:rsidRDefault="00055D7A" w:rsidP="009C3B76">
      <w:pPr>
        <w:pStyle w:val="FootnoteText"/>
        <w:rPr>
          <w:sz w:val="18"/>
        </w:rPr>
      </w:pPr>
      <w:r w:rsidRPr="0080421C">
        <w:rPr>
          <w:rStyle w:val="FootnoteReference"/>
          <w:sz w:val="16"/>
          <w:szCs w:val="16"/>
        </w:rPr>
        <w:footnoteRef/>
      </w:r>
      <w:r w:rsidRPr="0080421C">
        <w:rPr>
          <w:sz w:val="16"/>
          <w:szCs w:val="16"/>
        </w:rPr>
        <w:t xml:space="preserve"> </w:t>
      </w:r>
      <w:r w:rsidR="00637098" w:rsidRPr="0080421C">
        <w:rPr>
          <w:sz w:val="16"/>
          <w:szCs w:val="16"/>
        </w:rPr>
        <w:t xml:space="preserve">Projekta </w:t>
      </w:r>
      <w:r w:rsidR="0080421C">
        <w:rPr>
          <w:sz w:val="16"/>
          <w:szCs w:val="16"/>
        </w:rPr>
        <w:t>K</w:t>
      </w:r>
      <w:r w:rsidRPr="0080421C">
        <w:rPr>
          <w:sz w:val="16"/>
          <w:szCs w:val="16"/>
        </w:rPr>
        <w:t>onceptuālā ziņojuma 11.lpp (2.3. sadaļa)</w:t>
      </w:r>
    </w:p>
  </w:footnote>
  <w:footnote w:id="8">
    <w:p w14:paraId="0BFB61DB" w14:textId="77777777" w:rsidR="00055D7A" w:rsidRPr="00507DE7" w:rsidRDefault="00055D7A" w:rsidP="009C3B76">
      <w:pPr>
        <w:pStyle w:val="FootnoteText"/>
        <w:rPr>
          <w:sz w:val="18"/>
        </w:rPr>
      </w:pPr>
      <w:r w:rsidRPr="00507DE7">
        <w:rPr>
          <w:rStyle w:val="FootnoteReference"/>
          <w:sz w:val="18"/>
        </w:rPr>
        <w:footnoteRef/>
      </w:r>
      <w:r w:rsidRPr="00507DE7">
        <w:rPr>
          <w:sz w:val="18"/>
        </w:rPr>
        <w:t xml:space="preserve"> Komisijas Ieteikums 2003/361/EK, kas publicēts. Eiropas Savienības Oficiālajā Vēstnesī 2003. gada 20. maijā (OV L 124, 20.5.2003) </w:t>
      </w:r>
      <w:hyperlink r:id="rId4" w:history="1">
        <w:r w:rsidRPr="00507DE7">
          <w:rPr>
            <w:rStyle w:val="Hyperlink"/>
            <w:sz w:val="18"/>
          </w:rPr>
          <w:t>http://eur-lex.europa.eu/legal-content/EN/TXT/?uri=CELEX:32003H0361</w:t>
        </w:r>
      </w:hyperlink>
      <w:r w:rsidRPr="00507DE7">
        <w:rPr>
          <w:sz w:val="18"/>
        </w:rPr>
        <w:t xml:space="preserve"> </w:t>
      </w:r>
    </w:p>
  </w:footnote>
  <w:footnote w:id="9">
    <w:p w14:paraId="45E5C6AE" w14:textId="774A5151" w:rsidR="00055D7A" w:rsidRPr="00507DE7" w:rsidRDefault="00055D7A" w:rsidP="009C3B76">
      <w:pPr>
        <w:pStyle w:val="FootnoteText"/>
        <w:rPr>
          <w:sz w:val="18"/>
        </w:rPr>
      </w:pPr>
      <w:r w:rsidRPr="00507DE7">
        <w:rPr>
          <w:rStyle w:val="FootnoteReference"/>
          <w:sz w:val="18"/>
        </w:rPr>
        <w:footnoteRef/>
      </w:r>
      <w:r w:rsidRPr="00507DE7">
        <w:rPr>
          <w:sz w:val="18"/>
        </w:rPr>
        <w:t xml:space="preserve"> </w:t>
      </w:r>
      <w:r w:rsidR="00E43F35">
        <w:rPr>
          <w:sz w:val="18"/>
        </w:rPr>
        <w:t xml:space="preserve">Projekta </w:t>
      </w:r>
      <w:r w:rsidRPr="00507DE7">
        <w:rPr>
          <w:sz w:val="18"/>
        </w:rPr>
        <w:t>Konceptuālā ziņojuma 5.lpp</w:t>
      </w:r>
    </w:p>
  </w:footnote>
  <w:footnote w:id="10">
    <w:p w14:paraId="1B03EB4D" w14:textId="69858B8C" w:rsidR="00055D7A" w:rsidRPr="00507DE7" w:rsidRDefault="00055D7A" w:rsidP="009C3B76">
      <w:pPr>
        <w:pStyle w:val="FootnoteText"/>
        <w:rPr>
          <w:sz w:val="18"/>
        </w:rPr>
      </w:pPr>
      <w:r w:rsidRPr="00507DE7">
        <w:rPr>
          <w:rStyle w:val="FootnoteReference"/>
          <w:sz w:val="18"/>
        </w:rPr>
        <w:footnoteRef/>
      </w:r>
      <w:r w:rsidRPr="00507DE7">
        <w:rPr>
          <w:sz w:val="18"/>
        </w:rPr>
        <w:t xml:space="preserve"> </w:t>
      </w:r>
      <w:r w:rsidR="00E43F35">
        <w:rPr>
          <w:sz w:val="18"/>
        </w:rPr>
        <w:t xml:space="preserve">Projekta </w:t>
      </w:r>
      <w:r w:rsidRPr="00507DE7">
        <w:rPr>
          <w:sz w:val="18"/>
        </w:rPr>
        <w:t>Konceptuālā ziņojuma 7.lpp</w:t>
      </w:r>
    </w:p>
  </w:footnote>
  <w:footnote w:id="11">
    <w:p w14:paraId="0066BB53" w14:textId="78F05ADF" w:rsidR="00055D7A" w:rsidRPr="00507DE7" w:rsidRDefault="00055D7A" w:rsidP="009C3B76">
      <w:pPr>
        <w:pStyle w:val="FootnoteText"/>
      </w:pPr>
      <w:r w:rsidRPr="00507DE7">
        <w:rPr>
          <w:rStyle w:val="FootnoteReference"/>
        </w:rPr>
        <w:footnoteRef/>
      </w:r>
      <w:r w:rsidR="00E43F35">
        <w:t>Projekta</w:t>
      </w:r>
      <w:r w:rsidRPr="00507DE7">
        <w:t xml:space="preserve"> Konceptuālā ziņojuma 20-24.lpp (3.2. sadaļa)</w:t>
      </w:r>
    </w:p>
  </w:footnote>
  <w:footnote w:id="12">
    <w:p w14:paraId="002D042C" w14:textId="77777777" w:rsidR="00055D7A" w:rsidRPr="00507DE7" w:rsidRDefault="00055D7A" w:rsidP="009C3B76">
      <w:pPr>
        <w:pStyle w:val="FootnoteText"/>
      </w:pPr>
      <w:r w:rsidRPr="00507DE7">
        <w:rPr>
          <w:rStyle w:val="FootnoteReference"/>
        </w:rPr>
        <w:footnoteRef/>
      </w:r>
      <w:r w:rsidRPr="00507DE7">
        <w:t xml:space="preserve"> </w:t>
      </w:r>
      <w:r w:rsidRPr="00507DE7">
        <w:rPr>
          <w:sz w:val="16"/>
          <w:szCs w:val="16"/>
        </w:rPr>
        <w:t>Detalizēts saraksts ar nepieciešamajām darbībām kas saistītas ar uzņēmuma struktūras izmaiņām uz SIA vai AS, prospektu sagatavošanas nepieciešamību, izmaksām un ilgumu, kas izriet no nacionālās un ES likumdošanas, detalizēti analizētas Konceptuālā ziņojuma 3.4.sadaļā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sdtContent>
      <w:p w14:paraId="06079B9A" w14:textId="2A33C95A" w:rsidR="00055D7A" w:rsidRPr="008D4936" w:rsidRDefault="00055D7A">
        <w:pPr>
          <w:pStyle w:val="Header"/>
          <w:jc w:val="center"/>
        </w:pPr>
        <w:r w:rsidRPr="008D4936">
          <w:fldChar w:fldCharType="begin"/>
        </w:r>
        <w:r w:rsidRPr="008D4936">
          <w:instrText xml:space="preserve"> PAGE   \* MERGEFORMAT </w:instrText>
        </w:r>
        <w:r w:rsidRPr="008D4936">
          <w:fldChar w:fldCharType="separate"/>
        </w:r>
        <w:r w:rsidRPr="008D4936">
          <w:rPr>
            <w:noProof/>
          </w:rPr>
          <w:t>7</w:t>
        </w:r>
        <w:r w:rsidRPr="008D4936">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61A"/>
    <w:multiLevelType w:val="hybridMultilevel"/>
    <w:tmpl w:val="E90AB3D0"/>
    <w:lvl w:ilvl="0" w:tplc="69484720">
      <w:start w:val="5"/>
      <w:numFmt w:val="bullet"/>
      <w:lvlText w:val="-"/>
      <w:lvlJc w:val="left"/>
      <w:pPr>
        <w:ind w:left="359" w:hanging="360"/>
      </w:pPr>
      <w:rPr>
        <w:rFonts w:ascii="Times New Roman" w:eastAsia="Calibri" w:hAnsi="Times New Roman" w:cs="Times New Roman" w:hint="default"/>
      </w:rPr>
    </w:lvl>
    <w:lvl w:ilvl="1" w:tplc="04260003" w:tentative="1">
      <w:start w:val="1"/>
      <w:numFmt w:val="bullet"/>
      <w:lvlText w:val="o"/>
      <w:lvlJc w:val="left"/>
      <w:pPr>
        <w:ind w:left="1079" w:hanging="360"/>
      </w:pPr>
      <w:rPr>
        <w:rFonts w:ascii="Courier New" w:hAnsi="Courier New" w:cs="Courier New" w:hint="default"/>
      </w:rPr>
    </w:lvl>
    <w:lvl w:ilvl="2" w:tplc="04260005" w:tentative="1">
      <w:start w:val="1"/>
      <w:numFmt w:val="bullet"/>
      <w:lvlText w:val=""/>
      <w:lvlJc w:val="left"/>
      <w:pPr>
        <w:ind w:left="1799" w:hanging="360"/>
      </w:pPr>
      <w:rPr>
        <w:rFonts w:ascii="Wingdings" w:hAnsi="Wingdings" w:hint="default"/>
      </w:rPr>
    </w:lvl>
    <w:lvl w:ilvl="3" w:tplc="04260001" w:tentative="1">
      <w:start w:val="1"/>
      <w:numFmt w:val="bullet"/>
      <w:lvlText w:val=""/>
      <w:lvlJc w:val="left"/>
      <w:pPr>
        <w:ind w:left="2519" w:hanging="360"/>
      </w:pPr>
      <w:rPr>
        <w:rFonts w:ascii="Symbol" w:hAnsi="Symbol" w:hint="default"/>
      </w:rPr>
    </w:lvl>
    <w:lvl w:ilvl="4" w:tplc="04260003" w:tentative="1">
      <w:start w:val="1"/>
      <w:numFmt w:val="bullet"/>
      <w:lvlText w:val="o"/>
      <w:lvlJc w:val="left"/>
      <w:pPr>
        <w:ind w:left="3239" w:hanging="360"/>
      </w:pPr>
      <w:rPr>
        <w:rFonts w:ascii="Courier New" w:hAnsi="Courier New" w:cs="Courier New" w:hint="default"/>
      </w:rPr>
    </w:lvl>
    <w:lvl w:ilvl="5" w:tplc="04260005" w:tentative="1">
      <w:start w:val="1"/>
      <w:numFmt w:val="bullet"/>
      <w:lvlText w:val=""/>
      <w:lvlJc w:val="left"/>
      <w:pPr>
        <w:ind w:left="3959" w:hanging="360"/>
      </w:pPr>
      <w:rPr>
        <w:rFonts w:ascii="Wingdings" w:hAnsi="Wingdings" w:hint="default"/>
      </w:rPr>
    </w:lvl>
    <w:lvl w:ilvl="6" w:tplc="04260001" w:tentative="1">
      <w:start w:val="1"/>
      <w:numFmt w:val="bullet"/>
      <w:lvlText w:val=""/>
      <w:lvlJc w:val="left"/>
      <w:pPr>
        <w:ind w:left="4679" w:hanging="360"/>
      </w:pPr>
      <w:rPr>
        <w:rFonts w:ascii="Symbol" w:hAnsi="Symbol" w:hint="default"/>
      </w:rPr>
    </w:lvl>
    <w:lvl w:ilvl="7" w:tplc="04260003" w:tentative="1">
      <w:start w:val="1"/>
      <w:numFmt w:val="bullet"/>
      <w:lvlText w:val="o"/>
      <w:lvlJc w:val="left"/>
      <w:pPr>
        <w:ind w:left="5399" w:hanging="360"/>
      </w:pPr>
      <w:rPr>
        <w:rFonts w:ascii="Courier New" w:hAnsi="Courier New" w:cs="Courier New" w:hint="default"/>
      </w:rPr>
    </w:lvl>
    <w:lvl w:ilvl="8" w:tplc="04260005" w:tentative="1">
      <w:start w:val="1"/>
      <w:numFmt w:val="bullet"/>
      <w:lvlText w:val=""/>
      <w:lvlJc w:val="left"/>
      <w:pPr>
        <w:ind w:left="6119" w:hanging="360"/>
      </w:pPr>
      <w:rPr>
        <w:rFonts w:ascii="Wingdings" w:hAnsi="Wingdings" w:hint="default"/>
      </w:rPr>
    </w:lvl>
  </w:abstractNum>
  <w:abstractNum w:abstractNumId="1" w15:restartNumberingAfterBreak="0">
    <w:nsid w:val="02C442CA"/>
    <w:multiLevelType w:val="hybridMultilevel"/>
    <w:tmpl w:val="C2D85D62"/>
    <w:lvl w:ilvl="0" w:tplc="B95C937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80506A"/>
    <w:multiLevelType w:val="hybridMultilevel"/>
    <w:tmpl w:val="787815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51D5F0E"/>
    <w:multiLevelType w:val="hybridMultilevel"/>
    <w:tmpl w:val="4B546A86"/>
    <w:lvl w:ilvl="0" w:tplc="1D9AE45C">
      <w:numFmt w:val="bullet"/>
      <w:lvlText w:val="–"/>
      <w:lvlJc w:val="left"/>
      <w:pPr>
        <w:ind w:left="142" w:hanging="360"/>
      </w:pPr>
      <w:rPr>
        <w:rFonts w:ascii="Times New Roman" w:eastAsia="Calibri" w:hAnsi="Times New Roman" w:cs="Times New Roman" w:hint="default"/>
      </w:rPr>
    </w:lvl>
    <w:lvl w:ilvl="1" w:tplc="04260003" w:tentative="1">
      <w:start w:val="1"/>
      <w:numFmt w:val="bullet"/>
      <w:lvlText w:val="o"/>
      <w:lvlJc w:val="left"/>
      <w:pPr>
        <w:ind w:left="862" w:hanging="360"/>
      </w:pPr>
      <w:rPr>
        <w:rFonts w:ascii="Courier New" w:hAnsi="Courier New" w:cs="Courier New" w:hint="default"/>
      </w:rPr>
    </w:lvl>
    <w:lvl w:ilvl="2" w:tplc="04260005" w:tentative="1">
      <w:start w:val="1"/>
      <w:numFmt w:val="bullet"/>
      <w:lvlText w:val=""/>
      <w:lvlJc w:val="left"/>
      <w:pPr>
        <w:ind w:left="1582" w:hanging="360"/>
      </w:pPr>
      <w:rPr>
        <w:rFonts w:ascii="Wingdings" w:hAnsi="Wingdings" w:hint="default"/>
      </w:rPr>
    </w:lvl>
    <w:lvl w:ilvl="3" w:tplc="04260001" w:tentative="1">
      <w:start w:val="1"/>
      <w:numFmt w:val="bullet"/>
      <w:lvlText w:val=""/>
      <w:lvlJc w:val="left"/>
      <w:pPr>
        <w:ind w:left="2302" w:hanging="360"/>
      </w:pPr>
      <w:rPr>
        <w:rFonts w:ascii="Symbol" w:hAnsi="Symbol" w:hint="default"/>
      </w:rPr>
    </w:lvl>
    <w:lvl w:ilvl="4" w:tplc="04260003" w:tentative="1">
      <w:start w:val="1"/>
      <w:numFmt w:val="bullet"/>
      <w:lvlText w:val="o"/>
      <w:lvlJc w:val="left"/>
      <w:pPr>
        <w:ind w:left="3022" w:hanging="360"/>
      </w:pPr>
      <w:rPr>
        <w:rFonts w:ascii="Courier New" w:hAnsi="Courier New" w:cs="Courier New" w:hint="default"/>
      </w:rPr>
    </w:lvl>
    <w:lvl w:ilvl="5" w:tplc="04260005" w:tentative="1">
      <w:start w:val="1"/>
      <w:numFmt w:val="bullet"/>
      <w:lvlText w:val=""/>
      <w:lvlJc w:val="left"/>
      <w:pPr>
        <w:ind w:left="3742" w:hanging="360"/>
      </w:pPr>
      <w:rPr>
        <w:rFonts w:ascii="Wingdings" w:hAnsi="Wingdings" w:hint="default"/>
      </w:rPr>
    </w:lvl>
    <w:lvl w:ilvl="6" w:tplc="04260001" w:tentative="1">
      <w:start w:val="1"/>
      <w:numFmt w:val="bullet"/>
      <w:lvlText w:val=""/>
      <w:lvlJc w:val="left"/>
      <w:pPr>
        <w:ind w:left="4462" w:hanging="360"/>
      </w:pPr>
      <w:rPr>
        <w:rFonts w:ascii="Symbol" w:hAnsi="Symbol" w:hint="default"/>
      </w:rPr>
    </w:lvl>
    <w:lvl w:ilvl="7" w:tplc="04260003" w:tentative="1">
      <w:start w:val="1"/>
      <w:numFmt w:val="bullet"/>
      <w:lvlText w:val="o"/>
      <w:lvlJc w:val="left"/>
      <w:pPr>
        <w:ind w:left="5182" w:hanging="360"/>
      </w:pPr>
      <w:rPr>
        <w:rFonts w:ascii="Courier New" w:hAnsi="Courier New" w:cs="Courier New" w:hint="default"/>
      </w:rPr>
    </w:lvl>
    <w:lvl w:ilvl="8" w:tplc="04260005" w:tentative="1">
      <w:start w:val="1"/>
      <w:numFmt w:val="bullet"/>
      <w:lvlText w:val=""/>
      <w:lvlJc w:val="left"/>
      <w:pPr>
        <w:ind w:left="5902" w:hanging="360"/>
      </w:pPr>
      <w:rPr>
        <w:rFonts w:ascii="Wingdings" w:hAnsi="Wingdings" w:hint="default"/>
      </w:rPr>
    </w:lvl>
  </w:abstractNum>
  <w:abstractNum w:abstractNumId="4"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0F8171BC"/>
    <w:multiLevelType w:val="hybridMultilevel"/>
    <w:tmpl w:val="6BAE6320"/>
    <w:lvl w:ilvl="0" w:tplc="46BAD366">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6"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15:restartNumberingAfterBreak="0">
    <w:nsid w:val="19CF3FAE"/>
    <w:multiLevelType w:val="hybridMultilevel"/>
    <w:tmpl w:val="D0140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9" w15:restartNumberingAfterBreak="0">
    <w:nsid w:val="1FA95D05"/>
    <w:multiLevelType w:val="hybridMultilevel"/>
    <w:tmpl w:val="77C41132"/>
    <w:lvl w:ilvl="0" w:tplc="37E005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228D2668"/>
    <w:multiLevelType w:val="hybridMultilevel"/>
    <w:tmpl w:val="AAA4C9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870E14"/>
    <w:multiLevelType w:val="hybridMultilevel"/>
    <w:tmpl w:val="97F05352"/>
    <w:lvl w:ilvl="0" w:tplc="C0480022">
      <w:start w:val="1"/>
      <w:numFmt w:val="decimal"/>
      <w:lvlText w:val="%1)"/>
      <w:lvlJc w:val="left"/>
      <w:pPr>
        <w:ind w:left="1440" w:hanging="720"/>
      </w:pPr>
      <w:rPr>
        <w:rFonts w:ascii="Cambria" w:eastAsiaTheme="minorHAnsi" w:hAnsi="Cambria"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B2F58BF"/>
    <w:multiLevelType w:val="hybridMultilevel"/>
    <w:tmpl w:val="E6A269FE"/>
    <w:lvl w:ilvl="0" w:tplc="AA6C735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2C34708A"/>
    <w:multiLevelType w:val="hybridMultilevel"/>
    <w:tmpl w:val="E7E03FB6"/>
    <w:lvl w:ilvl="0" w:tplc="42DAF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4" w15:restartNumberingAfterBreak="0">
    <w:nsid w:val="315539C9"/>
    <w:multiLevelType w:val="hybridMultilevel"/>
    <w:tmpl w:val="3FF28906"/>
    <w:lvl w:ilvl="0" w:tplc="69484720">
      <w:start w:val="5"/>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5" w15:restartNumberingAfterBreak="0">
    <w:nsid w:val="338939FF"/>
    <w:multiLevelType w:val="hybridMultilevel"/>
    <w:tmpl w:val="C52A55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991720"/>
    <w:multiLevelType w:val="hybridMultilevel"/>
    <w:tmpl w:val="5C242DD4"/>
    <w:lvl w:ilvl="0" w:tplc="9F2AC0A0">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5E60574"/>
    <w:multiLevelType w:val="hybridMultilevel"/>
    <w:tmpl w:val="626C33EE"/>
    <w:lvl w:ilvl="0" w:tplc="77765C2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66B6A2C"/>
    <w:multiLevelType w:val="hybridMultilevel"/>
    <w:tmpl w:val="1DE2ED08"/>
    <w:lvl w:ilvl="0" w:tplc="0AA833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15:restartNumberingAfterBreak="0">
    <w:nsid w:val="3BD17CA9"/>
    <w:multiLevelType w:val="hybridMultilevel"/>
    <w:tmpl w:val="CBA2BB18"/>
    <w:lvl w:ilvl="0" w:tplc="1C52F50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5265F8E"/>
    <w:multiLevelType w:val="hybridMultilevel"/>
    <w:tmpl w:val="B5E8051A"/>
    <w:lvl w:ilvl="0" w:tplc="4B7891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A510D38"/>
    <w:multiLevelType w:val="hybridMultilevel"/>
    <w:tmpl w:val="888CE90E"/>
    <w:lvl w:ilvl="0" w:tplc="04260001">
      <w:start w:val="1"/>
      <w:numFmt w:val="bullet"/>
      <w:lvlText w:val=""/>
      <w:lvlJc w:val="left"/>
      <w:pPr>
        <w:ind w:left="501" w:hanging="360"/>
      </w:pPr>
      <w:rPr>
        <w:rFonts w:ascii="Symbol" w:hAnsi="Symbol" w:hint="default"/>
        <w:b w:val="0"/>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1">
      <w:start w:val="1"/>
      <w:numFmt w:val="bullet"/>
      <w:lvlText w:val=""/>
      <w:lvlJc w:val="left"/>
      <w:pPr>
        <w:ind w:left="2661" w:hanging="360"/>
      </w:pPr>
      <w:rPr>
        <w:rFonts w:ascii="Symbol" w:hAnsi="Symbol" w:hint="default"/>
      </w:r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2"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58A2F4E"/>
    <w:multiLevelType w:val="hybridMultilevel"/>
    <w:tmpl w:val="3508E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B72757"/>
    <w:multiLevelType w:val="hybridMultilevel"/>
    <w:tmpl w:val="A7FCEC66"/>
    <w:lvl w:ilvl="0" w:tplc="EFF408B0">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5" w15:restartNumberingAfterBreak="0">
    <w:nsid w:val="6A143EB9"/>
    <w:multiLevelType w:val="hybridMultilevel"/>
    <w:tmpl w:val="E154CFA6"/>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26" w15:restartNumberingAfterBreak="0">
    <w:nsid w:val="6FED38EF"/>
    <w:multiLevelType w:val="hybridMultilevel"/>
    <w:tmpl w:val="C48CD6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05E154F"/>
    <w:multiLevelType w:val="hybridMultilevel"/>
    <w:tmpl w:val="9168DF8E"/>
    <w:lvl w:ilvl="0" w:tplc="BEE0299C">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8" w15:restartNumberingAfterBreak="0">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D4F09D7"/>
    <w:multiLevelType w:val="hybridMultilevel"/>
    <w:tmpl w:val="7DE4F490"/>
    <w:lvl w:ilvl="0" w:tplc="C5A0124E">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EE86341"/>
    <w:multiLevelType w:val="hybridMultilevel"/>
    <w:tmpl w:val="A698B9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num>
  <w:num w:numId="2">
    <w:abstractNumId w:val="28"/>
  </w:num>
  <w:num w:numId="3">
    <w:abstractNumId w:val="20"/>
  </w:num>
  <w:num w:numId="4">
    <w:abstractNumId w:val="9"/>
  </w:num>
  <w:num w:numId="5">
    <w:abstractNumId w:val="13"/>
  </w:num>
  <w:num w:numId="6">
    <w:abstractNumId w:val="5"/>
  </w:num>
  <w:num w:numId="7">
    <w:abstractNumId w:val="19"/>
  </w:num>
  <w:num w:numId="8">
    <w:abstractNumId w:val="30"/>
  </w:num>
  <w:num w:numId="9">
    <w:abstractNumId w:val="21"/>
  </w:num>
  <w:num w:numId="10">
    <w:abstractNumId w:val="0"/>
  </w:num>
  <w:num w:numId="11">
    <w:abstractNumId w:val="3"/>
  </w:num>
  <w:num w:numId="12">
    <w:abstractNumId w:val="14"/>
  </w:num>
  <w:num w:numId="13">
    <w:abstractNumId w:val="23"/>
  </w:num>
  <w:num w:numId="14">
    <w:abstractNumId w:val="26"/>
  </w:num>
  <w:num w:numId="15">
    <w:abstractNumId w:val="12"/>
  </w:num>
  <w:num w:numId="16">
    <w:abstractNumId w:val="27"/>
  </w:num>
  <w:num w:numId="17">
    <w:abstractNumId w:val="22"/>
  </w:num>
  <w:num w:numId="18">
    <w:abstractNumId w:val="24"/>
  </w:num>
  <w:num w:numId="19">
    <w:abstractNumId w:val="18"/>
  </w:num>
  <w:num w:numId="20">
    <w:abstractNumId w:val="6"/>
  </w:num>
  <w:num w:numId="21">
    <w:abstractNumId w:val="8"/>
  </w:num>
  <w:num w:numId="22">
    <w:abstractNumId w:val="7"/>
  </w:num>
  <w:num w:numId="23">
    <w:abstractNumId w:val="17"/>
  </w:num>
  <w:num w:numId="24">
    <w:abstractNumId w:val="10"/>
  </w:num>
  <w:num w:numId="25">
    <w:abstractNumId w:val="15"/>
  </w:num>
  <w:num w:numId="26">
    <w:abstractNumId w:val="16"/>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5"/>
  </w:num>
  <w:num w:numId="30">
    <w:abstractNumId w:val="1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292D"/>
    <w:rsid w:val="000058AA"/>
    <w:rsid w:val="0001048C"/>
    <w:rsid w:val="00010875"/>
    <w:rsid w:val="00011B2C"/>
    <w:rsid w:val="00012527"/>
    <w:rsid w:val="00013B61"/>
    <w:rsid w:val="000141AD"/>
    <w:rsid w:val="00014B9F"/>
    <w:rsid w:val="00016159"/>
    <w:rsid w:val="0002003C"/>
    <w:rsid w:val="0002596F"/>
    <w:rsid w:val="00026F18"/>
    <w:rsid w:val="0003012D"/>
    <w:rsid w:val="00030B7E"/>
    <w:rsid w:val="0003245D"/>
    <w:rsid w:val="0003265E"/>
    <w:rsid w:val="000354AB"/>
    <w:rsid w:val="00040651"/>
    <w:rsid w:val="0004217D"/>
    <w:rsid w:val="000430AC"/>
    <w:rsid w:val="00044743"/>
    <w:rsid w:val="00047095"/>
    <w:rsid w:val="000527A4"/>
    <w:rsid w:val="000533BC"/>
    <w:rsid w:val="0005465B"/>
    <w:rsid w:val="00054963"/>
    <w:rsid w:val="00055D7A"/>
    <w:rsid w:val="000678CD"/>
    <w:rsid w:val="00070F56"/>
    <w:rsid w:val="00071082"/>
    <w:rsid w:val="0007156D"/>
    <w:rsid w:val="00072B02"/>
    <w:rsid w:val="0007330D"/>
    <w:rsid w:val="00074090"/>
    <w:rsid w:val="000773A5"/>
    <w:rsid w:val="00077D13"/>
    <w:rsid w:val="0008002B"/>
    <w:rsid w:val="00080352"/>
    <w:rsid w:val="00081EC5"/>
    <w:rsid w:val="0008515E"/>
    <w:rsid w:val="00085640"/>
    <w:rsid w:val="0009324B"/>
    <w:rsid w:val="00094B1E"/>
    <w:rsid w:val="00095280"/>
    <w:rsid w:val="00096060"/>
    <w:rsid w:val="000964C6"/>
    <w:rsid w:val="000A0059"/>
    <w:rsid w:val="000A14E3"/>
    <w:rsid w:val="000A4306"/>
    <w:rsid w:val="000A7AF6"/>
    <w:rsid w:val="000B0748"/>
    <w:rsid w:val="000B1926"/>
    <w:rsid w:val="000B1B64"/>
    <w:rsid w:val="000B2B43"/>
    <w:rsid w:val="000B2C54"/>
    <w:rsid w:val="000B3449"/>
    <w:rsid w:val="000B3FAB"/>
    <w:rsid w:val="000B492B"/>
    <w:rsid w:val="000B56BB"/>
    <w:rsid w:val="000C0F2F"/>
    <w:rsid w:val="000C33C1"/>
    <w:rsid w:val="000C4418"/>
    <w:rsid w:val="000D2474"/>
    <w:rsid w:val="000D3D56"/>
    <w:rsid w:val="000D43D9"/>
    <w:rsid w:val="000D74B9"/>
    <w:rsid w:val="000E257B"/>
    <w:rsid w:val="000E53C3"/>
    <w:rsid w:val="000E56F8"/>
    <w:rsid w:val="000E5DD2"/>
    <w:rsid w:val="000F0A62"/>
    <w:rsid w:val="000F1495"/>
    <w:rsid w:val="000F4230"/>
    <w:rsid w:val="00102922"/>
    <w:rsid w:val="00102B1D"/>
    <w:rsid w:val="00110128"/>
    <w:rsid w:val="001148F2"/>
    <w:rsid w:val="0011606F"/>
    <w:rsid w:val="0012624C"/>
    <w:rsid w:val="0013430A"/>
    <w:rsid w:val="00137388"/>
    <w:rsid w:val="00137F96"/>
    <w:rsid w:val="00143BB6"/>
    <w:rsid w:val="00144CFD"/>
    <w:rsid w:val="00145366"/>
    <w:rsid w:val="00146697"/>
    <w:rsid w:val="001503AC"/>
    <w:rsid w:val="001516E4"/>
    <w:rsid w:val="0015181C"/>
    <w:rsid w:val="00151BBD"/>
    <w:rsid w:val="00152387"/>
    <w:rsid w:val="0015295F"/>
    <w:rsid w:val="00156C28"/>
    <w:rsid w:val="00161BA7"/>
    <w:rsid w:val="001650AC"/>
    <w:rsid w:val="001655DD"/>
    <w:rsid w:val="00165747"/>
    <w:rsid w:val="00165F5E"/>
    <w:rsid w:val="0016668A"/>
    <w:rsid w:val="00166A8B"/>
    <w:rsid w:val="0016744E"/>
    <w:rsid w:val="00172082"/>
    <w:rsid w:val="00177250"/>
    <w:rsid w:val="00177882"/>
    <w:rsid w:val="00177C69"/>
    <w:rsid w:val="00180E2B"/>
    <w:rsid w:val="00183B65"/>
    <w:rsid w:val="00186A4D"/>
    <w:rsid w:val="00187140"/>
    <w:rsid w:val="00190B3D"/>
    <w:rsid w:val="0019164D"/>
    <w:rsid w:val="00193168"/>
    <w:rsid w:val="001935C8"/>
    <w:rsid w:val="001946C8"/>
    <w:rsid w:val="00195D43"/>
    <w:rsid w:val="00197C9D"/>
    <w:rsid w:val="00197D9A"/>
    <w:rsid w:val="001A1368"/>
    <w:rsid w:val="001A1439"/>
    <w:rsid w:val="001A38EA"/>
    <w:rsid w:val="001A3ED2"/>
    <w:rsid w:val="001A7C3A"/>
    <w:rsid w:val="001A7E1D"/>
    <w:rsid w:val="001B13A5"/>
    <w:rsid w:val="001B5224"/>
    <w:rsid w:val="001B7454"/>
    <w:rsid w:val="001C0801"/>
    <w:rsid w:val="001C143C"/>
    <w:rsid w:val="001C1B72"/>
    <w:rsid w:val="001C2832"/>
    <w:rsid w:val="001C362D"/>
    <w:rsid w:val="001C5ED6"/>
    <w:rsid w:val="001C6208"/>
    <w:rsid w:val="001C68A2"/>
    <w:rsid w:val="001D0800"/>
    <w:rsid w:val="001D3167"/>
    <w:rsid w:val="001D4639"/>
    <w:rsid w:val="001D7397"/>
    <w:rsid w:val="001D7DC1"/>
    <w:rsid w:val="001E1B0F"/>
    <w:rsid w:val="001E3588"/>
    <w:rsid w:val="001E4C2F"/>
    <w:rsid w:val="001E5FBC"/>
    <w:rsid w:val="001E76BE"/>
    <w:rsid w:val="001F2BA2"/>
    <w:rsid w:val="001F6DBE"/>
    <w:rsid w:val="001F7086"/>
    <w:rsid w:val="001F7AAD"/>
    <w:rsid w:val="00200E7D"/>
    <w:rsid w:val="00201822"/>
    <w:rsid w:val="0020468C"/>
    <w:rsid w:val="002107BF"/>
    <w:rsid w:val="00211315"/>
    <w:rsid w:val="00215C6A"/>
    <w:rsid w:val="002177B0"/>
    <w:rsid w:val="00217F5B"/>
    <w:rsid w:val="00224E84"/>
    <w:rsid w:val="002267E7"/>
    <w:rsid w:val="00231FF2"/>
    <w:rsid w:val="0023582E"/>
    <w:rsid w:val="00237878"/>
    <w:rsid w:val="002438ED"/>
    <w:rsid w:val="002445F3"/>
    <w:rsid w:val="00244A9E"/>
    <w:rsid w:val="00246849"/>
    <w:rsid w:val="00250127"/>
    <w:rsid w:val="0025023B"/>
    <w:rsid w:val="00252EEF"/>
    <w:rsid w:val="00253B6C"/>
    <w:rsid w:val="00254651"/>
    <w:rsid w:val="00254901"/>
    <w:rsid w:val="00255BAC"/>
    <w:rsid w:val="002601C7"/>
    <w:rsid w:val="00261B97"/>
    <w:rsid w:val="00264D5E"/>
    <w:rsid w:val="002651EA"/>
    <w:rsid w:val="00265D6D"/>
    <w:rsid w:val="0027369F"/>
    <w:rsid w:val="00273700"/>
    <w:rsid w:val="00273B21"/>
    <w:rsid w:val="002755A7"/>
    <w:rsid w:val="00277D9D"/>
    <w:rsid w:val="00280D5E"/>
    <w:rsid w:val="00281540"/>
    <w:rsid w:val="00281C0B"/>
    <w:rsid w:val="00284239"/>
    <w:rsid w:val="00286973"/>
    <w:rsid w:val="0029057F"/>
    <w:rsid w:val="00290EE2"/>
    <w:rsid w:val="00292062"/>
    <w:rsid w:val="002932D2"/>
    <w:rsid w:val="002957B7"/>
    <w:rsid w:val="00296CAF"/>
    <w:rsid w:val="002A03E8"/>
    <w:rsid w:val="002A0435"/>
    <w:rsid w:val="002A0BC1"/>
    <w:rsid w:val="002A166A"/>
    <w:rsid w:val="002A3EC2"/>
    <w:rsid w:val="002A41B9"/>
    <w:rsid w:val="002A6400"/>
    <w:rsid w:val="002B3EAE"/>
    <w:rsid w:val="002B4900"/>
    <w:rsid w:val="002B4E9D"/>
    <w:rsid w:val="002B6364"/>
    <w:rsid w:val="002B7F82"/>
    <w:rsid w:val="002C15A0"/>
    <w:rsid w:val="002C22CF"/>
    <w:rsid w:val="002C3E23"/>
    <w:rsid w:val="002C3E51"/>
    <w:rsid w:val="002C5010"/>
    <w:rsid w:val="002C504B"/>
    <w:rsid w:val="002D3250"/>
    <w:rsid w:val="002D6A10"/>
    <w:rsid w:val="002D6BDB"/>
    <w:rsid w:val="002D744A"/>
    <w:rsid w:val="002D79F5"/>
    <w:rsid w:val="002D7D0E"/>
    <w:rsid w:val="002E00D5"/>
    <w:rsid w:val="002E024D"/>
    <w:rsid w:val="002E1075"/>
    <w:rsid w:val="002E5643"/>
    <w:rsid w:val="002E678E"/>
    <w:rsid w:val="002E708A"/>
    <w:rsid w:val="002F06CE"/>
    <w:rsid w:val="002F227A"/>
    <w:rsid w:val="002F4425"/>
    <w:rsid w:val="002F5587"/>
    <w:rsid w:val="002F741D"/>
    <w:rsid w:val="00300B84"/>
    <w:rsid w:val="00300D0C"/>
    <w:rsid w:val="00301A6D"/>
    <w:rsid w:val="0030247A"/>
    <w:rsid w:val="00303955"/>
    <w:rsid w:val="00304317"/>
    <w:rsid w:val="00304810"/>
    <w:rsid w:val="003061FB"/>
    <w:rsid w:val="00306270"/>
    <w:rsid w:val="0031008A"/>
    <w:rsid w:val="00310924"/>
    <w:rsid w:val="0031259B"/>
    <w:rsid w:val="00314298"/>
    <w:rsid w:val="003176D3"/>
    <w:rsid w:val="0032285D"/>
    <w:rsid w:val="003228DE"/>
    <w:rsid w:val="00322BEA"/>
    <w:rsid w:val="00323C8A"/>
    <w:rsid w:val="00326096"/>
    <w:rsid w:val="003334FB"/>
    <w:rsid w:val="0033779C"/>
    <w:rsid w:val="00337AC6"/>
    <w:rsid w:val="00343A18"/>
    <w:rsid w:val="0034476B"/>
    <w:rsid w:val="00345B76"/>
    <w:rsid w:val="00346CE0"/>
    <w:rsid w:val="00354ABE"/>
    <w:rsid w:val="003573B3"/>
    <w:rsid w:val="00360657"/>
    <w:rsid w:val="00366AFE"/>
    <w:rsid w:val="00367B98"/>
    <w:rsid w:val="00373FAF"/>
    <w:rsid w:val="00374744"/>
    <w:rsid w:val="00374CF3"/>
    <w:rsid w:val="00374F73"/>
    <w:rsid w:val="00375F30"/>
    <w:rsid w:val="00376F09"/>
    <w:rsid w:val="00380AC5"/>
    <w:rsid w:val="00381382"/>
    <w:rsid w:val="003814A5"/>
    <w:rsid w:val="003819FC"/>
    <w:rsid w:val="00381B26"/>
    <w:rsid w:val="00382FEC"/>
    <w:rsid w:val="003831C3"/>
    <w:rsid w:val="00385772"/>
    <w:rsid w:val="003863DC"/>
    <w:rsid w:val="00387734"/>
    <w:rsid w:val="0039139B"/>
    <w:rsid w:val="003913FB"/>
    <w:rsid w:val="00392998"/>
    <w:rsid w:val="00394365"/>
    <w:rsid w:val="00394CC2"/>
    <w:rsid w:val="00395460"/>
    <w:rsid w:val="00396152"/>
    <w:rsid w:val="00397D0E"/>
    <w:rsid w:val="003A1D77"/>
    <w:rsid w:val="003A24AD"/>
    <w:rsid w:val="003A40AD"/>
    <w:rsid w:val="003A61A7"/>
    <w:rsid w:val="003A6A32"/>
    <w:rsid w:val="003B1693"/>
    <w:rsid w:val="003B32EC"/>
    <w:rsid w:val="003B3488"/>
    <w:rsid w:val="003B5E55"/>
    <w:rsid w:val="003B5F6A"/>
    <w:rsid w:val="003B63BE"/>
    <w:rsid w:val="003B7B62"/>
    <w:rsid w:val="003C072B"/>
    <w:rsid w:val="003C3D3D"/>
    <w:rsid w:val="003C54C7"/>
    <w:rsid w:val="003C7796"/>
    <w:rsid w:val="003C7C53"/>
    <w:rsid w:val="003C7CB3"/>
    <w:rsid w:val="003D0448"/>
    <w:rsid w:val="003D1A86"/>
    <w:rsid w:val="003D354B"/>
    <w:rsid w:val="003D3E7E"/>
    <w:rsid w:val="003D7F0B"/>
    <w:rsid w:val="003E145E"/>
    <w:rsid w:val="003E171B"/>
    <w:rsid w:val="003E4132"/>
    <w:rsid w:val="003E4C30"/>
    <w:rsid w:val="003E5387"/>
    <w:rsid w:val="003E58C7"/>
    <w:rsid w:val="003E5A6D"/>
    <w:rsid w:val="003E5D7B"/>
    <w:rsid w:val="003E637A"/>
    <w:rsid w:val="003F0341"/>
    <w:rsid w:val="003F288B"/>
    <w:rsid w:val="003F2B20"/>
    <w:rsid w:val="003F2C34"/>
    <w:rsid w:val="003F30FC"/>
    <w:rsid w:val="003F45CD"/>
    <w:rsid w:val="003F4CC7"/>
    <w:rsid w:val="003F66D7"/>
    <w:rsid w:val="003F6916"/>
    <w:rsid w:val="003F7C94"/>
    <w:rsid w:val="00401397"/>
    <w:rsid w:val="004038BC"/>
    <w:rsid w:val="004048B9"/>
    <w:rsid w:val="00405AC0"/>
    <w:rsid w:val="00406AE2"/>
    <w:rsid w:val="00406F9D"/>
    <w:rsid w:val="00410043"/>
    <w:rsid w:val="0041027F"/>
    <w:rsid w:val="0041036A"/>
    <w:rsid w:val="00411D1A"/>
    <w:rsid w:val="0041316A"/>
    <w:rsid w:val="004158F6"/>
    <w:rsid w:val="00415A66"/>
    <w:rsid w:val="00416A31"/>
    <w:rsid w:val="00417136"/>
    <w:rsid w:val="00420760"/>
    <w:rsid w:val="00422315"/>
    <w:rsid w:val="004224C2"/>
    <w:rsid w:val="00423B46"/>
    <w:rsid w:val="00425AA9"/>
    <w:rsid w:val="00426250"/>
    <w:rsid w:val="00426A69"/>
    <w:rsid w:val="00426B77"/>
    <w:rsid w:val="00430DCC"/>
    <w:rsid w:val="00431019"/>
    <w:rsid w:val="0043280D"/>
    <w:rsid w:val="0043350A"/>
    <w:rsid w:val="00433EC2"/>
    <w:rsid w:val="004352F7"/>
    <w:rsid w:val="0043554A"/>
    <w:rsid w:val="0043619D"/>
    <w:rsid w:val="004362D3"/>
    <w:rsid w:val="00442A8B"/>
    <w:rsid w:val="00442D1E"/>
    <w:rsid w:val="00443016"/>
    <w:rsid w:val="00444344"/>
    <w:rsid w:val="00445945"/>
    <w:rsid w:val="00445DC3"/>
    <w:rsid w:val="00450691"/>
    <w:rsid w:val="00450D9C"/>
    <w:rsid w:val="00452140"/>
    <w:rsid w:val="00453BB3"/>
    <w:rsid w:val="004619FE"/>
    <w:rsid w:val="00463574"/>
    <w:rsid w:val="004666F3"/>
    <w:rsid w:val="00467343"/>
    <w:rsid w:val="0047031A"/>
    <w:rsid w:val="004741BD"/>
    <w:rsid w:val="004744A0"/>
    <w:rsid w:val="00475ACA"/>
    <w:rsid w:val="00481C20"/>
    <w:rsid w:val="00483B86"/>
    <w:rsid w:val="00485293"/>
    <w:rsid w:val="00485E47"/>
    <w:rsid w:val="00490499"/>
    <w:rsid w:val="00493E38"/>
    <w:rsid w:val="00494B5D"/>
    <w:rsid w:val="00497317"/>
    <w:rsid w:val="00497AB8"/>
    <w:rsid w:val="004A2EE3"/>
    <w:rsid w:val="004A4356"/>
    <w:rsid w:val="004A5EEF"/>
    <w:rsid w:val="004B0B1D"/>
    <w:rsid w:val="004B1167"/>
    <w:rsid w:val="004B4E9C"/>
    <w:rsid w:val="004C0738"/>
    <w:rsid w:val="004C0FE6"/>
    <w:rsid w:val="004C20F1"/>
    <w:rsid w:val="004C253C"/>
    <w:rsid w:val="004C2FC4"/>
    <w:rsid w:val="004D0B68"/>
    <w:rsid w:val="004D0F95"/>
    <w:rsid w:val="004D232B"/>
    <w:rsid w:val="004D3010"/>
    <w:rsid w:val="004D3ABB"/>
    <w:rsid w:val="004E4946"/>
    <w:rsid w:val="004E5990"/>
    <w:rsid w:val="004E5D38"/>
    <w:rsid w:val="004E603B"/>
    <w:rsid w:val="004E626B"/>
    <w:rsid w:val="004E6C7D"/>
    <w:rsid w:val="004F002E"/>
    <w:rsid w:val="004F13BD"/>
    <w:rsid w:val="004F1CF3"/>
    <w:rsid w:val="004F478F"/>
    <w:rsid w:val="0050230D"/>
    <w:rsid w:val="0050364D"/>
    <w:rsid w:val="00503D17"/>
    <w:rsid w:val="00504D6E"/>
    <w:rsid w:val="00505EE6"/>
    <w:rsid w:val="00507DE7"/>
    <w:rsid w:val="005116FB"/>
    <w:rsid w:val="00514B75"/>
    <w:rsid w:val="00515D44"/>
    <w:rsid w:val="00516734"/>
    <w:rsid w:val="00531AFF"/>
    <w:rsid w:val="00532875"/>
    <w:rsid w:val="00534305"/>
    <w:rsid w:val="00534E20"/>
    <w:rsid w:val="005364DE"/>
    <w:rsid w:val="00537FF8"/>
    <w:rsid w:val="005464E6"/>
    <w:rsid w:val="00546938"/>
    <w:rsid w:val="00547ACF"/>
    <w:rsid w:val="00547BA2"/>
    <w:rsid w:val="00551BEC"/>
    <w:rsid w:val="00552639"/>
    <w:rsid w:val="005540AB"/>
    <w:rsid w:val="00555557"/>
    <w:rsid w:val="005562E0"/>
    <w:rsid w:val="00557AA8"/>
    <w:rsid w:val="00566825"/>
    <w:rsid w:val="00566916"/>
    <w:rsid w:val="00566F71"/>
    <w:rsid w:val="00567FC5"/>
    <w:rsid w:val="00571CCF"/>
    <w:rsid w:val="00572180"/>
    <w:rsid w:val="00572337"/>
    <w:rsid w:val="00573FFE"/>
    <w:rsid w:val="00574475"/>
    <w:rsid w:val="00575FC3"/>
    <w:rsid w:val="0057625C"/>
    <w:rsid w:val="00576743"/>
    <w:rsid w:val="005771D5"/>
    <w:rsid w:val="00581784"/>
    <w:rsid w:val="00584453"/>
    <w:rsid w:val="00586FD1"/>
    <w:rsid w:val="00587B9E"/>
    <w:rsid w:val="0059087A"/>
    <w:rsid w:val="00590D25"/>
    <w:rsid w:val="00591838"/>
    <w:rsid w:val="00592809"/>
    <w:rsid w:val="00593343"/>
    <w:rsid w:val="00594A83"/>
    <w:rsid w:val="005A0C78"/>
    <w:rsid w:val="005A4807"/>
    <w:rsid w:val="005A5A80"/>
    <w:rsid w:val="005B297A"/>
    <w:rsid w:val="005B29EF"/>
    <w:rsid w:val="005B2DA5"/>
    <w:rsid w:val="005B476F"/>
    <w:rsid w:val="005B5F05"/>
    <w:rsid w:val="005B6095"/>
    <w:rsid w:val="005B65B8"/>
    <w:rsid w:val="005B6A0D"/>
    <w:rsid w:val="005B6CD0"/>
    <w:rsid w:val="005B6D1C"/>
    <w:rsid w:val="005C04E5"/>
    <w:rsid w:val="005C1764"/>
    <w:rsid w:val="005C3B2C"/>
    <w:rsid w:val="005C3D03"/>
    <w:rsid w:val="005C51FA"/>
    <w:rsid w:val="005C5413"/>
    <w:rsid w:val="005C63C7"/>
    <w:rsid w:val="005C6628"/>
    <w:rsid w:val="005C6B2C"/>
    <w:rsid w:val="005C73E4"/>
    <w:rsid w:val="005C7B1F"/>
    <w:rsid w:val="005D06E8"/>
    <w:rsid w:val="005D1195"/>
    <w:rsid w:val="005D2167"/>
    <w:rsid w:val="005D688E"/>
    <w:rsid w:val="005D6AFE"/>
    <w:rsid w:val="005D6B98"/>
    <w:rsid w:val="005D794E"/>
    <w:rsid w:val="005E27F9"/>
    <w:rsid w:val="005E30B2"/>
    <w:rsid w:val="005E39B3"/>
    <w:rsid w:val="005E4164"/>
    <w:rsid w:val="005E450A"/>
    <w:rsid w:val="005F3FC6"/>
    <w:rsid w:val="005F75C4"/>
    <w:rsid w:val="005F7F1F"/>
    <w:rsid w:val="006002BF"/>
    <w:rsid w:val="00600301"/>
    <w:rsid w:val="006008D1"/>
    <w:rsid w:val="00603D98"/>
    <w:rsid w:val="00605399"/>
    <w:rsid w:val="00605F50"/>
    <w:rsid w:val="00611ADA"/>
    <w:rsid w:val="00611E18"/>
    <w:rsid w:val="00611FC0"/>
    <w:rsid w:val="00613A4A"/>
    <w:rsid w:val="00614157"/>
    <w:rsid w:val="00614A2A"/>
    <w:rsid w:val="00614ECD"/>
    <w:rsid w:val="00615DE0"/>
    <w:rsid w:val="00617878"/>
    <w:rsid w:val="006231D7"/>
    <w:rsid w:val="00626031"/>
    <w:rsid w:val="00630C6C"/>
    <w:rsid w:val="00630ED2"/>
    <w:rsid w:val="00631935"/>
    <w:rsid w:val="00636B91"/>
    <w:rsid w:val="00637098"/>
    <w:rsid w:val="006373FF"/>
    <w:rsid w:val="00640D49"/>
    <w:rsid w:val="00646A6F"/>
    <w:rsid w:val="00651C12"/>
    <w:rsid w:val="00653397"/>
    <w:rsid w:val="006535C3"/>
    <w:rsid w:val="006553CD"/>
    <w:rsid w:val="006559F5"/>
    <w:rsid w:val="00656E13"/>
    <w:rsid w:val="0065752A"/>
    <w:rsid w:val="00661782"/>
    <w:rsid w:val="00662C11"/>
    <w:rsid w:val="00672822"/>
    <w:rsid w:val="00672918"/>
    <w:rsid w:val="006729D2"/>
    <w:rsid w:val="00673B07"/>
    <w:rsid w:val="00673BC6"/>
    <w:rsid w:val="00676467"/>
    <w:rsid w:val="006775B3"/>
    <w:rsid w:val="00684808"/>
    <w:rsid w:val="00690F72"/>
    <w:rsid w:val="006A6490"/>
    <w:rsid w:val="006B2AE2"/>
    <w:rsid w:val="006B2D92"/>
    <w:rsid w:val="006B2FEF"/>
    <w:rsid w:val="006B4B31"/>
    <w:rsid w:val="006B6581"/>
    <w:rsid w:val="006B6D6C"/>
    <w:rsid w:val="006C03C9"/>
    <w:rsid w:val="006C20C5"/>
    <w:rsid w:val="006C596A"/>
    <w:rsid w:val="006C5ECD"/>
    <w:rsid w:val="006D1520"/>
    <w:rsid w:val="006D2482"/>
    <w:rsid w:val="006D2F0C"/>
    <w:rsid w:val="006D3604"/>
    <w:rsid w:val="006D5340"/>
    <w:rsid w:val="006D536E"/>
    <w:rsid w:val="006D5EB4"/>
    <w:rsid w:val="006E2082"/>
    <w:rsid w:val="006E3709"/>
    <w:rsid w:val="006E3BE5"/>
    <w:rsid w:val="006E5D5B"/>
    <w:rsid w:val="006E67BA"/>
    <w:rsid w:val="006F2362"/>
    <w:rsid w:val="006F47EB"/>
    <w:rsid w:val="006F4DE9"/>
    <w:rsid w:val="006F61B5"/>
    <w:rsid w:val="006F71C2"/>
    <w:rsid w:val="007008B0"/>
    <w:rsid w:val="00700AC3"/>
    <w:rsid w:val="00700E68"/>
    <w:rsid w:val="00701065"/>
    <w:rsid w:val="00701206"/>
    <w:rsid w:val="0070175E"/>
    <w:rsid w:val="00703DC5"/>
    <w:rsid w:val="007040F2"/>
    <w:rsid w:val="007049DF"/>
    <w:rsid w:val="0071042E"/>
    <w:rsid w:val="0071279F"/>
    <w:rsid w:val="007153C5"/>
    <w:rsid w:val="007161D3"/>
    <w:rsid w:val="00717E34"/>
    <w:rsid w:val="00720C35"/>
    <w:rsid w:val="00720E7B"/>
    <w:rsid w:val="007262F0"/>
    <w:rsid w:val="007314F1"/>
    <w:rsid w:val="00731BE9"/>
    <w:rsid w:val="00731E2B"/>
    <w:rsid w:val="00733C32"/>
    <w:rsid w:val="00737871"/>
    <w:rsid w:val="00740409"/>
    <w:rsid w:val="007420D7"/>
    <w:rsid w:val="0074545C"/>
    <w:rsid w:val="00746C63"/>
    <w:rsid w:val="00752DBC"/>
    <w:rsid w:val="00753FF4"/>
    <w:rsid w:val="0075411D"/>
    <w:rsid w:val="00756F8A"/>
    <w:rsid w:val="00757367"/>
    <w:rsid w:val="00760295"/>
    <w:rsid w:val="00760B97"/>
    <w:rsid w:val="00761D77"/>
    <w:rsid w:val="00762675"/>
    <w:rsid w:val="00762FC8"/>
    <w:rsid w:val="00765825"/>
    <w:rsid w:val="007700D3"/>
    <w:rsid w:val="00770970"/>
    <w:rsid w:val="0077131C"/>
    <w:rsid w:val="0077138B"/>
    <w:rsid w:val="0077534E"/>
    <w:rsid w:val="0077786C"/>
    <w:rsid w:val="0078045E"/>
    <w:rsid w:val="00780B70"/>
    <w:rsid w:val="00782507"/>
    <w:rsid w:val="00782847"/>
    <w:rsid w:val="00783777"/>
    <w:rsid w:val="00783D20"/>
    <w:rsid w:val="00784E76"/>
    <w:rsid w:val="00785232"/>
    <w:rsid w:val="00785E8B"/>
    <w:rsid w:val="007862D0"/>
    <w:rsid w:val="00787948"/>
    <w:rsid w:val="0079247D"/>
    <w:rsid w:val="00794F2D"/>
    <w:rsid w:val="007954D3"/>
    <w:rsid w:val="00796159"/>
    <w:rsid w:val="00797AAD"/>
    <w:rsid w:val="007A2F02"/>
    <w:rsid w:val="007A5127"/>
    <w:rsid w:val="007A5C51"/>
    <w:rsid w:val="007B41D7"/>
    <w:rsid w:val="007B73E5"/>
    <w:rsid w:val="007B7D87"/>
    <w:rsid w:val="007C1A7D"/>
    <w:rsid w:val="007C2DA6"/>
    <w:rsid w:val="007C4094"/>
    <w:rsid w:val="007C45C5"/>
    <w:rsid w:val="007C608D"/>
    <w:rsid w:val="007D50AE"/>
    <w:rsid w:val="007E1EA6"/>
    <w:rsid w:val="007E2FDE"/>
    <w:rsid w:val="007E4C1F"/>
    <w:rsid w:val="007E6943"/>
    <w:rsid w:val="007F0204"/>
    <w:rsid w:val="007F4D45"/>
    <w:rsid w:val="007F5C3C"/>
    <w:rsid w:val="007F5C58"/>
    <w:rsid w:val="007F6449"/>
    <w:rsid w:val="007F6674"/>
    <w:rsid w:val="0080421C"/>
    <w:rsid w:val="0080630B"/>
    <w:rsid w:val="00806AB5"/>
    <w:rsid w:val="00807142"/>
    <w:rsid w:val="008074E3"/>
    <w:rsid w:val="00807802"/>
    <w:rsid w:val="0080799C"/>
    <w:rsid w:val="00810C18"/>
    <w:rsid w:val="00813FBD"/>
    <w:rsid w:val="00814421"/>
    <w:rsid w:val="00814AFC"/>
    <w:rsid w:val="00814B22"/>
    <w:rsid w:val="00821F90"/>
    <w:rsid w:val="00822862"/>
    <w:rsid w:val="0082350A"/>
    <w:rsid w:val="0082597B"/>
    <w:rsid w:val="00831A5D"/>
    <w:rsid w:val="00831DB4"/>
    <w:rsid w:val="008329F6"/>
    <w:rsid w:val="00833707"/>
    <w:rsid w:val="008365EC"/>
    <w:rsid w:val="00837390"/>
    <w:rsid w:val="00837A61"/>
    <w:rsid w:val="00844176"/>
    <w:rsid w:val="008462BF"/>
    <w:rsid w:val="008503CA"/>
    <w:rsid w:val="00852EC3"/>
    <w:rsid w:val="0085318D"/>
    <w:rsid w:val="00853734"/>
    <w:rsid w:val="008565FB"/>
    <w:rsid w:val="00861A46"/>
    <w:rsid w:val="00862834"/>
    <w:rsid w:val="00867106"/>
    <w:rsid w:val="00871516"/>
    <w:rsid w:val="0087171D"/>
    <w:rsid w:val="00871E2F"/>
    <w:rsid w:val="008764DD"/>
    <w:rsid w:val="00876632"/>
    <w:rsid w:val="00877052"/>
    <w:rsid w:val="00877499"/>
    <w:rsid w:val="008841EB"/>
    <w:rsid w:val="0088688D"/>
    <w:rsid w:val="00886C65"/>
    <w:rsid w:val="00891622"/>
    <w:rsid w:val="00891C00"/>
    <w:rsid w:val="00895E41"/>
    <w:rsid w:val="0089734D"/>
    <w:rsid w:val="008A0A32"/>
    <w:rsid w:val="008A1056"/>
    <w:rsid w:val="008A6F0F"/>
    <w:rsid w:val="008A730F"/>
    <w:rsid w:val="008A7CC5"/>
    <w:rsid w:val="008B1CC3"/>
    <w:rsid w:val="008B206C"/>
    <w:rsid w:val="008B4335"/>
    <w:rsid w:val="008B56DF"/>
    <w:rsid w:val="008B5B2C"/>
    <w:rsid w:val="008B5EFB"/>
    <w:rsid w:val="008C4728"/>
    <w:rsid w:val="008C5117"/>
    <w:rsid w:val="008C7959"/>
    <w:rsid w:val="008D4936"/>
    <w:rsid w:val="008D4F09"/>
    <w:rsid w:val="008D539E"/>
    <w:rsid w:val="008D640A"/>
    <w:rsid w:val="008D65D5"/>
    <w:rsid w:val="008D75EB"/>
    <w:rsid w:val="008D7F23"/>
    <w:rsid w:val="008E1D15"/>
    <w:rsid w:val="008E1F57"/>
    <w:rsid w:val="008E5D85"/>
    <w:rsid w:val="008E751B"/>
    <w:rsid w:val="008E78F3"/>
    <w:rsid w:val="00900C33"/>
    <w:rsid w:val="0090193D"/>
    <w:rsid w:val="009034C7"/>
    <w:rsid w:val="00905BB8"/>
    <w:rsid w:val="00906ABE"/>
    <w:rsid w:val="00907DD7"/>
    <w:rsid w:val="00910BBC"/>
    <w:rsid w:val="009129A0"/>
    <w:rsid w:val="009165D6"/>
    <w:rsid w:val="00917D6F"/>
    <w:rsid w:val="00921504"/>
    <w:rsid w:val="00922352"/>
    <w:rsid w:val="009259C5"/>
    <w:rsid w:val="0092710C"/>
    <w:rsid w:val="00927491"/>
    <w:rsid w:val="0093112B"/>
    <w:rsid w:val="0093298F"/>
    <w:rsid w:val="00937BB0"/>
    <w:rsid w:val="0094022B"/>
    <w:rsid w:val="00941041"/>
    <w:rsid w:val="00942D63"/>
    <w:rsid w:val="0094437B"/>
    <w:rsid w:val="009455DB"/>
    <w:rsid w:val="00951ED7"/>
    <w:rsid w:val="00954428"/>
    <w:rsid w:val="00954541"/>
    <w:rsid w:val="00954C0F"/>
    <w:rsid w:val="00956218"/>
    <w:rsid w:val="00956C4B"/>
    <w:rsid w:val="00957E64"/>
    <w:rsid w:val="00961605"/>
    <w:rsid w:val="00963C88"/>
    <w:rsid w:val="00966814"/>
    <w:rsid w:val="00970D58"/>
    <w:rsid w:val="00972DB1"/>
    <w:rsid w:val="00973167"/>
    <w:rsid w:val="009762F8"/>
    <w:rsid w:val="00993596"/>
    <w:rsid w:val="009A527F"/>
    <w:rsid w:val="009A64F3"/>
    <w:rsid w:val="009A692C"/>
    <w:rsid w:val="009A7E10"/>
    <w:rsid w:val="009B1C11"/>
    <w:rsid w:val="009B1CEB"/>
    <w:rsid w:val="009B2576"/>
    <w:rsid w:val="009B3508"/>
    <w:rsid w:val="009B3AE3"/>
    <w:rsid w:val="009B43EB"/>
    <w:rsid w:val="009B584C"/>
    <w:rsid w:val="009B6613"/>
    <w:rsid w:val="009B7000"/>
    <w:rsid w:val="009B75D4"/>
    <w:rsid w:val="009C061A"/>
    <w:rsid w:val="009C108E"/>
    <w:rsid w:val="009C1FE8"/>
    <w:rsid w:val="009C228A"/>
    <w:rsid w:val="009C282F"/>
    <w:rsid w:val="009C2E2D"/>
    <w:rsid w:val="009C3257"/>
    <w:rsid w:val="009C3B76"/>
    <w:rsid w:val="009C5A92"/>
    <w:rsid w:val="009C7F6E"/>
    <w:rsid w:val="009D0A96"/>
    <w:rsid w:val="009D1051"/>
    <w:rsid w:val="009D43B2"/>
    <w:rsid w:val="009E5C84"/>
    <w:rsid w:val="009F0FC9"/>
    <w:rsid w:val="009F1A7E"/>
    <w:rsid w:val="009F2E00"/>
    <w:rsid w:val="00A03E32"/>
    <w:rsid w:val="00A13FC8"/>
    <w:rsid w:val="00A14369"/>
    <w:rsid w:val="00A14826"/>
    <w:rsid w:val="00A154D5"/>
    <w:rsid w:val="00A2067E"/>
    <w:rsid w:val="00A21F19"/>
    <w:rsid w:val="00A229AC"/>
    <w:rsid w:val="00A23E8B"/>
    <w:rsid w:val="00A25225"/>
    <w:rsid w:val="00A26676"/>
    <w:rsid w:val="00A267B2"/>
    <w:rsid w:val="00A27A02"/>
    <w:rsid w:val="00A3079E"/>
    <w:rsid w:val="00A30DAB"/>
    <w:rsid w:val="00A321E5"/>
    <w:rsid w:val="00A32A3F"/>
    <w:rsid w:val="00A32C53"/>
    <w:rsid w:val="00A337C5"/>
    <w:rsid w:val="00A33B10"/>
    <w:rsid w:val="00A34EAB"/>
    <w:rsid w:val="00A37CD5"/>
    <w:rsid w:val="00A41FB2"/>
    <w:rsid w:val="00A44044"/>
    <w:rsid w:val="00A4431A"/>
    <w:rsid w:val="00A44AFA"/>
    <w:rsid w:val="00A468F1"/>
    <w:rsid w:val="00A541ED"/>
    <w:rsid w:val="00A562DC"/>
    <w:rsid w:val="00A56E9B"/>
    <w:rsid w:val="00A57E29"/>
    <w:rsid w:val="00A6582E"/>
    <w:rsid w:val="00A66F1F"/>
    <w:rsid w:val="00A73047"/>
    <w:rsid w:val="00A73448"/>
    <w:rsid w:val="00A74345"/>
    <w:rsid w:val="00A77F8F"/>
    <w:rsid w:val="00A84EFE"/>
    <w:rsid w:val="00A85550"/>
    <w:rsid w:val="00A86F1C"/>
    <w:rsid w:val="00A87AF0"/>
    <w:rsid w:val="00A9174A"/>
    <w:rsid w:val="00A92A07"/>
    <w:rsid w:val="00A93054"/>
    <w:rsid w:val="00A969CC"/>
    <w:rsid w:val="00A96C8D"/>
    <w:rsid w:val="00A9708B"/>
    <w:rsid w:val="00AA3A72"/>
    <w:rsid w:val="00AA5B1C"/>
    <w:rsid w:val="00AB037A"/>
    <w:rsid w:val="00AB3EB4"/>
    <w:rsid w:val="00AB40E5"/>
    <w:rsid w:val="00AB6AE8"/>
    <w:rsid w:val="00AC24BD"/>
    <w:rsid w:val="00AD2008"/>
    <w:rsid w:val="00AD375A"/>
    <w:rsid w:val="00AD3D79"/>
    <w:rsid w:val="00AD4F2E"/>
    <w:rsid w:val="00AD5B91"/>
    <w:rsid w:val="00AD5C75"/>
    <w:rsid w:val="00AD6AEF"/>
    <w:rsid w:val="00AD7D3C"/>
    <w:rsid w:val="00AE0055"/>
    <w:rsid w:val="00AE091D"/>
    <w:rsid w:val="00AE479D"/>
    <w:rsid w:val="00AE5675"/>
    <w:rsid w:val="00AE57EC"/>
    <w:rsid w:val="00AF1C04"/>
    <w:rsid w:val="00AF254A"/>
    <w:rsid w:val="00AF36C9"/>
    <w:rsid w:val="00AF521D"/>
    <w:rsid w:val="00AF5DF5"/>
    <w:rsid w:val="00B02EDD"/>
    <w:rsid w:val="00B0343C"/>
    <w:rsid w:val="00B10B94"/>
    <w:rsid w:val="00B111A5"/>
    <w:rsid w:val="00B117F2"/>
    <w:rsid w:val="00B13379"/>
    <w:rsid w:val="00B13C6F"/>
    <w:rsid w:val="00B14D75"/>
    <w:rsid w:val="00B15DBA"/>
    <w:rsid w:val="00B2297A"/>
    <w:rsid w:val="00B230F6"/>
    <w:rsid w:val="00B26202"/>
    <w:rsid w:val="00B268DF"/>
    <w:rsid w:val="00B300C7"/>
    <w:rsid w:val="00B32793"/>
    <w:rsid w:val="00B364C9"/>
    <w:rsid w:val="00B364E6"/>
    <w:rsid w:val="00B404B6"/>
    <w:rsid w:val="00B414FF"/>
    <w:rsid w:val="00B4164D"/>
    <w:rsid w:val="00B450C4"/>
    <w:rsid w:val="00B4522D"/>
    <w:rsid w:val="00B457C4"/>
    <w:rsid w:val="00B462F7"/>
    <w:rsid w:val="00B4697F"/>
    <w:rsid w:val="00B46A16"/>
    <w:rsid w:val="00B50D88"/>
    <w:rsid w:val="00B51427"/>
    <w:rsid w:val="00B5564B"/>
    <w:rsid w:val="00B55A30"/>
    <w:rsid w:val="00B618A9"/>
    <w:rsid w:val="00B61B3E"/>
    <w:rsid w:val="00B621AF"/>
    <w:rsid w:val="00B63FAF"/>
    <w:rsid w:val="00B652FE"/>
    <w:rsid w:val="00B65CF6"/>
    <w:rsid w:val="00B700CC"/>
    <w:rsid w:val="00B73E15"/>
    <w:rsid w:val="00B74B38"/>
    <w:rsid w:val="00B762A0"/>
    <w:rsid w:val="00B77E56"/>
    <w:rsid w:val="00B80371"/>
    <w:rsid w:val="00B8269F"/>
    <w:rsid w:val="00B837AE"/>
    <w:rsid w:val="00B83EED"/>
    <w:rsid w:val="00B85A89"/>
    <w:rsid w:val="00B868AD"/>
    <w:rsid w:val="00B96BE0"/>
    <w:rsid w:val="00B9742D"/>
    <w:rsid w:val="00BA2274"/>
    <w:rsid w:val="00BB0BAA"/>
    <w:rsid w:val="00BB1EA2"/>
    <w:rsid w:val="00BB480B"/>
    <w:rsid w:val="00BB4E62"/>
    <w:rsid w:val="00BB55EA"/>
    <w:rsid w:val="00BC608E"/>
    <w:rsid w:val="00BC69DC"/>
    <w:rsid w:val="00BC7045"/>
    <w:rsid w:val="00BD20AE"/>
    <w:rsid w:val="00BD3E54"/>
    <w:rsid w:val="00BD5BCD"/>
    <w:rsid w:val="00BD7AE1"/>
    <w:rsid w:val="00BE15E4"/>
    <w:rsid w:val="00BE6127"/>
    <w:rsid w:val="00BF1030"/>
    <w:rsid w:val="00BF13E6"/>
    <w:rsid w:val="00BF15B9"/>
    <w:rsid w:val="00BF7BD9"/>
    <w:rsid w:val="00BF7D60"/>
    <w:rsid w:val="00C017FE"/>
    <w:rsid w:val="00C027E1"/>
    <w:rsid w:val="00C0447C"/>
    <w:rsid w:val="00C04CAF"/>
    <w:rsid w:val="00C050AF"/>
    <w:rsid w:val="00C05EF2"/>
    <w:rsid w:val="00C10BE0"/>
    <w:rsid w:val="00C12263"/>
    <w:rsid w:val="00C12CF8"/>
    <w:rsid w:val="00C136CD"/>
    <w:rsid w:val="00C140B4"/>
    <w:rsid w:val="00C15EB7"/>
    <w:rsid w:val="00C212B4"/>
    <w:rsid w:val="00C21746"/>
    <w:rsid w:val="00C220E6"/>
    <w:rsid w:val="00C23427"/>
    <w:rsid w:val="00C23F73"/>
    <w:rsid w:val="00C25016"/>
    <w:rsid w:val="00C2517F"/>
    <w:rsid w:val="00C25508"/>
    <w:rsid w:val="00C26333"/>
    <w:rsid w:val="00C264E6"/>
    <w:rsid w:val="00C26E37"/>
    <w:rsid w:val="00C271E6"/>
    <w:rsid w:val="00C32C97"/>
    <w:rsid w:val="00C353F8"/>
    <w:rsid w:val="00C35A54"/>
    <w:rsid w:val="00C4014E"/>
    <w:rsid w:val="00C414AE"/>
    <w:rsid w:val="00C416DB"/>
    <w:rsid w:val="00C423B7"/>
    <w:rsid w:val="00C42887"/>
    <w:rsid w:val="00C42ACD"/>
    <w:rsid w:val="00C446A5"/>
    <w:rsid w:val="00C45150"/>
    <w:rsid w:val="00C51C2E"/>
    <w:rsid w:val="00C52004"/>
    <w:rsid w:val="00C63189"/>
    <w:rsid w:val="00C6333E"/>
    <w:rsid w:val="00C633A8"/>
    <w:rsid w:val="00C65AAE"/>
    <w:rsid w:val="00C66A4D"/>
    <w:rsid w:val="00C7141D"/>
    <w:rsid w:val="00C715DF"/>
    <w:rsid w:val="00C72945"/>
    <w:rsid w:val="00C77C68"/>
    <w:rsid w:val="00C85115"/>
    <w:rsid w:val="00C86327"/>
    <w:rsid w:val="00C86896"/>
    <w:rsid w:val="00C86AE5"/>
    <w:rsid w:val="00C9276F"/>
    <w:rsid w:val="00C933DE"/>
    <w:rsid w:val="00CA082C"/>
    <w:rsid w:val="00CA0BCB"/>
    <w:rsid w:val="00CA373F"/>
    <w:rsid w:val="00CB2A80"/>
    <w:rsid w:val="00CB5A26"/>
    <w:rsid w:val="00CB6AC4"/>
    <w:rsid w:val="00CC40B2"/>
    <w:rsid w:val="00CD1C12"/>
    <w:rsid w:val="00CD1F7F"/>
    <w:rsid w:val="00CE0AC5"/>
    <w:rsid w:val="00CE1DD6"/>
    <w:rsid w:val="00CE35E1"/>
    <w:rsid w:val="00CE3BE7"/>
    <w:rsid w:val="00CE5541"/>
    <w:rsid w:val="00CE5D8D"/>
    <w:rsid w:val="00CF4607"/>
    <w:rsid w:val="00CF6767"/>
    <w:rsid w:val="00CF747C"/>
    <w:rsid w:val="00D00576"/>
    <w:rsid w:val="00D0207F"/>
    <w:rsid w:val="00D029F8"/>
    <w:rsid w:val="00D04299"/>
    <w:rsid w:val="00D05947"/>
    <w:rsid w:val="00D05A7A"/>
    <w:rsid w:val="00D07485"/>
    <w:rsid w:val="00D07B78"/>
    <w:rsid w:val="00D12B80"/>
    <w:rsid w:val="00D13BD0"/>
    <w:rsid w:val="00D13D6F"/>
    <w:rsid w:val="00D146CC"/>
    <w:rsid w:val="00D165F4"/>
    <w:rsid w:val="00D16C33"/>
    <w:rsid w:val="00D20CC5"/>
    <w:rsid w:val="00D217AC"/>
    <w:rsid w:val="00D2343F"/>
    <w:rsid w:val="00D31BE1"/>
    <w:rsid w:val="00D320BA"/>
    <w:rsid w:val="00D332AE"/>
    <w:rsid w:val="00D37973"/>
    <w:rsid w:val="00D41F46"/>
    <w:rsid w:val="00D42754"/>
    <w:rsid w:val="00D455A4"/>
    <w:rsid w:val="00D5265D"/>
    <w:rsid w:val="00D61EDF"/>
    <w:rsid w:val="00D62E09"/>
    <w:rsid w:val="00D64101"/>
    <w:rsid w:val="00D64FFD"/>
    <w:rsid w:val="00D67CE9"/>
    <w:rsid w:val="00D70AAA"/>
    <w:rsid w:val="00D71684"/>
    <w:rsid w:val="00D71D93"/>
    <w:rsid w:val="00D767E6"/>
    <w:rsid w:val="00D76D7C"/>
    <w:rsid w:val="00D77A0C"/>
    <w:rsid w:val="00D8131B"/>
    <w:rsid w:val="00D81D94"/>
    <w:rsid w:val="00D8420C"/>
    <w:rsid w:val="00D84DE0"/>
    <w:rsid w:val="00D96F7F"/>
    <w:rsid w:val="00D96FBA"/>
    <w:rsid w:val="00D97622"/>
    <w:rsid w:val="00DA1FCE"/>
    <w:rsid w:val="00DA239C"/>
    <w:rsid w:val="00DA7CED"/>
    <w:rsid w:val="00DB3228"/>
    <w:rsid w:val="00DB3721"/>
    <w:rsid w:val="00DB3D04"/>
    <w:rsid w:val="00DB59FB"/>
    <w:rsid w:val="00DC64F8"/>
    <w:rsid w:val="00DC72F1"/>
    <w:rsid w:val="00DD00BE"/>
    <w:rsid w:val="00DD02D4"/>
    <w:rsid w:val="00DD0953"/>
    <w:rsid w:val="00DD16E0"/>
    <w:rsid w:val="00DD1CB9"/>
    <w:rsid w:val="00DD1F77"/>
    <w:rsid w:val="00DD2637"/>
    <w:rsid w:val="00DD2F35"/>
    <w:rsid w:val="00DE762A"/>
    <w:rsid w:val="00DF1027"/>
    <w:rsid w:val="00DF3993"/>
    <w:rsid w:val="00DF6E16"/>
    <w:rsid w:val="00E00218"/>
    <w:rsid w:val="00E018E1"/>
    <w:rsid w:val="00E0333C"/>
    <w:rsid w:val="00E0484E"/>
    <w:rsid w:val="00E07AC4"/>
    <w:rsid w:val="00E10305"/>
    <w:rsid w:val="00E1062C"/>
    <w:rsid w:val="00E1136D"/>
    <w:rsid w:val="00E116BA"/>
    <w:rsid w:val="00E11D29"/>
    <w:rsid w:val="00E140A6"/>
    <w:rsid w:val="00E15447"/>
    <w:rsid w:val="00E15B7B"/>
    <w:rsid w:val="00E172D1"/>
    <w:rsid w:val="00E20773"/>
    <w:rsid w:val="00E2107F"/>
    <w:rsid w:val="00E215C1"/>
    <w:rsid w:val="00E23059"/>
    <w:rsid w:val="00E231E0"/>
    <w:rsid w:val="00E30352"/>
    <w:rsid w:val="00E33146"/>
    <w:rsid w:val="00E37F50"/>
    <w:rsid w:val="00E407F8"/>
    <w:rsid w:val="00E40942"/>
    <w:rsid w:val="00E43F35"/>
    <w:rsid w:val="00E468CD"/>
    <w:rsid w:val="00E50BE5"/>
    <w:rsid w:val="00E50E6F"/>
    <w:rsid w:val="00E539B3"/>
    <w:rsid w:val="00E55EC8"/>
    <w:rsid w:val="00E56469"/>
    <w:rsid w:val="00E56D02"/>
    <w:rsid w:val="00E57209"/>
    <w:rsid w:val="00E5727D"/>
    <w:rsid w:val="00E57A77"/>
    <w:rsid w:val="00E60485"/>
    <w:rsid w:val="00E713A7"/>
    <w:rsid w:val="00E72404"/>
    <w:rsid w:val="00E74A15"/>
    <w:rsid w:val="00E7567F"/>
    <w:rsid w:val="00E85807"/>
    <w:rsid w:val="00E86ACB"/>
    <w:rsid w:val="00E900E0"/>
    <w:rsid w:val="00E9122B"/>
    <w:rsid w:val="00E93CFE"/>
    <w:rsid w:val="00E953B9"/>
    <w:rsid w:val="00EA0EBB"/>
    <w:rsid w:val="00EA1619"/>
    <w:rsid w:val="00EA49CE"/>
    <w:rsid w:val="00EA4CBA"/>
    <w:rsid w:val="00EA6CD3"/>
    <w:rsid w:val="00EA7EDF"/>
    <w:rsid w:val="00EB184B"/>
    <w:rsid w:val="00EB5EB7"/>
    <w:rsid w:val="00EC03E6"/>
    <w:rsid w:val="00EC218F"/>
    <w:rsid w:val="00ED053C"/>
    <w:rsid w:val="00ED0911"/>
    <w:rsid w:val="00ED0A46"/>
    <w:rsid w:val="00ED18C9"/>
    <w:rsid w:val="00ED2979"/>
    <w:rsid w:val="00ED377A"/>
    <w:rsid w:val="00ED4255"/>
    <w:rsid w:val="00ED5CF7"/>
    <w:rsid w:val="00ED603E"/>
    <w:rsid w:val="00EE1F4C"/>
    <w:rsid w:val="00EE3594"/>
    <w:rsid w:val="00EE44FE"/>
    <w:rsid w:val="00EE4A54"/>
    <w:rsid w:val="00EE4C51"/>
    <w:rsid w:val="00EE61BD"/>
    <w:rsid w:val="00EE7BA0"/>
    <w:rsid w:val="00EF0803"/>
    <w:rsid w:val="00EF2696"/>
    <w:rsid w:val="00EF55B6"/>
    <w:rsid w:val="00EF5EDE"/>
    <w:rsid w:val="00F00283"/>
    <w:rsid w:val="00F00E88"/>
    <w:rsid w:val="00F019FA"/>
    <w:rsid w:val="00F0222E"/>
    <w:rsid w:val="00F02EB7"/>
    <w:rsid w:val="00F0662E"/>
    <w:rsid w:val="00F066C5"/>
    <w:rsid w:val="00F06F21"/>
    <w:rsid w:val="00F127D1"/>
    <w:rsid w:val="00F15773"/>
    <w:rsid w:val="00F30608"/>
    <w:rsid w:val="00F30A0A"/>
    <w:rsid w:val="00F32822"/>
    <w:rsid w:val="00F352DD"/>
    <w:rsid w:val="00F40158"/>
    <w:rsid w:val="00F40762"/>
    <w:rsid w:val="00F40F20"/>
    <w:rsid w:val="00F418C2"/>
    <w:rsid w:val="00F42208"/>
    <w:rsid w:val="00F438F2"/>
    <w:rsid w:val="00F449A8"/>
    <w:rsid w:val="00F44B3E"/>
    <w:rsid w:val="00F50508"/>
    <w:rsid w:val="00F51164"/>
    <w:rsid w:val="00F51937"/>
    <w:rsid w:val="00F53217"/>
    <w:rsid w:val="00F542FA"/>
    <w:rsid w:val="00F54F0F"/>
    <w:rsid w:val="00F652EB"/>
    <w:rsid w:val="00F6548F"/>
    <w:rsid w:val="00F70443"/>
    <w:rsid w:val="00F7097D"/>
    <w:rsid w:val="00F716EF"/>
    <w:rsid w:val="00F754D1"/>
    <w:rsid w:val="00F77D50"/>
    <w:rsid w:val="00F81A0A"/>
    <w:rsid w:val="00F838F0"/>
    <w:rsid w:val="00F858D1"/>
    <w:rsid w:val="00F85A24"/>
    <w:rsid w:val="00F9016C"/>
    <w:rsid w:val="00F929ED"/>
    <w:rsid w:val="00F9305D"/>
    <w:rsid w:val="00F93BC8"/>
    <w:rsid w:val="00F94D89"/>
    <w:rsid w:val="00F9522F"/>
    <w:rsid w:val="00FA3AB1"/>
    <w:rsid w:val="00FA4EC5"/>
    <w:rsid w:val="00FA5EE1"/>
    <w:rsid w:val="00FB1472"/>
    <w:rsid w:val="00FC2E35"/>
    <w:rsid w:val="00FC3C7A"/>
    <w:rsid w:val="00FC6839"/>
    <w:rsid w:val="00FD01FC"/>
    <w:rsid w:val="00FD061B"/>
    <w:rsid w:val="00FD2890"/>
    <w:rsid w:val="00FD5F34"/>
    <w:rsid w:val="00FD5FEF"/>
    <w:rsid w:val="00FD7ED7"/>
    <w:rsid w:val="00FE2298"/>
    <w:rsid w:val="00FE2D33"/>
    <w:rsid w:val="00FE5618"/>
    <w:rsid w:val="00FE6FC3"/>
    <w:rsid w:val="00FE76B5"/>
    <w:rsid w:val="00FE76D2"/>
    <w:rsid w:val="00FF22AC"/>
    <w:rsid w:val="00FF3664"/>
    <w:rsid w:val="00FF3FE7"/>
    <w:rsid w:val="00FF42CE"/>
    <w:rsid w:val="00FF4471"/>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
    <w:basedOn w:val="Normal"/>
    <w:link w:val="ListParagraphChar"/>
    <w:uiPriority w:val="34"/>
    <w:qFormat/>
    <w:rsid w:val="00166A8B"/>
    <w:pPr>
      <w:ind w:left="720"/>
      <w:contextualSpacing/>
    </w:pPr>
  </w:style>
  <w:style w:type="character" w:styleId="CommentReference">
    <w:name w:val="annotation reference"/>
    <w:basedOn w:val="DefaultParagraphFont"/>
    <w:semiHidden/>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uiPriority w:val="99"/>
    <w:rsid w:val="00AD6AEF"/>
    <w:pPr>
      <w:jc w:val="both"/>
    </w:pPr>
    <w:rPr>
      <w:rFonts w:eastAsia="Times New Roman"/>
      <w:lang w:val="lv-LV"/>
    </w:rPr>
  </w:style>
  <w:style w:type="character" w:customStyle="1" w:styleId="FootnoteTextChar">
    <w:name w:val="Footnote Text Char"/>
    <w:basedOn w:val="DefaultParagraphFont"/>
    <w:link w:val="FootnoteText"/>
    <w:uiPriority w:val="99"/>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styleId="UnresolvedMention">
    <w:name w:val="Unresolved Mention"/>
    <w:basedOn w:val="DefaultParagraphFont"/>
    <w:uiPriority w:val="99"/>
    <w:semiHidden/>
    <w:unhideWhenUsed/>
    <w:rsid w:val="005A0C78"/>
    <w:rPr>
      <w:color w:val="808080"/>
      <w:shd w:val="clear" w:color="auto" w:fill="E6E6E6"/>
    </w:rPr>
  </w:style>
  <w:style w:type="paragraph" w:styleId="Title">
    <w:name w:val="Title"/>
    <w:basedOn w:val="Normal"/>
    <w:link w:val="TitleChar"/>
    <w:qFormat/>
    <w:rsid w:val="00D05947"/>
    <w:pPr>
      <w:jc w:val="center"/>
    </w:pPr>
    <w:rPr>
      <w:rFonts w:eastAsia="Times New Roman"/>
      <w:sz w:val="28"/>
      <w:lang w:val="lv-LV"/>
    </w:rPr>
  </w:style>
  <w:style w:type="character" w:customStyle="1" w:styleId="TitleChar">
    <w:name w:val="Title Char"/>
    <w:basedOn w:val="DefaultParagraphFont"/>
    <w:link w:val="Title"/>
    <w:rsid w:val="00D05947"/>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29775961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724064040">
      <w:bodyDiv w:val="1"/>
      <w:marLeft w:val="0"/>
      <w:marRight w:val="0"/>
      <w:marTop w:val="0"/>
      <w:marBottom w:val="0"/>
      <w:divBdr>
        <w:top w:val="none" w:sz="0" w:space="0" w:color="auto"/>
        <w:left w:val="none" w:sz="0" w:space="0" w:color="auto"/>
        <w:bottom w:val="none" w:sz="0" w:space="0" w:color="auto"/>
        <w:right w:val="none" w:sz="0" w:space="0" w:color="auto"/>
      </w:divBdr>
    </w:div>
    <w:div w:id="784077653">
      <w:bodyDiv w:val="1"/>
      <w:marLeft w:val="0"/>
      <w:marRight w:val="0"/>
      <w:marTop w:val="0"/>
      <w:marBottom w:val="0"/>
      <w:divBdr>
        <w:top w:val="none" w:sz="0" w:space="0" w:color="auto"/>
        <w:left w:val="none" w:sz="0" w:space="0" w:color="auto"/>
        <w:bottom w:val="none" w:sz="0" w:space="0" w:color="auto"/>
        <w:right w:val="none" w:sz="0" w:space="0" w:color="auto"/>
      </w:divBdr>
    </w:div>
    <w:div w:id="807817380">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401907119">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par_ministriju/sabiedribas_lidzdaliba/diskusiju_dokument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ta.Valgaca@e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content/ministru-kabineta-diskusiju-dokumen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m.gov.lv/lv/par_ministriju/sabiedribas_lidzdaliba/diskusiju_dokumenti/"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ocsroom/documents/26641" TargetMode="External"/><Relationship Id="rId2" Type="http://schemas.openxmlformats.org/officeDocument/2006/relationships/hyperlink" Target="https://www.ceicdata.com" TargetMode="External"/><Relationship Id="rId1" Type="http://schemas.openxmlformats.org/officeDocument/2006/relationships/hyperlink" Target="http://tap.mk.gov.lv/doc/2018_12/FMzin_081118_MVUkotacija.2409.DOCX" TargetMode="External"/><Relationship Id="rId4" Type="http://schemas.openxmlformats.org/officeDocument/2006/relationships/hyperlink" Target="http://eur-lex.europa.eu/legal-content/EN/TXT/?uri=CELEX:32003H0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3E4A1-9EFF-4B0E-9274-B9D42E85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2644</Words>
  <Characters>20949</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Ministru kabineta noteikumu projekta ”Darbības programmas "Izaugsme un nodarbinātība" 3.1.1. specifiskā atbalsta mērķa “Sekmēt mazo, vidējo komersantu izveidi un attīstību, īpaši apstrādes rūpniecībā un RIS3 prioritārajās nozarēs” 3.1.1.[3]. pasākuma “Atb</vt:lpstr>
    </vt:vector>
  </TitlesOfParts>
  <Company>Altum</Company>
  <LinksUpToDate>false</LinksUpToDate>
  <CharactersWithSpaces>23499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3.1.1. specifiskā atbalsta mērķa “Sekmēt mazo, vidējo komersantu izveidi un attīstību, īpaši apstrādes rūpniecībā un RIS3 prioritārajās nozarēs” 3.1.1.[3]. pasākuma “Atbalsts mazo, vidējo komersantu finansējuma piesaistei kapitāla tirgos” īstenošanas noteikumi” sākotnējās ietekmes novērtējuma ziņojums (anotācija)</dc:title>
  <dc:subject>Anotācija</dc:subject>
  <dc:creator>Signe Tuklere</dc:creator>
  <cp:keywords>Anotācija</cp:keywords>
  <dc:description>67013298, Evita.Valgaca@em.gov.lv</dc:description>
  <cp:lastModifiedBy>Rolands Vītiņš</cp:lastModifiedBy>
  <cp:revision>5</cp:revision>
  <cp:lastPrinted>2017-07-21T07:32:00Z</cp:lastPrinted>
  <dcterms:created xsi:type="dcterms:W3CDTF">2019-06-18T08:03:00Z</dcterms:created>
  <dcterms:modified xsi:type="dcterms:W3CDTF">2019-06-18T13:37:00Z</dcterms:modified>
</cp:coreProperties>
</file>