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50D275F7" w:rsidR="00E5323B" w:rsidRDefault="005704E0" w:rsidP="00737139">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482564">
        <w:rPr>
          <w:rFonts w:ascii="Times New Roman" w:eastAsia="Times New Roman" w:hAnsi="Times New Roman" w:cs="Times New Roman"/>
          <w:b/>
          <w:bCs/>
          <w:sz w:val="26"/>
          <w:szCs w:val="26"/>
          <w:lang w:eastAsia="lv-LV"/>
        </w:rPr>
        <w:t>Ministru kabineta noteikumu projekta „</w:t>
      </w:r>
      <w:r w:rsidR="00585F2C" w:rsidRPr="00482564">
        <w:rPr>
          <w:rFonts w:ascii="Times New Roman" w:eastAsia="Times New Roman" w:hAnsi="Times New Roman" w:cs="Times New Roman"/>
          <w:b/>
          <w:bCs/>
          <w:sz w:val="26"/>
          <w:szCs w:val="26"/>
          <w:lang w:eastAsia="lv-LV"/>
        </w:rPr>
        <w:t>Grozījumi</w:t>
      </w:r>
      <w:bookmarkStart w:id="0" w:name="_GoBack"/>
      <w:bookmarkEnd w:id="0"/>
      <w:r w:rsidR="00585F2C" w:rsidRPr="00482564">
        <w:rPr>
          <w:rFonts w:ascii="Times New Roman" w:eastAsia="Times New Roman" w:hAnsi="Times New Roman" w:cs="Times New Roman"/>
          <w:b/>
          <w:bCs/>
          <w:sz w:val="26"/>
          <w:szCs w:val="26"/>
          <w:lang w:eastAsia="lv-LV"/>
        </w:rPr>
        <w:t xml:space="preserve"> Ministru kabineta 2018. gada 25. septembra noteikumos Nr.597 “Transporta enerģijas aprites cikla siltumnīcefekta gāzu emisiju daudzuma un tā samazinājuma aprēķināšanas un ziņošanas kārtība”</w:t>
      </w:r>
      <w:r w:rsidRPr="00482564">
        <w:rPr>
          <w:rFonts w:ascii="Times New Roman" w:eastAsia="Times New Roman" w:hAnsi="Times New Roman" w:cs="Times New Roman"/>
          <w:b/>
          <w:bCs/>
          <w:sz w:val="26"/>
          <w:szCs w:val="26"/>
          <w:lang w:eastAsia="lv-LV"/>
        </w:rPr>
        <w:t>” projekta sākotnējās ietekmes novērtējuma ziņojums (anotācija)</w:t>
      </w:r>
    </w:p>
    <w:p w14:paraId="35047606" w14:textId="0730903C" w:rsidR="00381D28" w:rsidRDefault="00381D28" w:rsidP="00737139">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786"/>
      </w:tblGrid>
      <w:tr w:rsidR="00381D28" w:rsidRPr="002D7166" w14:paraId="4A744F8A" w14:textId="77777777" w:rsidTr="00381D28">
        <w:trPr>
          <w:cantSplit/>
        </w:trPr>
        <w:tc>
          <w:tcPr>
            <w:tcW w:w="9581" w:type="dxa"/>
            <w:gridSpan w:val="2"/>
            <w:shd w:val="clear" w:color="auto" w:fill="FFFFFF"/>
            <w:vAlign w:val="center"/>
            <w:hideMark/>
          </w:tcPr>
          <w:p w14:paraId="2C79746D" w14:textId="77777777" w:rsidR="00381D28" w:rsidRPr="00381D28" w:rsidRDefault="00381D28" w:rsidP="00381D28">
            <w:pPr>
              <w:spacing w:before="60" w:after="60" w:line="240" w:lineRule="auto"/>
              <w:jc w:val="center"/>
              <w:rPr>
                <w:rFonts w:ascii="Times New Roman" w:hAnsi="Times New Roman" w:cs="Times New Roman"/>
                <w:b/>
                <w:bCs/>
                <w:sz w:val="24"/>
                <w:szCs w:val="24"/>
              </w:rPr>
            </w:pPr>
            <w:r w:rsidRPr="00381D28">
              <w:rPr>
                <w:rFonts w:ascii="Times New Roman" w:hAnsi="Times New Roman" w:cs="Times New Roman"/>
                <w:b/>
                <w:bCs/>
                <w:sz w:val="24"/>
                <w:szCs w:val="24"/>
              </w:rPr>
              <w:t>Tiesību akta projekta anotācijas kopsavilkums</w:t>
            </w:r>
          </w:p>
        </w:tc>
      </w:tr>
      <w:tr w:rsidR="00381D28" w:rsidRPr="002D7166" w14:paraId="05721253" w14:textId="77777777" w:rsidTr="00381D28">
        <w:trPr>
          <w:cantSplit/>
        </w:trPr>
        <w:tc>
          <w:tcPr>
            <w:tcW w:w="3430" w:type="dxa"/>
            <w:shd w:val="clear" w:color="auto" w:fill="FFFFFF"/>
            <w:hideMark/>
          </w:tcPr>
          <w:p w14:paraId="6DA0A8E6" w14:textId="77777777" w:rsidR="00381D28" w:rsidRDefault="00381D28" w:rsidP="00381D28">
            <w:pPr>
              <w:spacing w:before="60" w:after="60" w:line="240" w:lineRule="auto"/>
              <w:rPr>
                <w:rFonts w:ascii="Times New Roman" w:hAnsi="Times New Roman" w:cs="Times New Roman"/>
                <w:sz w:val="24"/>
                <w:szCs w:val="24"/>
              </w:rPr>
            </w:pPr>
            <w:r w:rsidRPr="00381D28">
              <w:rPr>
                <w:rFonts w:ascii="Times New Roman" w:hAnsi="Times New Roman" w:cs="Times New Roman"/>
                <w:sz w:val="24"/>
                <w:szCs w:val="24"/>
              </w:rPr>
              <w:t>Mērķis, risinājums un projekta spēkā stāšanās laiks</w:t>
            </w:r>
          </w:p>
          <w:p w14:paraId="6B1C4815" w14:textId="19084736" w:rsidR="00381D28" w:rsidRPr="00381D28" w:rsidRDefault="00381D28" w:rsidP="00381D28">
            <w:pPr>
              <w:spacing w:before="60" w:after="60" w:line="240" w:lineRule="auto"/>
              <w:rPr>
                <w:rFonts w:ascii="Times New Roman" w:hAnsi="Times New Roman" w:cs="Times New Roman"/>
                <w:sz w:val="24"/>
                <w:szCs w:val="24"/>
              </w:rPr>
            </w:pPr>
          </w:p>
        </w:tc>
        <w:tc>
          <w:tcPr>
            <w:tcW w:w="6151" w:type="dxa"/>
            <w:shd w:val="clear" w:color="auto" w:fill="FFFFFF"/>
            <w:hideMark/>
          </w:tcPr>
          <w:p w14:paraId="37063D7F" w14:textId="739B622E" w:rsidR="00381D28" w:rsidRPr="00381D28" w:rsidRDefault="00381D28" w:rsidP="00381D28">
            <w:pPr>
              <w:spacing w:before="60" w:after="60" w:line="240" w:lineRule="auto"/>
              <w:rPr>
                <w:rFonts w:ascii="Times New Roman" w:hAnsi="Times New Roman" w:cs="Times New Roman"/>
                <w:sz w:val="24"/>
                <w:szCs w:val="24"/>
              </w:rPr>
            </w:pPr>
            <w:r>
              <w:rPr>
                <w:rFonts w:ascii="Times New Roman" w:hAnsi="Times New Roman" w:cs="Times New Roman"/>
                <w:sz w:val="24"/>
                <w:szCs w:val="24"/>
              </w:rPr>
              <w:t>Nav attiecināms.</w:t>
            </w:r>
          </w:p>
        </w:tc>
      </w:tr>
    </w:tbl>
    <w:p w14:paraId="6D1A0F48" w14:textId="38003D4B" w:rsidR="00381D28" w:rsidRDefault="00381D28" w:rsidP="00737139">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6D2865" w:rsidRPr="004D2C68" w14:paraId="65A625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C3627C" w14:textId="77777777" w:rsidR="00655F2C" w:rsidRPr="004D2C68" w:rsidRDefault="0023793D" w:rsidP="00737139">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 Tiesību akta projekta izstrādes nepieciešamība</w:t>
            </w:r>
          </w:p>
        </w:tc>
      </w:tr>
      <w:tr w:rsidR="006D2865" w:rsidRPr="004D2C68" w14:paraId="7FB6F25B" w14:textId="77777777" w:rsidTr="00381D28">
        <w:trPr>
          <w:trHeight w:val="2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20B0BF6"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300" w:type="pct"/>
            <w:tcBorders>
              <w:top w:val="outset" w:sz="6" w:space="0" w:color="auto"/>
              <w:left w:val="outset" w:sz="6" w:space="0" w:color="auto"/>
              <w:bottom w:val="outset" w:sz="6" w:space="0" w:color="auto"/>
              <w:right w:val="outset" w:sz="6" w:space="0" w:color="auto"/>
            </w:tcBorders>
            <w:hideMark/>
          </w:tcPr>
          <w:p w14:paraId="6CD69BAE"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0DA4A0BC" w14:textId="62F884F2" w:rsidR="00D91D02" w:rsidRPr="00DE0A71" w:rsidRDefault="005C789E" w:rsidP="00737139">
            <w:pPr>
              <w:spacing w:after="0" w:line="240" w:lineRule="auto"/>
              <w:contextualSpacing/>
              <w:jc w:val="both"/>
              <w:rPr>
                <w:rFonts w:ascii="Times New Roman" w:hAnsi="Times New Roman" w:cs="Times New Roman"/>
                <w:sz w:val="24"/>
                <w:szCs w:val="24"/>
              </w:rPr>
            </w:pPr>
            <w:r w:rsidRPr="00DE0A71">
              <w:rPr>
                <w:rFonts w:ascii="Times New Roman" w:hAnsi="Times New Roman" w:cs="Times New Roman"/>
                <w:sz w:val="24"/>
                <w:szCs w:val="24"/>
              </w:rPr>
              <w:t>L</w:t>
            </w:r>
            <w:r w:rsidRPr="005C789E">
              <w:rPr>
                <w:rFonts w:ascii="Times New Roman" w:hAnsi="Times New Roman" w:cs="Times New Roman"/>
                <w:sz w:val="24"/>
                <w:szCs w:val="24"/>
              </w:rPr>
              <w:t>ikuma “Par piesārņojumu”</w:t>
            </w:r>
            <w:r w:rsidRPr="00DE0A71">
              <w:rPr>
                <w:rFonts w:ascii="Times New Roman" w:hAnsi="Times New Roman" w:cs="Times New Roman"/>
                <w:sz w:val="24"/>
                <w:szCs w:val="24"/>
              </w:rPr>
              <w:t xml:space="preserve"> 55.panta sestā daļa</w:t>
            </w:r>
            <w:r w:rsidR="006E70DF">
              <w:rPr>
                <w:rFonts w:ascii="Times New Roman" w:hAnsi="Times New Roman" w:cs="Times New Roman"/>
                <w:sz w:val="24"/>
                <w:szCs w:val="24"/>
              </w:rPr>
              <w:t>.</w:t>
            </w:r>
          </w:p>
        </w:tc>
      </w:tr>
      <w:tr w:rsidR="006D2865" w:rsidRPr="004D2C68" w14:paraId="416657D3" w14:textId="77777777" w:rsidTr="00381D28">
        <w:trPr>
          <w:trHeight w:val="57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7C97C1"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300" w:type="pct"/>
            <w:tcBorders>
              <w:top w:val="outset" w:sz="6" w:space="0" w:color="auto"/>
              <w:left w:val="outset" w:sz="6" w:space="0" w:color="auto"/>
              <w:bottom w:val="outset" w:sz="6" w:space="0" w:color="auto"/>
              <w:right w:val="outset" w:sz="6" w:space="0" w:color="auto"/>
            </w:tcBorders>
            <w:hideMark/>
          </w:tcPr>
          <w:p w14:paraId="7358647A" w14:textId="41672EEE" w:rsidR="00D91D02"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18962DD3" w14:textId="248BBD47" w:rsidR="005B0046" w:rsidRDefault="003F3878" w:rsidP="006809ED">
            <w:pPr>
              <w:spacing w:before="60" w:after="60" w:line="240" w:lineRule="auto"/>
              <w:ind w:firstLine="365"/>
              <w:jc w:val="both"/>
              <w:rPr>
                <w:rFonts w:ascii="Times New Roman" w:hAnsi="Times New Roman" w:cs="Times New Roman"/>
                <w:sz w:val="24"/>
                <w:szCs w:val="24"/>
              </w:rPr>
            </w:pPr>
            <w:r w:rsidRPr="004D2C68">
              <w:rPr>
                <w:rFonts w:ascii="Times New Roman" w:hAnsi="Times New Roman" w:cs="Times New Roman"/>
                <w:sz w:val="24"/>
                <w:szCs w:val="24"/>
              </w:rPr>
              <w:t>Ministru kabineta noteikumu projekts “</w:t>
            </w:r>
            <w:r w:rsidRPr="00585F2C">
              <w:rPr>
                <w:rFonts w:ascii="Times New Roman" w:hAnsi="Times New Roman" w:cs="Times New Roman"/>
                <w:sz w:val="24"/>
                <w:szCs w:val="24"/>
              </w:rPr>
              <w:t>Grozījumi Ministru kabineta 2018.gada 25.septembra noteikumos Nr.597 “Transporta enerģijas aprites cikla siltumnīcefekta gāzu emisiju daudzuma un tā samazinājuma aprēķināšanas un ziņošanas kārtība”</w:t>
            </w:r>
            <w:r>
              <w:rPr>
                <w:rFonts w:ascii="Times New Roman" w:hAnsi="Times New Roman" w:cs="Times New Roman"/>
                <w:sz w:val="24"/>
                <w:szCs w:val="24"/>
              </w:rPr>
              <w:t xml:space="preserve"> </w:t>
            </w:r>
            <w:r w:rsidRPr="004D2C68">
              <w:rPr>
                <w:rFonts w:ascii="Times New Roman" w:hAnsi="Times New Roman" w:cs="Times New Roman"/>
                <w:sz w:val="24"/>
                <w:szCs w:val="24"/>
              </w:rPr>
              <w:t xml:space="preserve">(turpmāk – Noteikumu projekts) </w:t>
            </w:r>
            <w:r>
              <w:rPr>
                <w:rFonts w:ascii="Times New Roman" w:hAnsi="Times New Roman" w:cs="Times New Roman"/>
                <w:sz w:val="24"/>
                <w:szCs w:val="24"/>
              </w:rPr>
              <w:t xml:space="preserve">ir </w:t>
            </w:r>
            <w:r w:rsidRPr="004D2C68">
              <w:rPr>
                <w:rFonts w:ascii="Times New Roman" w:hAnsi="Times New Roman" w:cs="Times New Roman"/>
                <w:sz w:val="24"/>
                <w:szCs w:val="24"/>
              </w:rPr>
              <w:t>izstrādāts</w:t>
            </w:r>
            <w:r>
              <w:rPr>
                <w:rFonts w:ascii="Times New Roman" w:hAnsi="Times New Roman" w:cs="Times New Roman"/>
                <w:sz w:val="24"/>
                <w:szCs w:val="24"/>
              </w:rPr>
              <w:t xml:space="preserve"> pēc Ekonomikas ministrijas iniciatīvas</w:t>
            </w:r>
            <w:r w:rsidRPr="004D2C68">
              <w:rPr>
                <w:rFonts w:ascii="Times New Roman" w:hAnsi="Times New Roman" w:cs="Times New Roman"/>
                <w:sz w:val="24"/>
                <w:szCs w:val="24"/>
              </w:rPr>
              <w:t>, lai</w:t>
            </w:r>
            <w:r w:rsidRPr="00585F2C">
              <w:rPr>
                <w:rFonts w:ascii="Times New Roman" w:hAnsi="Times New Roman" w:cs="Times New Roman"/>
                <w:sz w:val="24"/>
                <w:szCs w:val="24"/>
              </w:rPr>
              <w:t xml:space="preserve"> Ministru kabineta 2018.gada 25.septembra noteikum</w:t>
            </w:r>
            <w:r>
              <w:rPr>
                <w:rFonts w:ascii="Times New Roman" w:hAnsi="Times New Roman" w:cs="Times New Roman"/>
                <w:sz w:val="24"/>
                <w:szCs w:val="24"/>
              </w:rPr>
              <w:t>os</w:t>
            </w:r>
            <w:r w:rsidRPr="00585F2C">
              <w:rPr>
                <w:rFonts w:ascii="Times New Roman" w:hAnsi="Times New Roman" w:cs="Times New Roman"/>
                <w:sz w:val="24"/>
                <w:szCs w:val="24"/>
              </w:rPr>
              <w:t xml:space="preserve"> Nr.597 “Transporta enerģijas aprites cikla siltumnīcefekta gāzu emisiju daudzuma un tā samazinājuma aprēķināšanas un ziņošanas kārtība”</w:t>
            </w:r>
            <w:r>
              <w:rPr>
                <w:rFonts w:ascii="Times New Roman" w:hAnsi="Times New Roman" w:cs="Times New Roman"/>
                <w:sz w:val="24"/>
                <w:szCs w:val="24"/>
              </w:rPr>
              <w:t xml:space="preserve"> (turpmāk – Noteikumi Nr.597) iekļautos nosacījumus pielāgotu</w:t>
            </w:r>
            <w:r w:rsidR="00534693">
              <w:rPr>
                <w:rFonts w:ascii="Times New Roman" w:hAnsi="Times New Roman" w:cs="Times New Roman"/>
                <w:sz w:val="24"/>
                <w:szCs w:val="24"/>
              </w:rPr>
              <w:t xml:space="preserve"> grozījumiem</w:t>
            </w:r>
            <w:r w:rsidR="005B0046">
              <w:rPr>
                <w:rFonts w:ascii="Times New Roman" w:hAnsi="Times New Roman" w:cs="Times New Roman"/>
                <w:sz w:val="24"/>
                <w:szCs w:val="24"/>
              </w:rPr>
              <w:t>:</w:t>
            </w:r>
          </w:p>
          <w:p w14:paraId="1134AB88" w14:textId="289DF527" w:rsidR="00661E0D" w:rsidRDefault="005B0046" w:rsidP="006809ED">
            <w:pPr>
              <w:spacing w:before="60" w:after="6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1) </w:t>
            </w:r>
            <w:r w:rsidR="003F3878">
              <w:rPr>
                <w:rFonts w:ascii="Times New Roman" w:hAnsi="Times New Roman" w:cs="Times New Roman"/>
                <w:sz w:val="24"/>
                <w:szCs w:val="24"/>
              </w:rPr>
              <w:t xml:space="preserve">Eiropas Parlamenta un Padomes 2009.gada 13.oktobra </w:t>
            </w:r>
            <w:r w:rsidR="009F68C6">
              <w:rPr>
                <w:rFonts w:ascii="Times New Roman" w:hAnsi="Times New Roman" w:cs="Times New Roman"/>
                <w:sz w:val="24"/>
                <w:szCs w:val="24"/>
              </w:rPr>
              <w:t>D</w:t>
            </w:r>
            <w:r w:rsidR="003F3878">
              <w:rPr>
                <w:rFonts w:ascii="Times New Roman" w:hAnsi="Times New Roman" w:cs="Times New Roman"/>
                <w:sz w:val="24"/>
                <w:szCs w:val="24"/>
              </w:rPr>
              <w:t>irektīvā Nr.98/70/EK (turpmāk – Direktīva 98/70/EK)</w:t>
            </w:r>
            <w:r w:rsidR="00F5540F">
              <w:rPr>
                <w:rStyle w:val="FootnoteReference"/>
                <w:rFonts w:ascii="Times New Roman" w:hAnsi="Times New Roman" w:cs="Times New Roman"/>
                <w:sz w:val="24"/>
                <w:szCs w:val="24"/>
              </w:rPr>
              <w:footnoteReference w:id="1"/>
            </w:r>
            <w:r w:rsidR="003F3878">
              <w:rPr>
                <w:rFonts w:ascii="Times New Roman" w:hAnsi="Times New Roman" w:cs="Times New Roman"/>
                <w:sz w:val="24"/>
                <w:szCs w:val="24"/>
              </w:rPr>
              <w:t xml:space="preserve"> un</w:t>
            </w:r>
          </w:p>
          <w:p w14:paraId="0ED441DC" w14:textId="7F44DDC8" w:rsidR="006319B7" w:rsidRDefault="002258BA" w:rsidP="006809ED">
            <w:pPr>
              <w:spacing w:before="60" w:after="6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2) </w:t>
            </w:r>
            <w:r w:rsidR="003F3878" w:rsidRPr="004D2C68">
              <w:rPr>
                <w:rFonts w:ascii="Times New Roman" w:hAnsi="Times New Roman" w:cs="Times New Roman"/>
                <w:sz w:val="24"/>
                <w:szCs w:val="24"/>
              </w:rPr>
              <w:t>Padomes 2015.gada 20.aprīļa Direktīv</w:t>
            </w:r>
            <w:r w:rsidR="003F3878">
              <w:rPr>
                <w:rFonts w:ascii="Times New Roman" w:hAnsi="Times New Roman" w:cs="Times New Roman"/>
                <w:sz w:val="24"/>
                <w:szCs w:val="24"/>
              </w:rPr>
              <w:t>ā</w:t>
            </w:r>
            <w:r w:rsidR="003F3878" w:rsidRPr="004D2C68">
              <w:rPr>
                <w:rFonts w:ascii="Times New Roman" w:hAnsi="Times New Roman" w:cs="Times New Roman"/>
                <w:sz w:val="24"/>
                <w:szCs w:val="24"/>
              </w:rPr>
              <w:t xml:space="preserve"> Nr.2015/652</w:t>
            </w:r>
            <w:r w:rsidR="00F5540F">
              <w:rPr>
                <w:rStyle w:val="FootnoteReference"/>
                <w:rFonts w:ascii="Times New Roman" w:hAnsi="Times New Roman" w:cs="Times New Roman"/>
                <w:sz w:val="24"/>
                <w:szCs w:val="24"/>
              </w:rPr>
              <w:footnoteReference w:id="2"/>
            </w:r>
            <w:r w:rsidR="003F3878" w:rsidRPr="004D2C68">
              <w:rPr>
                <w:rFonts w:ascii="Times New Roman" w:hAnsi="Times New Roman" w:cs="Times New Roman"/>
                <w:sz w:val="24"/>
                <w:szCs w:val="24"/>
              </w:rPr>
              <w:t xml:space="preserve"> (turpmāk – Direktīva 2015/652)</w:t>
            </w:r>
            <w:r w:rsidR="003F3878">
              <w:rPr>
                <w:rFonts w:ascii="Times New Roman" w:hAnsi="Times New Roman" w:cs="Times New Roman"/>
                <w:sz w:val="24"/>
                <w:szCs w:val="24"/>
              </w:rPr>
              <w:t>,</w:t>
            </w:r>
          </w:p>
          <w:p w14:paraId="34A9B6B6" w14:textId="3F7CFE4B" w:rsidR="003F3878" w:rsidRDefault="003F3878" w:rsidP="006809ED">
            <w:pPr>
              <w:spacing w:before="60" w:after="6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kas izdarīti ar Eiropas Parlamenta un Padomes 2018.gada 11.decembra </w:t>
            </w:r>
            <w:r w:rsidR="00661E0D">
              <w:rPr>
                <w:rFonts w:ascii="Times New Roman" w:hAnsi="Times New Roman" w:cs="Times New Roman"/>
                <w:sz w:val="24"/>
                <w:szCs w:val="24"/>
              </w:rPr>
              <w:t>R</w:t>
            </w:r>
            <w:r>
              <w:rPr>
                <w:rFonts w:ascii="Times New Roman" w:hAnsi="Times New Roman" w:cs="Times New Roman"/>
                <w:sz w:val="24"/>
                <w:szCs w:val="24"/>
              </w:rPr>
              <w:t>egulu Nr.2018/1999 (turpmāk – Regula 2018/1999)</w:t>
            </w:r>
            <w:r w:rsidR="00F5540F">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14:paraId="104AC38D" w14:textId="25E30DD1" w:rsidR="004E2126" w:rsidRDefault="004E2126" w:rsidP="006809ED">
            <w:pPr>
              <w:spacing w:before="60" w:after="60" w:line="240" w:lineRule="auto"/>
              <w:ind w:firstLine="365"/>
              <w:jc w:val="both"/>
              <w:rPr>
                <w:rFonts w:ascii="Times New Roman" w:hAnsi="Times New Roman"/>
                <w:sz w:val="24"/>
                <w:szCs w:val="24"/>
              </w:rPr>
            </w:pPr>
            <w:r>
              <w:rPr>
                <w:rFonts w:ascii="Times New Roman" w:hAnsi="Times New Roman"/>
                <w:sz w:val="24"/>
                <w:szCs w:val="24"/>
              </w:rPr>
              <w:t>Ar Regulu 2018/1999 tiek veikti grozījumi Direktīvā 98/70/EK un Direktīvā 2015/652, svītrojot nosacījumus, ka degvielas piegādātājs sniedz informāciju par piegādātās degvielas un/vai biodegvielas izcelsmes vietu un pirkuma vietu. Tāpat arī tika svītrots nosacījums, ka šī informācija ir jāiekļauj dalībvalstu ziņojumos un par tiem ir jāziņo Eiropas Komisijai</w:t>
            </w:r>
            <w:r w:rsidR="008D5D96">
              <w:rPr>
                <w:rFonts w:ascii="Times New Roman" w:hAnsi="Times New Roman"/>
                <w:sz w:val="24"/>
                <w:szCs w:val="24"/>
              </w:rPr>
              <w:t xml:space="preserve"> (turpmāk – EK)</w:t>
            </w:r>
            <w:r>
              <w:rPr>
                <w:rFonts w:ascii="Times New Roman" w:hAnsi="Times New Roman"/>
                <w:sz w:val="24"/>
                <w:szCs w:val="24"/>
              </w:rPr>
              <w:t>.</w:t>
            </w:r>
          </w:p>
          <w:p w14:paraId="1ACFCBE3" w14:textId="53C39A84" w:rsidR="00FD76A5" w:rsidRDefault="003F3878" w:rsidP="006809ED">
            <w:pPr>
              <w:spacing w:before="60" w:after="60" w:line="240" w:lineRule="auto"/>
              <w:ind w:firstLine="365"/>
              <w:jc w:val="both"/>
              <w:rPr>
                <w:rFonts w:ascii="Times New Roman" w:hAnsi="Times New Roman"/>
                <w:sz w:val="24"/>
                <w:szCs w:val="24"/>
              </w:rPr>
            </w:pPr>
            <w:r>
              <w:rPr>
                <w:rFonts w:ascii="Times New Roman" w:hAnsi="Times New Roman" w:cs="Times New Roman"/>
                <w:sz w:val="24"/>
                <w:szCs w:val="24"/>
              </w:rPr>
              <w:t xml:space="preserve">Lai gan grozījumi Direktīvā 98/70/EK un Direktīvā 2015/652 ir veikti </w:t>
            </w:r>
            <w:r w:rsidR="00B12C24">
              <w:rPr>
                <w:rFonts w:ascii="Times New Roman" w:hAnsi="Times New Roman" w:cs="Times New Roman"/>
                <w:sz w:val="24"/>
                <w:szCs w:val="24"/>
              </w:rPr>
              <w:t xml:space="preserve">ar </w:t>
            </w:r>
            <w:r>
              <w:rPr>
                <w:rFonts w:ascii="Times New Roman" w:hAnsi="Times New Roman" w:cs="Times New Roman"/>
                <w:sz w:val="24"/>
                <w:szCs w:val="24"/>
              </w:rPr>
              <w:t>Regul</w:t>
            </w:r>
            <w:r w:rsidR="00B12C24">
              <w:rPr>
                <w:rFonts w:ascii="Times New Roman" w:hAnsi="Times New Roman" w:cs="Times New Roman"/>
                <w:sz w:val="24"/>
                <w:szCs w:val="24"/>
              </w:rPr>
              <w:t>u</w:t>
            </w:r>
            <w:r>
              <w:rPr>
                <w:rFonts w:ascii="Times New Roman" w:hAnsi="Times New Roman" w:cs="Times New Roman"/>
                <w:sz w:val="24"/>
                <w:szCs w:val="24"/>
              </w:rPr>
              <w:t xml:space="preserve"> 2018/1999, </w:t>
            </w:r>
            <w:r w:rsidR="00B12C24">
              <w:rPr>
                <w:rFonts w:ascii="Times New Roman" w:hAnsi="Times New Roman" w:cs="Times New Roman"/>
                <w:sz w:val="24"/>
                <w:szCs w:val="24"/>
              </w:rPr>
              <w:t xml:space="preserve">kas </w:t>
            </w:r>
            <w:r>
              <w:rPr>
                <w:rFonts w:ascii="Times New Roman" w:hAnsi="Times New Roman" w:cs="Times New Roman"/>
                <w:sz w:val="24"/>
                <w:szCs w:val="24"/>
              </w:rPr>
              <w:t xml:space="preserve">ir tieši </w:t>
            </w:r>
            <w:r>
              <w:rPr>
                <w:rFonts w:ascii="Times New Roman" w:hAnsi="Times New Roman" w:cs="Times New Roman"/>
                <w:sz w:val="24"/>
                <w:szCs w:val="24"/>
              </w:rPr>
              <w:lastRenderedPageBreak/>
              <w:t>piemēro</w:t>
            </w:r>
            <w:r w:rsidR="00AE57BB">
              <w:rPr>
                <w:rFonts w:ascii="Times New Roman" w:hAnsi="Times New Roman" w:cs="Times New Roman"/>
                <w:sz w:val="24"/>
                <w:szCs w:val="24"/>
              </w:rPr>
              <w:t>jama</w:t>
            </w:r>
            <w:r>
              <w:rPr>
                <w:rFonts w:ascii="Times New Roman" w:hAnsi="Times New Roman" w:cs="Times New Roman"/>
                <w:sz w:val="24"/>
                <w:szCs w:val="24"/>
              </w:rPr>
              <w:t xml:space="preserve">, tomēr </w:t>
            </w:r>
            <w:r w:rsidR="00B96C7A">
              <w:rPr>
                <w:rFonts w:ascii="Times New Roman" w:hAnsi="Times New Roman" w:cs="Times New Roman"/>
                <w:sz w:val="24"/>
                <w:szCs w:val="24"/>
              </w:rPr>
              <w:t xml:space="preserve">ir nepieciešams veikt </w:t>
            </w:r>
            <w:r>
              <w:rPr>
                <w:rFonts w:ascii="Times New Roman" w:hAnsi="Times New Roman" w:cs="Times New Roman"/>
                <w:sz w:val="24"/>
                <w:szCs w:val="24"/>
              </w:rPr>
              <w:t xml:space="preserve">grozījumus Noteikumos Nr.597, jo </w:t>
            </w:r>
            <w:r w:rsidR="001852F0">
              <w:rPr>
                <w:rFonts w:ascii="Times New Roman" w:hAnsi="Times New Roman" w:cs="Times New Roman"/>
                <w:sz w:val="24"/>
                <w:szCs w:val="24"/>
              </w:rPr>
              <w:t xml:space="preserve">tajos </w:t>
            </w:r>
            <w:r>
              <w:rPr>
                <w:rFonts w:ascii="Times New Roman" w:hAnsi="Times New Roman" w:cs="Times New Roman"/>
                <w:sz w:val="24"/>
                <w:szCs w:val="24"/>
              </w:rPr>
              <w:t xml:space="preserve">iekļautie nosacījumi </w:t>
            </w:r>
            <w:r w:rsidR="001852F0">
              <w:rPr>
                <w:rFonts w:ascii="Times New Roman" w:hAnsi="Times New Roman" w:cs="Times New Roman"/>
                <w:sz w:val="24"/>
                <w:szCs w:val="24"/>
              </w:rPr>
              <w:t xml:space="preserve">šobrīd </w:t>
            </w:r>
            <w:r>
              <w:rPr>
                <w:rFonts w:ascii="Times New Roman" w:hAnsi="Times New Roman" w:cs="Times New Roman"/>
                <w:sz w:val="24"/>
                <w:szCs w:val="24"/>
              </w:rPr>
              <w:t xml:space="preserve">ir pretrunā </w:t>
            </w:r>
            <w:r w:rsidR="00B96C7A">
              <w:rPr>
                <w:rFonts w:ascii="Times New Roman" w:hAnsi="Times New Roman" w:cs="Times New Roman"/>
                <w:sz w:val="24"/>
                <w:szCs w:val="24"/>
              </w:rPr>
              <w:t xml:space="preserve">ar </w:t>
            </w:r>
            <w:r>
              <w:rPr>
                <w:rFonts w:ascii="Times New Roman" w:hAnsi="Times New Roman" w:cs="Times New Roman"/>
                <w:sz w:val="24"/>
                <w:szCs w:val="24"/>
              </w:rPr>
              <w:t>Regul</w:t>
            </w:r>
            <w:r w:rsidR="00B96C7A">
              <w:rPr>
                <w:rFonts w:ascii="Times New Roman" w:hAnsi="Times New Roman" w:cs="Times New Roman"/>
                <w:sz w:val="24"/>
                <w:szCs w:val="24"/>
              </w:rPr>
              <w:t>u</w:t>
            </w:r>
            <w:r>
              <w:rPr>
                <w:rFonts w:ascii="Times New Roman" w:hAnsi="Times New Roman" w:cs="Times New Roman"/>
                <w:sz w:val="24"/>
                <w:szCs w:val="24"/>
              </w:rPr>
              <w:t xml:space="preserve"> 2018/1999.</w:t>
            </w:r>
            <w:r w:rsidR="00E92FCB">
              <w:rPr>
                <w:rFonts w:ascii="Times New Roman" w:hAnsi="Times New Roman" w:cs="Times New Roman"/>
                <w:sz w:val="24"/>
                <w:szCs w:val="24"/>
              </w:rPr>
              <w:t xml:space="preserve"> </w:t>
            </w:r>
            <w:r w:rsidR="00EA5097">
              <w:rPr>
                <w:rFonts w:ascii="Times New Roman" w:hAnsi="Times New Roman"/>
                <w:sz w:val="24"/>
                <w:szCs w:val="24"/>
              </w:rPr>
              <w:t xml:space="preserve">Proti, </w:t>
            </w:r>
            <w:r w:rsidR="00585F2C">
              <w:rPr>
                <w:rFonts w:ascii="Times New Roman" w:hAnsi="Times New Roman"/>
                <w:sz w:val="24"/>
                <w:szCs w:val="24"/>
              </w:rPr>
              <w:t>Noteikumos Nr.597 ir iekļauti visi degvielas piegādātājam un Valsts vides dienestam noteiktie pienākumi attiecībā uz</w:t>
            </w:r>
            <w:r w:rsidR="000122F6">
              <w:rPr>
                <w:rFonts w:ascii="Times New Roman" w:hAnsi="Times New Roman"/>
                <w:sz w:val="24"/>
                <w:szCs w:val="24"/>
              </w:rPr>
              <w:t xml:space="preserve"> visas tās</w:t>
            </w:r>
            <w:r w:rsidR="00585F2C">
              <w:rPr>
                <w:rFonts w:ascii="Times New Roman" w:hAnsi="Times New Roman"/>
                <w:sz w:val="24"/>
                <w:szCs w:val="24"/>
              </w:rPr>
              <w:t xml:space="preserve"> </w:t>
            </w:r>
            <w:r w:rsidR="000122F6">
              <w:rPr>
                <w:rFonts w:ascii="Times New Roman" w:hAnsi="Times New Roman"/>
                <w:sz w:val="24"/>
                <w:szCs w:val="24"/>
              </w:rPr>
              <w:t xml:space="preserve">informācijas sniegšanu, kas attiecas uz iepriekšējā kalendārā gadā </w:t>
            </w:r>
            <w:proofErr w:type="spellStart"/>
            <w:r w:rsidR="000122F6">
              <w:rPr>
                <w:rFonts w:ascii="Times New Roman" w:hAnsi="Times New Roman"/>
                <w:sz w:val="24"/>
                <w:szCs w:val="24"/>
              </w:rPr>
              <w:t>galapatēriņam</w:t>
            </w:r>
            <w:proofErr w:type="spellEnd"/>
            <w:r w:rsidR="000122F6">
              <w:rPr>
                <w:rFonts w:ascii="Times New Roman" w:hAnsi="Times New Roman"/>
                <w:sz w:val="24"/>
                <w:szCs w:val="24"/>
              </w:rPr>
              <w:t xml:space="preserve"> transportā piegādātās transporta enerģijas siltumnīcefekta gāzu (turpmāk – SEG) emisiju aprites cikla intensitāti – piegādātais degvielas un / vai biodegvielas apjoms, veids, izcelsmes vieta un pirkuma vieta, degvielas un/vai biodegvielas aprites cikla SEG emisiju intensitāte</w:t>
            </w:r>
            <w:r w:rsidR="002405D2">
              <w:rPr>
                <w:rFonts w:ascii="Times New Roman" w:hAnsi="Times New Roman"/>
                <w:sz w:val="24"/>
                <w:szCs w:val="24"/>
              </w:rPr>
              <w:t>,</w:t>
            </w:r>
            <w:r w:rsidR="000122F6">
              <w:rPr>
                <w:rFonts w:ascii="Times New Roman" w:hAnsi="Times New Roman"/>
                <w:sz w:val="24"/>
                <w:szCs w:val="24"/>
              </w:rPr>
              <w:t xml:space="preserve"> piegādātās elektroenerģijas apjomu</w:t>
            </w:r>
            <w:r w:rsidR="002405D2">
              <w:rPr>
                <w:rFonts w:ascii="Times New Roman" w:hAnsi="Times New Roman"/>
                <w:sz w:val="24"/>
                <w:szCs w:val="24"/>
              </w:rPr>
              <w:t xml:space="preserve"> un tās emisiju intensitāti, kā arī </w:t>
            </w:r>
            <w:proofErr w:type="spellStart"/>
            <w:r w:rsidR="002405D2">
              <w:rPr>
                <w:rFonts w:ascii="Times New Roman" w:hAnsi="Times New Roman"/>
                <w:sz w:val="24"/>
                <w:szCs w:val="24"/>
              </w:rPr>
              <w:t>augšposma</w:t>
            </w:r>
            <w:proofErr w:type="spellEnd"/>
            <w:r w:rsidR="002405D2">
              <w:rPr>
                <w:rFonts w:ascii="Times New Roman" w:hAnsi="Times New Roman"/>
                <w:sz w:val="24"/>
                <w:szCs w:val="24"/>
              </w:rPr>
              <w:t xml:space="preserve"> emisiju samazinājums, ja tāds tiek izmantots </w:t>
            </w:r>
            <w:proofErr w:type="spellStart"/>
            <w:r w:rsidR="002405D2">
              <w:rPr>
                <w:rFonts w:ascii="Times New Roman" w:hAnsi="Times New Roman"/>
                <w:sz w:val="24"/>
                <w:szCs w:val="24"/>
              </w:rPr>
              <w:t>galapatēriņam</w:t>
            </w:r>
            <w:proofErr w:type="spellEnd"/>
            <w:r w:rsidR="002405D2">
              <w:rPr>
                <w:rFonts w:ascii="Times New Roman" w:hAnsi="Times New Roman"/>
                <w:sz w:val="24"/>
                <w:szCs w:val="24"/>
              </w:rPr>
              <w:t xml:space="preserve"> transportā piegādātās transporta enerģijas aprites cikla SEG emisiju intensitātes samazinājuma pienākuma izpildei</w:t>
            </w:r>
            <w:r w:rsidR="00624CE0">
              <w:rPr>
                <w:rFonts w:ascii="Times New Roman" w:hAnsi="Times New Roman"/>
                <w:sz w:val="24"/>
                <w:szCs w:val="24"/>
              </w:rPr>
              <w:t>.</w:t>
            </w:r>
          </w:p>
          <w:p w14:paraId="6E44C114" w14:textId="336C1DC6" w:rsidR="002405D2" w:rsidRDefault="002405D2" w:rsidP="006809ED">
            <w:pPr>
              <w:spacing w:before="60" w:after="60" w:line="240" w:lineRule="auto"/>
              <w:ind w:firstLine="365"/>
              <w:jc w:val="both"/>
              <w:rPr>
                <w:rFonts w:ascii="Times New Roman" w:hAnsi="Times New Roman" w:cs="Times New Roman"/>
                <w:sz w:val="24"/>
                <w:szCs w:val="24"/>
              </w:rPr>
            </w:pPr>
            <w:r w:rsidRPr="002405D2">
              <w:rPr>
                <w:rFonts w:ascii="Times New Roman" w:eastAsia="Times New Roman" w:hAnsi="Times New Roman" w:cs="Times New Roman"/>
                <w:iCs/>
                <w:sz w:val="24"/>
                <w:szCs w:val="24"/>
                <w:lang w:eastAsia="lv-LV"/>
              </w:rPr>
              <w:t xml:space="preserve">Ar Noteikumu projektu </w:t>
            </w:r>
            <w:r w:rsidRPr="002405D2">
              <w:rPr>
                <w:rFonts w:ascii="Times New Roman" w:hAnsi="Times New Roman" w:cs="Times New Roman"/>
                <w:sz w:val="24"/>
                <w:szCs w:val="24"/>
              </w:rPr>
              <w:t xml:space="preserve">Noteikumos Nr.597 iekļautie nosacījumi </w:t>
            </w:r>
            <w:r w:rsidRPr="002405D2">
              <w:rPr>
                <w:rFonts w:ascii="Times New Roman" w:eastAsia="Times New Roman" w:hAnsi="Times New Roman" w:cs="Times New Roman"/>
                <w:iCs/>
                <w:sz w:val="24"/>
                <w:szCs w:val="24"/>
                <w:lang w:eastAsia="lv-LV"/>
              </w:rPr>
              <w:t xml:space="preserve">tiek pielāgoti </w:t>
            </w:r>
            <w:r w:rsidRPr="002405D2">
              <w:rPr>
                <w:rFonts w:ascii="Times New Roman" w:hAnsi="Times New Roman" w:cs="Times New Roman"/>
                <w:sz w:val="24"/>
                <w:szCs w:val="24"/>
              </w:rPr>
              <w:t>ar Regulu 2018/1999 veiktajiem grozījumiem Direktīvā 98/70/EK un Direktīvā 2015/652</w:t>
            </w:r>
            <w:r>
              <w:rPr>
                <w:rFonts w:ascii="Times New Roman" w:hAnsi="Times New Roman" w:cs="Times New Roman"/>
                <w:sz w:val="24"/>
                <w:szCs w:val="24"/>
              </w:rPr>
              <w:t>, tādā veidā novēršot Latvijas normatīvo aktu pretrunas Eiropas Savienības</w:t>
            </w:r>
            <w:r w:rsidR="008D5D96">
              <w:rPr>
                <w:rFonts w:ascii="Times New Roman" w:hAnsi="Times New Roman" w:cs="Times New Roman"/>
                <w:sz w:val="24"/>
                <w:szCs w:val="24"/>
              </w:rPr>
              <w:t xml:space="preserve"> (turpmāk – ES)</w:t>
            </w:r>
            <w:r>
              <w:rPr>
                <w:rFonts w:ascii="Times New Roman" w:hAnsi="Times New Roman" w:cs="Times New Roman"/>
                <w:sz w:val="24"/>
                <w:szCs w:val="24"/>
              </w:rPr>
              <w:t xml:space="preserve"> normatīvajiem aktiem</w:t>
            </w:r>
            <w:r w:rsidR="00E43C5C">
              <w:rPr>
                <w:rFonts w:ascii="Times New Roman" w:hAnsi="Times New Roman" w:cs="Times New Roman"/>
                <w:sz w:val="24"/>
                <w:szCs w:val="24"/>
              </w:rPr>
              <w:t xml:space="preserve"> (Noteikumu projekta 2.-7.punkts)</w:t>
            </w:r>
            <w:r>
              <w:rPr>
                <w:rFonts w:ascii="Times New Roman" w:hAnsi="Times New Roman" w:cs="Times New Roman"/>
                <w:sz w:val="24"/>
                <w:szCs w:val="24"/>
              </w:rPr>
              <w:t>.</w:t>
            </w:r>
          </w:p>
          <w:p w14:paraId="29CC7E69" w14:textId="360883EF" w:rsidR="00605E27" w:rsidRDefault="00605E27" w:rsidP="006809ED">
            <w:pPr>
              <w:spacing w:before="60" w:after="60" w:line="240" w:lineRule="auto"/>
              <w:ind w:firstLine="365"/>
              <w:jc w:val="both"/>
              <w:rPr>
                <w:rFonts w:ascii="Times New Roman" w:hAnsi="Times New Roman"/>
                <w:sz w:val="24"/>
                <w:szCs w:val="24"/>
              </w:rPr>
            </w:pPr>
            <w:r>
              <w:rPr>
                <w:rFonts w:ascii="Times New Roman" w:hAnsi="Times New Roman"/>
                <w:bCs/>
                <w:sz w:val="24"/>
                <w:szCs w:val="24"/>
              </w:rPr>
              <w:t>Līdz ar izmaiņām N</w:t>
            </w:r>
            <w:r w:rsidRPr="00D46D7D">
              <w:rPr>
                <w:rFonts w:ascii="Times New Roman" w:hAnsi="Times New Roman"/>
                <w:sz w:val="24"/>
                <w:szCs w:val="24"/>
              </w:rPr>
              <w:t>oteikumos Nr.597</w:t>
            </w:r>
            <w:r>
              <w:rPr>
                <w:rFonts w:ascii="Times New Roman" w:hAnsi="Times New Roman"/>
                <w:sz w:val="24"/>
                <w:szCs w:val="24"/>
              </w:rPr>
              <w:t xml:space="preserve">, būs nepieciešams veikt arī izmaiņas degvielas piegādātāja ziņojuma veidlapas formā un dalībvalstu ziņojuma veidlapas formā. Ekonomikas ministrija nodrošinās Valsts vides dienestu ar aktualizēto </w:t>
            </w:r>
            <w:r w:rsidRPr="00BF3425">
              <w:rPr>
                <w:rFonts w:ascii="Times New Roman" w:hAnsi="Times New Roman"/>
                <w:sz w:val="24"/>
                <w:szCs w:val="24"/>
              </w:rPr>
              <w:t>degvielas piegādātāja un valsts ziņojuma veidlap</w:t>
            </w:r>
            <w:r>
              <w:rPr>
                <w:rFonts w:ascii="Times New Roman" w:hAnsi="Times New Roman"/>
                <w:sz w:val="24"/>
                <w:szCs w:val="24"/>
              </w:rPr>
              <w:t>u</w:t>
            </w:r>
            <w:r w:rsidRPr="00BF3425">
              <w:rPr>
                <w:rFonts w:ascii="Times New Roman" w:hAnsi="Times New Roman"/>
                <w:sz w:val="24"/>
                <w:szCs w:val="24"/>
              </w:rPr>
              <w:t xml:space="preserve"> (</w:t>
            </w:r>
            <w:r w:rsidRPr="001B5546">
              <w:rPr>
                <w:rFonts w:ascii="Times New Roman" w:hAnsi="Times New Roman"/>
                <w:i/>
                <w:sz w:val="24"/>
                <w:szCs w:val="24"/>
              </w:rPr>
              <w:t>Excel</w:t>
            </w:r>
            <w:r w:rsidRPr="00BF3425">
              <w:rPr>
                <w:rFonts w:ascii="Times New Roman" w:hAnsi="Times New Roman"/>
                <w:sz w:val="24"/>
                <w:szCs w:val="24"/>
              </w:rPr>
              <w:t xml:space="preserve"> datnes formātā) valsts valodā 10 darba dienu laikā no šo </w:t>
            </w:r>
            <w:r>
              <w:rPr>
                <w:rFonts w:ascii="Times New Roman" w:hAnsi="Times New Roman"/>
                <w:sz w:val="24"/>
                <w:szCs w:val="24"/>
              </w:rPr>
              <w:t>grozījumu</w:t>
            </w:r>
            <w:r w:rsidRPr="00BF3425">
              <w:rPr>
                <w:rFonts w:ascii="Times New Roman" w:hAnsi="Times New Roman"/>
                <w:sz w:val="24"/>
                <w:szCs w:val="24"/>
              </w:rPr>
              <w:t xml:space="preserve"> spēkā stāšanās brīža</w:t>
            </w:r>
            <w:r>
              <w:rPr>
                <w:rFonts w:ascii="Times New Roman" w:hAnsi="Times New Roman"/>
                <w:sz w:val="24"/>
                <w:szCs w:val="24"/>
              </w:rPr>
              <w:t>.</w:t>
            </w:r>
          </w:p>
          <w:p w14:paraId="5A0EC1F4" w14:textId="3129CC1B" w:rsidR="008D5D96" w:rsidRDefault="00E43C5C" w:rsidP="006809ED">
            <w:pPr>
              <w:spacing w:before="60" w:after="60" w:line="240" w:lineRule="auto"/>
              <w:ind w:firstLine="365"/>
              <w:jc w:val="both"/>
              <w:rPr>
                <w:rFonts w:ascii="Times New Roman" w:hAnsi="Times New Roman" w:cs="Times New Roman"/>
                <w:sz w:val="24"/>
                <w:szCs w:val="24"/>
              </w:rPr>
            </w:pPr>
            <w:r>
              <w:rPr>
                <w:rFonts w:ascii="Times New Roman" w:hAnsi="Times New Roman" w:cs="Times New Roman"/>
                <w:sz w:val="24"/>
                <w:szCs w:val="24"/>
              </w:rPr>
              <w:t xml:space="preserve">Papildus ar Noteikumu projektu tiek precizēts Noteikumu Nr.597 3.punkts, kas nosaka </w:t>
            </w:r>
            <w:r w:rsidR="00C871AB">
              <w:rPr>
                <w:rFonts w:ascii="Times New Roman" w:hAnsi="Times New Roman" w:cs="Times New Roman"/>
                <w:sz w:val="24"/>
                <w:szCs w:val="24"/>
              </w:rPr>
              <w:t xml:space="preserve">to, uz ko Noteikumos Nr.597 iekļautie nosacījumi attiecas. Šis precizējums (Noteikumu projekta 1.punkts) ir nepieciešams, jo Ekonomikas ministrija ir saņēmusi ievērojamu skaitu jautājumu par Noteikumu Nr.597 </w:t>
            </w:r>
            <w:proofErr w:type="spellStart"/>
            <w:r w:rsidR="00C871AB">
              <w:rPr>
                <w:rFonts w:ascii="Times New Roman" w:hAnsi="Times New Roman" w:cs="Times New Roman"/>
                <w:sz w:val="24"/>
                <w:szCs w:val="24"/>
              </w:rPr>
              <w:t>attiecināmību</w:t>
            </w:r>
            <w:proofErr w:type="spellEnd"/>
            <w:r w:rsidR="00C871AB">
              <w:rPr>
                <w:rFonts w:ascii="Times New Roman" w:hAnsi="Times New Roman" w:cs="Times New Roman"/>
                <w:sz w:val="24"/>
                <w:szCs w:val="24"/>
              </w:rPr>
              <w:t>, līdz ar to ir saprotams, ka šobrīd nav noteikts pilnīgi skaidrs nosacījums par to, uz ko ir attiecināmi Noteikumi Nr.597.</w:t>
            </w:r>
            <w:r w:rsidR="00642FF6">
              <w:rPr>
                <w:rFonts w:ascii="Times New Roman" w:hAnsi="Times New Roman" w:cs="Times New Roman"/>
                <w:sz w:val="24"/>
                <w:szCs w:val="24"/>
              </w:rPr>
              <w:t xml:space="preserve"> Papildus, precizējot Noteikumu projekta 3.punktu, tiek atbilstošāk pārņemts Direktīvas 98/70/EK 7.a panta 1.punkt</w:t>
            </w:r>
            <w:r w:rsidR="008D5D96">
              <w:rPr>
                <w:rFonts w:ascii="Times New Roman" w:hAnsi="Times New Roman" w:cs="Times New Roman"/>
                <w:sz w:val="24"/>
                <w:szCs w:val="24"/>
              </w:rPr>
              <w:t>s</w:t>
            </w:r>
            <w:r w:rsidR="005C2677">
              <w:rPr>
                <w:rFonts w:ascii="Times New Roman" w:hAnsi="Times New Roman" w:cs="Times New Roman"/>
                <w:sz w:val="24"/>
                <w:szCs w:val="24"/>
              </w:rPr>
              <w:t xml:space="preserve"> un ir novērsta </w:t>
            </w:r>
            <w:r w:rsidR="00642FF6">
              <w:rPr>
                <w:rFonts w:ascii="Times New Roman" w:hAnsi="Times New Roman" w:cs="Times New Roman"/>
                <w:sz w:val="24"/>
                <w:szCs w:val="24"/>
              </w:rPr>
              <w:t xml:space="preserve">neatbilstība Direktīvas 98/70/EK transponēšanā, jo Noteikumu Nr.597 3.punktā šobrīd nav noteikts, ka šie nosacījumi attiecas uz atpūtas kuģiem, kad tie nekuģo jūrā. Tiek arī noteikts, ka Noteikumu Nr.597 nosacījumi attiecas uz dzelzceļa transportā izmantoto </w:t>
            </w:r>
            <w:r w:rsidR="005C2677">
              <w:rPr>
                <w:rFonts w:ascii="Times New Roman" w:hAnsi="Times New Roman" w:cs="Times New Roman"/>
                <w:sz w:val="24"/>
                <w:szCs w:val="24"/>
              </w:rPr>
              <w:t>degvielu (izņemot elektroenerģiju)</w:t>
            </w:r>
            <w:r w:rsidR="00F5540F">
              <w:rPr>
                <w:rFonts w:ascii="Times New Roman" w:hAnsi="Times New Roman" w:cs="Times New Roman"/>
                <w:sz w:val="24"/>
                <w:szCs w:val="24"/>
              </w:rPr>
              <w:t xml:space="preserve">, ņemot vērā </w:t>
            </w:r>
            <w:r w:rsidR="008D5D96">
              <w:rPr>
                <w:rFonts w:ascii="Times New Roman" w:hAnsi="Times New Roman" w:cs="Times New Roman"/>
                <w:sz w:val="24"/>
                <w:szCs w:val="24"/>
              </w:rPr>
              <w:t>EK sniegtos skaidrojumu attiecībā uz dzelzceļa transportā izmantotās degvielas attiecināšanu Noteikumu Nr.597 tvērumā. Savukārt Direktīvā 2015/652 iekļautā atsauce uz “</w:t>
            </w:r>
            <w:r w:rsidR="008D5D96" w:rsidRPr="008D5D96">
              <w:rPr>
                <w:rFonts w:ascii="Times New Roman" w:hAnsi="Times New Roman" w:cs="Times New Roman"/>
                <w:sz w:val="24"/>
                <w:szCs w:val="24"/>
              </w:rPr>
              <w:t>iekšzemes ūdensceļu kuģiem, kad tie nekuģo jūrā</w:t>
            </w:r>
            <w:r w:rsidR="008D5D96">
              <w:rPr>
                <w:rFonts w:ascii="Times New Roman" w:hAnsi="Times New Roman" w:cs="Times New Roman"/>
                <w:sz w:val="24"/>
                <w:szCs w:val="24"/>
              </w:rPr>
              <w:t>” netiek transponēta. (skatīt anotācijas V sadaļas 1.tabulu)</w:t>
            </w:r>
          </w:p>
          <w:p w14:paraId="2E6059EB" w14:textId="5D211AD2" w:rsidR="005E6B8D" w:rsidRPr="004D2C68" w:rsidRDefault="002405D2" w:rsidP="006809ED">
            <w:pPr>
              <w:spacing w:before="60" w:after="60" w:line="240" w:lineRule="auto"/>
              <w:ind w:firstLine="365"/>
              <w:jc w:val="both"/>
              <w:rPr>
                <w:rFonts w:ascii="Times New Roman" w:eastAsia="Times New Roman" w:hAnsi="Times New Roman" w:cs="Times New Roman"/>
                <w:sz w:val="24"/>
                <w:szCs w:val="24"/>
                <w:lang w:eastAsia="lv-LV"/>
              </w:rPr>
            </w:pPr>
            <w:r w:rsidRPr="004D2C68">
              <w:rPr>
                <w:rFonts w:ascii="Times New Roman" w:hAnsi="Times New Roman" w:cs="Times New Roman"/>
                <w:sz w:val="24"/>
                <w:szCs w:val="24"/>
              </w:rPr>
              <w:lastRenderedPageBreak/>
              <w:t xml:space="preserve">Noteikumu projekts stājas spēkā 14 dienu laikā pēc tā publicēšanas </w:t>
            </w:r>
            <w:r w:rsidR="00907D3B">
              <w:rPr>
                <w:rFonts w:ascii="Times New Roman" w:hAnsi="Times New Roman" w:cs="Times New Roman"/>
                <w:sz w:val="24"/>
                <w:szCs w:val="24"/>
              </w:rPr>
              <w:t xml:space="preserve">laikrakstā </w:t>
            </w:r>
            <w:r w:rsidRPr="004D2C68">
              <w:rPr>
                <w:rFonts w:ascii="Times New Roman" w:hAnsi="Times New Roman" w:cs="Times New Roman"/>
                <w:sz w:val="24"/>
                <w:szCs w:val="24"/>
              </w:rPr>
              <w:t xml:space="preserve">“Latvijas </w:t>
            </w:r>
            <w:r w:rsidR="007C6DB5">
              <w:rPr>
                <w:rFonts w:ascii="Times New Roman" w:hAnsi="Times New Roman" w:cs="Times New Roman"/>
                <w:sz w:val="24"/>
                <w:szCs w:val="24"/>
              </w:rPr>
              <w:t>V</w:t>
            </w:r>
            <w:r w:rsidRPr="004D2C68">
              <w:rPr>
                <w:rFonts w:ascii="Times New Roman" w:hAnsi="Times New Roman" w:cs="Times New Roman"/>
                <w:sz w:val="24"/>
                <w:szCs w:val="24"/>
              </w:rPr>
              <w:t>ēstnes</w:t>
            </w:r>
            <w:r w:rsidR="00907D3B">
              <w:rPr>
                <w:rFonts w:ascii="Times New Roman" w:hAnsi="Times New Roman" w:cs="Times New Roman"/>
                <w:sz w:val="24"/>
                <w:szCs w:val="24"/>
              </w:rPr>
              <w:t>is</w:t>
            </w:r>
            <w:r w:rsidRPr="004D2C68">
              <w:rPr>
                <w:rFonts w:ascii="Times New Roman" w:hAnsi="Times New Roman" w:cs="Times New Roman"/>
                <w:sz w:val="24"/>
                <w:szCs w:val="24"/>
              </w:rPr>
              <w:t>”.</w:t>
            </w:r>
          </w:p>
        </w:tc>
      </w:tr>
      <w:tr w:rsidR="006D2865" w:rsidRPr="004D2C68" w14:paraId="7E3A0EF5" w14:textId="77777777" w:rsidTr="00381D2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4101F"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lastRenderedPageBreak/>
              <w:t>3.</w:t>
            </w:r>
          </w:p>
        </w:tc>
        <w:tc>
          <w:tcPr>
            <w:tcW w:w="1300" w:type="pct"/>
            <w:tcBorders>
              <w:top w:val="outset" w:sz="6" w:space="0" w:color="auto"/>
              <w:left w:val="outset" w:sz="6" w:space="0" w:color="auto"/>
              <w:bottom w:val="outset" w:sz="6" w:space="0" w:color="auto"/>
              <w:right w:val="outset" w:sz="6" w:space="0" w:color="auto"/>
            </w:tcBorders>
            <w:hideMark/>
          </w:tcPr>
          <w:p w14:paraId="479E719A" w14:textId="42594055" w:rsidR="00D91D02"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izstrādē iesaistītās institūcijas un publiskas personas kapitālsabiedrības</w:t>
            </w:r>
          </w:p>
          <w:p w14:paraId="7505CB8D" w14:textId="77777777" w:rsidR="00657D37" w:rsidRPr="00657D37" w:rsidRDefault="00657D37" w:rsidP="00657D37">
            <w:pPr>
              <w:rPr>
                <w:rFonts w:ascii="Times New Roman" w:eastAsia="Times New Roman" w:hAnsi="Times New Roman" w:cs="Times New Roman"/>
                <w:sz w:val="24"/>
                <w:szCs w:val="24"/>
                <w:lang w:eastAsia="lv-LV"/>
              </w:rPr>
            </w:pPr>
          </w:p>
          <w:p w14:paraId="00C93740" w14:textId="77777777" w:rsidR="00657D37" w:rsidRPr="00657D37" w:rsidRDefault="00657D37" w:rsidP="00657D37">
            <w:pPr>
              <w:rPr>
                <w:rFonts w:ascii="Times New Roman" w:eastAsia="Times New Roman" w:hAnsi="Times New Roman" w:cs="Times New Roman"/>
                <w:sz w:val="24"/>
                <w:szCs w:val="24"/>
                <w:lang w:eastAsia="lv-LV"/>
              </w:rPr>
            </w:pPr>
          </w:p>
          <w:p w14:paraId="69A0F83C" w14:textId="77777777" w:rsidR="00657D37" w:rsidRPr="00657D37" w:rsidRDefault="00657D37" w:rsidP="00657D37">
            <w:pPr>
              <w:rPr>
                <w:rFonts w:ascii="Times New Roman" w:eastAsia="Times New Roman" w:hAnsi="Times New Roman" w:cs="Times New Roman"/>
                <w:sz w:val="24"/>
                <w:szCs w:val="24"/>
                <w:lang w:eastAsia="lv-LV"/>
              </w:rPr>
            </w:pPr>
          </w:p>
          <w:p w14:paraId="1E520A38" w14:textId="77777777" w:rsidR="00657D37" w:rsidRPr="00657D37" w:rsidRDefault="00657D37" w:rsidP="00657D37">
            <w:pPr>
              <w:rPr>
                <w:rFonts w:ascii="Times New Roman" w:eastAsia="Times New Roman" w:hAnsi="Times New Roman" w:cs="Times New Roman"/>
                <w:sz w:val="24"/>
                <w:szCs w:val="24"/>
                <w:lang w:eastAsia="lv-LV"/>
              </w:rPr>
            </w:pPr>
          </w:p>
          <w:p w14:paraId="6ECE4743" w14:textId="77777777" w:rsidR="00657D37" w:rsidRPr="00657D37" w:rsidRDefault="00657D37" w:rsidP="00657D37">
            <w:pPr>
              <w:rPr>
                <w:rFonts w:ascii="Times New Roman" w:eastAsia="Times New Roman" w:hAnsi="Times New Roman" w:cs="Times New Roman"/>
                <w:sz w:val="24"/>
                <w:szCs w:val="24"/>
                <w:lang w:eastAsia="lv-LV"/>
              </w:rPr>
            </w:pPr>
          </w:p>
          <w:p w14:paraId="22E92FB1" w14:textId="77777777" w:rsidR="00657D37" w:rsidRPr="00657D37" w:rsidRDefault="00657D37" w:rsidP="00657D37">
            <w:pPr>
              <w:rPr>
                <w:rFonts w:ascii="Times New Roman" w:eastAsia="Times New Roman" w:hAnsi="Times New Roman" w:cs="Times New Roman"/>
                <w:sz w:val="24"/>
                <w:szCs w:val="24"/>
                <w:lang w:eastAsia="lv-LV"/>
              </w:rPr>
            </w:pPr>
          </w:p>
          <w:p w14:paraId="64A46FEF" w14:textId="77777777" w:rsidR="00657D37" w:rsidRPr="00657D37" w:rsidRDefault="00657D37" w:rsidP="00657D37">
            <w:pPr>
              <w:rPr>
                <w:rFonts w:ascii="Times New Roman" w:eastAsia="Times New Roman" w:hAnsi="Times New Roman" w:cs="Times New Roman"/>
                <w:sz w:val="24"/>
                <w:szCs w:val="24"/>
                <w:lang w:eastAsia="lv-LV"/>
              </w:rPr>
            </w:pPr>
          </w:p>
          <w:p w14:paraId="0B7CAF83" w14:textId="77777777" w:rsidR="00657D37" w:rsidRPr="00657D37" w:rsidRDefault="00657D37" w:rsidP="00657D37">
            <w:pPr>
              <w:rPr>
                <w:rFonts w:ascii="Times New Roman" w:eastAsia="Times New Roman" w:hAnsi="Times New Roman" w:cs="Times New Roman"/>
                <w:sz w:val="24"/>
                <w:szCs w:val="24"/>
                <w:lang w:eastAsia="lv-LV"/>
              </w:rPr>
            </w:pPr>
          </w:p>
          <w:p w14:paraId="24CB4322" w14:textId="77777777" w:rsidR="00657D37" w:rsidRPr="00657D37" w:rsidRDefault="00657D37" w:rsidP="00657D37">
            <w:pPr>
              <w:rPr>
                <w:rFonts w:ascii="Times New Roman" w:eastAsia="Times New Roman" w:hAnsi="Times New Roman" w:cs="Times New Roman"/>
                <w:sz w:val="24"/>
                <w:szCs w:val="24"/>
                <w:lang w:eastAsia="lv-LV"/>
              </w:rPr>
            </w:pPr>
          </w:p>
          <w:p w14:paraId="147F3817" w14:textId="77777777" w:rsidR="00657D37" w:rsidRPr="00657D37" w:rsidRDefault="00657D37" w:rsidP="00657D37">
            <w:pPr>
              <w:rPr>
                <w:rFonts w:ascii="Times New Roman" w:eastAsia="Times New Roman" w:hAnsi="Times New Roman" w:cs="Times New Roman"/>
                <w:sz w:val="24"/>
                <w:szCs w:val="24"/>
                <w:lang w:eastAsia="lv-LV"/>
              </w:rPr>
            </w:pPr>
          </w:p>
          <w:p w14:paraId="4F428DD0" w14:textId="77777777" w:rsidR="00657D37" w:rsidRDefault="00657D37" w:rsidP="00657D37">
            <w:pPr>
              <w:rPr>
                <w:rFonts w:ascii="Times New Roman" w:eastAsia="Times New Roman" w:hAnsi="Times New Roman" w:cs="Times New Roman"/>
                <w:iCs/>
                <w:sz w:val="24"/>
                <w:szCs w:val="24"/>
                <w:lang w:eastAsia="lv-LV"/>
              </w:rPr>
            </w:pPr>
          </w:p>
          <w:p w14:paraId="642B4043" w14:textId="2478F458" w:rsidR="00657D37" w:rsidRPr="00657D37" w:rsidRDefault="00657D37" w:rsidP="00657D37">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312BF3F0" w14:textId="29629BC7" w:rsidR="00D91D02" w:rsidRPr="004D2C68" w:rsidRDefault="007915E8" w:rsidP="0039486C">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lang w:eastAsia="lv-LV"/>
              </w:rPr>
              <w:t xml:space="preserve">Vides aizsardzības </w:t>
            </w:r>
            <w:r w:rsidR="009C78DE">
              <w:rPr>
                <w:rFonts w:ascii="Times New Roman" w:hAnsi="Times New Roman" w:cs="Times New Roman"/>
                <w:sz w:val="24"/>
                <w:szCs w:val="24"/>
                <w:lang w:eastAsia="lv-LV"/>
              </w:rPr>
              <w:t xml:space="preserve">un </w:t>
            </w:r>
            <w:r w:rsidRPr="004D2C68">
              <w:rPr>
                <w:rFonts w:ascii="Times New Roman" w:hAnsi="Times New Roman" w:cs="Times New Roman"/>
                <w:sz w:val="24"/>
                <w:szCs w:val="24"/>
                <w:lang w:eastAsia="lv-LV"/>
              </w:rPr>
              <w:t>reģionālā</w:t>
            </w:r>
            <w:r w:rsidR="009C78DE">
              <w:rPr>
                <w:rFonts w:ascii="Times New Roman" w:hAnsi="Times New Roman" w:cs="Times New Roman"/>
                <w:sz w:val="24"/>
                <w:szCs w:val="24"/>
                <w:lang w:eastAsia="lv-LV"/>
              </w:rPr>
              <w:t>s attīstības</w:t>
            </w:r>
            <w:r w:rsidRPr="004D2C68">
              <w:rPr>
                <w:rFonts w:ascii="Times New Roman" w:hAnsi="Times New Roman" w:cs="Times New Roman"/>
                <w:sz w:val="24"/>
                <w:szCs w:val="24"/>
                <w:lang w:eastAsia="lv-LV"/>
              </w:rPr>
              <w:t xml:space="preserve"> ministrija</w:t>
            </w:r>
            <w:r w:rsidRPr="004D2C68">
              <w:rPr>
                <w:rFonts w:ascii="Times New Roman" w:hAnsi="Times New Roman" w:cs="Times New Roman"/>
                <w:sz w:val="24"/>
                <w:szCs w:val="24"/>
              </w:rPr>
              <w:t xml:space="preserve"> </w:t>
            </w:r>
            <w:r>
              <w:rPr>
                <w:rFonts w:ascii="Times New Roman" w:hAnsi="Times New Roman" w:cs="Times New Roman"/>
                <w:sz w:val="24"/>
                <w:szCs w:val="24"/>
              </w:rPr>
              <w:t xml:space="preserve">un </w:t>
            </w:r>
            <w:r w:rsidR="00DF0A4A" w:rsidRPr="004D2C68">
              <w:rPr>
                <w:rFonts w:ascii="Times New Roman" w:hAnsi="Times New Roman" w:cs="Times New Roman"/>
                <w:sz w:val="24"/>
                <w:szCs w:val="24"/>
              </w:rPr>
              <w:t>Valsts vides dienest</w:t>
            </w:r>
            <w:r w:rsidR="00DF0A4A">
              <w:rPr>
                <w:rFonts w:ascii="Times New Roman" w:hAnsi="Times New Roman" w:cs="Times New Roman"/>
                <w:sz w:val="24"/>
                <w:szCs w:val="24"/>
                <w:lang w:eastAsia="lv-LV"/>
              </w:rPr>
              <w:t>s</w:t>
            </w:r>
            <w:r w:rsidR="007D010A">
              <w:rPr>
                <w:rFonts w:ascii="Times New Roman" w:hAnsi="Times New Roman" w:cs="Times New Roman"/>
                <w:sz w:val="24"/>
                <w:szCs w:val="24"/>
                <w:lang w:eastAsia="lv-LV"/>
              </w:rPr>
              <w:t>.</w:t>
            </w:r>
          </w:p>
        </w:tc>
      </w:tr>
      <w:tr w:rsidR="006D2865" w:rsidRPr="004D2C68" w14:paraId="060D5BA9" w14:textId="77777777" w:rsidTr="00381D2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45CC5DE"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300" w:type="pct"/>
            <w:tcBorders>
              <w:top w:val="outset" w:sz="6" w:space="0" w:color="auto"/>
              <w:left w:val="outset" w:sz="6" w:space="0" w:color="auto"/>
              <w:bottom w:val="outset" w:sz="6" w:space="0" w:color="auto"/>
              <w:right w:val="outset" w:sz="6" w:space="0" w:color="auto"/>
            </w:tcBorders>
            <w:hideMark/>
          </w:tcPr>
          <w:p w14:paraId="461F88AD" w14:textId="77777777"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2CB2313" w14:textId="70EB6D5C" w:rsidR="00D91D02"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r w:rsidR="00DA263E">
              <w:rPr>
                <w:rFonts w:ascii="Times New Roman" w:eastAsia="Times New Roman" w:hAnsi="Times New Roman" w:cs="Times New Roman"/>
                <w:iCs/>
                <w:sz w:val="24"/>
                <w:szCs w:val="24"/>
                <w:lang w:eastAsia="lv-LV"/>
              </w:rPr>
              <w:t>.</w:t>
            </w:r>
          </w:p>
        </w:tc>
      </w:tr>
    </w:tbl>
    <w:p w14:paraId="49820802" w14:textId="77777777" w:rsidR="00E5323B" w:rsidRPr="004D2C68" w:rsidRDefault="0023793D" w:rsidP="00737139">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6D2865" w:rsidRPr="004D2C68" w14:paraId="129BD6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A159D" w14:textId="77777777" w:rsidR="00655F2C" w:rsidRPr="004D2C68" w:rsidRDefault="0023793D" w:rsidP="00737139">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D2865" w:rsidRPr="004D2C68" w14:paraId="2A2E3E31"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4EB71"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43793F7E"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mērķgrupas,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1D859EEA" w14:textId="60D4E3FC" w:rsidR="00E5323B" w:rsidRPr="004D2C68" w:rsidRDefault="0023793D" w:rsidP="006809ED">
            <w:pPr>
              <w:spacing w:before="60" w:after="60" w:line="240" w:lineRule="auto"/>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Plānotais tiesiskais regulējums ietekmēs</w:t>
            </w:r>
            <w:r w:rsidR="003F1615" w:rsidRPr="004D2C68">
              <w:rPr>
                <w:rFonts w:ascii="Times New Roman" w:hAnsi="Times New Roman" w:cs="Times New Roman"/>
                <w:sz w:val="24"/>
                <w:szCs w:val="24"/>
              </w:rPr>
              <w:t>:</w:t>
            </w:r>
            <w:r w:rsidR="00AA7189" w:rsidRPr="004D2C68">
              <w:rPr>
                <w:rFonts w:ascii="Times New Roman" w:hAnsi="Times New Roman" w:cs="Times New Roman"/>
                <w:sz w:val="24"/>
                <w:szCs w:val="24"/>
              </w:rPr>
              <w:t xml:space="preserve"> degvielas piegādātājus</w:t>
            </w:r>
            <w:r w:rsidR="00585F2C">
              <w:rPr>
                <w:rFonts w:ascii="Times New Roman" w:hAnsi="Times New Roman" w:cs="Times New Roman"/>
                <w:sz w:val="24"/>
                <w:szCs w:val="24"/>
              </w:rPr>
              <w:t xml:space="preserve"> un</w:t>
            </w:r>
            <w:r w:rsidR="00AA7189" w:rsidRPr="004D2C68">
              <w:rPr>
                <w:rFonts w:ascii="Times New Roman" w:hAnsi="Times New Roman" w:cs="Times New Roman"/>
                <w:sz w:val="24"/>
                <w:szCs w:val="24"/>
              </w:rPr>
              <w:t xml:space="preserve"> V</w:t>
            </w:r>
            <w:r w:rsidR="00673B0B" w:rsidRPr="004D2C68">
              <w:rPr>
                <w:rFonts w:ascii="Times New Roman" w:hAnsi="Times New Roman" w:cs="Times New Roman"/>
                <w:sz w:val="24"/>
                <w:szCs w:val="24"/>
              </w:rPr>
              <w:t>alsts vides dienestu.</w:t>
            </w:r>
          </w:p>
        </w:tc>
      </w:tr>
      <w:tr w:rsidR="006D2865" w:rsidRPr="004D2C68" w14:paraId="1FDA240E"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14A6B5"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724C3D7A"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64DA29B7" w14:textId="5055E0A3" w:rsidR="00FC5649" w:rsidRPr="004D2C68" w:rsidRDefault="00FC5649" w:rsidP="006809ED">
            <w:pPr>
              <w:spacing w:before="60" w:after="60" w:line="240" w:lineRule="auto"/>
              <w:ind w:firstLine="368"/>
              <w:jc w:val="both"/>
              <w:rPr>
                <w:rFonts w:ascii="Times New Roman" w:hAnsi="Times New Roman" w:cs="Times New Roman"/>
                <w:sz w:val="24"/>
                <w:szCs w:val="24"/>
              </w:rPr>
            </w:pPr>
            <w:r w:rsidRPr="004D2C68">
              <w:rPr>
                <w:rFonts w:ascii="Times New Roman" w:hAnsi="Times New Roman" w:cs="Times New Roman"/>
                <w:sz w:val="24"/>
                <w:szCs w:val="24"/>
              </w:rPr>
              <w:t xml:space="preserve">Ir paredzams, ka ar Noteikumu projektu administratīvais slogs </w:t>
            </w:r>
            <w:r w:rsidR="00585F2C">
              <w:rPr>
                <w:rFonts w:ascii="Times New Roman" w:hAnsi="Times New Roman" w:cs="Times New Roman"/>
                <w:sz w:val="24"/>
                <w:szCs w:val="24"/>
              </w:rPr>
              <w:t xml:space="preserve">samazināsies gan </w:t>
            </w:r>
            <w:r w:rsidRPr="004D2C68">
              <w:rPr>
                <w:rFonts w:ascii="Times New Roman" w:hAnsi="Times New Roman" w:cs="Times New Roman"/>
                <w:sz w:val="24"/>
                <w:szCs w:val="24"/>
              </w:rPr>
              <w:t xml:space="preserve">degvielas piegādātājiem, </w:t>
            </w:r>
            <w:r w:rsidR="00585F2C">
              <w:rPr>
                <w:rFonts w:ascii="Times New Roman" w:hAnsi="Times New Roman" w:cs="Times New Roman"/>
                <w:sz w:val="24"/>
                <w:szCs w:val="24"/>
              </w:rPr>
              <w:t xml:space="preserve">gan </w:t>
            </w:r>
            <w:r w:rsidRPr="004D2C68">
              <w:rPr>
                <w:rFonts w:ascii="Times New Roman" w:hAnsi="Times New Roman" w:cs="Times New Roman"/>
                <w:sz w:val="24"/>
                <w:szCs w:val="24"/>
              </w:rPr>
              <w:t>Valsts vides dienestam.</w:t>
            </w:r>
          </w:p>
          <w:p w14:paraId="454D8461" w14:textId="340BD089" w:rsidR="002A360D" w:rsidRPr="004D2C68" w:rsidRDefault="002405D2" w:rsidP="006809ED">
            <w:pPr>
              <w:spacing w:before="60" w:after="60" w:line="240" w:lineRule="auto"/>
              <w:ind w:firstLine="368"/>
              <w:jc w:val="both"/>
              <w:rPr>
                <w:rFonts w:ascii="Times New Roman" w:hAnsi="Times New Roman" w:cs="Times New Roman"/>
                <w:sz w:val="24"/>
                <w:szCs w:val="24"/>
              </w:rPr>
            </w:pPr>
            <w:r>
              <w:rPr>
                <w:rFonts w:ascii="Times New Roman" w:hAnsi="Times New Roman" w:cs="Times New Roman"/>
                <w:sz w:val="24"/>
                <w:szCs w:val="24"/>
              </w:rPr>
              <w:t>Degvielas piegādātājiem samazināsies administratīvais slogs, jo nevajadzēs ikgadējā degvielas piegādātāja ziņojumā iekļaut informāciju par piegādātās degvielas un/vai biodegvielas izcelsmes vietu un pirkuma vietu.</w:t>
            </w:r>
          </w:p>
          <w:p w14:paraId="6DDEC49C" w14:textId="79F268B7" w:rsidR="002405D2" w:rsidRPr="004D2C68" w:rsidRDefault="002405D2" w:rsidP="006809ED">
            <w:pPr>
              <w:spacing w:before="60" w:after="60" w:line="240" w:lineRule="auto"/>
              <w:ind w:firstLine="368"/>
              <w:jc w:val="both"/>
              <w:rPr>
                <w:rFonts w:ascii="Times New Roman" w:hAnsi="Times New Roman" w:cs="Times New Roman"/>
                <w:sz w:val="24"/>
                <w:szCs w:val="24"/>
              </w:rPr>
            </w:pPr>
            <w:r>
              <w:rPr>
                <w:rFonts w:ascii="Times New Roman" w:hAnsi="Times New Roman" w:cs="Times New Roman"/>
                <w:sz w:val="24"/>
                <w:szCs w:val="24"/>
              </w:rPr>
              <w:t>Valsts vides dienestam samazināsies administratīvais slogs, jo nevajadzēs ikgadējā dalībvalsts ziņojumā iekļaut informāciju par piegādātās degvielas un/vai biodegvielas izcelsmes vietu un pirkuma vietu.</w:t>
            </w:r>
          </w:p>
          <w:p w14:paraId="71DF5559" w14:textId="1FCAD9E1" w:rsidR="00FC5649" w:rsidRPr="004D2C68" w:rsidRDefault="007F4E68" w:rsidP="006809ED">
            <w:pPr>
              <w:spacing w:before="60" w:after="60" w:line="240" w:lineRule="auto"/>
              <w:ind w:firstLine="36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B3BE9">
              <w:rPr>
                <w:rFonts w:ascii="Times New Roman" w:eastAsia="Times New Roman" w:hAnsi="Times New Roman" w:cs="Times New Roman"/>
                <w:iCs/>
                <w:sz w:val="24"/>
                <w:szCs w:val="24"/>
                <w:lang w:eastAsia="lv-LV"/>
              </w:rPr>
              <w:t xml:space="preserve">etiek paredzēta </w:t>
            </w:r>
            <w:r w:rsidR="00620B14" w:rsidRPr="00395687">
              <w:rPr>
                <w:rFonts w:ascii="Times New Roman" w:hAnsi="Times New Roman" w:cs="Times New Roman"/>
                <w:sz w:val="24"/>
                <w:szCs w:val="24"/>
              </w:rPr>
              <w:t xml:space="preserve">Noteikumu </w:t>
            </w:r>
            <w:r w:rsidR="005A5C7D" w:rsidRPr="00395687">
              <w:rPr>
                <w:rFonts w:ascii="Times New Roman" w:hAnsi="Times New Roman" w:cs="Times New Roman"/>
                <w:sz w:val="24"/>
                <w:szCs w:val="24"/>
              </w:rPr>
              <w:t xml:space="preserve">projekta tiesiskā regulējuma ietekme uz </w:t>
            </w:r>
            <w:r w:rsidR="008A1C81" w:rsidRPr="00395687">
              <w:rPr>
                <w:rFonts w:ascii="Times New Roman" w:hAnsi="Times New Roman" w:cs="Times New Roman"/>
                <w:sz w:val="24"/>
                <w:szCs w:val="24"/>
              </w:rPr>
              <w:t>tautsaimniecību</w:t>
            </w:r>
            <w:r w:rsidR="008A1C81" w:rsidRPr="00395687">
              <w:rPr>
                <w:rFonts w:ascii="Times New Roman" w:eastAsia="Times New Roman" w:hAnsi="Times New Roman" w:cs="Times New Roman"/>
                <w:iCs/>
                <w:sz w:val="24"/>
                <w:szCs w:val="24"/>
                <w:lang w:eastAsia="lv-LV"/>
              </w:rPr>
              <w:t>.</w:t>
            </w:r>
          </w:p>
        </w:tc>
      </w:tr>
      <w:tr w:rsidR="006D2865" w:rsidRPr="004D2C68" w14:paraId="436558CF"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5F625"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0FE0A0BE"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7834E73" w14:textId="7E97561B" w:rsidR="00261471" w:rsidRPr="004D2C68" w:rsidRDefault="008A1C81" w:rsidP="00737139">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Projekts šo jomu neskar.</w:t>
            </w:r>
          </w:p>
        </w:tc>
      </w:tr>
      <w:tr w:rsidR="006D2865" w:rsidRPr="004D2C68" w14:paraId="077A9313"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0CDE89"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2C1DF5F"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42A322CB" w14:textId="05130940" w:rsidR="00E5323B" w:rsidRPr="004D2C68" w:rsidRDefault="008A1C81" w:rsidP="00737139">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R="006D2865" w:rsidRPr="004D2C68" w14:paraId="0C79738A"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904C4"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4BE883E8"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21937AB"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14:paraId="2A52357F" w14:textId="5005C4D0" w:rsidR="00733379" w:rsidRPr="004D2C68" w:rsidRDefault="00733379" w:rsidP="00737139">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20" w:type="dxa"/>
        <w:tblBorders>
          <w:top w:val="outset" w:sz="2" w:space="0" w:color="808080" w:themeColor="background1" w:themeShade="80"/>
          <w:left w:val="outset" w:sz="2" w:space="0" w:color="808080" w:themeColor="background1" w:themeShade="80"/>
          <w:bottom w:val="outset" w:sz="2" w:space="0" w:color="808080" w:themeColor="background1" w:themeShade="80"/>
          <w:right w:val="outset" w:sz="2" w:space="0" w:color="808080" w:themeColor="background1" w:themeShade="80"/>
          <w:insideH w:val="outset" w:sz="2" w:space="0" w:color="808080" w:themeColor="background1" w:themeShade="80"/>
          <w:insideV w:val="outset" w:sz="2" w:space="0" w:color="808080" w:themeColor="background1" w:themeShade="80"/>
        </w:tblBorders>
        <w:tblCellMar>
          <w:top w:w="30" w:type="dxa"/>
          <w:left w:w="30" w:type="dxa"/>
          <w:bottom w:w="30" w:type="dxa"/>
          <w:right w:w="30" w:type="dxa"/>
        </w:tblCellMar>
        <w:tblLook w:val="04A0" w:firstRow="1" w:lastRow="0" w:firstColumn="1" w:lastColumn="0" w:noHBand="0" w:noVBand="1"/>
      </w:tblPr>
      <w:tblGrid>
        <w:gridCol w:w="9065"/>
      </w:tblGrid>
      <w:tr w:rsidR="008A1C81" w:rsidRPr="008A1C81" w14:paraId="3AA3AD4D" w14:textId="77777777" w:rsidTr="008A1C81">
        <w:trPr>
          <w:tblCellSpacing w:w="20" w:type="dxa"/>
        </w:trPr>
        <w:tc>
          <w:tcPr>
            <w:tcW w:w="0" w:type="auto"/>
            <w:shd w:val="clear" w:color="auto" w:fill="auto"/>
            <w:vAlign w:val="center"/>
            <w:hideMark/>
          </w:tcPr>
          <w:p w14:paraId="5021C587" w14:textId="77777777" w:rsidR="007955E7" w:rsidRPr="008A1C81" w:rsidRDefault="007955E7" w:rsidP="00737139">
            <w:pPr>
              <w:spacing w:after="0" w:line="240" w:lineRule="auto"/>
              <w:contextualSpacing/>
              <w:jc w:val="center"/>
              <w:rPr>
                <w:rFonts w:ascii="Times New Roman" w:eastAsia="Times New Roman" w:hAnsi="Times New Roman" w:cs="Times New Roman"/>
                <w:b/>
                <w:bCs/>
                <w:sz w:val="24"/>
                <w:szCs w:val="24"/>
                <w:lang w:eastAsia="lv-LV"/>
              </w:rPr>
            </w:pPr>
            <w:r w:rsidRPr="008A1C81">
              <w:rPr>
                <w:rFonts w:ascii="Times New Roman" w:eastAsia="Times New Roman" w:hAnsi="Times New Roman" w:cs="Times New Roman"/>
                <w:b/>
                <w:bCs/>
                <w:sz w:val="24"/>
                <w:szCs w:val="24"/>
                <w:lang w:eastAsia="lv-LV"/>
              </w:rPr>
              <w:t>III. Tiesību akta projekta ietekme uz valsts budžetu un pašvaldību budžetiem</w:t>
            </w:r>
          </w:p>
        </w:tc>
      </w:tr>
      <w:tr w:rsidR="008A1C81" w:rsidRPr="008A1C81" w14:paraId="145F0D38" w14:textId="77777777" w:rsidTr="008A1C81">
        <w:trPr>
          <w:tblCellSpacing w:w="20" w:type="dxa"/>
        </w:trPr>
        <w:tc>
          <w:tcPr>
            <w:tcW w:w="0" w:type="auto"/>
            <w:shd w:val="clear" w:color="auto" w:fill="auto"/>
            <w:vAlign w:val="center"/>
          </w:tcPr>
          <w:p w14:paraId="04C85484" w14:textId="0219CE10" w:rsidR="008A1C81" w:rsidRPr="008A1C81" w:rsidRDefault="008A1C81" w:rsidP="00737139">
            <w:pPr>
              <w:spacing w:after="0" w:line="240" w:lineRule="auto"/>
              <w:contextualSpacing/>
              <w:jc w:val="center"/>
              <w:rPr>
                <w:rFonts w:ascii="Times New Roman" w:eastAsia="Times New Roman" w:hAnsi="Times New Roman" w:cs="Times New Roman"/>
                <w:b/>
                <w:bCs/>
                <w:sz w:val="24"/>
                <w:szCs w:val="24"/>
                <w:lang w:eastAsia="lv-LV"/>
              </w:rPr>
            </w:pPr>
            <w:r w:rsidRPr="004D2C68">
              <w:rPr>
                <w:rFonts w:ascii="Times New Roman" w:eastAsia="Times New Roman" w:hAnsi="Times New Roman" w:cs="Times New Roman"/>
                <w:bCs/>
                <w:iCs/>
                <w:sz w:val="24"/>
                <w:szCs w:val="24"/>
                <w:lang w:eastAsia="lv-LV"/>
              </w:rPr>
              <w:t>Projekts šo jomu neskar</w:t>
            </w:r>
          </w:p>
        </w:tc>
      </w:tr>
    </w:tbl>
    <w:p w14:paraId="03590BB4" w14:textId="78E5A6F8" w:rsidR="007955E7" w:rsidRPr="004D2C68" w:rsidRDefault="007955E7" w:rsidP="00737139">
      <w:pPr>
        <w:spacing w:after="0" w:line="240" w:lineRule="auto"/>
        <w:contextualSpacing/>
        <w:rPr>
          <w:rFonts w:ascii="Times New Roman" w:eastAsia="Times New Roman" w:hAnsi="Times New Roman" w:cs="Times New Roman"/>
          <w:iCs/>
          <w:sz w:val="28"/>
          <w:szCs w:val="28"/>
          <w:lang w:eastAsia="lv-LV"/>
        </w:rPr>
      </w:pPr>
      <w:r w:rsidRPr="004D2C68">
        <w:rPr>
          <w:rFonts w:ascii="Arial" w:eastAsia="Times New Roman" w:hAnsi="Arial" w:cs="Arial"/>
          <w:color w:val="414142"/>
          <w:sz w:val="27"/>
          <w:szCs w:val="27"/>
          <w:shd w:val="clear" w:color="auto" w:fill="FFFFFF"/>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2865" w:rsidRPr="004D2C68" w14:paraId="2804C08E" w14:textId="77777777" w:rsidTr="005D4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B241A" w14:textId="77777777" w:rsidR="00733379" w:rsidRPr="004D2C68" w:rsidRDefault="0023793D" w:rsidP="007A0E14">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IV. Tiesību akta projekta ietekme uz spēkā esošo tiesību normu sistēmu</w:t>
            </w:r>
          </w:p>
        </w:tc>
      </w:tr>
      <w:tr w:rsidR="006D2865" w:rsidRPr="004D2C68" w14:paraId="314EED87" w14:textId="77777777" w:rsidTr="005D4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BC986" w14:textId="77777777" w:rsidR="00733379" w:rsidRPr="004D2C68" w:rsidRDefault="0023793D" w:rsidP="00737139">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Projekts šo jomu neskar</w:t>
            </w:r>
          </w:p>
        </w:tc>
      </w:tr>
    </w:tbl>
    <w:p w14:paraId="3BFB1156" w14:textId="77777777" w:rsidR="00733379" w:rsidRPr="004D2C68" w:rsidRDefault="0023793D" w:rsidP="00737139">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136"/>
        <w:gridCol w:w="6369"/>
      </w:tblGrid>
      <w:tr w:rsidR="006D2865" w:rsidRPr="004D2C68" w14:paraId="65BDD4F9" w14:textId="4AFBDCB3" w:rsidTr="006E29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4E913A" w14:textId="302E0EDA" w:rsidR="00B46EE6" w:rsidRPr="004D2C68" w:rsidRDefault="0023793D" w:rsidP="00737139">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D2865" w:rsidRPr="004D2C68" w14:paraId="27BA2A9F" w14:textId="50263284" w:rsidTr="008A1C81">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EA053C3" w14:textId="3DC3ECC8" w:rsidR="00B46EE6" w:rsidRPr="004D2C68" w:rsidRDefault="0023793D" w:rsidP="00737139">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1.</w:t>
            </w:r>
          </w:p>
        </w:tc>
        <w:tc>
          <w:tcPr>
            <w:tcW w:w="1163" w:type="pct"/>
            <w:tcBorders>
              <w:top w:val="outset" w:sz="6" w:space="0" w:color="auto"/>
              <w:left w:val="outset" w:sz="6" w:space="0" w:color="auto"/>
              <w:bottom w:val="outset" w:sz="6" w:space="0" w:color="auto"/>
              <w:right w:val="outset" w:sz="6" w:space="0" w:color="auto"/>
            </w:tcBorders>
          </w:tcPr>
          <w:p w14:paraId="0A36841B" w14:textId="6CA39856" w:rsidR="00B46EE6" w:rsidRPr="004D2C68" w:rsidRDefault="0023793D" w:rsidP="00737139">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tcPr>
          <w:p w14:paraId="55FF4F8F" w14:textId="7CD9D0C4" w:rsidR="008A1C81" w:rsidRDefault="003707D0"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bCs/>
                <w:iCs/>
                <w:sz w:val="24"/>
                <w:szCs w:val="24"/>
                <w:lang w:eastAsia="lv-LV"/>
              </w:rPr>
              <w:t xml:space="preserve">1) </w:t>
            </w:r>
            <w:r w:rsidR="00A01C84" w:rsidRPr="004D2C68">
              <w:rPr>
                <w:rFonts w:ascii="Times New Roman" w:eastAsia="Times New Roman" w:hAnsi="Times New Roman" w:cs="Times New Roman"/>
                <w:bCs/>
                <w:iCs/>
                <w:sz w:val="24"/>
                <w:szCs w:val="24"/>
                <w:lang w:eastAsia="lv-LV"/>
              </w:rPr>
              <w:t>Direktīva</w:t>
            </w:r>
            <w:r w:rsidR="000E321A">
              <w:rPr>
                <w:rFonts w:ascii="Times New Roman" w:eastAsia="Times New Roman" w:hAnsi="Times New Roman" w:cs="Times New Roman"/>
                <w:bCs/>
                <w:iCs/>
                <w:sz w:val="24"/>
                <w:szCs w:val="24"/>
                <w:lang w:eastAsia="lv-LV"/>
              </w:rPr>
              <w:t>s</w:t>
            </w:r>
            <w:r w:rsidR="00A01C84" w:rsidRPr="004D2C68">
              <w:rPr>
                <w:rFonts w:ascii="Times New Roman" w:eastAsia="Times New Roman" w:hAnsi="Times New Roman" w:cs="Times New Roman"/>
                <w:bCs/>
                <w:iCs/>
                <w:sz w:val="24"/>
                <w:szCs w:val="24"/>
                <w:lang w:eastAsia="lv-LV"/>
              </w:rPr>
              <w:t xml:space="preserve"> Nr.2015/652</w:t>
            </w:r>
            <w:r w:rsidR="008A1C81" w:rsidRPr="004D2C68">
              <w:rPr>
                <w:rFonts w:ascii="Times New Roman" w:eastAsia="Times New Roman" w:hAnsi="Times New Roman" w:cs="Times New Roman"/>
                <w:sz w:val="24"/>
                <w:szCs w:val="24"/>
                <w:lang w:eastAsia="lv-LV"/>
              </w:rPr>
              <w:t xml:space="preserve"> konsolidētā versija</w:t>
            </w:r>
            <w:r w:rsidR="00C54297">
              <w:rPr>
                <w:rFonts w:ascii="Times New Roman" w:eastAsia="Times New Roman" w:hAnsi="Times New Roman" w:cs="Times New Roman"/>
                <w:sz w:val="24"/>
                <w:szCs w:val="24"/>
                <w:lang w:eastAsia="lv-LV"/>
              </w:rPr>
              <w:t>,</w:t>
            </w:r>
            <w:r w:rsidR="008A1C81" w:rsidRPr="004D2C68">
              <w:rPr>
                <w:rFonts w:ascii="Times New Roman" w:eastAsia="Times New Roman" w:hAnsi="Times New Roman" w:cs="Times New Roman"/>
                <w:sz w:val="24"/>
                <w:szCs w:val="24"/>
                <w:lang w:eastAsia="lv-LV"/>
              </w:rPr>
              <w:t xml:space="preserve"> iekļaujot:</w:t>
            </w:r>
          </w:p>
          <w:p w14:paraId="6D7D436C" w14:textId="4B2ADFE5" w:rsidR="00427369" w:rsidRDefault="008A1C81" w:rsidP="006809ED">
            <w:pPr>
              <w:spacing w:before="60" w:after="60" w:line="240" w:lineRule="auto"/>
              <w:ind w:firstLine="223"/>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 Regul</w:t>
            </w:r>
            <w:r w:rsidR="0069438B">
              <w:rPr>
                <w:rFonts w:ascii="Times New Roman" w:eastAsia="Times New Roman" w:hAnsi="Times New Roman" w:cs="Times New Roman"/>
                <w:bCs/>
                <w:iCs/>
                <w:sz w:val="24"/>
                <w:szCs w:val="24"/>
                <w:lang w:eastAsia="lv-LV"/>
              </w:rPr>
              <w:t>u</w:t>
            </w:r>
            <w:r>
              <w:rPr>
                <w:rFonts w:ascii="Times New Roman" w:eastAsia="Times New Roman" w:hAnsi="Times New Roman" w:cs="Times New Roman"/>
                <w:bCs/>
                <w:iCs/>
                <w:sz w:val="24"/>
                <w:szCs w:val="24"/>
                <w:lang w:eastAsia="lv-LV"/>
              </w:rPr>
              <w:t xml:space="preserve"> 2018/1999</w:t>
            </w:r>
            <w:r w:rsidR="007877E2">
              <w:rPr>
                <w:rFonts w:ascii="Times New Roman" w:eastAsia="Times New Roman" w:hAnsi="Times New Roman" w:cs="Times New Roman"/>
                <w:bCs/>
                <w:iCs/>
                <w:sz w:val="24"/>
                <w:szCs w:val="24"/>
                <w:lang w:eastAsia="lv-LV"/>
              </w:rPr>
              <w:t>;</w:t>
            </w:r>
          </w:p>
          <w:p w14:paraId="7DD967F2" w14:textId="77777777" w:rsidR="008A1C81" w:rsidRPr="004D2C68" w:rsidRDefault="008A1C81" w:rsidP="006809ED">
            <w:pPr>
              <w:spacing w:before="60" w:after="60" w:line="240" w:lineRule="auto"/>
              <w:jc w:val="both"/>
              <w:rPr>
                <w:rFonts w:ascii="Times New Roman" w:eastAsia="Times New Roman" w:hAnsi="Times New Roman" w:cs="Times New Roman"/>
                <w:bCs/>
                <w:iCs/>
                <w:sz w:val="24"/>
                <w:szCs w:val="24"/>
                <w:lang w:eastAsia="lv-LV"/>
              </w:rPr>
            </w:pPr>
          </w:p>
          <w:p w14:paraId="382691E6" w14:textId="08F2AE2B" w:rsidR="009A6742" w:rsidRPr="004D2C68" w:rsidRDefault="003707D0"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bCs/>
                <w:iCs/>
                <w:sz w:val="24"/>
                <w:szCs w:val="24"/>
                <w:lang w:eastAsia="lv-LV"/>
              </w:rPr>
              <w:t xml:space="preserve">2) </w:t>
            </w:r>
            <w:r w:rsidR="009A6742" w:rsidRPr="004D2C68">
              <w:rPr>
                <w:rFonts w:ascii="Times New Roman" w:eastAsia="Times New Roman" w:hAnsi="Times New Roman" w:cs="Times New Roman"/>
                <w:sz w:val="24"/>
                <w:szCs w:val="24"/>
                <w:lang w:eastAsia="lv-LV"/>
              </w:rPr>
              <w:t>Direktīva</w:t>
            </w:r>
            <w:r w:rsidR="000E321A">
              <w:rPr>
                <w:rFonts w:ascii="Times New Roman" w:eastAsia="Times New Roman" w:hAnsi="Times New Roman" w:cs="Times New Roman"/>
                <w:sz w:val="24"/>
                <w:szCs w:val="24"/>
                <w:lang w:eastAsia="lv-LV"/>
              </w:rPr>
              <w:t>s</w:t>
            </w:r>
            <w:r w:rsidR="009A6742" w:rsidRPr="004D2C68">
              <w:rPr>
                <w:rFonts w:ascii="Times New Roman" w:eastAsia="Times New Roman" w:hAnsi="Times New Roman" w:cs="Times New Roman"/>
                <w:sz w:val="24"/>
                <w:szCs w:val="24"/>
                <w:lang w:eastAsia="lv-LV"/>
              </w:rPr>
              <w:t xml:space="preserve"> Nr.98/70/EK konsolidētā versija</w:t>
            </w:r>
            <w:r w:rsidR="00C54297">
              <w:rPr>
                <w:rFonts w:ascii="Times New Roman" w:eastAsia="Times New Roman" w:hAnsi="Times New Roman" w:cs="Times New Roman"/>
                <w:sz w:val="24"/>
                <w:szCs w:val="24"/>
                <w:lang w:eastAsia="lv-LV"/>
              </w:rPr>
              <w:t>,</w:t>
            </w:r>
            <w:r w:rsidR="009A6742" w:rsidRPr="004D2C68">
              <w:rPr>
                <w:rFonts w:ascii="Times New Roman" w:eastAsia="Times New Roman" w:hAnsi="Times New Roman" w:cs="Times New Roman"/>
                <w:sz w:val="24"/>
                <w:szCs w:val="24"/>
                <w:lang w:eastAsia="lv-LV"/>
              </w:rPr>
              <w:t xml:space="preserve"> iekļaujot:</w:t>
            </w:r>
          </w:p>
          <w:p w14:paraId="3AB7E61E" w14:textId="61104EA8"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a) Komisijas 2000.gada 7.novembra </w:t>
            </w:r>
            <w:r w:rsidR="007F27D4">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69438B">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Nr.2000/71/</w:t>
            </w:r>
            <w:r w:rsidR="0069438B">
              <w:rPr>
                <w:rFonts w:ascii="Times New Roman" w:eastAsia="Times New Roman" w:hAnsi="Times New Roman" w:cs="Times New Roman"/>
                <w:sz w:val="24"/>
                <w:szCs w:val="24"/>
                <w:lang w:eastAsia="lv-LV"/>
              </w:rPr>
              <w:t>E</w:t>
            </w:r>
            <w:r w:rsidRPr="004D2C68">
              <w:rPr>
                <w:rFonts w:ascii="Times New Roman" w:eastAsia="Times New Roman" w:hAnsi="Times New Roman" w:cs="Times New Roman"/>
                <w:sz w:val="24"/>
                <w:szCs w:val="24"/>
                <w:lang w:eastAsia="lv-LV"/>
              </w:rPr>
              <w:t>K, ar ko Eiropas Parlamenta un Padomes Direktīvas 98/70/EK I, II, III un IV pielikumā izklāstītās mērīšanas metodes pielāgo tehnikas attīstībai, kā paredzēts minētās direktīvas 10. pantā;</w:t>
            </w:r>
          </w:p>
          <w:p w14:paraId="3C03E444" w14:textId="49A67539"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b) Eiropas Parlamenta un Padomes 2003.gada 3.marta </w:t>
            </w:r>
            <w:r w:rsidR="00057801">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057801">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Nr.2003/17/EK, ar kuru groza Direktīvu 98/70/EK, kas attiecas uz benzīna un dīzeļdegvielas kvalitāti;</w:t>
            </w:r>
          </w:p>
          <w:p w14:paraId="7C58D699" w14:textId="11EBDEA8"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c) Eiropas Parlamenta un Padomes 2003.gada 29.septembra </w:t>
            </w:r>
            <w:r w:rsidR="00BF43C5">
              <w:rPr>
                <w:rFonts w:ascii="Times New Roman" w:eastAsia="Times New Roman" w:hAnsi="Times New Roman" w:cs="Times New Roman"/>
                <w:sz w:val="24"/>
                <w:szCs w:val="24"/>
                <w:lang w:eastAsia="lv-LV"/>
              </w:rPr>
              <w:t>R</w:t>
            </w:r>
            <w:r w:rsidRPr="004D2C68">
              <w:rPr>
                <w:rFonts w:ascii="Times New Roman" w:eastAsia="Times New Roman" w:hAnsi="Times New Roman" w:cs="Times New Roman"/>
                <w:sz w:val="24"/>
                <w:szCs w:val="24"/>
                <w:lang w:eastAsia="lv-LV"/>
              </w:rPr>
              <w:t>egula (EK) Nr.1882/2003, ar ko Padomes Lēmumam 1999/468/EK pielāgo noteikumus par komitejām, kuras palīdz Komisijai īstenot tai piešķirtās ieviešanas pilnvaras, kas noteiktas dokumentos, uz kuriem attiecas EK līguma 251.pantā minētā procedūra</w:t>
            </w:r>
          </w:p>
          <w:p w14:paraId="772D99E0" w14:textId="20C9896E"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d) </w:t>
            </w:r>
            <w:r w:rsidR="008A1C81">
              <w:rPr>
                <w:rFonts w:ascii="Times New Roman" w:eastAsia="Times New Roman" w:hAnsi="Times New Roman" w:cs="Times New Roman"/>
                <w:sz w:val="24"/>
                <w:szCs w:val="24"/>
                <w:lang w:eastAsia="lv-LV"/>
              </w:rPr>
              <w:t xml:space="preserve">Eiropas Parlamenta un Padomes 2009.gada 23.aprīļa </w:t>
            </w:r>
            <w:r w:rsidR="006C6267">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6C6267">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Nr.2009/30/EK</w:t>
            </w:r>
            <w:r w:rsidR="008A1C81">
              <w:rPr>
                <w:rFonts w:ascii="Times New Roman" w:eastAsia="Times New Roman" w:hAnsi="Times New Roman" w:cs="Times New Roman"/>
                <w:sz w:val="24"/>
                <w:szCs w:val="24"/>
                <w:lang w:eastAsia="lv-LV"/>
              </w:rPr>
              <w:t xml:space="preserve">, </w:t>
            </w:r>
            <w:r w:rsidR="008A1C81" w:rsidRPr="008A1C81">
              <w:rPr>
                <w:rFonts w:ascii="Times New Roman" w:eastAsia="Times New Roman" w:hAnsi="Times New Roman" w:cs="Times New Roman"/>
                <w:sz w:val="24"/>
                <w:szCs w:val="24"/>
                <w:lang w:eastAsia="lv-LV"/>
              </w:rPr>
              <w:t>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Pr="004D2C68">
              <w:rPr>
                <w:rFonts w:ascii="Times New Roman" w:eastAsia="Times New Roman" w:hAnsi="Times New Roman" w:cs="Times New Roman"/>
                <w:sz w:val="24"/>
                <w:szCs w:val="24"/>
                <w:lang w:eastAsia="lv-LV"/>
              </w:rPr>
              <w:t>;</w:t>
            </w:r>
          </w:p>
          <w:p w14:paraId="2B750E9A" w14:textId="0E1544AF"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e) Komisijas 2011.gada 1.jūnija </w:t>
            </w:r>
            <w:r w:rsidR="007C48B0">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092DC5">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Nr.2011/63/ES, ar kuru, pielāgojot tehnikas attīstībai, groza Eiropas Parlamenta un Padomes Direktīvu 98/70/EK, kas attiecas uz benzīna un dīzeļdegvielu kvalitāti;</w:t>
            </w:r>
          </w:p>
          <w:p w14:paraId="44BDF6E6" w14:textId="3DBA3C39"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f) Komisijas 2014.gada 10.jūnija </w:t>
            </w:r>
            <w:r w:rsidR="00747770">
              <w:rPr>
                <w:rFonts w:ascii="Times New Roman" w:eastAsia="Times New Roman" w:hAnsi="Times New Roman" w:cs="Times New Roman"/>
                <w:sz w:val="24"/>
                <w:szCs w:val="24"/>
                <w:lang w:eastAsia="lv-LV"/>
              </w:rPr>
              <w:t>D</w:t>
            </w:r>
            <w:r w:rsidRPr="004D2C68">
              <w:rPr>
                <w:rFonts w:ascii="Times New Roman" w:eastAsia="Times New Roman" w:hAnsi="Times New Roman" w:cs="Times New Roman"/>
                <w:sz w:val="24"/>
                <w:szCs w:val="24"/>
                <w:lang w:eastAsia="lv-LV"/>
              </w:rPr>
              <w:t>irektīv</w:t>
            </w:r>
            <w:r w:rsidR="00F50492">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Nr.2014/77/ES, ar kuru groza Eiropas Parlamenta un Padomes Direktīvas 98/70/EK </w:t>
            </w:r>
            <w:r w:rsidRPr="004D2C68">
              <w:rPr>
                <w:rFonts w:ascii="Times New Roman" w:eastAsia="Times New Roman" w:hAnsi="Times New Roman" w:cs="Times New Roman"/>
                <w:sz w:val="24"/>
                <w:szCs w:val="24"/>
                <w:lang w:eastAsia="lv-LV"/>
              </w:rPr>
              <w:lastRenderedPageBreak/>
              <w:t xml:space="preserve">I un II pielikumu, kas attiecas uz benzīna un dīzeļdegvielu kvalitāti; </w:t>
            </w:r>
          </w:p>
          <w:p w14:paraId="46B59DEF" w14:textId="3D5DAC12" w:rsidR="009A6742" w:rsidRPr="004D2C68"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g) Direktīv</w:t>
            </w:r>
            <w:r w:rsidR="007D2AE3">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2015/652;</w:t>
            </w:r>
          </w:p>
          <w:p w14:paraId="4078C57F" w14:textId="4D9F0E4C" w:rsidR="009A6742" w:rsidRDefault="009A6742" w:rsidP="006809ED">
            <w:pPr>
              <w:spacing w:before="60" w:after="60" w:line="240" w:lineRule="auto"/>
              <w:ind w:firstLine="22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h) Eiropas Parlamenta un Padomes 2015.gada 9.septembra Direktīv</w:t>
            </w:r>
            <w:r w:rsidR="007D2AE3">
              <w:rPr>
                <w:rFonts w:ascii="Times New Roman" w:eastAsia="Times New Roman" w:hAnsi="Times New Roman" w:cs="Times New Roman"/>
                <w:sz w:val="24"/>
                <w:szCs w:val="24"/>
                <w:lang w:eastAsia="lv-LV"/>
              </w:rPr>
              <w:t>u</w:t>
            </w:r>
            <w:r w:rsidRPr="004D2C68">
              <w:rPr>
                <w:rFonts w:ascii="Times New Roman" w:eastAsia="Times New Roman" w:hAnsi="Times New Roman" w:cs="Times New Roman"/>
                <w:sz w:val="24"/>
                <w:szCs w:val="24"/>
                <w:lang w:eastAsia="lv-LV"/>
              </w:rPr>
              <w:t xml:space="preserve"> 2015/1513, ar kuru groza Direktīvu 98/70/EK, kas attiecas uz benzīna un dīzeļdegvielu kvalitāti, un Direktīvu 2009/28/EK par atjaunojamo energoresursu izmantošanas veicināšanu;</w:t>
            </w:r>
          </w:p>
          <w:p w14:paraId="646CC0A0" w14:textId="1142451C" w:rsidR="006203F8" w:rsidRPr="004D2C68" w:rsidRDefault="008A1C81" w:rsidP="006809ED">
            <w:pPr>
              <w:spacing w:before="60" w:after="60" w:line="240" w:lineRule="auto"/>
              <w:ind w:firstLine="223"/>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i) </w:t>
            </w:r>
            <w:r>
              <w:rPr>
                <w:rFonts w:ascii="Times New Roman" w:eastAsia="Times New Roman" w:hAnsi="Times New Roman" w:cs="Times New Roman"/>
                <w:bCs/>
                <w:iCs/>
                <w:sz w:val="24"/>
                <w:szCs w:val="24"/>
                <w:lang w:eastAsia="lv-LV"/>
              </w:rPr>
              <w:t>Regul</w:t>
            </w:r>
            <w:r w:rsidR="00C46CAD">
              <w:rPr>
                <w:rFonts w:ascii="Times New Roman" w:eastAsia="Times New Roman" w:hAnsi="Times New Roman" w:cs="Times New Roman"/>
                <w:bCs/>
                <w:iCs/>
                <w:sz w:val="24"/>
                <w:szCs w:val="24"/>
                <w:lang w:eastAsia="lv-LV"/>
              </w:rPr>
              <w:t>u</w:t>
            </w:r>
            <w:r>
              <w:rPr>
                <w:rFonts w:ascii="Times New Roman" w:eastAsia="Times New Roman" w:hAnsi="Times New Roman" w:cs="Times New Roman"/>
                <w:bCs/>
                <w:iCs/>
                <w:sz w:val="24"/>
                <w:szCs w:val="24"/>
                <w:lang w:eastAsia="lv-LV"/>
              </w:rPr>
              <w:t xml:space="preserve"> 2018/1999</w:t>
            </w:r>
            <w:r w:rsidR="00202569">
              <w:rPr>
                <w:rFonts w:ascii="Times New Roman" w:eastAsia="Times New Roman" w:hAnsi="Times New Roman" w:cs="Times New Roman"/>
                <w:bCs/>
                <w:iCs/>
                <w:sz w:val="24"/>
                <w:szCs w:val="24"/>
                <w:lang w:eastAsia="lv-LV"/>
              </w:rPr>
              <w:t>.</w:t>
            </w:r>
          </w:p>
        </w:tc>
      </w:tr>
      <w:tr w:rsidR="006D2865" w:rsidRPr="004D2C68" w14:paraId="6DC2F42F" w14:textId="3B26AFB0" w:rsidTr="002C62F6">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15AB7562" w14:textId="7073BA47" w:rsidR="00B46EE6" w:rsidRPr="004D2C68" w:rsidRDefault="0023793D" w:rsidP="00737139">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lastRenderedPageBreak/>
              <w:t>2.</w:t>
            </w:r>
          </w:p>
        </w:tc>
        <w:tc>
          <w:tcPr>
            <w:tcW w:w="1163" w:type="pct"/>
            <w:tcBorders>
              <w:top w:val="outset" w:sz="6" w:space="0" w:color="auto"/>
              <w:left w:val="outset" w:sz="6" w:space="0" w:color="auto"/>
              <w:bottom w:val="outset" w:sz="6" w:space="0" w:color="auto"/>
              <w:right w:val="outset" w:sz="6" w:space="0" w:color="auto"/>
            </w:tcBorders>
          </w:tcPr>
          <w:p w14:paraId="2A95628A" w14:textId="141D836F" w:rsidR="00B46EE6" w:rsidRPr="004D2C68" w:rsidRDefault="0023793D" w:rsidP="00737139">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562ECC8D" w14:textId="3662046F" w:rsidR="00B46EE6" w:rsidRPr="004D2C68" w:rsidRDefault="0023793D" w:rsidP="00737139">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hAnsi="Times New Roman" w:cs="Times New Roman"/>
                <w:sz w:val="24"/>
                <w:szCs w:val="24"/>
              </w:rPr>
              <w:t>Projekts šo jomu neskar</w:t>
            </w:r>
          </w:p>
        </w:tc>
      </w:tr>
      <w:tr w:rsidR="006D2865" w:rsidRPr="004D2C68" w14:paraId="10F83307" w14:textId="5C6A205A" w:rsidTr="002C62F6">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28564740" w14:textId="7C8440DB" w:rsidR="00B46EE6" w:rsidRPr="004D2C68" w:rsidRDefault="0023793D" w:rsidP="00737139">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3.</w:t>
            </w:r>
          </w:p>
        </w:tc>
        <w:tc>
          <w:tcPr>
            <w:tcW w:w="1163" w:type="pct"/>
            <w:tcBorders>
              <w:top w:val="outset" w:sz="6" w:space="0" w:color="auto"/>
              <w:left w:val="outset" w:sz="6" w:space="0" w:color="auto"/>
              <w:bottom w:val="outset" w:sz="6" w:space="0" w:color="auto"/>
              <w:right w:val="outset" w:sz="6" w:space="0" w:color="auto"/>
            </w:tcBorders>
          </w:tcPr>
          <w:p w14:paraId="474D5C49" w14:textId="3A6EB681" w:rsidR="00B46EE6" w:rsidRPr="004D2C68" w:rsidRDefault="0023793D" w:rsidP="00737139">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6E680272" w14:textId="6950F82E" w:rsidR="00B46EE6" w:rsidRPr="004D2C68" w:rsidRDefault="0023793D" w:rsidP="00737139">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Nav</w:t>
            </w:r>
          </w:p>
        </w:tc>
      </w:tr>
    </w:tbl>
    <w:p w14:paraId="1B876B0E" w14:textId="1D749687" w:rsidR="00B46EE6" w:rsidRPr="004D2C68" w:rsidRDefault="00B46EE6" w:rsidP="00737139">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CellSpacing w:w="20" w:type="dxa"/>
        <w:tbl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insideH w:val="outset" w:sz="6" w:space="0" w:color="808080" w:themeColor="background1" w:themeShade="80"/>
          <w:insideV w:val="outset" w:sz="6" w:space="0" w:color="808080" w:themeColor="background1" w:themeShade="80"/>
        </w:tblBorders>
        <w:tblCellMar>
          <w:top w:w="24" w:type="dxa"/>
          <w:left w:w="24" w:type="dxa"/>
          <w:bottom w:w="24" w:type="dxa"/>
          <w:right w:w="24" w:type="dxa"/>
        </w:tblCellMar>
        <w:tblLook w:val="04A0" w:firstRow="1" w:lastRow="0" w:firstColumn="1" w:lastColumn="0" w:noHBand="0" w:noVBand="1"/>
      </w:tblPr>
      <w:tblGrid>
        <w:gridCol w:w="1751"/>
        <w:gridCol w:w="1791"/>
        <w:gridCol w:w="2266"/>
        <w:gridCol w:w="3290"/>
      </w:tblGrid>
      <w:tr w:rsidR="006D2865" w:rsidRPr="004D2C68" w14:paraId="47341335" w14:textId="77777777" w:rsidTr="00202569">
        <w:trPr>
          <w:tblCellSpacing w:w="20" w:type="dxa"/>
          <w:jc w:val="center"/>
        </w:trPr>
        <w:tc>
          <w:tcPr>
            <w:tcW w:w="4956" w:type="pct"/>
            <w:gridSpan w:val="4"/>
            <w:vAlign w:val="center"/>
            <w:hideMark/>
          </w:tcPr>
          <w:p w14:paraId="50E047EC" w14:textId="77777777" w:rsidR="00B46EE6" w:rsidRPr="004D2C68" w:rsidRDefault="0023793D" w:rsidP="00737139">
            <w:pPr>
              <w:spacing w:after="0" w:line="240" w:lineRule="auto"/>
              <w:ind w:left="112"/>
              <w:contextualSpacing/>
              <w:jc w:val="center"/>
              <w:rPr>
                <w:rFonts w:ascii="Times New Roman" w:eastAsia="Times New Roman" w:hAnsi="Times New Roman" w:cs="Times New Roman"/>
                <w:b/>
                <w:bCs/>
                <w:color w:val="414142"/>
                <w:sz w:val="24"/>
                <w:szCs w:val="24"/>
                <w:lang w:eastAsia="lv-LV"/>
              </w:rPr>
            </w:pPr>
            <w:r w:rsidRPr="004D2C68">
              <w:rPr>
                <w:rFonts w:ascii="Times New Roman" w:eastAsia="Times New Roman" w:hAnsi="Times New Roman" w:cs="Times New Roman"/>
                <w:b/>
                <w:bCs/>
                <w:color w:val="414142"/>
                <w:sz w:val="24"/>
                <w:szCs w:val="24"/>
                <w:lang w:eastAsia="lv-LV"/>
              </w:rPr>
              <w:t>1. tabula</w:t>
            </w:r>
            <w:r w:rsidRPr="004D2C68">
              <w:rPr>
                <w:rFonts w:ascii="Times New Roman" w:eastAsia="Times New Roman" w:hAnsi="Times New Roman" w:cs="Times New Roman"/>
                <w:b/>
                <w:bCs/>
                <w:color w:val="414142"/>
                <w:sz w:val="24"/>
                <w:szCs w:val="24"/>
                <w:lang w:eastAsia="lv-LV"/>
              </w:rPr>
              <w:br/>
              <w:t>Tiesību akta projekta atbilstība ES tiesību aktiem</w:t>
            </w:r>
          </w:p>
        </w:tc>
      </w:tr>
      <w:tr w:rsidR="000C2883" w:rsidRPr="004D2C68" w14:paraId="4A60F008" w14:textId="77777777" w:rsidTr="00B16047">
        <w:trPr>
          <w:tblCellSpacing w:w="20" w:type="dxa"/>
          <w:jc w:val="center"/>
        </w:trPr>
        <w:tc>
          <w:tcPr>
            <w:tcW w:w="942" w:type="pct"/>
            <w:hideMark/>
          </w:tcPr>
          <w:p w14:paraId="33D1B65D"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992" w:type="pct"/>
            <w:gridSpan w:val="3"/>
            <w:hideMark/>
          </w:tcPr>
          <w:p w14:paraId="0D05ABCF" w14:textId="624DDF17" w:rsidR="000C2883" w:rsidRPr="00BB5BA0" w:rsidRDefault="00573536" w:rsidP="00737139">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bCs/>
                <w:sz w:val="24"/>
                <w:szCs w:val="24"/>
                <w:lang w:eastAsia="lv-LV"/>
              </w:rPr>
              <w:t>Direktīva Nr.98/70/EK</w:t>
            </w:r>
            <w:r w:rsidR="000C2883">
              <w:rPr>
                <w:rFonts w:ascii="Times New Roman" w:eastAsia="Times New Roman" w:hAnsi="Times New Roman" w:cs="Times New Roman"/>
                <w:bCs/>
                <w:sz w:val="24"/>
                <w:szCs w:val="24"/>
                <w:lang w:eastAsia="lv-LV"/>
              </w:rPr>
              <w:t xml:space="preserve"> </w:t>
            </w:r>
            <w:r w:rsidR="000C2883" w:rsidRPr="00BB5BA0">
              <w:rPr>
                <w:rFonts w:ascii="Times New Roman" w:eastAsia="Times New Roman" w:hAnsi="Times New Roman" w:cs="Times New Roman"/>
                <w:sz w:val="24"/>
                <w:szCs w:val="24"/>
                <w:lang w:eastAsia="lv-LV"/>
              </w:rPr>
              <w:t>(konsolidētajā versijā) iekļaujot</w:t>
            </w:r>
            <w:r w:rsidR="000C2883">
              <w:rPr>
                <w:rFonts w:ascii="Times New Roman" w:eastAsia="Times New Roman" w:hAnsi="Times New Roman" w:cs="Times New Roman"/>
                <w:sz w:val="24"/>
                <w:szCs w:val="24"/>
                <w:lang w:eastAsia="lv-LV"/>
              </w:rPr>
              <w:t>:</w:t>
            </w:r>
          </w:p>
          <w:p w14:paraId="1DCA4070" w14:textId="77777777" w:rsidR="00B46EE6" w:rsidRDefault="000C2883" w:rsidP="00C46CAD">
            <w:pPr>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Regulu 2018/1999</w:t>
            </w:r>
          </w:p>
          <w:p w14:paraId="431A9A36" w14:textId="77777777" w:rsidR="00374936" w:rsidRDefault="00374936" w:rsidP="00C46CAD">
            <w:pPr>
              <w:spacing w:after="0" w:line="240" w:lineRule="auto"/>
              <w:contextualSpacing/>
              <w:jc w:val="both"/>
              <w:rPr>
                <w:rFonts w:ascii="Times New Roman" w:eastAsia="Times New Roman" w:hAnsi="Times New Roman" w:cs="Times New Roman"/>
                <w:sz w:val="24"/>
                <w:szCs w:val="24"/>
                <w:lang w:eastAsia="lv-LV"/>
              </w:rPr>
            </w:pPr>
          </w:p>
          <w:p w14:paraId="0A39117F" w14:textId="17701D24" w:rsidR="00374936" w:rsidRPr="004D2C68" w:rsidRDefault="00374936" w:rsidP="00C46CAD">
            <w:pPr>
              <w:spacing w:after="0" w:line="240" w:lineRule="auto"/>
              <w:contextualSpacing/>
              <w:jc w:val="both"/>
              <w:rPr>
                <w:rFonts w:ascii="Times New Roman" w:eastAsia="Times New Roman" w:hAnsi="Times New Roman" w:cs="Times New Roman"/>
                <w:sz w:val="24"/>
                <w:szCs w:val="24"/>
                <w:lang w:eastAsia="lv-LV"/>
              </w:rPr>
            </w:pPr>
          </w:p>
        </w:tc>
      </w:tr>
      <w:tr w:rsidR="00573536" w:rsidRPr="004D2C68" w14:paraId="5B287A17" w14:textId="77777777" w:rsidTr="00B16047">
        <w:trPr>
          <w:tblCellSpacing w:w="20" w:type="dxa"/>
          <w:jc w:val="center"/>
        </w:trPr>
        <w:tc>
          <w:tcPr>
            <w:tcW w:w="942" w:type="pct"/>
            <w:vAlign w:val="center"/>
            <w:hideMark/>
          </w:tcPr>
          <w:p w14:paraId="03E533E8" w14:textId="77777777" w:rsidR="00B46EE6" w:rsidRPr="004D2C68" w:rsidRDefault="0023793D" w:rsidP="00737139">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975" w:type="pct"/>
            <w:vAlign w:val="center"/>
            <w:hideMark/>
          </w:tcPr>
          <w:p w14:paraId="0B050C53" w14:textId="77777777" w:rsidR="00B46EE6" w:rsidRPr="004D2C68" w:rsidRDefault="0023793D" w:rsidP="00737139">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240" w:type="pct"/>
            <w:vAlign w:val="center"/>
            <w:hideMark/>
          </w:tcPr>
          <w:p w14:paraId="5BB672BD" w14:textId="77777777" w:rsidR="00B46EE6" w:rsidRPr="004D2C68" w:rsidRDefault="0023793D" w:rsidP="00737139">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733" w:type="pct"/>
            <w:vAlign w:val="center"/>
            <w:hideMark/>
          </w:tcPr>
          <w:p w14:paraId="015CAB69" w14:textId="77777777" w:rsidR="00B46EE6" w:rsidRPr="004D2C68" w:rsidRDefault="0023793D" w:rsidP="00737139">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rsidR="00573536" w:rsidRPr="004D2C68" w14:paraId="3FCCDF49" w14:textId="77777777" w:rsidTr="00B16047">
        <w:trPr>
          <w:tblCellSpacing w:w="20" w:type="dxa"/>
          <w:jc w:val="center"/>
        </w:trPr>
        <w:tc>
          <w:tcPr>
            <w:tcW w:w="942" w:type="pct"/>
            <w:hideMark/>
          </w:tcPr>
          <w:p w14:paraId="3AE09EDF"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975" w:type="pct"/>
            <w:hideMark/>
          </w:tcPr>
          <w:p w14:paraId="563BA023"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40" w:type="pct"/>
            <w:hideMark/>
          </w:tcPr>
          <w:p w14:paraId="487B315C"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9217DAC"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institūciju, kas ir atbildīga par šo saistību izpildi pilnībā</w:t>
            </w:r>
          </w:p>
        </w:tc>
        <w:tc>
          <w:tcPr>
            <w:tcW w:w="1733" w:type="pct"/>
            <w:hideMark/>
          </w:tcPr>
          <w:p w14:paraId="0D3032E9"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0D1DD935"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D228172" w14:textId="77777777" w:rsidR="00B46EE6" w:rsidRPr="004D2C68" w:rsidRDefault="0023793D" w:rsidP="00737139">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74936" w:rsidRPr="004D2C68" w14:paraId="278E771C" w14:textId="77777777" w:rsidTr="00B16047">
        <w:trPr>
          <w:tblCellSpacing w:w="20" w:type="dxa"/>
          <w:jc w:val="center"/>
        </w:trPr>
        <w:tc>
          <w:tcPr>
            <w:tcW w:w="942" w:type="pct"/>
          </w:tcPr>
          <w:p w14:paraId="0EF67CD0" w14:textId="58288972"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 panta 1.punkta 1.rindkopa</w:t>
            </w:r>
          </w:p>
        </w:tc>
        <w:tc>
          <w:tcPr>
            <w:tcW w:w="975" w:type="pct"/>
          </w:tcPr>
          <w:p w14:paraId="211EFE5F" w14:textId="445952A4"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B16047">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punkts</w:t>
            </w:r>
          </w:p>
        </w:tc>
        <w:tc>
          <w:tcPr>
            <w:tcW w:w="1240" w:type="pct"/>
          </w:tcPr>
          <w:p w14:paraId="3D114EF0" w14:textId="2FC1CA2E" w:rsidR="00374936" w:rsidRPr="00FD5027" w:rsidRDefault="00374936" w:rsidP="00374936">
            <w:pPr>
              <w:spacing w:after="0" w:line="240" w:lineRule="auto"/>
              <w:contextualSpacing/>
              <w:jc w:val="both"/>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733" w:type="pct"/>
          </w:tcPr>
          <w:p w14:paraId="5C0E3184" w14:textId="3876232C" w:rsidR="00374936" w:rsidRPr="00FD5027" w:rsidRDefault="00374936" w:rsidP="00374936">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rsidR="00374936" w:rsidRPr="004D2C68" w14:paraId="034F0EFB" w14:textId="77777777" w:rsidTr="00B16047">
        <w:trPr>
          <w:tblCellSpacing w:w="20" w:type="dxa"/>
          <w:jc w:val="center"/>
        </w:trPr>
        <w:tc>
          <w:tcPr>
            <w:tcW w:w="942" w:type="pct"/>
          </w:tcPr>
          <w:p w14:paraId="6AA14A5A" w14:textId="20424B38"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 panta 1.punkta 2.rindkopa</w:t>
            </w:r>
          </w:p>
        </w:tc>
        <w:tc>
          <w:tcPr>
            <w:tcW w:w="975" w:type="pct"/>
          </w:tcPr>
          <w:p w14:paraId="3CA43AF2" w14:textId="77777777" w:rsidR="00374936" w:rsidRDefault="00374936" w:rsidP="00374936">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Netiek pārņemts, jo Latvija šādu iespēju </w:t>
            </w:r>
            <w:r w:rsidRPr="004D2C68">
              <w:rPr>
                <w:rFonts w:ascii="Times New Roman" w:eastAsia="Times New Roman" w:hAnsi="Times New Roman" w:cs="Times New Roman"/>
                <w:sz w:val="24"/>
                <w:szCs w:val="24"/>
                <w:lang w:eastAsia="lv-LV"/>
              </w:rPr>
              <w:lastRenderedPageBreak/>
              <w:t>neizvēlas, t.i., aviācijā lietojamās biodegvielas piegādātāji Latvijā nepiedalīsies Likumā un Noteikumu projektā noteikto saistību izpildē</w:t>
            </w:r>
            <w:r w:rsidR="00166F36">
              <w:rPr>
                <w:rFonts w:ascii="Times New Roman" w:eastAsia="Times New Roman" w:hAnsi="Times New Roman" w:cs="Times New Roman"/>
                <w:sz w:val="24"/>
                <w:szCs w:val="24"/>
                <w:lang w:eastAsia="lv-LV"/>
              </w:rPr>
              <w:t>’</w:t>
            </w:r>
          </w:p>
          <w:p w14:paraId="48AE565B" w14:textId="310E5CCB" w:rsidR="00166F36" w:rsidRDefault="00166F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Piedevām jānorāda, ka Latvijā gaisa transportam netiek piegādāta biodegviela</w:t>
            </w:r>
          </w:p>
        </w:tc>
        <w:tc>
          <w:tcPr>
            <w:tcW w:w="1240" w:type="pct"/>
          </w:tcPr>
          <w:p w14:paraId="6333BDF8" w14:textId="77777777" w:rsidR="00374936" w:rsidRPr="00FD5027" w:rsidRDefault="00374936" w:rsidP="00374936">
            <w:pPr>
              <w:spacing w:after="0" w:line="240" w:lineRule="auto"/>
              <w:contextualSpacing/>
              <w:jc w:val="both"/>
              <w:rPr>
                <w:rFonts w:ascii="Times New Roman" w:hAnsi="Times New Roman" w:cs="Times New Roman"/>
                <w:sz w:val="24"/>
                <w:szCs w:val="24"/>
              </w:rPr>
            </w:pPr>
          </w:p>
        </w:tc>
        <w:tc>
          <w:tcPr>
            <w:tcW w:w="1733" w:type="pct"/>
          </w:tcPr>
          <w:p w14:paraId="530BB5EC" w14:textId="77777777" w:rsidR="00374936" w:rsidRPr="00FD5027" w:rsidRDefault="00374936" w:rsidP="00374936">
            <w:pPr>
              <w:spacing w:after="0" w:line="240" w:lineRule="auto"/>
              <w:contextualSpacing/>
              <w:rPr>
                <w:rFonts w:ascii="Times New Roman" w:hAnsi="Times New Roman" w:cs="Times New Roman"/>
                <w:sz w:val="24"/>
                <w:szCs w:val="24"/>
              </w:rPr>
            </w:pPr>
          </w:p>
        </w:tc>
      </w:tr>
      <w:tr w:rsidR="00374936" w:rsidRPr="004D2C68" w14:paraId="0FAF59A1" w14:textId="77777777" w:rsidTr="00B16047">
        <w:trPr>
          <w:tblCellSpacing w:w="20" w:type="dxa"/>
          <w:jc w:val="center"/>
        </w:trPr>
        <w:tc>
          <w:tcPr>
            <w:tcW w:w="942" w:type="pct"/>
          </w:tcPr>
          <w:p w14:paraId="764DC820" w14:textId="4D0B3582"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 panta 1.punkta 3.rindkopa</w:t>
            </w:r>
          </w:p>
        </w:tc>
        <w:tc>
          <w:tcPr>
            <w:tcW w:w="975" w:type="pct"/>
          </w:tcPr>
          <w:p w14:paraId="2E53C742" w14:textId="225AA420"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Nr.597 12. un 27.punkts</w:t>
            </w:r>
          </w:p>
          <w:p w14:paraId="21036E49" w14:textId="5077AB11" w:rsidR="00374936"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un </w:t>
            </w:r>
            <w:r w:rsidR="008D06E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w:t>
            </w:r>
          </w:p>
        </w:tc>
        <w:tc>
          <w:tcPr>
            <w:tcW w:w="1240" w:type="pct"/>
          </w:tcPr>
          <w:p w14:paraId="1BAAA756" w14:textId="3573A923" w:rsidR="00374936" w:rsidRPr="00FD5027" w:rsidRDefault="00374936" w:rsidP="00374936">
            <w:pPr>
              <w:spacing w:after="0" w:line="240" w:lineRule="auto"/>
              <w:contextualSpacing/>
              <w:jc w:val="both"/>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733" w:type="pct"/>
          </w:tcPr>
          <w:p w14:paraId="7CE24649" w14:textId="312C7550" w:rsidR="00374936" w:rsidRPr="00FD5027" w:rsidRDefault="00374936" w:rsidP="00374936">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rsidR="00374936" w:rsidRPr="004D2C68" w14:paraId="552371D3" w14:textId="77777777" w:rsidTr="00B16047">
        <w:trPr>
          <w:tblCellSpacing w:w="20" w:type="dxa"/>
          <w:jc w:val="center"/>
        </w:trPr>
        <w:tc>
          <w:tcPr>
            <w:tcW w:w="942" w:type="pct"/>
          </w:tcPr>
          <w:p w14:paraId="319ECA70" w14:textId="60A88492"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2018/1999 47.panta 1.punkts, kas izsaka Direktīvas 98/70/EK 7.a panta 1.punkta trešās daļas a) apakšpunktu jaunā redakcijā</w:t>
            </w:r>
          </w:p>
        </w:tc>
        <w:tc>
          <w:tcPr>
            <w:tcW w:w="975" w:type="pct"/>
          </w:tcPr>
          <w:p w14:paraId="33C8F923" w14:textId="56A4491D"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un </w:t>
            </w:r>
            <w:r w:rsidR="008D06E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w:t>
            </w:r>
          </w:p>
        </w:tc>
        <w:tc>
          <w:tcPr>
            <w:tcW w:w="1240" w:type="pct"/>
          </w:tcPr>
          <w:p w14:paraId="70EAE67D" w14:textId="3F424CBC" w:rsidR="00374936" w:rsidRPr="004D2C68" w:rsidRDefault="00374936" w:rsidP="00374936">
            <w:pPr>
              <w:spacing w:after="0" w:line="240" w:lineRule="auto"/>
              <w:contextualSpacing/>
              <w:jc w:val="both"/>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733" w:type="pct"/>
          </w:tcPr>
          <w:p w14:paraId="7E992B6A" w14:textId="6D8691E0"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rsidR="00642FF6" w:rsidRPr="004D2C68" w14:paraId="07A761CB" w14:textId="77777777" w:rsidTr="00B16047">
        <w:trPr>
          <w:tblCellSpacing w:w="20" w:type="dxa"/>
          <w:jc w:val="center"/>
        </w:trPr>
        <w:tc>
          <w:tcPr>
            <w:tcW w:w="942" w:type="pct"/>
          </w:tcPr>
          <w:p w14:paraId="6DBD8C19" w14:textId="033C7D6B" w:rsidR="00642FF6" w:rsidRDefault="00642FF6" w:rsidP="00642FF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 panta 4.punkts</w:t>
            </w:r>
          </w:p>
        </w:tc>
        <w:tc>
          <w:tcPr>
            <w:tcW w:w="975" w:type="pct"/>
          </w:tcPr>
          <w:p w14:paraId="1BB493CB" w14:textId="7795BEF0" w:rsidR="00642FF6" w:rsidRDefault="00642FF6" w:rsidP="00642FF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c>
          <w:tcPr>
            <w:tcW w:w="1240" w:type="pct"/>
          </w:tcPr>
          <w:p w14:paraId="79969E32" w14:textId="4D26D59A" w:rsidR="00642FF6" w:rsidRPr="00FD5027" w:rsidRDefault="00642FF6" w:rsidP="00642FF6">
            <w:pPr>
              <w:spacing w:after="0" w:line="240" w:lineRule="auto"/>
              <w:contextualSpacing/>
              <w:jc w:val="both"/>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733" w:type="pct"/>
          </w:tcPr>
          <w:p w14:paraId="223FE0FF" w14:textId="65DD40BB" w:rsidR="00642FF6" w:rsidRPr="00FD5027" w:rsidRDefault="00642FF6" w:rsidP="00642FF6">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rsidR="00374936" w:rsidRPr="004D2C68" w14:paraId="30FE75B9" w14:textId="77777777" w:rsidTr="00B16047">
        <w:trPr>
          <w:tblCellSpacing w:w="20" w:type="dxa"/>
          <w:jc w:val="center"/>
        </w:trPr>
        <w:tc>
          <w:tcPr>
            <w:tcW w:w="942" w:type="pct"/>
            <w:hideMark/>
          </w:tcPr>
          <w:p w14:paraId="7FD75381" w14:textId="77777777"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992" w:type="pct"/>
            <w:gridSpan w:val="3"/>
            <w:hideMark/>
          </w:tcPr>
          <w:p w14:paraId="6195469F" w14:textId="6BE6421D" w:rsidR="00374936" w:rsidRPr="00BB5BA0" w:rsidRDefault="00374936" w:rsidP="00374936">
            <w:pPr>
              <w:spacing w:after="0" w:line="240" w:lineRule="auto"/>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bCs/>
                <w:sz w:val="24"/>
                <w:szCs w:val="24"/>
                <w:lang w:eastAsia="lv-LV"/>
              </w:rPr>
              <w:t>Direktīva Nr.2015/652</w:t>
            </w:r>
            <w:r>
              <w:rPr>
                <w:rFonts w:ascii="Times New Roman" w:eastAsia="Times New Roman" w:hAnsi="Times New Roman" w:cs="Times New Roman"/>
                <w:bCs/>
                <w:sz w:val="24"/>
                <w:szCs w:val="24"/>
                <w:lang w:eastAsia="lv-LV"/>
              </w:rPr>
              <w:t xml:space="preserve"> </w:t>
            </w:r>
            <w:r w:rsidRPr="00BB5BA0">
              <w:rPr>
                <w:rFonts w:ascii="Times New Roman" w:eastAsia="Times New Roman" w:hAnsi="Times New Roman" w:cs="Times New Roman"/>
                <w:sz w:val="24"/>
                <w:szCs w:val="24"/>
                <w:lang w:eastAsia="lv-LV"/>
              </w:rPr>
              <w:t>(konsolidētajā versijā) iekļaujot</w:t>
            </w:r>
            <w:r>
              <w:rPr>
                <w:rFonts w:ascii="Times New Roman" w:eastAsia="Times New Roman" w:hAnsi="Times New Roman" w:cs="Times New Roman"/>
                <w:sz w:val="24"/>
                <w:szCs w:val="24"/>
                <w:lang w:eastAsia="lv-LV"/>
              </w:rPr>
              <w:t>:</w:t>
            </w:r>
          </w:p>
          <w:p w14:paraId="36C33EF8" w14:textId="77777777" w:rsidR="00374936" w:rsidRDefault="00374936" w:rsidP="00374936">
            <w:pPr>
              <w:spacing w:after="0" w:line="240" w:lineRule="auto"/>
              <w:contextualSpacing/>
              <w:jc w:val="both"/>
              <w:rPr>
                <w:rFonts w:ascii="Times New Roman" w:eastAsia="Times New Roman" w:hAnsi="Times New Roman" w:cs="Times New Roman"/>
                <w:bCs/>
                <w:sz w:val="24"/>
                <w:szCs w:val="24"/>
                <w:lang w:eastAsia="lv-LV"/>
              </w:rPr>
            </w:pPr>
          </w:p>
          <w:p w14:paraId="54D2AB32" w14:textId="4C1F272E" w:rsidR="00374936" w:rsidRPr="00573536" w:rsidRDefault="00374936" w:rsidP="00374936">
            <w:pPr>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Regulu 2018/1999</w:t>
            </w:r>
          </w:p>
        </w:tc>
      </w:tr>
      <w:tr w:rsidR="00374936" w:rsidRPr="004D2C68" w14:paraId="21AF5265" w14:textId="77777777" w:rsidTr="00B16047">
        <w:trPr>
          <w:tblCellSpacing w:w="20" w:type="dxa"/>
          <w:jc w:val="center"/>
        </w:trPr>
        <w:tc>
          <w:tcPr>
            <w:tcW w:w="942" w:type="pct"/>
            <w:vAlign w:val="center"/>
            <w:hideMark/>
          </w:tcPr>
          <w:p w14:paraId="2CF6F939" w14:textId="77777777" w:rsidR="00374936" w:rsidRPr="004D2C68" w:rsidRDefault="00374936" w:rsidP="00374936">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975" w:type="pct"/>
            <w:vAlign w:val="center"/>
            <w:hideMark/>
          </w:tcPr>
          <w:p w14:paraId="19C3D055" w14:textId="77777777" w:rsidR="00374936" w:rsidRPr="004D2C68" w:rsidRDefault="00374936" w:rsidP="00374936">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240" w:type="pct"/>
            <w:vAlign w:val="center"/>
            <w:hideMark/>
          </w:tcPr>
          <w:p w14:paraId="081C1171" w14:textId="77777777" w:rsidR="00374936" w:rsidRPr="004D2C68" w:rsidRDefault="00374936" w:rsidP="00374936">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733" w:type="pct"/>
            <w:vAlign w:val="center"/>
            <w:hideMark/>
          </w:tcPr>
          <w:p w14:paraId="37D5D73F" w14:textId="77777777" w:rsidR="00374936" w:rsidRPr="004D2C68" w:rsidRDefault="00374936" w:rsidP="00374936">
            <w:pPr>
              <w:spacing w:after="0" w:line="240" w:lineRule="auto"/>
              <w:contextualSpacing/>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rsidR="00B16047" w:rsidRPr="004D2C68" w14:paraId="113ECB95" w14:textId="77777777" w:rsidTr="00B16047">
        <w:trPr>
          <w:tblCellSpacing w:w="20" w:type="dxa"/>
          <w:jc w:val="center"/>
        </w:trPr>
        <w:tc>
          <w:tcPr>
            <w:tcW w:w="942" w:type="pct"/>
          </w:tcPr>
          <w:p w14:paraId="11ACD82C" w14:textId="5E3114CB" w:rsidR="00B16047" w:rsidRDefault="00B16047" w:rsidP="00B1604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1.panta 2.punkts</w:t>
            </w:r>
          </w:p>
        </w:tc>
        <w:tc>
          <w:tcPr>
            <w:tcW w:w="975" w:type="pct"/>
          </w:tcPr>
          <w:p w14:paraId="2EEDC8DB" w14:textId="46CB027C" w:rsidR="00B16047" w:rsidRDefault="00B16047" w:rsidP="00B16047">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1.punkts</w:t>
            </w:r>
          </w:p>
        </w:tc>
        <w:tc>
          <w:tcPr>
            <w:tcW w:w="1240" w:type="pct"/>
          </w:tcPr>
          <w:p w14:paraId="733F4E3A" w14:textId="1DFD4E76" w:rsidR="00B16047" w:rsidRPr="00FD5027" w:rsidRDefault="00B16047" w:rsidP="00B16047">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Noteikumu projekts pārņem pilnībā.</w:t>
            </w:r>
          </w:p>
        </w:tc>
        <w:tc>
          <w:tcPr>
            <w:tcW w:w="1733" w:type="pct"/>
          </w:tcPr>
          <w:p w14:paraId="5EA8EAA6" w14:textId="19B7C575" w:rsidR="00B16047" w:rsidRPr="00FD5027" w:rsidRDefault="00B16047" w:rsidP="00B16047">
            <w:pPr>
              <w:spacing w:after="0" w:line="240" w:lineRule="auto"/>
              <w:contextualSpacing/>
              <w:rPr>
                <w:rFonts w:ascii="Times New Roman" w:hAnsi="Times New Roman" w:cs="Times New Roman"/>
                <w:sz w:val="24"/>
                <w:szCs w:val="24"/>
              </w:rPr>
            </w:pPr>
            <w:r w:rsidRPr="00FD5027">
              <w:rPr>
                <w:rFonts w:ascii="Times New Roman" w:hAnsi="Times New Roman" w:cs="Times New Roman"/>
                <w:sz w:val="24"/>
                <w:szCs w:val="24"/>
              </w:rPr>
              <w:t>Projekts nesatur stingrākas prasības nekā attiecīgais ES tiesību akts.</w:t>
            </w:r>
          </w:p>
        </w:tc>
      </w:tr>
      <w:tr w:rsidR="00374936" w:rsidRPr="004D2C68" w14:paraId="28C035FA" w14:textId="77777777" w:rsidTr="00B16047">
        <w:trPr>
          <w:tblCellSpacing w:w="20" w:type="dxa"/>
          <w:jc w:val="center"/>
        </w:trPr>
        <w:tc>
          <w:tcPr>
            <w:tcW w:w="942" w:type="pct"/>
          </w:tcPr>
          <w:p w14:paraId="0413F446" w14:textId="7B834B77"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2018/1999 56.panta </w:t>
            </w:r>
            <w:r>
              <w:rPr>
                <w:rFonts w:ascii="Times New Roman" w:eastAsia="Times New Roman" w:hAnsi="Times New Roman" w:cs="Times New Roman"/>
                <w:sz w:val="24"/>
                <w:szCs w:val="24"/>
                <w:lang w:eastAsia="lv-LV"/>
              </w:rPr>
              <w:lastRenderedPageBreak/>
              <w:t xml:space="preserve">2.punkts, kas svītro Direktīvas 2015/652 </w:t>
            </w:r>
            <w:r w:rsidRPr="00573536">
              <w:rPr>
                <w:rFonts w:ascii="Times New Roman" w:eastAsia="Times New Roman" w:hAnsi="Times New Roman" w:cs="Times New Roman"/>
                <w:sz w:val="24"/>
                <w:szCs w:val="24"/>
                <w:lang w:eastAsia="lv-LV"/>
              </w:rPr>
              <w:t>I pielikuma 2. daļas 1. punkta h) apakšpunktu, 2., 3., 4. un 7. punktu</w:t>
            </w:r>
          </w:p>
        </w:tc>
        <w:tc>
          <w:tcPr>
            <w:tcW w:w="975" w:type="pct"/>
          </w:tcPr>
          <w:p w14:paraId="0C8EDB81" w14:textId="26120662"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projekta </w:t>
            </w:r>
            <w:r w:rsidR="008D06E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E70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D06E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6E70DF">
              <w:rPr>
                <w:rFonts w:ascii="Times New Roman" w:eastAsia="Times New Roman" w:hAnsi="Times New Roman" w:cs="Times New Roman"/>
                <w:sz w:val="24"/>
                <w:szCs w:val="24"/>
                <w:lang w:eastAsia="lv-LV"/>
              </w:rPr>
              <w:t xml:space="preserve"> un </w:t>
            </w:r>
            <w:r w:rsidR="008D06E3">
              <w:rPr>
                <w:rFonts w:ascii="Times New Roman" w:eastAsia="Times New Roman" w:hAnsi="Times New Roman" w:cs="Times New Roman"/>
                <w:sz w:val="24"/>
                <w:szCs w:val="24"/>
                <w:lang w:eastAsia="lv-LV"/>
              </w:rPr>
              <w:t>4</w:t>
            </w:r>
            <w:r w:rsidR="006E70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punkts</w:t>
            </w:r>
          </w:p>
        </w:tc>
        <w:tc>
          <w:tcPr>
            <w:tcW w:w="1240" w:type="pct"/>
          </w:tcPr>
          <w:p w14:paraId="5F878E92" w14:textId="67470392"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733" w:type="pct"/>
          </w:tcPr>
          <w:p w14:paraId="6E756568" w14:textId="2A60DEC4"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rsidR="00374936" w:rsidRPr="004D2C68" w14:paraId="648B107D" w14:textId="77777777" w:rsidTr="00B16047">
        <w:trPr>
          <w:tblCellSpacing w:w="20" w:type="dxa"/>
          <w:jc w:val="center"/>
        </w:trPr>
        <w:tc>
          <w:tcPr>
            <w:tcW w:w="942" w:type="pct"/>
          </w:tcPr>
          <w:p w14:paraId="107C5599" w14:textId="76F31B06"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2018/1999 56.panta 3.punkta b) apakšpunkts, kas svītro Direktīvas 2015/652 </w:t>
            </w:r>
            <w:r w:rsidRPr="0057353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II</w:t>
            </w:r>
            <w:r w:rsidRPr="00573536">
              <w:rPr>
                <w:rFonts w:ascii="Times New Roman" w:eastAsia="Times New Roman" w:hAnsi="Times New Roman" w:cs="Times New Roman"/>
                <w:sz w:val="24"/>
                <w:szCs w:val="24"/>
                <w:lang w:eastAsia="lv-LV"/>
              </w:rPr>
              <w:t xml:space="preserve"> pielikuma </w:t>
            </w:r>
            <w:r>
              <w:rPr>
                <w:rFonts w:ascii="Times New Roman" w:eastAsia="Times New Roman" w:hAnsi="Times New Roman" w:cs="Times New Roman"/>
                <w:sz w:val="24"/>
                <w:szCs w:val="24"/>
                <w:lang w:eastAsia="lv-LV"/>
              </w:rPr>
              <w:t>3.punkta e) un f) apakšpunktu</w:t>
            </w:r>
          </w:p>
        </w:tc>
        <w:tc>
          <w:tcPr>
            <w:tcW w:w="975" w:type="pct"/>
          </w:tcPr>
          <w:p w14:paraId="0CEC7732" w14:textId="1C8BAE60"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.punkts</w:t>
            </w:r>
          </w:p>
        </w:tc>
        <w:tc>
          <w:tcPr>
            <w:tcW w:w="1240" w:type="pct"/>
          </w:tcPr>
          <w:p w14:paraId="66A57DDF" w14:textId="614EE02A"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733" w:type="pct"/>
          </w:tcPr>
          <w:p w14:paraId="75DAC381" w14:textId="29FA98BB"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rsidR="00374936" w:rsidRPr="004D2C68" w14:paraId="5EBEE68A" w14:textId="77777777" w:rsidTr="00B16047">
        <w:trPr>
          <w:tblCellSpacing w:w="20" w:type="dxa"/>
          <w:jc w:val="center"/>
        </w:trPr>
        <w:tc>
          <w:tcPr>
            <w:tcW w:w="942" w:type="pct"/>
          </w:tcPr>
          <w:p w14:paraId="46048984" w14:textId="02CDD15B"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2018/1999 56.panta 4.punkta a) apakšpunkts, kas svītro Direktīvas 2015/652 </w:t>
            </w:r>
            <w:r w:rsidRPr="0057353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V pielikumā vairākas veidnes ziņoto datu saskanības nodrošināšanai</w:t>
            </w:r>
          </w:p>
        </w:tc>
        <w:tc>
          <w:tcPr>
            <w:tcW w:w="975" w:type="pct"/>
          </w:tcPr>
          <w:p w14:paraId="371C5B54" w14:textId="35AD6B5F"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p>
        </w:tc>
        <w:tc>
          <w:tcPr>
            <w:tcW w:w="1240" w:type="pct"/>
          </w:tcPr>
          <w:p w14:paraId="55E87F34" w14:textId="0DC1FFE0"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733" w:type="pct"/>
          </w:tcPr>
          <w:p w14:paraId="5364D7FD" w14:textId="6681E1DB"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rsidR="00374936" w:rsidRPr="004D2C68" w14:paraId="4FB05B06" w14:textId="77777777" w:rsidTr="00B16047">
        <w:trPr>
          <w:tblCellSpacing w:w="20" w:type="dxa"/>
          <w:jc w:val="center"/>
        </w:trPr>
        <w:tc>
          <w:tcPr>
            <w:tcW w:w="942" w:type="pct"/>
          </w:tcPr>
          <w:p w14:paraId="5C9F2FF8" w14:textId="7EEDA21B"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2018/1999 56.panta 4.punkta b) apakšpunkts, kas svītro Direktīvas 2015/652</w:t>
            </w:r>
            <w:r w:rsidRPr="00573536">
              <w:rPr>
                <w:rFonts w:ascii="Times New Roman" w:eastAsia="Times New Roman" w:hAnsi="Times New Roman" w:cs="Times New Roman"/>
                <w:sz w:val="24"/>
                <w:szCs w:val="24"/>
                <w:lang w:eastAsia="lv-LV"/>
              </w:rPr>
              <w:t xml:space="preserve"> I</w:t>
            </w:r>
            <w:r>
              <w:rPr>
                <w:rFonts w:ascii="Times New Roman" w:eastAsia="Times New Roman" w:hAnsi="Times New Roman" w:cs="Times New Roman"/>
                <w:sz w:val="24"/>
                <w:szCs w:val="24"/>
                <w:lang w:eastAsia="lv-LV"/>
              </w:rPr>
              <w:t>V pielikuma piezīmēs par formātu svītro 8. un 9.punktu</w:t>
            </w:r>
          </w:p>
        </w:tc>
        <w:tc>
          <w:tcPr>
            <w:tcW w:w="975" w:type="pct"/>
          </w:tcPr>
          <w:p w14:paraId="62003640" w14:textId="58FCF4D3"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D06E3">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.punkts</w:t>
            </w:r>
          </w:p>
        </w:tc>
        <w:tc>
          <w:tcPr>
            <w:tcW w:w="1240" w:type="pct"/>
          </w:tcPr>
          <w:p w14:paraId="3D2E2A70" w14:textId="1FC27237"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Noteikumu projekts pārņem pilnībā.</w:t>
            </w:r>
          </w:p>
        </w:tc>
        <w:tc>
          <w:tcPr>
            <w:tcW w:w="1733" w:type="pct"/>
          </w:tcPr>
          <w:p w14:paraId="2F1EE7D3" w14:textId="01A471CA"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FD5027">
              <w:rPr>
                <w:rFonts w:ascii="Times New Roman" w:hAnsi="Times New Roman" w:cs="Times New Roman"/>
                <w:sz w:val="24"/>
                <w:szCs w:val="24"/>
              </w:rPr>
              <w:t>Projekts nesatur stingrākas prasības nekā attiecīgais ES tiesību akts.</w:t>
            </w:r>
          </w:p>
        </w:tc>
      </w:tr>
      <w:tr w:rsidR="00374936" w:rsidRPr="008D5D96" w14:paraId="71C07607" w14:textId="77777777" w:rsidTr="00B16047">
        <w:trPr>
          <w:tblCellSpacing w:w="20" w:type="dxa"/>
          <w:jc w:val="center"/>
        </w:trPr>
        <w:tc>
          <w:tcPr>
            <w:tcW w:w="942" w:type="pct"/>
            <w:hideMark/>
          </w:tcPr>
          <w:p w14:paraId="4F81DD29" w14:textId="77777777" w:rsidR="00374936" w:rsidRPr="008D5D96" w:rsidRDefault="00374936" w:rsidP="00374936">
            <w:pPr>
              <w:spacing w:after="0" w:line="240" w:lineRule="auto"/>
              <w:contextualSpacing/>
              <w:rPr>
                <w:rFonts w:ascii="Times New Roman" w:eastAsia="Times New Roman" w:hAnsi="Times New Roman" w:cs="Times New Roman"/>
                <w:sz w:val="24"/>
                <w:szCs w:val="24"/>
                <w:lang w:eastAsia="lv-LV"/>
              </w:rPr>
            </w:pPr>
            <w:r w:rsidRPr="008D5D96">
              <w:rPr>
                <w:rFonts w:ascii="Times New Roman" w:eastAsia="Times New Roman" w:hAnsi="Times New Roman" w:cs="Times New Roman"/>
                <w:sz w:val="24"/>
                <w:szCs w:val="24"/>
                <w:lang w:eastAsia="lv-LV"/>
              </w:rPr>
              <w:t xml:space="preserve">Kā ir izmantota ES tiesību aktā paredzētā rīcības brīvība dalībvalstij </w:t>
            </w:r>
            <w:r w:rsidRPr="008D5D96">
              <w:rPr>
                <w:rFonts w:ascii="Times New Roman" w:eastAsia="Times New Roman" w:hAnsi="Times New Roman" w:cs="Times New Roman"/>
                <w:sz w:val="24"/>
                <w:szCs w:val="24"/>
                <w:lang w:eastAsia="lv-LV"/>
              </w:rPr>
              <w:lastRenderedPageBreak/>
              <w:t>pārņemt vai ieviest noteiktas ES tiesību akta normas?</w:t>
            </w:r>
            <w:r w:rsidRPr="008D5D96">
              <w:rPr>
                <w:rFonts w:ascii="Times New Roman" w:eastAsia="Times New Roman" w:hAnsi="Times New Roman" w:cs="Times New Roman"/>
                <w:sz w:val="24"/>
                <w:szCs w:val="24"/>
                <w:lang w:eastAsia="lv-LV"/>
              </w:rPr>
              <w:br/>
              <w:t>Kādēļ?</w:t>
            </w:r>
          </w:p>
        </w:tc>
        <w:tc>
          <w:tcPr>
            <w:tcW w:w="3992" w:type="pct"/>
            <w:gridSpan w:val="3"/>
            <w:hideMark/>
          </w:tcPr>
          <w:p w14:paraId="644C7D24" w14:textId="447704D0" w:rsidR="00A66278" w:rsidRDefault="000219C4" w:rsidP="000D488D">
            <w:pPr>
              <w:pStyle w:val="ListParagraph"/>
              <w:numPr>
                <w:ilvl w:val="0"/>
                <w:numId w:val="7"/>
              </w:num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w:t>
            </w:r>
            <w:r w:rsidR="000D488D">
              <w:rPr>
                <w:rFonts w:ascii="Times New Roman" w:eastAsia="Times New Roman" w:hAnsi="Times New Roman" w:cs="Times New Roman"/>
                <w:sz w:val="24"/>
                <w:szCs w:val="24"/>
                <w:lang w:eastAsia="lv-LV"/>
              </w:rPr>
              <w:t xml:space="preserve">aisa transportā izmantotās transporta enerģijas, t.sk., biodegvielas neiekļaušana </w:t>
            </w:r>
            <w:r>
              <w:rPr>
                <w:rFonts w:ascii="Times New Roman" w:eastAsia="Times New Roman" w:hAnsi="Times New Roman" w:cs="Times New Roman"/>
                <w:sz w:val="24"/>
                <w:szCs w:val="24"/>
                <w:lang w:eastAsia="lv-LV"/>
              </w:rPr>
              <w:t>Noteikumu Nr.597 aptvērumā</w:t>
            </w:r>
          </w:p>
          <w:p w14:paraId="4DA4390C" w14:textId="58CAD43C"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 xml:space="preserve">1) Likumā “Par piesārņojumu” un Noteikumos Nr.597 iekļautie nosacījumi – mērķis transporta enerģijas aprites cikla </w:t>
            </w:r>
            <w:r w:rsidR="000219C4">
              <w:rPr>
                <w:rFonts w:ascii="Times New Roman" w:eastAsia="Times New Roman" w:hAnsi="Times New Roman" w:cs="Times New Roman"/>
                <w:sz w:val="24"/>
                <w:szCs w:val="24"/>
                <w:lang w:eastAsia="lv-LV"/>
              </w:rPr>
              <w:t>S</w:t>
            </w:r>
            <w:r w:rsidRPr="000D488D">
              <w:rPr>
                <w:rFonts w:ascii="Times New Roman" w:eastAsia="Times New Roman" w:hAnsi="Times New Roman" w:cs="Times New Roman"/>
                <w:sz w:val="24"/>
                <w:szCs w:val="24"/>
                <w:lang w:eastAsia="lv-LV"/>
              </w:rPr>
              <w:t xml:space="preserve">EG emisiju samazināšanu, attiecas tikai uz un vienīgi līdz 2020.gada 31.decembrim, bet kopumā </w:t>
            </w:r>
            <w:r w:rsidR="000219C4">
              <w:rPr>
                <w:rFonts w:ascii="Times New Roman" w:eastAsia="Times New Roman" w:hAnsi="Times New Roman" w:cs="Times New Roman"/>
                <w:sz w:val="24"/>
                <w:szCs w:val="24"/>
                <w:lang w:eastAsia="lv-LV"/>
              </w:rPr>
              <w:lastRenderedPageBreak/>
              <w:t>N</w:t>
            </w:r>
            <w:r w:rsidRPr="000D488D">
              <w:rPr>
                <w:rFonts w:ascii="Times New Roman" w:eastAsia="Times New Roman" w:hAnsi="Times New Roman" w:cs="Times New Roman"/>
                <w:sz w:val="24"/>
                <w:szCs w:val="24"/>
                <w:lang w:eastAsia="lv-LV"/>
              </w:rPr>
              <w:t>oteikumi Nr.597 pēc būtības būs piemērojami tikai līdz 2021.gada 31.decembrim, kad Latvija iesniegs pēdējo ziņojumu par valstī nodrošināto transporta enerģijas aprites cikla SEG emisiju samazinājumu.</w:t>
            </w:r>
          </w:p>
          <w:p w14:paraId="302D4D7D" w14:textId="3B7F8A34"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E</w:t>
            </w:r>
            <w:r w:rsidR="000219C4">
              <w:rPr>
                <w:rFonts w:ascii="Times New Roman" w:eastAsia="Times New Roman" w:hAnsi="Times New Roman" w:cs="Times New Roman"/>
                <w:sz w:val="24"/>
                <w:szCs w:val="24"/>
                <w:lang w:eastAsia="lv-LV"/>
              </w:rPr>
              <w:t>K</w:t>
            </w:r>
            <w:r w:rsidRPr="000D488D">
              <w:rPr>
                <w:rFonts w:ascii="Times New Roman" w:eastAsia="Times New Roman" w:hAnsi="Times New Roman" w:cs="Times New Roman"/>
                <w:sz w:val="24"/>
                <w:szCs w:val="24"/>
                <w:lang w:eastAsia="lv-LV"/>
              </w:rPr>
              <w:t xml:space="preserve"> nav piedāvājusi pagarināt pienākumu degvielas piegādātājiem samazināt visā transporta enerģijas aprites ciklā radīto SEG emisiju intensitātes apjomu, bet periodam pēc 2021.gada transporta SEG emisiju samazinājums tiks risināts, nosakot pienākumu dalībvalstīm nodrošināt atjaunojamo energoresursu īpatsvara transportā mērķa sasniegšanu.</w:t>
            </w:r>
          </w:p>
          <w:p w14:paraId="5B7D1CED" w14:textId="77777777"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2) Direktīvas Nr.98/70/EK 7.a panta 1.punkta 1.rindkopā ir noteikts, ka “dalībvalsts izraugās piegādātāju vai piegādātājus, lai kontrolētu aprites cikla siltumnīcefekta gāzu emisiju uz vienu enerģijas vienību piegādātās degvielas vai enerģijas”. Latvija ir izvēlējusies šo pienākumu attiecināt uz Ministru kabineta noteikumu Nr.597 3.punktā minēto degvielu, un šobrīd spēkā esošais regulējums neparedz pienākumu degvielas piegādātājiem Ministru kabineta noteikumu Nr.597 nosacījumus piemērot degvielai, kas tiek piegādātā gaisa transportā. Tāpēc, tā kā šis nosacījums jau ir spēkā Latvijas normatīvajos aktos – Ministru kabineta noteikumu Nr.597 3.punkts, tad šobrīd nav plānots šo nosacījumu mainīt.</w:t>
            </w:r>
          </w:p>
          <w:p w14:paraId="69CB867D" w14:textId="258849EC"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 xml:space="preserve">Tā kā šobrīd no </w:t>
            </w:r>
            <w:r w:rsidR="000219C4">
              <w:rPr>
                <w:rFonts w:ascii="Times New Roman" w:eastAsia="Times New Roman" w:hAnsi="Times New Roman" w:cs="Times New Roman"/>
                <w:sz w:val="24"/>
                <w:szCs w:val="24"/>
                <w:lang w:eastAsia="lv-LV"/>
              </w:rPr>
              <w:t>N</w:t>
            </w:r>
            <w:r w:rsidRPr="000D488D">
              <w:rPr>
                <w:rFonts w:ascii="Times New Roman" w:eastAsia="Times New Roman" w:hAnsi="Times New Roman" w:cs="Times New Roman"/>
                <w:sz w:val="24"/>
                <w:szCs w:val="24"/>
                <w:lang w:eastAsia="lv-LV"/>
              </w:rPr>
              <w:t>oteikumu Nr.597 aptvēruma ir izslēgts gaisa transports, tad nav lietderīgi to attiecināt uz biodegvielu, kas tiek piegādāta izmantošanai aviācijā.</w:t>
            </w:r>
          </w:p>
          <w:p w14:paraId="74E30357" w14:textId="77777777"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3) Ekonomikas ministrija nav saņēmusi informāciju, ka Latvijā kāds no degvielas piegādātājiem piegādā biodegvielu izmantošanai aviācijā (līgumi par degvielas piegādi 2020.gadam ir jau noslēgti vai tiek noslēgti šobrīd) un Ekonomikas ministrijai nav informācijas, ka aviācijai biodegviela tiks piegādāta.</w:t>
            </w:r>
          </w:p>
          <w:p w14:paraId="440403F6" w14:textId="77777777"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Šobrīd lidostas “Rīga” teritorijā izmantotajos transportlīdzekļos un tehnikā biodegviela netiek izmantota un netiek arī plānots tādu izmantot, tāpat arī neviens gaisa kuģu operatoros nav prasījis biodegvielas piegādi, kā arī nav izteicis vēlmi vai plānus biodegvielu izmantot. Saskaņā ar lidosta “Rīga” un Ekonomikas ministrijai pieejamo informāciju biodegvielu aviācijā plāno izmantot (no nākamā gada) tikai Oslo lidosta (nevienā Eiropas Savienības valstī aviācijā biodegviela netiek izmantota un nav arī informācijas par šādiem plāniem). Savukārt no publiski pieejamās informācijas sākot no 2022.gada ilgtspējīgu biodegvielu varētu sākt izmantot Nīderlandes gaisa kuģu operatori.</w:t>
            </w:r>
          </w:p>
          <w:p w14:paraId="76DCA23C" w14:textId="77777777"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4) Satversmes tiesa ir atzinusi: tiesiskās paļāvības princips paredz, ka indivīds var paļauties uz likumīgi izdotas tiesību normas pastāvību un nemainīgumu. Viņš droši var plānot savu nākotni saistībā ar tiesībām, ko šī norma piešķīrusi.</w:t>
            </w:r>
          </w:p>
          <w:p w14:paraId="48FB1C1C" w14:textId="77777777"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5) Biodegvielas likumā biodegviela ir definēta kā “</w:t>
            </w:r>
            <w:proofErr w:type="spellStart"/>
            <w:r w:rsidRPr="000D488D">
              <w:rPr>
                <w:rFonts w:ascii="Times New Roman" w:eastAsia="Times New Roman" w:hAnsi="Times New Roman" w:cs="Times New Roman"/>
                <w:sz w:val="24"/>
                <w:szCs w:val="24"/>
                <w:lang w:eastAsia="lv-LV"/>
              </w:rPr>
              <w:t>iekšdedzes</w:t>
            </w:r>
            <w:proofErr w:type="spellEnd"/>
            <w:r w:rsidRPr="000D488D">
              <w:rPr>
                <w:rFonts w:ascii="Times New Roman" w:eastAsia="Times New Roman" w:hAnsi="Times New Roman" w:cs="Times New Roman"/>
                <w:sz w:val="24"/>
                <w:szCs w:val="24"/>
                <w:lang w:eastAsia="lv-LV"/>
              </w:rPr>
              <w:t xml:space="preserve"> motoros izmantojama šķidrā vai gāzveida degviela, ko iegūst no biomasas”. Savukārt aviācijā pārsvarā dominē lidmašīnas ar reaktīvajiem dzinējiem, bet </w:t>
            </w:r>
            <w:proofErr w:type="spellStart"/>
            <w:r w:rsidRPr="000D488D">
              <w:rPr>
                <w:rFonts w:ascii="Times New Roman" w:eastAsia="Times New Roman" w:hAnsi="Times New Roman" w:cs="Times New Roman"/>
                <w:sz w:val="24"/>
                <w:szCs w:val="24"/>
                <w:lang w:eastAsia="lv-LV"/>
              </w:rPr>
              <w:t>iekšdedzes</w:t>
            </w:r>
            <w:proofErr w:type="spellEnd"/>
            <w:r w:rsidRPr="000D488D">
              <w:rPr>
                <w:rFonts w:ascii="Times New Roman" w:eastAsia="Times New Roman" w:hAnsi="Times New Roman" w:cs="Times New Roman"/>
                <w:sz w:val="24"/>
                <w:szCs w:val="24"/>
                <w:lang w:eastAsia="lv-LV"/>
              </w:rPr>
              <w:t xml:space="preserve"> dzinējus izmanto tikai mazās lidmašīnas. Saskaņā ar Centrālās statistikas pārvaldes datiem laika periodā no 2008.gada tāds degvielas veids kā “auto un aviācijas benzīns” gaisa satiksmē sastāda tikai 0,1% no kopējā aviācijā izmantotās degvielas apjoma.</w:t>
            </w:r>
          </w:p>
          <w:p w14:paraId="2253A7A9" w14:textId="46FEE2EE" w:rsidR="000D488D" w:rsidRP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 xml:space="preserve">6) piekrītam, ka aviācijas sektorā arī ir jāveicina SEG emisiju samazināšana, kas periodā pēc 2021.gada tiks nodrošināts ar atjaunojamo energoresursu </w:t>
            </w:r>
            <w:r w:rsidRPr="000D488D">
              <w:rPr>
                <w:rFonts w:ascii="Times New Roman" w:eastAsia="Times New Roman" w:hAnsi="Times New Roman" w:cs="Times New Roman"/>
                <w:sz w:val="24"/>
                <w:szCs w:val="24"/>
                <w:lang w:eastAsia="lv-LV"/>
              </w:rPr>
              <w:lastRenderedPageBreak/>
              <w:t>izmantojuma palielināšanu. Periodā pēc 2021.gada transporta SEG emisiju samazināšanas nosacījumu galvenais īstenošanas pasākums saskaņā ar Eiropas Savienības tiesību aktiem ir atjaunojamo energoresursu izmantošanas mērķis transportā, kur dalībvalstij ir dota pilnīga brīvība noteikt subjektus, kurus iekļaut šī mērķa sasniegšanā – Direktīvas 2018/2001</w:t>
            </w:r>
            <w:r w:rsidR="009C78DE">
              <w:rPr>
                <w:rStyle w:val="FootnoteReference"/>
                <w:rFonts w:ascii="Times New Roman" w:eastAsia="Times New Roman" w:hAnsi="Times New Roman" w:cs="Times New Roman"/>
                <w:sz w:val="24"/>
                <w:szCs w:val="24"/>
                <w:lang w:eastAsia="lv-LV"/>
              </w:rPr>
              <w:footnoteReference w:id="4"/>
            </w:r>
            <w:r w:rsidRPr="000D488D">
              <w:rPr>
                <w:rFonts w:ascii="Times New Roman" w:eastAsia="Times New Roman" w:hAnsi="Times New Roman" w:cs="Times New Roman"/>
                <w:sz w:val="24"/>
                <w:szCs w:val="24"/>
                <w:lang w:eastAsia="lv-LV"/>
              </w:rPr>
              <w:t xml:space="preserve"> 25.panta 1.punkta 2.rindkopa – “Nosakot šo pienākumu degvielas piegādātājiem, dalībvalstis var atbrīvot vai nodalīt dažādus degvielas piegādātājus un dažādus energonesējus, nodrošinot, ka tiek ņemtas vērā dažādu tehnoloģiju dažādās gatavības stadijas un izmaksas”.</w:t>
            </w:r>
          </w:p>
          <w:p w14:paraId="28EDB2A6" w14:textId="7B142EBB" w:rsidR="000D488D" w:rsidRDefault="000D488D" w:rsidP="000D488D">
            <w:pPr>
              <w:spacing w:before="60" w:after="60" w:line="240" w:lineRule="auto"/>
              <w:jc w:val="both"/>
              <w:rPr>
                <w:rFonts w:ascii="Times New Roman" w:eastAsia="Times New Roman" w:hAnsi="Times New Roman" w:cs="Times New Roman"/>
                <w:sz w:val="24"/>
                <w:szCs w:val="24"/>
                <w:lang w:eastAsia="lv-LV"/>
              </w:rPr>
            </w:pPr>
            <w:r w:rsidRPr="000D488D">
              <w:rPr>
                <w:rFonts w:ascii="Times New Roman" w:eastAsia="Times New Roman" w:hAnsi="Times New Roman" w:cs="Times New Roman"/>
                <w:sz w:val="24"/>
                <w:szCs w:val="24"/>
                <w:lang w:eastAsia="lv-LV"/>
              </w:rPr>
              <w:t>Direktīvas 2018/2001 nosacījumi tiks pārņemti ar Transporta enerģijas likumu un tam pakārtotajiem Ministru kabineta noteikumiem (piemēram Ministru kabineta noteikumi “Noteikumi par līdzdalības mehānismu degvielas piegādātājiem”). Minēto tiesību aktu (vai to grozījumu) izstrādē tiks atkārtoti izvērtēta iespēja gaisa transportā izmantoto transporta enerģiju iekļaut pienākumos, kas attiecas uz no atjaunojamiem energoresursiem iegūtas enerģijas īpatsvara nodrošināšanā.</w:t>
            </w:r>
          </w:p>
          <w:p w14:paraId="5051BD7C" w14:textId="77777777" w:rsidR="000219C4" w:rsidRPr="000D488D" w:rsidRDefault="000219C4" w:rsidP="000D488D">
            <w:pPr>
              <w:spacing w:before="60" w:after="60" w:line="240" w:lineRule="auto"/>
              <w:jc w:val="both"/>
              <w:rPr>
                <w:rFonts w:ascii="Times New Roman" w:eastAsia="Times New Roman" w:hAnsi="Times New Roman" w:cs="Times New Roman"/>
                <w:sz w:val="24"/>
                <w:szCs w:val="24"/>
                <w:lang w:eastAsia="lv-LV"/>
              </w:rPr>
            </w:pPr>
          </w:p>
          <w:p w14:paraId="256BBA46" w14:textId="7DF65025" w:rsidR="00166F36" w:rsidRPr="000219C4" w:rsidRDefault="000219C4" w:rsidP="000219C4">
            <w:pPr>
              <w:pStyle w:val="ListParagraph"/>
              <w:numPr>
                <w:ilvl w:val="0"/>
                <w:numId w:val="7"/>
              </w:num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Iekšzemes ūdensceļu kuģu neiekļaušana Noteikumu Nr.597 aptvērumā</w:t>
            </w:r>
          </w:p>
          <w:p w14:paraId="1F3B0E13" w14:textId="03339B6A" w:rsidR="00374936" w:rsidRPr="008D5D96" w:rsidRDefault="00374936" w:rsidP="00482564">
            <w:pPr>
              <w:spacing w:before="60" w:after="60" w:line="240" w:lineRule="auto"/>
              <w:jc w:val="both"/>
              <w:rPr>
                <w:rFonts w:ascii="Times New Roman" w:eastAsia="Times New Roman" w:hAnsi="Times New Roman" w:cs="Times New Roman"/>
                <w:sz w:val="24"/>
                <w:szCs w:val="24"/>
                <w:lang w:val="en-GB" w:eastAsia="lv-LV"/>
              </w:rPr>
            </w:pPr>
            <w:r w:rsidRPr="008D5D96">
              <w:rPr>
                <w:rFonts w:ascii="Times New Roman" w:eastAsia="Times New Roman" w:hAnsi="Times New Roman" w:cs="Times New Roman"/>
                <w:sz w:val="24"/>
                <w:szCs w:val="24"/>
                <w:lang w:eastAsia="lv-LV"/>
              </w:rPr>
              <w:t>Direktīvas Nr. 2015/652 2.punktā (angļu valodas versijā) ir noteikts – “</w:t>
            </w:r>
            <w:r w:rsidRPr="008D5D96">
              <w:rPr>
                <w:rFonts w:ascii="Times New Roman" w:eastAsia="Times New Roman" w:hAnsi="Times New Roman" w:cs="Times New Roman"/>
                <w:sz w:val="24"/>
                <w:szCs w:val="24"/>
                <w:lang w:val="en-GB" w:eastAsia="lv-LV"/>
              </w:rPr>
              <w:t>2.  This Directive applies to fuels used to propel road vehicles, non-road mobile machinery (including inland waterway vessels when not at sea), agricultural and forestry tractors, recreational craft when not at sea and electricity for use in road vehicles.”</w:t>
            </w:r>
          </w:p>
          <w:p w14:paraId="145AA7A5" w14:textId="65CB8E6D" w:rsidR="008D5D96" w:rsidRPr="008D5D96" w:rsidRDefault="008D5D96" w:rsidP="008D5D96">
            <w:pPr>
              <w:autoSpaceDE w:val="0"/>
              <w:autoSpaceDN w:val="0"/>
              <w:adjustRightInd w:val="0"/>
              <w:spacing w:before="40" w:after="40"/>
              <w:jc w:val="both"/>
              <w:rPr>
                <w:rFonts w:ascii="Times New Roman" w:eastAsia="Calibri" w:hAnsi="Times New Roman" w:cs="Times New Roman"/>
                <w:sz w:val="24"/>
                <w:szCs w:val="24"/>
              </w:rPr>
            </w:pPr>
            <w:r w:rsidRPr="008D5D96">
              <w:rPr>
                <w:rFonts w:ascii="Times New Roman" w:hAnsi="Times New Roman" w:cs="Times New Roman"/>
                <w:sz w:val="24"/>
                <w:szCs w:val="24"/>
              </w:rPr>
              <w:t xml:space="preserve">Lai arī Direktīvā 2015/652 nav ietverta jēdziena “iekšzemes ūdensceļu kuģis” definīcija, interpretējot Direktīvu 2015/652 sistēmiski ar citiem ES tiesību aktiem vides aizsardzības jomā, ir secināms, ka “iekšzemes ūdensceļu kuģis” ir kuģis, kas ietilpst Eiropas Parlamenta un Padomes 2016.gada 14.septembra Direktīvas (ES) 2016/1629, ar ko nosaka tehniskās prasības attiecībā uz iekšzemes ūdensceļu kuģiem, groza Direktīvu 2009/100/EK un atceļ Direktīvu 2006/87/EK (turpmāk – Direktīva 2016/1629) darbības jomā (Eiropas Parlamenta un Padomes 2016.gada 14.septembra Regulas (ES) Nr.2016/1628 par prasībām attiecībā uz autoceļiem neparedzētas mobilās tehnikas </w:t>
            </w:r>
            <w:proofErr w:type="spellStart"/>
            <w:r w:rsidRPr="008D5D96">
              <w:rPr>
                <w:rFonts w:ascii="Times New Roman" w:hAnsi="Times New Roman" w:cs="Times New Roman"/>
                <w:sz w:val="24"/>
                <w:szCs w:val="24"/>
              </w:rPr>
              <w:t>iekšdedzes</w:t>
            </w:r>
            <w:proofErr w:type="spellEnd"/>
            <w:r w:rsidRPr="008D5D96">
              <w:rPr>
                <w:rFonts w:ascii="Times New Roman" w:hAnsi="Times New Roman" w:cs="Times New Roman"/>
                <w:sz w:val="24"/>
                <w:szCs w:val="24"/>
              </w:rPr>
              <w:t xml:space="preserve"> motoru gāzveida un </w:t>
            </w:r>
            <w:proofErr w:type="spellStart"/>
            <w:r w:rsidRPr="008D5D96">
              <w:rPr>
                <w:rFonts w:ascii="Times New Roman" w:hAnsi="Times New Roman" w:cs="Times New Roman"/>
                <w:sz w:val="24"/>
                <w:szCs w:val="24"/>
              </w:rPr>
              <w:t>daļiņveida</w:t>
            </w:r>
            <w:proofErr w:type="spellEnd"/>
            <w:r w:rsidRPr="008D5D96">
              <w:rPr>
                <w:rFonts w:ascii="Times New Roman" w:hAnsi="Times New Roman" w:cs="Times New Roman"/>
                <w:sz w:val="24"/>
                <w:szCs w:val="24"/>
              </w:rPr>
              <w:t xml:space="preserve"> piesārņotāju emisiju robežvērtībām un tipa apstiprināšanu, ar ko groza Regulas (ES) Nr.1024/2012 un (ES) Nr.167/2013 un groza un atceļ Direktīvu 97/68/EK, 3.panta 34.punkts). </w:t>
            </w:r>
          </w:p>
          <w:p w14:paraId="74DE174A" w14:textId="6ADF1A22" w:rsidR="008D5D96" w:rsidRDefault="008D5D96" w:rsidP="008D5D96">
            <w:pPr>
              <w:autoSpaceDE w:val="0"/>
              <w:autoSpaceDN w:val="0"/>
              <w:adjustRightInd w:val="0"/>
              <w:spacing w:before="40" w:after="40"/>
              <w:jc w:val="both"/>
              <w:rPr>
                <w:rFonts w:ascii="Times New Roman" w:hAnsi="Times New Roman" w:cs="Times New Roman"/>
                <w:sz w:val="24"/>
                <w:szCs w:val="24"/>
              </w:rPr>
            </w:pPr>
            <w:r w:rsidRPr="008D5D96">
              <w:rPr>
                <w:rFonts w:ascii="Times New Roman" w:hAnsi="Times New Roman" w:cs="Times New Roman"/>
                <w:sz w:val="24"/>
                <w:szCs w:val="24"/>
              </w:rPr>
              <w:t>Saskaņā ar Direktīvas 2016/1629 40.pantu Latvija neietilpst Direktīvas 2016/1629 darbības jomā. Tādējādi atzīstams, ka Latvijā nav iekšzemes ūdensceļu kuģu, kam būtu piemērojamas Direktīvā 2015/652 noteiktās prasības.</w:t>
            </w:r>
            <w:r>
              <w:rPr>
                <w:rFonts w:ascii="Times New Roman" w:hAnsi="Times New Roman" w:cs="Times New Roman"/>
                <w:sz w:val="24"/>
                <w:szCs w:val="24"/>
              </w:rPr>
              <w:t xml:space="preserve"> Tāpēc, lai Latvijas normatīvajā regulējumā neiekļautu nosacījumus, kuriem Latvijā nav adresāta, minētais jēdziens Noteikumos Nr.597 netiek izteikts.</w:t>
            </w:r>
          </w:p>
          <w:p w14:paraId="0BFA6D43" w14:textId="77777777" w:rsidR="000219C4" w:rsidRDefault="000219C4" w:rsidP="008D5D96">
            <w:pPr>
              <w:autoSpaceDE w:val="0"/>
              <w:autoSpaceDN w:val="0"/>
              <w:adjustRightInd w:val="0"/>
              <w:spacing w:before="40" w:after="40"/>
              <w:jc w:val="both"/>
              <w:rPr>
                <w:rFonts w:ascii="Times New Roman" w:hAnsi="Times New Roman" w:cs="Times New Roman"/>
                <w:sz w:val="24"/>
                <w:szCs w:val="24"/>
              </w:rPr>
            </w:pPr>
          </w:p>
          <w:p w14:paraId="20F8B6AA" w14:textId="23B3F49D" w:rsidR="000219C4" w:rsidRPr="000219C4" w:rsidRDefault="000219C4" w:rsidP="000219C4">
            <w:pPr>
              <w:pStyle w:val="ListParagraph"/>
              <w:numPr>
                <w:ilvl w:val="0"/>
                <w:numId w:val="7"/>
              </w:numPr>
              <w:autoSpaceDE w:val="0"/>
              <w:autoSpaceDN w:val="0"/>
              <w:adjustRightInd w:val="0"/>
              <w:spacing w:before="40" w:after="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Elektrotransportlīdzekļa</w:t>
            </w:r>
            <w:proofErr w:type="spellEnd"/>
            <w:r>
              <w:rPr>
                <w:rFonts w:ascii="Times New Roman" w:hAnsi="Times New Roman" w:cs="Times New Roman"/>
                <w:sz w:val="24"/>
                <w:szCs w:val="24"/>
              </w:rPr>
              <w:t xml:space="preserve"> definīcijas paplašinājums, to neattiecinot tikai uz auto transportlīdzekli</w:t>
            </w:r>
          </w:p>
          <w:p w14:paraId="3797A095" w14:textId="40C61DC8" w:rsidR="00374936" w:rsidRPr="008D5D96" w:rsidRDefault="00374936" w:rsidP="00482564">
            <w:pPr>
              <w:spacing w:before="60" w:after="60" w:line="240" w:lineRule="auto"/>
              <w:jc w:val="both"/>
              <w:rPr>
                <w:rFonts w:ascii="Times New Roman" w:eastAsia="Times New Roman" w:hAnsi="Times New Roman" w:cs="Times New Roman"/>
                <w:sz w:val="24"/>
                <w:szCs w:val="24"/>
                <w:lang w:eastAsia="lv-LV"/>
              </w:rPr>
            </w:pPr>
            <w:r w:rsidRPr="008D5D96">
              <w:rPr>
                <w:rFonts w:ascii="Times New Roman" w:eastAsia="Times New Roman" w:hAnsi="Times New Roman" w:cs="Times New Roman"/>
                <w:sz w:val="24"/>
                <w:szCs w:val="24"/>
                <w:lang w:eastAsia="lv-LV"/>
              </w:rPr>
              <w:t>Latvijā šobrīd saskaņā ar Ceļu satiksmes drošības direkcijas datiem uz 201</w:t>
            </w:r>
            <w:r w:rsidR="00B16047" w:rsidRPr="008D5D96">
              <w:rPr>
                <w:rFonts w:ascii="Times New Roman" w:eastAsia="Times New Roman" w:hAnsi="Times New Roman" w:cs="Times New Roman"/>
                <w:sz w:val="24"/>
                <w:szCs w:val="24"/>
                <w:lang w:eastAsia="lv-LV"/>
              </w:rPr>
              <w:t>9</w:t>
            </w:r>
            <w:r w:rsidRPr="00BD7FCF">
              <w:rPr>
                <w:rFonts w:ascii="Times New Roman" w:eastAsia="Times New Roman" w:hAnsi="Times New Roman" w:cs="Times New Roman"/>
                <w:sz w:val="24"/>
                <w:szCs w:val="24"/>
                <w:lang w:eastAsia="lv-LV"/>
              </w:rPr>
              <w:t xml:space="preserve">.gada 1.aprīli Latvijā ir reģistrēti tikai </w:t>
            </w:r>
            <w:r w:rsidR="00B16047" w:rsidRPr="008D5D96">
              <w:rPr>
                <w:rFonts w:ascii="Times New Roman" w:eastAsia="Times New Roman" w:hAnsi="Times New Roman" w:cs="Times New Roman"/>
                <w:sz w:val="24"/>
                <w:szCs w:val="24"/>
                <w:lang w:eastAsia="lv-LV"/>
              </w:rPr>
              <w:t>598</w:t>
            </w:r>
            <w:r w:rsidRPr="008D5D96">
              <w:rPr>
                <w:rFonts w:ascii="Times New Roman" w:eastAsia="Times New Roman" w:hAnsi="Times New Roman" w:cs="Times New Roman"/>
                <w:sz w:val="24"/>
                <w:szCs w:val="24"/>
                <w:lang w:eastAsia="lv-LV"/>
              </w:rPr>
              <w:t xml:space="preserve"> </w:t>
            </w:r>
            <w:proofErr w:type="spellStart"/>
            <w:r w:rsidRPr="008D5D96">
              <w:rPr>
                <w:rFonts w:ascii="Times New Roman" w:eastAsia="Times New Roman" w:hAnsi="Times New Roman" w:cs="Times New Roman"/>
                <w:sz w:val="24"/>
                <w:szCs w:val="24"/>
                <w:lang w:eastAsia="lv-LV"/>
              </w:rPr>
              <w:t>elektrotransportlīdzeklis</w:t>
            </w:r>
            <w:proofErr w:type="spellEnd"/>
            <w:r w:rsidRPr="008D5D96">
              <w:rPr>
                <w:rFonts w:ascii="Times New Roman" w:eastAsia="Times New Roman" w:hAnsi="Times New Roman" w:cs="Times New Roman"/>
                <w:sz w:val="24"/>
                <w:szCs w:val="24"/>
                <w:lang w:eastAsia="lv-LV"/>
              </w:rPr>
              <w:t>, kas ir tikai 0,</w:t>
            </w:r>
            <w:r w:rsidR="00B16047" w:rsidRPr="008D5D96">
              <w:rPr>
                <w:rFonts w:ascii="Times New Roman" w:eastAsia="Times New Roman" w:hAnsi="Times New Roman" w:cs="Times New Roman"/>
                <w:sz w:val="24"/>
                <w:szCs w:val="24"/>
                <w:lang w:eastAsia="lv-LV"/>
              </w:rPr>
              <w:t>06</w:t>
            </w:r>
            <w:r w:rsidRPr="008D5D96">
              <w:rPr>
                <w:rFonts w:ascii="Times New Roman" w:eastAsia="Times New Roman" w:hAnsi="Times New Roman" w:cs="Times New Roman"/>
                <w:sz w:val="24"/>
                <w:szCs w:val="24"/>
                <w:lang w:eastAsia="lv-LV"/>
              </w:rPr>
              <w:t>% no kopējā Latvijā reģistrēto transportlīdzekļu skaita.</w:t>
            </w:r>
          </w:p>
          <w:p w14:paraId="45DA4082" w14:textId="213E4DD4" w:rsidR="00374936" w:rsidRDefault="00374936" w:rsidP="00482564">
            <w:pPr>
              <w:spacing w:before="60" w:after="60" w:line="240" w:lineRule="auto"/>
              <w:jc w:val="both"/>
              <w:rPr>
                <w:rFonts w:ascii="Times New Roman" w:eastAsia="Times New Roman" w:hAnsi="Times New Roman" w:cs="Times New Roman"/>
                <w:sz w:val="24"/>
                <w:szCs w:val="24"/>
                <w:lang w:eastAsia="lv-LV"/>
              </w:rPr>
            </w:pPr>
            <w:r w:rsidRPr="008D5D96">
              <w:rPr>
                <w:rFonts w:ascii="Times New Roman" w:eastAsia="Times New Roman" w:hAnsi="Times New Roman" w:cs="Times New Roman"/>
                <w:sz w:val="24"/>
                <w:szCs w:val="24"/>
                <w:lang w:eastAsia="lv-LV"/>
              </w:rPr>
              <w:t xml:space="preserve">Līdz ar to, lai paplašinātu degvielas piegādātāju iespējas nodrošināt transporta enerģijas aprites cikla emisiju samazinājumu, ko varētu nodrošināt ar </w:t>
            </w:r>
            <w:proofErr w:type="spellStart"/>
            <w:r w:rsidRPr="008D5D96">
              <w:rPr>
                <w:rFonts w:ascii="Times New Roman" w:eastAsia="Times New Roman" w:hAnsi="Times New Roman" w:cs="Times New Roman"/>
                <w:sz w:val="24"/>
                <w:szCs w:val="24"/>
                <w:lang w:eastAsia="lv-LV"/>
              </w:rPr>
              <w:t>elektrotransportlīdzekļiem</w:t>
            </w:r>
            <w:proofErr w:type="spellEnd"/>
            <w:r w:rsidRPr="008D5D96">
              <w:rPr>
                <w:rFonts w:ascii="Times New Roman" w:eastAsia="Times New Roman" w:hAnsi="Times New Roman" w:cs="Times New Roman"/>
                <w:sz w:val="24"/>
                <w:szCs w:val="24"/>
                <w:lang w:eastAsia="lv-LV"/>
              </w:rPr>
              <w:t xml:space="preserve"> piegādātās enerģijas apjomu, Direktīvas Nr.2015/652 nosacījumi tiek paplašināti, nosakot, ka tiek ņemts vērā tas elektroenerģijas apjoms, kas tiek piegādāts ne tikai ceļa </w:t>
            </w:r>
            <w:proofErr w:type="spellStart"/>
            <w:r w:rsidRPr="008D5D96">
              <w:rPr>
                <w:rFonts w:ascii="Times New Roman" w:eastAsia="Times New Roman" w:hAnsi="Times New Roman" w:cs="Times New Roman"/>
                <w:sz w:val="24"/>
                <w:szCs w:val="24"/>
                <w:lang w:eastAsia="lv-LV"/>
              </w:rPr>
              <w:t>elektrotransportlīdzeklim</w:t>
            </w:r>
            <w:proofErr w:type="spellEnd"/>
            <w:r w:rsidRPr="008D5D96">
              <w:rPr>
                <w:rFonts w:ascii="Times New Roman" w:eastAsia="Times New Roman" w:hAnsi="Times New Roman" w:cs="Times New Roman"/>
                <w:sz w:val="24"/>
                <w:szCs w:val="24"/>
                <w:lang w:eastAsia="lv-LV"/>
              </w:rPr>
              <w:t xml:space="preserve">, bet jebkādam </w:t>
            </w:r>
            <w:proofErr w:type="spellStart"/>
            <w:r w:rsidRPr="008D5D96">
              <w:rPr>
                <w:rFonts w:ascii="Times New Roman" w:eastAsia="Times New Roman" w:hAnsi="Times New Roman" w:cs="Times New Roman"/>
                <w:sz w:val="24"/>
                <w:szCs w:val="24"/>
                <w:lang w:eastAsia="lv-LV"/>
              </w:rPr>
              <w:t>elektrotransportlīdzeklim</w:t>
            </w:r>
            <w:proofErr w:type="spellEnd"/>
            <w:r w:rsidRPr="008D5D96">
              <w:rPr>
                <w:rFonts w:ascii="Times New Roman" w:eastAsia="Times New Roman" w:hAnsi="Times New Roman" w:cs="Times New Roman"/>
                <w:sz w:val="24"/>
                <w:szCs w:val="24"/>
                <w:lang w:eastAsia="lv-LV"/>
              </w:rPr>
              <w:t xml:space="preserve"> (Ministru kabineta 2018.gada 6.februāra noteikumu Nr.78 “Prasības </w:t>
            </w:r>
            <w:proofErr w:type="spellStart"/>
            <w:r w:rsidRPr="008D5D96">
              <w:rPr>
                <w:rFonts w:ascii="Times New Roman" w:eastAsia="Times New Roman" w:hAnsi="Times New Roman" w:cs="Times New Roman"/>
                <w:sz w:val="24"/>
                <w:szCs w:val="24"/>
                <w:lang w:eastAsia="lv-LV"/>
              </w:rPr>
              <w:t>elektrotransportlīdzekļu</w:t>
            </w:r>
            <w:proofErr w:type="spellEnd"/>
            <w:r w:rsidRPr="008D5D96">
              <w:rPr>
                <w:rFonts w:ascii="Times New Roman" w:eastAsia="Times New Roman" w:hAnsi="Times New Roman" w:cs="Times New Roman"/>
                <w:sz w:val="24"/>
                <w:szCs w:val="24"/>
                <w:lang w:eastAsia="lv-LV"/>
              </w:rPr>
              <w:t xml:space="preserve"> uzlādes, dabasgāzes </w:t>
            </w:r>
            <w:proofErr w:type="spellStart"/>
            <w:r w:rsidRPr="008D5D96">
              <w:rPr>
                <w:rFonts w:ascii="Times New Roman" w:eastAsia="Times New Roman" w:hAnsi="Times New Roman" w:cs="Times New Roman"/>
                <w:sz w:val="24"/>
                <w:szCs w:val="24"/>
                <w:lang w:eastAsia="lv-LV"/>
              </w:rPr>
              <w:t>uzpildes</w:t>
            </w:r>
            <w:proofErr w:type="spellEnd"/>
            <w:r w:rsidRPr="008D5D96">
              <w:rPr>
                <w:rFonts w:ascii="Times New Roman" w:eastAsia="Times New Roman" w:hAnsi="Times New Roman" w:cs="Times New Roman"/>
                <w:sz w:val="24"/>
                <w:szCs w:val="24"/>
                <w:lang w:eastAsia="lv-LV"/>
              </w:rPr>
              <w:t xml:space="preserve">, ūdeņraža </w:t>
            </w:r>
            <w:proofErr w:type="spellStart"/>
            <w:r w:rsidRPr="008D5D96">
              <w:rPr>
                <w:rFonts w:ascii="Times New Roman" w:eastAsia="Times New Roman" w:hAnsi="Times New Roman" w:cs="Times New Roman"/>
                <w:sz w:val="24"/>
                <w:szCs w:val="24"/>
                <w:lang w:eastAsia="lv-LV"/>
              </w:rPr>
              <w:t>uzpildes</w:t>
            </w:r>
            <w:proofErr w:type="spellEnd"/>
            <w:r w:rsidRPr="008D5D96">
              <w:rPr>
                <w:rFonts w:ascii="Times New Roman" w:eastAsia="Times New Roman" w:hAnsi="Times New Roman" w:cs="Times New Roman"/>
                <w:sz w:val="24"/>
                <w:szCs w:val="24"/>
                <w:lang w:eastAsia="lv-LV"/>
              </w:rPr>
              <w:t xml:space="preserve"> un krasta </w:t>
            </w:r>
            <w:proofErr w:type="spellStart"/>
            <w:r w:rsidRPr="008D5D96">
              <w:rPr>
                <w:rFonts w:ascii="Times New Roman" w:eastAsia="Times New Roman" w:hAnsi="Times New Roman" w:cs="Times New Roman"/>
                <w:sz w:val="24"/>
                <w:szCs w:val="24"/>
                <w:lang w:eastAsia="lv-LV"/>
              </w:rPr>
              <w:t>elektropadeves</w:t>
            </w:r>
            <w:proofErr w:type="spellEnd"/>
            <w:r w:rsidRPr="008D5D96">
              <w:rPr>
                <w:rFonts w:ascii="Times New Roman" w:eastAsia="Times New Roman" w:hAnsi="Times New Roman" w:cs="Times New Roman"/>
                <w:sz w:val="24"/>
                <w:szCs w:val="24"/>
                <w:lang w:eastAsia="lv-LV"/>
              </w:rPr>
              <w:t xml:space="preserve"> iekārtām” 2.2.apakšpunkts).</w:t>
            </w:r>
          </w:p>
          <w:p w14:paraId="6E3C711D" w14:textId="77777777" w:rsidR="000219C4" w:rsidRDefault="000219C4" w:rsidP="00482564">
            <w:pPr>
              <w:spacing w:before="60" w:after="60" w:line="240" w:lineRule="auto"/>
              <w:jc w:val="both"/>
              <w:rPr>
                <w:rFonts w:ascii="Times New Roman" w:eastAsia="Times New Roman" w:hAnsi="Times New Roman" w:cs="Times New Roman"/>
                <w:sz w:val="24"/>
                <w:szCs w:val="24"/>
                <w:lang w:eastAsia="lv-LV"/>
              </w:rPr>
            </w:pPr>
          </w:p>
          <w:p w14:paraId="44E36EDA" w14:textId="096176B8" w:rsidR="000219C4" w:rsidRPr="000219C4" w:rsidRDefault="000219C4" w:rsidP="000219C4">
            <w:pPr>
              <w:pStyle w:val="ListParagraph"/>
              <w:numPr>
                <w:ilvl w:val="0"/>
                <w:numId w:val="7"/>
              </w:num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Dzelzceļa transporta iekļaušana Noteikumu Nr.597 aptvērumā</w:t>
            </w:r>
          </w:p>
          <w:p w14:paraId="440E402A" w14:textId="0D19D20A" w:rsidR="00712C21" w:rsidRPr="008D5D96" w:rsidRDefault="00712C21" w:rsidP="00482564">
            <w:pPr>
              <w:spacing w:before="60" w:after="60" w:line="240" w:lineRule="auto"/>
              <w:jc w:val="both"/>
              <w:rPr>
                <w:rFonts w:ascii="Times New Roman" w:eastAsia="Times New Roman" w:hAnsi="Times New Roman" w:cs="Times New Roman"/>
                <w:sz w:val="24"/>
                <w:szCs w:val="24"/>
                <w:lang w:eastAsia="lv-LV"/>
              </w:rPr>
            </w:pPr>
            <w:r w:rsidRPr="008D5D96">
              <w:rPr>
                <w:rFonts w:ascii="Times New Roman" w:eastAsia="Times New Roman" w:hAnsi="Times New Roman" w:cs="Times New Roman"/>
                <w:sz w:val="24"/>
                <w:szCs w:val="24"/>
                <w:lang w:eastAsia="lv-LV"/>
              </w:rPr>
              <w:t xml:space="preserve">Direktīvas Nr.98/70/EK 7.a panta 1.punktā tiek noteikts, ka dalībvalsts izvēlas tos degvielas piegādātājus, kuriem piemērot noteiktos nosacījumus. Ņemot vērā šo nosacījumu Noteikumu projekta 2.punktā ir iekļauts nosacījums, ka Noteikumi Nr.597 ir attiecināmi arī uz degvielu, kas kā transporta enerģija tiek piegādātā dzelzceļa transportā. Tāpat arī Eiropas Komisijas sagatavotajā ne-papīrā </w:t>
            </w:r>
            <w:r w:rsidRPr="008D5D96">
              <w:rPr>
                <w:rFonts w:ascii="Times New Roman" w:eastAsia="Times New Roman" w:hAnsi="Times New Roman" w:cs="Times New Roman"/>
                <w:i/>
                <w:sz w:val="24"/>
                <w:szCs w:val="24"/>
                <w:lang w:eastAsia="lv-LV"/>
              </w:rPr>
              <w:t xml:space="preserve">Non paper </w:t>
            </w:r>
            <w:proofErr w:type="spellStart"/>
            <w:r w:rsidRPr="008D5D96">
              <w:rPr>
                <w:rFonts w:ascii="Times New Roman" w:eastAsia="Times New Roman" w:hAnsi="Times New Roman" w:cs="Times New Roman"/>
                <w:i/>
                <w:sz w:val="24"/>
                <w:szCs w:val="24"/>
                <w:lang w:eastAsia="lv-LV"/>
              </w:rPr>
              <w:t>related</w:t>
            </w:r>
            <w:proofErr w:type="spellEnd"/>
            <w:r w:rsidRPr="008D5D96">
              <w:rPr>
                <w:rFonts w:ascii="Times New Roman" w:eastAsia="Times New Roman" w:hAnsi="Times New Roman" w:cs="Times New Roman"/>
                <w:i/>
                <w:sz w:val="24"/>
                <w:szCs w:val="24"/>
                <w:lang w:eastAsia="lv-LV"/>
              </w:rPr>
              <w:t xml:space="preserve"> to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implementation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Article</w:t>
            </w:r>
            <w:proofErr w:type="spellEnd"/>
            <w:r w:rsidRPr="008D5D96">
              <w:rPr>
                <w:rFonts w:ascii="Times New Roman" w:eastAsia="Times New Roman" w:hAnsi="Times New Roman" w:cs="Times New Roman"/>
                <w:i/>
                <w:sz w:val="24"/>
                <w:szCs w:val="24"/>
                <w:lang w:eastAsia="lv-LV"/>
              </w:rPr>
              <w:t xml:space="preserve"> 7a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FQD</w:t>
            </w:r>
            <w:r w:rsidRPr="008D5D96">
              <w:rPr>
                <w:rFonts w:ascii="Times New Roman" w:eastAsia="Times New Roman" w:hAnsi="Times New Roman" w:cs="Times New Roman"/>
                <w:sz w:val="24"/>
                <w:szCs w:val="24"/>
                <w:lang w:eastAsia="lv-LV"/>
              </w:rPr>
              <w:t xml:space="preserve"> ir norādīts, ka jēdziens “autoceļiem neparedzētā mobilā tehnika sevī ietver arī dzelzceļa transportu </w:t>
            </w:r>
            <w:r w:rsidR="005C2677" w:rsidRPr="008D5D96">
              <w:rPr>
                <w:rFonts w:ascii="Times New Roman" w:eastAsia="Times New Roman" w:hAnsi="Times New Roman" w:cs="Times New Roman"/>
                <w:sz w:val="24"/>
                <w:szCs w:val="24"/>
                <w:lang w:eastAsia="lv-LV"/>
              </w:rPr>
              <w:t>–</w:t>
            </w:r>
            <w:r w:rsidRPr="008D5D96">
              <w:rPr>
                <w:rFonts w:ascii="Times New Roman" w:eastAsia="Times New Roman" w:hAnsi="Times New Roman" w:cs="Times New Roman"/>
                <w:sz w:val="24"/>
                <w:szCs w:val="24"/>
                <w:lang w:eastAsia="lv-LV"/>
              </w:rPr>
              <w:t xml:space="preserve"> </w:t>
            </w:r>
            <w:r w:rsidR="005C2677" w:rsidRPr="008D5D96">
              <w:rPr>
                <w:rFonts w:ascii="Times New Roman" w:eastAsia="Times New Roman" w:hAnsi="Times New Roman" w:cs="Times New Roman"/>
                <w:sz w:val="24"/>
                <w:szCs w:val="24"/>
                <w:lang w:eastAsia="lv-LV"/>
              </w:rPr>
              <w:t>“</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definition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NRMM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Directive</w:t>
            </w:r>
            <w:proofErr w:type="spellEnd"/>
            <w:r w:rsidRPr="008D5D96">
              <w:rPr>
                <w:rFonts w:ascii="Times New Roman" w:eastAsia="Times New Roman" w:hAnsi="Times New Roman" w:cs="Times New Roman"/>
                <w:i/>
                <w:sz w:val="24"/>
                <w:szCs w:val="24"/>
                <w:lang w:eastAsia="lv-LV"/>
              </w:rPr>
              <w:t xml:space="preserve"> 97/68/EC </w:t>
            </w:r>
            <w:proofErr w:type="spellStart"/>
            <w:r w:rsidRPr="008D5D96">
              <w:rPr>
                <w:rFonts w:ascii="Times New Roman" w:eastAsia="Times New Roman" w:hAnsi="Times New Roman" w:cs="Times New Roman"/>
                <w:i/>
                <w:sz w:val="24"/>
                <w:szCs w:val="24"/>
                <w:lang w:eastAsia="lv-LV"/>
              </w:rPr>
              <w:t>includes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rail</w:t>
            </w:r>
            <w:proofErr w:type="spellEnd"/>
            <w:r w:rsidRPr="008D5D96">
              <w:rPr>
                <w:rFonts w:ascii="Times New Roman" w:eastAsia="Times New Roman" w:hAnsi="Times New Roman" w:cs="Times New Roman"/>
                <w:i/>
                <w:sz w:val="24"/>
                <w:szCs w:val="24"/>
                <w:lang w:eastAsia="lv-LV"/>
              </w:rPr>
              <w:t xml:space="preserve"> transport. </w:t>
            </w:r>
            <w:proofErr w:type="spellStart"/>
            <w:r w:rsidRPr="008D5D96">
              <w:rPr>
                <w:rFonts w:ascii="Times New Roman" w:eastAsia="Times New Roman" w:hAnsi="Times New Roman" w:cs="Times New Roman"/>
                <w:i/>
                <w:sz w:val="24"/>
                <w:szCs w:val="24"/>
                <w:lang w:eastAsia="lv-LV"/>
              </w:rPr>
              <w:t>Hence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context</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Art 7a </w:t>
            </w:r>
            <w:proofErr w:type="spellStart"/>
            <w:r w:rsidRPr="008D5D96">
              <w:rPr>
                <w:rFonts w:ascii="Times New Roman" w:eastAsia="Times New Roman" w:hAnsi="Times New Roman" w:cs="Times New Roman"/>
                <w:i/>
                <w:sz w:val="24"/>
                <w:szCs w:val="24"/>
                <w:lang w:eastAsia="lv-LV"/>
              </w:rPr>
              <w:t>implementation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diesel</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or</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gasoil</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supplied</w:t>
            </w:r>
            <w:proofErr w:type="spellEnd"/>
            <w:r w:rsidRPr="008D5D96">
              <w:rPr>
                <w:rFonts w:ascii="Times New Roman" w:eastAsia="Times New Roman" w:hAnsi="Times New Roman" w:cs="Times New Roman"/>
                <w:i/>
                <w:sz w:val="24"/>
                <w:szCs w:val="24"/>
                <w:lang w:eastAsia="lv-LV"/>
              </w:rPr>
              <w:t xml:space="preserve"> to </w:t>
            </w:r>
            <w:proofErr w:type="spellStart"/>
            <w:r w:rsidRPr="008D5D96">
              <w:rPr>
                <w:rFonts w:ascii="Times New Roman" w:eastAsia="Times New Roman" w:hAnsi="Times New Roman" w:cs="Times New Roman"/>
                <w:i/>
                <w:sz w:val="24"/>
                <w:szCs w:val="24"/>
                <w:lang w:eastAsia="lv-LV"/>
              </w:rPr>
              <w:t>be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used</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locomotives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and</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falling</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into</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definitions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based</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on</w:t>
            </w:r>
            <w:proofErr w:type="spellEnd"/>
            <w:r w:rsidRPr="008D5D96">
              <w:rPr>
                <w:rFonts w:ascii="Times New Roman" w:eastAsia="Times New Roman" w:hAnsi="Times New Roman" w:cs="Times New Roman"/>
                <w:i/>
                <w:sz w:val="24"/>
                <w:szCs w:val="24"/>
                <w:lang w:eastAsia="lv-LV"/>
              </w:rPr>
              <w:t xml:space="preserve"> CN </w:t>
            </w:r>
            <w:proofErr w:type="spellStart"/>
            <w:r w:rsidRPr="008D5D96">
              <w:rPr>
                <w:rFonts w:ascii="Times New Roman" w:eastAsia="Times New Roman" w:hAnsi="Times New Roman" w:cs="Times New Roman"/>
                <w:i/>
                <w:sz w:val="24"/>
                <w:szCs w:val="24"/>
                <w:lang w:eastAsia="lv-LV"/>
              </w:rPr>
              <w:t>codes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FQD Art 2 (2) </w:t>
            </w:r>
            <w:proofErr w:type="spellStart"/>
            <w:r w:rsidRPr="008D5D96">
              <w:rPr>
                <w:rFonts w:ascii="Times New Roman" w:eastAsia="Times New Roman" w:hAnsi="Times New Roman" w:cs="Times New Roman"/>
                <w:i/>
                <w:sz w:val="24"/>
                <w:szCs w:val="24"/>
                <w:lang w:eastAsia="lv-LV"/>
              </w:rPr>
              <w:t>and</w:t>
            </w:r>
            <w:proofErr w:type="spellEnd"/>
            <w:r w:rsidRPr="008D5D96">
              <w:rPr>
                <w:rFonts w:ascii="Times New Roman" w:eastAsia="Times New Roman" w:hAnsi="Times New Roman" w:cs="Times New Roman"/>
                <w:i/>
                <w:sz w:val="24"/>
                <w:szCs w:val="24"/>
                <w:lang w:eastAsia="lv-LV"/>
              </w:rPr>
              <w:t xml:space="preserve"> (3) </w:t>
            </w:r>
            <w:proofErr w:type="spellStart"/>
            <w:r w:rsidRPr="008D5D96">
              <w:rPr>
                <w:rFonts w:ascii="Times New Roman" w:eastAsia="Times New Roman" w:hAnsi="Times New Roman" w:cs="Times New Roman"/>
                <w:i/>
                <w:sz w:val="24"/>
                <w:szCs w:val="24"/>
                <w:lang w:eastAsia="lv-LV"/>
              </w:rPr>
              <w:t>are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scope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Council</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Directive</w:t>
            </w:r>
            <w:proofErr w:type="spellEnd"/>
            <w:r w:rsidRPr="008D5D96">
              <w:rPr>
                <w:rFonts w:ascii="Times New Roman" w:eastAsia="Times New Roman" w:hAnsi="Times New Roman" w:cs="Times New Roman"/>
                <w:i/>
                <w:sz w:val="24"/>
                <w:szCs w:val="24"/>
                <w:lang w:eastAsia="lv-LV"/>
              </w:rPr>
              <w:t xml:space="preserve"> (EU) 2015/652. </w:t>
            </w:r>
            <w:proofErr w:type="spellStart"/>
            <w:r w:rsidRPr="008D5D96">
              <w:rPr>
                <w:rFonts w:ascii="Times New Roman" w:eastAsia="Times New Roman" w:hAnsi="Times New Roman" w:cs="Times New Roman"/>
                <w:i/>
                <w:sz w:val="24"/>
                <w:szCs w:val="24"/>
                <w:lang w:eastAsia="lv-LV"/>
              </w:rPr>
              <w:t>Since</w:t>
            </w:r>
            <w:proofErr w:type="spellEnd"/>
            <w:r w:rsidRPr="008D5D96">
              <w:rPr>
                <w:rFonts w:ascii="Times New Roman" w:eastAsia="Times New Roman" w:hAnsi="Times New Roman" w:cs="Times New Roman"/>
                <w:i/>
                <w:sz w:val="24"/>
                <w:szCs w:val="24"/>
                <w:lang w:eastAsia="lv-LV"/>
              </w:rPr>
              <w:t xml:space="preserve"> FQD Art 7a limits </w:t>
            </w:r>
            <w:proofErr w:type="spellStart"/>
            <w:r w:rsidRPr="008D5D96">
              <w:rPr>
                <w:rFonts w:ascii="Times New Roman" w:eastAsia="Times New Roman" w:hAnsi="Times New Roman" w:cs="Times New Roman"/>
                <w:i/>
                <w:sz w:val="24"/>
                <w:szCs w:val="24"/>
                <w:lang w:eastAsia="lv-LV"/>
              </w:rPr>
              <w:t>electricity</w:t>
            </w:r>
            <w:proofErr w:type="spellEnd"/>
            <w:r w:rsidRPr="008D5D96">
              <w:rPr>
                <w:rFonts w:ascii="Times New Roman" w:eastAsia="Times New Roman" w:hAnsi="Times New Roman" w:cs="Times New Roman"/>
                <w:i/>
                <w:sz w:val="24"/>
                <w:szCs w:val="24"/>
                <w:lang w:eastAsia="lv-LV"/>
              </w:rPr>
              <w:t xml:space="preserve"> to </w:t>
            </w:r>
            <w:proofErr w:type="spellStart"/>
            <w:r w:rsidRPr="008D5D96">
              <w:rPr>
                <w:rFonts w:ascii="Times New Roman" w:eastAsia="Times New Roman" w:hAnsi="Times New Roman" w:cs="Times New Roman"/>
                <w:i/>
                <w:sz w:val="24"/>
                <w:szCs w:val="24"/>
                <w:lang w:eastAsia="lv-LV"/>
              </w:rPr>
              <w:t>road</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vehicles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as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does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the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scope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Article</w:t>
            </w:r>
            <w:proofErr w:type="spellEnd"/>
            <w:r w:rsidRPr="008D5D96">
              <w:rPr>
                <w:rFonts w:ascii="Times New Roman" w:eastAsia="Times New Roman" w:hAnsi="Times New Roman" w:cs="Times New Roman"/>
                <w:i/>
                <w:sz w:val="24"/>
                <w:szCs w:val="24"/>
                <w:lang w:eastAsia="lv-LV"/>
              </w:rPr>
              <w:t xml:space="preserve"> 1 (2) </w:t>
            </w:r>
            <w:proofErr w:type="spellStart"/>
            <w:r w:rsidRPr="008D5D96">
              <w:rPr>
                <w:rFonts w:ascii="Times New Roman" w:eastAsia="Times New Roman" w:hAnsi="Times New Roman" w:cs="Times New Roman"/>
                <w:i/>
                <w:sz w:val="24"/>
                <w:szCs w:val="24"/>
                <w:lang w:eastAsia="lv-LV"/>
              </w:rPr>
              <w:t>of</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Council</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Directive</w:t>
            </w:r>
            <w:proofErr w:type="spellEnd"/>
            <w:r w:rsidRPr="008D5D96">
              <w:rPr>
                <w:rFonts w:ascii="Times New Roman" w:eastAsia="Times New Roman" w:hAnsi="Times New Roman" w:cs="Times New Roman"/>
                <w:i/>
                <w:sz w:val="24"/>
                <w:szCs w:val="24"/>
                <w:lang w:eastAsia="lv-LV"/>
              </w:rPr>
              <w:t xml:space="preserve"> (EU) 2015/652 </w:t>
            </w:r>
            <w:proofErr w:type="spellStart"/>
            <w:r w:rsidRPr="008D5D96">
              <w:rPr>
                <w:rFonts w:ascii="Times New Roman" w:eastAsia="Times New Roman" w:hAnsi="Times New Roman" w:cs="Times New Roman"/>
                <w:i/>
                <w:sz w:val="24"/>
                <w:szCs w:val="24"/>
                <w:lang w:eastAsia="lv-LV"/>
              </w:rPr>
              <w:t>renewable</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energy</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electricity</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used</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in</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electric</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locomotives</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cannot</w:t>
            </w:r>
            <w:proofErr w:type="spellEnd"/>
            <w:r w:rsidRPr="008D5D96">
              <w:rPr>
                <w:rFonts w:ascii="Times New Roman" w:eastAsia="Times New Roman" w:hAnsi="Times New Roman" w:cs="Times New Roman"/>
                <w:i/>
                <w:sz w:val="24"/>
                <w:szCs w:val="24"/>
                <w:lang w:eastAsia="lv-LV"/>
              </w:rPr>
              <w:t xml:space="preserve"> </w:t>
            </w:r>
            <w:proofErr w:type="spellStart"/>
            <w:r w:rsidRPr="008D5D96">
              <w:rPr>
                <w:rFonts w:ascii="Times New Roman" w:eastAsia="Times New Roman" w:hAnsi="Times New Roman" w:cs="Times New Roman"/>
                <w:i/>
                <w:sz w:val="24"/>
                <w:szCs w:val="24"/>
                <w:lang w:eastAsia="lv-LV"/>
              </w:rPr>
              <w:t>count</w:t>
            </w:r>
            <w:proofErr w:type="spellEnd"/>
            <w:r w:rsidRPr="008D5D96">
              <w:rPr>
                <w:rFonts w:ascii="Times New Roman" w:eastAsia="Times New Roman" w:hAnsi="Times New Roman" w:cs="Times New Roman"/>
                <w:i/>
                <w:sz w:val="24"/>
                <w:szCs w:val="24"/>
                <w:lang w:eastAsia="lv-LV"/>
              </w:rPr>
              <w:t>.</w:t>
            </w:r>
            <w:r w:rsidR="005C2677" w:rsidRPr="008D5D96">
              <w:rPr>
                <w:rFonts w:ascii="Times New Roman" w:eastAsia="Times New Roman" w:hAnsi="Times New Roman" w:cs="Times New Roman"/>
                <w:i/>
                <w:sz w:val="24"/>
                <w:szCs w:val="24"/>
                <w:lang w:eastAsia="lv-LV"/>
              </w:rPr>
              <w:t>”</w:t>
            </w:r>
          </w:p>
        </w:tc>
      </w:tr>
      <w:tr w:rsidR="00374936" w:rsidRPr="004D2C68" w14:paraId="46E48AFD" w14:textId="77777777" w:rsidTr="00B16047">
        <w:trPr>
          <w:tblCellSpacing w:w="20" w:type="dxa"/>
          <w:jc w:val="center"/>
        </w:trPr>
        <w:tc>
          <w:tcPr>
            <w:tcW w:w="942" w:type="pct"/>
            <w:hideMark/>
          </w:tcPr>
          <w:p w14:paraId="7F7CE486" w14:textId="77777777"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4D2C68">
              <w:rPr>
                <w:rFonts w:ascii="Times New Roman" w:eastAsia="Times New Roman" w:hAnsi="Times New Roman" w:cs="Times New Roman"/>
                <w:sz w:val="24"/>
                <w:szCs w:val="24"/>
                <w:lang w:eastAsia="lv-LV"/>
              </w:rPr>
              <w:lastRenderedPageBreak/>
              <w:t>politiku) projektiem</w:t>
            </w:r>
          </w:p>
        </w:tc>
        <w:tc>
          <w:tcPr>
            <w:tcW w:w="3992" w:type="pct"/>
            <w:gridSpan w:val="3"/>
            <w:hideMark/>
          </w:tcPr>
          <w:p w14:paraId="7557DDCA" w14:textId="6AA0299A"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lastRenderedPageBreak/>
              <w:t>Projekts šo jomu neskar</w:t>
            </w:r>
          </w:p>
        </w:tc>
      </w:tr>
      <w:tr w:rsidR="00374936" w:rsidRPr="004D2C68" w14:paraId="1C6F1064" w14:textId="77777777" w:rsidTr="00B16047">
        <w:trPr>
          <w:tblCellSpacing w:w="20" w:type="dxa"/>
          <w:jc w:val="center"/>
        </w:trPr>
        <w:tc>
          <w:tcPr>
            <w:tcW w:w="942" w:type="pct"/>
            <w:hideMark/>
          </w:tcPr>
          <w:p w14:paraId="48B4E872" w14:textId="77777777" w:rsidR="00374936" w:rsidRPr="004D2C68" w:rsidRDefault="00374936" w:rsidP="00374936">
            <w:pPr>
              <w:spacing w:after="0" w:line="240" w:lineRule="auto"/>
              <w:contextualSpacing/>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Cita informācija</w:t>
            </w:r>
          </w:p>
        </w:tc>
        <w:tc>
          <w:tcPr>
            <w:tcW w:w="3992" w:type="pct"/>
            <w:gridSpan w:val="3"/>
            <w:hideMark/>
          </w:tcPr>
          <w:p w14:paraId="4B1269BB" w14:textId="1D68F3C1" w:rsidR="00374936" w:rsidRPr="004D2C68" w:rsidRDefault="00374936" w:rsidP="00374936">
            <w:pPr>
              <w:spacing w:after="0" w:line="240" w:lineRule="auto"/>
              <w:ind w:right="93"/>
              <w:contextualSpacing/>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Nav</w:t>
            </w:r>
          </w:p>
        </w:tc>
      </w:tr>
    </w:tbl>
    <w:p w14:paraId="2C01D3E1" w14:textId="5E5C01C9" w:rsidR="00E5323B" w:rsidRPr="004D2C68" w:rsidRDefault="00E5323B" w:rsidP="00737139">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6D2865" w:rsidRPr="004D2C68" w14:paraId="355F53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2A2877" w14:textId="77777777" w:rsidR="00655F2C" w:rsidRPr="004D2C68" w:rsidRDefault="0023793D" w:rsidP="00737139">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 Sabiedrības līdzdalība un komunikācijas aktivitātes</w:t>
            </w:r>
          </w:p>
        </w:tc>
      </w:tr>
      <w:tr w:rsidR="006D2865" w:rsidRPr="004D2C68" w14:paraId="59B4D522" w14:textId="77777777" w:rsidTr="00482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094E96"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1189AE5"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01A0B97C" w14:textId="1B382850" w:rsidR="00605E27" w:rsidRPr="00BB5BA0" w:rsidRDefault="00605E27" w:rsidP="006809ED">
            <w:pPr>
              <w:spacing w:before="60" w:after="60" w:line="240" w:lineRule="auto"/>
              <w:ind w:firstLine="170"/>
              <w:jc w:val="both"/>
              <w:rPr>
                <w:rFonts w:ascii="Times New Roman" w:hAnsi="Times New Roman" w:cs="Times New Roman"/>
                <w:sz w:val="24"/>
                <w:szCs w:val="24"/>
              </w:rPr>
            </w:pPr>
            <w:r w:rsidRPr="00BB5BA0">
              <w:rPr>
                <w:rFonts w:ascii="Times New Roman" w:hAnsi="Times New Roman" w:cs="Times New Roman"/>
                <w:sz w:val="24"/>
                <w:szCs w:val="24"/>
                <w:shd w:val="clear" w:color="auto" w:fill="FFFFFF"/>
              </w:rPr>
              <w:t>Saskaņā ar Ministru kabineta 2009.gada 25. augusta noteikumu Nr.970 „Sabiedrības līdzdalības kārtība attīstības plānošanas procesā” 7.4.</w:t>
            </w:r>
            <w:r w:rsidRPr="00BB5BA0">
              <w:rPr>
                <w:rFonts w:ascii="Times New Roman" w:hAnsi="Times New Roman" w:cs="Times New Roman"/>
                <w:sz w:val="24"/>
                <w:szCs w:val="24"/>
                <w:shd w:val="clear" w:color="auto" w:fill="FFFFFF"/>
                <w:vertAlign w:val="superscript"/>
              </w:rPr>
              <w:t>1 </w:t>
            </w:r>
            <w:r w:rsidRPr="00BB5BA0">
              <w:rPr>
                <w:rFonts w:ascii="Times New Roman" w:hAnsi="Times New Roman" w:cs="Times New Roman"/>
                <w:sz w:val="24"/>
                <w:szCs w:val="24"/>
                <w:shd w:val="clear" w:color="auto" w:fill="FFFFFF"/>
              </w:rPr>
              <w:t>apakšpunktu sabiedrības pārstāvji ir aicināti līdzdarboties, rakstiski sniedzot viedokli par Noteikumu projektu tā izstrādes stadijā. Sabiedrības pārstāvji ir informēti par iespēju līdzdarboties, publicējot paziņojumu par līdzdalības procesu Ekonomikas ministrijas tīmekļa vietnē</w:t>
            </w:r>
            <w:r>
              <w:rPr>
                <w:rStyle w:val="FootnoteReference"/>
                <w:rFonts w:ascii="Times New Roman" w:hAnsi="Times New Roman" w:cs="Times New Roman"/>
                <w:sz w:val="24"/>
                <w:szCs w:val="24"/>
                <w:shd w:val="clear" w:color="auto" w:fill="FFFFFF"/>
              </w:rPr>
              <w:footnoteReference w:id="5"/>
            </w:r>
            <w:r w:rsidRPr="00BB5BA0">
              <w:rPr>
                <w:rFonts w:ascii="Times New Roman" w:hAnsi="Times New Roman" w:cs="Times New Roman"/>
                <w:sz w:val="24"/>
                <w:szCs w:val="24"/>
                <w:shd w:val="clear" w:color="auto" w:fill="FFFFFF"/>
              </w:rPr>
              <w:t>.</w:t>
            </w:r>
          </w:p>
          <w:p w14:paraId="0E8D2B08" w14:textId="40A56071" w:rsidR="00605E27" w:rsidRDefault="00605E27" w:rsidP="006809ED">
            <w:pPr>
              <w:spacing w:before="60" w:after="6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Par Noteikumu projekta izstrādi tika informēts Vides aizsardzības un reģionālās attīstības ministrija, </w:t>
            </w:r>
            <w:r w:rsidRPr="00850062">
              <w:rPr>
                <w:rFonts w:ascii="Times New Roman" w:hAnsi="Times New Roman" w:cs="Times New Roman"/>
                <w:sz w:val="24"/>
                <w:szCs w:val="24"/>
              </w:rPr>
              <w:t>Valsts vides dienests, Latvijas degvielas tirgotāju asociācija</w:t>
            </w:r>
            <w:r>
              <w:rPr>
                <w:rFonts w:ascii="Times New Roman" w:hAnsi="Times New Roman" w:cs="Times New Roman"/>
                <w:sz w:val="24"/>
                <w:szCs w:val="24"/>
              </w:rPr>
              <w:t xml:space="preserve">, Latvijas degvielas tirgotāju un ražotāju savienība un </w:t>
            </w:r>
            <w:r w:rsidRPr="00850062">
              <w:rPr>
                <w:rFonts w:ascii="Times New Roman" w:hAnsi="Times New Roman" w:cs="Times New Roman"/>
                <w:sz w:val="24"/>
                <w:szCs w:val="24"/>
              </w:rPr>
              <w:t>Latvijas Biodegvielu un bioenerģijas asociācija.</w:t>
            </w:r>
          </w:p>
          <w:p w14:paraId="2371A1EC" w14:textId="147A91EC" w:rsidR="00605E27" w:rsidRDefault="00605E27" w:rsidP="006809ED">
            <w:pPr>
              <w:spacing w:before="60" w:after="60" w:line="240" w:lineRule="auto"/>
              <w:ind w:firstLine="170"/>
              <w:jc w:val="both"/>
              <w:rPr>
                <w:rFonts w:ascii="Times New Roman" w:hAnsi="Times New Roman" w:cs="Times New Roman"/>
                <w:sz w:val="24"/>
                <w:szCs w:val="24"/>
              </w:rPr>
            </w:pPr>
            <w:r>
              <w:rPr>
                <w:rFonts w:ascii="Times New Roman" w:hAnsi="Times New Roman" w:cs="Times New Roman"/>
                <w:sz w:val="24"/>
                <w:szCs w:val="24"/>
              </w:rPr>
              <w:t>Pēc Noteikumu projekta publicēšanas sabiedriskajai apspriedei tika saņemts viedoklis no Valsts vides dienesta</w:t>
            </w:r>
            <w:r w:rsidR="00F90C5E">
              <w:rPr>
                <w:rFonts w:ascii="Times New Roman" w:hAnsi="Times New Roman" w:cs="Times New Roman"/>
                <w:sz w:val="24"/>
                <w:szCs w:val="24"/>
              </w:rPr>
              <w:t>, kas ir ņemts vērā un Noteikumu projekta anotācijas I sadaļas 2.punks ir attiecīgi papildināts.</w:t>
            </w:r>
          </w:p>
          <w:p w14:paraId="57FB2B31" w14:textId="6F985A5F" w:rsidR="000C2883" w:rsidRPr="000C2883" w:rsidRDefault="000C2883" w:rsidP="006809ED">
            <w:pPr>
              <w:spacing w:before="60" w:after="60" w:line="240" w:lineRule="auto"/>
              <w:ind w:firstLine="170"/>
              <w:jc w:val="both"/>
              <w:rPr>
                <w:rFonts w:ascii="Times New Roman" w:hAnsi="Times New Roman" w:cs="Times New Roman"/>
                <w:sz w:val="24"/>
                <w:szCs w:val="24"/>
              </w:rPr>
            </w:pPr>
            <w:r>
              <w:rPr>
                <w:rFonts w:ascii="Times New Roman" w:hAnsi="Times New Roman" w:cs="Times New Roman"/>
                <w:sz w:val="24"/>
                <w:szCs w:val="24"/>
              </w:rPr>
              <w:t>Tiks papildināts Noteikumu projekta saskaņošanas gaitā.</w:t>
            </w:r>
          </w:p>
        </w:tc>
      </w:tr>
      <w:tr w:rsidR="000C5856" w:rsidRPr="004D2C68" w14:paraId="71171ABA" w14:textId="77777777" w:rsidTr="00482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616D7E" w14:textId="77777777" w:rsidR="000C5856" w:rsidRPr="004D2C68" w:rsidRDefault="000C5856"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9B24313" w14:textId="77777777" w:rsidR="000C5856" w:rsidRPr="004D2C68" w:rsidRDefault="000C5856"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04E4A999" w14:textId="7FFBC2B8" w:rsidR="000C5856" w:rsidRPr="00605E27" w:rsidRDefault="000C5856" w:rsidP="006809ED">
            <w:pPr>
              <w:spacing w:before="60" w:after="60" w:line="240" w:lineRule="auto"/>
              <w:ind w:firstLine="247"/>
              <w:jc w:val="both"/>
              <w:rPr>
                <w:rStyle w:val="Hyperlink"/>
                <w:rFonts w:ascii="Times New Roman" w:hAnsi="Times New Roman" w:cs="Times New Roman"/>
                <w:sz w:val="24"/>
                <w:szCs w:val="24"/>
              </w:rPr>
            </w:pPr>
            <w:r w:rsidRPr="00605E27">
              <w:rPr>
                <w:rFonts w:ascii="Times New Roman" w:hAnsi="Times New Roman" w:cs="Times New Roman"/>
                <w:sz w:val="24"/>
                <w:szCs w:val="24"/>
              </w:rPr>
              <w:t xml:space="preserve">Noteikumu projekts </w:t>
            </w:r>
            <w:r w:rsidR="0090626C" w:rsidRPr="00605E27">
              <w:rPr>
                <w:rFonts w:ascii="Times New Roman" w:hAnsi="Times New Roman" w:cs="Times New Roman"/>
                <w:sz w:val="24"/>
                <w:szCs w:val="24"/>
              </w:rPr>
              <w:t xml:space="preserve">tika </w:t>
            </w:r>
            <w:r w:rsidRPr="00605E27">
              <w:rPr>
                <w:rFonts w:ascii="Times New Roman" w:hAnsi="Times New Roman" w:cs="Times New Roman"/>
                <w:sz w:val="24"/>
                <w:szCs w:val="24"/>
              </w:rPr>
              <w:t xml:space="preserve">publicēts </w:t>
            </w:r>
            <w:r w:rsidR="0090626C" w:rsidRPr="00605E27">
              <w:rPr>
                <w:rFonts w:ascii="Times New Roman" w:hAnsi="Times New Roman" w:cs="Times New Roman"/>
                <w:sz w:val="24"/>
                <w:szCs w:val="24"/>
              </w:rPr>
              <w:t xml:space="preserve">Ekonomikas </w:t>
            </w:r>
            <w:r w:rsidRPr="00605E27">
              <w:rPr>
                <w:rFonts w:ascii="Times New Roman" w:hAnsi="Times New Roman" w:cs="Times New Roman"/>
                <w:sz w:val="24"/>
                <w:szCs w:val="24"/>
              </w:rPr>
              <w:t>ministrijas tīmekļvietnē</w:t>
            </w:r>
            <w:r w:rsidR="0090626C" w:rsidRPr="00605E27">
              <w:rPr>
                <w:rFonts w:ascii="Times New Roman" w:hAnsi="Times New Roman" w:cs="Times New Roman"/>
                <w:sz w:val="24"/>
                <w:szCs w:val="24"/>
              </w:rPr>
              <w:t xml:space="preserve"> </w:t>
            </w:r>
            <w:hyperlink r:id="rId8" w:history="1">
              <w:r w:rsidR="0090626C" w:rsidRPr="00605E27">
                <w:rPr>
                  <w:rStyle w:val="Hyperlink"/>
                  <w:rFonts w:ascii="Times New Roman" w:hAnsi="Times New Roman" w:cs="Times New Roman"/>
                  <w:sz w:val="24"/>
                  <w:szCs w:val="24"/>
                </w:rPr>
                <w:t>www.em.gov.lv</w:t>
              </w:r>
            </w:hyperlink>
            <w:r w:rsidR="00605E27" w:rsidRPr="00605E27">
              <w:rPr>
                <w:rFonts w:ascii="Times New Roman" w:hAnsi="Times New Roman" w:cs="Times New Roman"/>
                <w:sz w:val="24"/>
                <w:szCs w:val="24"/>
              </w:rPr>
              <w:t xml:space="preserve"> 2019.gada 21.martā.</w:t>
            </w:r>
          </w:p>
          <w:p w14:paraId="385183A4" w14:textId="77777777" w:rsidR="000C2883" w:rsidRDefault="00683BBC" w:rsidP="006809ED">
            <w:pPr>
              <w:spacing w:before="60" w:after="60" w:line="240" w:lineRule="auto"/>
              <w:ind w:firstLine="247"/>
              <w:jc w:val="both"/>
              <w:rPr>
                <w:rFonts w:ascii="Times New Roman" w:hAnsi="Times New Roman" w:cs="Times New Roman"/>
                <w:sz w:val="24"/>
                <w:szCs w:val="24"/>
              </w:rPr>
            </w:pPr>
            <w:r>
              <w:rPr>
                <w:rFonts w:ascii="Times New Roman" w:hAnsi="Times New Roman" w:cs="Times New Roman"/>
                <w:sz w:val="24"/>
                <w:szCs w:val="24"/>
              </w:rPr>
              <w:t xml:space="preserve">Noteikumu projekts ir izsludināts Valsts sekretāru sanāksmē 2019.gada 25.aprīlī (sēdes protokola Nr.16 </w:t>
            </w:r>
            <w:r w:rsidRPr="00683BBC">
              <w:rPr>
                <w:rFonts w:ascii="Times New Roman" w:hAnsi="Times New Roman" w:cs="Times New Roman"/>
                <w:sz w:val="24"/>
                <w:szCs w:val="24"/>
              </w:rPr>
              <w:t>5.§</w:t>
            </w:r>
            <w:r>
              <w:rPr>
                <w:rFonts w:ascii="Times New Roman" w:hAnsi="Times New Roman" w:cs="Times New Roman"/>
                <w:sz w:val="24"/>
                <w:szCs w:val="24"/>
              </w:rPr>
              <w:t>)</w:t>
            </w:r>
          </w:p>
          <w:p w14:paraId="46C43AF8" w14:textId="1B3572C0" w:rsidR="00F4021E" w:rsidRPr="004D2C68" w:rsidRDefault="00F4021E" w:rsidP="006809ED">
            <w:pPr>
              <w:spacing w:before="60" w:after="60" w:line="240" w:lineRule="auto"/>
              <w:ind w:firstLine="247"/>
              <w:jc w:val="both"/>
              <w:rPr>
                <w:rFonts w:ascii="Times New Roman" w:hAnsi="Times New Roman" w:cs="Times New Roman"/>
                <w:sz w:val="24"/>
                <w:szCs w:val="24"/>
              </w:rPr>
            </w:pPr>
            <w:r w:rsidRPr="004D2C68">
              <w:rPr>
                <w:rFonts w:ascii="Times New Roman" w:hAnsi="Times New Roman" w:cs="Times New Roman"/>
                <w:sz w:val="24"/>
                <w:szCs w:val="24"/>
              </w:rPr>
              <w:t>Ekonomikas ministrija viedokli par Noteikumu projektu un atzinumu Noteikumu projekta saskaņošanas laikā (pēc tā izsludināšanas Valsts sekretāru sanāksmē) papildus Valsts sekretāru 20</w:t>
            </w:r>
            <w:r>
              <w:rPr>
                <w:rFonts w:ascii="Times New Roman" w:hAnsi="Times New Roman" w:cs="Times New Roman"/>
                <w:sz w:val="24"/>
                <w:szCs w:val="24"/>
              </w:rPr>
              <w:t>19</w:t>
            </w:r>
            <w:r w:rsidRPr="004D2C68">
              <w:rPr>
                <w:rFonts w:ascii="Times New Roman" w:hAnsi="Times New Roman" w:cs="Times New Roman"/>
                <w:sz w:val="24"/>
                <w:szCs w:val="24"/>
              </w:rPr>
              <w:t>.</w:t>
            </w:r>
            <w:r>
              <w:rPr>
                <w:rFonts w:ascii="Times New Roman" w:hAnsi="Times New Roman" w:cs="Times New Roman"/>
                <w:sz w:val="24"/>
                <w:szCs w:val="24"/>
              </w:rPr>
              <w:t xml:space="preserve"> </w:t>
            </w:r>
            <w:r w:rsidRPr="004D2C68">
              <w:rPr>
                <w:rFonts w:ascii="Times New Roman" w:hAnsi="Times New Roman" w:cs="Times New Roman"/>
                <w:sz w:val="24"/>
                <w:szCs w:val="24"/>
              </w:rPr>
              <w:t xml:space="preserve">gada </w:t>
            </w:r>
            <w:r>
              <w:rPr>
                <w:rFonts w:ascii="Times New Roman" w:hAnsi="Times New Roman" w:cs="Times New Roman"/>
                <w:sz w:val="24"/>
                <w:szCs w:val="24"/>
              </w:rPr>
              <w:t>25.aprīļa</w:t>
            </w:r>
            <w:r w:rsidRPr="004D2C68">
              <w:rPr>
                <w:rFonts w:ascii="Times New Roman" w:hAnsi="Times New Roman" w:cs="Times New Roman"/>
                <w:sz w:val="24"/>
                <w:szCs w:val="24"/>
              </w:rPr>
              <w:t xml:space="preserve"> sanāksmes protokola Nr.1</w:t>
            </w:r>
            <w:r>
              <w:rPr>
                <w:rFonts w:ascii="Times New Roman" w:hAnsi="Times New Roman" w:cs="Times New Roman"/>
                <w:sz w:val="24"/>
                <w:szCs w:val="24"/>
              </w:rPr>
              <w:t>6</w:t>
            </w:r>
            <w:r w:rsidRPr="004D2C68">
              <w:rPr>
                <w:rFonts w:ascii="Times New Roman" w:hAnsi="Times New Roman" w:cs="Times New Roman"/>
                <w:sz w:val="24"/>
                <w:szCs w:val="24"/>
              </w:rPr>
              <w:t xml:space="preserve"> 5.</w:t>
            </w:r>
            <w:r w:rsidRPr="004D2C68">
              <w:rPr>
                <w:rFonts w:ascii="Calibri" w:hAnsi="Calibri" w:cs="Times New Roman"/>
                <w:sz w:val="24"/>
                <w:szCs w:val="24"/>
              </w:rPr>
              <w:t>§</w:t>
            </w:r>
            <w:r w:rsidRPr="004D2C6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4D2C68">
              <w:rPr>
                <w:rFonts w:ascii="Times New Roman" w:hAnsi="Times New Roman" w:cs="Times New Roman"/>
                <w:sz w:val="24"/>
                <w:szCs w:val="24"/>
              </w:rPr>
              <w:t>punktā norādītajām institūcijām (Tieslietu ministrija, Finanšu ministrija, Satiksmes ministrija, Vides aizsardzības un reģionālās attīstības ministrija, Zemkopības ministrija</w:t>
            </w:r>
            <w:r w:rsidR="00783980">
              <w:rPr>
                <w:rFonts w:ascii="Times New Roman" w:hAnsi="Times New Roman" w:cs="Times New Roman"/>
                <w:sz w:val="24"/>
                <w:szCs w:val="24"/>
              </w:rPr>
              <w:t>, Latvijas brīvo arodbiedrību savienība</w:t>
            </w:r>
            <w:r w:rsidRPr="004D2C68">
              <w:rPr>
                <w:rFonts w:ascii="Times New Roman" w:hAnsi="Times New Roman" w:cs="Times New Roman"/>
                <w:sz w:val="24"/>
                <w:szCs w:val="24"/>
              </w:rPr>
              <w:t xml:space="preserve"> un Latvijas Darba devēju konfederācija) lūdza sniegt arī Latvijas Degvielas tirgotāju asociācijai, Latvijas Biodegvielu un bioenerģijas asociācijai un Degvielas tirgotāju un ražotāju savienībai</w:t>
            </w:r>
            <w:r>
              <w:rPr>
                <w:rFonts w:ascii="Times New Roman" w:hAnsi="Times New Roman" w:cs="Times New Roman"/>
                <w:sz w:val="24"/>
                <w:szCs w:val="24"/>
              </w:rPr>
              <w:t>.</w:t>
            </w:r>
          </w:p>
        </w:tc>
      </w:tr>
      <w:tr w:rsidR="000C5856" w:rsidRPr="004D2C68" w14:paraId="60230B37" w14:textId="77777777" w:rsidTr="00482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693B39" w14:textId="77777777" w:rsidR="000C5856" w:rsidRPr="004D2C68" w:rsidRDefault="000C5856"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611B1AE" w14:textId="77777777" w:rsidR="000C5856" w:rsidRPr="004D2C68" w:rsidRDefault="000C5856"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67551025" w14:textId="35B72930" w:rsidR="00F4021E" w:rsidRPr="004D2C68" w:rsidRDefault="00F4021E" w:rsidP="00F4021E">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Šīs anotācijas VI. sadaļas 2.</w:t>
            </w:r>
            <w:r>
              <w:rPr>
                <w:rFonts w:ascii="Times New Roman" w:hAnsi="Times New Roman" w:cs="Times New Roman"/>
                <w:sz w:val="24"/>
                <w:szCs w:val="24"/>
              </w:rPr>
              <w:t xml:space="preserve"> </w:t>
            </w:r>
            <w:r w:rsidRPr="004D2C68">
              <w:rPr>
                <w:rFonts w:ascii="Times New Roman" w:hAnsi="Times New Roman" w:cs="Times New Roman"/>
                <w:sz w:val="24"/>
                <w:szCs w:val="24"/>
              </w:rPr>
              <w:t>punktā minēt</w:t>
            </w:r>
            <w:r w:rsidR="007357E7">
              <w:rPr>
                <w:rFonts w:ascii="Times New Roman" w:hAnsi="Times New Roman" w:cs="Times New Roman"/>
                <w:sz w:val="24"/>
                <w:szCs w:val="24"/>
              </w:rPr>
              <w:t xml:space="preserve">o institūciju iebildumi ir pilnībā ņemti vērā Noteikumu projektā un </w:t>
            </w:r>
            <w:r>
              <w:rPr>
                <w:rFonts w:ascii="Times New Roman" w:hAnsi="Times New Roman" w:cs="Times New Roman"/>
                <w:sz w:val="24"/>
                <w:szCs w:val="24"/>
              </w:rPr>
              <w:t>institūcij</w:t>
            </w:r>
            <w:r w:rsidR="007357E7">
              <w:rPr>
                <w:rFonts w:ascii="Times New Roman" w:hAnsi="Times New Roman" w:cs="Times New Roman"/>
                <w:sz w:val="24"/>
                <w:szCs w:val="24"/>
              </w:rPr>
              <w:t xml:space="preserve">ām iebildumu par </w:t>
            </w:r>
            <w:r>
              <w:rPr>
                <w:rFonts w:ascii="Times New Roman" w:hAnsi="Times New Roman" w:cs="Times New Roman"/>
                <w:sz w:val="24"/>
                <w:szCs w:val="24"/>
              </w:rPr>
              <w:t>Noteikumu projektu</w:t>
            </w:r>
            <w:r w:rsidR="007357E7">
              <w:rPr>
                <w:rFonts w:ascii="Times New Roman" w:hAnsi="Times New Roman" w:cs="Times New Roman"/>
                <w:sz w:val="24"/>
                <w:szCs w:val="24"/>
              </w:rPr>
              <w:t xml:space="preserve"> nav.</w:t>
            </w:r>
          </w:p>
          <w:p w14:paraId="2FDA2DFD" w14:textId="2588EE54" w:rsidR="000C5856" w:rsidRPr="004D2C68" w:rsidRDefault="00F4021E" w:rsidP="00482564">
            <w:pPr>
              <w:spacing w:before="60" w:after="60" w:line="240" w:lineRule="auto"/>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No sabiedrības viedokļi un komentāri netika saņemti.</w:t>
            </w:r>
          </w:p>
        </w:tc>
      </w:tr>
      <w:tr w:rsidR="006D2865" w:rsidRPr="004D2C68" w14:paraId="268B2B1B" w14:textId="77777777" w:rsidTr="00482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221AF"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24831536"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3D17BE7" w14:textId="77777777" w:rsidR="00E5323B" w:rsidRPr="004D2C68" w:rsidRDefault="0023793D" w:rsidP="006809ED">
            <w:pPr>
              <w:spacing w:before="60" w:after="60" w:line="240" w:lineRule="auto"/>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14:paraId="44016AA6" w14:textId="77777777" w:rsidR="00E5323B" w:rsidRPr="004D2C68" w:rsidRDefault="0023793D" w:rsidP="00737139">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2865" w:rsidRPr="004D2C68" w14:paraId="165CB9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6532DB" w14:textId="77777777" w:rsidR="00655F2C" w:rsidRPr="004D2C68" w:rsidRDefault="0023793D" w:rsidP="00737139">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D2865" w:rsidRPr="004D2C68" w14:paraId="68DD6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7CC7B"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AC772E"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64FA27" w14:textId="3E6FD856" w:rsidR="00E5323B" w:rsidRPr="004D2C68" w:rsidRDefault="0023793D" w:rsidP="006809ED">
            <w:pPr>
              <w:spacing w:before="60" w:after="60" w:line="240" w:lineRule="auto"/>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Valsts vides dienests</w:t>
            </w:r>
            <w:r w:rsidR="000C2883">
              <w:rPr>
                <w:rFonts w:ascii="Times New Roman" w:hAnsi="Times New Roman" w:cs="Times New Roman"/>
                <w:sz w:val="24"/>
                <w:szCs w:val="24"/>
              </w:rPr>
              <w:t>.</w:t>
            </w:r>
          </w:p>
        </w:tc>
      </w:tr>
      <w:tr w:rsidR="006D2865" w:rsidRPr="004D2C68" w14:paraId="7C229F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BFE4B6"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B5C4FA"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izpildes ietekme uz pārvaldes funkcijām un institucionālo struktūru.</w:t>
            </w:r>
            <w:r w:rsidRPr="004D2C6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54ABC5" w14:textId="77777777" w:rsidR="0002501F" w:rsidRPr="004D2C68" w:rsidRDefault="0002501F" w:rsidP="006809ED">
            <w:pPr>
              <w:spacing w:before="60" w:after="60" w:line="240" w:lineRule="auto"/>
              <w:ind w:firstLine="249"/>
              <w:jc w:val="both"/>
              <w:rPr>
                <w:rFonts w:ascii="Times New Roman" w:hAnsi="Times New Roman" w:cs="Times New Roman"/>
                <w:sz w:val="24"/>
                <w:szCs w:val="24"/>
              </w:rPr>
            </w:pPr>
            <w:r w:rsidRPr="004D2C68">
              <w:rPr>
                <w:rFonts w:ascii="Times New Roman" w:hAnsi="Times New Roman" w:cs="Times New Roman"/>
                <w:sz w:val="24"/>
                <w:szCs w:val="24"/>
              </w:rPr>
              <w:t>Noteikumu projektā iekļautie nosacījumi var radīt ietekmi uz pārvaldes funkcijām, tomēr tas neietekmēs institucionālo sistēmu.</w:t>
            </w:r>
          </w:p>
          <w:p w14:paraId="6D4E4814" w14:textId="77777777" w:rsidR="0002501F" w:rsidRPr="004D2C68" w:rsidRDefault="0002501F" w:rsidP="006809ED">
            <w:pPr>
              <w:spacing w:before="60" w:after="60" w:line="240" w:lineRule="auto"/>
              <w:ind w:firstLine="249"/>
              <w:jc w:val="both"/>
              <w:rPr>
                <w:rFonts w:ascii="Times New Roman" w:hAnsi="Times New Roman" w:cs="Times New Roman"/>
                <w:sz w:val="24"/>
                <w:szCs w:val="24"/>
              </w:rPr>
            </w:pPr>
            <w:r w:rsidRPr="004D2C68">
              <w:rPr>
                <w:rFonts w:ascii="Times New Roman" w:hAnsi="Times New Roman" w:cs="Times New Roman"/>
                <w:sz w:val="24"/>
                <w:szCs w:val="24"/>
              </w:rPr>
              <w:t>Noteikumu projektā iekļauto nosacījumu izpildei nav nepieciešams veidot jaunas institūcijas, likvidēt vai reorganizēt esošās institūcijas.</w:t>
            </w:r>
          </w:p>
          <w:p w14:paraId="545280C3" w14:textId="0780A421" w:rsidR="00E5323B" w:rsidRPr="004D2C68" w:rsidRDefault="0002501F" w:rsidP="006809ED">
            <w:pPr>
              <w:spacing w:before="60" w:after="60" w:line="240" w:lineRule="auto"/>
              <w:ind w:firstLine="247"/>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Noteikumu projekta izpildē iesaistītās institūcijas noteikumu projektā iekļautos pasākumu nodrošinās piešķirto valsts budžeta līdzekļu ietvaros un izmantojot esošos cilvēkresursus.</w:t>
            </w:r>
          </w:p>
        </w:tc>
      </w:tr>
      <w:tr w:rsidR="006D2865" w:rsidRPr="004D2C68" w14:paraId="548BB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58F840" w14:textId="77777777" w:rsidR="00655F2C"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8906F"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09BC5B" w14:textId="77777777" w:rsidR="00E5323B" w:rsidRPr="004D2C68" w:rsidRDefault="0023793D" w:rsidP="00737139">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14:paraId="0E8D94EC" w14:textId="2FF12ACC" w:rsidR="00C25B49" w:rsidRPr="004D2C68" w:rsidRDefault="00C25B49" w:rsidP="00737139">
      <w:pPr>
        <w:spacing w:after="0" w:line="240" w:lineRule="auto"/>
        <w:contextualSpacing/>
        <w:rPr>
          <w:rFonts w:ascii="Times New Roman" w:hAnsi="Times New Roman" w:cs="Times New Roman"/>
          <w:sz w:val="28"/>
          <w:szCs w:val="28"/>
        </w:rPr>
      </w:pPr>
    </w:p>
    <w:p w14:paraId="520396B8" w14:textId="28EBC4A2" w:rsidR="00180B04" w:rsidRPr="004D2C68" w:rsidRDefault="00180B04" w:rsidP="00737139">
      <w:pPr>
        <w:spacing w:after="0" w:line="240" w:lineRule="auto"/>
        <w:contextualSpacing/>
        <w:rPr>
          <w:rFonts w:ascii="Times New Roman" w:hAnsi="Times New Roman" w:cs="Times New Roman"/>
          <w:sz w:val="28"/>
          <w:szCs w:val="28"/>
        </w:rPr>
      </w:pPr>
    </w:p>
    <w:p w14:paraId="77E354B0" w14:textId="77777777" w:rsidR="00E1349C" w:rsidRPr="004D2C68" w:rsidRDefault="00E1349C" w:rsidP="00737139">
      <w:pPr>
        <w:spacing w:after="0" w:line="240" w:lineRule="auto"/>
        <w:contextualSpacing/>
        <w:rPr>
          <w:rFonts w:ascii="Times New Roman" w:hAnsi="Times New Roman" w:cs="Times New Roman"/>
          <w:sz w:val="28"/>
          <w:szCs w:val="28"/>
        </w:rPr>
      </w:pPr>
    </w:p>
    <w:p w14:paraId="01276022" w14:textId="4BAB1E0F" w:rsidR="00B14A9F" w:rsidRPr="004D2C68" w:rsidRDefault="000C2883" w:rsidP="000D1855">
      <w:pPr>
        <w:tabs>
          <w:tab w:val="left" w:pos="7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t>R.</w:t>
      </w:r>
      <w:r w:rsidR="00DC27D5">
        <w:rPr>
          <w:rFonts w:ascii="Times New Roman" w:hAnsi="Times New Roman" w:cs="Times New Roman"/>
          <w:sz w:val="28"/>
          <w:szCs w:val="28"/>
        </w:rPr>
        <w:t xml:space="preserve"> </w:t>
      </w:r>
      <w:proofErr w:type="spellStart"/>
      <w:r>
        <w:rPr>
          <w:rFonts w:ascii="Times New Roman" w:hAnsi="Times New Roman" w:cs="Times New Roman"/>
          <w:sz w:val="28"/>
          <w:szCs w:val="28"/>
        </w:rPr>
        <w:t>Nemiro</w:t>
      </w:r>
      <w:proofErr w:type="spellEnd"/>
    </w:p>
    <w:p w14:paraId="3E88A3C0" w14:textId="5A757CB8" w:rsidR="00783A56" w:rsidRDefault="00783A56" w:rsidP="00737139">
      <w:pPr>
        <w:spacing w:after="0" w:line="240" w:lineRule="auto"/>
        <w:contextualSpacing/>
        <w:rPr>
          <w:rFonts w:ascii="Times New Roman" w:hAnsi="Times New Roman" w:cs="Times New Roman"/>
          <w:sz w:val="28"/>
          <w:szCs w:val="28"/>
        </w:rPr>
      </w:pPr>
    </w:p>
    <w:p w14:paraId="683E96F4" w14:textId="77777777" w:rsidR="00303025" w:rsidRPr="004D2C68" w:rsidRDefault="00303025" w:rsidP="00737139">
      <w:pPr>
        <w:spacing w:after="0" w:line="240" w:lineRule="auto"/>
        <w:contextualSpacing/>
        <w:rPr>
          <w:rFonts w:ascii="Times New Roman" w:hAnsi="Times New Roman" w:cs="Times New Roman"/>
          <w:sz w:val="28"/>
          <w:szCs w:val="28"/>
        </w:rPr>
      </w:pPr>
    </w:p>
    <w:p w14:paraId="5AA80028" w14:textId="77777777" w:rsidR="00303025" w:rsidRPr="004D2C68" w:rsidRDefault="00303025" w:rsidP="0030302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Vīza:</w:t>
      </w:r>
    </w:p>
    <w:p w14:paraId="2E61B7C2" w14:textId="7EAD11D4" w:rsidR="00894C55" w:rsidRPr="004D2C68" w:rsidRDefault="0023793D" w:rsidP="000D1855">
      <w:pPr>
        <w:tabs>
          <w:tab w:val="left" w:pos="7230"/>
        </w:tabs>
        <w:spacing w:after="0" w:line="240" w:lineRule="auto"/>
        <w:contextualSpacing/>
        <w:jc w:val="both"/>
        <w:rPr>
          <w:rFonts w:ascii="Times New Roman" w:hAnsi="Times New Roman" w:cs="Times New Roman"/>
          <w:sz w:val="28"/>
          <w:szCs w:val="28"/>
        </w:rPr>
      </w:pPr>
      <w:r w:rsidRPr="004D2C68">
        <w:rPr>
          <w:rFonts w:ascii="Times New Roman" w:hAnsi="Times New Roman" w:cs="Times New Roman"/>
          <w:sz w:val="28"/>
          <w:szCs w:val="28"/>
        </w:rPr>
        <w:t>Valsts sekretārs</w:t>
      </w:r>
      <w:r w:rsidR="008B26A2" w:rsidRPr="004D2C68">
        <w:rPr>
          <w:rFonts w:ascii="Times New Roman" w:hAnsi="Times New Roman" w:cs="Times New Roman"/>
          <w:sz w:val="28"/>
          <w:szCs w:val="28"/>
        </w:rPr>
        <w:t xml:space="preserve"> </w:t>
      </w:r>
      <w:r w:rsidR="008B26A2" w:rsidRPr="004D2C68">
        <w:rPr>
          <w:rFonts w:ascii="Times New Roman" w:hAnsi="Times New Roman" w:cs="Times New Roman"/>
          <w:sz w:val="28"/>
          <w:szCs w:val="28"/>
        </w:rPr>
        <w:tab/>
      </w:r>
      <w:r w:rsidR="00BD770C" w:rsidRPr="004D2C68">
        <w:rPr>
          <w:rFonts w:ascii="Times New Roman" w:hAnsi="Times New Roman" w:cs="Times New Roman"/>
          <w:sz w:val="28"/>
          <w:szCs w:val="28"/>
        </w:rPr>
        <w:t>Ē</w:t>
      </w:r>
      <w:r w:rsidRPr="004D2C68">
        <w:rPr>
          <w:rFonts w:ascii="Times New Roman" w:hAnsi="Times New Roman" w:cs="Times New Roman"/>
          <w:sz w:val="28"/>
          <w:szCs w:val="28"/>
        </w:rPr>
        <w:t>.</w:t>
      </w:r>
      <w:r w:rsidR="00DC27D5">
        <w:rPr>
          <w:rFonts w:ascii="Times New Roman" w:hAnsi="Times New Roman" w:cs="Times New Roman"/>
          <w:sz w:val="28"/>
          <w:szCs w:val="28"/>
        </w:rPr>
        <w:t xml:space="preserve"> </w:t>
      </w:r>
      <w:r w:rsidR="00BD770C" w:rsidRPr="004D2C68">
        <w:rPr>
          <w:rFonts w:ascii="Times New Roman" w:hAnsi="Times New Roman" w:cs="Times New Roman"/>
          <w:sz w:val="28"/>
          <w:szCs w:val="28"/>
        </w:rPr>
        <w:t>Eglītis</w:t>
      </w:r>
    </w:p>
    <w:p w14:paraId="0D06E0A9" w14:textId="77777777" w:rsidR="002562E6" w:rsidRDefault="002562E6" w:rsidP="00737139">
      <w:pPr>
        <w:tabs>
          <w:tab w:val="left" w:pos="6237"/>
        </w:tabs>
        <w:spacing w:after="0" w:line="240" w:lineRule="auto"/>
        <w:contextualSpacing/>
        <w:rPr>
          <w:rFonts w:ascii="Times New Roman" w:hAnsi="Times New Roman" w:cs="Times New Roman"/>
          <w:sz w:val="20"/>
          <w:szCs w:val="20"/>
        </w:rPr>
      </w:pPr>
    </w:p>
    <w:p w14:paraId="09A2B675" w14:textId="77777777" w:rsidR="002562E6" w:rsidRDefault="002562E6" w:rsidP="00737139">
      <w:pPr>
        <w:tabs>
          <w:tab w:val="left" w:pos="6237"/>
        </w:tabs>
        <w:spacing w:after="0" w:line="240" w:lineRule="auto"/>
        <w:contextualSpacing/>
        <w:rPr>
          <w:rFonts w:ascii="Times New Roman" w:hAnsi="Times New Roman" w:cs="Times New Roman"/>
          <w:sz w:val="20"/>
          <w:szCs w:val="20"/>
        </w:rPr>
      </w:pPr>
    </w:p>
    <w:p w14:paraId="6BB2F380" w14:textId="77777777" w:rsidR="002562E6" w:rsidRDefault="002562E6" w:rsidP="00737139">
      <w:pPr>
        <w:tabs>
          <w:tab w:val="left" w:pos="6237"/>
        </w:tabs>
        <w:spacing w:after="0" w:line="240" w:lineRule="auto"/>
        <w:contextualSpacing/>
        <w:rPr>
          <w:rFonts w:ascii="Times New Roman" w:hAnsi="Times New Roman" w:cs="Times New Roman"/>
          <w:sz w:val="20"/>
          <w:szCs w:val="20"/>
        </w:rPr>
      </w:pPr>
    </w:p>
    <w:p w14:paraId="22050E03" w14:textId="423E50EA" w:rsidR="00D62A5A" w:rsidRPr="004D2C68" w:rsidRDefault="00D62A5A" w:rsidP="00737139">
      <w:pPr>
        <w:tabs>
          <w:tab w:val="left" w:pos="6237"/>
        </w:tabs>
        <w:spacing w:after="0" w:line="240" w:lineRule="auto"/>
        <w:contextualSpacing/>
        <w:rPr>
          <w:rFonts w:ascii="Times New Roman" w:hAnsi="Times New Roman" w:cs="Times New Roman"/>
          <w:sz w:val="20"/>
          <w:szCs w:val="20"/>
        </w:rPr>
      </w:pPr>
      <w:r w:rsidRPr="004D2C68">
        <w:rPr>
          <w:rFonts w:ascii="Times New Roman" w:hAnsi="Times New Roman" w:cs="Times New Roman"/>
          <w:sz w:val="20"/>
          <w:szCs w:val="20"/>
        </w:rPr>
        <w:t>Rimša, 67013244</w:t>
      </w:r>
    </w:p>
    <w:p w14:paraId="3C7B4974" w14:textId="17D42935" w:rsidR="00D62A5A" w:rsidRPr="004D2C68" w:rsidRDefault="00381D28" w:rsidP="00737139">
      <w:pPr>
        <w:tabs>
          <w:tab w:val="left" w:pos="6237"/>
        </w:tabs>
        <w:spacing w:after="0" w:line="240" w:lineRule="auto"/>
        <w:contextualSpacing/>
        <w:rPr>
          <w:rFonts w:ascii="Times New Roman" w:hAnsi="Times New Roman" w:cs="Times New Roman"/>
          <w:sz w:val="20"/>
          <w:szCs w:val="20"/>
        </w:rPr>
      </w:pPr>
      <w:hyperlink r:id="rId9" w:history="1">
        <w:r w:rsidR="00D62A5A" w:rsidRPr="004D2C68">
          <w:rPr>
            <w:rStyle w:val="Hyperlink"/>
            <w:rFonts w:ascii="Times New Roman" w:hAnsi="Times New Roman" w:cs="Times New Roman"/>
            <w:sz w:val="20"/>
            <w:szCs w:val="20"/>
          </w:rPr>
          <w:t>Helena.Rimsa@em.gov.lv</w:t>
        </w:r>
      </w:hyperlink>
      <w:r w:rsidR="00D62A5A" w:rsidRPr="004D2C68">
        <w:rPr>
          <w:rFonts w:ascii="Times New Roman" w:hAnsi="Times New Roman" w:cs="Times New Roman"/>
          <w:sz w:val="20"/>
          <w:szCs w:val="20"/>
        </w:rPr>
        <w:t xml:space="preserve"> </w:t>
      </w:r>
    </w:p>
    <w:sectPr w:rsidR="00D62A5A" w:rsidRPr="004D2C6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4627" w14:textId="77777777" w:rsidR="0063344F" w:rsidRDefault="0063344F">
      <w:pPr>
        <w:spacing w:after="0" w:line="240" w:lineRule="auto"/>
      </w:pPr>
      <w:r>
        <w:separator/>
      </w:r>
    </w:p>
  </w:endnote>
  <w:endnote w:type="continuationSeparator" w:id="0">
    <w:p w14:paraId="731AAAAE" w14:textId="77777777" w:rsidR="0063344F" w:rsidRDefault="0063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95F6" w14:textId="102AD55B" w:rsidR="00585F2C" w:rsidRPr="0053013E" w:rsidRDefault="00585F2C" w:rsidP="00B14A9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357E7">
      <w:rPr>
        <w:rFonts w:ascii="Times New Roman" w:hAnsi="Times New Roman" w:cs="Times New Roman"/>
        <w:noProof/>
        <w:sz w:val="20"/>
        <w:szCs w:val="20"/>
      </w:rPr>
      <w:t>EMAnot_190619_Groz597.docx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8376" w14:textId="1F6EEE6A" w:rsidR="00585F2C" w:rsidRPr="009A2654" w:rsidRDefault="00585F2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357E7">
      <w:rPr>
        <w:rFonts w:ascii="Times New Roman" w:hAnsi="Times New Roman" w:cs="Times New Roman"/>
        <w:noProof/>
        <w:sz w:val="20"/>
        <w:szCs w:val="20"/>
      </w:rPr>
      <w:t>EMAnot_190619_Groz597.docx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A67A" w14:textId="77777777" w:rsidR="0063344F" w:rsidRDefault="0063344F">
      <w:pPr>
        <w:spacing w:after="0" w:line="240" w:lineRule="auto"/>
      </w:pPr>
      <w:r>
        <w:separator/>
      </w:r>
    </w:p>
  </w:footnote>
  <w:footnote w:type="continuationSeparator" w:id="0">
    <w:p w14:paraId="09962E46" w14:textId="77777777" w:rsidR="0063344F" w:rsidRDefault="0063344F">
      <w:pPr>
        <w:spacing w:after="0" w:line="240" w:lineRule="auto"/>
      </w:pPr>
      <w:r>
        <w:continuationSeparator/>
      </w:r>
    </w:p>
  </w:footnote>
  <w:footnote w:id="1">
    <w:p w14:paraId="5A37F1D3" w14:textId="3088E147" w:rsidR="00F5540F" w:rsidRPr="00482564" w:rsidRDefault="00F5540F">
      <w:pPr>
        <w:pStyle w:val="FootnoteText"/>
        <w:rPr>
          <w:rFonts w:ascii="Times New Roman" w:hAnsi="Times New Roman" w:cs="Times New Roman"/>
          <w:sz w:val="18"/>
          <w:szCs w:val="18"/>
        </w:rPr>
      </w:pPr>
      <w:r w:rsidRPr="00482564">
        <w:rPr>
          <w:rStyle w:val="FootnoteReference"/>
          <w:rFonts w:ascii="Times New Roman" w:hAnsi="Times New Roman" w:cs="Times New Roman"/>
          <w:sz w:val="18"/>
          <w:szCs w:val="18"/>
        </w:rPr>
        <w:footnoteRef/>
      </w:r>
      <w:r w:rsidRPr="00482564">
        <w:rPr>
          <w:rFonts w:ascii="Times New Roman" w:hAnsi="Times New Roman" w:cs="Times New Roman"/>
          <w:sz w:val="18"/>
          <w:szCs w:val="18"/>
        </w:rPr>
        <w:t xml:space="preserve"> Eiropas Parlamenta un Padomes 2009.gada 13.oktobra Direktīva Nr.98/70/EK, kas attiecas uz benzīna un dīzeļdegvielu kvalitāti un ar ko groza Padomes Direktīvu 93/12/EEK</w:t>
      </w:r>
    </w:p>
  </w:footnote>
  <w:footnote w:id="2">
    <w:p w14:paraId="1F547618" w14:textId="1F36FA2C" w:rsidR="00F5540F" w:rsidRPr="00482564" w:rsidRDefault="00F5540F">
      <w:pPr>
        <w:pStyle w:val="FootnoteText"/>
        <w:rPr>
          <w:rFonts w:ascii="Times New Roman" w:hAnsi="Times New Roman" w:cs="Times New Roman"/>
          <w:sz w:val="18"/>
          <w:szCs w:val="18"/>
        </w:rPr>
      </w:pPr>
      <w:r w:rsidRPr="00482564">
        <w:rPr>
          <w:rStyle w:val="FootnoteReference"/>
          <w:rFonts w:ascii="Times New Roman" w:hAnsi="Times New Roman" w:cs="Times New Roman"/>
          <w:sz w:val="18"/>
          <w:szCs w:val="18"/>
        </w:rPr>
        <w:footnoteRef/>
      </w:r>
      <w:r w:rsidRPr="00482564">
        <w:rPr>
          <w:rFonts w:ascii="Times New Roman" w:hAnsi="Times New Roman" w:cs="Times New Roman"/>
          <w:sz w:val="18"/>
          <w:szCs w:val="18"/>
        </w:rPr>
        <w:t xml:space="preserve"> Padomes 2015.gada 20.aprīļa Direktīva Nr.2015/652, ar ko nosaka aprēķina metodes un ziņošanas prasības, ievērojot Eiropas Parlamenta un Padomes Direktīvu 98/70/EK, attiecībā uz benzīna un dīzeļdegvielu kvalitāti</w:t>
      </w:r>
    </w:p>
  </w:footnote>
  <w:footnote w:id="3">
    <w:p w14:paraId="5B0F44BD" w14:textId="175F5FE5" w:rsidR="00F5540F" w:rsidRPr="00482564" w:rsidRDefault="00F5540F">
      <w:pPr>
        <w:pStyle w:val="FootnoteText"/>
        <w:rPr>
          <w:rFonts w:ascii="Times New Roman" w:hAnsi="Times New Roman" w:cs="Times New Roman"/>
          <w:sz w:val="18"/>
          <w:szCs w:val="18"/>
        </w:rPr>
      </w:pPr>
      <w:r w:rsidRPr="00482564">
        <w:rPr>
          <w:rStyle w:val="FootnoteReference"/>
          <w:rFonts w:ascii="Times New Roman" w:hAnsi="Times New Roman" w:cs="Times New Roman"/>
          <w:sz w:val="18"/>
          <w:szCs w:val="18"/>
        </w:rPr>
        <w:footnoteRef/>
      </w:r>
      <w:r w:rsidRPr="00482564">
        <w:rPr>
          <w:rFonts w:ascii="Times New Roman" w:hAnsi="Times New Roman" w:cs="Times New Roman"/>
          <w:sz w:val="18"/>
          <w:szCs w:val="18"/>
        </w:rPr>
        <w:t xml:space="preserve"> Eiropas Parlamenta un Padomes 2018.gada 11.decembra Regula Nr.2018/1999 par enerģētikas savienības un rīcības klimata politikas jomā pārvaldību un ar ko groza Eiropas Parlamenta un Padomes Regulas (EK) Nr.663/2009 un (EK) Nr.715/2009, Eiropas Parlamenta un Padomes Direktīvas 94/22/EK, 98/70/EK, 2009/31/EK, 2009/73/EK, 2010/31/ES, 2012/27/ES un 2013/30/ES, Padomes Direktīvas 2009/119/EK un (ES) 2015/652 un atceļ Eiropas Parlamenta un Padomes Regulu (ES) Nr.525/2013</w:t>
      </w:r>
    </w:p>
  </w:footnote>
  <w:footnote w:id="4">
    <w:p w14:paraId="3B54A2CC" w14:textId="5645536C" w:rsidR="009C78DE" w:rsidRPr="009C78DE" w:rsidRDefault="009C78DE" w:rsidP="009C78DE">
      <w:pPr>
        <w:pStyle w:val="FootnoteText"/>
        <w:rPr>
          <w:rFonts w:ascii="Times New Roman" w:hAnsi="Times New Roman" w:cs="Times New Roman"/>
        </w:rPr>
      </w:pPr>
      <w:r w:rsidRPr="009C78DE">
        <w:rPr>
          <w:rStyle w:val="FootnoteReference"/>
          <w:rFonts w:ascii="Times New Roman" w:hAnsi="Times New Roman" w:cs="Times New Roman"/>
        </w:rPr>
        <w:footnoteRef/>
      </w:r>
      <w:r w:rsidRPr="009C78DE">
        <w:rPr>
          <w:rFonts w:ascii="Times New Roman" w:hAnsi="Times New Roman" w:cs="Times New Roman"/>
        </w:rPr>
        <w:t xml:space="preserve"> Eiropas Parlamenta un Padomes 2018.gada 11.decemba direktīva Nr.2018/2001 par no atjaunojamajiem energoresursiem iegūtas enerģijas izmantošanas veicināšanu (pārstrādāta redakcija)</w:t>
      </w:r>
    </w:p>
  </w:footnote>
  <w:footnote w:id="5">
    <w:p w14:paraId="546F4B45" w14:textId="08642CAD" w:rsidR="00605E27" w:rsidRPr="00605E27" w:rsidRDefault="00605E27">
      <w:pPr>
        <w:pStyle w:val="FootnoteText"/>
        <w:rPr>
          <w:rFonts w:ascii="Times New Roman" w:hAnsi="Times New Roman" w:cs="Times New Roman"/>
        </w:rPr>
      </w:pPr>
      <w:r w:rsidRPr="00605E27">
        <w:rPr>
          <w:rStyle w:val="FootnoteReference"/>
          <w:rFonts w:ascii="Times New Roman" w:hAnsi="Times New Roman" w:cs="Times New Roman"/>
        </w:rPr>
        <w:footnoteRef/>
      </w:r>
      <w:r w:rsidRPr="00605E27">
        <w:rPr>
          <w:rFonts w:ascii="Times New Roman" w:hAnsi="Times New Roman" w:cs="Times New Roman"/>
        </w:rPr>
        <w:t xml:space="preserve"> </w:t>
      </w:r>
      <w:hyperlink r:id="rId1" w:history="1">
        <w:r w:rsidRPr="00605E27">
          <w:rPr>
            <w:rStyle w:val="Hyperlink"/>
            <w:rFonts w:ascii="Times New Roman" w:hAnsi="Times New Roman" w:cs="Times New Roman"/>
          </w:rPr>
          <w:t>https://em.gov.lv/lv/par_ministriju/sabiedribas_lidzdaliba/diskusiju_dokumenti/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09700"/>
      <w:docPartObj>
        <w:docPartGallery w:val="Page Numbers (Top of Page)"/>
        <w:docPartUnique/>
      </w:docPartObj>
    </w:sdtPr>
    <w:sdtEndPr>
      <w:rPr>
        <w:rFonts w:ascii="Times New Roman" w:hAnsi="Times New Roman" w:cs="Times New Roman"/>
        <w:noProof/>
        <w:sz w:val="20"/>
        <w:szCs w:val="20"/>
      </w:rPr>
    </w:sdtEndPr>
    <w:sdtContent>
      <w:p w14:paraId="532D6AE1" w14:textId="6734731F" w:rsidR="00585F2C" w:rsidRPr="00502384" w:rsidRDefault="00585F2C">
        <w:pPr>
          <w:pStyle w:val="Header"/>
          <w:jc w:val="center"/>
          <w:rPr>
            <w:rFonts w:ascii="Times New Roman" w:hAnsi="Times New Roman" w:cs="Times New Roman"/>
            <w:sz w:val="20"/>
            <w:szCs w:val="20"/>
          </w:rPr>
        </w:pPr>
        <w:r w:rsidRPr="00502384">
          <w:rPr>
            <w:rFonts w:ascii="Times New Roman" w:hAnsi="Times New Roman" w:cs="Times New Roman"/>
            <w:sz w:val="20"/>
            <w:szCs w:val="20"/>
          </w:rPr>
          <w:fldChar w:fldCharType="begin"/>
        </w:r>
        <w:r w:rsidRPr="00502384">
          <w:rPr>
            <w:rFonts w:ascii="Times New Roman" w:hAnsi="Times New Roman" w:cs="Times New Roman"/>
            <w:sz w:val="20"/>
            <w:szCs w:val="20"/>
          </w:rPr>
          <w:instrText xml:space="preserve"> PAGE   \* MERGEFORMAT </w:instrText>
        </w:r>
        <w:r w:rsidRPr="00502384">
          <w:rPr>
            <w:rFonts w:ascii="Times New Roman" w:hAnsi="Times New Roman" w:cs="Times New Roman"/>
            <w:sz w:val="20"/>
            <w:szCs w:val="20"/>
          </w:rPr>
          <w:fldChar w:fldCharType="separate"/>
        </w:r>
        <w:r w:rsidRPr="00502384">
          <w:rPr>
            <w:rFonts w:ascii="Times New Roman" w:hAnsi="Times New Roman" w:cs="Times New Roman"/>
            <w:noProof/>
            <w:sz w:val="20"/>
            <w:szCs w:val="20"/>
          </w:rPr>
          <w:t>7</w:t>
        </w:r>
        <w:r w:rsidRPr="0050238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9B"/>
    <w:multiLevelType w:val="hybridMultilevel"/>
    <w:tmpl w:val="E1589BE2"/>
    <w:lvl w:ilvl="0" w:tplc="0EDA416E">
      <w:start w:val="2018"/>
      <w:numFmt w:val="bullet"/>
      <w:lvlText w:val="-"/>
      <w:lvlJc w:val="left"/>
      <w:pPr>
        <w:ind w:left="1429" w:hanging="360"/>
      </w:pPr>
      <w:rPr>
        <w:rFonts w:ascii="Times New Roman" w:eastAsiaTheme="minorHAnsi"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3490759"/>
    <w:multiLevelType w:val="hybridMultilevel"/>
    <w:tmpl w:val="83E09492"/>
    <w:lvl w:ilvl="0" w:tplc="0EDA416E">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642927"/>
    <w:multiLevelType w:val="hybridMultilevel"/>
    <w:tmpl w:val="D7B6E212"/>
    <w:lvl w:ilvl="0" w:tplc="0EDA416E">
      <w:start w:val="2018"/>
      <w:numFmt w:val="bullet"/>
      <w:lvlText w:val="-"/>
      <w:lvlJc w:val="left"/>
      <w:pPr>
        <w:ind w:left="1429" w:hanging="360"/>
      </w:pPr>
      <w:rPr>
        <w:rFonts w:ascii="Times New Roman" w:eastAsiaTheme="minorHAnsi"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4B320DEE"/>
    <w:multiLevelType w:val="hybridMultilevel"/>
    <w:tmpl w:val="36A013B0"/>
    <w:lvl w:ilvl="0" w:tplc="0EDA416E">
      <w:start w:val="2018"/>
      <w:numFmt w:val="bullet"/>
      <w:lvlText w:val="-"/>
      <w:lvlJc w:val="left"/>
      <w:pPr>
        <w:ind w:left="770" w:hanging="360"/>
      </w:pPr>
      <w:rPr>
        <w:rFonts w:ascii="Times New Roman" w:eastAsiaTheme="minorHAnsi"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 w15:restartNumberingAfterBreak="1">
    <w:nsid w:val="5A3F7A07"/>
    <w:multiLevelType w:val="hybridMultilevel"/>
    <w:tmpl w:val="A552BFFA"/>
    <w:lvl w:ilvl="0" w:tplc="C08EAAFE">
      <w:start w:val="1"/>
      <w:numFmt w:val="decimal"/>
      <w:lvlText w:val="%1."/>
      <w:lvlJc w:val="left"/>
      <w:pPr>
        <w:ind w:left="720" w:hanging="360"/>
      </w:pPr>
      <w:rPr>
        <w:rFonts w:hint="default"/>
      </w:rPr>
    </w:lvl>
    <w:lvl w:ilvl="1" w:tplc="5DBC54FC" w:tentative="1">
      <w:start w:val="1"/>
      <w:numFmt w:val="lowerLetter"/>
      <w:lvlText w:val="%2."/>
      <w:lvlJc w:val="left"/>
      <w:pPr>
        <w:ind w:left="1440" w:hanging="360"/>
      </w:pPr>
    </w:lvl>
    <w:lvl w:ilvl="2" w:tplc="E37A8344" w:tentative="1">
      <w:start w:val="1"/>
      <w:numFmt w:val="lowerRoman"/>
      <w:lvlText w:val="%3."/>
      <w:lvlJc w:val="right"/>
      <w:pPr>
        <w:ind w:left="2160" w:hanging="180"/>
      </w:pPr>
    </w:lvl>
    <w:lvl w:ilvl="3" w:tplc="6B0C19D2" w:tentative="1">
      <w:start w:val="1"/>
      <w:numFmt w:val="decimal"/>
      <w:lvlText w:val="%4."/>
      <w:lvlJc w:val="left"/>
      <w:pPr>
        <w:ind w:left="2880" w:hanging="360"/>
      </w:pPr>
    </w:lvl>
    <w:lvl w:ilvl="4" w:tplc="104C8A82" w:tentative="1">
      <w:start w:val="1"/>
      <w:numFmt w:val="lowerLetter"/>
      <w:lvlText w:val="%5."/>
      <w:lvlJc w:val="left"/>
      <w:pPr>
        <w:ind w:left="3600" w:hanging="360"/>
      </w:pPr>
    </w:lvl>
    <w:lvl w:ilvl="5" w:tplc="2DA2FA9E" w:tentative="1">
      <w:start w:val="1"/>
      <w:numFmt w:val="lowerRoman"/>
      <w:lvlText w:val="%6."/>
      <w:lvlJc w:val="right"/>
      <w:pPr>
        <w:ind w:left="4320" w:hanging="180"/>
      </w:pPr>
    </w:lvl>
    <w:lvl w:ilvl="6" w:tplc="3C60A6C6" w:tentative="1">
      <w:start w:val="1"/>
      <w:numFmt w:val="decimal"/>
      <w:lvlText w:val="%7."/>
      <w:lvlJc w:val="left"/>
      <w:pPr>
        <w:ind w:left="5040" w:hanging="360"/>
      </w:pPr>
    </w:lvl>
    <w:lvl w:ilvl="7" w:tplc="8090BB14" w:tentative="1">
      <w:start w:val="1"/>
      <w:numFmt w:val="lowerLetter"/>
      <w:lvlText w:val="%8."/>
      <w:lvlJc w:val="left"/>
      <w:pPr>
        <w:ind w:left="5760" w:hanging="360"/>
      </w:pPr>
    </w:lvl>
    <w:lvl w:ilvl="8" w:tplc="7C1A65BE" w:tentative="1">
      <w:start w:val="1"/>
      <w:numFmt w:val="lowerRoman"/>
      <w:lvlText w:val="%9."/>
      <w:lvlJc w:val="right"/>
      <w:pPr>
        <w:ind w:left="6480" w:hanging="180"/>
      </w:pPr>
    </w:lvl>
  </w:abstractNum>
  <w:abstractNum w:abstractNumId="5" w15:restartNumberingAfterBreak="0">
    <w:nsid w:val="5F313806"/>
    <w:multiLevelType w:val="hybridMultilevel"/>
    <w:tmpl w:val="4DE84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9E5EFB"/>
    <w:multiLevelType w:val="hybridMultilevel"/>
    <w:tmpl w:val="07FA7F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17"/>
    <w:rsid w:val="000122F6"/>
    <w:rsid w:val="00014F1A"/>
    <w:rsid w:val="000219C4"/>
    <w:rsid w:val="0002501F"/>
    <w:rsid w:val="00027DC9"/>
    <w:rsid w:val="000315E2"/>
    <w:rsid w:val="00035EC9"/>
    <w:rsid w:val="000408B3"/>
    <w:rsid w:val="00040C19"/>
    <w:rsid w:val="000439D6"/>
    <w:rsid w:val="00043D10"/>
    <w:rsid w:val="00057801"/>
    <w:rsid w:val="000621E9"/>
    <w:rsid w:val="00071DFF"/>
    <w:rsid w:val="00073BD8"/>
    <w:rsid w:val="00077F00"/>
    <w:rsid w:val="00092DC5"/>
    <w:rsid w:val="000A2DB6"/>
    <w:rsid w:val="000A4DA8"/>
    <w:rsid w:val="000B54DC"/>
    <w:rsid w:val="000B673B"/>
    <w:rsid w:val="000C149D"/>
    <w:rsid w:val="000C2883"/>
    <w:rsid w:val="000C45C0"/>
    <w:rsid w:val="000C4B1D"/>
    <w:rsid w:val="000C5856"/>
    <w:rsid w:val="000D1855"/>
    <w:rsid w:val="000D488D"/>
    <w:rsid w:val="000D51EF"/>
    <w:rsid w:val="000E321A"/>
    <w:rsid w:val="000E478D"/>
    <w:rsid w:val="000E4C8A"/>
    <w:rsid w:val="000E4F88"/>
    <w:rsid w:val="000F17BB"/>
    <w:rsid w:val="000F356E"/>
    <w:rsid w:val="000F44F7"/>
    <w:rsid w:val="000F51EE"/>
    <w:rsid w:val="000F7778"/>
    <w:rsid w:val="0010042C"/>
    <w:rsid w:val="00100CD6"/>
    <w:rsid w:val="00103DE5"/>
    <w:rsid w:val="001071A6"/>
    <w:rsid w:val="001121AE"/>
    <w:rsid w:val="00125D49"/>
    <w:rsid w:val="0013136E"/>
    <w:rsid w:val="00131B42"/>
    <w:rsid w:val="00135351"/>
    <w:rsid w:val="0014012E"/>
    <w:rsid w:val="00142735"/>
    <w:rsid w:val="00150873"/>
    <w:rsid w:val="00154BE9"/>
    <w:rsid w:val="00166F36"/>
    <w:rsid w:val="0016709D"/>
    <w:rsid w:val="001738B2"/>
    <w:rsid w:val="001762EE"/>
    <w:rsid w:val="00180B04"/>
    <w:rsid w:val="00184EF4"/>
    <w:rsid w:val="001852F0"/>
    <w:rsid w:val="001C5009"/>
    <w:rsid w:val="001D05CE"/>
    <w:rsid w:val="001D6250"/>
    <w:rsid w:val="001D779B"/>
    <w:rsid w:val="001E1286"/>
    <w:rsid w:val="001E3B33"/>
    <w:rsid w:val="001F14D5"/>
    <w:rsid w:val="00202569"/>
    <w:rsid w:val="00204E7C"/>
    <w:rsid w:val="00205B4A"/>
    <w:rsid w:val="00215644"/>
    <w:rsid w:val="00215896"/>
    <w:rsid w:val="00215BBE"/>
    <w:rsid w:val="0022185A"/>
    <w:rsid w:val="002258BA"/>
    <w:rsid w:val="00234474"/>
    <w:rsid w:val="0023793D"/>
    <w:rsid w:val="002405D2"/>
    <w:rsid w:val="00241CC4"/>
    <w:rsid w:val="002429F1"/>
    <w:rsid w:val="00243426"/>
    <w:rsid w:val="002438DB"/>
    <w:rsid w:val="0025603D"/>
    <w:rsid w:val="002562E6"/>
    <w:rsid w:val="00256555"/>
    <w:rsid w:val="00261471"/>
    <w:rsid w:val="0026472F"/>
    <w:rsid w:val="00265BB6"/>
    <w:rsid w:val="002755E6"/>
    <w:rsid w:val="00280EEE"/>
    <w:rsid w:val="00283431"/>
    <w:rsid w:val="002A347D"/>
    <w:rsid w:val="002A360D"/>
    <w:rsid w:val="002A37BB"/>
    <w:rsid w:val="002A4D9D"/>
    <w:rsid w:val="002B643D"/>
    <w:rsid w:val="002C1556"/>
    <w:rsid w:val="002C3AC3"/>
    <w:rsid w:val="002C62F6"/>
    <w:rsid w:val="002D2B97"/>
    <w:rsid w:val="002D3DE4"/>
    <w:rsid w:val="002D5617"/>
    <w:rsid w:val="002E0D27"/>
    <w:rsid w:val="002E1C05"/>
    <w:rsid w:val="002E72F4"/>
    <w:rsid w:val="00303025"/>
    <w:rsid w:val="00304B0F"/>
    <w:rsid w:val="003050E4"/>
    <w:rsid w:val="0031285A"/>
    <w:rsid w:val="0031420D"/>
    <w:rsid w:val="00321938"/>
    <w:rsid w:val="003249A5"/>
    <w:rsid w:val="00342D63"/>
    <w:rsid w:val="003530B2"/>
    <w:rsid w:val="00366667"/>
    <w:rsid w:val="00367B5F"/>
    <w:rsid w:val="003707D0"/>
    <w:rsid w:val="00374936"/>
    <w:rsid w:val="00381D28"/>
    <w:rsid w:val="003906ED"/>
    <w:rsid w:val="003914EA"/>
    <w:rsid w:val="00393FB4"/>
    <w:rsid w:val="00394559"/>
    <w:rsid w:val="0039486C"/>
    <w:rsid w:val="00395687"/>
    <w:rsid w:val="00396BA3"/>
    <w:rsid w:val="003A12C6"/>
    <w:rsid w:val="003A1315"/>
    <w:rsid w:val="003A5222"/>
    <w:rsid w:val="003B0BF9"/>
    <w:rsid w:val="003B34DA"/>
    <w:rsid w:val="003B7290"/>
    <w:rsid w:val="003C2B88"/>
    <w:rsid w:val="003E0791"/>
    <w:rsid w:val="003E5BB5"/>
    <w:rsid w:val="003E6616"/>
    <w:rsid w:val="003F1615"/>
    <w:rsid w:val="003F28AC"/>
    <w:rsid w:val="003F3878"/>
    <w:rsid w:val="004063FD"/>
    <w:rsid w:val="00407967"/>
    <w:rsid w:val="00417E92"/>
    <w:rsid w:val="0042051F"/>
    <w:rsid w:val="00420EA5"/>
    <w:rsid w:val="00423731"/>
    <w:rsid w:val="00427369"/>
    <w:rsid w:val="004274B8"/>
    <w:rsid w:val="004307AF"/>
    <w:rsid w:val="0043556B"/>
    <w:rsid w:val="00440381"/>
    <w:rsid w:val="00440662"/>
    <w:rsid w:val="00442EAA"/>
    <w:rsid w:val="004454FE"/>
    <w:rsid w:val="0045034F"/>
    <w:rsid w:val="00452E5A"/>
    <w:rsid w:val="00456E40"/>
    <w:rsid w:val="00461A63"/>
    <w:rsid w:val="00471F27"/>
    <w:rsid w:val="00471FC3"/>
    <w:rsid w:val="004819FC"/>
    <w:rsid w:val="00482564"/>
    <w:rsid w:val="004877D2"/>
    <w:rsid w:val="00490BC4"/>
    <w:rsid w:val="00492359"/>
    <w:rsid w:val="0049266D"/>
    <w:rsid w:val="004934DE"/>
    <w:rsid w:val="004A3B03"/>
    <w:rsid w:val="004A5A69"/>
    <w:rsid w:val="004B31F1"/>
    <w:rsid w:val="004B7786"/>
    <w:rsid w:val="004C1FE1"/>
    <w:rsid w:val="004C3CB3"/>
    <w:rsid w:val="004D2C68"/>
    <w:rsid w:val="004E08C1"/>
    <w:rsid w:val="004E2126"/>
    <w:rsid w:val="0050178F"/>
    <w:rsid w:val="00502384"/>
    <w:rsid w:val="00505A1F"/>
    <w:rsid w:val="005111D0"/>
    <w:rsid w:val="00513882"/>
    <w:rsid w:val="00515458"/>
    <w:rsid w:val="00517162"/>
    <w:rsid w:val="00517F72"/>
    <w:rsid w:val="00526465"/>
    <w:rsid w:val="00527BE8"/>
    <w:rsid w:val="0053013E"/>
    <w:rsid w:val="00533476"/>
    <w:rsid w:val="00534693"/>
    <w:rsid w:val="005401D2"/>
    <w:rsid w:val="00551FF8"/>
    <w:rsid w:val="00552EE5"/>
    <w:rsid w:val="00553A17"/>
    <w:rsid w:val="005545A4"/>
    <w:rsid w:val="005578C4"/>
    <w:rsid w:val="00566AF1"/>
    <w:rsid w:val="00567A75"/>
    <w:rsid w:val="005702CA"/>
    <w:rsid w:val="005704E0"/>
    <w:rsid w:val="00573536"/>
    <w:rsid w:val="00585F2C"/>
    <w:rsid w:val="005862D0"/>
    <w:rsid w:val="00596234"/>
    <w:rsid w:val="005A3ACA"/>
    <w:rsid w:val="005A5C7D"/>
    <w:rsid w:val="005B0046"/>
    <w:rsid w:val="005B3BE9"/>
    <w:rsid w:val="005C1EB7"/>
    <w:rsid w:val="005C2677"/>
    <w:rsid w:val="005C3317"/>
    <w:rsid w:val="005C3809"/>
    <w:rsid w:val="005C789E"/>
    <w:rsid w:val="005D02A9"/>
    <w:rsid w:val="005D0EEC"/>
    <w:rsid w:val="005D1A4D"/>
    <w:rsid w:val="005D440C"/>
    <w:rsid w:val="005D444B"/>
    <w:rsid w:val="005D5293"/>
    <w:rsid w:val="005D620D"/>
    <w:rsid w:val="005D6B9A"/>
    <w:rsid w:val="005E454E"/>
    <w:rsid w:val="005E6B8D"/>
    <w:rsid w:val="005F1ADD"/>
    <w:rsid w:val="005F7E92"/>
    <w:rsid w:val="00604818"/>
    <w:rsid w:val="00605E27"/>
    <w:rsid w:val="00605FB4"/>
    <w:rsid w:val="00617B58"/>
    <w:rsid w:val="006203F8"/>
    <w:rsid w:val="00620B14"/>
    <w:rsid w:val="00620EDB"/>
    <w:rsid w:val="00624CE0"/>
    <w:rsid w:val="00630AAD"/>
    <w:rsid w:val="006319B7"/>
    <w:rsid w:val="0063274D"/>
    <w:rsid w:val="00633406"/>
    <w:rsid w:val="0063344F"/>
    <w:rsid w:val="00642714"/>
    <w:rsid w:val="00642FF6"/>
    <w:rsid w:val="0064436C"/>
    <w:rsid w:val="00646541"/>
    <w:rsid w:val="006505A8"/>
    <w:rsid w:val="00652168"/>
    <w:rsid w:val="00655AF3"/>
    <w:rsid w:val="00655F2C"/>
    <w:rsid w:val="00657D37"/>
    <w:rsid w:val="00660B4B"/>
    <w:rsid w:val="00661E0D"/>
    <w:rsid w:val="00667E81"/>
    <w:rsid w:val="00671A34"/>
    <w:rsid w:val="00672455"/>
    <w:rsid w:val="00673B0B"/>
    <w:rsid w:val="00675DF3"/>
    <w:rsid w:val="006809ED"/>
    <w:rsid w:val="0068100C"/>
    <w:rsid w:val="00683BBC"/>
    <w:rsid w:val="00692948"/>
    <w:rsid w:val="0069438B"/>
    <w:rsid w:val="006A2D81"/>
    <w:rsid w:val="006A7856"/>
    <w:rsid w:val="006B3583"/>
    <w:rsid w:val="006C6267"/>
    <w:rsid w:val="006D2865"/>
    <w:rsid w:val="006D7376"/>
    <w:rsid w:val="006E1081"/>
    <w:rsid w:val="006E2924"/>
    <w:rsid w:val="006E70DF"/>
    <w:rsid w:val="006E7CF0"/>
    <w:rsid w:val="006F49D0"/>
    <w:rsid w:val="006F7599"/>
    <w:rsid w:val="007007FB"/>
    <w:rsid w:val="00704B69"/>
    <w:rsid w:val="00712C21"/>
    <w:rsid w:val="007146DD"/>
    <w:rsid w:val="00720585"/>
    <w:rsid w:val="00723CE2"/>
    <w:rsid w:val="00733379"/>
    <w:rsid w:val="007357B7"/>
    <w:rsid w:val="007357E7"/>
    <w:rsid w:val="00737139"/>
    <w:rsid w:val="00737D8A"/>
    <w:rsid w:val="007456FD"/>
    <w:rsid w:val="00747770"/>
    <w:rsid w:val="00753A89"/>
    <w:rsid w:val="007560E5"/>
    <w:rsid w:val="007630D8"/>
    <w:rsid w:val="0076758B"/>
    <w:rsid w:val="0077205E"/>
    <w:rsid w:val="00773AF6"/>
    <w:rsid w:val="00773CA6"/>
    <w:rsid w:val="00774130"/>
    <w:rsid w:val="00775B68"/>
    <w:rsid w:val="00776273"/>
    <w:rsid w:val="007767C3"/>
    <w:rsid w:val="0078079D"/>
    <w:rsid w:val="007828E7"/>
    <w:rsid w:val="007829B0"/>
    <w:rsid w:val="00783980"/>
    <w:rsid w:val="00783A56"/>
    <w:rsid w:val="007877E2"/>
    <w:rsid w:val="00787E18"/>
    <w:rsid w:val="007915E8"/>
    <w:rsid w:val="007955E7"/>
    <w:rsid w:val="00795F71"/>
    <w:rsid w:val="00796248"/>
    <w:rsid w:val="007A0E14"/>
    <w:rsid w:val="007A1C65"/>
    <w:rsid w:val="007A5140"/>
    <w:rsid w:val="007B39EF"/>
    <w:rsid w:val="007B40A7"/>
    <w:rsid w:val="007B594D"/>
    <w:rsid w:val="007B5E97"/>
    <w:rsid w:val="007C48B0"/>
    <w:rsid w:val="007C6DB5"/>
    <w:rsid w:val="007D010A"/>
    <w:rsid w:val="007D2AE3"/>
    <w:rsid w:val="007D488B"/>
    <w:rsid w:val="007E57A0"/>
    <w:rsid w:val="007E5F7A"/>
    <w:rsid w:val="007E698B"/>
    <w:rsid w:val="007E73AB"/>
    <w:rsid w:val="007E7AB9"/>
    <w:rsid w:val="007F00ED"/>
    <w:rsid w:val="007F071A"/>
    <w:rsid w:val="007F27D4"/>
    <w:rsid w:val="007F4E68"/>
    <w:rsid w:val="007F5379"/>
    <w:rsid w:val="0080151D"/>
    <w:rsid w:val="00806D24"/>
    <w:rsid w:val="008105E5"/>
    <w:rsid w:val="00811C0C"/>
    <w:rsid w:val="00811CB3"/>
    <w:rsid w:val="00816C11"/>
    <w:rsid w:val="00832616"/>
    <w:rsid w:val="00845967"/>
    <w:rsid w:val="00847329"/>
    <w:rsid w:val="00853C1D"/>
    <w:rsid w:val="00853EAC"/>
    <w:rsid w:val="0086452E"/>
    <w:rsid w:val="00866633"/>
    <w:rsid w:val="00882A00"/>
    <w:rsid w:val="00883E54"/>
    <w:rsid w:val="00892B7B"/>
    <w:rsid w:val="00894C55"/>
    <w:rsid w:val="00897193"/>
    <w:rsid w:val="008A1BF8"/>
    <w:rsid w:val="008A1C81"/>
    <w:rsid w:val="008A7808"/>
    <w:rsid w:val="008A7E04"/>
    <w:rsid w:val="008B26A2"/>
    <w:rsid w:val="008B2E2F"/>
    <w:rsid w:val="008B5AEA"/>
    <w:rsid w:val="008B7B59"/>
    <w:rsid w:val="008C0775"/>
    <w:rsid w:val="008C0910"/>
    <w:rsid w:val="008C21C3"/>
    <w:rsid w:val="008C2E92"/>
    <w:rsid w:val="008D06E3"/>
    <w:rsid w:val="008D1610"/>
    <w:rsid w:val="008D5D4B"/>
    <w:rsid w:val="008D5D96"/>
    <w:rsid w:val="008E177E"/>
    <w:rsid w:val="008E4905"/>
    <w:rsid w:val="008E5FBC"/>
    <w:rsid w:val="008E79B5"/>
    <w:rsid w:val="00900022"/>
    <w:rsid w:val="00900686"/>
    <w:rsid w:val="00905793"/>
    <w:rsid w:val="0090626C"/>
    <w:rsid w:val="00907D3B"/>
    <w:rsid w:val="00913445"/>
    <w:rsid w:val="00916557"/>
    <w:rsid w:val="00917C3E"/>
    <w:rsid w:val="00922207"/>
    <w:rsid w:val="00923556"/>
    <w:rsid w:val="009314CC"/>
    <w:rsid w:val="00932841"/>
    <w:rsid w:val="00936123"/>
    <w:rsid w:val="009417DF"/>
    <w:rsid w:val="009455AA"/>
    <w:rsid w:val="009518A8"/>
    <w:rsid w:val="009659A6"/>
    <w:rsid w:val="0098205C"/>
    <w:rsid w:val="00982EFA"/>
    <w:rsid w:val="009853B7"/>
    <w:rsid w:val="00985D8A"/>
    <w:rsid w:val="00987373"/>
    <w:rsid w:val="0099570B"/>
    <w:rsid w:val="00996D32"/>
    <w:rsid w:val="009A1C7C"/>
    <w:rsid w:val="009A2654"/>
    <w:rsid w:val="009A6742"/>
    <w:rsid w:val="009A75EB"/>
    <w:rsid w:val="009B03D4"/>
    <w:rsid w:val="009B47A2"/>
    <w:rsid w:val="009B5913"/>
    <w:rsid w:val="009C78DE"/>
    <w:rsid w:val="009D5F8E"/>
    <w:rsid w:val="009E3E85"/>
    <w:rsid w:val="009E6CDF"/>
    <w:rsid w:val="009E7AA1"/>
    <w:rsid w:val="009F6327"/>
    <w:rsid w:val="009F68C6"/>
    <w:rsid w:val="00A0062D"/>
    <w:rsid w:val="00A01C84"/>
    <w:rsid w:val="00A05092"/>
    <w:rsid w:val="00A05EDD"/>
    <w:rsid w:val="00A10FC3"/>
    <w:rsid w:val="00A11FFE"/>
    <w:rsid w:val="00A1222E"/>
    <w:rsid w:val="00A12C01"/>
    <w:rsid w:val="00A13562"/>
    <w:rsid w:val="00A13DD9"/>
    <w:rsid w:val="00A14D6F"/>
    <w:rsid w:val="00A15C8D"/>
    <w:rsid w:val="00A221D9"/>
    <w:rsid w:val="00A2332A"/>
    <w:rsid w:val="00A429BA"/>
    <w:rsid w:val="00A467CF"/>
    <w:rsid w:val="00A527E1"/>
    <w:rsid w:val="00A551F7"/>
    <w:rsid w:val="00A554E4"/>
    <w:rsid w:val="00A6073E"/>
    <w:rsid w:val="00A61424"/>
    <w:rsid w:val="00A62AFC"/>
    <w:rsid w:val="00A6468C"/>
    <w:rsid w:val="00A65F49"/>
    <w:rsid w:val="00A66278"/>
    <w:rsid w:val="00A736FA"/>
    <w:rsid w:val="00A76C37"/>
    <w:rsid w:val="00A76EE2"/>
    <w:rsid w:val="00A82886"/>
    <w:rsid w:val="00A85C5A"/>
    <w:rsid w:val="00A91306"/>
    <w:rsid w:val="00AA0398"/>
    <w:rsid w:val="00AA7189"/>
    <w:rsid w:val="00AA7374"/>
    <w:rsid w:val="00AB0595"/>
    <w:rsid w:val="00AC2B63"/>
    <w:rsid w:val="00AD76D4"/>
    <w:rsid w:val="00AD7858"/>
    <w:rsid w:val="00AE1E20"/>
    <w:rsid w:val="00AE5567"/>
    <w:rsid w:val="00AE57BB"/>
    <w:rsid w:val="00AE6C80"/>
    <w:rsid w:val="00AF1239"/>
    <w:rsid w:val="00AF24D0"/>
    <w:rsid w:val="00AF27B5"/>
    <w:rsid w:val="00AF3BF7"/>
    <w:rsid w:val="00AF4AF6"/>
    <w:rsid w:val="00AF5018"/>
    <w:rsid w:val="00AF69ED"/>
    <w:rsid w:val="00B01025"/>
    <w:rsid w:val="00B044DD"/>
    <w:rsid w:val="00B06B17"/>
    <w:rsid w:val="00B076EE"/>
    <w:rsid w:val="00B117B5"/>
    <w:rsid w:val="00B12C24"/>
    <w:rsid w:val="00B14A9F"/>
    <w:rsid w:val="00B14E14"/>
    <w:rsid w:val="00B16047"/>
    <w:rsid w:val="00B16480"/>
    <w:rsid w:val="00B2165C"/>
    <w:rsid w:val="00B32220"/>
    <w:rsid w:val="00B41AF3"/>
    <w:rsid w:val="00B46EE6"/>
    <w:rsid w:val="00B54D43"/>
    <w:rsid w:val="00B576A4"/>
    <w:rsid w:val="00B60183"/>
    <w:rsid w:val="00B7245E"/>
    <w:rsid w:val="00B801D8"/>
    <w:rsid w:val="00B80228"/>
    <w:rsid w:val="00B85BCD"/>
    <w:rsid w:val="00B92E65"/>
    <w:rsid w:val="00B949DB"/>
    <w:rsid w:val="00B96C7A"/>
    <w:rsid w:val="00BA20AA"/>
    <w:rsid w:val="00BA4D48"/>
    <w:rsid w:val="00BA787B"/>
    <w:rsid w:val="00BB425A"/>
    <w:rsid w:val="00BC0727"/>
    <w:rsid w:val="00BC3AF3"/>
    <w:rsid w:val="00BC49DC"/>
    <w:rsid w:val="00BC6E96"/>
    <w:rsid w:val="00BD40C3"/>
    <w:rsid w:val="00BD4425"/>
    <w:rsid w:val="00BD7636"/>
    <w:rsid w:val="00BD770C"/>
    <w:rsid w:val="00BD7FCF"/>
    <w:rsid w:val="00BE0231"/>
    <w:rsid w:val="00BF031C"/>
    <w:rsid w:val="00BF3E19"/>
    <w:rsid w:val="00BF43C5"/>
    <w:rsid w:val="00BF59E8"/>
    <w:rsid w:val="00BF5CED"/>
    <w:rsid w:val="00BF6825"/>
    <w:rsid w:val="00C023A5"/>
    <w:rsid w:val="00C12C03"/>
    <w:rsid w:val="00C14357"/>
    <w:rsid w:val="00C2182F"/>
    <w:rsid w:val="00C2570A"/>
    <w:rsid w:val="00C25B49"/>
    <w:rsid w:val="00C27573"/>
    <w:rsid w:val="00C35FD3"/>
    <w:rsid w:val="00C46CAD"/>
    <w:rsid w:val="00C54297"/>
    <w:rsid w:val="00C56935"/>
    <w:rsid w:val="00C67A82"/>
    <w:rsid w:val="00C73589"/>
    <w:rsid w:val="00C741D7"/>
    <w:rsid w:val="00C74808"/>
    <w:rsid w:val="00C85518"/>
    <w:rsid w:val="00C855C6"/>
    <w:rsid w:val="00C85763"/>
    <w:rsid w:val="00C8653D"/>
    <w:rsid w:val="00C866F0"/>
    <w:rsid w:val="00C86DDB"/>
    <w:rsid w:val="00C871AB"/>
    <w:rsid w:val="00C91CB6"/>
    <w:rsid w:val="00C92EBE"/>
    <w:rsid w:val="00C96CED"/>
    <w:rsid w:val="00CA1AD9"/>
    <w:rsid w:val="00CB5166"/>
    <w:rsid w:val="00CC0D2D"/>
    <w:rsid w:val="00CC3DB5"/>
    <w:rsid w:val="00CD0B3E"/>
    <w:rsid w:val="00CD0FC1"/>
    <w:rsid w:val="00CD278E"/>
    <w:rsid w:val="00CD2FF6"/>
    <w:rsid w:val="00CE5657"/>
    <w:rsid w:val="00CF2004"/>
    <w:rsid w:val="00CF6F36"/>
    <w:rsid w:val="00D06088"/>
    <w:rsid w:val="00D06255"/>
    <w:rsid w:val="00D133F8"/>
    <w:rsid w:val="00D14A3E"/>
    <w:rsid w:val="00D23399"/>
    <w:rsid w:val="00D4235B"/>
    <w:rsid w:val="00D512D5"/>
    <w:rsid w:val="00D53341"/>
    <w:rsid w:val="00D61868"/>
    <w:rsid w:val="00D62A5A"/>
    <w:rsid w:val="00D65332"/>
    <w:rsid w:val="00D654A9"/>
    <w:rsid w:val="00D67F50"/>
    <w:rsid w:val="00D81DF2"/>
    <w:rsid w:val="00D84BA7"/>
    <w:rsid w:val="00D9130B"/>
    <w:rsid w:val="00D91D02"/>
    <w:rsid w:val="00DA263E"/>
    <w:rsid w:val="00DA2700"/>
    <w:rsid w:val="00DA4CEE"/>
    <w:rsid w:val="00DA670A"/>
    <w:rsid w:val="00DB41EF"/>
    <w:rsid w:val="00DC27D5"/>
    <w:rsid w:val="00DC4EB2"/>
    <w:rsid w:val="00DD774B"/>
    <w:rsid w:val="00DE0A71"/>
    <w:rsid w:val="00DE724B"/>
    <w:rsid w:val="00DE7A86"/>
    <w:rsid w:val="00DF03C1"/>
    <w:rsid w:val="00DF0A4A"/>
    <w:rsid w:val="00DF5005"/>
    <w:rsid w:val="00E00F96"/>
    <w:rsid w:val="00E07682"/>
    <w:rsid w:val="00E07839"/>
    <w:rsid w:val="00E11590"/>
    <w:rsid w:val="00E11970"/>
    <w:rsid w:val="00E12B30"/>
    <w:rsid w:val="00E1349C"/>
    <w:rsid w:val="00E32BF3"/>
    <w:rsid w:val="00E35F53"/>
    <w:rsid w:val="00E3623B"/>
    <w:rsid w:val="00E3716B"/>
    <w:rsid w:val="00E405EB"/>
    <w:rsid w:val="00E43C5C"/>
    <w:rsid w:val="00E44ADF"/>
    <w:rsid w:val="00E45719"/>
    <w:rsid w:val="00E503E5"/>
    <w:rsid w:val="00E51371"/>
    <w:rsid w:val="00E518DC"/>
    <w:rsid w:val="00E5323B"/>
    <w:rsid w:val="00E5383B"/>
    <w:rsid w:val="00E54837"/>
    <w:rsid w:val="00E56DC6"/>
    <w:rsid w:val="00E61A95"/>
    <w:rsid w:val="00E63AD5"/>
    <w:rsid w:val="00E66DA1"/>
    <w:rsid w:val="00E74F4E"/>
    <w:rsid w:val="00E769C5"/>
    <w:rsid w:val="00E81008"/>
    <w:rsid w:val="00E81563"/>
    <w:rsid w:val="00E85685"/>
    <w:rsid w:val="00E86AFB"/>
    <w:rsid w:val="00E8749E"/>
    <w:rsid w:val="00E9075B"/>
    <w:rsid w:val="00E90C01"/>
    <w:rsid w:val="00E91184"/>
    <w:rsid w:val="00E92FCB"/>
    <w:rsid w:val="00E9567A"/>
    <w:rsid w:val="00E95D20"/>
    <w:rsid w:val="00EA295B"/>
    <w:rsid w:val="00EA2A68"/>
    <w:rsid w:val="00EA4617"/>
    <w:rsid w:val="00EA486E"/>
    <w:rsid w:val="00EA5097"/>
    <w:rsid w:val="00EA73D6"/>
    <w:rsid w:val="00EA7A43"/>
    <w:rsid w:val="00ED450E"/>
    <w:rsid w:val="00EE3800"/>
    <w:rsid w:val="00EE4656"/>
    <w:rsid w:val="00EF1759"/>
    <w:rsid w:val="00EF77D2"/>
    <w:rsid w:val="00F074B4"/>
    <w:rsid w:val="00F11256"/>
    <w:rsid w:val="00F15ED8"/>
    <w:rsid w:val="00F21C55"/>
    <w:rsid w:val="00F271B0"/>
    <w:rsid w:val="00F31C15"/>
    <w:rsid w:val="00F400EC"/>
    <w:rsid w:val="00F4021E"/>
    <w:rsid w:val="00F40991"/>
    <w:rsid w:val="00F43320"/>
    <w:rsid w:val="00F50132"/>
    <w:rsid w:val="00F5035F"/>
    <w:rsid w:val="00F50492"/>
    <w:rsid w:val="00F5331E"/>
    <w:rsid w:val="00F53656"/>
    <w:rsid w:val="00F5540F"/>
    <w:rsid w:val="00F57B0C"/>
    <w:rsid w:val="00F63411"/>
    <w:rsid w:val="00F74165"/>
    <w:rsid w:val="00F75D20"/>
    <w:rsid w:val="00F8612E"/>
    <w:rsid w:val="00F865CA"/>
    <w:rsid w:val="00F90C5E"/>
    <w:rsid w:val="00F95734"/>
    <w:rsid w:val="00F97F54"/>
    <w:rsid w:val="00FA4F7B"/>
    <w:rsid w:val="00FA5468"/>
    <w:rsid w:val="00FB2385"/>
    <w:rsid w:val="00FC5649"/>
    <w:rsid w:val="00FD2404"/>
    <w:rsid w:val="00FD6371"/>
    <w:rsid w:val="00FD76A5"/>
    <w:rsid w:val="00FE46D3"/>
    <w:rsid w:val="00FE49D3"/>
    <w:rsid w:val="00FF10C0"/>
    <w:rsid w:val="00FF1973"/>
    <w:rsid w:val="00FF2446"/>
    <w:rsid w:val="00FF5D4F"/>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2B45"/>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basedOn w:val="Normal"/>
    <w:link w:val="FootnoteTextChar"/>
    <w:uiPriority w:val="99"/>
    <w:semiHidden/>
    <w:unhideWhenUsed/>
    <w:rsid w:val="00125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49"/>
    <w:rPr>
      <w:sz w:val="20"/>
      <w:szCs w:val="20"/>
    </w:rPr>
  </w:style>
  <w:style w:type="character" w:styleId="FootnoteReference">
    <w:name w:val="footnote reference"/>
    <w:basedOn w:val="DefaultParagraphFont"/>
    <w:uiPriority w:val="99"/>
    <w:semiHidden/>
    <w:unhideWhenUsed/>
    <w:rsid w:val="00125D49"/>
    <w:rPr>
      <w:vertAlign w:val="superscript"/>
    </w:rPr>
  </w:style>
  <w:style w:type="character" w:styleId="UnresolvedMention">
    <w:name w:val="Unresolved Mention"/>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455">
      <w:bodyDiv w:val="1"/>
      <w:marLeft w:val="0"/>
      <w:marRight w:val="0"/>
      <w:marTop w:val="0"/>
      <w:marBottom w:val="0"/>
      <w:divBdr>
        <w:top w:val="none" w:sz="0" w:space="0" w:color="auto"/>
        <w:left w:val="none" w:sz="0" w:space="0" w:color="auto"/>
        <w:bottom w:val="none" w:sz="0" w:space="0" w:color="auto"/>
        <w:right w:val="none" w:sz="0" w:space="0" w:color="auto"/>
      </w:divBdr>
    </w:div>
    <w:div w:id="164983366">
      <w:bodyDiv w:val="1"/>
      <w:marLeft w:val="0"/>
      <w:marRight w:val="0"/>
      <w:marTop w:val="0"/>
      <w:marBottom w:val="0"/>
      <w:divBdr>
        <w:top w:val="none" w:sz="0" w:space="0" w:color="auto"/>
        <w:left w:val="none" w:sz="0" w:space="0" w:color="auto"/>
        <w:bottom w:val="none" w:sz="0" w:space="0" w:color="auto"/>
        <w:right w:val="none" w:sz="0" w:space="0" w:color="auto"/>
      </w:divBdr>
    </w:div>
    <w:div w:id="406269149">
      <w:bodyDiv w:val="1"/>
      <w:marLeft w:val="0"/>
      <w:marRight w:val="0"/>
      <w:marTop w:val="0"/>
      <w:marBottom w:val="0"/>
      <w:divBdr>
        <w:top w:val="none" w:sz="0" w:space="0" w:color="auto"/>
        <w:left w:val="none" w:sz="0" w:space="0" w:color="auto"/>
        <w:bottom w:val="none" w:sz="0" w:space="0" w:color="auto"/>
        <w:right w:val="none" w:sz="0" w:space="0" w:color="auto"/>
      </w:divBdr>
    </w:div>
    <w:div w:id="622426038">
      <w:bodyDiv w:val="1"/>
      <w:marLeft w:val="0"/>
      <w:marRight w:val="0"/>
      <w:marTop w:val="0"/>
      <w:marBottom w:val="0"/>
      <w:divBdr>
        <w:top w:val="none" w:sz="0" w:space="0" w:color="auto"/>
        <w:left w:val="none" w:sz="0" w:space="0" w:color="auto"/>
        <w:bottom w:val="none" w:sz="0" w:space="0" w:color="auto"/>
        <w:right w:val="none" w:sz="0" w:space="0" w:color="auto"/>
      </w:divBdr>
    </w:div>
    <w:div w:id="784235370">
      <w:bodyDiv w:val="1"/>
      <w:marLeft w:val="0"/>
      <w:marRight w:val="0"/>
      <w:marTop w:val="0"/>
      <w:marBottom w:val="0"/>
      <w:divBdr>
        <w:top w:val="none" w:sz="0" w:space="0" w:color="auto"/>
        <w:left w:val="none" w:sz="0" w:space="0" w:color="auto"/>
        <w:bottom w:val="none" w:sz="0" w:space="0" w:color="auto"/>
        <w:right w:val="none" w:sz="0" w:space="0" w:color="auto"/>
      </w:divBdr>
      <w:divsChild>
        <w:div w:id="1418479952">
          <w:marLeft w:val="0"/>
          <w:marRight w:val="0"/>
          <w:marTop w:val="240"/>
          <w:marBottom w:val="0"/>
          <w:divBdr>
            <w:top w:val="none" w:sz="0" w:space="0" w:color="auto"/>
            <w:left w:val="none" w:sz="0" w:space="0" w:color="auto"/>
            <w:bottom w:val="none" w:sz="0" w:space="0" w:color="auto"/>
            <w:right w:val="none" w:sz="0" w:space="0" w:color="auto"/>
          </w:divBdr>
        </w:div>
      </w:divsChild>
    </w:div>
    <w:div w:id="961231397">
      <w:bodyDiv w:val="1"/>
      <w:marLeft w:val="0"/>
      <w:marRight w:val="0"/>
      <w:marTop w:val="0"/>
      <w:marBottom w:val="0"/>
      <w:divBdr>
        <w:top w:val="none" w:sz="0" w:space="0" w:color="auto"/>
        <w:left w:val="none" w:sz="0" w:space="0" w:color="auto"/>
        <w:bottom w:val="none" w:sz="0" w:space="0" w:color="auto"/>
        <w:right w:val="none" w:sz="0" w:space="0" w:color="auto"/>
      </w:divBdr>
    </w:div>
    <w:div w:id="1510489653">
      <w:bodyDiv w:val="1"/>
      <w:marLeft w:val="0"/>
      <w:marRight w:val="0"/>
      <w:marTop w:val="0"/>
      <w:marBottom w:val="0"/>
      <w:divBdr>
        <w:top w:val="none" w:sz="0" w:space="0" w:color="auto"/>
        <w:left w:val="none" w:sz="0" w:space="0" w:color="auto"/>
        <w:bottom w:val="none" w:sz="0" w:space="0" w:color="auto"/>
        <w:right w:val="none" w:sz="0" w:space="0" w:color="auto"/>
      </w:divBdr>
    </w:div>
    <w:div w:id="1555004179">
      <w:bodyDiv w:val="1"/>
      <w:marLeft w:val="0"/>
      <w:marRight w:val="0"/>
      <w:marTop w:val="0"/>
      <w:marBottom w:val="0"/>
      <w:divBdr>
        <w:top w:val="none" w:sz="0" w:space="0" w:color="auto"/>
        <w:left w:val="none" w:sz="0" w:space="0" w:color="auto"/>
        <w:bottom w:val="none" w:sz="0" w:space="0" w:color="auto"/>
        <w:right w:val="none" w:sz="0" w:space="0" w:color="auto"/>
      </w:divBdr>
    </w:div>
    <w:div w:id="1636061919">
      <w:bodyDiv w:val="1"/>
      <w:marLeft w:val="0"/>
      <w:marRight w:val="0"/>
      <w:marTop w:val="0"/>
      <w:marBottom w:val="0"/>
      <w:divBdr>
        <w:top w:val="none" w:sz="0" w:space="0" w:color="auto"/>
        <w:left w:val="none" w:sz="0" w:space="0" w:color="auto"/>
        <w:bottom w:val="none" w:sz="0" w:space="0" w:color="auto"/>
        <w:right w:val="none" w:sz="0" w:space="0" w:color="auto"/>
      </w:divBdr>
    </w:div>
    <w:div w:id="18295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par_ministriju/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3564-DB69-4DCD-8EF8-958D3987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3044</Words>
  <Characters>21487</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25. septembra noteikumos Nr.597 “Transporta enerģijas aprites cikla siltumnīcefekta gāzu emisiju daudzuma un tā samazinājuma aprēķināšanas un ziņošanas kārtība”” projekta sākotnē</vt:lpstr>
    </vt:vector>
  </TitlesOfParts>
  <Manager>Helēna Rimša</Manager>
  <Company>Ekonomikas ministrija</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25. septembra noteikumos Nr.597 “Transporta enerģijas aprites cikla siltumnīcefekta gāzu emisiju daudzuma un tā samazinājuma aprēķināšanas un ziņošanas kārtība”” projekta sākotnējās ietekmes novērtējuma ziņojums</dc:title>
  <dc:subject>Ministru kabineta noteikumu projekta anotācija</dc:subject>
  <dc:creator>Helēna Rimša</dc:creator>
  <dc:description>67013244, Helena.Rimsa@em.gov.lv</dc:description>
  <cp:lastModifiedBy>Helēna Rimša</cp:lastModifiedBy>
  <cp:revision>3</cp:revision>
  <cp:lastPrinted>2018-06-07T11:47:00Z</cp:lastPrinted>
  <dcterms:created xsi:type="dcterms:W3CDTF">2019-06-28T09:54:00Z</dcterms:created>
  <dcterms:modified xsi:type="dcterms:W3CDTF">2019-06-28T09:56:00Z</dcterms:modified>
</cp:coreProperties>
</file>