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08C6" w14:textId="533A98D9" w:rsidR="000B45BB" w:rsidRDefault="00962954" w:rsidP="00BC129D">
      <w:pPr>
        <w:spacing w:before="120" w:after="120" w:line="240" w:lineRule="auto"/>
        <w:jc w:val="center"/>
        <w:rPr>
          <w:rFonts w:ascii="Times New Roman" w:hAnsi="Times New Roman"/>
          <w:b/>
          <w:sz w:val="28"/>
          <w:szCs w:val="27"/>
        </w:rPr>
      </w:pPr>
      <w:r w:rsidRPr="0048595C">
        <w:rPr>
          <w:rFonts w:ascii="Times New Roman" w:hAnsi="Times New Roman"/>
          <w:b/>
          <w:sz w:val="28"/>
          <w:szCs w:val="27"/>
        </w:rPr>
        <w:t xml:space="preserve">Informatīvais ziņojums </w:t>
      </w:r>
      <w:bookmarkStart w:id="0" w:name="_Hlk532340717"/>
      <w:bookmarkStart w:id="1" w:name="_Hlk531860692"/>
      <w:r w:rsidR="000B78D8" w:rsidRPr="0048595C">
        <w:rPr>
          <w:rFonts w:ascii="Times New Roman" w:hAnsi="Times New Roman"/>
          <w:b/>
          <w:sz w:val="28"/>
          <w:szCs w:val="27"/>
        </w:rPr>
        <w:br/>
      </w:r>
      <w:r w:rsidR="000B3767">
        <w:rPr>
          <w:rFonts w:ascii="Times New Roman" w:hAnsi="Times New Roman"/>
          <w:b/>
          <w:sz w:val="28"/>
          <w:szCs w:val="27"/>
        </w:rPr>
        <w:t>“P</w:t>
      </w:r>
      <w:r w:rsidR="00306C15" w:rsidRPr="0048595C">
        <w:rPr>
          <w:rFonts w:ascii="Times New Roman" w:hAnsi="Times New Roman"/>
          <w:b/>
          <w:sz w:val="28"/>
          <w:szCs w:val="27"/>
        </w:rPr>
        <w:t>ar</w:t>
      </w:r>
      <w:r w:rsidR="000B2DA0">
        <w:rPr>
          <w:rFonts w:ascii="Times New Roman" w:hAnsi="Times New Roman"/>
          <w:b/>
          <w:sz w:val="28"/>
          <w:szCs w:val="27"/>
        </w:rPr>
        <w:t xml:space="preserve"> risinājumiem</w:t>
      </w:r>
      <w:r w:rsidR="00306C15" w:rsidRPr="0048595C">
        <w:rPr>
          <w:rFonts w:ascii="Times New Roman" w:hAnsi="Times New Roman"/>
          <w:b/>
          <w:sz w:val="28"/>
          <w:szCs w:val="27"/>
        </w:rPr>
        <w:t xml:space="preserve"> elektroenerģijas obligātā iepirkuma komponentes </w:t>
      </w:r>
      <w:r w:rsidR="000B2DA0">
        <w:rPr>
          <w:rFonts w:ascii="Times New Roman" w:hAnsi="Times New Roman"/>
          <w:b/>
          <w:sz w:val="28"/>
          <w:szCs w:val="27"/>
        </w:rPr>
        <w:t xml:space="preserve">atcelšanai </w:t>
      </w:r>
      <w:r w:rsidR="00C00078">
        <w:rPr>
          <w:rFonts w:ascii="Times New Roman" w:hAnsi="Times New Roman"/>
          <w:b/>
          <w:sz w:val="28"/>
          <w:szCs w:val="27"/>
        </w:rPr>
        <w:t xml:space="preserve">un enerģētikas </w:t>
      </w:r>
      <w:r w:rsidR="00876023">
        <w:rPr>
          <w:rFonts w:ascii="Times New Roman" w:hAnsi="Times New Roman"/>
          <w:b/>
          <w:sz w:val="28"/>
          <w:szCs w:val="27"/>
        </w:rPr>
        <w:t>politikas īstenošanas</w:t>
      </w:r>
      <w:r w:rsidR="00C00078">
        <w:rPr>
          <w:rFonts w:ascii="Times New Roman" w:hAnsi="Times New Roman"/>
          <w:b/>
          <w:sz w:val="28"/>
          <w:szCs w:val="27"/>
        </w:rPr>
        <w:t xml:space="preserve"> funkcij</w:t>
      </w:r>
      <w:r w:rsidR="008060DE">
        <w:rPr>
          <w:rFonts w:ascii="Times New Roman" w:hAnsi="Times New Roman"/>
          <w:b/>
          <w:sz w:val="28"/>
          <w:szCs w:val="27"/>
        </w:rPr>
        <w:t>ām</w:t>
      </w:r>
      <w:bookmarkStart w:id="2" w:name="_Toc9244718"/>
      <w:bookmarkStart w:id="3" w:name="_Toc9253510"/>
      <w:bookmarkStart w:id="4" w:name="_Toc9253601"/>
      <w:bookmarkStart w:id="5" w:name="_Toc9267410"/>
      <w:r w:rsidR="000B3767">
        <w:rPr>
          <w:rFonts w:ascii="Times New Roman" w:hAnsi="Times New Roman"/>
          <w:b/>
          <w:sz w:val="28"/>
          <w:szCs w:val="27"/>
        </w:rPr>
        <w:t>”</w:t>
      </w:r>
    </w:p>
    <w:p w14:paraId="6583B389" w14:textId="77777777" w:rsidR="000B45BB" w:rsidRPr="000B45BB" w:rsidRDefault="000B45BB" w:rsidP="000B45BB">
      <w:pPr>
        <w:spacing w:before="120" w:after="120" w:line="240" w:lineRule="auto"/>
        <w:jc w:val="center"/>
        <w:rPr>
          <w:rFonts w:ascii="Times New Roman" w:hAnsi="Times New Roman"/>
          <w:b/>
          <w:sz w:val="28"/>
          <w:szCs w:val="27"/>
        </w:rPr>
      </w:pPr>
    </w:p>
    <w:p w14:paraId="7F9D3AFD" w14:textId="77777777" w:rsidR="000152DA" w:rsidRDefault="0048595C">
      <w:pPr>
        <w:pStyle w:val="TOC2"/>
        <w:rPr>
          <w:noProof/>
        </w:rPr>
      </w:pPr>
      <w:r w:rsidRPr="00B37A61">
        <w:rPr>
          <w:b/>
          <w:bCs/>
        </w:rPr>
        <w:t>Saturs</w:t>
      </w:r>
      <w:bookmarkEnd w:id="2"/>
      <w:bookmarkEnd w:id="3"/>
      <w:bookmarkEnd w:id="4"/>
      <w:bookmarkEnd w:id="5"/>
      <w:r w:rsidR="00876023" w:rsidRPr="008060DE">
        <w:rPr>
          <w:b/>
          <w:bCs/>
          <w:sz w:val="26"/>
          <w:szCs w:val="26"/>
        </w:rPr>
        <w:fldChar w:fldCharType="begin"/>
      </w:r>
      <w:r w:rsidR="00876023" w:rsidRPr="00B37A61">
        <w:rPr>
          <w:b/>
          <w:bCs/>
          <w:sz w:val="26"/>
          <w:szCs w:val="26"/>
        </w:rPr>
        <w:instrText xml:space="preserve"> TOC \h \z \t "Heading 1;2;Nodaļas;1" </w:instrText>
      </w:r>
      <w:r w:rsidR="00876023" w:rsidRPr="008060DE">
        <w:rPr>
          <w:b/>
          <w:bCs/>
          <w:sz w:val="26"/>
          <w:szCs w:val="26"/>
        </w:rPr>
        <w:fldChar w:fldCharType="separate"/>
      </w:r>
    </w:p>
    <w:p w14:paraId="143DDC91" w14:textId="683A0C61" w:rsidR="000152DA" w:rsidRDefault="001E598C">
      <w:pPr>
        <w:pStyle w:val="TOC2"/>
        <w:rPr>
          <w:rFonts w:asciiTheme="minorHAnsi" w:eastAsiaTheme="minorEastAsia" w:hAnsiTheme="minorHAnsi" w:cstheme="minorBidi"/>
          <w:noProof/>
          <w:sz w:val="22"/>
          <w:szCs w:val="22"/>
          <w:lang w:eastAsia="lv-LV"/>
        </w:rPr>
      </w:pPr>
      <w:hyperlink w:anchor="_Toc13152087" w:history="1">
        <w:r w:rsidR="000152DA" w:rsidRPr="00CF4D9D">
          <w:rPr>
            <w:rStyle w:val="Hyperlink"/>
            <w:noProof/>
          </w:rPr>
          <w:t>I. OIK problemātikas risinājumi</w:t>
        </w:r>
        <w:r w:rsidR="000152DA">
          <w:rPr>
            <w:noProof/>
            <w:webHidden/>
          </w:rPr>
          <w:tab/>
        </w:r>
        <w:r w:rsidR="000152DA">
          <w:rPr>
            <w:noProof/>
            <w:webHidden/>
          </w:rPr>
          <w:fldChar w:fldCharType="begin"/>
        </w:r>
        <w:r w:rsidR="000152DA">
          <w:rPr>
            <w:noProof/>
            <w:webHidden/>
          </w:rPr>
          <w:instrText xml:space="preserve"> PAGEREF _Toc13152087 \h </w:instrText>
        </w:r>
        <w:r w:rsidR="000152DA">
          <w:rPr>
            <w:noProof/>
            <w:webHidden/>
          </w:rPr>
        </w:r>
        <w:r w:rsidR="000152DA">
          <w:rPr>
            <w:noProof/>
            <w:webHidden/>
          </w:rPr>
          <w:fldChar w:fldCharType="separate"/>
        </w:r>
        <w:r>
          <w:rPr>
            <w:noProof/>
            <w:webHidden/>
          </w:rPr>
          <w:t>4</w:t>
        </w:r>
        <w:r w:rsidR="000152DA">
          <w:rPr>
            <w:noProof/>
            <w:webHidden/>
          </w:rPr>
          <w:fldChar w:fldCharType="end"/>
        </w:r>
      </w:hyperlink>
    </w:p>
    <w:p w14:paraId="244358E1" w14:textId="08447F1E" w:rsidR="000152DA" w:rsidRDefault="001E598C">
      <w:pPr>
        <w:pStyle w:val="TOC2"/>
        <w:rPr>
          <w:rFonts w:asciiTheme="minorHAnsi" w:eastAsiaTheme="minorEastAsia" w:hAnsiTheme="minorHAnsi" w:cstheme="minorBidi"/>
          <w:noProof/>
          <w:sz w:val="22"/>
          <w:szCs w:val="22"/>
          <w:lang w:eastAsia="lv-LV"/>
        </w:rPr>
      </w:pPr>
      <w:hyperlink w:anchor="_Toc13152088" w:history="1">
        <w:r w:rsidR="000152DA" w:rsidRPr="00CF4D9D">
          <w:rPr>
            <w:rStyle w:val="Hyperlink"/>
            <w:noProof/>
          </w:rPr>
          <w:t>1. Rīcības virziens - Efektīva valsts atbalsta sistēmas kontrole</w:t>
        </w:r>
        <w:r w:rsidR="000152DA">
          <w:rPr>
            <w:noProof/>
            <w:webHidden/>
          </w:rPr>
          <w:tab/>
        </w:r>
        <w:r w:rsidR="000152DA">
          <w:rPr>
            <w:noProof/>
            <w:webHidden/>
          </w:rPr>
          <w:fldChar w:fldCharType="begin"/>
        </w:r>
        <w:r w:rsidR="000152DA">
          <w:rPr>
            <w:noProof/>
            <w:webHidden/>
          </w:rPr>
          <w:instrText xml:space="preserve"> PAGEREF _Toc13152088 \h </w:instrText>
        </w:r>
        <w:r w:rsidR="000152DA">
          <w:rPr>
            <w:noProof/>
            <w:webHidden/>
          </w:rPr>
        </w:r>
        <w:r w:rsidR="000152DA">
          <w:rPr>
            <w:noProof/>
            <w:webHidden/>
          </w:rPr>
          <w:fldChar w:fldCharType="separate"/>
        </w:r>
        <w:r>
          <w:rPr>
            <w:noProof/>
            <w:webHidden/>
          </w:rPr>
          <w:t>4</w:t>
        </w:r>
        <w:r w:rsidR="000152DA">
          <w:rPr>
            <w:noProof/>
            <w:webHidden/>
          </w:rPr>
          <w:fldChar w:fldCharType="end"/>
        </w:r>
      </w:hyperlink>
    </w:p>
    <w:p w14:paraId="46B57E0A" w14:textId="4F0655DB" w:rsidR="000152DA" w:rsidRDefault="001E598C">
      <w:pPr>
        <w:pStyle w:val="TOC2"/>
        <w:rPr>
          <w:rFonts w:asciiTheme="minorHAnsi" w:eastAsiaTheme="minorEastAsia" w:hAnsiTheme="minorHAnsi" w:cstheme="minorBidi"/>
          <w:noProof/>
          <w:sz w:val="22"/>
          <w:szCs w:val="22"/>
          <w:lang w:eastAsia="lv-LV"/>
        </w:rPr>
      </w:pPr>
      <w:hyperlink w:anchor="_Toc13152089" w:history="1">
        <w:r w:rsidR="000152DA" w:rsidRPr="00CF4D9D">
          <w:rPr>
            <w:rStyle w:val="Hyperlink"/>
            <w:noProof/>
          </w:rPr>
          <w:t>2. Rīcības virziens – Stingrākas prasības atbalsta saņēmējiem</w:t>
        </w:r>
        <w:r w:rsidR="000152DA">
          <w:rPr>
            <w:noProof/>
            <w:webHidden/>
          </w:rPr>
          <w:tab/>
        </w:r>
        <w:r w:rsidR="000152DA">
          <w:rPr>
            <w:noProof/>
            <w:webHidden/>
          </w:rPr>
          <w:fldChar w:fldCharType="begin"/>
        </w:r>
        <w:r w:rsidR="000152DA">
          <w:rPr>
            <w:noProof/>
            <w:webHidden/>
          </w:rPr>
          <w:instrText xml:space="preserve"> PAGEREF _Toc13152089 \h </w:instrText>
        </w:r>
        <w:r w:rsidR="000152DA">
          <w:rPr>
            <w:noProof/>
            <w:webHidden/>
          </w:rPr>
        </w:r>
        <w:r w:rsidR="000152DA">
          <w:rPr>
            <w:noProof/>
            <w:webHidden/>
          </w:rPr>
          <w:fldChar w:fldCharType="separate"/>
        </w:r>
        <w:r>
          <w:rPr>
            <w:noProof/>
            <w:webHidden/>
          </w:rPr>
          <w:t>5</w:t>
        </w:r>
        <w:r w:rsidR="000152DA">
          <w:rPr>
            <w:noProof/>
            <w:webHidden/>
          </w:rPr>
          <w:fldChar w:fldCharType="end"/>
        </w:r>
      </w:hyperlink>
    </w:p>
    <w:p w14:paraId="3BB1185B" w14:textId="2CA724F5" w:rsidR="000152DA" w:rsidRDefault="001E598C">
      <w:pPr>
        <w:pStyle w:val="TOC2"/>
        <w:rPr>
          <w:rFonts w:asciiTheme="minorHAnsi" w:eastAsiaTheme="minorEastAsia" w:hAnsiTheme="minorHAnsi" w:cstheme="minorBidi"/>
          <w:noProof/>
          <w:sz w:val="22"/>
          <w:szCs w:val="22"/>
          <w:lang w:eastAsia="lv-LV"/>
        </w:rPr>
      </w:pPr>
      <w:hyperlink w:anchor="_Toc13152090" w:history="1">
        <w:r w:rsidR="000152DA" w:rsidRPr="00CF4D9D">
          <w:rPr>
            <w:rStyle w:val="Hyperlink"/>
            <w:noProof/>
          </w:rPr>
          <w:t>3. Rīcības virziens - Atbalsta apmēra ierobežošana</w:t>
        </w:r>
        <w:r w:rsidR="000152DA">
          <w:rPr>
            <w:noProof/>
            <w:webHidden/>
          </w:rPr>
          <w:tab/>
        </w:r>
        <w:r w:rsidR="000152DA">
          <w:rPr>
            <w:noProof/>
            <w:webHidden/>
          </w:rPr>
          <w:fldChar w:fldCharType="begin"/>
        </w:r>
        <w:r w:rsidR="000152DA">
          <w:rPr>
            <w:noProof/>
            <w:webHidden/>
          </w:rPr>
          <w:instrText xml:space="preserve"> PAGEREF _Toc13152090 \h </w:instrText>
        </w:r>
        <w:r w:rsidR="000152DA">
          <w:rPr>
            <w:noProof/>
            <w:webHidden/>
          </w:rPr>
        </w:r>
        <w:r w:rsidR="000152DA">
          <w:rPr>
            <w:noProof/>
            <w:webHidden/>
          </w:rPr>
          <w:fldChar w:fldCharType="separate"/>
        </w:r>
        <w:r>
          <w:rPr>
            <w:noProof/>
            <w:webHidden/>
          </w:rPr>
          <w:t>8</w:t>
        </w:r>
        <w:r w:rsidR="000152DA">
          <w:rPr>
            <w:noProof/>
            <w:webHidden/>
          </w:rPr>
          <w:fldChar w:fldCharType="end"/>
        </w:r>
      </w:hyperlink>
    </w:p>
    <w:p w14:paraId="140022EB" w14:textId="48636369" w:rsidR="000152DA" w:rsidRDefault="001E598C">
      <w:pPr>
        <w:pStyle w:val="TOC2"/>
        <w:rPr>
          <w:rFonts w:asciiTheme="minorHAnsi" w:eastAsiaTheme="minorEastAsia" w:hAnsiTheme="minorHAnsi" w:cstheme="minorBidi"/>
          <w:noProof/>
          <w:sz w:val="22"/>
          <w:szCs w:val="22"/>
          <w:lang w:eastAsia="lv-LV"/>
        </w:rPr>
      </w:pPr>
      <w:hyperlink w:anchor="_Toc13152091" w:history="1">
        <w:r w:rsidR="000152DA" w:rsidRPr="00CF4D9D">
          <w:rPr>
            <w:rStyle w:val="Hyperlink"/>
            <w:noProof/>
          </w:rPr>
          <w:t>4. Rīcības virziens - Veicinoši apstākļi elektrostaciju darbam ārpus valsts atbalsta sistēmas</w:t>
        </w:r>
        <w:r w:rsidR="000152DA">
          <w:rPr>
            <w:rStyle w:val="Hyperlink"/>
            <w:noProof/>
          </w:rPr>
          <w:tab/>
        </w:r>
        <w:r w:rsidR="000152DA">
          <w:rPr>
            <w:noProof/>
            <w:webHidden/>
          </w:rPr>
          <w:tab/>
        </w:r>
        <w:r w:rsidR="000152DA">
          <w:rPr>
            <w:noProof/>
            <w:webHidden/>
          </w:rPr>
          <w:fldChar w:fldCharType="begin"/>
        </w:r>
        <w:r w:rsidR="000152DA">
          <w:rPr>
            <w:noProof/>
            <w:webHidden/>
          </w:rPr>
          <w:instrText xml:space="preserve"> PAGEREF _Toc13152091 \h </w:instrText>
        </w:r>
        <w:r w:rsidR="000152DA">
          <w:rPr>
            <w:noProof/>
            <w:webHidden/>
          </w:rPr>
        </w:r>
        <w:r w:rsidR="000152DA">
          <w:rPr>
            <w:noProof/>
            <w:webHidden/>
          </w:rPr>
          <w:fldChar w:fldCharType="separate"/>
        </w:r>
        <w:r>
          <w:rPr>
            <w:noProof/>
            <w:webHidden/>
          </w:rPr>
          <w:t>11</w:t>
        </w:r>
        <w:r w:rsidR="000152DA">
          <w:rPr>
            <w:noProof/>
            <w:webHidden/>
          </w:rPr>
          <w:fldChar w:fldCharType="end"/>
        </w:r>
      </w:hyperlink>
    </w:p>
    <w:p w14:paraId="64484C43" w14:textId="0FF43A74" w:rsidR="000152DA" w:rsidRDefault="001E598C">
      <w:pPr>
        <w:pStyle w:val="TOC2"/>
        <w:rPr>
          <w:rFonts w:asciiTheme="minorHAnsi" w:eastAsiaTheme="minorEastAsia" w:hAnsiTheme="minorHAnsi" w:cstheme="minorBidi"/>
          <w:noProof/>
          <w:sz w:val="22"/>
          <w:szCs w:val="22"/>
          <w:lang w:eastAsia="lv-LV"/>
        </w:rPr>
      </w:pPr>
      <w:hyperlink w:anchor="_Toc13152092" w:history="1">
        <w:r w:rsidR="000152DA" w:rsidRPr="00CF4D9D">
          <w:rPr>
            <w:rStyle w:val="Hyperlink"/>
            <w:noProof/>
          </w:rPr>
          <w:t>5. Rīcības virziens - Elektroenerģijas gala patērētāju izmaksu samazināšana</w:t>
        </w:r>
        <w:r w:rsidR="000152DA">
          <w:rPr>
            <w:noProof/>
            <w:webHidden/>
          </w:rPr>
          <w:tab/>
        </w:r>
        <w:r w:rsidR="000152DA">
          <w:rPr>
            <w:noProof/>
            <w:webHidden/>
          </w:rPr>
          <w:fldChar w:fldCharType="begin"/>
        </w:r>
        <w:r w:rsidR="000152DA">
          <w:rPr>
            <w:noProof/>
            <w:webHidden/>
          </w:rPr>
          <w:instrText xml:space="preserve"> PAGEREF _Toc13152092 \h </w:instrText>
        </w:r>
        <w:r w:rsidR="000152DA">
          <w:rPr>
            <w:noProof/>
            <w:webHidden/>
          </w:rPr>
        </w:r>
        <w:r w:rsidR="000152DA">
          <w:rPr>
            <w:noProof/>
            <w:webHidden/>
          </w:rPr>
          <w:fldChar w:fldCharType="separate"/>
        </w:r>
        <w:r>
          <w:rPr>
            <w:noProof/>
            <w:webHidden/>
          </w:rPr>
          <w:t>13</w:t>
        </w:r>
        <w:r w:rsidR="000152DA">
          <w:rPr>
            <w:noProof/>
            <w:webHidden/>
          </w:rPr>
          <w:fldChar w:fldCharType="end"/>
        </w:r>
      </w:hyperlink>
    </w:p>
    <w:p w14:paraId="44A29DB3" w14:textId="05CFA77D" w:rsidR="000152DA" w:rsidRDefault="001E598C">
      <w:pPr>
        <w:pStyle w:val="TOC2"/>
        <w:rPr>
          <w:rFonts w:asciiTheme="minorHAnsi" w:eastAsiaTheme="minorEastAsia" w:hAnsiTheme="minorHAnsi" w:cstheme="minorBidi"/>
          <w:noProof/>
          <w:sz w:val="22"/>
          <w:szCs w:val="22"/>
          <w:lang w:eastAsia="lv-LV"/>
        </w:rPr>
      </w:pPr>
      <w:hyperlink w:anchor="_Toc13152093" w:history="1">
        <w:r w:rsidR="000152DA" w:rsidRPr="00CF4D9D">
          <w:rPr>
            <w:rStyle w:val="Hyperlink"/>
            <w:noProof/>
          </w:rPr>
          <w:t>6. Risinājumu ieviešanas laika grafiks un saskaņojuma nepieciešamība ar Eiropas Komisiju</w:t>
        </w:r>
        <w:r w:rsidR="000152DA">
          <w:rPr>
            <w:noProof/>
            <w:webHidden/>
          </w:rPr>
          <w:tab/>
        </w:r>
        <w:r w:rsidR="000152DA">
          <w:rPr>
            <w:noProof/>
            <w:webHidden/>
          </w:rPr>
          <w:tab/>
        </w:r>
        <w:r w:rsidR="000152DA">
          <w:rPr>
            <w:noProof/>
            <w:webHidden/>
          </w:rPr>
          <w:fldChar w:fldCharType="begin"/>
        </w:r>
        <w:r w:rsidR="000152DA">
          <w:rPr>
            <w:noProof/>
            <w:webHidden/>
          </w:rPr>
          <w:instrText xml:space="preserve"> PAGEREF _Toc13152093 \h </w:instrText>
        </w:r>
        <w:r w:rsidR="000152DA">
          <w:rPr>
            <w:noProof/>
            <w:webHidden/>
          </w:rPr>
        </w:r>
        <w:r w:rsidR="000152DA">
          <w:rPr>
            <w:noProof/>
            <w:webHidden/>
          </w:rPr>
          <w:fldChar w:fldCharType="separate"/>
        </w:r>
        <w:r>
          <w:rPr>
            <w:noProof/>
            <w:webHidden/>
          </w:rPr>
          <w:t>15</w:t>
        </w:r>
        <w:r w:rsidR="000152DA">
          <w:rPr>
            <w:noProof/>
            <w:webHidden/>
          </w:rPr>
          <w:fldChar w:fldCharType="end"/>
        </w:r>
      </w:hyperlink>
    </w:p>
    <w:p w14:paraId="2D88C36E" w14:textId="622689C8" w:rsidR="000152DA" w:rsidRDefault="001E598C">
      <w:pPr>
        <w:pStyle w:val="TOC2"/>
        <w:rPr>
          <w:rFonts w:asciiTheme="minorHAnsi" w:eastAsiaTheme="minorEastAsia" w:hAnsiTheme="minorHAnsi" w:cstheme="minorBidi"/>
          <w:noProof/>
          <w:sz w:val="22"/>
          <w:szCs w:val="22"/>
          <w:lang w:eastAsia="lv-LV"/>
        </w:rPr>
      </w:pPr>
      <w:hyperlink w:anchor="_Toc13152094" w:history="1">
        <w:r w:rsidR="000152DA" w:rsidRPr="00CF4D9D">
          <w:rPr>
            <w:rStyle w:val="Hyperlink"/>
            <w:noProof/>
          </w:rPr>
          <w:t>II. Enerģētikas politikas īstenošanas funkcijas</w:t>
        </w:r>
        <w:r w:rsidR="000152DA">
          <w:rPr>
            <w:noProof/>
            <w:webHidden/>
          </w:rPr>
          <w:tab/>
        </w:r>
        <w:r w:rsidR="000152DA">
          <w:rPr>
            <w:noProof/>
            <w:webHidden/>
          </w:rPr>
          <w:fldChar w:fldCharType="begin"/>
        </w:r>
        <w:r w:rsidR="000152DA">
          <w:rPr>
            <w:noProof/>
            <w:webHidden/>
          </w:rPr>
          <w:instrText xml:space="preserve"> PAGEREF _Toc13152094 \h </w:instrText>
        </w:r>
        <w:r w:rsidR="000152DA">
          <w:rPr>
            <w:noProof/>
            <w:webHidden/>
          </w:rPr>
        </w:r>
        <w:r w:rsidR="000152DA">
          <w:rPr>
            <w:noProof/>
            <w:webHidden/>
          </w:rPr>
          <w:fldChar w:fldCharType="separate"/>
        </w:r>
        <w:r>
          <w:rPr>
            <w:noProof/>
            <w:webHidden/>
          </w:rPr>
          <w:t>17</w:t>
        </w:r>
        <w:r w:rsidR="000152DA">
          <w:rPr>
            <w:noProof/>
            <w:webHidden/>
          </w:rPr>
          <w:fldChar w:fldCharType="end"/>
        </w:r>
      </w:hyperlink>
    </w:p>
    <w:p w14:paraId="72BE1FE9" w14:textId="1AADDB10" w:rsidR="000152DA" w:rsidRDefault="001E598C">
      <w:pPr>
        <w:pStyle w:val="TOC2"/>
        <w:rPr>
          <w:rFonts w:asciiTheme="minorHAnsi" w:eastAsiaTheme="minorEastAsia" w:hAnsiTheme="minorHAnsi" w:cstheme="minorBidi"/>
          <w:noProof/>
          <w:sz w:val="22"/>
          <w:szCs w:val="22"/>
          <w:lang w:eastAsia="lv-LV"/>
        </w:rPr>
      </w:pPr>
      <w:hyperlink w:anchor="_Toc13152095" w:history="1">
        <w:r w:rsidR="000152DA" w:rsidRPr="00CF4D9D">
          <w:rPr>
            <w:rStyle w:val="Hyperlink"/>
            <w:rFonts w:eastAsia="Times New Roman"/>
            <w:noProof/>
            <w:lang w:eastAsia="lv-LV"/>
          </w:rPr>
          <w:t>1. OI mehānisma nosacījumu uzraudzība, kontrole un atbalsts</w:t>
        </w:r>
        <w:r w:rsidR="000152DA">
          <w:rPr>
            <w:noProof/>
            <w:webHidden/>
          </w:rPr>
          <w:tab/>
        </w:r>
        <w:r w:rsidR="000152DA">
          <w:rPr>
            <w:noProof/>
            <w:webHidden/>
          </w:rPr>
          <w:fldChar w:fldCharType="begin"/>
        </w:r>
        <w:r w:rsidR="000152DA">
          <w:rPr>
            <w:noProof/>
            <w:webHidden/>
          </w:rPr>
          <w:instrText xml:space="preserve"> PAGEREF _Toc13152095 \h </w:instrText>
        </w:r>
        <w:r w:rsidR="000152DA">
          <w:rPr>
            <w:noProof/>
            <w:webHidden/>
          </w:rPr>
        </w:r>
        <w:r w:rsidR="000152DA">
          <w:rPr>
            <w:noProof/>
            <w:webHidden/>
          </w:rPr>
          <w:fldChar w:fldCharType="separate"/>
        </w:r>
        <w:r>
          <w:rPr>
            <w:noProof/>
            <w:webHidden/>
          </w:rPr>
          <w:t>18</w:t>
        </w:r>
        <w:r w:rsidR="000152DA">
          <w:rPr>
            <w:noProof/>
            <w:webHidden/>
          </w:rPr>
          <w:fldChar w:fldCharType="end"/>
        </w:r>
      </w:hyperlink>
    </w:p>
    <w:p w14:paraId="02DB1C65" w14:textId="6597DDB7" w:rsidR="000152DA" w:rsidRDefault="001E598C">
      <w:pPr>
        <w:pStyle w:val="TOC2"/>
        <w:rPr>
          <w:rFonts w:asciiTheme="minorHAnsi" w:eastAsiaTheme="minorEastAsia" w:hAnsiTheme="minorHAnsi" w:cstheme="minorBidi"/>
          <w:noProof/>
          <w:sz w:val="22"/>
          <w:szCs w:val="22"/>
          <w:lang w:eastAsia="lv-LV"/>
        </w:rPr>
      </w:pPr>
      <w:hyperlink w:anchor="_Toc13152096" w:history="1">
        <w:r w:rsidR="000152DA" w:rsidRPr="00CF4D9D">
          <w:rPr>
            <w:rStyle w:val="Hyperlink"/>
            <w:rFonts w:eastAsia="Times New Roman"/>
            <w:noProof/>
            <w:lang w:eastAsia="lv-LV"/>
          </w:rPr>
          <w:t>2. Aizsargātā lietotāja tirdzniecības pakalpojuma sniegšanas nodrošinājums</w:t>
        </w:r>
        <w:r w:rsidR="000152DA">
          <w:rPr>
            <w:noProof/>
            <w:webHidden/>
          </w:rPr>
          <w:tab/>
        </w:r>
        <w:r w:rsidR="000152DA">
          <w:rPr>
            <w:noProof/>
            <w:webHidden/>
          </w:rPr>
          <w:fldChar w:fldCharType="begin"/>
        </w:r>
        <w:r w:rsidR="000152DA">
          <w:rPr>
            <w:noProof/>
            <w:webHidden/>
          </w:rPr>
          <w:instrText xml:space="preserve"> PAGEREF _Toc13152096 \h </w:instrText>
        </w:r>
        <w:r w:rsidR="000152DA">
          <w:rPr>
            <w:noProof/>
            <w:webHidden/>
          </w:rPr>
        </w:r>
        <w:r w:rsidR="000152DA">
          <w:rPr>
            <w:noProof/>
            <w:webHidden/>
          </w:rPr>
          <w:fldChar w:fldCharType="separate"/>
        </w:r>
        <w:r>
          <w:rPr>
            <w:noProof/>
            <w:webHidden/>
          </w:rPr>
          <w:t>21</w:t>
        </w:r>
        <w:r w:rsidR="000152DA">
          <w:rPr>
            <w:noProof/>
            <w:webHidden/>
          </w:rPr>
          <w:fldChar w:fldCharType="end"/>
        </w:r>
      </w:hyperlink>
    </w:p>
    <w:p w14:paraId="2ADCEDCA" w14:textId="736578E6" w:rsidR="000152DA" w:rsidRDefault="001E598C">
      <w:pPr>
        <w:pStyle w:val="TOC2"/>
        <w:rPr>
          <w:rFonts w:asciiTheme="minorHAnsi" w:eastAsiaTheme="minorEastAsia" w:hAnsiTheme="minorHAnsi" w:cstheme="minorBidi"/>
          <w:noProof/>
          <w:sz w:val="22"/>
          <w:szCs w:val="22"/>
          <w:lang w:eastAsia="lv-LV"/>
        </w:rPr>
      </w:pPr>
      <w:hyperlink w:anchor="_Toc13152097" w:history="1">
        <w:r w:rsidR="000152DA" w:rsidRPr="00CF4D9D">
          <w:rPr>
            <w:rStyle w:val="Hyperlink"/>
            <w:rFonts w:eastAsia="Times New Roman"/>
            <w:noProof/>
            <w:lang w:eastAsia="lv-LV"/>
          </w:rPr>
          <w:t>3. Citas enerģētikas politikas īstenošanas funkcijas</w:t>
        </w:r>
        <w:r w:rsidR="000152DA">
          <w:rPr>
            <w:noProof/>
            <w:webHidden/>
          </w:rPr>
          <w:tab/>
        </w:r>
        <w:r w:rsidR="000152DA">
          <w:rPr>
            <w:noProof/>
            <w:webHidden/>
          </w:rPr>
          <w:fldChar w:fldCharType="begin"/>
        </w:r>
        <w:r w:rsidR="000152DA">
          <w:rPr>
            <w:noProof/>
            <w:webHidden/>
          </w:rPr>
          <w:instrText xml:space="preserve"> PAGEREF _Toc13152097 \h </w:instrText>
        </w:r>
        <w:r w:rsidR="000152DA">
          <w:rPr>
            <w:noProof/>
            <w:webHidden/>
          </w:rPr>
        </w:r>
        <w:r w:rsidR="000152DA">
          <w:rPr>
            <w:noProof/>
            <w:webHidden/>
          </w:rPr>
          <w:fldChar w:fldCharType="separate"/>
        </w:r>
        <w:r>
          <w:rPr>
            <w:noProof/>
            <w:webHidden/>
          </w:rPr>
          <w:t>22</w:t>
        </w:r>
        <w:r w:rsidR="000152DA">
          <w:rPr>
            <w:noProof/>
            <w:webHidden/>
          </w:rPr>
          <w:fldChar w:fldCharType="end"/>
        </w:r>
      </w:hyperlink>
    </w:p>
    <w:p w14:paraId="789B2078" w14:textId="56596643" w:rsidR="000152DA" w:rsidRDefault="001E598C">
      <w:pPr>
        <w:pStyle w:val="TOC2"/>
        <w:rPr>
          <w:rFonts w:asciiTheme="minorHAnsi" w:eastAsiaTheme="minorEastAsia" w:hAnsiTheme="minorHAnsi" w:cstheme="minorBidi"/>
          <w:noProof/>
          <w:sz w:val="22"/>
          <w:szCs w:val="22"/>
          <w:lang w:eastAsia="lv-LV"/>
        </w:rPr>
      </w:pPr>
      <w:hyperlink w:anchor="_Toc13152098" w:history="1">
        <w:r w:rsidR="000152DA" w:rsidRPr="00CF4D9D">
          <w:rPr>
            <w:rStyle w:val="Hyperlink"/>
            <w:noProof/>
            <w:lang w:eastAsia="lv-LV"/>
          </w:rPr>
          <w:t>4. Risinājumi enerģētikas politikas īstenošanas funkciju veikšanai</w:t>
        </w:r>
        <w:r w:rsidR="000152DA">
          <w:rPr>
            <w:noProof/>
            <w:webHidden/>
          </w:rPr>
          <w:tab/>
        </w:r>
        <w:r w:rsidR="000152DA">
          <w:rPr>
            <w:noProof/>
            <w:webHidden/>
          </w:rPr>
          <w:fldChar w:fldCharType="begin"/>
        </w:r>
        <w:r w:rsidR="000152DA">
          <w:rPr>
            <w:noProof/>
            <w:webHidden/>
          </w:rPr>
          <w:instrText xml:space="preserve"> PAGEREF _Toc13152098 \h </w:instrText>
        </w:r>
        <w:r w:rsidR="000152DA">
          <w:rPr>
            <w:noProof/>
            <w:webHidden/>
          </w:rPr>
        </w:r>
        <w:r w:rsidR="000152DA">
          <w:rPr>
            <w:noProof/>
            <w:webHidden/>
          </w:rPr>
          <w:fldChar w:fldCharType="separate"/>
        </w:r>
        <w:r>
          <w:rPr>
            <w:noProof/>
            <w:webHidden/>
          </w:rPr>
          <w:t>36</w:t>
        </w:r>
        <w:r w:rsidR="000152DA">
          <w:rPr>
            <w:noProof/>
            <w:webHidden/>
          </w:rPr>
          <w:fldChar w:fldCharType="end"/>
        </w:r>
      </w:hyperlink>
    </w:p>
    <w:p w14:paraId="72399460" w14:textId="54AB2456" w:rsidR="000152DA" w:rsidRDefault="001E598C">
      <w:pPr>
        <w:pStyle w:val="TOC2"/>
        <w:rPr>
          <w:rFonts w:asciiTheme="minorHAnsi" w:eastAsiaTheme="minorEastAsia" w:hAnsiTheme="minorHAnsi" w:cstheme="minorBidi"/>
          <w:noProof/>
          <w:sz w:val="22"/>
          <w:szCs w:val="22"/>
          <w:lang w:eastAsia="lv-LV"/>
        </w:rPr>
      </w:pPr>
      <w:hyperlink w:anchor="_Toc13152099" w:history="1">
        <w:r w:rsidR="000152DA" w:rsidRPr="00CF4D9D">
          <w:rPr>
            <w:rStyle w:val="Hyperlink"/>
            <w:noProof/>
            <w:lang w:eastAsia="lv-LV"/>
          </w:rPr>
          <w:t>5. Risinājuma ietekme uz valsts budžetu</w:t>
        </w:r>
        <w:r w:rsidR="000152DA">
          <w:rPr>
            <w:noProof/>
            <w:webHidden/>
          </w:rPr>
          <w:tab/>
        </w:r>
        <w:r w:rsidR="000152DA">
          <w:rPr>
            <w:noProof/>
            <w:webHidden/>
          </w:rPr>
          <w:fldChar w:fldCharType="begin"/>
        </w:r>
        <w:r w:rsidR="000152DA">
          <w:rPr>
            <w:noProof/>
            <w:webHidden/>
          </w:rPr>
          <w:instrText xml:space="preserve"> PAGEREF _Toc13152099 \h </w:instrText>
        </w:r>
        <w:r w:rsidR="000152DA">
          <w:rPr>
            <w:noProof/>
            <w:webHidden/>
          </w:rPr>
        </w:r>
        <w:r w:rsidR="000152DA">
          <w:rPr>
            <w:noProof/>
            <w:webHidden/>
          </w:rPr>
          <w:fldChar w:fldCharType="separate"/>
        </w:r>
        <w:r>
          <w:rPr>
            <w:noProof/>
            <w:webHidden/>
          </w:rPr>
          <w:t>44</w:t>
        </w:r>
        <w:r w:rsidR="000152DA">
          <w:rPr>
            <w:noProof/>
            <w:webHidden/>
          </w:rPr>
          <w:fldChar w:fldCharType="end"/>
        </w:r>
      </w:hyperlink>
    </w:p>
    <w:p w14:paraId="360EE940" w14:textId="4C440039" w:rsidR="0048595C" w:rsidRPr="0048595C" w:rsidRDefault="00876023" w:rsidP="00C515D5">
      <w:pPr>
        <w:spacing w:before="120" w:after="120" w:line="240" w:lineRule="auto"/>
        <w:rPr>
          <w:rFonts w:ascii="Times New Roman" w:hAnsi="Times New Roman"/>
          <w:b/>
          <w:sz w:val="27"/>
          <w:szCs w:val="27"/>
        </w:rPr>
      </w:pPr>
      <w:r w:rsidRPr="008060DE">
        <w:rPr>
          <w:rFonts w:ascii="Times New Roman" w:hAnsi="Times New Roman"/>
          <w:b/>
          <w:sz w:val="26"/>
          <w:szCs w:val="26"/>
        </w:rPr>
        <w:fldChar w:fldCharType="end"/>
      </w:r>
      <w:bookmarkStart w:id="6" w:name="_GoBack"/>
      <w:bookmarkEnd w:id="6"/>
    </w:p>
    <w:p w14:paraId="265E6778" w14:textId="07AC2126" w:rsidR="00B63189" w:rsidRPr="00F268BA" w:rsidRDefault="00C15D15" w:rsidP="00F268BA">
      <w:pPr>
        <w:pStyle w:val="Heading1"/>
      </w:pPr>
      <w:bookmarkStart w:id="7" w:name="_Toc9244719"/>
      <w:bookmarkStart w:id="8" w:name="_Toc9253511"/>
      <w:bookmarkStart w:id="9" w:name="_Toc9253602"/>
      <w:bookmarkStart w:id="10" w:name="_Toc9267411"/>
      <w:bookmarkStart w:id="11" w:name="_Toc13149095"/>
      <w:bookmarkStart w:id="12" w:name="_Toc13152086"/>
      <w:bookmarkEnd w:id="0"/>
      <w:bookmarkEnd w:id="1"/>
      <w:r w:rsidRPr="00F268BA">
        <w:t>Ievads</w:t>
      </w:r>
      <w:bookmarkEnd w:id="7"/>
      <w:bookmarkEnd w:id="8"/>
      <w:bookmarkEnd w:id="9"/>
      <w:bookmarkEnd w:id="10"/>
      <w:bookmarkEnd w:id="11"/>
      <w:bookmarkEnd w:id="12"/>
    </w:p>
    <w:p w14:paraId="0EB41C3F" w14:textId="4D6403B4" w:rsidR="00974E7F" w:rsidRPr="0048595C" w:rsidRDefault="008F7B37" w:rsidP="00C515D5">
      <w:pPr>
        <w:spacing w:before="120" w:after="120" w:line="240" w:lineRule="auto"/>
        <w:jc w:val="both"/>
        <w:rPr>
          <w:rFonts w:ascii="Times New Roman" w:hAnsi="Times New Roman"/>
          <w:sz w:val="27"/>
          <w:szCs w:val="27"/>
          <w:shd w:val="clear" w:color="auto" w:fill="FFFFFF"/>
        </w:rPr>
      </w:pPr>
      <w:r w:rsidRPr="0048595C">
        <w:rPr>
          <w:rFonts w:ascii="Times New Roman" w:hAnsi="Times New Roman"/>
          <w:sz w:val="27"/>
          <w:szCs w:val="27"/>
        </w:rPr>
        <w:t>2019.gada 10</w:t>
      </w:r>
      <w:r w:rsidR="006E3381" w:rsidRPr="0048595C">
        <w:rPr>
          <w:rFonts w:ascii="Times New Roman" w:hAnsi="Times New Roman"/>
          <w:sz w:val="27"/>
          <w:szCs w:val="27"/>
        </w:rPr>
        <w:t>.janvārī Saeima pieņēma lēmumu</w:t>
      </w:r>
      <w:r w:rsidR="00F4024B" w:rsidRPr="0048595C">
        <w:rPr>
          <w:rFonts w:ascii="Times New Roman" w:hAnsi="Times New Roman"/>
          <w:sz w:val="27"/>
          <w:szCs w:val="27"/>
        </w:rPr>
        <w:t xml:space="preserve"> “Par obligātā iepirkuma komponentes atcelšanu”</w:t>
      </w:r>
      <w:r w:rsidR="00974E7F" w:rsidRPr="0048595C">
        <w:rPr>
          <w:rFonts w:ascii="Times New Roman" w:hAnsi="Times New Roman"/>
          <w:sz w:val="27"/>
          <w:szCs w:val="27"/>
        </w:rPr>
        <w:t xml:space="preserve"> (turpmāk – Lēmums)</w:t>
      </w:r>
      <w:r w:rsidR="00F4024B" w:rsidRPr="0048595C">
        <w:rPr>
          <w:rFonts w:ascii="Times New Roman" w:hAnsi="Times New Roman"/>
          <w:sz w:val="27"/>
          <w:szCs w:val="27"/>
        </w:rPr>
        <w:t>.</w:t>
      </w:r>
      <w:r w:rsidR="00974E7F" w:rsidRPr="0048595C">
        <w:rPr>
          <w:rFonts w:ascii="Times New Roman" w:hAnsi="Times New Roman"/>
          <w:sz w:val="27"/>
          <w:szCs w:val="27"/>
        </w:rPr>
        <w:t xml:space="preserve"> Lēmumā Saeima aicināja </w:t>
      </w:r>
      <w:r w:rsidR="009A47F2" w:rsidRPr="0048595C">
        <w:rPr>
          <w:rFonts w:ascii="Times New Roman" w:hAnsi="Times New Roman"/>
          <w:sz w:val="27"/>
          <w:szCs w:val="27"/>
          <w:shd w:val="clear" w:color="auto" w:fill="FFFFFF"/>
        </w:rPr>
        <w:t xml:space="preserve">Ekonomikas ministriju steidzami izstrādāt tiesību aktus obligātā iepirkuma komponentes </w:t>
      </w:r>
      <w:r w:rsidR="00974E7F" w:rsidRPr="0048595C">
        <w:rPr>
          <w:rFonts w:ascii="Times New Roman" w:hAnsi="Times New Roman"/>
          <w:sz w:val="27"/>
          <w:szCs w:val="27"/>
          <w:shd w:val="clear" w:color="auto" w:fill="FFFFFF"/>
        </w:rPr>
        <w:t xml:space="preserve">(turpmāk – OIK) </w:t>
      </w:r>
      <w:r w:rsidR="009A47F2" w:rsidRPr="0048595C">
        <w:rPr>
          <w:rFonts w:ascii="Times New Roman" w:hAnsi="Times New Roman"/>
          <w:sz w:val="27"/>
          <w:szCs w:val="27"/>
          <w:shd w:val="clear" w:color="auto" w:fill="FFFFFF"/>
        </w:rPr>
        <w:t>atcelšanai no 2019.gada 31.marta ar mērķi samazināt elektroenerģijas izmaksas visiem Latvijas elektroenerģijas patērētājiem.</w:t>
      </w:r>
    </w:p>
    <w:p w14:paraId="23E44DD7" w14:textId="2D09A130" w:rsidR="00306C15" w:rsidRDefault="00306C15" w:rsidP="00C515D5">
      <w:pPr>
        <w:spacing w:before="120" w:after="120" w:line="240" w:lineRule="auto"/>
        <w:jc w:val="both"/>
        <w:rPr>
          <w:rFonts w:ascii="Times New Roman" w:hAnsi="Times New Roman"/>
          <w:noProof/>
          <w:sz w:val="27"/>
          <w:szCs w:val="27"/>
        </w:rPr>
      </w:pPr>
      <w:r w:rsidRPr="0048595C">
        <w:rPr>
          <w:rFonts w:ascii="Times New Roman" w:hAnsi="Times New Roman"/>
          <w:sz w:val="27"/>
          <w:szCs w:val="27"/>
          <w:shd w:val="clear" w:color="auto" w:fill="FFFFFF"/>
        </w:rPr>
        <w:t xml:space="preserve">Izpildot Saeimas Lēmumu, kā arī 2019.gada 14.janvāra Ministru prezidenta rezolūciju Nr.12/2019-JUR-2 </w:t>
      </w:r>
      <w:r w:rsidRPr="0048595C">
        <w:rPr>
          <w:rFonts w:ascii="Times New Roman" w:hAnsi="Times New Roman"/>
          <w:sz w:val="27"/>
          <w:szCs w:val="27"/>
        </w:rPr>
        <w:t>steidzami izstrādāt tiesību aktu projektus OIK atcelšanai, Ekonomikas ministrija sagatavoja normatīvā akta projektu “Grozījumi Elektroenerģijas tirgus likumā” un tā sākotnējās ietekmes novērtējumu (anotāciju) un kopā ar informatīvo ziņojumu iesniedza izskatīšanai Ministru kabinetā.</w:t>
      </w:r>
      <w:r w:rsidR="00C26A5D" w:rsidRPr="0048595C">
        <w:rPr>
          <w:rFonts w:ascii="Times New Roman" w:hAnsi="Times New Roman"/>
          <w:sz w:val="27"/>
          <w:szCs w:val="27"/>
        </w:rPr>
        <w:t xml:space="preserve"> </w:t>
      </w:r>
      <w:r w:rsidR="00C26A5D" w:rsidRPr="0048595C">
        <w:rPr>
          <w:rFonts w:ascii="Times New Roman" w:hAnsi="Times New Roman"/>
          <w:noProof/>
          <w:sz w:val="27"/>
          <w:szCs w:val="27"/>
        </w:rPr>
        <w:t>Ministru kabineta 2019.gada 26.marta sēdē ekonomikas ministrs iepazīstināja valdību ar plašu analīzi par šāda risinājuma iespējamām ietekmēm un īstenošanas riskiem. Ņemot vērā veikto izvērtējumu, valdība saskaņā ar Ministru kabineta 2019.gada 26.marta sēdes protokollēmumu Nr.16 (turpmāk – protokollēmums), 46.§ pieņēma lēmumu izskatīšanai Saeimā nevirzīt sagatavoto Likumprojektu un saskaņā ar protokollēmuma</w:t>
      </w:r>
      <w:r w:rsidR="008051B3" w:rsidRPr="0048595C">
        <w:rPr>
          <w:rFonts w:ascii="Times New Roman" w:hAnsi="Times New Roman"/>
          <w:noProof/>
          <w:sz w:val="27"/>
          <w:szCs w:val="27"/>
        </w:rPr>
        <w:t xml:space="preserve"> </w:t>
      </w:r>
      <w:r w:rsidR="008051B3" w:rsidRPr="0048595C">
        <w:rPr>
          <w:rFonts w:ascii="Times New Roman" w:hAnsi="Times New Roman"/>
          <w:noProof/>
          <w:sz w:val="27"/>
          <w:szCs w:val="27"/>
        </w:rPr>
        <w:lastRenderedPageBreak/>
        <w:t xml:space="preserve">46.§ 4.punktu uzdeva Ekonomikas ministrijai līdz 2019.gada 31.maijam sagatavot un iesniegt izskatīšanai Ministru kabinetā informatīvo ziņojumu par priekšlikumiem piemērotākajam risinājumam </w:t>
      </w:r>
      <w:r w:rsidR="00BA53BF" w:rsidRPr="0048595C">
        <w:rPr>
          <w:rFonts w:ascii="Times New Roman" w:hAnsi="Times New Roman"/>
          <w:noProof/>
          <w:sz w:val="27"/>
          <w:szCs w:val="27"/>
        </w:rPr>
        <w:t>OIK</w:t>
      </w:r>
      <w:r w:rsidR="008051B3" w:rsidRPr="0048595C">
        <w:rPr>
          <w:rFonts w:ascii="Times New Roman" w:hAnsi="Times New Roman"/>
          <w:noProof/>
          <w:sz w:val="27"/>
          <w:szCs w:val="27"/>
        </w:rPr>
        <w:t xml:space="preserve"> atcelšanai. Ņemot vērā minēto, šis informatīvais ziņojums sagat</w:t>
      </w:r>
      <w:r w:rsidR="00A27268">
        <w:rPr>
          <w:rFonts w:ascii="Times New Roman" w:hAnsi="Times New Roman"/>
          <w:noProof/>
          <w:sz w:val="27"/>
          <w:szCs w:val="27"/>
        </w:rPr>
        <w:t>a</w:t>
      </w:r>
      <w:r w:rsidR="008051B3" w:rsidRPr="0048595C">
        <w:rPr>
          <w:rFonts w:ascii="Times New Roman" w:hAnsi="Times New Roman"/>
          <w:noProof/>
          <w:sz w:val="27"/>
          <w:szCs w:val="27"/>
        </w:rPr>
        <w:t>vots, lai izpildītu Ministru kabineta 2019.gada 26.marta sēdes protokollēmuma 46.§ 4.punktu.</w:t>
      </w:r>
    </w:p>
    <w:p w14:paraId="51AAA59D" w14:textId="77777777" w:rsidR="00C515D5" w:rsidRPr="0048595C" w:rsidRDefault="00C515D5" w:rsidP="00C515D5">
      <w:pPr>
        <w:spacing w:before="120" w:after="120" w:line="240" w:lineRule="auto"/>
        <w:jc w:val="both"/>
        <w:rPr>
          <w:rFonts w:ascii="Times New Roman" w:hAnsi="Times New Roman"/>
          <w:sz w:val="27"/>
          <w:szCs w:val="27"/>
        </w:rPr>
      </w:pPr>
    </w:p>
    <w:p w14:paraId="088AE3D6" w14:textId="100356BC" w:rsidR="008B0261" w:rsidRPr="0048595C" w:rsidRDefault="007E29F2" w:rsidP="00C515D5">
      <w:pPr>
        <w:pStyle w:val="paragraph"/>
        <w:spacing w:before="120" w:beforeAutospacing="0" w:after="120" w:afterAutospacing="0"/>
        <w:rPr>
          <w:b/>
          <w:i/>
          <w:sz w:val="27"/>
          <w:szCs w:val="27"/>
        </w:rPr>
      </w:pPr>
      <w:r w:rsidRPr="0048595C">
        <w:rPr>
          <w:b/>
          <w:i/>
          <w:sz w:val="27"/>
          <w:szCs w:val="27"/>
        </w:rPr>
        <w:t>Rīcības virzieni</w:t>
      </w:r>
      <w:r w:rsidR="008B0261" w:rsidRPr="0048595C">
        <w:rPr>
          <w:b/>
          <w:i/>
          <w:sz w:val="27"/>
          <w:szCs w:val="27"/>
        </w:rPr>
        <w:t xml:space="preserve"> OIK problemātikas risināšanai</w:t>
      </w:r>
    </w:p>
    <w:p w14:paraId="53533B18" w14:textId="2C238080" w:rsidR="00EB1D9B" w:rsidRPr="0048595C" w:rsidRDefault="00EB1D9B" w:rsidP="00C515D5">
      <w:pPr>
        <w:spacing w:before="120" w:after="120" w:line="240" w:lineRule="auto"/>
        <w:jc w:val="both"/>
        <w:rPr>
          <w:rFonts w:ascii="Times New Roman" w:hAnsi="Times New Roman"/>
          <w:sz w:val="27"/>
          <w:szCs w:val="27"/>
        </w:rPr>
      </w:pPr>
      <w:r w:rsidRPr="0048595C">
        <w:rPr>
          <w:rFonts w:ascii="Times New Roman" w:hAnsi="Times New Roman"/>
          <w:sz w:val="27"/>
          <w:szCs w:val="27"/>
        </w:rPr>
        <w:t>Ņemot sistēmiski vērā paredzamās daudzpusējās ietekmes, kas saistītas ar tūlītēju elektroenerģijas obligātā iepirkuma</w:t>
      </w:r>
      <w:r w:rsidR="00BA53BF" w:rsidRPr="0048595C">
        <w:rPr>
          <w:rFonts w:ascii="Times New Roman" w:hAnsi="Times New Roman"/>
          <w:sz w:val="27"/>
          <w:szCs w:val="27"/>
        </w:rPr>
        <w:t xml:space="preserve"> vai garantētās maksas par elektrostacijā uzstādīto elektrisko jaudu (turpmāk – OI mehānisms)</w:t>
      </w:r>
      <w:r w:rsidRPr="0048595C">
        <w:rPr>
          <w:rFonts w:ascii="Times New Roman" w:hAnsi="Times New Roman"/>
          <w:sz w:val="27"/>
          <w:szCs w:val="27"/>
        </w:rPr>
        <w:t xml:space="preserve"> atcelšanu, OIK problemātikas risināšanai būtu apsverami </w:t>
      </w:r>
      <w:r w:rsidR="008051B3" w:rsidRPr="0048595C">
        <w:rPr>
          <w:rFonts w:ascii="Times New Roman" w:hAnsi="Times New Roman"/>
          <w:sz w:val="27"/>
          <w:szCs w:val="27"/>
        </w:rPr>
        <w:t xml:space="preserve">šādi </w:t>
      </w:r>
      <w:r w:rsidRPr="0048595C">
        <w:rPr>
          <w:rFonts w:ascii="Times New Roman" w:hAnsi="Times New Roman"/>
          <w:sz w:val="27"/>
          <w:szCs w:val="27"/>
        </w:rPr>
        <w:t>alternatīvi rīcības virzieni</w:t>
      </w:r>
      <w:r w:rsidR="008051B3" w:rsidRPr="0048595C">
        <w:rPr>
          <w:rFonts w:ascii="Times New Roman" w:hAnsi="Times New Roman"/>
          <w:sz w:val="27"/>
          <w:szCs w:val="27"/>
        </w:rPr>
        <w:t>:</w:t>
      </w:r>
    </w:p>
    <w:p w14:paraId="225449DE" w14:textId="522A7277" w:rsidR="008051B3" w:rsidRPr="0048595C" w:rsidRDefault="008051B3" w:rsidP="00C515D5">
      <w:pPr>
        <w:spacing w:before="120" w:after="120" w:line="240" w:lineRule="auto"/>
        <w:ind w:left="720"/>
        <w:jc w:val="both"/>
        <w:rPr>
          <w:rFonts w:ascii="Times New Roman" w:hAnsi="Times New Roman"/>
          <w:b/>
          <w:sz w:val="27"/>
          <w:szCs w:val="27"/>
        </w:rPr>
      </w:pPr>
      <w:r w:rsidRPr="0048595C">
        <w:rPr>
          <w:rFonts w:ascii="Times New Roman" w:hAnsi="Times New Roman"/>
          <w:b/>
          <w:sz w:val="27"/>
          <w:szCs w:val="27"/>
        </w:rPr>
        <w:t xml:space="preserve">1) </w:t>
      </w:r>
      <w:r w:rsidR="007E29F2" w:rsidRPr="0048595C">
        <w:rPr>
          <w:rFonts w:ascii="Times New Roman" w:hAnsi="Times New Roman"/>
          <w:b/>
          <w:sz w:val="27"/>
          <w:szCs w:val="27"/>
        </w:rPr>
        <w:t>e</w:t>
      </w:r>
      <w:r w:rsidRPr="0048595C">
        <w:rPr>
          <w:rFonts w:ascii="Times New Roman" w:hAnsi="Times New Roman"/>
          <w:b/>
          <w:sz w:val="27"/>
          <w:szCs w:val="27"/>
        </w:rPr>
        <w:t>fektīva valsts atbalsta sistēmas kontrole</w:t>
      </w:r>
      <w:r w:rsidR="007E29F2" w:rsidRPr="0048595C">
        <w:rPr>
          <w:rFonts w:ascii="Times New Roman" w:hAnsi="Times New Roman"/>
          <w:b/>
          <w:sz w:val="27"/>
          <w:szCs w:val="27"/>
        </w:rPr>
        <w:t>;</w:t>
      </w:r>
    </w:p>
    <w:p w14:paraId="6D0ECC00" w14:textId="26CE5628" w:rsidR="008051B3" w:rsidRDefault="008051B3" w:rsidP="00C515D5">
      <w:pPr>
        <w:spacing w:before="120" w:after="120" w:line="240" w:lineRule="auto"/>
        <w:ind w:left="720"/>
        <w:jc w:val="both"/>
        <w:rPr>
          <w:rFonts w:ascii="Times New Roman" w:hAnsi="Times New Roman"/>
          <w:b/>
          <w:sz w:val="27"/>
          <w:szCs w:val="27"/>
        </w:rPr>
      </w:pPr>
      <w:r w:rsidRPr="0048595C">
        <w:rPr>
          <w:rFonts w:ascii="Times New Roman" w:hAnsi="Times New Roman"/>
          <w:b/>
          <w:sz w:val="27"/>
          <w:szCs w:val="27"/>
        </w:rPr>
        <w:t xml:space="preserve">2) </w:t>
      </w:r>
      <w:r w:rsidR="00BD550F">
        <w:rPr>
          <w:rFonts w:ascii="Times New Roman" w:hAnsi="Times New Roman"/>
          <w:b/>
          <w:sz w:val="27"/>
          <w:szCs w:val="27"/>
        </w:rPr>
        <w:t>stingrākas prasības atbalsta saņēmējiem</w:t>
      </w:r>
      <w:r w:rsidR="002C16C4">
        <w:rPr>
          <w:rFonts w:ascii="Times New Roman" w:hAnsi="Times New Roman"/>
          <w:b/>
          <w:sz w:val="27"/>
          <w:szCs w:val="27"/>
        </w:rPr>
        <w:t>;</w:t>
      </w:r>
    </w:p>
    <w:p w14:paraId="54CBF0E8" w14:textId="0D463AD8" w:rsidR="002C16C4" w:rsidRPr="0048595C" w:rsidRDefault="002C16C4" w:rsidP="00C515D5">
      <w:pPr>
        <w:spacing w:before="120" w:after="120" w:line="240" w:lineRule="auto"/>
        <w:ind w:left="720"/>
        <w:jc w:val="both"/>
        <w:rPr>
          <w:rFonts w:ascii="Times New Roman" w:hAnsi="Times New Roman"/>
          <w:b/>
          <w:sz w:val="27"/>
          <w:szCs w:val="27"/>
        </w:rPr>
      </w:pPr>
      <w:r>
        <w:rPr>
          <w:rFonts w:ascii="Times New Roman" w:hAnsi="Times New Roman"/>
          <w:b/>
          <w:sz w:val="27"/>
          <w:szCs w:val="27"/>
        </w:rPr>
        <w:t>3) atbalsta</w:t>
      </w:r>
      <w:r w:rsidR="00582778">
        <w:rPr>
          <w:rFonts w:ascii="Times New Roman" w:hAnsi="Times New Roman"/>
          <w:b/>
          <w:sz w:val="27"/>
          <w:szCs w:val="27"/>
        </w:rPr>
        <w:t xml:space="preserve"> apmēra</w:t>
      </w:r>
      <w:r>
        <w:rPr>
          <w:rFonts w:ascii="Times New Roman" w:hAnsi="Times New Roman"/>
          <w:b/>
          <w:sz w:val="27"/>
          <w:szCs w:val="27"/>
        </w:rPr>
        <w:t xml:space="preserve"> ierobežošana;</w:t>
      </w:r>
    </w:p>
    <w:p w14:paraId="24F3F3B5" w14:textId="27BD9363" w:rsidR="0087794E" w:rsidRPr="0048595C" w:rsidRDefault="002C16C4" w:rsidP="00C515D5">
      <w:pPr>
        <w:spacing w:before="120" w:after="120" w:line="240" w:lineRule="auto"/>
        <w:ind w:left="720"/>
        <w:jc w:val="both"/>
        <w:rPr>
          <w:rFonts w:ascii="Times New Roman" w:hAnsi="Times New Roman"/>
          <w:b/>
          <w:sz w:val="27"/>
          <w:szCs w:val="27"/>
        </w:rPr>
      </w:pPr>
      <w:r>
        <w:rPr>
          <w:rFonts w:ascii="Times New Roman" w:hAnsi="Times New Roman"/>
          <w:b/>
          <w:sz w:val="27"/>
          <w:szCs w:val="27"/>
        </w:rPr>
        <w:t>4</w:t>
      </w:r>
      <w:r w:rsidR="0087794E" w:rsidRPr="0048595C">
        <w:rPr>
          <w:rFonts w:ascii="Times New Roman" w:hAnsi="Times New Roman"/>
          <w:b/>
          <w:sz w:val="27"/>
          <w:szCs w:val="27"/>
        </w:rPr>
        <w:t>) veicinoši apstākļi elektrostaciju darbam ārpus valsts atbalsta sistēmas;</w:t>
      </w:r>
    </w:p>
    <w:p w14:paraId="33D506D2" w14:textId="73EE9A00" w:rsidR="0087794E" w:rsidRDefault="002C16C4" w:rsidP="00C515D5">
      <w:pPr>
        <w:spacing w:before="120" w:after="120" w:line="240" w:lineRule="auto"/>
        <w:ind w:left="720"/>
        <w:jc w:val="both"/>
        <w:rPr>
          <w:rFonts w:ascii="Times New Roman" w:hAnsi="Times New Roman"/>
          <w:b/>
          <w:sz w:val="27"/>
          <w:szCs w:val="27"/>
        </w:rPr>
      </w:pPr>
      <w:r>
        <w:rPr>
          <w:rFonts w:ascii="Times New Roman" w:hAnsi="Times New Roman"/>
          <w:b/>
          <w:sz w:val="27"/>
          <w:szCs w:val="27"/>
        </w:rPr>
        <w:t>5</w:t>
      </w:r>
      <w:r w:rsidR="0087794E" w:rsidRPr="0048595C">
        <w:rPr>
          <w:rFonts w:ascii="Times New Roman" w:hAnsi="Times New Roman"/>
          <w:b/>
          <w:sz w:val="27"/>
          <w:szCs w:val="27"/>
        </w:rPr>
        <w:t>) elektroenerģijas gala patērētāju izmaksu samazināšana.</w:t>
      </w:r>
    </w:p>
    <w:p w14:paraId="0A133A6A" w14:textId="54E42273" w:rsidR="001E0C3D" w:rsidRPr="0048595C" w:rsidRDefault="00A115C4" w:rsidP="00A115C4">
      <w:pPr>
        <w:spacing w:before="120" w:after="120" w:line="240" w:lineRule="auto"/>
        <w:jc w:val="both"/>
        <w:rPr>
          <w:rFonts w:ascii="Times New Roman" w:hAnsi="Times New Roman"/>
          <w:b/>
          <w:sz w:val="27"/>
          <w:szCs w:val="27"/>
        </w:rPr>
      </w:pPr>
      <w:r>
        <w:rPr>
          <w:rFonts w:ascii="Times New Roman" w:hAnsi="Times New Roman"/>
          <w:bCs/>
          <w:sz w:val="27"/>
          <w:szCs w:val="27"/>
        </w:rPr>
        <w:t xml:space="preserve">Pasākumi šo rīcības virzienu ietvaros īstenojami, vērtējot to ietekmju kopsakarības </w:t>
      </w:r>
      <w:r w:rsidRPr="00A115C4">
        <w:rPr>
          <w:rFonts w:ascii="Times New Roman" w:hAnsi="Times New Roman"/>
          <w:bCs/>
          <w:sz w:val="27"/>
          <w:szCs w:val="27"/>
        </w:rPr>
        <w:t>un</w:t>
      </w:r>
      <w:r>
        <w:rPr>
          <w:rFonts w:ascii="Times New Roman" w:hAnsi="Times New Roman"/>
          <w:bCs/>
          <w:sz w:val="27"/>
          <w:szCs w:val="27"/>
        </w:rPr>
        <w:t>,</w:t>
      </w:r>
      <w:r w:rsidRPr="00A115C4">
        <w:rPr>
          <w:rFonts w:ascii="Times New Roman" w:hAnsi="Times New Roman"/>
          <w:bCs/>
          <w:sz w:val="27"/>
          <w:szCs w:val="27"/>
        </w:rPr>
        <w:t xml:space="preserve"> </w:t>
      </w:r>
      <w:r w:rsidR="00072F17" w:rsidRPr="00A115C4">
        <w:rPr>
          <w:rFonts w:ascii="Times New Roman" w:hAnsi="Times New Roman"/>
          <w:bCs/>
          <w:sz w:val="27"/>
          <w:szCs w:val="27"/>
        </w:rPr>
        <w:t>izvērtējams,</w:t>
      </w:r>
      <w:r w:rsidR="00072F17">
        <w:rPr>
          <w:rFonts w:ascii="Times New Roman" w:hAnsi="Times New Roman"/>
          <w:bCs/>
          <w:sz w:val="27"/>
          <w:szCs w:val="27"/>
        </w:rPr>
        <w:t xml:space="preserve"> vai </w:t>
      </w:r>
      <w:r w:rsidRPr="00A115C4">
        <w:rPr>
          <w:rFonts w:ascii="Times New Roman" w:hAnsi="Times New Roman"/>
          <w:bCs/>
          <w:sz w:val="27"/>
          <w:szCs w:val="27"/>
        </w:rPr>
        <w:t>veicot normatīvo aktu grozījumus, lai ieviestu šos pasākumus, vai</w:t>
      </w:r>
      <w:r w:rsidR="00072F17">
        <w:rPr>
          <w:rFonts w:ascii="Times New Roman" w:hAnsi="Times New Roman"/>
          <w:bCs/>
          <w:sz w:val="27"/>
          <w:szCs w:val="27"/>
        </w:rPr>
        <w:t xml:space="preserve"> </w:t>
      </w:r>
      <w:r w:rsidRPr="00A115C4">
        <w:rPr>
          <w:rFonts w:ascii="Times New Roman" w:hAnsi="Times New Roman"/>
          <w:bCs/>
          <w:sz w:val="27"/>
          <w:szCs w:val="27"/>
        </w:rPr>
        <w:t>kopsakarā ar citiem ieviešamajiem pasākumiem to raksturs kopumā ir atturošs un efektīvs</w:t>
      </w:r>
      <w:r>
        <w:rPr>
          <w:rFonts w:ascii="Times New Roman" w:hAnsi="Times New Roman"/>
          <w:bCs/>
          <w:sz w:val="27"/>
          <w:szCs w:val="27"/>
        </w:rPr>
        <w:t xml:space="preserve"> un </w:t>
      </w:r>
      <w:r w:rsidRPr="00A115C4">
        <w:rPr>
          <w:rFonts w:ascii="Times New Roman" w:hAnsi="Times New Roman"/>
          <w:bCs/>
          <w:sz w:val="27"/>
          <w:szCs w:val="27"/>
        </w:rPr>
        <w:t>tie nav nesamērīgi</w:t>
      </w:r>
      <w:r>
        <w:rPr>
          <w:rFonts w:ascii="Times New Roman" w:hAnsi="Times New Roman"/>
          <w:bCs/>
          <w:sz w:val="27"/>
          <w:szCs w:val="27"/>
        </w:rPr>
        <w:t>.</w:t>
      </w:r>
    </w:p>
    <w:p w14:paraId="03FEC11B" w14:textId="433C1B42" w:rsidR="008051B3" w:rsidRPr="00E31BAC" w:rsidRDefault="00E31BAC" w:rsidP="00C515D5">
      <w:pPr>
        <w:spacing w:before="120" w:after="120" w:line="240" w:lineRule="auto"/>
        <w:jc w:val="both"/>
        <w:rPr>
          <w:rFonts w:ascii="Times New Roman" w:hAnsi="Times New Roman"/>
          <w:i/>
          <w:sz w:val="27"/>
          <w:szCs w:val="27"/>
        </w:rPr>
      </w:pPr>
      <w:r>
        <w:rPr>
          <w:rFonts w:ascii="Times New Roman" w:hAnsi="Times New Roman"/>
          <w:b/>
          <w:i/>
          <w:sz w:val="28"/>
          <w:szCs w:val="27"/>
        </w:rPr>
        <w:t>E</w:t>
      </w:r>
      <w:r w:rsidRPr="00E31BAC">
        <w:rPr>
          <w:rFonts w:ascii="Times New Roman" w:hAnsi="Times New Roman"/>
          <w:b/>
          <w:i/>
          <w:sz w:val="28"/>
          <w:szCs w:val="27"/>
        </w:rPr>
        <w:t>nerģētikas politikas īstenošanas funkcijas</w:t>
      </w:r>
    </w:p>
    <w:p w14:paraId="4C20478D" w14:textId="1089D884" w:rsidR="00B31143" w:rsidRDefault="00601919" w:rsidP="001C0C3A">
      <w:pPr>
        <w:spacing w:before="120" w:after="120" w:line="240" w:lineRule="auto"/>
        <w:jc w:val="both"/>
        <w:rPr>
          <w:rFonts w:ascii="Times New Roman" w:hAnsi="Times New Roman"/>
          <w:sz w:val="27"/>
          <w:szCs w:val="27"/>
        </w:rPr>
      </w:pPr>
      <w:r>
        <w:rPr>
          <w:rFonts w:ascii="Times New Roman" w:hAnsi="Times New Roman"/>
          <w:sz w:val="27"/>
          <w:szCs w:val="27"/>
        </w:rPr>
        <w:t>V</w:t>
      </w:r>
      <w:r w:rsidR="001C0C3A" w:rsidRPr="001C0C3A">
        <w:rPr>
          <w:rFonts w:ascii="Times New Roman" w:hAnsi="Times New Roman"/>
          <w:sz w:val="27"/>
          <w:szCs w:val="27"/>
        </w:rPr>
        <w:t xml:space="preserve">eicot </w:t>
      </w:r>
      <w:proofErr w:type="spellStart"/>
      <w:r w:rsidR="001C0C3A" w:rsidRPr="001C0C3A">
        <w:rPr>
          <w:rFonts w:ascii="Times New Roman" w:hAnsi="Times New Roman"/>
          <w:sz w:val="27"/>
          <w:szCs w:val="27"/>
        </w:rPr>
        <w:t>izvērtējumu</w:t>
      </w:r>
      <w:proofErr w:type="spellEnd"/>
      <w:r w:rsidR="001C0C3A" w:rsidRPr="001C0C3A">
        <w:rPr>
          <w:rFonts w:ascii="Times New Roman" w:hAnsi="Times New Roman"/>
          <w:sz w:val="27"/>
          <w:szCs w:val="27"/>
        </w:rPr>
        <w:t xml:space="preserve"> </w:t>
      </w:r>
      <w:r w:rsidR="00B31143">
        <w:rPr>
          <w:rFonts w:ascii="Times New Roman" w:hAnsi="Times New Roman"/>
          <w:sz w:val="27"/>
          <w:szCs w:val="27"/>
        </w:rPr>
        <w:t xml:space="preserve">par </w:t>
      </w:r>
      <w:r w:rsidR="001C0C3A" w:rsidRPr="001C0C3A">
        <w:rPr>
          <w:rFonts w:ascii="Times New Roman" w:hAnsi="Times New Roman"/>
          <w:sz w:val="27"/>
          <w:szCs w:val="27"/>
        </w:rPr>
        <w:t>šā brīža</w:t>
      </w:r>
      <w:r w:rsidR="001C0C3A">
        <w:rPr>
          <w:rFonts w:ascii="Times New Roman" w:hAnsi="Times New Roman"/>
          <w:sz w:val="27"/>
          <w:szCs w:val="27"/>
        </w:rPr>
        <w:t xml:space="preserve"> enerģētikas </w:t>
      </w:r>
      <w:r w:rsidR="00876023">
        <w:rPr>
          <w:rFonts w:ascii="Times New Roman" w:hAnsi="Times New Roman"/>
          <w:sz w:val="27"/>
          <w:szCs w:val="27"/>
        </w:rPr>
        <w:t>politikas īstenošanas</w:t>
      </w:r>
      <w:r w:rsidR="001C0C3A" w:rsidRPr="001C0C3A">
        <w:rPr>
          <w:rFonts w:ascii="Times New Roman" w:hAnsi="Times New Roman"/>
          <w:sz w:val="27"/>
          <w:szCs w:val="27"/>
        </w:rPr>
        <w:t xml:space="preserve"> kapacitātes un efektivitātes iespējām Ekonomikas ministrijā un tiem esošajiem un jaunajiem pienākumiem, kas izriet </w:t>
      </w:r>
      <w:r w:rsidR="00B31143">
        <w:rPr>
          <w:rFonts w:ascii="Times New Roman" w:hAnsi="Times New Roman"/>
          <w:sz w:val="27"/>
          <w:szCs w:val="27"/>
        </w:rPr>
        <w:t xml:space="preserve">no </w:t>
      </w:r>
      <w:r w:rsidR="001C0C3A" w:rsidRPr="001C0C3A">
        <w:rPr>
          <w:rFonts w:ascii="Times New Roman" w:hAnsi="Times New Roman"/>
          <w:sz w:val="27"/>
          <w:szCs w:val="27"/>
        </w:rPr>
        <w:t xml:space="preserve">ES normatīvo aktu pilnīgas ieviešanas, īstenošanas un uzraudzības, tika secināts, ka šobrīd Ekonomikas ministrijas kompetencē ir vairākas </w:t>
      </w:r>
      <w:r w:rsidR="00876023">
        <w:rPr>
          <w:rFonts w:ascii="Times New Roman" w:hAnsi="Times New Roman"/>
          <w:sz w:val="27"/>
          <w:szCs w:val="27"/>
        </w:rPr>
        <w:t xml:space="preserve">īstenošanas </w:t>
      </w:r>
      <w:r w:rsidR="001C0C3A" w:rsidRPr="001C0C3A">
        <w:rPr>
          <w:rFonts w:ascii="Times New Roman" w:hAnsi="Times New Roman"/>
          <w:sz w:val="27"/>
          <w:szCs w:val="27"/>
        </w:rPr>
        <w:t xml:space="preserve">funkcijas un </w:t>
      </w:r>
      <w:r w:rsidR="003860A2">
        <w:rPr>
          <w:rFonts w:ascii="Times New Roman" w:hAnsi="Times New Roman"/>
          <w:sz w:val="27"/>
          <w:szCs w:val="27"/>
        </w:rPr>
        <w:t>uzdevumi</w:t>
      </w:r>
      <w:r w:rsidR="001C0C3A" w:rsidRPr="001C0C3A">
        <w:rPr>
          <w:rFonts w:ascii="Times New Roman" w:hAnsi="Times New Roman"/>
          <w:sz w:val="27"/>
          <w:szCs w:val="27"/>
        </w:rPr>
        <w:t>, kuru izpildei nav pieejama kapacitāte, līdz ar to tās tiek veiktas samazinātā apjomā</w:t>
      </w:r>
      <w:r w:rsidR="001C0C3A">
        <w:rPr>
          <w:rFonts w:ascii="Times New Roman" w:hAnsi="Times New Roman"/>
          <w:sz w:val="27"/>
          <w:szCs w:val="27"/>
        </w:rPr>
        <w:t>, tajā skaitā attiecībā uz OI mehānisma uzraudzību</w:t>
      </w:r>
      <w:r w:rsidR="001C0C3A" w:rsidRPr="001C0C3A">
        <w:rPr>
          <w:rFonts w:ascii="Times New Roman" w:hAnsi="Times New Roman"/>
          <w:sz w:val="27"/>
          <w:szCs w:val="27"/>
        </w:rPr>
        <w:t xml:space="preserve">. </w:t>
      </w:r>
    </w:p>
    <w:p w14:paraId="3E8E293A" w14:textId="754B870B" w:rsidR="001C0C3A" w:rsidRPr="001C0C3A" w:rsidRDefault="001C0C3A" w:rsidP="001C0C3A">
      <w:pPr>
        <w:spacing w:before="120" w:after="120" w:line="240" w:lineRule="auto"/>
        <w:jc w:val="both"/>
        <w:rPr>
          <w:rFonts w:ascii="Times New Roman" w:hAnsi="Times New Roman"/>
          <w:sz w:val="27"/>
          <w:szCs w:val="27"/>
        </w:rPr>
      </w:pPr>
      <w:r>
        <w:rPr>
          <w:rFonts w:ascii="Times New Roman" w:hAnsi="Times New Roman"/>
          <w:sz w:val="27"/>
          <w:szCs w:val="27"/>
        </w:rPr>
        <w:t>S</w:t>
      </w:r>
      <w:r w:rsidRPr="001C0C3A">
        <w:rPr>
          <w:rFonts w:ascii="Times New Roman" w:hAnsi="Times New Roman"/>
          <w:sz w:val="27"/>
          <w:szCs w:val="27"/>
        </w:rPr>
        <w:t>ecināts</w:t>
      </w:r>
      <w:r>
        <w:rPr>
          <w:rFonts w:ascii="Times New Roman" w:hAnsi="Times New Roman"/>
          <w:sz w:val="27"/>
          <w:szCs w:val="27"/>
        </w:rPr>
        <w:t xml:space="preserve"> arī</w:t>
      </w:r>
      <w:r w:rsidRPr="001C0C3A">
        <w:rPr>
          <w:rFonts w:ascii="Times New Roman" w:hAnsi="Times New Roman"/>
          <w:sz w:val="27"/>
          <w:szCs w:val="27"/>
        </w:rPr>
        <w:t xml:space="preserve">, ka ir vairākas funkcijas un </w:t>
      </w:r>
      <w:r w:rsidR="003860A2">
        <w:rPr>
          <w:rFonts w:ascii="Times New Roman" w:hAnsi="Times New Roman"/>
          <w:sz w:val="27"/>
          <w:szCs w:val="27"/>
        </w:rPr>
        <w:t>uzdevumi</w:t>
      </w:r>
      <w:r w:rsidRPr="001C0C3A">
        <w:rPr>
          <w:rFonts w:ascii="Times New Roman" w:hAnsi="Times New Roman"/>
          <w:sz w:val="27"/>
          <w:szCs w:val="27"/>
        </w:rPr>
        <w:t xml:space="preserve">, ko Ekonomikas ministrija veic vēsturisku apsvērumu dēļ, kā arī to, ka vairākas funkcijas, kas būtu jāveic, </w:t>
      </w:r>
      <w:r w:rsidRPr="00B70E87">
        <w:rPr>
          <w:rFonts w:ascii="Times New Roman" w:hAnsi="Times New Roman"/>
          <w:sz w:val="27"/>
          <w:szCs w:val="27"/>
        </w:rPr>
        <w:t>Ekonomikas ministrija</w:t>
      </w:r>
      <w:r w:rsidR="000735A8" w:rsidRPr="00B70E87">
        <w:rPr>
          <w:rFonts w:ascii="Times New Roman" w:hAnsi="Times New Roman"/>
          <w:sz w:val="27"/>
          <w:szCs w:val="27"/>
        </w:rPr>
        <w:t>i</w:t>
      </w:r>
      <w:r w:rsidRPr="00B70E87">
        <w:rPr>
          <w:rFonts w:ascii="Times New Roman" w:hAnsi="Times New Roman"/>
          <w:sz w:val="27"/>
          <w:szCs w:val="27"/>
        </w:rPr>
        <w:t xml:space="preserve"> </w:t>
      </w:r>
      <w:r w:rsidR="000735A8" w:rsidRPr="00B70E87">
        <w:rPr>
          <w:rFonts w:ascii="Times New Roman" w:hAnsi="Times New Roman"/>
          <w:sz w:val="27"/>
          <w:szCs w:val="27"/>
        </w:rPr>
        <w:t xml:space="preserve">nebūtu tipiski veicamas, piemēram, </w:t>
      </w:r>
      <w:r w:rsidR="00CC5DC4" w:rsidRPr="00B70E87">
        <w:rPr>
          <w:rFonts w:ascii="Times New Roman" w:hAnsi="Times New Roman"/>
          <w:sz w:val="27"/>
          <w:szCs w:val="27"/>
        </w:rPr>
        <w:t>elektrostaciju fiziskā pārbaude (</w:t>
      </w:r>
      <w:proofErr w:type="spellStart"/>
      <w:r w:rsidR="00CC5DC4" w:rsidRPr="00B70E87">
        <w:rPr>
          <w:rFonts w:ascii="Times New Roman" w:hAnsi="Times New Roman"/>
          <w:sz w:val="27"/>
          <w:szCs w:val="27"/>
        </w:rPr>
        <w:t>apsekojums</w:t>
      </w:r>
      <w:proofErr w:type="spellEnd"/>
      <w:r w:rsidR="00CC5DC4" w:rsidRPr="00B70E87">
        <w:rPr>
          <w:rFonts w:ascii="Times New Roman" w:hAnsi="Times New Roman"/>
          <w:sz w:val="27"/>
          <w:szCs w:val="27"/>
        </w:rPr>
        <w:t xml:space="preserve">) un elektrostaciju atbilstības tehniskā pārbaude normatīvo aktu prasībām, degvielas tirgus uzraudzības darbības – degvielas paraugu ņemšana, degvielas paraugu testēšana, degvielas piegādātāju, degvielas </w:t>
      </w:r>
      <w:proofErr w:type="spellStart"/>
      <w:r w:rsidR="00CC5DC4" w:rsidRPr="00B70E87">
        <w:rPr>
          <w:rFonts w:ascii="Times New Roman" w:hAnsi="Times New Roman"/>
          <w:sz w:val="27"/>
          <w:szCs w:val="27"/>
        </w:rPr>
        <w:t>uzpildes</w:t>
      </w:r>
      <w:proofErr w:type="spellEnd"/>
      <w:r w:rsidR="00CC5DC4" w:rsidRPr="00B70E87">
        <w:rPr>
          <w:rFonts w:ascii="Times New Roman" w:hAnsi="Times New Roman"/>
          <w:sz w:val="27"/>
          <w:szCs w:val="27"/>
        </w:rPr>
        <w:t xml:space="preserve"> staciju, naftas bāžu fiziskie </w:t>
      </w:r>
      <w:proofErr w:type="spellStart"/>
      <w:r w:rsidR="00CC5DC4" w:rsidRPr="00B70E87">
        <w:rPr>
          <w:rFonts w:ascii="Times New Roman" w:hAnsi="Times New Roman"/>
          <w:sz w:val="27"/>
          <w:szCs w:val="27"/>
        </w:rPr>
        <w:t>apsekojumi</w:t>
      </w:r>
      <w:proofErr w:type="spellEnd"/>
      <w:r w:rsidR="000735A8" w:rsidRPr="00B70E87">
        <w:rPr>
          <w:rFonts w:ascii="Times New Roman" w:hAnsi="Times New Roman"/>
          <w:sz w:val="27"/>
          <w:szCs w:val="27"/>
        </w:rPr>
        <w:t>,</w:t>
      </w:r>
      <w:r w:rsidR="00CC5DC4" w:rsidRPr="00B70E87">
        <w:rPr>
          <w:rFonts w:ascii="Times New Roman" w:hAnsi="Times New Roman"/>
          <w:sz w:val="27"/>
          <w:szCs w:val="27"/>
        </w:rPr>
        <w:t xml:space="preserve"> piemērošana</w:t>
      </w:r>
      <w:r w:rsidRPr="00B70E87">
        <w:rPr>
          <w:rFonts w:ascii="Times New Roman" w:hAnsi="Times New Roman"/>
          <w:sz w:val="27"/>
          <w:szCs w:val="27"/>
        </w:rPr>
        <w:t>.</w:t>
      </w:r>
      <w:r w:rsidRPr="001C0C3A">
        <w:rPr>
          <w:rFonts w:ascii="Times New Roman" w:hAnsi="Times New Roman"/>
          <w:sz w:val="27"/>
          <w:szCs w:val="27"/>
        </w:rPr>
        <w:t xml:space="preserve"> </w:t>
      </w:r>
      <w:r>
        <w:rPr>
          <w:rFonts w:ascii="Times New Roman" w:hAnsi="Times New Roman"/>
          <w:sz w:val="27"/>
          <w:szCs w:val="27"/>
        </w:rPr>
        <w:t>Tāpat</w:t>
      </w:r>
      <w:r w:rsidRPr="001C0C3A">
        <w:rPr>
          <w:rFonts w:ascii="Times New Roman" w:hAnsi="Times New Roman"/>
          <w:sz w:val="27"/>
          <w:szCs w:val="27"/>
        </w:rPr>
        <w:t xml:space="preserve"> secināts, ka vairākas funkcijas un </w:t>
      </w:r>
      <w:r w:rsidR="003860A2">
        <w:rPr>
          <w:rFonts w:ascii="Times New Roman" w:hAnsi="Times New Roman"/>
          <w:sz w:val="27"/>
          <w:szCs w:val="27"/>
        </w:rPr>
        <w:t xml:space="preserve">uzdevumi </w:t>
      </w:r>
      <w:r w:rsidRPr="001C0C3A">
        <w:rPr>
          <w:rFonts w:ascii="Times New Roman" w:hAnsi="Times New Roman"/>
          <w:sz w:val="27"/>
          <w:szCs w:val="27"/>
        </w:rPr>
        <w:t>ir jāsāk īstenot pēc iespējas ātrāk vai jāturpina veikt daudz lielākā kapacitātē un apjomā, lai nepieļautu situāciju, ka Eiropas Komisija nosaka Latvijas Republikai soda sankcijas ES normatīvo aktu neieviešanas un neizpildes gadījumā, piemēram</w:t>
      </w:r>
      <w:r>
        <w:rPr>
          <w:rFonts w:ascii="Times New Roman" w:hAnsi="Times New Roman"/>
          <w:sz w:val="27"/>
          <w:szCs w:val="27"/>
        </w:rPr>
        <w:t>, attiecībā uz</w:t>
      </w:r>
      <w:r w:rsidRPr="001C0C3A">
        <w:rPr>
          <w:rFonts w:ascii="Times New Roman" w:hAnsi="Times New Roman"/>
          <w:sz w:val="27"/>
          <w:szCs w:val="27"/>
        </w:rPr>
        <w:t xml:space="preserve"> transporta enerģijas nosacījumi</w:t>
      </w:r>
      <w:r>
        <w:rPr>
          <w:rFonts w:ascii="Times New Roman" w:hAnsi="Times New Roman"/>
          <w:sz w:val="27"/>
          <w:szCs w:val="27"/>
        </w:rPr>
        <w:t>em un</w:t>
      </w:r>
      <w:r w:rsidRPr="001C0C3A">
        <w:rPr>
          <w:rFonts w:ascii="Times New Roman" w:hAnsi="Times New Roman"/>
          <w:sz w:val="27"/>
          <w:szCs w:val="27"/>
        </w:rPr>
        <w:t xml:space="preserve"> energoefektivitātes uzlabošanas pienākumu veikšanas uzraudzīb</w:t>
      </w:r>
      <w:r>
        <w:rPr>
          <w:rFonts w:ascii="Times New Roman" w:hAnsi="Times New Roman"/>
          <w:sz w:val="27"/>
          <w:szCs w:val="27"/>
        </w:rPr>
        <w:t>u.</w:t>
      </w:r>
    </w:p>
    <w:p w14:paraId="467E4133" w14:textId="6D5486A5" w:rsidR="00E31BAC" w:rsidRDefault="001C0C3A" w:rsidP="00F84472">
      <w:pPr>
        <w:spacing w:before="120" w:after="120" w:line="240" w:lineRule="auto"/>
        <w:jc w:val="both"/>
        <w:rPr>
          <w:rFonts w:ascii="Times New Roman" w:eastAsiaTheme="majorEastAsia" w:hAnsi="Times New Roman"/>
          <w:b/>
          <w:sz w:val="28"/>
          <w:szCs w:val="32"/>
        </w:rPr>
      </w:pPr>
      <w:r w:rsidRPr="001C0C3A">
        <w:rPr>
          <w:rFonts w:ascii="Times New Roman" w:hAnsi="Times New Roman"/>
          <w:sz w:val="27"/>
          <w:szCs w:val="27"/>
        </w:rPr>
        <w:lastRenderedPageBreak/>
        <w:t xml:space="preserve">Līdz ar </w:t>
      </w:r>
      <w:r w:rsidRPr="006B0341">
        <w:rPr>
          <w:rFonts w:ascii="Times New Roman" w:hAnsi="Times New Roman"/>
          <w:sz w:val="27"/>
          <w:szCs w:val="27"/>
        </w:rPr>
        <w:t xml:space="preserve">to </w:t>
      </w:r>
      <w:r w:rsidR="006B0341" w:rsidRPr="006B0341">
        <w:rPr>
          <w:rFonts w:ascii="Times New Roman" w:hAnsi="Times New Roman"/>
          <w:sz w:val="27"/>
          <w:szCs w:val="27"/>
        </w:rPr>
        <w:t>šajā informatīvajā z</w:t>
      </w:r>
      <w:r w:rsidRPr="006B0341">
        <w:rPr>
          <w:rFonts w:ascii="Times New Roman" w:hAnsi="Times New Roman"/>
          <w:sz w:val="27"/>
          <w:szCs w:val="27"/>
        </w:rPr>
        <w:t>iņojumā iekļautais risinājums</w:t>
      </w:r>
      <w:r w:rsidRPr="001C0C3A">
        <w:rPr>
          <w:rFonts w:ascii="Times New Roman" w:hAnsi="Times New Roman"/>
          <w:sz w:val="27"/>
          <w:szCs w:val="27"/>
        </w:rPr>
        <w:t xml:space="preserve"> paredz iespēju šobrīd Ekonomikas ministrijai noteiktās</w:t>
      </w:r>
      <w:r>
        <w:rPr>
          <w:rFonts w:ascii="Times New Roman" w:hAnsi="Times New Roman"/>
          <w:sz w:val="27"/>
          <w:szCs w:val="27"/>
        </w:rPr>
        <w:t xml:space="preserve"> enerģētikas </w:t>
      </w:r>
      <w:r w:rsidR="00E31BAC">
        <w:rPr>
          <w:rFonts w:ascii="Times New Roman" w:hAnsi="Times New Roman"/>
          <w:sz w:val="27"/>
          <w:szCs w:val="27"/>
        </w:rPr>
        <w:t>politikas īstenošanas</w:t>
      </w:r>
      <w:r w:rsidRPr="001C0C3A">
        <w:rPr>
          <w:rFonts w:ascii="Times New Roman" w:hAnsi="Times New Roman"/>
          <w:sz w:val="27"/>
          <w:szCs w:val="27"/>
        </w:rPr>
        <w:t xml:space="preserve"> funkcijas un </w:t>
      </w:r>
      <w:r w:rsidR="003860A2">
        <w:rPr>
          <w:rFonts w:ascii="Times New Roman" w:hAnsi="Times New Roman"/>
          <w:sz w:val="27"/>
          <w:szCs w:val="27"/>
        </w:rPr>
        <w:t>uzdevumus</w:t>
      </w:r>
      <w:r>
        <w:rPr>
          <w:rFonts w:ascii="Times New Roman" w:hAnsi="Times New Roman"/>
          <w:sz w:val="27"/>
          <w:szCs w:val="27"/>
        </w:rPr>
        <w:t xml:space="preserve">, tostarp attiecībā uz OI mehānisma uzraudzību, </w:t>
      </w:r>
      <w:r w:rsidR="003860A2">
        <w:rPr>
          <w:rFonts w:ascii="Times New Roman" w:hAnsi="Times New Roman"/>
          <w:sz w:val="27"/>
          <w:szCs w:val="27"/>
        </w:rPr>
        <w:t xml:space="preserve">nodot </w:t>
      </w:r>
      <w:r w:rsidR="006B0341" w:rsidRPr="006B0341">
        <w:rPr>
          <w:rFonts w:ascii="Times New Roman" w:hAnsi="Times New Roman"/>
          <w:sz w:val="27"/>
          <w:szCs w:val="27"/>
        </w:rPr>
        <w:t>Būvniecības valsts kontroles birojam</w:t>
      </w:r>
      <w:r w:rsidR="006B0341">
        <w:rPr>
          <w:rFonts w:ascii="Times New Roman" w:hAnsi="Times New Roman"/>
          <w:sz w:val="27"/>
          <w:szCs w:val="27"/>
        </w:rPr>
        <w:t xml:space="preserve"> (turpmāk –</w:t>
      </w:r>
      <w:r w:rsidRPr="001C0C3A">
        <w:rPr>
          <w:rFonts w:ascii="Times New Roman" w:hAnsi="Times New Roman"/>
          <w:sz w:val="27"/>
          <w:szCs w:val="27"/>
        </w:rPr>
        <w:t xml:space="preserve"> </w:t>
      </w:r>
      <w:r w:rsidR="005673E6">
        <w:rPr>
          <w:rFonts w:ascii="Times New Roman" w:hAnsi="Times New Roman"/>
          <w:sz w:val="27"/>
          <w:szCs w:val="27"/>
        </w:rPr>
        <w:t>BVKB</w:t>
      </w:r>
      <w:r w:rsidR="006B0341">
        <w:rPr>
          <w:rFonts w:ascii="Times New Roman" w:hAnsi="Times New Roman"/>
          <w:sz w:val="27"/>
          <w:szCs w:val="27"/>
        </w:rPr>
        <w:t>)</w:t>
      </w:r>
      <w:r w:rsidRPr="001C0C3A">
        <w:rPr>
          <w:rFonts w:ascii="Times New Roman" w:hAnsi="Times New Roman"/>
          <w:sz w:val="27"/>
          <w:szCs w:val="27"/>
        </w:rPr>
        <w:t xml:space="preserve">, tādējādi arī </w:t>
      </w:r>
      <w:proofErr w:type="spellStart"/>
      <w:r w:rsidRPr="001C0C3A">
        <w:rPr>
          <w:rFonts w:ascii="Times New Roman" w:hAnsi="Times New Roman"/>
          <w:sz w:val="27"/>
          <w:szCs w:val="27"/>
        </w:rPr>
        <w:t>efektivizējot</w:t>
      </w:r>
      <w:proofErr w:type="spellEnd"/>
      <w:r w:rsidRPr="001C0C3A">
        <w:rPr>
          <w:rFonts w:ascii="Times New Roman" w:hAnsi="Times New Roman"/>
          <w:sz w:val="27"/>
          <w:szCs w:val="27"/>
        </w:rPr>
        <w:t xml:space="preserve"> valsts pārvaldi, centralizējot atbalsta funkcijas un apvienojot </w:t>
      </w:r>
      <w:r>
        <w:rPr>
          <w:rFonts w:ascii="Times New Roman" w:hAnsi="Times New Roman"/>
          <w:sz w:val="27"/>
          <w:szCs w:val="27"/>
        </w:rPr>
        <w:t>saistītās</w:t>
      </w:r>
      <w:r w:rsidRPr="001C0C3A">
        <w:rPr>
          <w:rFonts w:ascii="Times New Roman" w:hAnsi="Times New Roman"/>
          <w:sz w:val="27"/>
          <w:szCs w:val="27"/>
        </w:rPr>
        <w:t xml:space="preserve"> funkcijas</w:t>
      </w:r>
      <w:r w:rsidRPr="00FE544D">
        <w:rPr>
          <w:rFonts w:ascii="Times New Roman" w:hAnsi="Times New Roman"/>
          <w:sz w:val="27"/>
          <w:szCs w:val="27"/>
        </w:rPr>
        <w:t>.</w:t>
      </w:r>
      <w:r w:rsidR="00FE544D" w:rsidRPr="00FE544D">
        <w:rPr>
          <w:rFonts w:ascii="Times New Roman" w:hAnsi="Times New Roman"/>
          <w:sz w:val="27"/>
          <w:szCs w:val="27"/>
        </w:rPr>
        <w:t xml:space="preserve"> </w:t>
      </w:r>
      <w:r w:rsidR="006B3BA0" w:rsidRPr="00FE544D">
        <w:rPr>
          <w:rFonts w:ascii="Times New Roman" w:hAnsi="Times New Roman"/>
          <w:sz w:val="27"/>
          <w:szCs w:val="27"/>
        </w:rPr>
        <w:t>Tādējādi šāds risinājumus ir priekšnoteikums, lai īstenotu OIK problemātikas risināšanai piedāvātos pasākumus, kas lielā mērā saistīti ar efektīvu valsts atbalsta sistēmas uzraudzību.</w:t>
      </w:r>
      <w:r w:rsidR="006B3BA0">
        <w:rPr>
          <w:rFonts w:ascii="Times New Roman" w:hAnsi="Times New Roman"/>
          <w:sz w:val="27"/>
          <w:szCs w:val="27"/>
        </w:rPr>
        <w:t xml:space="preserve"> </w:t>
      </w:r>
      <w:r w:rsidR="00E31BAC">
        <w:br w:type="page"/>
      </w:r>
    </w:p>
    <w:p w14:paraId="0735BF25" w14:textId="1899271D" w:rsidR="001C0C3A" w:rsidRPr="00F268BA" w:rsidRDefault="00B31143" w:rsidP="00F268BA">
      <w:pPr>
        <w:pStyle w:val="Heading1"/>
        <w:jc w:val="center"/>
      </w:pPr>
      <w:bookmarkStart w:id="13" w:name="_Toc13152087"/>
      <w:r w:rsidRPr="00F268BA">
        <w:lastRenderedPageBreak/>
        <w:t>I. OIK problemātikas risinājumi</w:t>
      </w:r>
      <w:bookmarkEnd w:id="13"/>
    </w:p>
    <w:p w14:paraId="77B6D9D8" w14:textId="77777777" w:rsidR="00B31143" w:rsidRPr="00B31143" w:rsidRDefault="00B31143" w:rsidP="001C0C3A">
      <w:pPr>
        <w:spacing w:before="120" w:after="120" w:line="240" w:lineRule="auto"/>
        <w:jc w:val="both"/>
        <w:rPr>
          <w:rFonts w:ascii="Times New Roman" w:hAnsi="Times New Roman"/>
          <w:b/>
          <w:sz w:val="27"/>
          <w:szCs w:val="27"/>
          <w:u w:val="single"/>
        </w:rPr>
      </w:pPr>
    </w:p>
    <w:p w14:paraId="50CB1432" w14:textId="654DB19D" w:rsidR="00076896" w:rsidRPr="00AD2746" w:rsidRDefault="001C0C3A" w:rsidP="00AD2746">
      <w:pPr>
        <w:pStyle w:val="Heading1"/>
        <w:rPr>
          <w:u w:val="single"/>
        </w:rPr>
      </w:pPr>
      <w:bookmarkStart w:id="14" w:name="_Toc9244608"/>
      <w:bookmarkStart w:id="15" w:name="_Toc13152088"/>
      <w:r w:rsidRPr="00AD2746">
        <w:rPr>
          <w:u w:val="single"/>
        </w:rPr>
        <w:t>1</w:t>
      </w:r>
      <w:r w:rsidR="0087794E" w:rsidRPr="00AD2746">
        <w:rPr>
          <w:u w:val="single"/>
        </w:rPr>
        <w:t xml:space="preserve">. </w:t>
      </w:r>
      <w:r w:rsidR="004E2F8F" w:rsidRPr="00AD2746">
        <w:rPr>
          <w:u w:val="single"/>
        </w:rPr>
        <w:t xml:space="preserve">Rīcības virziens - </w:t>
      </w:r>
      <w:r w:rsidR="00D244AC" w:rsidRPr="00AD2746">
        <w:rPr>
          <w:u w:val="single"/>
        </w:rPr>
        <w:t>E</w:t>
      </w:r>
      <w:r w:rsidR="00794274" w:rsidRPr="00AD2746">
        <w:rPr>
          <w:u w:val="single"/>
        </w:rPr>
        <w:t>fektīva valsts atbalsta sistēmas kontrole</w:t>
      </w:r>
      <w:bookmarkEnd w:id="14"/>
      <w:bookmarkEnd w:id="15"/>
    </w:p>
    <w:p w14:paraId="43404457" w14:textId="4E49DDDA" w:rsidR="00076896" w:rsidRPr="0048595C" w:rsidRDefault="00076896" w:rsidP="00C515D5">
      <w:pPr>
        <w:spacing w:before="120" w:after="120" w:line="240" w:lineRule="auto"/>
        <w:jc w:val="both"/>
        <w:rPr>
          <w:rFonts w:ascii="Times New Roman" w:hAnsi="Times New Roman"/>
          <w:b/>
          <w:sz w:val="27"/>
          <w:szCs w:val="27"/>
        </w:rPr>
      </w:pPr>
      <w:r w:rsidRPr="0048595C">
        <w:rPr>
          <w:rFonts w:ascii="Times New Roman" w:hAnsi="Times New Roman"/>
          <w:b/>
          <w:sz w:val="27"/>
          <w:szCs w:val="27"/>
        </w:rPr>
        <w:t>Mērķis</w:t>
      </w:r>
      <w:r w:rsidR="001C3D68" w:rsidRPr="0048595C">
        <w:rPr>
          <w:rFonts w:ascii="Times New Roman" w:hAnsi="Times New Roman"/>
          <w:b/>
          <w:sz w:val="27"/>
          <w:szCs w:val="27"/>
        </w:rPr>
        <w:t xml:space="preserve">: </w:t>
      </w:r>
      <w:r w:rsidRPr="0048595C">
        <w:rPr>
          <w:rFonts w:ascii="Times New Roman" w:hAnsi="Times New Roman"/>
          <w:sz w:val="27"/>
          <w:szCs w:val="27"/>
        </w:rPr>
        <w:t xml:space="preserve">Nodrošināt, ka valsts atbalsta OI mehānisma ietvaros saņēmējus kontrolē efektīvs kontroles departaments, par kura darbu maksā paši atbalsta saņēmēji, un ka atbalsta saņēmēji atbilst dažādu jomu Latvijas </w:t>
      </w:r>
      <w:r w:rsidR="00CE3F09">
        <w:rPr>
          <w:rFonts w:ascii="Times New Roman" w:hAnsi="Times New Roman"/>
          <w:sz w:val="27"/>
          <w:szCs w:val="27"/>
        </w:rPr>
        <w:t xml:space="preserve">normatīvo aktu </w:t>
      </w:r>
      <w:r w:rsidRPr="0048595C">
        <w:rPr>
          <w:rFonts w:ascii="Times New Roman" w:hAnsi="Times New Roman"/>
          <w:sz w:val="27"/>
          <w:szCs w:val="27"/>
        </w:rPr>
        <w:t>prasībām</w:t>
      </w:r>
      <w:r w:rsidR="001B2D49">
        <w:rPr>
          <w:rFonts w:ascii="Times New Roman" w:hAnsi="Times New Roman"/>
          <w:sz w:val="27"/>
          <w:szCs w:val="27"/>
        </w:rPr>
        <w:t>.</w:t>
      </w:r>
    </w:p>
    <w:p w14:paraId="6B3284A6" w14:textId="14F714FB" w:rsidR="00076896" w:rsidRPr="0048595C" w:rsidRDefault="00076896" w:rsidP="00C515D5">
      <w:pPr>
        <w:spacing w:before="120" w:after="120" w:line="240" w:lineRule="auto"/>
        <w:jc w:val="both"/>
        <w:rPr>
          <w:rFonts w:ascii="Times New Roman" w:hAnsi="Times New Roman"/>
          <w:b/>
          <w:sz w:val="27"/>
          <w:szCs w:val="27"/>
        </w:rPr>
      </w:pPr>
      <w:r w:rsidRPr="0048595C">
        <w:rPr>
          <w:rFonts w:ascii="Times New Roman" w:hAnsi="Times New Roman"/>
          <w:b/>
          <w:sz w:val="27"/>
          <w:szCs w:val="27"/>
        </w:rPr>
        <w:t xml:space="preserve">Rīcība: </w:t>
      </w:r>
    </w:p>
    <w:p w14:paraId="31D9DAF3" w14:textId="2B116C0F" w:rsidR="0087794E" w:rsidRPr="0048595C" w:rsidRDefault="00923BA3" w:rsidP="00C515D5">
      <w:pPr>
        <w:spacing w:before="120" w:after="120" w:line="240" w:lineRule="auto"/>
        <w:jc w:val="both"/>
        <w:rPr>
          <w:rFonts w:ascii="Times New Roman" w:hAnsi="Times New Roman"/>
          <w:b/>
          <w:sz w:val="27"/>
          <w:szCs w:val="27"/>
        </w:rPr>
      </w:pPr>
      <w:r w:rsidRPr="0048595C">
        <w:rPr>
          <w:rFonts w:ascii="Times New Roman" w:hAnsi="Times New Roman"/>
          <w:b/>
          <w:sz w:val="27"/>
          <w:szCs w:val="27"/>
        </w:rPr>
        <w:t>1</w:t>
      </w:r>
      <w:r w:rsidR="00401368">
        <w:rPr>
          <w:rFonts w:ascii="Times New Roman" w:hAnsi="Times New Roman"/>
          <w:b/>
          <w:sz w:val="27"/>
          <w:szCs w:val="27"/>
        </w:rPr>
        <w:t xml:space="preserve">. </w:t>
      </w:r>
      <w:r w:rsidRPr="0048595C">
        <w:rPr>
          <w:rFonts w:ascii="Times New Roman" w:hAnsi="Times New Roman"/>
          <w:b/>
          <w:sz w:val="27"/>
          <w:szCs w:val="27"/>
        </w:rPr>
        <w:t xml:space="preserve">OI mehānisma </w:t>
      </w:r>
      <w:r w:rsidR="0087794E" w:rsidRPr="0048595C">
        <w:rPr>
          <w:rFonts w:ascii="Times New Roman" w:hAnsi="Times New Roman"/>
          <w:b/>
          <w:sz w:val="27"/>
          <w:szCs w:val="27"/>
        </w:rPr>
        <w:t>uzraudzīb</w:t>
      </w:r>
      <w:r w:rsidR="000C4D18" w:rsidRPr="0048595C">
        <w:rPr>
          <w:rFonts w:ascii="Times New Roman" w:hAnsi="Times New Roman"/>
          <w:b/>
          <w:sz w:val="27"/>
          <w:szCs w:val="27"/>
        </w:rPr>
        <w:t xml:space="preserve">as funkcijas nodošana </w:t>
      </w:r>
      <w:r w:rsidR="006B0341">
        <w:rPr>
          <w:rFonts w:ascii="Times New Roman" w:hAnsi="Times New Roman"/>
          <w:b/>
          <w:sz w:val="27"/>
          <w:szCs w:val="27"/>
        </w:rPr>
        <w:t>BVKB</w:t>
      </w:r>
      <w:r w:rsidR="0034339D">
        <w:rPr>
          <w:rFonts w:ascii="Times New Roman" w:hAnsi="Times New Roman"/>
          <w:b/>
          <w:sz w:val="27"/>
          <w:szCs w:val="27"/>
        </w:rPr>
        <w:t xml:space="preserve"> un </w:t>
      </w:r>
      <w:r w:rsidR="002711E4">
        <w:rPr>
          <w:rFonts w:ascii="Times New Roman" w:hAnsi="Times New Roman"/>
          <w:b/>
          <w:sz w:val="27"/>
          <w:szCs w:val="27"/>
        </w:rPr>
        <w:t>enerģētikas nozares valsts atbalsta sistēmas darbības regulēšanas</w:t>
      </w:r>
      <w:r w:rsidR="009C193E" w:rsidRPr="009C193E">
        <w:rPr>
          <w:rFonts w:ascii="Times New Roman" w:hAnsi="Times New Roman"/>
          <w:b/>
          <w:sz w:val="27"/>
          <w:szCs w:val="27"/>
        </w:rPr>
        <w:t xml:space="preserve"> nodeva</w:t>
      </w:r>
      <w:r w:rsidR="009C193E">
        <w:rPr>
          <w:rFonts w:ascii="Times New Roman" w:hAnsi="Times New Roman"/>
          <w:b/>
          <w:sz w:val="27"/>
          <w:szCs w:val="27"/>
        </w:rPr>
        <w:t xml:space="preserve">s (turpmāk </w:t>
      </w:r>
      <w:r w:rsidR="0038326F">
        <w:rPr>
          <w:rFonts w:ascii="Times New Roman" w:hAnsi="Times New Roman"/>
          <w:b/>
          <w:sz w:val="27"/>
          <w:szCs w:val="27"/>
        </w:rPr>
        <w:t>–</w:t>
      </w:r>
      <w:r w:rsidR="009C193E">
        <w:rPr>
          <w:rFonts w:ascii="Times New Roman" w:hAnsi="Times New Roman"/>
          <w:b/>
          <w:sz w:val="27"/>
          <w:szCs w:val="27"/>
        </w:rPr>
        <w:t xml:space="preserve"> </w:t>
      </w:r>
      <w:r w:rsidR="009C193E" w:rsidRPr="009C193E">
        <w:rPr>
          <w:rFonts w:ascii="Times New Roman" w:hAnsi="Times New Roman"/>
          <w:b/>
          <w:sz w:val="27"/>
          <w:szCs w:val="27"/>
        </w:rPr>
        <w:t>valsts atbalsta elektroenerģijas ražošanai nodeva</w:t>
      </w:r>
      <w:r w:rsidR="009C193E">
        <w:rPr>
          <w:rFonts w:ascii="Times New Roman" w:hAnsi="Times New Roman"/>
          <w:b/>
          <w:sz w:val="27"/>
          <w:szCs w:val="27"/>
        </w:rPr>
        <w:t>)</w:t>
      </w:r>
      <w:r w:rsidR="0034339D">
        <w:rPr>
          <w:rFonts w:ascii="Times New Roman" w:hAnsi="Times New Roman"/>
          <w:b/>
          <w:sz w:val="27"/>
          <w:szCs w:val="27"/>
        </w:rPr>
        <w:t xml:space="preserve"> ieviešana</w:t>
      </w:r>
    </w:p>
    <w:p w14:paraId="1B356F38" w14:textId="36D3A186" w:rsidR="00195835" w:rsidRDefault="00EB1D9B" w:rsidP="00C515D5">
      <w:pPr>
        <w:spacing w:before="120" w:after="120" w:line="240" w:lineRule="auto"/>
        <w:jc w:val="both"/>
        <w:rPr>
          <w:rFonts w:ascii="Times New Roman" w:hAnsi="Times New Roman"/>
          <w:sz w:val="27"/>
          <w:szCs w:val="27"/>
        </w:rPr>
      </w:pPr>
      <w:r w:rsidRPr="0048595C">
        <w:rPr>
          <w:rFonts w:ascii="Times New Roman" w:hAnsi="Times New Roman"/>
          <w:sz w:val="27"/>
          <w:szCs w:val="27"/>
        </w:rPr>
        <w:t>Būtiskus uzlabojumus ir iespēja</w:t>
      </w:r>
      <w:r w:rsidR="00D56FDA">
        <w:rPr>
          <w:rFonts w:ascii="Times New Roman" w:hAnsi="Times New Roman"/>
          <w:sz w:val="27"/>
          <w:szCs w:val="27"/>
        </w:rPr>
        <w:t>m</w:t>
      </w:r>
      <w:r w:rsidRPr="0048595C">
        <w:rPr>
          <w:rFonts w:ascii="Times New Roman" w:hAnsi="Times New Roman"/>
          <w:sz w:val="27"/>
          <w:szCs w:val="27"/>
        </w:rPr>
        <w:t>s gūt</w:t>
      </w:r>
      <w:r w:rsidR="00794274" w:rsidRPr="0048595C">
        <w:rPr>
          <w:rFonts w:ascii="Times New Roman" w:hAnsi="Times New Roman"/>
          <w:sz w:val="27"/>
          <w:szCs w:val="27"/>
        </w:rPr>
        <w:t xml:space="preserve"> reformējot pastāvošo kontroles mehānismu,</w:t>
      </w:r>
      <w:r w:rsidRPr="0048595C">
        <w:rPr>
          <w:rFonts w:ascii="Times New Roman" w:hAnsi="Times New Roman"/>
          <w:sz w:val="27"/>
          <w:szCs w:val="27"/>
        </w:rPr>
        <w:t xml:space="preserve"> izveidojot jaunu </w:t>
      </w:r>
      <w:r w:rsidRPr="0048595C">
        <w:rPr>
          <w:rFonts w:ascii="Times New Roman" w:hAnsi="Times New Roman"/>
          <w:b/>
          <w:sz w:val="27"/>
          <w:szCs w:val="27"/>
        </w:rPr>
        <w:t xml:space="preserve">efektīvu </w:t>
      </w:r>
      <w:r w:rsidR="00A224D6">
        <w:rPr>
          <w:rFonts w:ascii="Times New Roman" w:hAnsi="Times New Roman"/>
          <w:b/>
          <w:sz w:val="27"/>
          <w:szCs w:val="27"/>
        </w:rPr>
        <w:t xml:space="preserve">OI mehānisma </w:t>
      </w:r>
      <w:r w:rsidRPr="0048595C">
        <w:rPr>
          <w:rFonts w:ascii="Times New Roman" w:hAnsi="Times New Roman"/>
          <w:b/>
          <w:sz w:val="27"/>
          <w:szCs w:val="27"/>
        </w:rPr>
        <w:t xml:space="preserve">kontroles </w:t>
      </w:r>
      <w:r w:rsidR="00794274" w:rsidRPr="0048595C">
        <w:rPr>
          <w:rFonts w:ascii="Times New Roman" w:hAnsi="Times New Roman"/>
          <w:b/>
          <w:sz w:val="27"/>
          <w:szCs w:val="27"/>
        </w:rPr>
        <w:t>dienestu</w:t>
      </w:r>
      <w:r w:rsidRPr="0048595C">
        <w:rPr>
          <w:rFonts w:ascii="Times New Roman" w:hAnsi="Times New Roman"/>
          <w:sz w:val="27"/>
          <w:szCs w:val="27"/>
        </w:rPr>
        <w:t xml:space="preserve">. Kontroles mērķis plašākā nozīmē būtu vērtēt vai OI saņēmēji rīkojas atbilstoši godīguma un saimnieciskuma principiem. </w:t>
      </w:r>
    </w:p>
    <w:p w14:paraId="783592CA" w14:textId="1356AB02" w:rsidR="007F7E30" w:rsidRPr="00A224D6" w:rsidRDefault="000C4D18" w:rsidP="008D06DB">
      <w:pPr>
        <w:pStyle w:val="paragraph"/>
        <w:numPr>
          <w:ilvl w:val="0"/>
          <w:numId w:val="18"/>
        </w:numPr>
        <w:spacing w:before="120" w:beforeAutospacing="0" w:after="120" w:afterAutospacing="0"/>
        <w:jc w:val="both"/>
        <w:textAlignment w:val="baseline"/>
        <w:rPr>
          <w:sz w:val="27"/>
          <w:szCs w:val="27"/>
        </w:rPr>
      </w:pPr>
      <w:r w:rsidRPr="007F7E30">
        <w:rPr>
          <w:sz w:val="27"/>
          <w:szCs w:val="27"/>
        </w:rPr>
        <w:t xml:space="preserve">Nododot līdz šim Ekonomikas ministrijas un AS “Enerģijas publiskais tirgotājs” īstenotās uzraudzības funkcijas, </w:t>
      </w:r>
      <w:r w:rsidRPr="007F7E30">
        <w:rPr>
          <w:b/>
          <w:sz w:val="27"/>
          <w:szCs w:val="27"/>
        </w:rPr>
        <w:t>BVKB izveidot jaun</w:t>
      </w:r>
      <w:r w:rsidR="001C3D68" w:rsidRPr="007F7E30">
        <w:rPr>
          <w:b/>
          <w:sz w:val="27"/>
          <w:szCs w:val="27"/>
        </w:rPr>
        <w:t>u</w:t>
      </w:r>
      <w:r w:rsidRPr="007F7E30">
        <w:rPr>
          <w:b/>
          <w:sz w:val="27"/>
          <w:szCs w:val="27"/>
        </w:rPr>
        <w:t xml:space="preserve"> OI saņēmēju uzraudzības departament</w:t>
      </w:r>
      <w:r w:rsidR="001C3D68" w:rsidRPr="007F7E30">
        <w:rPr>
          <w:b/>
          <w:sz w:val="27"/>
          <w:szCs w:val="27"/>
        </w:rPr>
        <w:t>u</w:t>
      </w:r>
      <w:r w:rsidRPr="007F7E30">
        <w:rPr>
          <w:sz w:val="27"/>
          <w:szCs w:val="27"/>
        </w:rPr>
        <w:t xml:space="preserve"> ar plašu deleģējumu un pietiekamiem resursiem.</w:t>
      </w:r>
      <w:r w:rsidR="007F7E30">
        <w:rPr>
          <w:sz w:val="27"/>
          <w:szCs w:val="27"/>
        </w:rPr>
        <w:t xml:space="preserve"> </w:t>
      </w:r>
      <w:r w:rsidR="007F7E30" w:rsidRPr="007F7E30">
        <w:rPr>
          <w:sz w:val="27"/>
          <w:szCs w:val="27"/>
        </w:rPr>
        <w:t xml:space="preserve">Vienlaikus šāds risinājums īstenojams reizē ar citu Ekonomikas ministrijas īstenoto enerģētikas sektora administrēšanas funkciju nodošanu </w:t>
      </w:r>
      <w:r w:rsidR="0002103D">
        <w:rPr>
          <w:sz w:val="27"/>
          <w:szCs w:val="27"/>
        </w:rPr>
        <w:t>BVKB.</w:t>
      </w:r>
      <w:r w:rsidR="00A224D6">
        <w:rPr>
          <w:sz w:val="27"/>
          <w:szCs w:val="27"/>
        </w:rPr>
        <w:t xml:space="preserve"> </w:t>
      </w:r>
      <w:r w:rsidR="00A224D6" w:rsidRPr="0002103D">
        <w:rPr>
          <w:sz w:val="27"/>
          <w:szCs w:val="27"/>
        </w:rPr>
        <w:t xml:space="preserve">Detalizētāk par Ekonomikas ministrijas enerģētikas sektora uzraudzības funkciju nodošanu BVKB skatīt </w:t>
      </w:r>
      <w:r w:rsidR="00A224D6">
        <w:rPr>
          <w:sz w:val="27"/>
          <w:szCs w:val="27"/>
        </w:rPr>
        <w:t xml:space="preserve">II. </w:t>
      </w:r>
      <w:r w:rsidR="00A224D6" w:rsidRPr="0002103D">
        <w:rPr>
          <w:sz w:val="27"/>
          <w:szCs w:val="27"/>
        </w:rPr>
        <w:t xml:space="preserve">nodaļā. </w:t>
      </w:r>
    </w:p>
    <w:p w14:paraId="49BD8928" w14:textId="7CA52F9C" w:rsidR="002711E4" w:rsidRDefault="002711E4" w:rsidP="00AD2746">
      <w:pPr>
        <w:pStyle w:val="tv213"/>
        <w:shd w:val="clear" w:color="auto" w:fill="FFFFFF"/>
        <w:rPr>
          <w:sz w:val="27"/>
          <w:szCs w:val="27"/>
        </w:rPr>
      </w:pPr>
      <w:r>
        <w:rPr>
          <w:sz w:val="27"/>
          <w:szCs w:val="27"/>
        </w:rPr>
        <w:t xml:space="preserve">Tiek izveidota </w:t>
      </w:r>
      <w:r w:rsidR="0038031A">
        <w:rPr>
          <w:b/>
          <w:sz w:val="27"/>
          <w:szCs w:val="27"/>
        </w:rPr>
        <w:t>enerģētikas nozares valsts atbalsta sistēmas darbības regulēšanas</w:t>
      </w:r>
      <w:r w:rsidR="0038031A" w:rsidRPr="009C193E">
        <w:rPr>
          <w:b/>
          <w:sz w:val="27"/>
          <w:szCs w:val="27"/>
        </w:rPr>
        <w:t xml:space="preserve"> </w:t>
      </w:r>
      <w:r>
        <w:rPr>
          <w:b/>
          <w:sz w:val="27"/>
          <w:szCs w:val="27"/>
        </w:rPr>
        <w:t>nodeva</w:t>
      </w:r>
      <w:r>
        <w:rPr>
          <w:rStyle w:val="FootnoteReference"/>
          <w:b/>
          <w:sz w:val="27"/>
          <w:szCs w:val="27"/>
        </w:rPr>
        <w:footnoteReference w:id="2"/>
      </w:r>
      <w:r>
        <w:rPr>
          <w:sz w:val="27"/>
          <w:szCs w:val="27"/>
        </w:rPr>
        <w:t>, no kuras ieņēmumiem tik finansēta OI mehānisma uzraudzība, tostarp tiek nodrošināts finansējums BVKB OI saņēmēju uzraudzības departamentam. Nodevas mērķis ir nodrošināt valsts atbalsta sistēmas elektroenerģijas ražošanai kontroles un uzraudzības efektīvu un pilnvērtīgu darbību. Šī nodeva ir piemērojama visiem elektroenerģijas ražotājiem, kuri saņem valsts atbalstu enerģētikas sistēmas ietvaros, tai skaitā valsta atbalstu elektroenerģijas ražošanai, un kur atbalsts sistēmas izmaksas netiek segtas no citiem ārējiem finansējuma avotiem. Tiklīdz tiktu izveidoti valsta atbalsta mehānismi citiem elektroenerģijas ražošanas veidiem, minētā nodeva tiktu piemērota arī tiem. Šobrīd tiek piedāvāts piemērot nodevu visiem elektroenerģijas ražotājiem, kuri pārdod elektroenerģiju obligātā iepirkuma ietvaros vai kuri saņem maksu par koģenerācijas stacijā uzstādīto elektrisko jaudu. Tiek piedāvāts noteikt vienu nodevas likmi visiem elektroenerģijas ražotājiem. Piedāvātās nodevas likmes samērīgums ir izvērtēts, konstatējot, ka piedāvātais nodevas apjoms nepārsniedz 2-3% no elektroenerģijas ražotājam izmaksātā atbalsta virs tirgus cenas. Tāpat ir arī izvērtētas iespējamās alternatīvas. Ekonomikas ministrija ir aprēķinājusi, ka šobrīd iemaksātais nodevas apjoms varētu sasniegt 1,1 milj.</w:t>
      </w:r>
      <w:r w:rsidR="00512DAA" w:rsidRPr="00512DAA">
        <w:rPr>
          <w:i/>
          <w:iCs/>
          <w:sz w:val="27"/>
          <w:szCs w:val="27"/>
        </w:rPr>
        <w:t xml:space="preserve"> </w:t>
      </w:r>
      <w:proofErr w:type="spellStart"/>
      <w:r w:rsidR="00512DAA" w:rsidRPr="00BA3B4D">
        <w:rPr>
          <w:i/>
          <w:iCs/>
          <w:sz w:val="27"/>
          <w:szCs w:val="27"/>
        </w:rPr>
        <w:t>euro</w:t>
      </w:r>
      <w:proofErr w:type="spellEnd"/>
      <w:r>
        <w:rPr>
          <w:sz w:val="27"/>
          <w:szCs w:val="27"/>
        </w:rPr>
        <w:t xml:space="preserve">. </w:t>
      </w:r>
    </w:p>
    <w:p w14:paraId="61A6516B" w14:textId="77777777" w:rsidR="002711E4" w:rsidRDefault="002711E4" w:rsidP="002711E4">
      <w:pPr>
        <w:pStyle w:val="ListParagraph"/>
        <w:spacing w:before="120" w:after="120" w:line="240" w:lineRule="auto"/>
        <w:ind w:left="360"/>
        <w:jc w:val="both"/>
        <w:rPr>
          <w:rFonts w:ascii="Times New Roman" w:hAnsi="Times New Roman"/>
          <w:sz w:val="27"/>
          <w:szCs w:val="27"/>
        </w:rPr>
      </w:pPr>
    </w:p>
    <w:p w14:paraId="14C30D92" w14:textId="3C7B4F84" w:rsidR="007F7E30" w:rsidRPr="007F7E30" w:rsidRDefault="000C4D18" w:rsidP="008D06DB">
      <w:pPr>
        <w:pStyle w:val="ListParagraph"/>
        <w:numPr>
          <w:ilvl w:val="0"/>
          <w:numId w:val="18"/>
        </w:numPr>
        <w:spacing w:before="120" w:after="120" w:line="240" w:lineRule="auto"/>
        <w:jc w:val="both"/>
        <w:rPr>
          <w:rFonts w:ascii="Times New Roman" w:hAnsi="Times New Roman"/>
          <w:sz w:val="27"/>
          <w:szCs w:val="27"/>
        </w:rPr>
      </w:pPr>
      <w:r w:rsidRPr="007F7E30">
        <w:rPr>
          <w:rFonts w:ascii="Times New Roman" w:hAnsi="Times New Roman"/>
          <w:sz w:val="27"/>
          <w:szCs w:val="27"/>
        </w:rPr>
        <w:t xml:space="preserve">BVKB </w:t>
      </w:r>
      <w:r w:rsidR="003860A2">
        <w:rPr>
          <w:rFonts w:ascii="Times New Roman" w:hAnsi="Times New Roman"/>
          <w:sz w:val="27"/>
          <w:szCs w:val="27"/>
        </w:rPr>
        <w:t>nodotas</w:t>
      </w:r>
      <w:r w:rsidRPr="007F7E30">
        <w:rPr>
          <w:rFonts w:ascii="Times New Roman" w:hAnsi="Times New Roman"/>
          <w:sz w:val="27"/>
          <w:szCs w:val="27"/>
        </w:rPr>
        <w:t xml:space="preserve"> </w:t>
      </w:r>
      <w:r w:rsidRPr="007F7E30">
        <w:rPr>
          <w:rFonts w:ascii="Times New Roman" w:hAnsi="Times New Roman"/>
          <w:b/>
          <w:sz w:val="27"/>
          <w:szCs w:val="27"/>
        </w:rPr>
        <w:t>tiesības prasīt pilnu informāciju par komersanta saimniecisko darbību</w:t>
      </w:r>
      <w:r w:rsidRPr="007F7E30">
        <w:rPr>
          <w:rFonts w:ascii="Times New Roman" w:hAnsi="Times New Roman"/>
          <w:sz w:val="27"/>
          <w:szCs w:val="27"/>
        </w:rPr>
        <w:t xml:space="preserve"> un nepieciešamības gadījumā to nodot ārējam auditoram un </w:t>
      </w:r>
      <w:r w:rsidRPr="007F7E30">
        <w:rPr>
          <w:rFonts w:ascii="Times New Roman" w:hAnsi="Times New Roman"/>
          <w:b/>
          <w:sz w:val="27"/>
          <w:szCs w:val="27"/>
        </w:rPr>
        <w:t xml:space="preserve">tiesības īpašos gadījumos OI staciju saimnieciskās darbības </w:t>
      </w:r>
      <w:proofErr w:type="spellStart"/>
      <w:r w:rsidRPr="007F7E30">
        <w:rPr>
          <w:rFonts w:ascii="Times New Roman" w:hAnsi="Times New Roman"/>
          <w:b/>
          <w:sz w:val="27"/>
          <w:szCs w:val="27"/>
        </w:rPr>
        <w:t>izvērtējumam</w:t>
      </w:r>
      <w:proofErr w:type="spellEnd"/>
      <w:r w:rsidRPr="007F7E30">
        <w:rPr>
          <w:rFonts w:ascii="Times New Roman" w:hAnsi="Times New Roman"/>
          <w:b/>
          <w:sz w:val="27"/>
          <w:szCs w:val="27"/>
        </w:rPr>
        <w:t xml:space="preserve"> piesaistīt ārējos auditorus</w:t>
      </w:r>
      <w:r w:rsidRPr="007F7E30">
        <w:rPr>
          <w:rFonts w:ascii="Times New Roman" w:hAnsi="Times New Roman"/>
          <w:sz w:val="27"/>
          <w:szCs w:val="27"/>
        </w:rPr>
        <w:t xml:space="preserve"> ar nolūku novērst apzināti nesaimniecisku rīcību.</w:t>
      </w:r>
    </w:p>
    <w:p w14:paraId="7AA0065E" w14:textId="52F1D8B8" w:rsidR="0002103D" w:rsidRPr="00A224D6" w:rsidRDefault="000C4D18" w:rsidP="008D06DB">
      <w:pPr>
        <w:pStyle w:val="ListParagraph"/>
        <w:numPr>
          <w:ilvl w:val="0"/>
          <w:numId w:val="18"/>
        </w:numPr>
        <w:spacing w:before="120" w:after="120" w:line="240" w:lineRule="auto"/>
        <w:jc w:val="both"/>
        <w:rPr>
          <w:rFonts w:ascii="Times New Roman" w:hAnsi="Times New Roman"/>
          <w:sz w:val="27"/>
          <w:szCs w:val="27"/>
        </w:rPr>
      </w:pPr>
      <w:r w:rsidRPr="007F7E30">
        <w:rPr>
          <w:rFonts w:ascii="Times New Roman" w:hAnsi="Times New Roman"/>
          <w:sz w:val="27"/>
          <w:szCs w:val="27"/>
        </w:rPr>
        <w:t xml:space="preserve">BVKB </w:t>
      </w:r>
      <w:r w:rsidR="003860A2">
        <w:rPr>
          <w:rFonts w:ascii="Times New Roman" w:hAnsi="Times New Roman"/>
          <w:sz w:val="27"/>
          <w:szCs w:val="27"/>
        </w:rPr>
        <w:t>nodotas</w:t>
      </w:r>
      <w:r w:rsidR="003860A2" w:rsidRPr="007F7E30">
        <w:rPr>
          <w:rFonts w:ascii="Times New Roman" w:hAnsi="Times New Roman"/>
          <w:sz w:val="27"/>
          <w:szCs w:val="27"/>
        </w:rPr>
        <w:t xml:space="preserve"> </w:t>
      </w:r>
      <w:r w:rsidRPr="007F7E30">
        <w:rPr>
          <w:rFonts w:ascii="Times New Roman" w:hAnsi="Times New Roman"/>
          <w:b/>
          <w:sz w:val="27"/>
          <w:szCs w:val="27"/>
        </w:rPr>
        <w:t xml:space="preserve">tiesības </w:t>
      </w:r>
      <w:r w:rsidR="003B4939" w:rsidRPr="007F7E30">
        <w:rPr>
          <w:rFonts w:ascii="Times New Roman" w:hAnsi="Times New Roman"/>
          <w:b/>
          <w:sz w:val="27"/>
          <w:szCs w:val="27"/>
        </w:rPr>
        <w:t xml:space="preserve">OI saņēmējiem </w:t>
      </w:r>
      <w:r w:rsidRPr="007F7E30">
        <w:rPr>
          <w:rFonts w:ascii="Times New Roman" w:hAnsi="Times New Roman"/>
          <w:b/>
          <w:sz w:val="27"/>
          <w:szCs w:val="27"/>
        </w:rPr>
        <w:t>noteikt tiesisku pienākumu attiecībā uz saimnieciskas rīcības stiprināšanu.</w:t>
      </w:r>
    </w:p>
    <w:p w14:paraId="4671BA82" w14:textId="77777777" w:rsidR="00A224D6" w:rsidRDefault="00A224D6" w:rsidP="00C515D5">
      <w:pPr>
        <w:spacing w:before="120" w:after="120" w:line="240" w:lineRule="auto"/>
        <w:jc w:val="both"/>
        <w:rPr>
          <w:rFonts w:ascii="Times New Roman" w:hAnsi="Times New Roman"/>
          <w:b/>
          <w:sz w:val="27"/>
          <w:szCs w:val="27"/>
        </w:rPr>
      </w:pPr>
    </w:p>
    <w:p w14:paraId="0C5E138D" w14:textId="7C1B82B1" w:rsidR="00923BA3" w:rsidRPr="0048595C" w:rsidRDefault="00923BA3" w:rsidP="00C515D5">
      <w:pPr>
        <w:spacing w:before="120" w:after="120" w:line="240" w:lineRule="auto"/>
        <w:jc w:val="both"/>
        <w:rPr>
          <w:rFonts w:ascii="Times New Roman" w:hAnsi="Times New Roman"/>
          <w:b/>
          <w:sz w:val="27"/>
          <w:szCs w:val="27"/>
        </w:rPr>
      </w:pPr>
      <w:r w:rsidRPr="0048595C">
        <w:rPr>
          <w:rFonts w:ascii="Times New Roman" w:hAnsi="Times New Roman"/>
          <w:b/>
          <w:sz w:val="27"/>
          <w:szCs w:val="27"/>
        </w:rPr>
        <w:t>2</w:t>
      </w:r>
      <w:r w:rsidR="00401368">
        <w:rPr>
          <w:rFonts w:ascii="Times New Roman" w:hAnsi="Times New Roman"/>
          <w:b/>
          <w:sz w:val="27"/>
          <w:szCs w:val="27"/>
        </w:rPr>
        <w:t>.</w:t>
      </w:r>
      <w:r w:rsidRPr="0048595C">
        <w:rPr>
          <w:rFonts w:ascii="Times New Roman" w:hAnsi="Times New Roman"/>
          <w:b/>
          <w:sz w:val="27"/>
          <w:szCs w:val="27"/>
        </w:rPr>
        <w:t xml:space="preserve"> OI saņēmēju auditu</w:t>
      </w:r>
      <w:r w:rsidR="000C4D18" w:rsidRPr="0048595C">
        <w:rPr>
          <w:rFonts w:ascii="Times New Roman" w:hAnsi="Times New Roman"/>
          <w:b/>
          <w:sz w:val="27"/>
          <w:szCs w:val="27"/>
        </w:rPr>
        <w:t xml:space="preserve"> pabeigšana līdz 2019.gada beigām</w:t>
      </w:r>
    </w:p>
    <w:p w14:paraId="45D8834D" w14:textId="0B3441D7" w:rsidR="001C3D68" w:rsidRPr="00AD2746" w:rsidRDefault="00EB1D9B" w:rsidP="00AD2746">
      <w:pPr>
        <w:pStyle w:val="ListParagraph"/>
        <w:numPr>
          <w:ilvl w:val="0"/>
          <w:numId w:val="45"/>
        </w:numPr>
        <w:spacing w:before="120" w:after="120" w:line="240" w:lineRule="auto"/>
        <w:jc w:val="both"/>
        <w:rPr>
          <w:rFonts w:ascii="Times New Roman" w:hAnsi="Times New Roman"/>
          <w:sz w:val="27"/>
          <w:szCs w:val="27"/>
        </w:rPr>
      </w:pPr>
      <w:r w:rsidRPr="0002103D">
        <w:rPr>
          <w:rFonts w:ascii="Times New Roman" w:hAnsi="Times New Roman"/>
          <w:sz w:val="27"/>
          <w:szCs w:val="27"/>
        </w:rPr>
        <w:t>Pilnvērtīga</w:t>
      </w:r>
      <w:r w:rsidR="00794274" w:rsidRPr="0002103D">
        <w:rPr>
          <w:rFonts w:ascii="Times New Roman" w:hAnsi="Times New Roman"/>
          <w:sz w:val="27"/>
          <w:szCs w:val="27"/>
        </w:rPr>
        <w:t>m</w:t>
      </w:r>
      <w:r w:rsidRPr="0002103D">
        <w:rPr>
          <w:rFonts w:ascii="Times New Roman" w:hAnsi="Times New Roman"/>
          <w:sz w:val="27"/>
          <w:szCs w:val="27"/>
        </w:rPr>
        <w:t xml:space="preserve"> situācijas novērtējumam </w:t>
      </w:r>
      <w:r w:rsidR="00794274" w:rsidRPr="0002103D">
        <w:rPr>
          <w:rFonts w:ascii="Times New Roman" w:hAnsi="Times New Roman"/>
          <w:sz w:val="27"/>
          <w:szCs w:val="27"/>
        </w:rPr>
        <w:t xml:space="preserve">līdz šim plānoto pakāpenisko OI staciju pārbaude jāpaātrina, </w:t>
      </w:r>
      <w:r w:rsidRPr="0002103D">
        <w:rPr>
          <w:rFonts w:ascii="Times New Roman" w:hAnsi="Times New Roman"/>
          <w:b/>
          <w:sz w:val="27"/>
          <w:szCs w:val="27"/>
        </w:rPr>
        <w:t>visu OI staciju kontroles noslēdz</w:t>
      </w:r>
      <w:r w:rsidR="00794274" w:rsidRPr="0002103D">
        <w:rPr>
          <w:rFonts w:ascii="Times New Roman" w:hAnsi="Times New Roman"/>
          <w:b/>
          <w:sz w:val="27"/>
          <w:szCs w:val="27"/>
        </w:rPr>
        <w:t>ot</w:t>
      </w:r>
      <w:r w:rsidRPr="0002103D">
        <w:rPr>
          <w:rFonts w:ascii="Times New Roman" w:hAnsi="Times New Roman"/>
          <w:b/>
          <w:sz w:val="27"/>
          <w:szCs w:val="27"/>
        </w:rPr>
        <w:t xml:space="preserve"> jau 2019.gadā</w:t>
      </w:r>
      <w:r w:rsidR="001C3D68" w:rsidRPr="0002103D">
        <w:rPr>
          <w:rFonts w:ascii="Times New Roman" w:hAnsi="Times New Roman"/>
          <w:sz w:val="27"/>
          <w:szCs w:val="27"/>
        </w:rPr>
        <w:t xml:space="preserve">. Provizoriskās papildu izmaksas </w:t>
      </w:r>
      <w:r w:rsidR="0002103D">
        <w:rPr>
          <w:rFonts w:ascii="Times New Roman" w:hAnsi="Times New Roman"/>
          <w:sz w:val="27"/>
          <w:szCs w:val="27"/>
        </w:rPr>
        <w:t xml:space="preserve">2019.gadā </w:t>
      </w:r>
      <w:r w:rsidR="001C3D68" w:rsidRPr="0002103D">
        <w:rPr>
          <w:rFonts w:ascii="Times New Roman" w:hAnsi="Times New Roman"/>
          <w:sz w:val="27"/>
          <w:szCs w:val="27"/>
        </w:rPr>
        <w:t xml:space="preserve">šim </w:t>
      </w:r>
      <w:r w:rsidR="0002103D">
        <w:rPr>
          <w:rFonts w:ascii="Times New Roman" w:hAnsi="Times New Roman"/>
          <w:sz w:val="27"/>
          <w:szCs w:val="27"/>
        </w:rPr>
        <w:t>mērķim</w:t>
      </w:r>
      <w:r w:rsidR="001C3D68" w:rsidRPr="0002103D">
        <w:rPr>
          <w:rFonts w:ascii="Times New Roman" w:hAnsi="Times New Roman"/>
          <w:sz w:val="27"/>
          <w:szCs w:val="27"/>
        </w:rPr>
        <w:t xml:space="preserve"> paredzamas  60 000 – 80 000 </w:t>
      </w:r>
      <w:proofErr w:type="spellStart"/>
      <w:r w:rsidR="001C3D68" w:rsidRPr="0002103D">
        <w:rPr>
          <w:rFonts w:ascii="Times New Roman" w:hAnsi="Times New Roman"/>
          <w:i/>
          <w:sz w:val="27"/>
          <w:szCs w:val="27"/>
        </w:rPr>
        <w:t>euro</w:t>
      </w:r>
      <w:proofErr w:type="spellEnd"/>
      <w:r w:rsidR="001C3D68" w:rsidRPr="0002103D">
        <w:rPr>
          <w:rFonts w:ascii="Times New Roman" w:hAnsi="Times New Roman"/>
          <w:sz w:val="27"/>
          <w:szCs w:val="27"/>
        </w:rPr>
        <w:t xml:space="preserve"> robežās</w:t>
      </w:r>
      <w:r w:rsidR="007453E3">
        <w:rPr>
          <w:rFonts w:ascii="Times New Roman" w:hAnsi="Times New Roman"/>
          <w:sz w:val="27"/>
          <w:szCs w:val="27"/>
        </w:rPr>
        <w:t xml:space="preserve">. Kontroles tiks veiktas esošā budžeta ietvaros, ja nepieciešams nodrošinot </w:t>
      </w:r>
      <w:r w:rsidR="007453E3" w:rsidRPr="00B32B10">
        <w:rPr>
          <w:rFonts w:ascii="Times New Roman" w:eastAsiaTheme="minorEastAsia" w:hAnsi="Times New Roman"/>
          <w:sz w:val="27"/>
          <w:szCs w:val="27"/>
        </w:rPr>
        <w:t>apropriācijas pārdali starp valsts budžeta apakšprogrammām, t.sk., starp valsts budžeta Ekonomikas ministrijas apakšprogrammām</w:t>
      </w:r>
      <w:r w:rsidR="001C3D68" w:rsidRPr="0002103D">
        <w:rPr>
          <w:rFonts w:ascii="Times New Roman" w:hAnsi="Times New Roman"/>
          <w:sz w:val="27"/>
          <w:szCs w:val="27"/>
        </w:rPr>
        <w:t xml:space="preserve">. </w:t>
      </w:r>
    </w:p>
    <w:p w14:paraId="512E17E1" w14:textId="06FE0F6A" w:rsidR="001C3D68" w:rsidRPr="00AD2746" w:rsidRDefault="00EB1D9B" w:rsidP="00AD2746">
      <w:pPr>
        <w:pStyle w:val="ListParagraph"/>
        <w:numPr>
          <w:ilvl w:val="0"/>
          <w:numId w:val="45"/>
        </w:numPr>
        <w:spacing w:before="120" w:after="120" w:line="240" w:lineRule="auto"/>
        <w:jc w:val="both"/>
        <w:rPr>
          <w:rFonts w:ascii="Times New Roman" w:hAnsi="Times New Roman"/>
          <w:sz w:val="27"/>
          <w:szCs w:val="27"/>
        </w:rPr>
      </w:pPr>
      <w:r w:rsidRPr="0002103D">
        <w:rPr>
          <w:rFonts w:ascii="Times New Roman" w:hAnsi="Times New Roman"/>
          <w:sz w:val="27"/>
          <w:szCs w:val="27"/>
        </w:rPr>
        <w:t xml:space="preserve">Turpmākajos gados, ievērojot samērības principu, </w:t>
      </w:r>
      <w:r w:rsidRPr="0002103D">
        <w:rPr>
          <w:rFonts w:ascii="Times New Roman" w:hAnsi="Times New Roman"/>
          <w:b/>
          <w:sz w:val="27"/>
          <w:szCs w:val="27"/>
        </w:rPr>
        <w:t>kontrolēm būtu jābalstās uz risku analīzi</w:t>
      </w:r>
      <w:r w:rsidR="001C3D68" w:rsidRPr="0002103D">
        <w:rPr>
          <w:rFonts w:ascii="Times New Roman" w:hAnsi="Times New Roman"/>
          <w:sz w:val="27"/>
          <w:szCs w:val="27"/>
        </w:rPr>
        <w:t xml:space="preserve">. IT risinājums šādam risku analīzes rīkam varētu izmaksāt aptuveni 124 000 </w:t>
      </w:r>
      <w:proofErr w:type="spellStart"/>
      <w:r w:rsidR="001C3D68" w:rsidRPr="0002103D">
        <w:rPr>
          <w:rFonts w:ascii="Times New Roman" w:hAnsi="Times New Roman"/>
          <w:i/>
          <w:sz w:val="27"/>
          <w:szCs w:val="27"/>
        </w:rPr>
        <w:t>euro</w:t>
      </w:r>
      <w:proofErr w:type="spellEnd"/>
      <w:r w:rsidR="001C3D68" w:rsidRPr="0002103D">
        <w:rPr>
          <w:rFonts w:ascii="Times New Roman" w:hAnsi="Times New Roman"/>
          <w:sz w:val="27"/>
          <w:szCs w:val="27"/>
        </w:rPr>
        <w:t xml:space="preserve">. </w:t>
      </w:r>
      <w:r w:rsidR="007453E3">
        <w:rPr>
          <w:rFonts w:ascii="Times New Roman" w:hAnsi="Times New Roman"/>
          <w:sz w:val="27"/>
          <w:szCs w:val="27"/>
        </w:rPr>
        <w:t xml:space="preserve">Finansējums šim risinājumam tiks nodrošināts no </w:t>
      </w:r>
      <w:r w:rsidR="003D5839" w:rsidRPr="003D5839">
        <w:rPr>
          <w:rFonts w:ascii="Times New Roman" w:hAnsi="Times New Roman"/>
          <w:sz w:val="27"/>
          <w:szCs w:val="27"/>
        </w:rPr>
        <w:t>valsts atbalsta elektroenerģijas ražošanai nodeva</w:t>
      </w:r>
      <w:r w:rsidR="003D5839">
        <w:rPr>
          <w:rFonts w:ascii="Times New Roman" w:hAnsi="Times New Roman"/>
          <w:sz w:val="27"/>
          <w:szCs w:val="27"/>
        </w:rPr>
        <w:t xml:space="preserve">s </w:t>
      </w:r>
      <w:r w:rsidR="007453E3">
        <w:rPr>
          <w:rFonts w:ascii="Times New Roman" w:hAnsi="Times New Roman"/>
          <w:sz w:val="27"/>
          <w:szCs w:val="27"/>
        </w:rPr>
        <w:t>ieņēmumiem</w:t>
      </w:r>
      <w:r w:rsidR="002711E4">
        <w:rPr>
          <w:rFonts w:ascii="Times New Roman" w:hAnsi="Times New Roman"/>
          <w:sz w:val="27"/>
          <w:szCs w:val="27"/>
        </w:rPr>
        <w:t>.</w:t>
      </w:r>
    </w:p>
    <w:p w14:paraId="5EBF585A" w14:textId="79229FC8" w:rsidR="0002103D" w:rsidRDefault="001C3D68" w:rsidP="008D06DB">
      <w:pPr>
        <w:pStyle w:val="ListParagraph"/>
        <w:numPr>
          <w:ilvl w:val="0"/>
          <w:numId w:val="19"/>
        </w:numPr>
        <w:spacing w:before="120" w:after="120" w:line="240" w:lineRule="auto"/>
        <w:jc w:val="both"/>
        <w:rPr>
          <w:rFonts w:ascii="Times New Roman" w:hAnsi="Times New Roman"/>
          <w:sz w:val="27"/>
          <w:szCs w:val="27"/>
        </w:rPr>
      </w:pPr>
      <w:r w:rsidRPr="0002103D">
        <w:rPr>
          <w:rFonts w:ascii="Times New Roman" w:hAnsi="Times New Roman"/>
          <w:sz w:val="27"/>
          <w:szCs w:val="27"/>
        </w:rPr>
        <w:t>V</w:t>
      </w:r>
      <w:r w:rsidR="00EB1D9B" w:rsidRPr="0002103D">
        <w:rPr>
          <w:rFonts w:ascii="Times New Roman" w:hAnsi="Times New Roman"/>
          <w:sz w:val="27"/>
          <w:szCs w:val="27"/>
        </w:rPr>
        <w:t xml:space="preserve">ienlaikus </w:t>
      </w:r>
      <w:r w:rsidRPr="0002103D">
        <w:rPr>
          <w:rFonts w:ascii="Times New Roman" w:hAnsi="Times New Roman"/>
          <w:b/>
          <w:sz w:val="27"/>
          <w:szCs w:val="27"/>
        </w:rPr>
        <w:t>nosakāms</w:t>
      </w:r>
      <w:r w:rsidR="00EB1D9B" w:rsidRPr="0002103D">
        <w:rPr>
          <w:rFonts w:ascii="Times New Roman" w:hAnsi="Times New Roman"/>
          <w:b/>
          <w:sz w:val="27"/>
          <w:szCs w:val="27"/>
        </w:rPr>
        <w:t xml:space="preserve"> mērķi</w:t>
      </w:r>
      <w:r w:rsidRPr="0002103D">
        <w:rPr>
          <w:rFonts w:ascii="Times New Roman" w:hAnsi="Times New Roman"/>
          <w:b/>
          <w:sz w:val="27"/>
          <w:szCs w:val="27"/>
        </w:rPr>
        <w:t>s</w:t>
      </w:r>
      <w:r w:rsidR="00EB1D9B" w:rsidRPr="0002103D">
        <w:rPr>
          <w:rFonts w:ascii="Times New Roman" w:hAnsi="Times New Roman"/>
          <w:b/>
          <w:sz w:val="27"/>
          <w:szCs w:val="27"/>
        </w:rPr>
        <w:t xml:space="preserve"> ikgad</w:t>
      </w:r>
      <w:r w:rsidRPr="0002103D">
        <w:rPr>
          <w:rFonts w:ascii="Times New Roman" w:hAnsi="Times New Roman"/>
          <w:b/>
          <w:sz w:val="27"/>
          <w:szCs w:val="27"/>
        </w:rPr>
        <w:t>ējam minimālajam</w:t>
      </w:r>
      <w:r w:rsidR="00EB1D9B" w:rsidRPr="0002103D">
        <w:rPr>
          <w:rFonts w:ascii="Times New Roman" w:hAnsi="Times New Roman"/>
          <w:b/>
          <w:sz w:val="27"/>
          <w:szCs w:val="27"/>
        </w:rPr>
        <w:t xml:space="preserve"> pārbaud</w:t>
      </w:r>
      <w:r w:rsidRPr="0002103D">
        <w:rPr>
          <w:rFonts w:ascii="Times New Roman" w:hAnsi="Times New Roman"/>
          <w:b/>
          <w:sz w:val="27"/>
          <w:szCs w:val="27"/>
        </w:rPr>
        <w:t>āmajam staciju skaitam</w:t>
      </w:r>
      <w:r w:rsidRPr="0002103D">
        <w:rPr>
          <w:rFonts w:ascii="Times New Roman" w:hAnsi="Times New Roman"/>
          <w:sz w:val="27"/>
          <w:szCs w:val="27"/>
        </w:rPr>
        <w:t xml:space="preserve"> -</w:t>
      </w:r>
      <w:r w:rsidR="00EB1D9B" w:rsidRPr="0002103D">
        <w:rPr>
          <w:rFonts w:ascii="Times New Roman" w:hAnsi="Times New Roman"/>
          <w:sz w:val="27"/>
          <w:szCs w:val="27"/>
        </w:rPr>
        <w:t xml:space="preserve"> vismaz 100 elektrostacijas.</w:t>
      </w:r>
    </w:p>
    <w:p w14:paraId="4058B4F7" w14:textId="77777777" w:rsidR="00A224D6" w:rsidRPr="00BF1BA4" w:rsidRDefault="00A224D6" w:rsidP="00A224D6">
      <w:pPr>
        <w:pStyle w:val="ListParagraph"/>
        <w:spacing w:before="120" w:after="120" w:line="240" w:lineRule="auto"/>
        <w:ind w:left="360"/>
        <w:jc w:val="both"/>
        <w:rPr>
          <w:rFonts w:ascii="Times New Roman" w:hAnsi="Times New Roman"/>
          <w:sz w:val="27"/>
          <w:szCs w:val="27"/>
        </w:rPr>
      </w:pPr>
    </w:p>
    <w:p w14:paraId="09B5E941" w14:textId="579E41C8" w:rsidR="00794274" w:rsidRPr="00AD2746" w:rsidRDefault="00F268BA" w:rsidP="00AD2746">
      <w:pPr>
        <w:pStyle w:val="Heading1"/>
        <w:rPr>
          <w:u w:val="single"/>
        </w:rPr>
      </w:pPr>
      <w:bookmarkStart w:id="16" w:name="_Toc9244609"/>
      <w:bookmarkStart w:id="17" w:name="_Toc13152089"/>
      <w:r w:rsidRPr="00AD2746">
        <w:rPr>
          <w:u w:val="single"/>
        </w:rPr>
        <w:t>2</w:t>
      </w:r>
      <w:r w:rsidR="0087794E" w:rsidRPr="00AD2746">
        <w:rPr>
          <w:u w:val="single"/>
        </w:rPr>
        <w:t xml:space="preserve">. </w:t>
      </w:r>
      <w:r w:rsidR="004E2F8F" w:rsidRPr="00AD2746">
        <w:rPr>
          <w:u w:val="single"/>
        </w:rPr>
        <w:t xml:space="preserve">Rīcības virziens </w:t>
      </w:r>
      <w:r w:rsidR="00BD550F" w:rsidRPr="00AD2746">
        <w:rPr>
          <w:u w:val="single"/>
        </w:rPr>
        <w:t>–</w:t>
      </w:r>
      <w:r w:rsidR="004E2F8F" w:rsidRPr="00AD2746">
        <w:rPr>
          <w:u w:val="single"/>
        </w:rPr>
        <w:t xml:space="preserve"> </w:t>
      </w:r>
      <w:r w:rsidR="00BD550F" w:rsidRPr="00AD2746">
        <w:rPr>
          <w:u w:val="single"/>
        </w:rPr>
        <w:t>Stingrākas prasības atbalsta saņēmējiem</w:t>
      </w:r>
      <w:bookmarkEnd w:id="16"/>
      <w:bookmarkEnd w:id="17"/>
    </w:p>
    <w:p w14:paraId="262F69ED" w14:textId="4FDA5E22" w:rsidR="00AB0418" w:rsidRDefault="00D724B8" w:rsidP="00C515D5">
      <w:pPr>
        <w:spacing w:before="120" w:after="120" w:line="240" w:lineRule="auto"/>
        <w:jc w:val="both"/>
        <w:rPr>
          <w:rFonts w:ascii="Times New Roman" w:hAnsi="Times New Roman"/>
          <w:b/>
          <w:sz w:val="27"/>
          <w:szCs w:val="27"/>
        </w:rPr>
      </w:pPr>
      <w:r>
        <w:rPr>
          <w:rFonts w:ascii="Times New Roman" w:hAnsi="Times New Roman"/>
          <w:b/>
          <w:sz w:val="27"/>
          <w:szCs w:val="27"/>
        </w:rPr>
        <w:t>Mērķis:</w:t>
      </w:r>
      <w:r w:rsidR="00FE581D">
        <w:rPr>
          <w:rFonts w:ascii="Times New Roman" w:hAnsi="Times New Roman"/>
          <w:b/>
          <w:sz w:val="27"/>
          <w:szCs w:val="27"/>
        </w:rPr>
        <w:t xml:space="preserve"> </w:t>
      </w:r>
      <w:r w:rsidR="00FE581D" w:rsidRPr="00AB0418">
        <w:rPr>
          <w:rFonts w:ascii="Times New Roman" w:hAnsi="Times New Roman"/>
          <w:sz w:val="27"/>
          <w:szCs w:val="27"/>
        </w:rPr>
        <w:t xml:space="preserve">Nodrošināt, ka atbalsu OI mehānisma ietvaros saņem </w:t>
      </w:r>
      <w:r w:rsidR="00AB0418" w:rsidRPr="00AB0418">
        <w:rPr>
          <w:rFonts w:ascii="Times New Roman" w:hAnsi="Times New Roman"/>
          <w:sz w:val="27"/>
          <w:szCs w:val="27"/>
        </w:rPr>
        <w:t>tikai priekšzīmīgi un uz ilgtspējīgu saimniecisko darbību vērsti komersanti un v</w:t>
      </w:r>
      <w:r w:rsidR="00BD550F" w:rsidRPr="00AB0418">
        <w:rPr>
          <w:rFonts w:ascii="Times New Roman" w:hAnsi="Times New Roman"/>
          <w:sz w:val="27"/>
          <w:szCs w:val="27"/>
        </w:rPr>
        <w:t>eicināt vietējo resursu pēc iespējas efektīvāku izmantošan</w:t>
      </w:r>
      <w:r w:rsidR="00AB0418" w:rsidRPr="00AB0418">
        <w:rPr>
          <w:rFonts w:ascii="Times New Roman" w:hAnsi="Times New Roman"/>
          <w:sz w:val="27"/>
          <w:szCs w:val="27"/>
        </w:rPr>
        <w:t>u</w:t>
      </w:r>
      <w:r w:rsidR="001B2D49">
        <w:rPr>
          <w:rFonts w:ascii="Times New Roman" w:hAnsi="Times New Roman"/>
          <w:sz w:val="27"/>
          <w:szCs w:val="27"/>
        </w:rPr>
        <w:t xml:space="preserve"> un </w:t>
      </w:r>
      <w:r w:rsidR="001B2D49" w:rsidRPr="0048595C">
        <w:rPr>
          <w:rFonts w:ascii="Times New Roman" w:hAnsi="Times New Roman"/>
          <w:sz w:val="27"/>
          <w:szCs w:val="27"/>
        </w:rPr>
        <w:t>motivēt esošās investīcijas izmantot, lai radītu papildu pievienoto vērtību.</w:t>
      </w:r>
      <w:r w:rsidR="001B2D49">
        <w:rPr>
          <w:rFonts w:ascii="Times New Roman" w:hAnsi="Times New Roman"/>
          <w:sz w:val="27"/>
          <w:szCs w:val="27"/>
        </w:rPr>
        <w:t xml:space="preserve"> </w:t>
      </w:r>
    </w:p>
    <w:p w14:paraId="1FDF66B4" w14:textId="3E322E85" w:rsidR="00D724B8" w:rsidRDefault="00D724B8" w:rsidP="00C515D5">
      <w:pPr>
        <w:spacing w:before="120" w:after="120" w:line="240" w:lineRule="auto"/>
        <w:jc w:val="both"/>
        <w:rPr>
          <w:rFonts w:ascii="Times New Roman" w:hAnsi="Times New Roman"/>
          <w:b/>
          <w:sz w:val="27"/>
          <w:szCs w:val="27"/>
        </w:rPr>
      </w:pPr>
      <w:r>
        <w:rPr>
          <w:rFonts w:ascii="Times New Roman" w:hAnsi="Times New Roman"/>
          <w:b/>
          <w:sz w:val="27"/>
          <w:szCs w:val="27"/>
        </w:rPr>
        <w:t>Rīcība:</w:t>
      </w:r>
    </w:p>
    <w:p w14:paraId="13D086EB" w14:textId="160A5731" w:rsidR="00D533FC" w:rsidRPr="0048595C" w:rsidRDefault="00401368" w:rsidP="00C515D5">
      <w:pPr>
        <w:spacing w:before="120" w:after="120" w:line="240" w:lineRule="auto"/>
        <w:jc w:val="both"/>
        <w:rPr>
          <w:rFonts w:ascii="Times New Roman" w:hAnsi="Times New Roman"/>
          <w:b/>
          <w:sz w:val="27"/>
          <w:szCs w:val="27"/>
        </w:rPr>
      </w:pPr>
      <w:r>
        <w:rPr>
          <w:rFonts w:ascii="Times New Roman" w:hAnsi="Times New Roman"/>
          <w:b/>
          <w:sz w:val="27"/>
          <w:szCs w:val="27"/>
        </w:rPr>
        <w:t xml:space="preserve">1. </w:t>
      </w:r>
      <w:r w:rsidR="0030797A" w:rsidRPr="0048595C">
        <w:rPr>
          <w:rFonts w:ascii="Times New Roman" w:hAnsi="Times New Roman"/>
          <w:b/>
          <w:sz w:val="27"/>
          <w:szCs w:val="27"/>
        </w:rPr>
        <w:t>S</w:t>
      </w:r>
      <w:r w:rsidR="00D533FC" w:rsidRPr="0048595C">
        <w:rPr>
          <w:rFonts w:ascii="Times New Roman" w:hAnsi="Times New Roman"/>
          <w:b/>
          <w:sz w:val="27"/>
          <w:szCs w:val="27"/>
        </w:rPr>
        <w:t>tingrāku</w:t>
      </w:r>
      <w:r w:rsidR="0030797A" w:rsidRPr="0048595C">
        <w:rPr>
          <w:rFonts w:ascii="Times New Roman" w:hAnsi="Times New Roman"/>
          <w:b/>
          <w:sz w:val="27"/>
          <w:szCs w:val="27"/>
        </w:rPr>
        <w:t xml:space="preserve"> </w:t>
      </w:r>
      <w:r w:rsidR="00D533FC" w:rsidRPr="0048595C">
        <w:rPr>
          <w:rFonts w:ascii="Times New Roman" w:hAnsi="Times New Roman"/>
          <w:b/>
          <w:sz w:val="27"/>
          <w:szCs w:val="27"/>
        </w:rPr>
        <w:t>elektrostaciju darbības nosacījumu</w:t>
      </w:r>
      <w:r w:rsidR="0030797A" w:rsidRPr="0048595C">
        <w:rPr>
          <w:rFonts w:ascii="Times New Roman" w:hAnsi="Times New Roman"/>
          <w:b/>
          <w:sz w:val="27"/>
          <w:szCs w:val="27"/>
        </w:rPr>
        <w:t xml:space="preserve"> ieviešana</w:t>
      </w:r>
    </w:p>
    <w:p w14:paraId="0C8A2ABC" w14:textId="786BB393" w:rsidR="003B4939" w:rsidRPr="0048595C" w:rsidRDefault="00EB1D9B" w:rsidP="00C515D5">
      <w:pPr>
        <w:spacing w:before="120" w:after="120" w:line="240" w:lineRule="auto"/>
        <w:jc w:val="both"/>
        <w:rPr>
          <w:rFonts w:ascii="Times New Roman" w:hAnsi="Times New Roman"/>
          <w:sz w:val="27"/>
          <w:szCs w:val="27"/>
        </w:rPr>
      </w:pPr>
      <w:r w:rsidRPr="0048595C">
        <w:rPr>
          <w:rFonts w:ascii="Times New Roman" w:hAnsi="Times New Roman"/>
          <w:sz w:val="27"/>
          <w:szCs w:val="27"/>
        </w:rPr>
        <w:t xml:space="preserve">Normatīvu līmenī ir iespējams strukturāli pilnveidot sistēmu, </w:t>
      </w:r>
      <w:r w:rsidR="00794274" w:rsidRPr="0048595C">
        <w:rPr>
          <w:rFonts w:ascii="Times New Roman" w:hAnsi="Times New Roman"/>
          <w:sz w:val="27"/>
          <w:szCs w:val="27"/>
        </w:rPr>
        <w:t xml:space="preserve">lai cīnītos pret negodprātīgiem atbalsta saņēmējiem, </w:t>
      </w:r>
      <w:r w:rsidRPr="0048595C">
        <w:rPr>
          <w:rFonts w:ascii="Times New Roman" w:hAnsi="Times New Roman"/>
          <w:sz w:val="27"/>
          <w:szCs w:val="27"/>
        </w:rPr>
        <w:t>būtiski ierobežo</w:t>
      </w:r>
      <w:r w:rsidR="00794274" w:rsidRPr="0048595C">
        <w:rPr>
          <w:rFonts w:ascii="Times New Roman" w:hAnsi="Times New Roman"/>
          <w:sz w:val="27"/>
          <w:szCs w:val="27"/>
        </w:rPr>
        <w:t>jot</w:t>
      </w:r>
      <w:r w:rsidRPr="0048595C">
        <w:rPr>
          <w:rFonts w:ascii="Times New Roman" w:hAnsi="Times New Roman"/>
          <w:sz w:val="27"/>
          <w:szCs w:val="27"/>
        </w:rPr>
        <w:t xml:space="preserve"> komersantu iespējas negodprātīgi apiet atbalsta saņemšanas ierobežojumus</w:t>
      </w:r>
      <w:r w:rsidR="00B573B4">
        <w:rPr>
          <w:rFonts w:ascii="Times New Roman" w:hAnsi="Times New Roman"/>
          <w:sz w:val="27"/>
          <w:szCs w:val="27"/>
        </w:rPr>
        <w:t>, kā arī veicināt resursu efektīvu izmantošanu.</w:t>
      </w:r>
    </w:p>
    <w:p w14:paraId="00942444" w14:textId="7FE8C988" w:rsidR="00590789" w:rsidRPr="003B6698" w:rsidRDefault="003B4939" w:rsidP="008D06DB">
      <w:pPr>
        <w:pStyle w:val="paragraph"/>
        <w:numPr>
          <w:ilvl w:val="0"/>
          <w:numId w:val="20"/>
        </w:numPr>
        <w:spacing w:before="120" w:beforeAutospacing="0" w:after="120" w:afterAutospacing="0"/>
        <w:jc w:val="both"/>
        <w:textAlignment w:val="baseline"/>
        <w:rPr>
          <w:rStyle w:val="normaltextrun"/>
          <w:sz w:val="27"/>
          <w:szCs w:val="27"/>
        </w:rPr>
      </w:pPr>
      <w:r w:rsidRPr="0048595C">
        <w:rPr>
          <w:rStyle w:val="normaltextrun"/>
          <w:sz w:val="27"/>
          <w:szCs w:val="27"/>
        </w:rPr>
        <w:t>I</w:t>
      </w:r>
      <w:r w:rsidRPr="003B6698">
        <w:rPr>
          <w:rStyle w:val="normaltextrun"/>
          <w:sz w:val="27"/>
          <w:szCs w:val="27"/>
        </w:rPr>
        <w:t xml:space="preserve">eviest </w:t>
      </w:r>
      <w:r w:rsidR="000C3BBC" w:rsidRPr="003B6698">
        <w:rPr>
          <w:rStyle w:val="normaltextrun"/>
          <w:sz w:val="27"/>
          <w:szCs w:val="27"/>
        </w:rPr>
        <w:t xml:space="preserve">elektrostacijas </w:t>
      </w:r>
      <w:r w:rsidRPr="003B6698">
        <w:rPr>
          <w:rStyle w:val="normaltextrun"/>
          <w:sz w:val="27"/>
          <w:szCs w:val="27"/>
        </w:rPr>
        <w:t>vienota tehnoloģisk</w:t>
      </w:r>
      <w:r w:rsidR="000C3BBC" w:rsidRPr="003B6698">
        <w:rPr>
          <w:rStyle w:val="normaltextrun"/>
          <w:sz w:val="27"/>
          <w:szCs w:val="27"/>
        </w:rPr>
        <w:t>ā</w:t>
      </w:r>
      <w:r w:rsidRPr="003B6698">
        <w:rPr>
          <w:rStyle w:val="normaltextrun"/>
          <w:sz w:val="27"/>
          <w:szCs w:val="27"/>
        </w:rPr>
        <w:t xml:space="preserve"> cikla principu</w:t>
      </w:r>
    </w:p>
    <w:p w14:paraId="1799D1F2" w14:textId="25949163" w:rsidR="003B4939" w:rsidRPr="00AD2746" w:rsidRDefault="000C3BBC" w:rsidP="00AD2746">
      <w:pPr>
        <w:pStyle w:val="ListParagraph"/>
        <w:numPr>
          <w:ilvl w:val="0"/>
          <w:numId w:val="21"/>
        </w:numPr>
        <w:spacing w:before="120" w:after="120"/>
        <w:jc w:val="both"/>
        <w:rPr>
          <w:rStyle w:val="normaltextrun"/>
          <w:sz w:val="27"/>
        </w:rPr>
      </w:pPr>
      <w:bookmarkStart w:id="18" w:name="_Hlk10021389"/>
      <w:r w:rsidRPr="003B6698">
        <w:rPr>
          <w:rStyle w:val="normaltextrun"/>
          <w:rFonts w:ascii="Times New Roman" w:eastAsia="Times New Roman" w:hAnsi="Times New Roman"/>
          <w:sz w:val="27"/>
          <w:szCs w:val="27"/>
          <w:lang w:eastAsia="lv-LV"/>
        </w:rPr>
        <w:t>Noteikt pienākumu komersantiem ievērot elektrostacijas vienota tehnoloģiskā cikla principu, nodrošinot elektrostacijas elektroenerģijas pašpatēriņu un lietderīgu siltumenerģijas izlietojumu</w:t>
      </w:r>
      <w:r w:rsidR="000D57DC">
        <w:rPr>
          <w:rStyle w:val="normaltextrun"/>
          <w:rFonts w:ascii="Times New Roman" w:eastAsia="Times New Roman" w:hAnsi="Times New Roman"/>
          <w:sz w:val="27"/>
          <w:szCs w:val="27"/>
          <w:lang w:eastAsia="lv-LV"/>
        </w:rPr>
        <w:t xml:space="preserve">, kā arī šo principu ievērot atbalsta aprēķinā, lai novērstu situācijas, kur par </w:t>
      </w:r>
      <w:r w:rsidR="00EF0B53">
        <w:rPr>
          <w:rStyle w:val="normaltextrun"/>
          <w:rFonts w:ascii="Times New Roman" w:eastAsia="Times New Roman" w:hAnsi="Times New Roman"/>
          <w:sz w:val="27"/>
          <w:szCs w:val="27"/>
          <w:lang w:eastAsia="lv-LV"/>
        </w:rPr>
        <w:t>faktiski vienu</w:t>
      </w:r>
      <w:r w:rsidR="000D57DC">
        <w:rPr>
          <w:rStyle w:val="normaltextrun"/>
          <w:rFonts w:ascii="Times New Roman" w:eastAsia="Times New Roman" w:hAnsi="Times New Roman"/>
          <w:sz w:val="27"/>
          <w:szCs w:val="27"/>
          <w:lang w:eastAsia="lv-LV"/>
        </w:rPr>
        <w:t xml:space="preserve"> elektrostaciju tiek maksāts kā par vairākām atsevišķām elektrostacijām</w:t>
      </w:r>
      <w:r w:rsidR="00EF0B53">
        <w:rPr>
          <w:rStyle w:val="normaltextrun"/>
          <w:rFonts w:ascii="Times New Roman" w:eastAsia="Times New Roman" w:hAnsi="Times New Roman"/>
          <w:sz w:val="27"/>
          <w:szCs w:val="27"/>
          <w:lang w:eastAsia="lv-LV"/>
        </w:rPr>
        <w:t>;</w:t>
      </w:r>
    </w:p>
    <w:bookmarkEnd w:id="18"/>
    <w:p w14:paraId="502BADE8" w14:textId="72477C80" w:rsidR="000C3BBC" w:rsidRPr="00AD2746" w:rsidRDefault="000C3BBC" w:rsidP="00AD2746">
      <w:pPr>
        <w:pStyle w:val="paragraph"/>
        <w:numPr>
          <w:ilvl w:val="0"/>
          <w:numId w:val="21"/>
        </w:numPr>
        <w:spacing w:before="120" w:beforeAutospacing="0" w:after="120" w:afterAutospacing="0"/>
        <w:jc w:val="both"/>
        <w:textAlignment w:val="baseline"/>
        <w:rPr>
          <w:rStyle w:val="normaltextrun"/>
          <w:sz w:val="27"/>
        </w:rPr>
      </w:pPr>
      <w:r w:rsidRPr="003B6698">
        <w:rPr>
          <w:rStyle w:val="normaltextrun"/>
          <w:sz w:val="27"/>
          <w:szCs w:val="27"/>
        </w:rPr>
        <w:lastRenderedPageBreak/>
        <w:t>Vienotajā tehnoloģiskajā ciklā iekļaujama</w:t>
      </w:r>
      <w:r w:rsidR="00FA043C">
        <w:rPr>
          <w:rStyle w:val="normaltextrun"/>
          <w:sz w:val="27"/>
          <w:szCs w:val="27"/>
        </w:rPr>
        <w:t xml:space="preserve"> infrastruktūra, būves, </w:t>
      </w:r>
      <w:r w:rsidRPr="003B6698">
        <w:rPr>
          <w:rStyle w:val="normaltextrun"/>
          <w:sz w:val="27"/>
          <w:szCs w:val="27"/>
        </w:rPr>
        <w:t>telpas un iekārtas, kas atrodas vienā teritorijā ar elektrostaciju vai tai tuvumā esošā teritorijā un ir tehnoloģiski saistītas ar elektrostacijas darbību</w:t>
      </w:r>
      <w:r w:rsidR="00EF0B53">
        <w:rPr>
          <w:rStyle w:val="normaltextrun"/>
          <w:sz w:val="27"/>
          <w:szCs w:val="27"/>
        </w:rPr>
        <w:t>.</w:t>
      </w:r>
    </w:p>
    <w:p w14:paraId="6845E27B" w14:textId="61299D08" w:rsidR="003B6698" w:rsidRPr="00A224D6" w:rsidRDefault="00BF1BA4" w:rsidP="00AD2746">
      <w:pPr>
        <w:pStyle w:val="paragraph"/>
        <w:numPr>
          <w:ilvl w:val="0"/>
          <w:numId w:val="21"/>
        </w:numPr>
        <w:spacing w:before="120" w:beforeAutospacing="0" w:after="120" w:afterAutospacing="0"/>
        <w:jc w:val="both"/>
        <w:textAlignment w:val="baseline"/>
        <w:rPr>
          <w:rStyle w:val="normaltextrun"/>
          <w:sz w:val="27"/>
          <w:szCs w:val="27"/>
        </w:rPr>
      </w:pPr>
      <w:r>
        <w:rPr>
          <w:rStyle w:val="normaltextrun"/>
          <w:sz w:val="27"/>
          <w:szCs w:val="27"/>
        </w:rPr>
        <w:t>Vienotā tehnoloģiskā cikla principa ieviešanai veicami grozījumi Elektroenerģijas tirgus likumā</w:t>
      </w:r>
      <w:r w:rsidR="00DC1DF4">
        <w:rPr>
          <w:rStyle w:val="FootnoteReference"/>
          <w:sz w:val="27"/>
          <w:szCs w:val="27"/>
        </w:rPr>
        <w:footnoteReference w:id="3"/>
      </w:r>
      <w:r>
        <w:rPr>
          <w:rStyle w:val="normaltextrun"/>
          <w:sz w:val="27"/>
          <w:szCs w:val="27"/>
        </w:rPr>
        <w:t xml:space="preserve"> un sekojoši tam pakārtotajos MK noteikumos</w:t>
      </w:r>
      <w:r w:rsidR="00DC1DF4">
        <w:rPr>
          <w:rStyle w:val="normaltextrun"/>
          <w:sz w:val="27"/>
          <w:szCs w:val="27"/>
        </w:rPr>
        <w:t xml:space="preserve"> Nr.221</w:t>
      </w:r>
      <w:bookmarkStart w:id="19" w:name="_Hlk12611531"/>
      <w:r w:rsidR="00DC1DF4">
        <w:rPr>
          <w:rStyle w:val="FootnoteReference"/>
          <w:sz w:val="27"/>
          <w:szCs w:val="27"/>
        </w:rPr>
        <w:footnoteReference w:id="4"/>
      </w:r>
      <w:bookmarkEnd w:id="19"/>
      <w:r w:rsidR="00DC1DF4">
        <w:rPr>
          <w:rStyle w:val="normaltextrun"/>
          <w:sz w:val="27"/>
          <w:szCs w:val="27"/>
        </w:rPr>
        <w:t xml:space="preserve"> un MK noteikumos Nr.262</w:t>
      </w:r>
      <w:bookmarkStart w:id="20" w:name="_Hlk12611535"/>
      <w:r w:rsidR="00DC1DF4">
        <w:rPr>
          <w:rStyle w:val="FootnoteReference"/>
          <w:sz w:val="27"/>
          <w:szCs w:val="27"/>
        </w:rPr>
        <w:footnoteReference w:id="5"/>
      </w:r>
      <w:bookmarkEnd w:id="20"/>
      <w:r>
        <w:rPr>
          <w:rStyle w:val="normaltextrun"/>
          <w:sz w:val="27"/>
          <w:szCs w:val="27"/>
        </w:rPr>
        <w:t>.</w:t>
      </w:r>
    </w:p>
    <w:p w14:paraId="1DB83FBD" w14:textId="4814B47B" w:rsidR="003B4939" w:rsidRPr="0048595C" w:rsidRDefault="003B4939" w:rsidP="008D06DB">
      <w:pPr>
        <w:pStyle w:val="ListParagraph"/>
        <w:numPr>
          <w:ilvl w:val="0"/>
          <w:numId w:val="22"/>
        </w:numPr>
        <w:spacing w:before="120" w:after="120" w:line="256" w:lineRule="auto"/>
        <w:jc w:val="both"/>
        <w:rPr>
          <w:rStyle w:val="normaltextrun"/>
          <w:rFonts w:ascii="Times New Roman" w:eastAsia="Times New Roman" w:hAnsi="Times New Roman"/>
          <w:sz w:val="27"/>
          <w:szCs w:val="27"/>
          <w:lang w:eastAsia="lv-LV"/>
        </w:rPr>
      </w:pPr>
      <w:r w:rsidRPr="0048595C">
        <w:rPr>
          <w:rStyle w:val="normaltextrun"/>
          <w:rFonts w:ascii="Times New Roman" w:eastAsia="Times New Roman" w:hAnsi="Times New Roman"/>
          <w:sz w:val="27"/>
          <w:szCs w:val="27"/>
          <w:lang w:eastAsia="lv-LV"/>
        </w:rPr>
        <w:t>Pastiprināt lietderīgā siltuma izmantošanas prasības</w:t>
      </w:r>
      <w:r w:rsidR="00F7038B">
        <w:rPr>
          <w:rStyle w:val="normaltextrun"/>
          <w:rFonts w:ascii="Times New Roman" w:eastAsia="Times New Roman" w:hAnsi="Times New Roman"/>
          <w:sz w:val="27"/>
          <w:szCs w:val="27"/>
          <w:lang w:eastAsia="lv-LV"/>
        </w:rPr>
        <w:t xml:space="preserve"> un kontroli</w:t>
      </w:r>
      <w:r w:rsidRPr="0048595C">
        <w:rPr>
          <w:rStyle w:val="normaltextrun"/>
          <w:rFonts w:ascii="Times New Roman" w:eastAsia="Times New Roman" w:hAnsi="Times New Roman"/>
          <w:sz w:val="27"/>
          <w:szCs w:val="27"/>
          <w:lang w:eastAsia="lv-LV"/>
        </w:rPr>
        <w:t>.</w:t>
      </w:r>
    </w:p>
    <w:p w14:paraId="1270D3A1" w14:textId="6C28D029" w:rsidR="003B4939" w:rsidRPr="00AD2746" w:rsidRDefault="000C3BBC" w:rsidP="00AD2746">
      <w:pPr>
        <w:pStyle w:val="paragraph"/>
        <w:numPr>
          <w:ilvl w:val="0"/>
          <w:numId w:val="23"/>
        </w:numPr>
        <w:spacing w:before="120" w:beforeAutospacing="0" w:after="120" w:afterAutospacing="0"/>
        <w:jc w:val="both"/>
        <w:textAlignment w:val="baseline"/>
        <w:rPr>
          <w:rStyle w:val="normaltextrun"/>
          <w:sz w:val="27"/>
        </w:rPr>
      </w:pPr>
      <w:r>
        <w:rPr>
          <w:rStyle w:val="normaltextrun"/>
          <w:sz w:val="27"/>
          <w:szCs w:val="27"/>
        </w:rPr>
        <w:t>N</w:t>
      </w:r>
      <w:r w:rsidR="001803F6" w:rsidRPr="001803F6">
        <w:rPr>
          <w:rStyle w:val="normaltextrun"/>
          <w:sz w:val="27"/>
          <w:szCs w:val="27"/>
        </w:rPr>
        <w:t xml:space="preserve">oteikt </w:t>
      </w:r>
      <w:r w:rsidR="00BF1BA4">
        <w:rPr>
          <w:rStyle w:val="normaltextrun"/>
          <w:sz w:val="27"/>
          <w:szCs w:val="27"/>
        </w:rPr>
        <w:t>pienākumu</w:t>
      </w:r>
      <w:r w:rsidR="001803F6" w:rsidRPr="001803F6">
        <w:rPr>
          <w:rStyle w:val="normaltextrun"/>
          <w:sz w:val="27"/>
          <w:szCs w:val="27"/>
        </w:rPr>
        <w:t xml:space="preserve"> visām atbalstu saņemošajām</w:t>
      </w:r>
      <w:r w:rsidR="00BF1BA4">
        <w:rPr>
          <w:rStyle w:val="normaltextrun"/>
          <w:sz w:val="27"/>
          <w:szCs w:val="27"/>
        </w:rPr>
        <w:t xml:space="preserve"> koģenerācijas</w:t>
      </w:r>
      <w:r w:rsidR="001803F6" w:rsidRPr="001803F6">
        <w:rPr>
          <w:rStyle w:val="normaltextrun"/>
          <w:sz w:val="27"/>
          <w:szCs w:val="27"/>
        </w:rPr>
        <w:t xml:space="preserve"> </w:t>
      </w:r>
      <w:r w:rsidR="00BF1BA4">
        <w:rPr>
          <w:rStyle w:val="normaltextrun"/>
          <w:sz w:val="27"/>
          <w:szCs w:val="27"/>
        </w:rPr>
        <w:t>elektro</w:t>
      </w:r>
      <w:r w:rsidR="001803F6" w:rsidRPr="001803F6">
        <w:rPr>
          <w:rStyle w:val="normaltextrun"/>
          <w:sz w:val="27"/>
          <w:szCs w:val="27"/>
        </w:rPr>
        <w:t xml:space="preserve">stacijām </w:t>
      </w:r>
      <w:r w:rsidR="00F86768">
        <w:rPr>
          <w:rStyle w:val="normaltextrun"/>
          <w:sz w:val="27"/>
          <w:szCs w:val="27"/>
        </w:rPr>
        <w:t>nodrošināt</w:t>
      </w:r>
      <w:r w:rsidR="001803F6" w:rsidRPr="001803F6">
        <w:rPr>
          <w:rStyle w:val="normaltextrun"/>
          <w:sz w:val="27"/>
          <w:szCs w:val="27"/>
        </w:rPr>
        <w:t xml:space="preserve"> lietderīg</w:t>
      </w:r>
      <w:r w:rsidR="00F86768">
        <w:rPr>
          <w:rStyle w:val="normaltextrun"/>
          <w:sz w:val="27"/>
          <w:szCs w:val="27"/>
        </w:rPr>
        <w:t xml:space="preserve">u </w:t>
      </w:r>
      <w:r w:rsidR="001803F6" w:rsidRPr="001803F6">
        <w:rPr>
          <w:rStyle w:val="normaltextrun"/>
          <w:sz w:val="27"/>
          <w:szCs w:val="27"/>
        </w:rPr>
        <w:t xml:space="preserve">siltumenerģijas </w:t>
      </w:r>
      <w:r w:rsidR="00F86768">
        <w:rPr>
          <w:rStyle w:val="normaltextrun"/>
          <w:sz w:val="27"/>
          <w:szCs w:val="27"/>
        </w:rPr>
        <w:t>izmantošanu</w:t>
      </w:r>
      <w:r w:rsidR="003B6698">
        <w:rPr>
          <w:rStyle w:val="normaltextrun"/>
          <w:sz w:val="27"/>
          <w:szCs w:val="27"/>
        </w:rPr>
        <w:t>.</w:t>
      </w:r>
    </w:p>
    <w:p w14:paraId="15343D78" w14:textId="0DF87F1C" w:rsidR="003B6698" w:rsidRDefault="003B6698" w:rsidP="00AD2746">
      <w:pPr>
        <w:pStyle w:val="paragraph"/>
        <w:numPr>
          <w:ilvl w:val="0"/>
          <w:numId w:val="23"/>
        </w:numPr>
        <w:spacing w:before="120" w:beforeAutospacing="0" w:after="120" w:afterAutospacing="0"/>
        <w:jc w:val="both"/>
        <w:textAlignment w:val="baseline"/>
        <w:rPr>
          <w:rStyle w:val="normaltextrun"/>
          <w:sz w:val="27"/>
          <w:szCs w:val="27"/>
        </w:rPr>
      </w:pPr>
      <w:r>
        <w:rPr>
          <w:rStyle w:val="normaltextrun"/>
          <w:sz w:val="27"/>
          <w:szCs w:val="27"/>
        </w:rPr>
        <w:t xml:space="preserve">Elektroenerģijas tirgus likumā iekļaut lietderīgās siltumenerģijas definīciju, integrējot tajā </w:t>
      </w:r>
      <w:r w:rsidR="00061FAF">
        <w:rPr>
          <w:rStyle w:val="normaltextrun"/>
          <w:sz w:val="27"/>
          <w:szCs w:val="27"/>
        </w:rPr>
        <w:t xml:space="preserve">ekonomiski pamatota pieprasījuma definīciju </w:t>
      </w:r>
      <w:r w:rsidR="00C93062">
        <w:rPr>
          <w:rStyle w:val="normaltextrun"/>
          <w:sz w:val="27"/>
          <w:szCs w:val="27"/>
        </w:rPr>
        <w:t>atbilstoši</w:t>
      </w:r>
      <w:r w:rsidR="00061FAF">
        <w:rPr>
          <w:rStyle w:val="normaltextrun"/>
          <w:sz w:val="27"/>
          <w:szCs w:val="27"/>
        </w:rPr>
        <w:t xml:space="preserve"> Direktīv</w:t>
      </w:r>
      <w:r w:rsidR="00C93062">
        <w:rPr>
          <w:rStyle w:val="normaltextrun"/>
          <w:sz w:val="27"/>
          <w:szCs w:val="27"/>
        </w:rPr>
        <w:t>as</w:t>
      </w:r>
      <w:r w:rsidR="00061FAF">
        <w:rPr>
          <w:rStyle w:val="normaltextrun"/>
          <w:sz w:val="27"/>
          <w:szCs w:val="27"/>
        </w:rPr>
        <w:t xml:space="preserve"> 2012/27/ES</w:t>
      </w:r>
      <w:r w:rsidR="00F86768">
        <w:rPr>
          <w:rStyle w:val="FootnoteReference"/>
          <w:sz w:val="27"/>
          <w:szCs w:val="27"/>
        </w:rPr>
        <w:footnoteReference w:id="6"/>
      </w:r>
      <w:r w:rsidR="00C93062">
        <w:rPr>
          <w:rStyle w:val="normaltextrun"/>
          <w:sz w:val="27"/>
          <w:szCs w:val="27"/>
        </w:rPr>
        <w:t xml:space="preserve"> lietderīgās siltumenerģijas un efektīvi pamatota pieprasījuma definīcijām.</w:t>
      </w:r>
      <w:r w:rsidR="00F86768">
        <w:rPr>
          <w:rStyle w:val="normaltextrun"/>
          <w:sz w:val="27"/>
          <w:szCs w:val="27"/>
        </w:rPr>
        <w:t xml:space="preserve"> Tādējādi tiktu paplašināta Enerģētikas likumā iekļautā lietderīgās siltumenerģijas definīcija, novērošot iespēju siltumenerģijas lietderīgu izmantojumu pierādīt ar siltumenerģijas un kurināmā cenas attiecību.</w:t>
      </w:r>
    </w:p>
    <w:p w14:paraId="5B426DBE" w14:textId="347E1B37" w:rsidR="001803F6" w:rsidRPr="00AD2746" w:rsidRDefault="001803F6" w:rsidP="00AD2746">
      <w:pPr>
        <w:pStyle w:val="paragraph"/>
        <w:numPr>
          <w:ilvl w:val="0"/>
          <w:numId w:val="23"/>
        </w:numPr>
        <w:spacing w:before="120" w:beforeAutospacing="0" w:after="120" w:afterAutospacing="0"/>
        <w:jc w:val="both"/>
        <w:textAlignment w:val="baseline"/>
        <w:rPr>
          <w:rStyle w:val="normaltextrun"/>
          <w:sz w:val="27"/>
        </w:rPr>
      </w:pPr>
      <w:r>
        <w:rPr>
          <w:rStyle w:val="normaltextrun"/>
          <w:sz w:val="27"/>
          <w:szCs w:val="27"/>
        </w:rPr>
        <w:t>MK noteikumos izstrādāt kontroles prasības – noteikt pienākumu atbalsta saņēmējam nodrošināt lietderīgas siltumenerģijas patēriņu pie siltumenerģijas lietotāja, kontroles mehānismam izmantot, piemēram,</w:t>
      </w:r>
      <w:r w:rsidR="00A56822">
        <w:rPr>
          <w:rStyle w:val="normaltextrun"/>
          <w:sz w:val="27"/>
          <w:szCs w:val="27"/>
        </w:rPr>
        <w:t xml:space="preserve"> </w:t>
      </w:r>
      <w:r w:rsidRPr="00A56822">
        <w:rPr>
          <w:rStyle w:val="normaltextrun"/>
          <w:sz w:val="27"/>
          <w:szCs w:val="27"/>
        </w:rPr>
        <w:t xml:space="preserve">datus par siltumenerģijas patēriņu un sertificētu </w:t>
      </w:r>
      <w:proofErr w:type="spellStart"/>
      <w:r w:rsidRPr="00A56822">
        <w:rPr>
          <w:rStyle w:val="normaltextrun"/>
          <w:sz w:val="27"/>
          <w:szCs w:val="27"/>
        </w:rPr>
        <w:t>energoauditoru</w:t>
      </w:r>
      <w:proofErr w:type="spellEnd"/>
      <w:r w:rsidRPr="00A56822">
        <w:rPr>
          <w:rStyle w:val="normaltextrun"/>
          <w:sz w:val="27"/>
          <w:szCs w:val="27"/>
        </w:rPr>
        <w:t xml:space="preserve"> pakalpojumus</w:t>
      </w:r>
      <w:r w:rsidR="00793AF0">
        <w:rPr>
          <w:rStyle w:val="normaltextrun"/>
          <w:sz w:val="27"/>
          <w:szCs w:val="27"/>
        </w:rPr>
        <w:t>.</w:t>
      </w:r>
    </w:p>
    <w:p w14:paraId="37DB84B6" w14:textId="2D6E4B58" w:rsidR="001A0292" w:rsidRPr="0048595C" w:rsidRDefault="001A0292" w:rsidP="00C515D5">
      <w:pPr>
        <w:pStyle w:val="paragraph"/>
        <w:spacing w:before="120" w:beforeAutospacing="0" w:after="120" w:afterAutospacing="0"/>
        <w:jc w:val="both"/>
        <w:textAlignment w:val="baseline"/>
        <w:rPr>
          <w:color w:val="FF0000"/>
          <w:sz w:val="27"/>
          <w:szCs w:val="27"/>
        </w:rPr>
      </w:pPr>
    </w:p>
    <w:p w14:paraId="6AAE0E7B" w14:textId="11375A47" w:rsidR="00BD550F" w:rsidRPr="0048595C" w:rsidRDefault="00BD550F" w:rsidP="00C515D5">
      <w:pPr>
        <w:spacing w:before="120" w:after="120" w:line="240" w:lineRule="auto"/>
        <w:jc w:val="both"/>
        <w:textAlignment w:val="baseline"/>
        <w:rPr>
          <w:rFonts w:ascii="Times New Roman" w:hAnsi="Times New Roman"/>
          <w:b/>
          <w:sz w:val="27"/>
          <w:szCs w:val="27"/>
        </w:rPr>
      </w:pPr>
      <w:r>
        <w:rPr>
          <w:rFonts w:ascii="Times New Roman" w:hAnsi="Times New Roman"/>
          <w:b/>
          <w:sz w:val="27"/>
          <w:szCs w:val="27"/>
        </w:rPr>
        <w:t>2</w:t>
      </w:r>
      <w:r w:rsidR="00401368">
        <w:rPr>
          <w:rFonts w:ascii="Times New Roman" w:hAnsi="Times New Roman"/>
          <w:b/>
          <w:sz w:val="27"/>
          <w:szCs w:val="27"/>
        </w:rPr>
        <w:t>.</w:t>
      </w:r>
      <w:r>
        <w:rPr>
          <w:rFonts w:ascii="Times New Roman" w:hAnsi="Times New Roman"/>
          <w:b/>
          <w:sz w:val="27"/>
          <w:szCs w:val="27"/>
        </w:rPr>
        <w:t xml:space="preserve"> </w:t>
      </w:r>
      <w:r w:rsidRPr="0048595C">
        <w:rPr>
          <w:rFonts w:ascii="Times New Roman" w:hAnsi="Times New Roman"/>
          <w:b/>
          <w:sz w:val="27"/>
          <w:szCs w:val="27"/>
        </w:rPr>
        <w:t>Papildu prasīb</w:t>
      </w:r>
      <w:r>
        <w:rPr>
          <w:rFonts w:ascii="Times New Roman" w:hAnsi="Times New Roman"/>
          <w:b/>
          <w:sz w:val="27"/>
          <w:szCs w:val="27"/>
        </w:rPr>
        <w:t>u noteikšana</w:t>
      </w:r>
      <w:r w:rsidRPr="0048595C">
        <w:rPr>
          <w:rFonts w:ascii="Times New Roman" w:hAnsi="Times New Roman"/>
          <w:b/>
          <w:sz w:val="27"/>
          <w:szCs w:val="27"/>
        </w:rPr>
        <w:t xml:space="preserve"> biogāzes stacijām attiecībā uz atlikumproduktu, tostarp kūtsmēslu, izmantošanu</w:t>
      </w:r>
    </w:p>
    <w:p w14:paraId="326E87BC" w14:textId="08989435" w:rsidR="00BD550F" w:rsidRDefault="00BD550F" w:rsidP="00C515D5">
      <w:pPr>
        <w:spacing w:before="120" w:after="120" w:line="240" w:lineRule="auto"/>
        <w:jc w:val="both"/>
        <w:rPr>
          <w:rFonts w:ascii="Times New Roman" w:hAnsi="Times New Roman"/>
          <w:sz w:val="27"/>
          <w:szCs w:val="27"/>
        </w:rPr>
      </w:pPr>
      <w:r>
        <w:rPr>
          <w:rFonts w:ascii="Times New Roman" w:hAnsi="Times New Roman"/>
          <w:sz w:val="27"/>
          <w:szCs w:val="27"/>
        </w:rPr>
        <w:t>P</w:t>
      </w:r>
      <w:r w:rsidRPr="002D1169">
        <w:rPr>
          <w:rFonts w:ascii="Times New Roman" w:hAnsi="Times New Roman"/>
          <w:sz w:val="27"/>
          <w:szCs w:val="27"/>
        </w:rPr>
        <w:t>aredz</w:t>
      </w:r>
      <w:r>
        <w:rPr>
          <w:rFonts w:ascii="Times New Roman" w:hAnsi="Times New Roman"/>
          <w:sz w:val="27"/>
          <w:szCs w:val="27"/>
        </w:rPr>
        <w:t>ēts</w:t>
      </w:r>
      <w:r w:rsidRPr="002D1169">
        <w:rPr>
          <w:rFonts w:ascii="Times New Roman" w:hAnsi="Times New Roman"/>
          <w:sz w:val="27"/>
          <w:szCs w:val="27"/>
        </w:rPr>
        <w:t xml:space="preserve"> noteikt pienākumu </w:t>
      </w:r>
      <w:r>
        <w:rPr>
          <w:rFonts w:ascii="Times New Roman" w:hAnsi="Times New Roman"/>
          <w:sz w:val="27"/>
          <w:szCs w:val="27"/>
        </w:rPr>
        <w:t>atbalsta saņēmējiem</w:t>
      </w:r>
      <w:r w:rsidRPr="002D1169">
        <w:rPr>
          <w:rFonts w:ascii="Times New Roman" w:hAnsi="Times New Roman"/>
          <w:sz w:val="27"/>
          <w:szCs w:val="27"/>
        </w:rPr>
        <w:t xml:space="preserve"> biogāzes ražošanas iekārtā kā </w:t>
      </w:r>
      <w:proofErr w:type="spellStart"/>
      <w:r w:rsidRPr="002D1169">
        <w:rPr>
          <w:rFonts w:ascii="Times New Roman" w:hAnsi="Times New Roman"/>
          <w:sz w:val="27"/>
          <w:szCs w:val="27"/>
        </w:rPr>
        <w:t>pamatizejvielu</w:t>
      </w:r>
      <w:proofErr w:type="spellEnd"/>
      <w:r w:rsidRPr="002D1169">
        <w:rPr>
          <w:rFonts w:ascii="Times New Roman" w:hAnsi="Times New Roman"/>
          <w:sz w:val="27"/>
          <w:szCs w:val="27"/>
        </w:rPr>
        <w:t xml:space="preserve"> biogāzes ražošanai izmantot noteiktu apjomu pārtikas atkritumu un citu organiskas izcelsmes atkritumu un ražošanas </w:t>
      </w:r>
      <w:proofErr w:type="spellStart"/>
      <w:r w:rsidRPr="002D1169">
        <w:rPr>
          <w:rFonts w:ascii="Times New Roman" w:hAnsi="Times New Roman"/>
          <w:sz w:val="27"/>
          <w:szCs w:val="27"/>
        </w:rPr>
        <w:t>atlikumproduktus</w:t>
      </w:r>
      <w:proofErr w:type="spellEnd"/>
      <w:r w:rsidRPr="002D1169">
        <w:rPr>
          <w:rFonts w:ascii="Times New Roman" w:hAnsi="Times New Roman"/>
          <w:sz w:val="27"/>
          <w:szCs w:val="27"/>
        </w:rPr>
        <w:t xml:space="preserve">, lopkopības un putnkopības </w:t>
      </w:r>
      <w:proofErr w:type="spellStart"/>
      <w:r w:rsidRPr="002D1169">
        <w:rPr>
          <w:rFonts w:ascii="Times New Roman" w:hAnsi="Times New Roman"/>
          <w:sz w:val="27"/>
          <w:szCs w:val="27"/>
        </w:rPr>
        <w:t>atlikumproduktus</w:t>
      </w:r>
      <w:proofErr w:type="spellEnd"/>
      <w:r w:rsidRPr="002D1169">
        <w:rPr>
          <w:rFonts w:ascii="Times New Roman" w:hAnsi="Times New Roman"/>
          <w:sz w:val="27"/>
          <w:szCs w:val="27"/>
        </w:rPr>
        <w:t xml:space="preserve">, kā arī sadzīves, komunālos un pārtikas rūpniecības uzņēmumu notekūdeņus un to dūņas un ražošanas </w:t>
      </w:r>
      <w:proofErr w:type="spellStart"/>
      <w:r w:rsidRPr="002D1169">
        <w:rPr>
          <w:rFonts w:ascii="Times New Roman" w:hAnsi="Times New Roman"/>
          <w:sz w:val="27"/>
          <w:szCs w:val="27"/>
        </w:rPr>
        <w:t>atlikumproduktus</w:t>
      </w:r>
      <w:proofErr w:type="spellEnd"/>
      <w:r w:rsidR="009358D5">
        <w:rPr>
          <w:rFonts w:ascii="Times New Roman" w:hAnsi="Times New Roman"/>
          <w:sz w:val="27"/>
          <w:szCs w:val="27"/>
        </w:rPr>
        <w:t>. Risinājums paredz</w:t>
      </w:r>
      <w:r>
        <w:rPr>
          <w:rFonts w:ascii="Times New Roman" w:hAnsi="Times New Roman"/>
          <w:sz w:val="27"/>
          <w:szCs w:val="27"/>
        </w:rPr>
        <w:t xml:space="preserve"> pakāp</w:t>
      </w:r>
      <w:r w:rsidR="009358D5">
        <w:rPr>
          <w:rFonts w:ascii="Times New Roman" w:hAnsi="Times New Roman"/>
          <w:sz w:val="27"/>
          <w:szCs w:val="27"/>
        </w:rPr>
        <w:t>e</w:t>
      </w:r>
      <w:r>
        <w:rPr>
          <w:rFonts w:ascii="Times New Roman" w:hAnsi="Times New Roman"/>
          <w:sz w:val="27"/>
          <w:szCs w:val="27"/>
        </w:rPr>
        <w:t>ni</w:t>
      </w:r>
      <w:r w:rsidR="009358D5">
        <w:rPr>
          <w:rFonts w:ascii="Times New Roman" w:hAnsi="Times New Roman"/>
          <w:sz w:val="27"/>
          <w:szCs w:val="27"/>
        </w:rPr>
        <w:t>sku</w:t>
      </w:r>
      <w:r>
        <w:rPr>
          <w:rFonts w:ascii="Times New Roman" w:hAnsi="Times New Roman"/>
          <w:sz w:val="27"/>
          <w:szCs w:val="27"/>
        </w:rPr>
        <w:t xml:space="preserve"> minimāl</w:t>
      </w:r>
      <w:r w:rsidR="009358D5">
        <w:rPr>
          <w:rFonts w:ascii="Times New Roman" w:hAnsi="Times New Roman"/>
          <w:sz w:val="27"/>
          <w:szCs w:val="27"/>
        </w:rPr>
        <w:t>ā</w:t>
      </w:r>
      <w:r>
        <w:rPr>
          <w:rFonts w:ascii="Times New Roman" w:hAnsi="Times New Roman"/>
          <w:sz w:val="27"/>
          <w:szCs w:val="27"/>
        </w:rPr>
        <w:t xml:space="preserve"> pieļaujam</w:t>
      </w:r>
      <w:r w:rsidR="009358D5">
        <w:rPr>
          <w:rFonts w:ascii="Times New Roman" w:hAnsi="Times New Roman"/>
          <w:sz w:val="27"/>
          <w:szCs w:val="27"/>
        </w:rPr>
        <w:t>ā</w:t>
      </w:r>
      <w:r>
        <w:rPr>
          <w:rFonts w:ascii="Times New Roman" w:hAnsi="Times New Roman"/>
          <w:sz w:val="27"/>
          <w:szCs w:val="27"/>
        </w:rPr>
        <w:t xml:space="preserve"> apjom</w:t>
      </w:r>
      <w:r w:rsidR="009358D5">
        <w:rPr>
          <w:rFonts w:ascii="Times New Roman" w:hAnsi="Times New Roman"/>
          <w:sz w:val="27"/>
          <w:szCs w:val="27"/>
        </w:rPr>
        <w:t>a palielinājumu</w:t>
      </w:r>
      <w:r>
        <w:rPr>
          <w:rFonts w:ascii="Times New Roman" w:hAnsi="Times New Roman"/>
          <w:sz w:val="27"/>
          <w:szCs w:val="27"/>
        </w:rPr>
        <w:t>.</w:t>
      </w:r>
    </w:p>
    <w:p w14:paraId="555A0539" w14:textId="252DD05A" w:rsidR="00BD550F" w:rsidRPr="0048595C" w:rsidRDefault="009358D5" w:rsidP="00C515D5">
      <w:pPr>
        <w:spacing w:before="120" w:after="120" w:line="240" w:lineRule="auto"/>
        <w:jc w:val="both"/>
        <w:rPr>
          <w:rFonts w:ascii="Times New Roman" w:hAnsi="Times New Roman"/>
          <w:sz w:val="27"/>
          <w:szCs w:val="27"/>
        </w:rPr>
      </w:pPr>
      <w:r>
        <w:rPr>
          <w:rFonts w:ascii="Times New Roman" w:hAnsi="Times New Roman"/>
          <w:sz w:val="27"/>
          <w:szCs w:val="27"/>
        </w:rPr>
        <w:t>Tāpat r</w:t>
      </w:r>
      <w:r w:rsidR="00BD550F">
        <w:rPr>
          <w:rFonts w:ascii="Times New Roman" w:hAnsi="Times New Roman"/>
          <w:sz w:val="27"/>
          <w:szCs w:val="27"/>
        </w:rPr>
        <w:t xml:space="preserve">isinājums </w:t>
      </w:r>
      <w:r>
        <w:rPr>
          <w:rFonts w:ascii="Times New Roman" w:hAnsi="Times New Roman"/>
          <w:sz w:val="27"/>
          <w:szCs w:val="27"/>
        </w:rPr>
        <w:t xml:space="preserve">ietver nosacījumu, ka </w:t>
      </w:r>
      <w:r w:rsidR="00BD550F" w:rsidRPr="002D1169">
        <w:rPr>
          <w:rFonts w:ascii="Times New Roman" w:hAnsi="Times New Roman"/>
          <w:sz w:val="27"/>
          <w:szCs w:val="27"/>
        </w:rPr>
        <w:t>biogāzes stacijām,</w:t>
      </w:r>
      <w:r w:rsidR="00BD550F">
        <w:rPr>
          <w:rFonts w:ascii="Times New Roman" w:hAnsi="Times New Roman"/>
          <w:sz w:val="27"/>
          <w:szCs w:val="27"/>
        </w:rPr>
        <w:t xml:space="preserve"> </w:t>
      </w:r>
      <w:r w:rsidR="00BD550F" w:rsidRPr="002D1169">
        <w:rPr>
          <w:rFonts w:ascii="Times New Roman" w:hAnsi="Times New Roman"/>
          <w:sz w:val="27"/>
          <w:szCs w:val="27"/>
        </w:rPr>
        <w:t xml:space="preserve">kurās kā </w:t>
      </w:r>
      <w:proofErr w:type="spellStart"/>
      <w:r w:rsidR="00BD550F" w:rsidRPr="002D1169">
        <w:rPr>
          <w:rFonts w:ascii="Times New Roman" w:hAnsi="Times New Roman"/>
          <w:sz w:val="27"/>
          <w:szCs w:val="27"/>
        </w:rPr>
        <w:t>pamatizejvielu</w:t>
      </w:r>
      <w:proofErr w:type="spellEnd"/>
      <w:r w:rsidR="00BD550F" w:rsidRPr="002D1169">
        <w:rPr>
          <w:rFonts w:ascii="Times New Roman" w:hAnsi="Times New Roman"/>
          <w:sz w:val="27"/>
          <w:szCs w:val="27"/>
        </w:rPr>
        <w:t xml:space="preserve"> elektroenerģijas ražošanai neizmanto minētos </w:t>
      </w:r>
      <w:proofErr w:type="spellStart"/>
      <w:r w:rsidR="00BD550F" w:rsidRPr="002D1169">
        <w:rPr>
          <w:rFonts w:ascii="Times New Roman" w:hAnsi="Times New Roman"/>
          <w:sz w:val="27"/>
          <w:szCs w:val="27"/>
        </w:rPr>
        <w:t>atlikumproduktus</w:t>
      </w:r>
      <w:proofErr w:type="spellEnd"/>
      <w:r>
        <w:rPr>
          <w:rFonts w:ascii="Times New Roman" w:hAnsi="Times New Roman"/>
          <w:sz w:val="27"/>
          <w:szCs w:val="27"/>
        </w:rPr>
        <w:t xml:space="preserve"> minimālajā pieļaujamajā apjomā, atbalsts OI mehānisma ietvaros tiek atcelts.</w:t>
      </w:r>
      <w:r w:rsidR="00C70CEA">
        <w:rPr>
          <w:rFonts w:ascii="Times New Roman" w:hAnsi="Times New Roman"/>
          <w:sz w:val="27"/>
          <w:szCs w:val="27"/>
        </w:rPr>
        <w:t xml:space="preserve"> Princips </w:t>
      </w:r>
      <w:r w:rsidR="002938F6">
        <w:rPr>
          <w:rFonts w:ascii="Times New Roman" w:hAnsi="Times New Roman"/>
          <w:sz w:val="27"/>
          <w:szCs w:val="27"/>
        </w:rPr>
        <w:t>nosacījumu ieviešanai attēlots 1.tabulā, kas var mainīties normatīvo aktu saskaņošanas procesā.</w:t>
      </w:r>
    </w:p>
    <w:p w14:paraId="3933FAA1" w14:textId="77777777" w:rsidR="00DB3E69" w:rsidRDefault="00DB3E69" w:rsidP="00C515D5">
      <w:pPr>
        <w:spacing w:before="120" w:after="120"/>
        <w:jc w:val="right"/>
        <w:rPr>
          <w:rFonts w:ascii="Times New Roman" w:hAnsi="Times New Roman"/>
          <w:i/>
          <w:szCs w:val="26"/>
        </w:rPr>
      </w:pPr>
    </w:p>
    <w:p w14:paraId="798731F2" w14:textId="711E79CF" w:rsidR="00BD550F" w:rsidRPr="002D1169" w:rsidRDefault="00BD550F" w:rsidP="00C515D5">
      <w:pPr>
        <w:spacing w:before="120" w:after="120"/>
        <w:jc w:val="right"/>
        <w:rPr>
          <w:rFonts w:ascii="Times New Roman" w:hAnsi="Times New Roman"/>
          <w:szCs w:val="26"/>
        </w:rPr>
      </w:pPr>
      <w:r w:rsidRPr="002D1169">
        <w:rPr>
          <w:rFonts w:ascii="Times New Roman" w:hAnsi="Times New Roman"/>
          <w:i/>
          <w:szCs w:val="26"/>
        </w:rPr>
        <w:lastRenderedPageBreak/>
        <w:t>1. tabula</w:t>
      </w:r>
    </w:p>
    <w:tbl>
      <w:tblPr>
        <w:tblStyle w:val="TableGrid"/>
        <w:tblW w:w="0" w:type="auto"/>
        <w:jc w:val="center"/>
        <w:tblLook w:val="04A0" w:firstRow="1" w:lastRow="0" w:firstColumn="1" w:lastColumn="0" w:noHBand="0" w:noVBand="1"/>
      </w:tblPr>
      <w:tblGrid>
        <w:gridCol w:w="1477"/>
        <w:gridCol w:w="1561"/>
        <w:gridCol w:w="1666"/>
        <w:gridCol w:w="1561"/>
        <w:gridCol w:w="1444"/>
        <w:gridCol w:w="1561"/>
      </w:tblGrid>
      <w:tr w:rsidR="00BD550F" w:rsidRPr="002D1169" w14:paraId="7426CC10" w14:textId="77777777" w:rsidTr="008D3683">
        <w:trPr>
          <w:jc w:val="center"/>
        </w:trPr>
        <w:tc>
          <w:tcPr>
            <w:tcW w:w="295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29413BD" w14:textId="77777777" w:rsidR="00BD550F" w:rsidRPr="002D1169" w:rsidRDefault="00BD550F" w:rsidP="00A224D6">
            <w:pPr>
              <w:spacing w:after="0" w:line="240" w:lineRule="auto"/>
              <w:jc w:val="center"/>
              <w:rPr>
                <w:rFonts w:ascii="Times New Roman" w:hAnsi="Times New Roman"/>
                <w:b/>
                <w:szCs w:val="24"/>
              </w:rPr>
            </w:pPr>
            <w:bookmarkStart w:id="21" w:name="_Hlk7022513"/>
            <w:r w:rsidRPr="002D1169">
              <w:rPr>
                <w:rFonts w:ascii="Times New Roman" w:hAnsi="Times New Roman"/>
                <w:b/>
                <w:szCs w:val="24"/>
              </w:rPr>
              <w:t>2022.gads</w:t>
            </w:r>
          </w:p>
        </w:tc>
        <w:tc>
          <w:tcPr>
            <w:tcW w:w="319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15C61932" w14:textId="77777777" w:rsidR="00BD550F" w:rsidRPr="002D1169" w:rsidRDefault="00BD550F" w:rsidP="00A224D6">
            <w:pPr>
              <w:spacing w:after="0" w:line="240" w:lineRule="auto"/>
              <w:jc w:val="center"/>
              <w:rPr>
                <w:rFonts w:ascii="Times New Roman" w:hAnsi="Times New Roman"/>
                <w:b/>
                <w:szCs w:val="24"/>
              </w:rPr>
            </w:pPr>
            <w:r w:rsidRPr="002D1169">
              <w:rPr>
                <w:rFonts w:ascii="Times New Roman" w:hAnsi="Times New Roman"/>
                <w:b/>
                <w:szCs w:val="24"/>
              </w:rPr>
              <w:t>2026.gads</w:t>
            </w:r>
          </w:p>
        </w:tc>
        <w:tc>
          <w:tcPr>
            <w:tcW w:w="2919"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6BC15D57" w14:textId="77777777" w:rsidR="00BD550F" w:rsidRPr="002D1169" w:rsidRDefault="00BD550F" w:rsidP="00A224D6">
            <w:pPr>
              <w:spacing w:after="0" w:line="240" w:lineRule="auto"/>
              <w:jc w:val="center"/>
              <w:rPr>
                <w:rFonts w:ascii="Times New Roman" w:hAnsi="Times New Roman"/>
                <w:b/>
                <w:szCs w:val="24"/>
              </w:rPr>
            </w:pPr>
            <w:r w:rsidRPr="002D1169">
              <w:rPr>
                <w:rFonts w:ascii="Times New Roman" w:hAnsi="Times New Roman"/>
                <w:b/>
                <w:szCs w:val="24"/>
              </w:rPr>
              <w:t>2030.gads</w:t>
            </w:r>
          </w:p>
        </w:tc>
      </w:tr>
      <w:tr w:rsidR="00BD550F" w:rsidRPr="002D1169" w14:paraId="593EB594" w14:textId="77777777" w:rsidTr="008D3683">
        <w:trPr>
          <w:jc w:val="center"/>
        </w:trPr>
        <w:tc>
          <w:tcPr>
            <w:tcW w:w="295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0F6F6C97" w14:textId="77777777" w:rsidR="00BD550F" w:rsidRPr="002D1169" w:rsidRDefault="00BD550F" w:rsidP="00A224D6">
            <w:pPr>
              <w:spacing w:after="0" w:line="240" w:lineRule="auto"/>
              <w:jc w:val="center"/>
              <w:rPr>
                <w:rFonts w:ascii="Times New Roman" w:hAnsi="Times New Roman"/>
                <w:b/>
                <w:szCs w:val="24"/>
              </w:rPr>
            </w:pPr>
            <w:r w:rsidRPr="002D1169">
              <w:rPr>
                <w:rFonts w:ascii="Times New Roman" w:hAnsi="Times New Roman"/>
                <w:b/>
                <w:szCs w:val="24"/>
              </w:rPr>
              <w:t>50%</w:t>
            </w:r>
          </w:p>
        </w:tc>
        <w:tc>
          <w:tcPr>
            <w:tcW w:w="3190"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0A58A30" w14:textId="77777777" w:rsidR="00BD550F" w:rsidRPr="002D1169" w:rsidRDefault="00BD550F" w:rsidP="00A224D6">
            <w:pPr>
              <w:spacing w:after="0" w:line="240" w:lineRule="auto"/>
              <w:jc w:val="center"/>
              <w:rPr>
                <w:rFonts w:ascii="Times New Roman" w:hAnsi="Times New Roman"/>
                <w:b/>
                <w:szCs w:val="24"/>
              </w:rPr>
            </w:pPr>
            <w:r w:rsidRPr="002D1169">
              <w:rPr>
                <w:rFonts w:ascii="Times New Roman" w:hAnsi="Times New Roman"/>
                <w:b/>
                <w:szCs w:val="24"/>
              </w:rPr>
              <w:t>70%</w:t>
            </w:r>
          </w:p>
        </w:tc>
        <w:tc>
          <w:tcPr>
            <w:tcW w:w="2919"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9B32928" w14:textId="77777777" w:rsidR="00BD550F" w:rsidRPr="002D1169" w:rsidRDefault="00BD550F" w:rsidP="00A224D6">
            <w:pPr>
              <w:spacing w:after="0" w:line="240" w:lineRule="auto"/>
              <w:jc w:val="center"/>
              <w:rPr>
                <w:rFonts w:ascii="Times New Roman" w:hAnsi="Times New Roman"/>
                <w:b/>
                <w:szCs w:val="24"/>
              </w:rPr>
            </w:pPr>
            <w:r w:rsidRPr="002D1169">
              <w:rPr>
                <w:rFonts w:ascii="Times New Roman" w:hAnsi="Times New Roman"/>
                <w:b/>
                <w:szCs w:val="24"/>
              </w:rPr>
              <w:t>90%</w:t>
            </w:r>
          </w:p>
        </w:tc>
      </w:tr>
      <w:tr w:rsidR="00BD550F" w:rsidRPr="002D1169" w14:paraId="63419533" w14:textId="77777777" w:rsidTr="008D3683">
        <w:trPr>
          <w:jc w:val="center"/>
        </w:trPr>
        <w:tc>
          <w:tcPr>
            <w:tcW w:w="147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5C8C4A2"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Izmantoto atlikumu</w:t>
            </w:r>
          </w:p>
          <w:p w14:paraId="122C5AD6"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 xml:space="preserve"> īpatsvars</w:t>
            </w:r>
          </w:p>
        </w:tc>
        <w:tc>
          <w:tcPr>
            <w:tcW w:w="14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AA5915E"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OI tarifa samazinājums</w:t>
            </w:r>
          </w:p>
        </w:tc>
        <w:tc>
          <w:tcPr>
            <w:tcW w:w="166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CC6A3E1"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Izmantoto atlikumu</w:t>
            </w:r>
          </w:p>
          <w:p w14:paraId="7B89DBAE"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 xml:space="preserve"> īpatsvars</w:t>
            </w:r>
          </w:p>
        </w:tc>
        <w:tc>
          <w:tcPr>
            <w:tcW w:w="152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2BDA675"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OI tarifa samazinājums</w:t>
            </w:r>
          </w:p>
        </w:tc>
        <w:tc>
          <w:tcPr>
            <w:tcW w:w="144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0A7C745"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Izmantoto atlikumu</w:t>
            </w:r>
          </w:p>
          <w:p w14:paraId="6F948A24"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 xml:space="preserve"> īpatsvars</w:t>
            </w:r>
          </w:p>
        </w:tc>
        <w:tc>
          <w:tcPr>
            <w:tcW w:w="1475"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0846C75" w14:textId="77777777" w:rsidR="00BD550F" w:rsidRPr="002D1169" w:rsidRDefault="00BD550F" w:rsidP="00A224D6">
            <w:pPr>
              <w:spacing w:after="0" w:line="240" w:lineRule="auto"/>
              <w:rPr>
                <w:rFonts w:ascii="Times New Roman" w:hAnsi="Times New Roman"/>
                <w:b/>
                <w:szCs w:val="24"/>
              </w:rPr>
            </w:pPr>
            <w:r w:rsidRPr="002D1169">
              <w:rPr>
                <w:rFonts w:ascii="Times New Roman" w:hAnsi="Times New Roman"/>
                <w:b/>
                <w:szCs w:val="24"/>
              </w:rPr>
              <w:t>OI tarifa samazinājums</w:t>
            </w:r>
          </w:p>
        </w:tc>
      </w:tr>
      <w:tr w:rsidR="00BD550F" w:rsidRPr="002D1169" w14:paraId="3CB6EA02" w14:textId="77777777" w:rsidTr="008D3683">
        <w:trPr>
          <w:jc w:val="center"/>
        </w:trPr>
        <w:tc>
          <w:tcPr>
            <w:tcW w:w="1477" w:type="dxa"/>
            <w:tcBorders>
              <w:top w:val="single" w:sz="4" w:space="0" w:color="auto"/>
              <w:left w:val="single" w:sz="4" w:space="0" w:color="auto"/>
              <w:bottom w:val="single" w:sz="4" w:space="0" w:color="auto"/>
              <w:right w:val="single" w:sz="4" w:space="0" w:color="auto"/>
            </w:tcBorders>
            <w:hideMark/>
          </w:tcPr>
          <w:p w14:paraId="6605B76B"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b/>
                <w:szCs w:val="24"/>
              </w:rPr>
              <w:t>&lt;50</w:t>
            </w:r>
            <w:r w:rsidRPr="002D1169">
              <w:rPr>
                <w:rFonts w:ascii="Times New Roman" w:hAnsi="Times New Roman"/>
                <w:szCs w:val="24"/>
              </w:rPr>
              <w:t>-47%</w:t>
            </w:r>
          </w:p>
        </w:tc>
        <w:tc>
          <w:tcPr>
            <w:tcW w:w="1475" w:type="dxa"/>
            <w:tcBorders>
              <w:top w:val="single" w:sz="4" w:space="0" w:color="auto"/>
              <w:left w:val="single" w:sz="4" w:space="0" w:color="auto"/>
              <w:bottom w:val="single" w:sz="4" w:space="0" w:color="auto"/>
              <w:right w:val="single" w:sz="4" w:space="0" w:color="auto"/>
            </w:tcBorders>
            <w:hideMark/>
          </w:tcPr>
          <w:p w14:paraId="045A6150"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15 %</w:t>
            </w:r>
          </w:p>
        </w:tc>
        <w:tc>
          <w:tcPr>
            <w:tcW w:w="1666" w:type="dxa"/>
            <w:tcBorders>
              <w:top w:val="single" w:sz="4" w:space="0" w:color="auto"/>
              <w:left w:val="single" w:sz="4" w:space="0" w:color="auto"/>
              <w:bottom w:val="single" w:sz="4" w:space="0" w:color="auto"/>
              <w:right w:val="single" w:sz="4" w:space="0" w:color="auto"/>
            </w:tcBorders>
            <w:hideMark/>
          </w:tcPr>
          <w:p w14:paraId="1A53DA96"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b/>
                <w:szCs w:val="24"/>
              </w:rPr>
              <w:t>&lt;70</w:t>
            </w:r>
            <w:r w:rsidRPr="002D1169">
              <w:rPr>
                <w:rFonts w:ascii="Times New Roman" w:hAnsi="Times New Roman"/>
                <w:szCs w:val="24"/>
              </w:rPr>
              <w:t>-67%</w:t>
            </w:r>
          </w:p>
        </w:tc>
        <w:tc>
          <w:tcPr>
            <w:tcW w:w="1524" w:type="dxa"/>
            <w:tcBorders>
              <w:top w:val="single" w:sz="4" w:space="0" w:color="auto"/>
              <w:left w:val="single" w:sz="4" w:space="0" w:color="auto"/>
              <w:bottom w:val="single" w:sz="4" w:space="0" w:color="auto"/>
              <w:right w:val="single" w:sz="4" w:space="0" w:color="auto"/>
            </w:tcBorders>
            <w:hideMark/>
          </w:tcPr>
          <w:p w14:paraId="1DF55987"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10 %</w:t>
            </w:r>
          </w:p>
        </w:tc>
        <w:tc>
          <w:tcPr>
            <w:tcW w:w="1444" w:type="dxa"/>
            <w:tcBorders>
              <w:top w:val="single" w:sz="4" w:space="0" w:color="auto"/>
              <w:left w:val="single" w:sz="4" w:space="0" w:color="auto"/>
              <w:bottom w:val="single" w:sz="4" w:space="0" w:color="auto"/>
              <w:right w:val="single" w:sz="4" w:space="0" w:color="auto"/>
            </w:tcBorders>
            <w:hideMark/>
          </w:tcPr>
          <w:p w14:paraId="687849E3"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b/>
                <w:szCs w:val="24"/>
              </w:rPr>
              <w:t>&lt;90</w:t>
            </w:r>
            <w:r w:rsidRPr="002D1169">
              <w:rPr>
                <w:rFonts w:ascii="Times New Roman" w:hAnsi="Times New Roman"/>
                <w:szCs w:val="24"/>
              </w:rPr>
              <w:t>-87%</w:t>
            </w:r>
          </w:p>
        </w:tc>
        <w:tc>
          <w:tcPr>
            <w:tcW w:w="1475" w:type="dxa"/>
            <w:tcBorders>
              <w:top w:val="single" w:sz="4" w:space="0" w:color="auto"/>
              <w:left w:val="single" w:sz="4" w:space="0" w:color="auto"/>
              <w:bottom w:val="single" w:sz="4" w:space="0" w:color="auto"/>
              <w:right w:val="single" w:sz="4" w:space="0" w:color="auto"/>
            </w:tcBorders>
            <w:hideMark/>
          </w:tcPr>
          <w:p w14:paraId="69B76BFE"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5 %</w:t>
            </w:r>
          </w:p>
        </w:tc>
      </w:tr>
      <w:tr w:rsidR="00BD550F" w:rsidRPr="002D1169" w14:paraId="28602907" w14:textId="77777777" w:rsidTr="008D3683">
        <w:trPr>
          <w:jc w:val="center"/>
        </w:trPr>
        <w:tc>
          <w:tcPr>
            <w:tcW w:w="1477" w:type="dxa"/>
            <w:tcBorders>
              <w:top w:val="single" w:sz="4" w:space="0" w:color="auto"/>
              <w:left w:val="single" w:sz="4" w:space="0" w:color="auto"/>
              <w:bottom w:val="single" w:sz="4" w:space="0" w:color="auto"/>
              <w:right w:val="single" w:sz="4" w:space="0" w:color="auto"/>
            </w:tcBorders>
            <w:hideMark/>
          </w:tcPr>
          <w:p w14:paraId="503C166F"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&lt;47-44%</w:t>
            </w:r>
          </w:p>
        </w:tc>
        <w:tc>
          <w:tcPr>
            <w:tcW w:w="1475" w:type="dxa"/>
            <w:tcBorders>
              <w:top w:val="single" w:sz="4" w:space="0" w:color="auto"/>
              <w:left w:val="single" w:sz="4" w:space="0" w:color="auto"/>
              <w:bottom w:val="single" w:sz="4" w:space="0" w:color="auto"/>
              <w:right w:val="single" w:sz="4" w:space="0" w:color="auto"/>
            </w:tcBorders>
            <w:hideMark/>
          </w:tcPr>
          <w:p w14:paraId="2C3573A5"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30%</w:t>
            </w:r>
          </w:p>
        </w:tc>
        <w:tc>
          <w:tcPr>
            <w:tcW w:w="1666" w:type="dxa"/>
            <w:tcBorders>
              <w:top w:val="single" w:sz="4" w:space="0" w:color="auto"/>
              <w:left w:val="single" w:sz="4" w:space="0" w:color="auto"/>
              <w:bottom w:val="single" w:sz="4" w:space="0" w:color="auto"/>
              <w:right w:val="single" w:sz="4" w:space="0" w:color="auto"/>
            </w:tcBorders>
            <w:hideMark/>
          </w:tcPr>
          <w:p w14:paraId="19A25A2F"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&lt;67-64%</w:t>
            </w:r>
          </w:p>
        </w:tc>
        <w:tc>
          <w:tcPr>
            <w:tcW w:w="1524" w:type="dxa"/>
            <w:tcBorders>
              <w:top w:val="single" w:sz="4" w:space="0" w:color="auto"/>
              <w:left w:val="single" w:sz="4" w:space="0" w:color="auto"/>
              <w:bottom w:val="single" w:sz="4" w:space="0" w:color="auto"/>
              <w:right w:val="single" w:sz="4" w:space="0" w:color="auto"/>
            </w:tcBorders>
            <w:hideMark/>
          </w:tcPr>
          <w:p w14:paraId="046A7D5E"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20%</w:t>
            </w:r>
          </w:p>
        </w:tc>
        <w:tc>
          <w:tcPr>
            <w:tcW w:w="1444" w:type="dxa"/>
            <w:tcBorders>
              <w:top w:val="single" w:sz="4" w:space="0" w:color="auto"/>
              <w:left w:val="single" w:sz="4" w:space="0" w:color="auto"/>
              <w:bottom w:val="single" w:sz="4" w:space="0" w:color="auto"/>
              <w:right w:val="single" w:sz="4" w:space="0" w:color="auto"/>
            </w:tcBorders>
            <w:hideMark/>
          </w:tcPr>
          <w:p w14:paraId="04582CC9"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&lt;87-84%</w:t>
            </w:r>
          </w:p>
        </w:tc>
        <w:tc>
          <w:tcPr>
            <w:tcW w:w="1475" w:type="dxa"/>
            <w:tcBorders>
              <w:top w:val="single" w:sz="4" w:space="0" w:color="auto"/>
              <w:left w:val="single" w:sz="4" w:space="0" w:color="auto"/>
              <w:bottom w:val="single" w:sz="4" w:space="0" w:color="auto"/>
              <w:right w:val="single" w:sz="4" w:space="0" w:color="auto"/>
            </w:tcBorders>
            <w:hideMark/>
          </w:tcPr>
          <w:p w14:paraId="45BABFE2"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15%</w:t>
            </w:r>
          </w:p>
        </w:tc>
      </w:tr>
      <w:tr w:rsidR="00BD550F" w:rsidRPr="002D1169" w14:paraId="0325BFCC" w14:textId="77777777" w:rsidTr="008D3683">
        <w:trPr>
          <w:jc w:val="center"/>
        </w:trPr>
        <w:tc>
          <w:tcPr>
            <w:tcW w:w="1477" w:type="dxa"/>
            <w:tcBorders>
              <w:top w:val="single" w:sz="4" w:space="0" w:color="auto"/>
              <w:left w:val="single" w:sz="4" w:space="0" w:color="auto"/>
              <w:bottom w:val="single" w:sz="4" w:space="0" w:color="auto"/>
              <w:right w:val="single" w:sz="4" w:space="0" w:color="auto"/>
            </w:tcBorders>
            <w:hideMark/>
          </w:tcPr>
          <w:p w14:paraId="0C12C8EA"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&lt;44-40%</w:t>
            </w:r>
          </w:p>
        </w:tc>
        <w:tc>
          <w:tcPr>
            <w:tcW w:w="1475" w:type="dxa"/>
            <w:tcBorders>
              <w:top w:val="single" w:sz="4" w:space="0" w:color="auto"/>
              <w:left w:val="single" w:sz="4" w:space="0" w:color="auto"/>
              <w:bottom w:val="single" w:sz="4" w:space="0" w:color="auto"/>
              <w:right w:val="single" w:sz="4" w:space="0" w:color="auto"/>
            </w:tcBorders>
            <w:hideMark/>
          </w:tcPr>
          <w:p w14:paraId="47B2648A"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50%</w:t>
            </w:r>
          </w:p>
        </w:tc>
        <w:tc>
          <w:tcPr>
            <w:tcW w:w="1666" w:type="dxa"/>
            <w:tcBorders>
              <w:top w:val="single" w:sz="4" w:space="0" w:color="auto"/>
              <w:left w:val="single" w:sz="4" w:space="0" w:color="auto"/>
              <w:bottom w:val="single" w:sz="4" w:space="0" w:color="auto"/>
              <w:right w:val="single" w:sz="4" w:space="0" w:color="auto"/>
            </w:tcBorders>
            <w:hideMark/>
          </w:tcPr>
          <w:p w14:paraId="21C7F06E"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&lt;64-60%</w:t>
            </w:r>
          </w:p>
        </w:tc>
        <w:tc>
          <w:tcPr>
            <w:tcW w:w="1524" w:type="dxa"/>
            <w:tcBorders>
              <w:top w:val="single" w:sz="4" w:space="0" w:color="auto"/>
              <w:left w:val="single" w:sz="4" w:space="0" w:color="auto"/>
              <w:bottom w:val="single" w:sz="4" w:space="0" w:color="auto"/>
              <w:right w:val="single" w:sz="4" w:space="0" w:color="auto"/>
            </w:tcBorders>
            <w:hideMark/>
          </w:tcPr>
          <w:p w14:paraId="0E5F6DD4"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40%</w:t>
            </w:r>
          </w:p>
        </w:tc>
        <w:tc>
          <w:tcPr>
            <w:tcW w:w="1444" w:type="dxa"/>
            <w:tcBorders>
              <w:top w:val="single" w:sz="4" w:space="0" w:color="auto"/>
              <w:left w:val="single" w:sz="4" w:space="0" w:color="auto"/>
              <w:bottom w:val="single" w:sz="4" w:space="0" w:color="auto"/>
              <w:right w:val="single" w:sz="4" w:space="0" w:color="auto"/>
            </w:tcBorders>
            <w:hideMark/>
          </w:tcPr>
          <w:p w14:paraId="7E050486"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&lt;84-80%</w:t>
            </w:r>
          </w:p>
        </w:tc>
        <w:tc>
          <w:tcPr>
            <w:tcW w:w="1475" w:type="dxa"/>
            <w:tcBorders>
              <w:top w:val="single" w:sz="4" w:space="0" w:color="auto"/>
              <w:left w:val="single" w:sz="4" w:space="0" w:color="auto"/>
              <w:bottom w:val="single" w:sz="4" w:space="0" w:color="auto"/>
              <w:right w:val="single" w:sz="4" w:space="0" w:color="auto"/>
            </w:tcBorders>
            <w:hideMark/>
          </w:tcPr>
          <w:p w14:paraId="218B96D2"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30%</w:t>
            </w:r>
          </w:p>
        </w:tc>
      </w:tr>
      <w:tr w:rsidR="00BD550F" w:rsidRPr="002D1169" w14:paraId="2850541B" w14:textId="77777777" w:rsidTr="008D3683">
        <w:trPr>
          <w:trHeight w:val="161"/>
          <w:jc w:val="center"/>
        </w:trPr>
        <w:tc>
          <w:tcPr>
            <w:tcW w:w="1477" w:type="dxa"/>
            <w:tcBorders>
              <w:top w:val="single" w:sz="4" w:space="0" w:color="auto"/>
              <w:left w:val="single" w:sz="4" w:space="0" w:color="auto"/>
              <w:bottom w:val="single" w:sz="4" w:space="0" w:color="auto"/>
              <w:right w:val="single" w:sz="4" w:space="0" w:color="auto"/>
            </w:tcBorders>
            <w:hideMark/>
          </w:tcPr>
          <w:p w14:paraId="5A3BAFDA"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&lt;40%</w:t>
            </w:r>
          </w:p>
        </w:tc>
        <w:tc>
          <w:tcPr>
            <w:tcW w:w="1475" w:type="dxa"/>
            <w:tcBorders>
              <w:top w:val="single" w:sz="4" w:space="0" w:color="auto"/>
              <w:left w:val="single" w:sz="4" w:space="0" w:color="auto"/>
              <w:bottom w:val="single" w:sz="4" w:space="0" w:color="auto"/>
              <w:right w:val="single" w:sz="4" w:space="0" w:color="auto"/>
            </w:tcBorders>
            <w:hideMark/>
          </w:tcPr>
          <w:p w14:paraId="3ED6279F"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OI tiek atcelts</w:t>
            </w:r>
          </w:p>
        </w:tc>
        <w:tc>
          <w:tcPr>
            <w:tcW w:w="1666" w:type="dxa"/>
            <w:tcBorders>
              <w:top w:val="single" w:sz="4" w:space="0" w:color="auto"/>
              <w:left w:val="single" w:sz="4" w:space="0" w:color="auto"/>
              <w:bottom w:val="single" w:sz="4" w:space="0" w:color="auto"/>
              <w:right w:val="single" w:sz="4" w:space="0" w:color="auto"/>
            </w:tcBorders>
            <w:hideMark/>
          </w:tcPr>
          <w:p w14:paraId="38BADF0C"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&lt;60%</w:t>
            </w:r>
          </w:p>
        </w:tc>
        <w:tc>
          <w:tcPr>
            <w:tcW w:w="1524" w:type="dxa"/>
            <w:tcBorders>
              <w:top w:val="single" w:sz="4" w:space="0" w:color="auto"/>
              <w:left w:val="single" w:sz="4" w:space="0" w:color="auto"/>
              <w:bottom w:val="single" w:sz="4" w:space="0" w:color="auto"/>
              <w:right w:val="single" w:sz="4" w:space="0" w:color="auto"/>
            </w:tcBorders>
            <w:hideMark/>
          </w:tcPr>
          <w:p w14:paraId="740B927E"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OI tiek atcelts</w:t>
            </w:r>
          </w:p>
        </w:tc>
        <w:tc>
          <w:tcPr>
            <w:tcW w:w="1444" w:type="dxa"/>
            <w:tcBorders>
              <w:top w:val="single" w:sz="4" w:space="0" w:color="auto"/>
              <w:left w:val="single" w:sz="4" w:space="0" w:color="auto"/>
              <w:bottom w:val="single" w:sz="4" w:space="0" w:color="auto"/>
              <w:right w:val="single" w:sz="4" w:space="0" w:color="auto"/>
            </w:tcBorders>
            <w:hideMark/>
          </w:tcPr>
          <w:p w14:paraId="7AFFE262"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&lt;80%</w:t>
            </w:r>
          </w:p>
        </w:tc>
        <w:tc>
          <w:tcPr>
            <w:tcW w:w="1475" w:type="dxa"/>
            <w:tcBorders>
              <w:top w:val="single" w:sz="4" w:space="0" w:color="auto"/>
              <w:left w:val="single" w:sz="4" w:space="0" w:color="auto"/>
              <w:bottom w:val="single" w:sz="4" w:space="0" w:color="auto"/>
              <w:right w:val="single" w:sz="4" w:space="0" w:color="auto"/>
            </w:tcBorders>
            <w:hideMark/>
          </w:tcPr>
          <w:p w14:paraId="459CB81F" w14:textId="77777777" w:rsidR="00BD550F" w:rsidRPr="002D1169" w:rsidRDefault="00BD550F" w:rsidP="00A224D6">
            <w:pPr>
              <w:spacing w:after="0" w:line="240" w:lineRule="auto"/>
              <w:rPr>
                <w:rFonts w:ascii="Times New Roman" w:hAnsi="Times New Roman"/>
                <w:szCs w:val="24"/>
              </w:rPr>
            </w:pPr>
            <w:r w:rsidRPr="002D1169">
              <w:rPr>
                <w:rFonts w:ascii="Times New Roman" w:hAnsi="Times New Roman"/>
                <w:szCs w:val="24"/>
              </w:rPr>
              <w:t>OI tiek atcelts</w:t>
            </w:r>
          </w:p>
        </w:tc>
      </w:tr>
      <w:bookmarkEnd w:id="21"/>
    </w:tbl>
    <w:p w14:paraId="26AADF91" w14:textId="77777777" w:rsidR="001C3D68" w:rsidRPr="0048595C" w:rsidRDefault="001C3D68" w:rsidP="00C515D5">
      <w:pPr>
        <w:spacing w:before="120" w:after="120" w:line="240" w:lineRule="auto"/>
        <w:jc w:val="both"/>
        <w:rPr>
          <w:rFonts w:ascii="Times New Roman" w:hAnsi="Times New Roman"/>
          <w:sz w:val="27"/>
          <w:szCs w:val="27"/>
        </w:rPr>
      </w:pPr>
    </w:p>
    <w:p w14:paraId="6379A22B" w14:textId="73F5B01F" w:rsidR="00D533FC" w:rsidRPr="0048595C" w:rsidRDefault="00BD550F" w:rsidP="00C515D5">
      <w:pPr>
        <w:spacing w:before="120" w:after="120" w:line="240" w:lineRule="auto"/>
        <w:jc w:val="both"/>
        <w:rPr>
          <w:rFonts w:ascii="Times New Roman" w:hAnsi="Times New Roman"/>
          <w:b/>
          <w:sz w:val="27"/>
          <w:szCs w:val="27"/>
        </w:rPr>
      </w:pPr>
      <w:r>
        <w:rPr>
          <w:rFonts w:ascii="Times New Roman" w:hAnsi="Times New Roman"/>
          <w:b/>
          <w:sz w:val="27"/>
          <w:szCs w:val="27"/>
        </w:rPr>
        <w:t>3</w:t>
      </w:r>
      <w:r w:rsidR="00401368">
        <w:rPr>
          <w:rFonts w:ascii="Times New Roman" w:hAnsi="Times New Roman"/>
          <w:b/>
          <w:sz w:val="27"/>
          <w:szCs w:val="27"/>
        </w:rPr>
        <w:t>.</w:t>
      </w:r>
      <w:r w:rsidR="00E66357" w:rsidRPr="0048595C">
        <w:rPr>
          <w:rFonts w:ascii="Times New Roman" w:hAnsi="Times New Roman"/>
          <w:b/>
          <w:sz w:val="27"/>
          <w:szCs w:val="27"/>
        </w:rPr>
        <w:t xml:space="preserve"> </w:t>
      </w:r>
      <w:r w:rsidR="0030797A" w:rsidRPr="0048595C">
        <w:rPr>
          <w:rFonts w:ascii="Times New Roman" w:hAnsi="Times New Roman"/>
          <w:b/>
          <w:sz w:val="27"/>
          <w:szCs w:val="27"/>
        </w:rPr>
        <w:t>S</w:t>
      </w:r>
      <w:r w:rsidR="00E66357" w:rsidRPr="0048595C">
        <w:rPr>
          <w:rFonts w:ascii="Times New Roman" w:hAnsi="Times New Roman"/>
          <w:b/>
          <w:sz w:val="27"/>
          <w:szCs w:val="27"/>
        </w:rPr>
        <w:t>tingrāk</w:t>
      </w:r>
      <w:r w:rsidR="0030797A" w:rsidRPr="0048595C">
        <w:rPr>
          <w:rFonts w:ascii="Times New Roman" w:hAnsi="Times New Roman"/>
          <w:b/>
          <w:sz w:val="27"/>
          <w:szCs w:val="27"/>
        </w:rPr>
        <w:t>u</w:t>
      </w:r>
      <w:r w:rsidR="00E66357" w:rsidRPr="0048595C">
        <w:rPr>
          <w:rFonts w:ascii="Times New Roman" w:hAnsi="Times New Roman"/>
          <w:b/>
          <w:sz w:val="27"/>
          <w:szCs w:val="27"/>
        </w:rPr>
        <w:t xml:space="preserve"> sankcij</w:t>
      </w:r>
      <w:r w:rsidR="0030797A" w:rsidRPr="0048595C">
        <w:rPr>
          <w:rFonts w:ascii="Times New Roman" w:hAnsi="Times New Roman"/>
          <w:b/>
          <w:sz w:val="27"/>
          <w:szCs w:val="27"/>
        </w:rPr>
        <w:t>u noteikšana</w:t>
      </w:r>
      <w:r w:rsidR="00E66357" w:rsidRPr="0048595C">
        <w:rPr>
          <w:rFonts w:ascii="Times New Roman" w:hAnsi="Times New Roman"/>
          <w:b/>
          <w:sz w:val="27"/>
          <w:szCs w:val="27"/>
        </w:rPr>
        <w:t xml:space="preserve"> par</w:t>
      </w:r>
      <w:r w:rsidR="0030797A" w:rsidRPr="0048595C">
        <w:rPr>
          <w:rFonts w:ascii="Times New Roman" w:hAnsi="Times New Roman"/>
          <w:b/>
          <w:sz w:val="27"/>
          <w:szCs w:val="27"/>
        </w:rPr>
        <w:t xml:space="preserve"> OI saņēmēju</w:t>
      </w:r>
      <w:r w:rsidR="00E66357" w:rsidRPr="0048595C">
        <w:rPr>
          <w:rFonts w:ascii="Times New Roman" w:hAnsi="Times New Roman"/>
          <w:b/>
          <w:sz w:val="27"/>
          <w:szCs w:val="27"/>
        </w:rPr>
        <w:t xml:space="preserve"> pārkāpumiem</w:t>
      </w:r>
    </w:p>
    <w:p w14:paraId="07028FA7" w14:textId="77777777" w:rsidR="00DF493E" w:rsidRDefault="00EB1D9B" w:rsidP="00C515D5">
      <w:pPr>
        <w:spacing w:before="120" w:after="120" w:line="240" w:lineRule="auto"/>
        <w:jc w:val="both"/>
        <w:rPr>
          <w:rFonts w:ascii="Times New Roman" w:hAnsi="Times New Roman"/>
          <w:sz w:val="27"/>
          <w:szCs w:val="27"/>
        </w:rPr>
      </w:pPr>
      <w:r w:rsidRPr="0048595C">
        <w:rPr>
          <w:rFonts w:ascii="Times New Roman" w:hAnsi="Times New Roman"/>
          <w:sz w:val="27"/>
          <w:szCs w:val="27"/>
        </w:rPr>
        <w:t xml:space="preserve">Ar mērķi ierobežot komersantu iespējas saņemt pilnu valsts atbalstu, vienlaikus daļēji ievērojot tiem saistošos normatīvos aktus, pastāv iespējas </w:t>
      </w:r>
      <w:r w:rsidRPr="00F84472">
        <w:rPr>
          <w:rFonts w:ascii="Times New Roman" w:hAnsi="Times New Roman"/>
          <w:sz w:val="27"/>
        </w:rPr>
        <w:t>stiprināt sankciju</w:t>
      </w:r>
      <w:r w:rsidRPr="0048595C">
        <w:rPr>
          <w:rFonts w:ascii="Times New Roman" w:hAnsi="Times New Roman"/>
          <w:sz w:val="27"/>
          <w:szCs w:val="27"/>
        </w:rPr>
        <w:t xml:space="preserve"> aspektu.</w:t>
      </w:r>
    </w:p>
    <w:p w14:paraId="3DDFFA2E" w14:textId="734E69C5" w:rsidR="0030797A" w:rsidRPr="0048595C" w:rsidRDefault="00DF493E" w:rsidP="00C515D5">
      <w:pPr>
        <w:spacing w:before="120" w:after="120" w:line="240" w:lineRule="auto"/>
        <w:jc w:val="both"/>
        <w:rPr>
          <w:rFonts w:ascii="Times New Roman" w:hAnsi="Times New Roman"/>
          <w:sz w:val="27"/>
          <w:szCs w:val="27"/>
        </w:rPr>
      </w:pPr>
      <w:r>
        <w:rPr>
          <w:rFonts w:ascii="Times New Roman" w:hAnsi="Times New Roman"/>
          <w:sz w:val="27"/>
          <w:szCs w:val="27"/>
        </w:rPr>
        <w:t>Atbalsta saņēmēju kontroles mehānismu iespējams stiprināt ar šādiem kontroles līdzekļiem</w:t>
      </w:r>
      <w:r w:rsidR="00A05355">
        <w:rPr>
          <w:rStyle w:val="FootnoteReference"/>
          <w:rFonts w:ascii="Times New Roman" w:hAnsi="Times New Roman"/>
          <w:sz w:val="27"/>
          <w:szCs w:val="27"/>
        </w:rPr>
        <w:footnoteReference w:id="7"/>
      </w:r>
      <w:r>
        <w:rPr>
          <w:rFonts w:ascii="Times New Roman" w:hAnsi="Times New Roman"/>
          <w:sz w:val="27"/>
          <w:szCs w:val="27"/>
        </w:rPr>
        <w:t>:</w:t>
      </w:r>
      <w:r w:rsidR="00EB1D9B" w:rsidRPr="0048595C">
        <w:rPr>
          <w:rFonts w:ascii="Times New Roman" w:hAnsi="Times New Roman"/>
          <w:sz w:val="27"/>
          <w:szCs w:val="27"/>
        </w:rPr>
        <w:t xml:space="preserve"> </w:t>
      </w:r>
    </w:p>
    <w:p w14:paraId="59881CF2" w14:textId="2313E73C" w:rsidR="00E66357" w:rsidRPr="0048595C" w:rsidRDefault="00E66357" w:rsidP="008D06DB">
      <w:pPr>
        <w:pStyle w:val="ListParagraph"/>
        <w:numPr>
          <w:ilvl w:val="0"/>
          <w:numId w:val="1"/>
        </w:numPr>
        <w:spacing w:before="120" w:after="120" w:line="240" w:lineRule="auto"/>
        <w:jc w:val="both"/>
        <w:rPr>
          <w:rStyle w:val="normaltextrun"/>
          <w:rFonts w:ascii="Times New Roman" w:hAnsi="Times New Roman"/>
          <w:sz w:val="27"/>
          <w:szCs w:val="27"/>
        </w:rPr>
      </w:pPr>
      <w:r w:rsidRPr="0048595C">
        <w:rPr>
          <w:rStyle w:val="normaltextrun"/>
          <w:rFonts w:ascii="Times New Roman" w:hAnsi="Times New Roman"/>
          <w:sz w:val="27"/>
          <w:szCs w:val="27"/>
        </w:rPr>
        <w:t xml:space="preserve">Noteikt vai mazināt maksimālo pieļaujamo brīdinājumu skaitu par normatīvo aktu pārkāpumiem. Valsts atbalstu drīkst saņemt uzņēmumi, kuriem nav </w:t>
      </w:r>
      <w:r w:rsidR="00EC2659">
        <w:rPr>
          <w:rStyle w:val="normaltextrun"/>
          <w:rFonts w:ascii="Times New Roman" w:hAnsi="Times New Roman"/>
          <w:sz w:val="27"/>
          <w:szCs w:val="27"/>
        </w:rPr>
        <w:t xml:space="preserve">parādi par </w:t>
      </w:r>
      <w:r w:rsidRPr="0048595C">
        <w:rPr>
          <w:rStyle w:val="normaltextrun"/>
          <w:rFonts w:ascii="Times New Roman" w:hAnsi="Times New Roman"/>
          <w:sz w:val="27"/>
          <w:szCs w:val="27"/>
        </w:rPr>
        <w:t>administratīv</w:t>
      </w:r>
      <w:r w:rsidR="00EC2659">
        <w:rPr>
          <w:rStyle w:val="normaltextrun"/>
          <w:rFonts w:ascii="Times New Roman" w:hAnsi="Times New Roman"/>
          <w:sz w:val="27"/>
          <w:szCs w:val="27"/>
        </w:rPr>
        <w:t>ajiem</w:t>
      </w:r>
      <w:r w:rsidRPr="0048595C">
        <w:rPr>
          <w:rStyle w:val="normaltextrun"/>
          <w:rFonts w:ascii="Times New Roman" w:hAnsi="Times New Roman"/>
          <w:sz w:val="27"/>
          <w:szCs w:val="27"/>
        </w:rPr>
        <w:t xml:space="preserve"> sod</w:t>
      </w:r>
      <w:r w:rsidR="00EC2659">
        <w:rPr>
          <w:rStyle w:val="normaltextrun"/>
          <w:rFonts w:ascii="Times New Roman" w:hAnsi="Times New Roman"/>
          <w:sz w:val="27"/>
          <w:szCs w:val="27"/>
        </w:rPr>
        <w:t>iem</w:t>
      </w:r>
      <w:r w:rsidRPr="0048595C">
        <w:rPr>
          <w:rStyle w:val="normaltextrun"/>
          <w:rFonts w:ascii="Times New Roman" w:hAnsi="Times New Roman"/>
          <w:sz w:val="27"/>
          <w:szCs w:val="27"/>
        </w:rPr>
        <w:t xml:space="preserve"> un kuri izpilda normatīvo aktu prasības:</w:t>
      </w:r>
    </w:p>
    <w:p w14:paraId="55CB554B" w14:textId="77777777" w:rsidR="00E66357" w:rsidRPr="0048595C" w:rsidRDefault="00E66357" w:rsidP="00AD2746">
      <w:pPr>
        <w:pStyle w:val="ListParagraph"/>
        <w:numPr>
          <w:ilvl w:val="1"/>
          <w:numId w:val="24"/>
        </w:numPr>
        <w:spacing w:before="120" w:after="120" w:line="256" w:lineRule="auto"/>
        <w:jc w:val="both"/>
        <w:rPr>
          <w:rStyle w:val="normaltextrun"/>
          <w:rFonts w:ascii="Times New Roman" w:eastAsia="Times New Roman" w:hAnsi="Times New Roman"/>
          <w:sz w:val="27"/>
          <w:szCs w:val="27"/>
          <w:lang w:eastAsia="lv-LV"/>
        </w:rPr>
      </w:pPr>
      <w:r w:rsidRPr="0048595C">
        <w:rPr>
          <w:rStyle w:val="normaltextrun"/>
          <w:rFonts w:ascii="Times New Roman" w:hAnsi="Times New Roman"/>
          <w:sz w:val="27"/>
          <w:szCs w:val="27"/>
        </w:rPr>
        <w:t>OI saņemošu elektrostaciju darbības nosacījumus;</w:t>
      </w:r>
    </w:p>
    <w:p w14:paraId="7493EEDE" w14:textId="77777777" w:rsidR="00E66357" w:rsidRPr="0048595C" w:rsidRDefault="00E66357" w:rsidP="00AD2746">
      <w:pPr>
        <w:pStyle w:val="ListParagraph"/>
        <w:numPr>
          <w:ilvl w:val="1"/>
          <w:numId w:val="24"/>
        </w:numPr>
        <w:spacing w:before="120" w:after="120" w:line="256" w:lineRule="auto"/>
        <w:jc w:val="both"/>
        <w:rPr>
          <w:rStyle w:val="normaltextrun"/>
          <w:rFonts w:ascii="Times New Roman" w:eastAsia="Times New Roman" w:hAnsi="Times New Roman"/>
          <w:sz w:val="27"/>
          <w:szCs w:val="27"/>
          <w:lang w:eastAsia="lv-LV"/>
        </w:rPr>
      </w:pPr>
      <w:r w:rsidRPr="0048595C">
        <w:rPr>
          <w:rStyle w:val="normaltextrun"/>
          <w:rFonts w:ascii="Times New Roman" w:hAnsi="Times New Roman"/>
          <w:sz w:val="27"/>
          <w:szCs w:val="27"/>
        </w:rPr>
        <w:t xml:space="preserve">nodokļu jomā; </w:t>
      </w:r>
    </w:p>
    <w:p w14:paraId="6A3FA592" w14:textId="77777777" w:rsidR="00E66357" w:rsidRPr="0048595C" w:rsidRDefault="00E66357" w:rsidP="00AD2746">
      <w:pPr>
        <w:pStyle w:val="ListParagraph"/>
        <w:numPr>
          <w:ilvl w:val="1"/>
          <w:numId w:val="24"/>
        </w:numPr>
        <w:spacing w:before="120" w:after="120" w:line="256" w:lineRule="auto"/>
        <w:jc w:val="both"/>
        <w:rPr>
          <w:rStyle w:val="normaltextrun"/>
          <w:rFonts w:ascii="Times New Roman" w:eastAsia="Times New Roman" w:hAnsi="Times New Roman"/>
          <w:sz w:val="27"/>
          <w:szCs w:val="27"/>
          <w:lang w:eastAsia="lv-LV"/>
        </w:rPr>
      </w:pPr>
      <w:r w:rsidRPr="0048595C">
        <w:rPr>
          <w:rStyle w:val="normaltextrun"/>
          <w:rFonts w:ascii="Times New Roman" w:hAnsi="Times New Roman"/>
          <w:sz w:val="27"/>
          <w:szCs w:val="27"/>
        </w:rPr>
        <w:t>vides aizsardzības jomā;</w:t>
      </w:r>
    </w:p>
    <w:p w14:paraId="26BFB3AC" w14:textId="77777777" w:rsidR="00E66357" w:rsidRPr="0048595C" w:rsidRDefault="00E66357" w:rsidP="00AD2746">
      <w:pPr>
        <w:pStyle w:val="ListParagraph"/>
        <w:numPr>
          <w:ilvl w:val="1"/>
          <w:numId w:val="24"/>
        </w:numPr>
        <w:spacing w:before="120" w:after="120" w:line="256" w:lineRule="auto"/>
        <w:jc w:val="both"/>
        <w:rPr>
          <w:rStyle w:val="normaltextrun"/>
          <w:rFonts w:ascii="Times New Roman" w:eastAsia="Times New Roman" w:hAnsi="Times New Roman"/>
          <w:sz w:val="27"/>
          <w:szCs w:val="27"/>
          <w:lang w:eastAsia="lv-LV"/>
        </w:rPr>
      </w:pPr>
      <w:r w:rsidRPr="0048595C">
        <w:rPr>
          <w:rStyle w:val="normaltextrun"/>
          <w:rFonts w:ascii="Times New Roman" w:hAnsi="Times New Roman"/>
          <w:sz w:val="27"/>
          <w:szCs w:val="27"/>
        </w:rPr>
        <w:t>darba tiesību aizsardzības jomā.</w:t>
      </w:r>
    </w:p>
    <w:p w14:paraId="5EB988AB" w14:textId="77777777" w:rsidR="00DF493E" w:rsidRPr="0048595C" w:rsidRDefault="00DF493E" w:rsidP="00DF493E">
      <w:pPr>
        <w:pStyle w:val="paragraph"/>
        <w:numPr>
          <w:ilvl w:val="0"/>
          <w:numId w:val="1"/>
        </w:numPr>
        <w:spacing w:before="120" w:beforeAutospacing="0" w:after="120" w:afterAutospacing="0"/>
        <w:jc w:val="both"/>
        <w:textAlignment w:val="baseline"/>
        <w:rPr>
          <w:rStyle w:val="normaltextrun"/>
          <w:sz w:val="27"/>
          <w:szCs w:val="27"/>
        </w:rPr>
      </w:pPr>
      <w:r w:rsidRPr="0048595C">
        <w:rPr>
          <w:rStyle w:val="normaltextrun"/>
          <w:sz w:val="27"/>
          <w:szCs w:val="27"/>
        </w:rPr>
        <w:t>Saīsināt termiņus normatīvo aktu pārkāpšanas novēršanai.</w:t>
      </w:r>
    </w:p>
    <w:p w14:paraId="0BBB45EE" w14:textId="77777777" w:rsidR="00DF493E" w:rsidRPr="0048595C" w:rsidRDefault="00DF493E" w:rsidP="00DF493E">
      <w:pPr>
        <w:pStyle w:val="paragraph"/>
        <w:numPr>
          <w:ilvl w:val="0"/>
          <w:numId w:val="1"/>
        </w:numPr>
        <w:spacing w:before="120" w:beforeAutospacing="0" w:after="120" w:afterAutospacing="0"/>
        <w:jc w:val="both"/>
        <w:textAlignment w:val="baseline"/>
        <w:rPr>
          <w:rStyle w:val="normaltextrun"/>
          <w:sz w:val="27"/>
          <w:szCs w:val="27"/>
        </w:rPr>
      </w:pPr>
      <w:r w:rsidRPr="0048595C">
        <w:rPr>
          <w:rStyle w:val="normaltextrun"/>
          <w:sz w:val="27"/>
          <w:szCs w:val="27"/>
        </w:rPr>
        <w:t>Publicēt OI saņēmējiem izteikto brīdinājumu sarakstu.</w:t>
      </w:r>
    </w:p>
    <w:p w14:paraId="2A766E6A" w14:textId="461017CF" w:rsidR="00DF493E" w:rsidRDefault="00DF493E" w:rsidP="00DF493E">
      <w:pPr>
        <w:pStyle w:val="paragraph"/>
        <w:numPr>
          <w:ilvl w:val="0"/>
          <w:numId w:val="1"/>
        </w:numPr>
        <w:spacing w:before="120" w:beforeAutospacing="0" w:after="120" w:afterAutospacing="0"/>
        <w:jc w:val="both"/>
        <w:textAlignment w:val="baseline"/>
        <w:rPr>
          <w:rStyle w:val="normaltextrun"/>
          <w:sz w:val="27"/>
          <w:szCs w:val="27"/>
        </w:rPr>
      </w:pPr>
      <w:r w:rsidRPr="0048595C">
        <w:rPr>
          <w:rStyle w:val="normaltextrun"/>
          <w:sz w:val="27"/>
          <w:szCs w:val="27"/>
        </w:rPr>
        <w:t>Paplašināt pārkāpumu sarakstu, ar</w:t>
      </w:r>
      <w:r w:rsidR="003443A3">
        <w:rPr>
          <w:rStyle w:val="normaltextrun"/>
          <w:sz w:val="27"/>
          <w:szCs w:val="27"/>
        </w:rPr>
        <w:t xml:space="preserve"> tādiem pārkāpumiem, par</w:t>
      </w:r>
      <w:r w:rsidRPr="0048595C">
        <w:rPr>
          <w:rStyle w:val="normaltextrun"/>
          <w:sz w:val="27"/>
          <w:szCs w:val="27"/>
        </w:rPr>
        <w:t xml:space="preserve"> kuriem OI tiesības atceļamas.</w:t>
      </w:r>
    </w:p>
    <w:p w14:paraId="0DDBF214" w14:textId="38F10750" w:rsidR="00DF493E" w:rsidRDefault="00DF493E" w:rsidP="00F84472">
      <w:pPr>
        <w:pStyle w:val="paragraph"/>
        <w:spacing w:before="120" w:beforeAutospacing="0" w:after="120" w:afterAutospacing="0"/>
        <w:jc w:val="both"/>
        <w:textAlignment w:val="baseline"/>
        <w:rPr>
          <w:rStyle w:val="normaltextrun"/>
          <w:sz w:val="27"/>
          <w:szCs w:val="27"/>
        </w:rPr>
      </w:pPr>
      <w:r>
        <w:rPr>
          <w:rStyle w:val="normaltextrun"/>
          <w:sz w:val="27"/>
          <w:szCs w:val="27"/>
        </w:rPr>
        <w:t xml:space="preserve">Vienlaikus par izdarītiem pārkāpumiem atbalsta saņēmējiem piemērojama </w:t>
      </w:r>
      <w:r w:rsidRPr="00DF493E">
        <w:rPr>
          <w:rStyle w:val="normaltextrun"/>
          <w:sz w:val="27"/>
          <w:szCs w:val="27"/>
        </w:rPr>
        <w:t>administratīvā atbildība vai administratīvai atbildībai līdzīgi piespiedu ietekmēšanas līdzekļi</w:t>
      </w:r>
      <w:r>
        <w:rPr>
          <w:rStyle w:val="normaltextrun"/>
          <w:sz w:val="27"/>
          <w:szCs w:val="27"/>
        </w:rPr>
        <w:t>:</w:t>
      </w:r>
    </w:p>
    <w:p w14:paraId="235C9AF6" w14:textId="1C769FC4" w:rsidR="00E66357" w:rsidRPr="0048595C" w:rsidRDefault="00E66357" w:rsidP="008D06DB">
      <w:pPr>
        <w:pStyle w:val="paragraph"/>
        <w:numPr>
          <w:ilvl w:val="0"/>
          <w:numId w:val="1"/>
        </w:numPr>
        <w:spacing w:before="120" w:beforeAutospacing="0" w:after="120" w:afterAutospacing="0"/>
        <w:jc w:val="both"/>
        <w:textAlignment w:val="baseline"/>
        <w:rPr>
          <w:rStyle w:val="normaltextrun"/>
          <w:sz w:val="27"/>
          <w:szCs w:val="27"/>
        </w:rPr>
      </w:pPr>
      <w:r w:rsidRPr="0048595C">
        <w:rPr>
          <w:rStyle w:val="normaltextrun"/>
          <w:sz w:val="27"/>
          <w:szCs w:val="27"/>
        </w:rPr>
        <w:t xml:space="preserve">Komersantiem pārkāpjot normatīvo aktu prasības, pārtraukt </w:t>
      </w:r>
      <w:r w:rsidR="006D6739">
        <w:rPr>
          <w:rStyle w:val="normaltextrun"/>
          <w:sz w:val="27"/>
          <w:szCs w:val="27"/>
        </w:rPr>
        <w:t>atbalsta</w:t>
      </w:r>
      <w:r w:rsidRPr="0048595C">
        <w:rPr>
          <w:rStyle w:val="normaltextrun"/>
          <w:sz w:val="27"/>
          <w:szCs w:val="27"/>
        </w:rPr>
        <w:t xml:space="preserve"> izmaksu līdz pārkāpuma novēršanai.</w:t>
      </w:r>
    </w:p>
    <w:p w14:paraId="6593A120" w14:textId="2E1179B9" w:rsidR="00982D1E" w:rsidRPr="00516ACA" w:rsidRDefault="00E66357" w:rsidP="00516ACA">
      <w:pPr>
        <w:pStyle w:val="paragraph"/>
        <w:numPr>
          <w:ilvl w:val="0"/>
          <w:numId w:val="1"/>
        </w:numPr>
        <w:spacing w:before="120" w:beforeAutospacing="0" w:after="120" w:afterAutospacing="0"/>
        <w:jc w:val="both"/>
        <w:textAlignment w:val="baseline"/>
        <w:rPr>
          <w:rStyle w:val="normaltextrun"/>
          <w:sz w:val="27"/>
          <w:szCs w:val="27"/>
        </w:rPr>
      </w:pPr>
      <w:r w:rsidRPr="0048595C">
        <w:rPr>
          <w:rStyle w:val="normaltextrun"/>
          <w:sz w:val="27"/>
          <w:szCs w:val="27"/>
        </w:rPr>
        <w:t>Par OI saņemošu elektrostaciju darbības nosacījumu pārkāpumiem piemērot administratīvo</w:t>
      </w:r>
      <w:r w:rsidR="00EC2659">
        <w:rPr>
          <w:rStyle w:val="normaltextrun"/>
          <w:sz w:val="27"/>
          <w:szCs w:val="27"/>
        </w:rPr>
        <w:t>s sodus</w:t>
      </w:r>
      <w:r w:rsidRPr="0048595C">
        <w:rPr>
          <w:rStyle w:val="normaltextrun"/>
          <w:sz w:val="27"/>
          <w:szCs w:val="27"/>
        </w:rPr>
        <w:t>.</w:t>
      </w:r>
      <w:r w:rsidR="001721F7">
        <w:rPr>
          <w:rStyle w:val="normaltextrun"/>
          <w:sz w:val="27"/>
          <w:szCs w:val="27"/>
        </w:rPr>
        <w:t xml:space="preserve"> </w:t>
      </w:r>
      <w:r w:rsidR="001721F7" w:rsidRPr="001721F7">
        <w:rPr>
          <w:rStyle w:val="normaltextrun"/>
          <w:sz w:val="27"/>
          <w:szCs w:val="27"/>
        </w:rPr>
        <w:t xml:space="preserve">Saskaņā ar </w:t>
      </w:r>
      <w:r w:rsidR="001721F7" w:rsidRPr="001E0C3D">
        <w:rPr>
          <w:rStyle w:val="normaltextrun"/>
          <w:sz w:val="27"/>
          <w:szCs w:val="27"/>
        </w:rPr>
        <w:t>T</w:t>
      </w:r>
      <w:r w:rsidR="001721F7" w:rsidRPr="001721F7">
        <w:rPr>
          <w:rStyle w:val="normaltextrun"/>
          <w:sz w:val="27"/>
          <w:szCs w:val="27"/>
        </w:rPr>
        <w:t xml:space="preserve">ieslietu ministrijas norādēm tālāka virzība attiecībā uz administratīvo sodu noteikšanu iespējama pēc minētā jautājuma izskatīšanas Tieslietu ministrijas izveidotajā Latvijas Administratīvo pārkāpumu kodeksa pastāvīgajā darba grupā. </w:t>
      </w:r>
    </w:p>
    <w:p w14:paraId="093E8B79" w14:textId="4338FA33" w:rsidR="00982D1E" w:rsidRPr="0048595C" w:rsidRDefault="00982D1E" w:rsidP="00AD2746">
      <w:pPr>
        <w:pStyle w:val="paragraph"/>
        <w:spacing w:before="120" w:beforeAutospacing="0" w:after="120" w:afterAutospacing="0"/>
        <w:jc w:val="both"/>
        <w:textAlignment w:val="baseline"/>
        <w:rPr>
          <w:rStyle w:val="normaltextrun"/>
          <w:sz w:val="27"/>
          <w:szCs w:val="27"/>
        </w:rPr>
      </w:pPr>
      <w:r w:rsidRPr="00982D1E">
        <w:rPr>
          <w:rStyle w:val="normaltextrun"/>
          <w:sz w:val="27"/>
          <w:szCs w:val="27"/>
        </w:rPr>
        <w:t xml:space="preserve">Vienlaikus </w:t>
      </w:r>
      <w:r>
        <w:rPr>
          <w:rStyle w:val="normaltextrun"/>
          <w:sz w:val="27"/>
          <w:szCs w:val="27"/>
        </w:rPr>
        <w:t>šī rīcības virziena pasākumi jāskata kopsakarā ar pārējo rīcības virzienu ietvaros paredzētajiem pasākumiem un</w:t>
      </w:r>
      <w:r w:rsidRPr="00982D1E">
        <w:rPr>
          <w:rStyle w:val="normaltextrun"/>
          <w:sz w:val="27"/>
          <w:szCs w:val="27"/>
        </w:rPr>
        <w:t xml:space="preserve"> veicot normatīvo aktu grozījumus, lai ieviestu </w:t>
      </w:r>
      <w:r w:rsidRPr="00982D1E">
        <w:rPr>
          <w:rStyle w:val="normaltextrun"/>
          <w:sz w:val="27"/>
          <w:szCs w:val="27"/>
        </w:rPr>
        <w:lastRenderedPageBreak/>
        <w:t>šos pasākumus, izvērtējams, vai kopsakarā ar citiem ieviešamajiem pasākumiem to raksturs kopumā ir atturošs un efektīvs</w:t>
      </w:r>
      <w:r>
        <w:rPr>
          <w:rStyle w:val="normaltextrun"/>
          <w:sz w:val="27"/>
          <w:szCs w:val="27"/>
        </w:rPr>
        <w:t xml:space="preserve">, </w:t>
      </w:r>
      <w:r w:rsidRPr="00982D1E">
        <w:rPr>
          <w:rStyle w:val="normaltextrun"/>
          <w:sz w:val="27"/>
          <w:szCs w:val="27"/>
        </w:rPr>
        <w:t>tie nav nesamērīgi</w:t>
      </w:r>
      <w:r>
        <w:rPr>
          <w:rStyle w:val="normaltextrun"/>
          <w:sz w:val="27"/>
          <w:szCs w:val="27"/>
        </w:rPr>
        <w:t xml:space="preserve"> un nepamatoti neierobežo atbalsta saņēmēju </w:t>
      </w:r>
      <w:proofErr w:type="spellStart"/>
      <w:r>
        <w:rPr>
          <w:rStyle w:val="normaltextrun"/>
          <w:sz w:val="27"/>
          <w:szCs w:val="27"/>
        </w:rPr>
        <w:t>pamattiesības</w:t>
      </w:r>
      <w:proofErr w:type="spellEnd"/>
      <w:r>
        <w:rPr>
          <w:rStyle w:val="normaltextrun"/>
          <w:sz w:val="27"/>
          <w:szCs w:val="27"/>
        </w:rPr>
        <w:t>.</w:t>
      </w:r>
    </w:p>
    <w:p w14:paraId="7D1FAE35" w14:textId="52B59B5A" w:rsidR="001B2D49" w:rsidRPr="00AD2746" w:rsidRDefault="00F268BA" w:rsidP="00AD2746">
      <w:pPr>
        <w:pStyle w:val="Heading1"/>
        <w:rPr>
          <w:u w:val="single"/>
        </w:rPr>
      </w:pPr>
      <w:bookmarkStart w:id="22" w:name="_Toc9244610"/>
      <w:bookmarkStart w:id="23" w:name="_Toc13152090"/>
      <w:r w:rsidRPr="00AD2746">
        <w:rPr>
          <w:u w:val="single"/>
        </w:rPr>
        <w:t>3</w:t>
      </w:r>
      <w:r w:rsidR="00561A92" w:rsidRPr="00AD2746">
        <w:rPr>
          <w:u w:val="single"/>
        </w:rPr>
        <w:t>.</w:t>
      </w:r>
      <w:r w:rsidR="00320079" w:rsidRPr="00AD2746">
        <w:rPr>
          <w:u w:val="single"/>
        </w:rPr>
        <w:t xml:space="preserve"> </w:t>
      </w:r>
      <w:r w:rsidR="001B2D49" w:rsidRPr="00AD2746">
        <w:rPr>
          <w:u w:val="single"/>
        </w:rPr>
        <w:t xml:space="preserve">Rīcības virziens - </w:t>
      </w:r>
      <w:r w:rsidR="00320079" w:rsidRPr="00AD2746">
        <w:rPr>
          <w:u w:val="single"/>
        </w:rPr>
        <w:t xml:space="preserve">Atbalsta </w:t>
      </w:r>
      <w:r w:rsidR="00144126" w:rsidRPr="00AD2746">
        <w:rPr>
          <w:u w:val="single"/>
        </w:rPr>
        <w:t xml:space="preserve">apmēra </w:t>
      </w:r>
      <w:r w:rsidR="00320079" w:rsidRPr="00AD2746">
        <w:rPr>
          <w:u w:val="single"/>
        </w:rPr>
        <w:t>ierobežošana</w:t>
      </w:r>
      <w:bookmarkEnd w:id="22"/>
      <w:bookmarkEnd w:id="23"/>
    </w:p>
    <w:p w14:paraId="11DEDEB6" w14:textId="01C737D5" w:rsidR="001B2D49" w:rsidRDefault="001B2D49" w:rsidP="00C515D5">
      <w:pPr>
        <w:pStyle w:val="paragraph"/>
        <w:spacing w:before="120" w:beforeAutospacing="0" w:after="120" w:afterAutospacing="0"/>
        <w:jc w:val="both"/>
        <w:textAlignment w:val="baseline"/>
        <w:rPr>
          <w:sz w:val="27"/>
          <w:szCs w:val="27"/>
        </w:rPr>
      </w:pPr>
      <w:r>
        <w:rPr>
          <w:b/>
          <w:sz w:val="27"/>
          <w:szCs w:val="27"/>
        </w:rPr>
        <w:t xml:space="preserve">Mērķis: </w:t>
      </w:r>
      <w:r w:rsidRPr="001B2D49">
        <w:rPr>
          <w:sz w:val="27"/>
          <w:szCs w:val="27"/>
        </w:rPr>
        <w:t>Nodrošināt atbalsta sniegšanu minimālajā nepieciešamajā līmenī</w:t>
      </w:r>
      <w:r>
        <w:rPr>
          <w:b/>
          <w:sz w:val="27"/>
          <w:szCs w:val="27"/>
        </w:rPr>
        <w:t xml:space="preserve"> </w:t>
      </w:r>
      <w:r w:rsidRPr="0048595C">
        <w:rPr>
          <w:sz w:val="27"/>
          <w:szCs w:val="27"/>
        </w:rPr>
        <w:t xml:space="preserve">un efektīvi ierobežot </w:t>
      </w:r>
      <w:r>
        <w:rPr>
          <w:sz w:val="27"/>
          <w:szCs w:val="27"/>
        </w:rPr>
        <w:t>atbalst</w:t>
      </w:r>
      <w:r w:rsidR="008D4ABC">
        <w:rPr>
          <w:sz w:val="27"/>
          <w:szCs w:val="27"/>
        </w:rPr>
        <w:t>a</w:t>
      </w:r>
      <w:r>
        <w:rPr>
          <w:sz w:val="27"/>
          <w:szCs w:val="27"/>
        </w:rPr>
        <w:t xml:space="preserve"> saņēmēju</w:t>
      </w:r>
      <w:r w:rsidRPr="0048595C">
        <w:rPr>
          <w:sz w:val="27"/>
          <w:szCs w:val="27"/>
        </w:rPr>
        <w:t xml:space="preserve"> peļņ</w:t>
      </w:r>
      <w:r>
        <w:rPr>
          <w:sz w:val="27"/>
          <w:szCs w:val="27"/>
        </w:rPr>
        <w:t>u</w:t>
      </w:r>
      <w:r w:rsidRPr="0048595C">
        <w:rPr>
          <w:sz w:val="27"/>
          <w:szCs w:val="27"/>
        </w:rPr>
        <w:t xml:space="preserve">. </w:t>
      </w:r>
    </w:p>
    <w:p w14:paraId="136357D3" w14:textId="087BF182" w:rsidR="001B2D49" w:rsidRDefault="001B2D49" w:rsidP="00C515D5">
      <w:pPr>
        <w:spacing w:before="120" w:after="120" w:line="240" w:lineRule="auto"/>
        <w:jc w:val="both"/>
        <w:rPr>
          <w:rFonts w:ascii="Times New Roman" w:hAnsi="Times New Roman"/>
          <w:b/>
          <w:sz w:val="27"/>
          <w:szCs w:val="27"/>
        </w:rPr>
      </w:pPr>
      <w:r>
        <w:rPr>
          <w:rFonts w:ascii="Times New Roman" w:hAnsi="Times New Roman"/>
          <w:b/>
          <w:sz w:val="27"/>
          <w:szCs w:val="27"/>
        </w:rPr>
        <w:t>Rīcība:</w:t>
      </w:r>
      <w:r w:rsidR="006D6739">
        <w:rPr>
          <w:rFonts w:ascii="Times New Roman" w:hAnsi="Times New Roman"/>
          <w:b/>
          <w:sz w:val="27"/>
          <w:szCs w:val="27"/>
        </w:rPr>
        <w:t xml:space="preserve"> </w:t>
      </w:r>
      <w:r w:rsidR="006D6739" w:rsidRPr="006D6739">
        <w:rPr>
          <w:rFonts w:ascii="Times New Roman" w:hAnsi="Times New Roman"/>
          <w:sz w:val="27"/>
          <w:szCs w:val="27"/>
        </w:rPr>
        <w:t xml:space="preserve">Atbalsta apmēru nepieciešamajā minimālajā līmenī iespējams nodrošināt pilnveidojot elektrostaciju kopējo kapitālieguldījumu iekšējās peļņas normas novērtējuma mehānismu, kā arī </w:t>
      </w:r>
      <w:r w:rsidR="006D6739">
        <w:rPr>
          <w:rFonts w:ascii="Times New Roman" w:hAnsi="Times New Roman"/>
          <w:sz w:val="27"/>
          <w:szCs w:val="27"/>
        </w:rPr>
        <w:t>pārskatot elektroenerģijas iepirkuma cenas formulas tām elektrostacijām, kas nav nodotas ekspluatācijā.</w:t>
      </w:r>
    </w:p>
    <w:p w14:paraId="7560888C" w14:textId="77777777" w:rsidR="001B2D49" w:rsidRDefault="001B2D49" w:rsidP="00C515D5">
      <w:pPr>
        <w:pStyle w:val="paragraph"/>
        <w:spacing w:before="120" w:beforeAutospacing="0" w:after="120" w:afterAutospacing="0"/>
        <w:jc w:val="both"/>
        <w:textAlignment w:val="baseline"/>
        <w:rPr>
          <w:b/>
          <w:sz w:val="27"/>
          <w:szCs w:val="27"/>
        </w:rPr>
      </w:pPr>
    </w:p>
    <w:p w14:paraId="2828B58F" w14:textId="4A591088" w:rsidR="001B2D49" w:rsidRPr="00144126" w:rsidRDefault="00144126" w:rsidP="00C515D5">
      <w:pPr>
        <w:spacing w:before="120" w:after="120" w:line="256" w:lineRule="auto"/>
        <w:jc w:val="both"/>
        <w:rPr>
          <w:rFonts w:ascii="Times New Roman" w:eastAsia="Times New Roman" w:hAnsi="Times New Roman"/>
          <w:sz w:val="27"/>
          <w:szCs w:val="27"/>
          <w:lang w:eastAsia="lv-LV"/>
        </w:rPr>
      </w:pPr>
      <w:r>
        <w:rPr>
          <w:rFonts w:ascii="Times New Roman" w:hAnsi="Times New Roman"/>
          <w:b/>
          <w:sz w:val="27"/>
          <w:szCs w:val="27"/>
        </w:rPr>
        <w:t>1</w:t>
      </w:r>
      <w:r w:rsidR="00401368">
        <w:rPr>
          <w:rFonts w:ascii="Times New Roman" w:hAnsi="Times New Roman"/>
          <w:b/>
          <w:sz w:val="27"/>
          <w:szCs w:val="27"/>
        </w:rPr>
        <w:t>.</w:t>
      </w:r>
      <w:r>
        <w:rPr>
          <w:rFonts w:ascii="Times New Roman" w:hAnsi="Times New Roman"/>
          <w:b/>
          <w:sz w:val="27"/>
          <w:szCs w:val="27"/>
        </w:rPr>
        <w:t xml:space="preserve"> </w:t>
      </w:r>
      <w:r w:rsidR="001B2D49" w:rsidRPr="00144126">
        <w:rPr>
          <w:rFonts w:ascii="Times New Roman" w:hAnsi="Times New Roman"/>
          <w:b/>
          <w:sz w:val="27"/>
          <w:szCs w:val="27"/>
        </w:rPr>
        <w:t>Elektroenerģijas iepirkuma cenu formulu pārskatīšana ekspluatācijā nenodotām elektrostacijām.</w:t>
      </w:r>
      <w:r w:rsidR="001B2D49" w:rsidRPr="00144126">
        <w:rPr>
          <w:rFonts w:ascii="Times New Roman" w:hAnsi="Times New Roman"/>
          <w:sz w:val="27"/>
          <w:szCs w:val="27"/>
        </w:rPr>
        <w:t xml:space="preserve"> </w:t>
      </w:r>
    </w:p>
    <w:p w14:paraId="5EC2A7D0" w14:textId="47F348E5" w:rsidR="00144126" w:rsidRPr="00144126" w:rsidRDefault="001B2D49" w:rsidP="00C515D5">
      <w:pPr>
        <w:spacing w:before="120" w:after="120" w:line="256" w:lineRule="auto"/>
        <w:jc w:val="both"/>
        <w:rPr>
          <w:rFonts w:ascii="Times New Roman" w:hAnsi="Times New Roman"/>
          <w:sz w:val="27"/>
          <w:szCs w:val="27"/>
        </w:rPr>
      </w:pPr>
      <w:r w:rsidRPr="00144126">
        <w:rPr>
          <w:rFonts w:ascii="Times New Roman" w:hAnsi="Times New Roman"/>
          <w:sz w:val="27"/>
          <w:szCs w:val="27"/>
        </w:rPr>
        <w:t xml:space="preserve">Ievērojot starptautiskajos pētījumos norādīto par pēdējos gados uzstādīto vēja elektrostaciju elektroenerģijas ražošanas izmaksām un kaimiņvalstu pieredzi ar šāda veida projektiem, kā arī, izmantojot normatīvajos aktos noteikto, ka Ekonomikas ministrija var ierosināt pārskatīt elektroenerģijas ražošanas atbalsta formulu pamatotību, tiek piedāvāts veikt grozījumus normatīvajos aktos, samazinot atbalsta apmēru </w:t>
      </w:r>
      <w:r w:rsidRPr="00144126">
        <w:rPr>
          <w:rFonts w:ascii="Times New Roman" w:hAnsi="Times New Roman"/>
          <w:b/>
          <w:sz w:val="27"/>
          <w:szCs w:val="27"/>
        </w:rPr>
        <w:t>vēja elektrostaciju projektiem, kas ekspluatāciju uzsākuši no 2018.gada</w:t>
      </w:r>
      <w:r w:rsidR="006D6739">
        <w:rPr>
          <w:rFonts w:ascii="Times New Roman" w:hAnsi="Times New Roman"/>
          <w:b/>
          <w:sz w:val="27"/>
          <w:szCs w:val="27"/>
        </w:rPr>
        <w:t xml:space="preserve"> un vēlāk</w:t>
      </w:r>
      <w:r w:rsidRPr="00144126">
        <w:rPr>
          <w:rFonts w:ascii="Times New Roman" w:hAnsi="Times New Roman"/>
          <w:b/>
          <w:sz w:val="27"/>
          <w:szCs w:val="27"/>
        </w:rPr>
        <w:t xml:space="preserve">, elektroenerģijas iepirkuma cenai piemērojot koeficientu 0,85. </w:t>
      </w:r>
      <w:r w:rsidRPr="00144126">
        <w:rPr>
          <w:rFonts w:ascii="Times New Roman" w:hAnsi="Times New Roman"/>
          <w:sz w:val="27"/>
          <w:szCs w:val="27"/>
        </w:rPr>
        <w:t>Komersants, kuru skartu minētie grozījumi, pēc sākotnēji augstāka atbalsta samazinājuma piedāvājuma ir izteicis piekrišanu Ekonomikas ministrijai elektroenerģijas iepirkuma cenas koeficienta piemērošanai 0,85.</w:t>
      </w:r>
    </w:p>
    <w:p w14:paraId="015A61AA" w14:textId="77777777" w:rsidR="00144126" w:rsidRDefault="00144126" w:rsidP="00C515D5">
      <w:pPr>
        <w:pStyle w:val="ListParagraph"/>
        <w:spacing w:before="120" w:after="120" w:line="256" w:lineRule="auto"/>
        <w:jc w:val="both"/>
        <w:rPr>
          <w:rFonts w:ascii="Times New Roman" w:hAnsi="Times New Roman"/>
          <w:sz w:val="27"/>
          <w:szCs w:val="27"/>
        </w:rPr>
      </w:pPr>
    </w:p>
    <w:p w14:paraId="3F337D4D" w14:textId="7582E33D" w:rsidR="00144126" w:rsidRDefault="00144126" w:rsidP="00C515D5">
      <w:pPr>
        <w:spacing w:before="120" w:after="120" w:line="256" w:lineRule="auto"/>
        <w:jc w:val="both"/>
        <w:rPr>
          <w:rFonts w:ascii="Times New Roman" w:hAnsi="Times New Roman"/>
          <w:b/>
          <w:sz w:val="27"/>
          <w:szCs w:val="27"/>
        </w:rPr>
      </w:pPr>
      <w:r>
        <w:rPr>
          <w:rFonts w:ascii="Times New Roman" w:hAnsi="Times New Roman"/>
          <w:b/>
          <w:sz w:val="27"/>
          <w:szCs w:val="27"/>
        </w:rPr>
        <w:t>2</w:t>
      </w:r>
      <w:r w:rsidR="00401368">
        <w:rPr>
          <w:rFonts w:ascii="Times New Roman" w:hAnsi="Times New Roman"/>
          <w:b/>
          <w:sz w:val="27"/>
          <w:szCs w:val="27"/>
        </w:rPr>
        <w:t>.</w:t>
      </w:r>
      <w:r>
        <w:rPr>
          <w:rFonts w:ascii="Times New Roman" w:hAnsi="Times New Roman"/>
          <w:b/>
          <w:sz w:val="27"/>
          <w:szCs w:val="27"/>
        </w:rPr>
        <w:t xml:space="preserve"> Pārkompensācijas novēršanas mehānisma pilnveide</w:t>
      </w:r>
    </w:p>
    <w:p w14:paraId="66F76C10" w14:textId="152377D3" w:rsidR="00144126" w:rsidRDefault="00144126" w:rsidP="00C515D5">
      <w:pPr>
        <w:spacing w:before="120" w:after="120" w:line="256" w:lineRule="auto"/>
        <w:jc w:val="both"/>
        <w:rPr>
          <w:rFonts w:ascii="Times New Roman" w:hAnsi="Times New Roman"/>
          <w:sz w:val="27"/>
          <w:szCs w:val="27"/>
        </w:rPr>
      </w:pPr>
      <w:r w:rsidRPr="00144126">
        <w:rPr>
          <w:rFonts w:ascii="Times New Roman" w:hAnsi="Times New Roman"/>
          <w:sz w:val="27"/>
          <w:szCs w:val="27"/>
        </w:rPr>
        <w:t>Elektrostacijām, kas saņem valsts atbalstu OI mehānisma ietveros tiek vērtēta kopējo kapitālieguldījumu iekšējā peļņas norma (IRR) atbalsta saņemšanas periodā</w:t>
      </w:r>
      <w:r>
        <w:rPr>
          <w:rFonts w:ascii="Times New Roman" w:hAnsi="Times New Roman"/>
          <w:sz w:val="27"/>
          <w:szCs w:val="27"/>
        </w:rPr>
        <w:t xml:space="preserve"> ar maksimāli pieļaujamo līmeni 9% apmērā. Tomēr pastāv normatīvā regulējuma</w:t>
      </w:r>
      <w:r w:rsidR="00382372">
        <w:rPr>
          <w:rStyle w:val="FootnoteReference"/>
          <w:rFonts w:ascii="Times New Roman" w:hAnsi="Times New Roman"/>
          <w:sz w:val="27"/>
          <w:szCs w:val="27"/>
        </w:rPr>
        <w:footnoteReference w:id="8"/>
      </w:r>
      <w:r>
        <w:rPr>
          <w:rFonts w:ascii="Times New Roman" w:hAnsi="Times New Roman"/>
          <w:sz w:val="27"/>
          <w:szCs w:val="27"/>
        </w:rPr>
        <w:t xml:space="preserve"> pilnveidošanas iespējas šāda mehānisma efektīvākai piemērošanai.</w:t>
      </w:r>
    </w:p>
    <w:p w14:paraId="06A0F16E" w14:textId="68E873A5" w:rsidR="001B2D49" w:rsidRPr="00144126" w:rsidRDefault="001B2D49" w:rsidP="008D06DB">
      <w:pPr>
        <w:pStyle w:val="ListParagraph"/>
        <w:numPr>
          <w:ilvl w:val="0"/>
          <w:numId w:val="2"/>
        </w:numPr>
        <w:spacing w:before="120" w:after="120" w:line="256" w:lineRule="auto"/>
        <w:jc w:val="both"/>
        <w:rPr>
          <w:rFonts w:ascii="Times New Roman" w:hAnsi="Times New Roman"/>
          <w:sz w:val="27"/>
          <w:szCs w:val="27"/>
        </w:rPr>
      </w:pPr>
      <w:r w:rsidRPr="00144126">
        <w:rPr>
          <w:rFonts w:ascii="Times New Roman" w:hAnsi="Times New Roman"/>
          <w:b/>
          <w:sz w:val="27"/>
          <w:szCs w:val="27"/>
        </w:rPr>
        <w:t xml:space="preserve">Vēsturiskā atbalsta iekļaušana kopējo kapitālieguldījumu iekšējās peļņas </w:t>
      </w:r>
      <w:r w:rsidR="006D6739">
        <w:rPr>
          <w:rFonts w:ascii="Times New Roman" w:hAnsi="Times New Roman"/>
          <w:b/>
          <w:sz w:val="27"/>
          <w:szCs w:val="27"/>
        </w:rPr>
        <w:t xml:space="preserve">(IRR) </w:t>
      </w:r>
      <w:r w:rsidRPr="00144126">
        <w:rPr>
          <w:rFonts w:ascii="Times New Roman" w:hAnsi="Times New Roman"/>
          <w:b/>
          <w:sz w:val="27"/>
          <w:szCs w:val="27"/>
        </w:rPr>
        <w:t>normas aprēķinā</w:t>
      </w:r>
      <w:r w:rsidR="006D6739">
        <w:rPr>
          <w:rFonts w:ascii="Times New Roman" w:hAnsi="Times New Roman"/>
          <w:b/>
          <w:sz w:val="27"/>
          <w:szCs w:val="27"/>
        </w:rPr>
        <w:t xml:space="preserve"> un maksimālā atbalsta perioda noteikšana</w:t>
      </w:r>
    </w:p>
    <w:p w14:paraId="675AB517" w14:textId="77777777" w:rsidR="001B2D49" w:rsidRPr="0048595C" w:rsidRDefault="001B2D49" w:rsidP="00C515D5">
      <w:pPr>
        <w:pStyle w:val="ListParagraph"/>
        <w:spacing w:before="120" w:after="120" w:line="240" w:lineRule="auto"/>
        <w:jc w:val="both"/>
        <w:rPr>
          <w:rFonts w:ascii="Times New Roman" w:hAnsi="Times New Roman"/>
          <w:sz w:val="27"/>
          <w:szCs w:val="27"/>
        </w:rPr>
      </w:pPr>
      <w:r w:rsidRPr="0048595C">
        <w:rPr>
          <w:rFonts w:ascii="Times New Roman" w:hAnsi="Times New Roman"/>
          <w:sz w:val="27"/>
          <w:szCs w:val="27"/>
        </w:rPr>
        <w:t xml:space="preserve">Lai nodrošinātu objektīvu kopējo kapitālieguldījumu IRR novērtējumu stacijām, kas darbojas OI mehānisma ietvaros, </w:t>
      </w:r>
      <w:r w:rsidRPr="0048595C">
        <w:rPr>
          <w:rFonts w:ascii="Times New Roman" w:hAnsi="Times New Roman"/>
          <w:b/>
          <w:sz w:val="27"/>
          <w:szCs w:val="27"/>
        </w:rPr>
        <w:t xml:space="preserve">paredzēts paplašināt kopējo kapitālieguldījumu IRR novērtējumu, iekļaujot arī to atbalstu, kas sniegts pirms </w:t>
      </w:r>
      <w:bookmarkStart w:id="24" w:name="_Hlk523391560"/>
      <w:r w:rsidRPr="0048595C">
        <w:rPr>
          <w:rFonts w:ascii="Times New Roman" w:hAnsi="Times New Roman"/>
          <w:b/>
          <w:sz w:val="27"/>
          <w:szCs w:val="27"/>
        </w:rPr>
        <w:t>uzsākts izmantot saskaņā ar ETL piešķirtās tiesības</w:t>
      </w:r>
      <w:bookmarkEnd w:id="24"/>
      <w:r w:rsidRPr="0048595C">
        <w:rPr>
          <w:rFonts w:ascii="Times New Roman" w:hAnsi="Times New Roman"/>
          <w:sz w:val="27"/>
          <w:szCs w:val="27"/>
        </w:rPr>
        <w:t xml:space="preserve">, nereti no 1995.gada atsevišķām </w:t>
      </w:r>
      <w:proofErr w:type="spellStart"/>
      <w:r w:rsidRPr="0048595C">
        <w:rPr>
          <w:rFonts w:ascii="Times New Roman" w:hAnsi="Times New Roman"/>
          <w:sz w:val="27"/>
          <w:szCs w:val="27"/>
        </w:rPr>
        <w:t>biokoģenerācijas</w:t>
      </w:r>
      <w:proofErr w:type="spellEnd"/>
      <w:r w:rsidRPr="0048595C">
        <w:rPr>
          <w:rFonts w:ascii="Times New Roman" w:hAnsi="Times New Roman"/>
          <w:sz w:val="27"/>
          <w:szCs w:val="27"/>
        </w:rPr>
        <w:t xml:space="preserve"> un dabasgāzes koģenerācijas stacijām, vēja elektroenerģijas ražošanas iekārtām, un hidroelektrostacijām, ja atbalsts sniegts tai pašai elektrostacijai. Jāņem vērā, ka pēc komersanta pāriešanas uz esošo OI mehānismu, netika ņemts vērā apstāklis, ka komersants ilgstoši ir </w:t>
      </w:r>
      <w:r w:rsidRPr="0048595C">
        <w:rPr>
          <w:rFonts w:ascii="Times New Roman" w:hAnsi="Times New Roman"/>
          <w:sz w:val="27"/>
          <w:szCs w:val="27"/>
        </w:rPr>
        <w:lastRenderedPageBreak/>
        <w:t>saņēmis atbalstu pēc vēsturiskajiem atbalsta noteikumiem. Tādējādi kopējais atbalsta periods šādā gadījumā var būt būtiski pieaudzis, ja komersants nav veicis iekārtu būtisku modernizāciju vai aizstājis ar jaunu iekārtu.</w:t>
      </w:r>
    </w:p>
    <w:p w14:paraId="1DE23309" w14:textId="77777777" w:rsidR="001B2D49" w:rsidRPr="0048595C" w:rsidRDefault="001B2D49" w:rsidP="00C515D5">
      <w:pPr>
        <w:pStyle w:val="ListParagraph"/>
        <w:spacing w:before="120" w:after="120" w:line="240" w:lineRule="auto"/>
        <w:jc w:val="both"/>
        <w:rPr>
          <w:rFonts w:ascii="Times New Roman" w:hAnsi="Times New Roman"/>
          <w:sz w:val="27"/>
          <w:szCs w:val="27"/>
        </w:rPr>
      </w:pPr>
      <w:r w:rsidRPr="0048595C">
        <w:rPr>
          <w:rFonts w:ascii="Times New Roman" w:hAnsi="Times New Roman"/>
          <w:sz w:val="27"/>
          <w:szCs w:val="27"/>
        </w:rPr>
        <w:t>2017.gadā kopumā atbalstu saņēma 144 mazās hidroelektrostacijas ar jaudu līdz 5 MW, kuru kopējā uzstādītā jauda bija 28,3182 MW, 53 vēja elektrostacijas, kuru kopējā uzstādītā jauda bija 64,215 MW un 98 dabasgāzes koģenerācijas stacijas ar kopējo uzstādīto elektrisko jaudu 1142,01 MW. No tām darbu pirms esošā atbalsta perioda 2007.gada 1.jūlija uzsāka 134 hidroelektrostacijas, 16 vēja elektrostacijas un 27 dabasgāzes koģenerācijas stacijas.</w:t>
      </w:r>
    </w:p>
    <w:p w14:paraId="0B43B5EC" w14:textId="26F0532E" w:rsidR="001B2D49" w:rsidRDefault="006D6739" w:rsidP="00C515D5">
      <w:pPr>
        <w:pStyle w:val="ListParagraph"/>
        <w:spacing w:before="120" w:after="120" w:line="240" w:lineRule="auto"/>
        <w:jc w:val="both"/>
        <w:rPr>
          <w:rFonts w:ascii="Times New Roman" w:hAnsi="Times New Roman"/>
          <w:sz w:val="27"/>
          <w:szCs w:val="27"/>
        </w:rPr>
      </w:pPr>
      <w:r>
        <w:rPr>
          <w:rFonts w:ascii="Times New Roman" w:hAnsi="Times New Roman"/>
          <w:sz w:val="27"/>
          <w:szCs w:val="27"/>
        </w:rPr>
        <w:t>Šim mērķim būtu nepieciešams izstrādāt līmeņatzīmes, kuras izmantojot varētu tikt aprēķināt</w:t>
      </w:r>
      <w:r w:rsidR="0066239F">
        <w:rPr>
          <w:rFonts w:ascii="Times New Roman" w:hAnsi="Times New Roman"/>
          <w:sz w:val="27"/>
          <w:szCs w:val="27"/>
        </w:rPr>
        <w:t>i</w:t>
      </w:r>
      <w:r>
        <w:rPr>
          <w:rFonts w:ascii="Times New Roman" w:hAnsi="Times New Roman"/>
          <w:sz w:val="27"/>
          <w:szCs w:val="27"/>
        </w:rPr>
        <w:t xml:space="preserve"> katras elektrostacijas ieņēmumi, izdevumi un investīcijas arī par periodu kopš vēsturiskā atbalsta saņemšanas sākuma. Šobrīd līmeņatzīmes izstrādātas no 2006.gada, lai nodrošinātu elektrostacijas kopējo kapitālieguldījumu IRR aprēķinu OI </w:t>
      </w:r>
      <w:r w:rsidR="0066239F">
        <w:rPr>
          <w:rFonts w:ascii="Times New Roman" w:hAnsi="Times New Roman"/>
          <w:sz w:val="27"/>
          <w:szCs w:val="27"/>
        </w:rPr>
        <w:t>mehānisma atbalsta perioda</w:t>
      </w:r>
      <w:r>
        <w:rPr>
          <w:rFonts w:ascii="Times New Roman" w:hAnsi="Times New Roman"/>
          <w:sz w:val="27"/>
          <w:szCs w:val="27"/>
        </w:rPr>
        <w:t xml:space="preserve"> ietvaros.</w:t>
      </w:r>
    </w:p>
    <w:p w14:paraId="185FE756" w14:textId="1A0905C6" w:rsidR="006D6739" w:rsidRPr="0048595C" w:rsidRDefault="007E0CA9" w:rsidP="00C515D5">
      <w:pPr>
        <w:pStyle w:val="ListParagraph"/>
        <w:spacing w:before="120" w:after="120" w:line="240" w:lineRule="auto"/>
        <w:jc w:val="both"/>
        <w:rPr>
          <w:rFonts w:ascii="Times New Roman" w:hAnsi="Times New Roman"/>
          <w:sz w:val="27"/>
          <w:szCs w:val="27"/>
        </w:rPr>
      </w:pPr>
      <w:r>
        <w:rPr>
          <w:rFonts w:ascii="Times New Roman" w:hAnsi="Times New Roman"/>
          <w:sz w:val="27"/>
          <w:szCs w:val="27"/>
        </w:rPr>
        <w:t xml:space="preserve">Vienlaikus šis risinājums </w:t>
      </w:r>
      <w:r w:rsidR="00617C0C">
        <w:rPr>
          <w:rFonts w:ascii="Times New Roman" w:hAnsi="Times New Roman"/>
          <w:sz w:val="27"/>
          <w:szCs w:val="27"/>
        </w:rPr>
        <w:t xml:space="preserve">īstenojams </w:t>
      </w:r>
      <w:r>
        <w:rPr>
          <w:rFonts w:ascii="Times New Roman" w:hAnsi="Times New Roman"/>
          <w:sz w:val="27"/>
          <w:szCs w:val="27"/>
        </w:rPr>
        <w:t xml:space="preserve">kontekstā ar šīs nodaļas 3.punktā norādīto pasākumu attiecībā uz maksimālā atbalsta perioda ilguma ierobežošanu. </w:t>
      </w:r>
    </w:p>
    <w:p w14:paraId="3FA6C3F9" w14:textId="00778C85" w:rsidR="001B2D49" w:rsidRPr="0048595C" w:rsidRDefault="001B2D49" w:rsidP="008D06DB">
      <w:pPr>
        <w:pStyle w:val="ListParagraph"/>
        <w:numPr>
          <w:ilvl w:val="0"/>
          <w:numId w:val="2"/>
        </w:numPr>
        <w:spacing w:before="120" w:after="120" w:line="240" w:lineRule="auto"/>
        <w:jc w:val="both"/>
        <w:rPr>
          <w:rFonts w:ascii="Times New Roman" w:hAnsi="Times New Roman"/>
          <w:b/>
          <w:sz w:val="27"/>
          <w:szCs w:val="27"/>
        </w:rPr>
      </w:pPr>
      <w:r w:rsidRPr="0048595C">
        <w:rPr>
          <w:rFonts w:ascii="Times New Roman" w:hAnsi="Times New Roman"/>
          <w:b/>
          <w:sz w:val="27"/>
          <w:szCs w:val="27"/>
        </w:rPr>
        <w:t>Izņēmumu atcelšana attiecībā uz kopējo kapitālieguldījumu IRR piemērošanu</w:t>
      </w:r>
    </w:p>
    <w:p w14:paraId="7BB90BDC" w14:textId="063CAF9C" w:rsidR="001B2D49" w:rsidRPr="0048595C" w:rsidRDefault="001B2D49" w:rsidP="00C515D5">
      <w:pPr>
        <w:pStyle w:val="ListParagraph"/>
        <w:spacing w:before="120" w:after="120" w:line="240" w:lineRule="auto"/>
        <w:jc w:val="both"/>
        <w:rPr>
          <w:rFonts w:ascii="Times New Roman" w:hAnsi="Times New Roman"/>
          <w:sz w:val="27"/>
          <w:szCs w:val="27"/>
        </w:rPr>
      </w:pPr>
      <w:r w:rsidRPr="0048595C">
        <w:rPr>
          <w:rFonts w:ascii="Times New Roman" w:hAnsi="Times New Roman"/>
          <w:sz w:val="27"/>
          <w:szCs w:val="27"/>
        </w:rPr>
        <w:t xml:space="preserve">Lai novērstu </w:t>
      </w:r>
      <w:r w:rsidR="0066239F">
        <w:rPr>
          <w:rFonts w:ascii="Times New Roman" w:hAnsi="Times New Roman"/>
          <w:sz w:val="27"/>
          <w:szCs w:val="27"/>
        </w:rPr>
        <w:t>situācijas, kad</w:t>
      </w:r>
      <w:r w:rsidRPr="0048595C">
        <w:rPr>
          <w:rFonts w:ascii="Times New Roman" w:hAnsi="Times New Roman"/>
          <w:sz w:val="27"/>
          <w:szCs w:val="27"/>
        </w:rPr>
        <w:t xml:space="preserve"> ar atbalstu elektroenerģijas ražošanai vai jaudas nodrošināšanai tiek mazināts siltumenerģijas tarifs, paredzēts </w:t>
      </w:r>
      <w:bookmarkStart w:id="25" w:name="_Hlk523391633"/>
      <w:r w:rsidRPr="00E91D27">
        <w:rPr>
          <w:rFonts w:ascii="Times New Roman" w:hAnsi="Times New Roman"/>
          <w:sz w:val="27"/>
          <w:szCs w:val="27"/>
        </w:rPr>
        <w:t>atcelt saskaņā ar MK noteikumu Nr.221 56.</w:t>
      </w:r>
      <w:r w:rsidRPr="00E91D27">
        <w:rPr>
          <w:rFonts w:ascii="Times New Roman" w:hAnsi="Times New Roman"/>
          <w:sz w:val="27"/>
          <w:szCs w:val="27"/>
          <w:vertAlign w:val="superscript"/>
        </w:rPr>
        <w:t>16</w:t>
      </w:r>
      <w:r w:rsidRPr="00E91D27">
        <w:rPr>
          <w:rFonts w:ascii="Times New Roman" w:hAnsi="Times New Roman"/>
          <w:sz w:val="27"/>
          <w:szCs w:val="27"/>
        </w:rPr>
        <w:t xml:space="preserve"> un MK noteikumu Nr. 262 63.</w:t>
      </w:r>
      <w:r w:rsidRPr="00E91D27">
        <w:rPr>
          <w:rFonts w:ascii="Times New Roman" w:hAnsi="Times New Roman"/>
          <w:sz w:val="27"/>
          <w:szCs w:val="27"/>
          <w:vertAlign w:val="superscript"/>
        </w:rPr>
        <w:t>9</w:t>
      </w:r>
      <w:r w:rsidRPr="00E91D27">
        <w:rPr>
          <w:rFonts w:ascii="Times New Roman" w:hAnsi="Times New Roman"/>
          <w:sz w:val="27"/>
          <w:szCs w:val="27"/>
        </w:rPr>
        <w:t xml:space="preserve"> punktu noteikto atbrīvojumu no kopējo kapitālieguldījumu IRR aprēķina veikšanas</w:t>
      </w:r>
      <w:r w:rsidRPr="0048595C">
        <w:rPr>
          <w:rFonts w:ascii="Times New Roman" w:hAnsi="Times New Roman"/>
          <w:sz w:val="27"/>
          <w:szCs w:val="27"/>
        </w:rPr>
        <w:t xml:space="preserve"> </w:t>
      </w:r>
      <w:bookmarkEnd w:id="25"/>
      <w:r w:rsidRPr="0048595C">
        <w:rPr>
          <w:rFonts w:ascii="Times New Roman" w:hAnsi="Times New Roman"/>
          <w:sz w:val="27"/>
          <w:szCs w:val="27"/>
        </w:rPr>
        <w:t xml:space="preserve">tām </w:t>
      </w:r>
      <w:r w:rsidRPr="00E91D27">
        <w:rPr>
          <w:rFonts w:ascii="Times New Roman" w:hAnsi="Times New Roman"/>
          <w:b/>
          <w:sz w:val="27"/>
          <w:szCs w:val="27"/>
        </w:rPr>
        <w:t>koģenerācijas elektrostacijām, kurām triju gadu laikā no datuma, kurā tās ir uzsākušas izmantot tiesības pārdot elektroenerģiju OI ietvaros vai saņemt garantētu maksu par elektrostacijā uzstādīto jaudu, saražotās siltumenerģijas tarifu ir apstiprinājusi SPRK</w:t>
      </w:r>
      <w:r w:rsidRPr="0048595C">
        <w:rPr>
          <w:rFonts w:ascii="Times New Roman" w:hAnsi="Times New Roman"/>
          <w:sz w:val="27"/>
          <w:szCs w:val="27"/>
        </w:rPr>
        <w:t xml:space="preserve">. Šādu staciju skaits, kam 2017. un 2018.gadā netika piemērots MK noteikumos Nr.221 un MK noteikumos Nr.262 iekļautais pārkompensācijas izvērtēšanas mehānisms, ir 6. </w:t>
      </w:r>
    </w:p>
    <w:p w14:paraId="0508E00D" w14:textId="77777777" w:rsidR="001B2D49" w:rsidRPr="0048595C" w:rsidRDefault="001B2D49" w:rsidP="00C515D5">
      <w:pPr>
        <w:pStyle w:val="ListParagraph"/>
        <w:spacing w:before="120" w:after="120" w:line="240" w:lineRule="auto"/>
        <w:jc w:val="both"/>
        <w:rPr>
          <w:rFonts w:ascii="Times New Roman" w:hAnsi="Times New Roman"/>
          <w:sz w:val="27"/>
          <w:szCs w:val="27"/>
        </w:rPr>
      </w:pPr>
    </w:p>
    <w:p w14:paraId="22095FA7" w14:textId="3DD5379F" w:rsidR="0066239F" w:rsidRDefault="001B2D49" w:rsidP="00C515D5">
      <w:pPr>
        <w:pStyle w:val="ListParagraph"/>
        <w:spacing w:before="120" w:after="120" w:line="240" w:lineRule="auto"/>
        <w:jc w:val="both"/>
        <w:rPr>
          <w:rFonts w:ascii="Times New Roman" w:hAnsi="Times New Roman"/>
          <w:sz w:val="27"/>
          <w:szCs w:val="27"/>
        </w:rPr>
      </w:pPr>
      <w:r w:rsidRPr="0048595C">
        <w:rPr>
          <w:rFonts w:ascii="Times New Roman" w:hAnsi="Times New Roman"/>
          <w:sz w:val="27"/>
          <w:szCs w:val="27"/>
        </w:rPr>
        <w:t>Tāpat esošais pārkompensācijas izvērtēšanas un novēršanas mehānisms ir attiecināms tikai uz tām stacijām, kuras izmanto ETL 28., 28.</w:t>
      </w:r>
      <w:r w:rsidRPr="0048595C">
        <w:rPr>
          <w:rFonts w:ascii="Times New Roman" w:hAnsi="Times New Roman"/>
          <w:sz w:val="27"/>
          <w:szCs w:val="27"/>
          <w:vertAlign w:val="superscript"/>
        </w:rPr>
        <w:t>1</w:t>
      </w:r>
      <w:r w:rsidRPr="0048595C">
        <w:rPr>
          <w:rFonts w:ascii="Times New Roman" w:hAnsi="Times New Roman"/>
          <w:sz w:val="27"/>
          <w:szCs w:val="27"/>
        </w:rPr>
        <w:t>,  un 29. pantā minētās tiesības, proti, atbalstu saņem saskaņā ar MK noteikumiem Nr.221 vai MK noteikumiem Nr.262, uz ko attiecas Eiropas Komisijas saskaņojums</w:t>
      </w:r>
      <w:r w:rsidRPr="00EE7D55">
        <w:t xml:space="preserve"> </w:t>
      </w:r>
      <w:r w:rsidRPr="00EE7D55">
        <w:rPr>
          <w:rFonts w:ascii="Times New Roman" w:hAnsi="Times New Roman"/>
          <w:sz w:val="27"/>
          <w:szCs w:val="27"/>
        </w:rPr>
        <w:t>valsts atbalsta lietas SA.43140 (2015/NN) „Atbalsts elektroenerģijas ražotājiem” ietvaros</w:t>
      </w:r>
      <w:r>
        <w:rPr>
          <w:rFonts w:ascii="Times New Roman" w:hAnsi="Times New Roman"/>
          <w:sz w:val="27"/>
          <w:szCs w:val="27"/>
        </w:rPr>
        <w:t>.</w:t>
      </w:r>
      <w:r w:rsidRPr="0048595C">
        <w:rPr>
          <w:rFonts w:ascii="Times New Roman" w:hAnsi="Times New Roman"/>
          <w:sz w:val="27"/>
          <w:szCs w:val="27"/>
        </w:rPr>
        <w:t xml:space="preserve"> Taču </w:t>
      </w:r>
      <w:r w:rsidR="00860680">
        <w:rPr>
          <w:rFonts w:ascii="Times New Roman" w:hAnsi="Times New Roman"/>
          <w:sz w:val="27"/>
          <w:szCs w:val="27"/>
        </w:rPr>
        <w:t>obligātā iepirkuma veidā</w:t>
      </w:r>
      <w:r w:rsidRPr="0048595C">
        <w:rPr>
          <w:rFonts w:ascii="Times New Roman" w:hAnsi="Times New Roman"/>
          <w:sz w:val="27"/>
          <w:szCs w:val="27"/>
        </w:rPr>
        <w:t xml:space="preserve"> atbalstu joprojām saņem arī 14 </w:t>
      </w:r>
      <w:bookmarkStart w:id="26" w:name="_Hlk523391826"/>
      <w:r w:rsidRPr="0048595C">
        <w:rPr>
          <w:rFonts w:ascii="Times New Roman" w:hAnsi="Times New Roman"/>
          <w:b/>
          <w:sz w:val="27"/>
          <w:szCs w:val="27"/>
        </w:rPr>
        <w:t>vēja elektrostacijas, kurām atbalsts ir piešķirts saskaņā ar Enerģētikas likuma</w:t>
      </w:r>
      <w:r w:rsidRPr="0048595C">
        <w:rPr>
          <w:rFonts w:ascii="Times New Roman" w:eastAsia="Times New Roman" w:hAnsi="Times New Roman"/>
          <w:sz w:val="27"/>
          <w:szCs w:val="27"/>
          <w:vertAlign w:val="superscript"/>
        </w:rPr>
        <w:footnoteReference w:id="9"/>
      </w:r>
      <w:r w:rsidRPr="0048595C">
        <w:rPr>
          <w:rFonts w:ascii="Times New Roman" w:hAnsi="Times New Roman"/>
          <w:sz w:val="27"/>
          <w:szCs w:val="27"/>
        </w:rPr>
        <w:t xml:space="preserve"> 40.pantu un kuru atbalsta apmēru un termiņu nosaka saskaņā ar ETL Pārejas noteikumu 52.punktu</w:t>
      </w:r>
      <w:bookmarkEnd w:id="26"/>
      <w:r w:rsidRPr="0048595C">
        <w:rPr>
          <w:rFonts w:ascii="Times New Roman" w:hAnsi="Times New Roman"/>
          <w:sz w:val="27"/>
          <w:szCs w:val="27"/>
        </w:rPr>
        <w:t xml:space="preserve">. Saskaņā ar šo punktu elektroenerģija no šīm elektrostacijām tiek iepirkta par  fiksētu cenu 111,20 </w:t>
      </w:r>
      <w:proofErr w:type="spellStart"/>
      <w:r w:rsidR="00BA3B4D" w:rsidRPr="00BA3B4D">
        <w:rPr>
          <w:rFonts w:ascii="Times New Roman" w:hAnsi="Times New Roman"/>
          <w:i/>
          <w:iCs/>
          <w:sz w:val="27"/>
          <w:szCs w:val="27"/>
        </w:rPr>
        <w:t>euro</w:t>
      </w:r>
      <w:proofErr w:type="spellEnd"/>
      <w:r w:rsidRPr="0048595C">
        <w:rPr>
          <w:rFonts w:ascii="Times New Roman" w:hAnsi="Times New Roman"/>
          <w:sz w:val="27"/>
          <w:szCs w:val="27"/>
        </w:rPr>
        <w:t>/</w:t>
      </w:r>
      <w:proofErr w:type="spellStart"/>
      <w:r w:rsidRPr="0048595C">
        <w:rPr>
          <w:rFonts w:ascii="Times New Roman" w:hAnsi="Times New Roman"/>
          <w:sz w:val="27"/>
          <w:szCs w:val="27"/>
        </w:rPr>
        <w:t>MWh</w:t>
      </w:r>
      <w:proofErr w:type="spellEnd"/>
      <w:r w:rsidRPr="0048595C">
        <w:rPr>
          <w:rFonts w:ascii="Times New Roman" w:hAnsi="Times New Roman"/>
          <w:sz w:val="27"/>
          <w:szCs w:val="27"/>
        </w:rPr>
        <w:t>, kā atbalsta termiņu nosakot 20 gadus no ekspluatācijas uzsākšanas dienas. Līdz ar to uz šīm elektrostacijām netiek attiecināts MK noteikumos Nr.262 ietvertais pārkompensācijas novēršanas mehānisms</w:t>
      </w:r>
      <w:r w:rsidR="0066239F">
        <w:rPr>
          <w:rFonts w:ascii="Times New Roman" w:hAnsi="Times New Roman"/>
          <w:sz w:val="27"/>
          <w:szCs w:val="27"/>
        </w:rPr>
        <w:t>.</w:t>
      </w:r>
      <w:r w:rsidR="00860680">
        <w:rPr>
          <w:rFonts w:ascii="Times New Roman" w:hAnsi="Times New Roman"/>
          <w:sz w:val="27"/>
          <w:szCs w:val="27"/>
        </w:rPr>
        <w:t xml:space="preserve"> Šīs ir vienīgās elektrostacijas, kas atbalstu saņem ārpus ar EK saskaņotā OI mehānisma un kurām attiecīgi netiek piemērots pārkompensācijas novēršanas mehānisms.</w:t>
      </w:r>
    </w:p>
    <w:p w14:paraId="40880034" w14:textId="62DD2A59" w:rsidR="001B2D49" w:rsidRDefault="0066239F" w:rsidP="00C515D5">
      <w:pPr>
        <w:pStyle w:val="ListParagraph"/>
        <w:spacing w:before="120" w:after="120" w:line="240" w:lineRule="auto"/>
        <w:jc w:val="both"/>
        <w:rPr>
          <w:rFonts w:ascii="Times New Roman" w:hAnsi="Times New Roman"/>
          <w:sz w:val="27"/>
          <w:szCs w:val="27"/>
        </w:rPr>
      </w:pPr>
      <w:r>
        <w:rPr>
          <w:rFonts w:ascii="Times New Roman" w:hAnsi="Times New Roman"/>
          <w:sz w:val="27"/>
          <w:szCs w:val="27"/>
        </w:rPr>
        <w:lastRenderedPageBreak/>
        <w:t>L</w:t>
      </w:r>
      <w:r w:rsidR="001B2D49" w:rsidRPr="0048595C">
        <w:rPr>
          <w:rFonts w:ascii="Times New Roman" w:hAnsi="Times New Roman"/>
          <w:sz w:val="27"/>
          <w:szCs w:val="27"/>
        </w:rPr>
        <w:t xml:space="preserve">ai tiktu izvērtēta un pārkompensācijas konstatēšanas gadījumā tiktu novērsta šo elektrostaciju pārkompensācija, ir nepieciešams veikt </w:t>
      </w:r>
      <w:bookmarkStart w:id="27" w:name="_Hlk523391780"/>
      <w:r w:rsidR="001B2D49" w:rsidRPr="0048595C">
        <w:rPr>
          <w:rFonts w:ascii="Times New Roman" w:hAnsi="Times New Roman"/>
          <w:sz w:val="27"/>
          <w:szCs w:val="27"/>
        </w:rPr>
        <w:t xml:space="preserve">grozījumus ETL, dodot deleģējumu MK veikt šo elektrostaciju pārkompensācijas </w:t>
      </w:r>
      <w:proofErr w:type="spellStart"/>
      <w:r w:rsidR="001B2D49" w:rsidRPr="0048595C">
        <w:rPr>
          <w:rFonts w:ascii="Times New Roman" w:hAnsi="Times New Roman"/>
          <w:sz w:val="27"/>
          <w:szCs w:val="27"/>
        </w:rPr>
        <w:t>izvērtējumu</w:t>
      </w:r>
      <w:proofErr w:type="spellEnd"/>
      <w:r w:rsidR="001B2D49" w:rsidRPr="0048595C">
        <w:rPr>
          <w:rFonts w:ascii="Times New Roman" w:hAnsi="Times New Roman"/>
          <w:sz w:val="27"/>
          <w:szCs w:val="27"/>
        </w:rPr>
        <w:t xml:space="preserve"> atbilstoši MK noteiktajai kārtībai</w:t>
      </w:r>
      <w:bookmarkEnd w:id="27"/>
      <w:r>
        <w:rPr>
          <w:rFonts w:ascii="Times New Roman" w:hAnsi="Times New Roman"/>
          <w:sz w:val="27"/>
          <w:szCs w:val="27"/>
        </w:rPr>
        <w:t xml:space="preserve">, kā arī izstrādāt līmeņatzīmes vēja elektrostaciju darbībai par periodu ārpus OI mehānisma atbalsta perioda. </w:t>
      </w:r>
    </w:p>
    <w:p w14:paraId="138500C9" w14:textId="77777777" w:rsidR="00C93062" w:rsidRPr="0048595C" w:rsidRDefault="00C93062" w:rsidP="00C515D5">
      <w:pPr>
        <w:pStyle w:val="ListParagraph"/>
        <w:spacing w:before="120" w:after="120" w:line="240" w:lineRule="auto"/>
        <w:jc w:val="both"/>
        <w:rPr>
          <w:rFonts w:ascii="Times New Roman" w:hAnsi="Times New Roman"/>
          <w:sz w:val="27"/>
          <w:szCs w:val="27"/>
        </w:rPr>
      </w:pPr>
    </w:p>
    <w:p w14:paraId="3C7CAE8C" w14:textId="0FD8851E" w:rsidR="001B2D49" w:rsidRPr="0048595C" w:rsidRDefault="001B2D49" w:rsidP="008D06DB">
      <w:pPr>
        <w:pStyle w:val="ListParagraph"/>
        <w:numPr>
          <w:ilvl w:val="0"/>
          <w:numId w:val="2"/>
        </w:numPr>
        <w:spacing w:before="120" w:after="120" w:line="240" w:lineRule="auto"/>
        <w:jc w:val="both"/>
        <w:rPr>
          <w:rFonts w:ascii="Times New Roman" w:hAnsi="Times New Roman"/>
          <w:b/>
          <w:sz w:val="27"/>
          <w:szCs w:val="27"/>
        </w:rPr>
      </w:pPr>
      <w:r w:rsidRPr="0048595C">
        <w:rPr>
          <w:rFonts w:ascii="Times New Roman" w:hAnsi="Times New Roman"/>
          <w:b/>
          <w:sz w:val="27"/>
          <w:szCs w:val="27"/>
        </w:rPr>
        <w:t xml:space="preserve">Aprēķinā iekļauto </w:t>
      </w:r>
      <w:proofErr w:type="spellStart"/>
      <w:r w:rsidRPr="0048595C">
        <w:rPr>
          <w:rFonts w:ascii="Times New Roman" w:hAnsi="Times New Roman"/>
          <w:b/>
          <w:sz w:val="27"/>
          <w:szCs w:val="27"/>
        </w:rPr>
        <w:t>līmeņatzīmju</w:t>
      </w:r>
      <w:proofErr w:type="spellEnd"/>
      <w:r w:rsidRPr="0048595C">
        <w:rPr>
          <w:rFonts w:ascii="Times New Roman" w:hAnsi="Times New Roman"/>
          <w:b/>
          <w:sz w:val="27"/>
          <w:szCs w:val="27"/>
        </w:rPr>
        <w:t xml:space="preserve"> pārskatīšana</w:t>
      </w:r>
    </w:p>
    <w:p w14:paraId="1640FAAB" w14:textId="3FD0DFF1" w:rsidR="001B2D49" w:rsidRDefault="001B2D49" w:rsidP="00C515D5">
      <w:pPr>
        <w:pStyle w:val="ListParagraph"/>
        <w:spacing w:before="120" w:after="120" w:line="240" w:lineRule="auto"/>
        <w:jc w:val="both"/>
        <w:rPr>
          <w:rFonts w:ascii="Times New Roman" w:hAnsi="Times New Roman"/>
          <w:sz w:val="27"/>
          <w:szCs w:val="27"/>
        </w:rPr>
      </w:pPr>
      <w:r w:rsidRPr="0048595C">
        <w:rPr>
          <w:rFonts w:ascii="Times New Roman" w:hAnsi="Times New Roman"/>
          <w:sz w:val="27"/>
          <w:szCs w:val="27"/>
        </w:rPr>
        <w:t>Gan saskaņā ar MK noteikumu Nr.262 63.</w:t>
      </w:r>
      <w:r w:rsidRPr="0048595C">
        <w:rPr>
          <w:rFonts w:ascii="Times New Roman" w:hAnsi="Times New Roman"/>
          <w:sz w:val="27"/>
          <w:szCs w:val="27"/>
          <w:vertAlign w:val="superscript"/>
        </w:rPr>
        <w:t xml:space="preserve">14 </w:t>
      </w:r>
      <w:r w:rsidRPr="0048595C">
        <w:rPr>
          <w:rFonts w:ascii="Times New Roman" w:hAnsi="Times New Roman"/>
          <w:sz w:val="27"/>
          <w:szCs w:val="27"/>
        </w:rPr>
        <w:t>punktu, gan MK noteikumu Nr.221 56.</w:t>
      </w:r>
      <w:r w:rsidRPr="0048595C">
        <w:rPr>
          <w:rFonts w:ascii="Times New Roman" w:hAnsi="Times New Roman"/>
          <w:sz w:val="27"/>
          <w:szCs w:val="27"/>
          <w:vertAlign w:val="superscript"/>
        </w:rPr>
        <w:t>17</w:t>
      </w:r>
      <w:r w:rsidRPr="0048595C">
        <w:rPr>
          <w:rFonts w:ascii="Times New Roman" w:hAnsi="Times New Roman"/>
          <w:sz w:val="27"/>
          <w:szCs w:val="27"/>
        </w:rPr>
        <w:t xml:space="preserve"> punktu EM var ierosināt pārskatīt noteikumos iekļauto </w:t>
      </w:r>
      <w:proofErr w:type="spellStart"/>
      <w:r w:rsidRPr="0048595C">
        <w:rPr>
          <w:rFonts w:ascii="Times New Roman" w:hAnsi="Times New Roman"/>
          <w:sz w:val="27"/>
          <w:szCs w:val="27"/>
        </w:rPr>
        <w:t>līmeņatzīmju</w:t>
      </w:r>
      <w:proofErr w:type="spellEnd"/>
      <w:r w:rsidRPr="0048595C">
        <w:rPr>
          <w:rFonts w:ascii="Times New Roman" w:hAnsi="Times New Roman"/>
          <w:sz w:val="27"/>
          <w:szCs w:val="27"/>
        </w:rPr>
        <w:t xml:space="preserve"> attiecībā uz inflāciju, personāla izmaksām, kurināmā cenu un dabasgāzes tirdzniecības cenas prognozēm vērtību pamatotību un atbilstību faktiskajai situācijai.</w:t>
      </w:r>
      <w:r w:rsidR="0066239F">
        <w:rPr>
          <w:rFonts w:ascii="Times New Roman" w:hAnsi="Times New Roman"/>
          <w:sz w:val="27"/>
          <w:szCs w:val="27"/>
        </w:rPr>
        <w:t xml:space="preserve"> </w:t>
      </w:r>
      <w:r w:rsidR="00101013">
        <w:rPr>
          <w:rFonts w:ascii="Times New Roman" w:hAnsi="Times New Roman"/>
          <w:sz w:val="27"/>
          <w:szCs w:val="27"/>
        </w:rPr>
        <w:t xml:space="preserve">Vienlaikus, ņemot vērā priekšlikumus grozījumiem Elektroenerģijas tirgus likumā, kas paredz, ka Ministru kabinets nosaka aprēķinā izmantojamās līmeņatzīmes, paredzēts pārskatīt arī tās līmeņatzīmes, kas attiecas, piemēram, uz elektrostacijas darba stundām un efektivitāti. </w:t>
      </w:r>
      <w:r w:rsidR="0066239F">
        <w:rPr>
          <w:rFonts w:ascii="Times New Roman" w:hAnsi="Times New Roman"/>
          <w:sz w:val="27"/>
          <w:szCs w:val="27"/>
        </w:rPr>
        <w:t>Tāpat</w:t>
      </w:r>
      <w:r w:rsidR="00126B6A">
        <w:rPr>
          <w:rFonts w:ascii="Times New Roman" w:hAnsi="Times New Roman"/>
          <w:sz w:val="27"/>
          <w:szCs w:val="27"/>
        </w:rPr>
        <w:t>, kā tas norādīts pie augstāk minētajiem pasākumiem, nepieciešams izstrādāt līmeņatzīmes par periodu, kas ir ārpus OI mehānisma atbalsta perioda.</w:t>
      </w:r>
    </w:p>
    <w:p w14:paraId="672931CB" w14:textId="77777777" w:rsidR="00C93062" w:rsidRDefault="00C93062" w:rsidP="00C515D5">
      <w:pPr>
        <w:pStyle w:val="ListParagraph"/>
        <w:spacing w:before="120" w:after="120" w:line="240" w:lineRule="auto"/>
        <w:jc w:val="both"/>
        <w:rPr>
          <w:rFonts w:ascii="Times New Roman" w:hAnsi="Times New Roman"/>
          <w:sz w:val="27"/>
          <w:szCs w:val="27"/>
        </w:rPr>
      </w:pPr>
    </w:p>
    <w:p w14:paraId="55DD2260" w14:textId="1DC11478" w:rsidR="001B2D49" w:rsidRDefault="00126B6A" w:rsidP="008D06DB">
      <w:pPr>
        <w:pStyle w:val="ListParagraph"/>
        <w:numPr>
          <w:ilvl w:val="0"/>
          <w:numId w:val="2"/>
        </w:numPr>
        <w:spacing w:before="120" w:after="120"/>
        <w:rPr>
          <w:rFonts w:ascii="Times New Roman" w:hAnsi="Times New Roman"/>
          <w:b/>
          <w:sz w:val="27"/>
          <w:szCs w:val="27"/>
        </w:rPr>
      </w:pPr>
      <w:r>
        <w:rPr>
          <w:rFonts w:ascii="Times New Roman" w:hAnsi="Times New Roman"/>
          <w:b/>
          <w:sz w:val="27"/>
          <w:szCs w:val="27"/>
        </w:rPr>
        <w:t>Atbilstošu ekspertu piesaiste individuālo elektrostaciju kopējo kapitālieguldījumu IRR aprēķinu veikšanai</w:t>
      </w:r>
    </w:p>
    <w:p w14:paraId="1F7C95D1" w14:textId="68571881" w:rsidR="001B2D49" w:rsidRDefault="001B2D49" w:rsidP="00C515D5">
      <w:pPr>
        <w:pStyle w:val="ListParagraph"/>
        <w:spacing w:before="120" w:after="120"/>
        <w:jc w:val="both"/>
        <w:rPr>
          <w:rFonts w:ascii="Times New Roman" w:hAnsi="Times New Roman"/>
          <w:sz w:val="27"/>
          <w:szCs w:val="27"/>
        </w:rPr>
      </w:pPr>
      <w:r>
        <w:rPr>
          <w:rFonts w:ascii="Times New Roman" w:hAnsi="Times New Roman"/>
          <w:sz w:val="27"/>
          <w:szCs w:val="27"/>
        </w:rPr>
        <w:t>Pašlaik saskaņā ar MK noteikumiem Nr.221 un MK noteikumiem Nr.262 ir spēkā ir kārtība, kas paredz, ka komersantiem, ja tos neapmierina Ekonomikas ministrijas veiktais kopējo kapitālieguldījumu IRR aprēķins, ir tiesības iesniegt savu zvērinātu revidentu apstiprinātu aprēķinu. Ņemot vērā iepriekš konstatētās problēmas zvērinātu revidentu apstiprinātajos aprēķin</w:t>
      </w:r>
      <w:r w:rsidR="00D12998">
        <w:rPr>
          <w:rFonts w:ascii="Times New Roman" w:hAnsi="Times New Roman"/>
          <w:sz w:val="27"/>
          <w:szCs w:val="27"/>
        </w:rPr>
        <w:t>o</w:t>
      </w:r>
      <w:r>
        <w:rPr>
          <w:rFonts w:ascii="Times New Roman" w:hAnsi="Times New Roman"/>
          <w:sz w:val="27"/>
          <w:szCs w:val="27"/>
        </w:rPr>
        <w:t>s,</w:t>
      </w:r>
      <w:r w:rsidR="00D12998">
        <w:rPr>
          <w:rFonts w:ascii="Times New Roman" w:hAnsi="Times New Roman"/>
          <w:sz w:val="27"/>
          <w:szCs w:val="27"/>
        </w:rPr>
        <w:t xml:space="preserve"> nepieciešams stiprināt attiecīgo ekspertu atbildību aprēķinu veikšanā, kā arī nodrošināt atbilstoši kvalificētu ekspertu piesaisti. To iespējams nodrošināt, sīkāk normatīvajos aktos nosakot aprēķina veikšanas kārtību un iekļaujamos ieņēmumus un izdevumus</w:t>
      </w:r>
      <w:r w:rsidR="00612ABA">
        <w:rPr>
          <w:rFonts w:ascii="Times New Roman" w:hAnsi="Times New Roman"/>
          <w:sz w:val="27"/>
          <w:szCs w:val="27"/>
        </w:rPr>
        <w:t>, kā arī</w:t>
      </w:r>
      <w:r w:rsidR="00D12998">
        <w:rPr>
          <w:rFonts w:ascii="Times New Roman" w:hAnsi="Times New Roman"/>
          <w:sz w:val="27"/>
          <w:szCs w:val="27"/>
        </w:rPr>
        <w:t xml:space="preserve"> normatīvajos aktos  nepieciešams nostiprināt kārtību, ka aprēķina veikšanai pieaicināmi tikai Ekonomikas ministrijas noteiktie eksperti. Tāpat nosakāms, ka par aprēķina veikšanas izmaksām, piesaistot ārēju ekspertu, atbildīgs ir komersants, kā arī nosakāms, ka pēc eksperta aprēķina veikšanas tas obligāti ir iesniedzams atbildīgajā iestādē un nav iespējams vairs izmantot ar </w:t>
      </w:r>
      <w:proofErr w:type="spellStart"/>
      <w:r w:rsidR="00D12998">
        <w:rPr>
          <w:rFonts w:ascii="Times New Roman" w:hAnsi="Times New Roman"/>
          <w:sz w:val="27"/>
          <w:szCs w:val="27"/>
        </w:rPr>
        <w:t>līmeņatzīmju</w:t>
      </w:r>
      <w:proofErr w:type="spellEnd"/>
      <w:r w:rsidR="00D12998">
        <w:rPr>
          <w:rFonts w:ascii="Times New Roman" w:hAnsi="Times New Roman"/>
          <w:sz w:val="27"/>
          <w:szCs w:val="27"/>
        </w:rPr>
        <w:t xml:space="preserve"> palīdzību veikto aprēķinu.</w:t>
      </w:r>
    </w:p>
    <w:p w14:paraId="61D709E9" w14:textId="5A6B06E2" w:rsidR="008060DE" w:rsidRDefault="008060DE" w:rsidP="00C515D5">
      <w:pPr>
        <w:pStyle w:val="ListParagraph"/>
        <w:spacing w:before="120" w:after="120"/>
        <w:jc w:val="both"/>
        <w:rPr>
          <w:rFonts w:ascii="Times New Roman" w:hAnsi="Times New Roman"/>
          <w:sz w:val="27"/>
          <w:szCs w:val="27"/>
        </w:rPr>
      </w:pPr>
    </w:p>
    <w:p w14:paraId="65D49FB4" w14:textId="77777777" w:rsidR="00982D1E" w:rsidRPr="0048595C" w:rsidRDefault="00982D1E" w:rsidP="00982D1E">
      <w:pPr>
        <w:pStyle w:val="paragraph"/>
        <w:spacing w:before="120" w:beforeAutospacing="0" w:after="120" w:afterAutospacing="0"/>
        <w:jc w:val="both"/>
        <w:textAlignment w:val="baseline"/>
        <w:rPr>
          <w:rStyle w:val="normaltextrun"/>
          <w:sz w:val="27"/>
          <w:szCs w:val="27"/>
        </w:rPr>
      </w:pPr>
      <w:r w:rsidRPr="00982D1E">
        <w:rPr>
          <w:rStyle w:val="normaltextrun"/>
          <w:sz w:val="27"/>
          <w:szCs w:val="27"/>
        </w:rPr>
        <w:t xml:space="preserve">Vienlaikus </w:t>
      </w:r>
      <w:r>
        <w:rPr>
          <w:rStyle w:val="normaltextrun"/>
          <w:sz w:val="27"/>
          <w:szCs w:val="27"/>
        </w:rPr>
        <w:t>šī rīcības virziena pasākumi jāskata kopsakarā ar pārējo rīcības virzienu ietvaros paredzētajiem pasākumiem un</w:t>
      </w:r>
      <w:r w:rsidRPr="00982D1E">
        <w:rPr>
          <w:rStyle w:val="normaltextrun"/>
          <w:sz w:val="27"/>
          <w:szCs w:val="27"/>
        </w:rPr>
        <w:t xml:space="preserve"> veicot normatīvo aktu grozījumus, lai ieviestu šos pasākumus, izvērtējams, vai kopsakarā ar citiem ieviešamajiem pasākumiem to raksturs kopumā ir atturošs un efektīvs</w:t>
      </w:r>
      <w:r>
        <w:rPr>
          <w:rStyle w:val="normaltextrun"/>
          <w:sz w:val="27"/>
          <w:szCs w:val="27"/>
        </w:rPr>
        <w:t xml:space="preserve">, </w:t>
      </w:r>
      <w:r w:rsidRPr="00982D1E">
        <w:rPr>
          <w:rStyle w:val="normaltextrun"/>
          <w:sz w:val="27"/>
          <w:szCs w:val="27"/>
        </w:rPr>
        <w:t>tie nav nesamērīgi</w:t>
      </w:r>
      <w:r>
        <w:rPr>
          <w:rStyle w:val="normaltextrun"/>
          <w:sz w:val="27"/>
          <w:szCs w:val="27"/>
        </w:rPr>
        <w:t xml:space="preserve"> un nepamatoti neierobežo atbalsta saņēmēju </w:t>
      </w:r>
      <w:proofErr w:type="spellStart"/>
      <w:r>
        <w:rPr>
          <w:rStyle w:val="normaltextrun"/>
          <w:sz w:val="27"/>
          <w:szCs w:val="27"/>
        </w:rPr>
        <w:t>pamattiesības</w:t>
      </w:r>
      <w:proofErr w:type="spellEnd"/>
      <w:r>
        <w:rPr>
          <w:rStyle w:val="normaltextrun"/>
          <w:sz w:val="27"/>
          <w:szCs w:val="27"/>
        </w:rPr>
        <w:t>.</w:t>
      </w:r>
    </w:p>
    <w:p w14:paraId="56F3E63D" w14:textId="7BB4AF71" w:rsidR="00982D1E" w:rsidRPr="005F56C0" w:rsidRDefault="005F56C0" w:rsidP="00C515D5">
      <w:pPr>
        <w:pStyle w:val="ListParagraph"/>
        <w:spacing w:before="120" w:after="120"/>
        <w:jc w:val="both"/>
        <w:rPr>
          <w:rFonts w:ascii="Times New Roman" w:hAnsi="Times New Roman"/>
          <w:b/>
          <w:bCs/>
          <w:sz w:val="27"/>
          <w:szCs w:val="27"/>
        </w:rPr>
      </w:pPr>
      <w:r w:rsidRPr="005F56C0">
        <w:rPr>
          <w:rFonts w:ascii="Times New Roman" w:hAnsi="Times New Roman"/>
          <w:b/>
          <w:bCs/>
          <w:sz w:val="27"/>
          <w:szCs w:val="27"/>
        </w:rPr>
        <w:t>3. Maksimālā atbalsta perioda ierobežošana</w:t>
      </w:r>
    </w:p>
    <w:p w14:paraId="7CCD3ADC" w14:textId="1943ED3D" w:rsidR="005F56C0" w:rsidRDefault="005F56C0" w:rsidP="005F56C0">
      <w:pPr>
        <w:spacing w:before="120" w:after="120" w:line="240" w:lineRule="auto"/>
        <w:jc w:val="both"/>
        <w:rPr>
          <w:rFonts w:ascii="Times New Roman" w:hAnsi="Times New Roman"/>
          <w:sz w:val="27"/>
          <w:szCs w:val="27"/>
        </w:rPr>
      </w:pPr>
      <w:r>
        <w:rPr>
          <w:rFonts w:ascii="Times New Roman" w:hAnsi="Times New Roman"/>
          <w:sz w:val="27"/>
          <w:szCs w:val="27"/>
        </w:rPr>
        <w:t>Ņ</w:t>
      </w:r>
      <w:r w:rsidRPr="005F56C0">
        <w:rPr>
          <w:rFonts w:ascii="Times New Roman" w:hAnsi="Times New Roman"/>
          <w:sz w:val="27"/>
          <w:szCs w:val="27"/>
        </w:rPr>
        <w:t xml:space="preserve">emot vērā, ka atbilstoši EK lēmumam, ar kuru atbalsts OI mehānisma ietvaros saskaņots ar Eiropas Komisiju un Eiropas Komisijas Pamatnostādnēm par valsts </w:t>
      </w:r>
      <w:r w:rsidRPr="005F56C0">
        <w:rPr>
          <w:rFonts w:ascii="Times New Roman" w:hAnsi="Times New Roman"/>
          <w:sz w:val="27"/>
          <w:szCs w:val="27"/>
        </w:rPr>
        <w:lastRenderedPageBreak/>
        <w:t>atbalstu vides aizsardzībai un enerģētikai 2014.–2020. gadam</w:t>
      </w:r>
      <w:r>
        <w:rPr>
          <w:rStyle w:val="FootnoteReference"/>
          <w:rFonts w:ascii="Times New Roman" w:hAnsi="Times New Roman"/>
          <w:sz w:val="27"/>
          <w:szCs w:val="27"/>
        </w:rPr>
        <w:footnoteReference w:id="10"/>
      </w:r>
      <w:r w:rsidRPr="005F56C0">
        <w:rPr>
          <w:rFonts w:ascii="Times New Roman" w:hAnsi="Times New Roman"/>
          <w:sz w:val="27"/>
          <w:szCs w:val="27"/>
        </w:rPr>
        <w:t xml:space="preserve"> stacijām, kas saņem atbalstu OI mehānisma ietvaros maksimālais atbalsta periods ir noteikts 20 gadi, šāds princips būtu jānostiprina Elektroenerģijas tirgus likumā un jāattiecina arī uz atbalsta periodu OI mehānismam pielīdzināmam atbalstam. Tādējādi </w:t>
      </w:r>
      <w:r w:rsidRPr="005F56C0">
        <w:rPr>
          <w:rFonts w:ascii="Times New Roman" w:hAnsi="Times New Roman"/>
          <w:b/>
          <w:sz w:val="27"/>
          <w:szCs w:val="27"/>
        </w:rPr>
        <w:t>elektrostacijām, kurām šobrīd kopējais plānotais atbalsta periods, summējot vēsturisko atbalstu elektroenerģijas ražošanai un atbalstu OI mehānisma ietvaros, pārsniegtu 20 gadus, tas tiktu saīsināts</w:t>
      </w:r>
      <w:r w:rsidRPr="005F56C0">
        <w:rPr>
          <w:rFonts w:ascii="Times New Roman" w:hAnsi="Times New Roman"/>
          <w:sz w:val="27"/>
          <w:szCs w:val="27"/>
        </w:rPr>
        <w:t>, vienlaicīgi veicot arī kopējo kapitālieguldījumu IRR pārrēķinu attiecīgajam atbalsta periodam. Šis princips būtu ievērojams arī nākotnē, gadījumā, ja tiktu ieviests jauns atbalsta mehānisms elektroenerģijas ražošanai.</w:t>
      </w:r>
    </w:p>
    <w:p w14:paraId="5DBB7F7B" w14:textId="0E03C3B9" w:rsidR="005F56C0" w:rsidRPr="005F56C0" w:rsidRDefault="00BC723E" w:rsidP="003C3150">
      <w:pPr>
        <w:spacing w:before="120" w:after="120" w:line="240" w:lineRule="auto"/>
        <w:jc w:val="both"/>
        <w:rPr>
          <w:rFonts w:ascii="Times New Roman" w:hAnsi="Times New Roman"/>
          <w:sz w:val="27"/>
          <w:szCs w:val="27"/>
        </w:rPr>
      </w:pPr>
      <w:r>
        <w:rPr>
          <w:rFonts w:ascii="Times New Roman" w:hAnsi="Times New Roman"/>
          <w:sz w:val="27"/>
          <w:szCs w:val="27"/>
        </w:rPr>
        <w:t xml:space="preserve">Šāds risinājums pēc Ekonomikas ministrijas iniciatīvas </w:t>
      </w:r>
      <w:r w:rsidR="00640B24">
        <w:rPr>
          <w:rFonts w:ascii="Times New Roman" w:hAnsi="Times New Roman"/>
          <w:sz w:val="27"/>
          <w:szCs w:val="27"/>
        </w:rPr>
        <w:t xml:space="preserve">iekļauts un </w:t>
      </w:r>
      <w:r>
        <w:rPr>
          <w:rFonts w:ascii="Times New Roman" w:hAnsi="Times New Roman"/>
          <w:sz w:val="27"/>
          <w:szCs w:val="27"/>
        </w:rPr>
        <w:t>2019.gada 8.jūlijā apstiprināts 2.lasījumā Elektroenerģijas tirgus likuma grozījumos.</w:t>
      </w:r>
    </w:p>
    <w:p w14:paraId="5E21E145" w14:textId="77777777" w:rsidR="008060DE" w:rsidRDefault="008060DE" w:rsidP="00C515D5">
      <w:pPr>
        <w:pStyle w:val="ListParagraph"/>
        <w:spacing w:before="120" w:after="120"/>
        <w:jc w:val="both"/>
        <w:rPr>
          <w:rFonts w:ascii="Times New Roman" w:hAnsi="Times New Roman"/>
          <w:sz w:val="27"/>
          <w:szCs w:val="27"/>
        </w:rPr>
      </w:pPr>
    </w:p>
    <w:p w14:paraId="092DEEB8" w14:textId="63BD785C" w:rsidR="00794274" w:rsidRPr="00AD2746" w:rsidRDefault="00F268BA" w:rsidP="00AD2746">
      <w:pPr>
        <w:pStyle w:val="Heading1"/>
        <w:rPr>
          <w:u w:val="single"/>
        </w:rPr>
      </w:pPr>
      <w:bookmarkStart w:id="28" w:name="_Toc9244611"/>
      <w:bookmarkStart w:id="29" w:name="_Toc13152091"/>
      <w:r w:rsidRPr="00AD2746">
        <w:rPr>
          <w:u w:val="single"/>
        </w:rPr>
        <w:t>4</w:t>
      </w:r>
      <w:r w:rsidR="0087794E" w:rsidRPr="00AD2746">
        <w:rPr>
          <w:u w:val="single"/>
        </w:rPr>
        <w:t xml:space="preserve">. </w:t>
      </w:r>
      <w:r w:rsidR="004E2F8F" w:rsidRPr="00AD2746">
        <w:rPr>
          <w:u w:val="single"/>
        </w:rPr>
        <w:t xml:space="preserve">Rīcības virziens - </w:t>
      </w:r>
      <w:r w:rsidR="00794274" w:rsidRPr="00AD2746">
        <w:rPr>
          <w:u w:val="single"/>
        </w:rPr>
        <w:t>Veicinoši apstākļi elektrostaciju darbam ārpus valsts</w:t>
      </w:r>
      <w:r w:rsidR="00A224D6" w:rsidRPr="00AD2746">
        <w:rPr>
          <w:u w:val="single"/>
        </w:rPr>
        <w:t xml:space="preserve"> </w:t>
      </w:r>
      <w:r w:rsidR="00794274" w:rsidRPr="00AD2746">
        <w:rPr>
          <w:u w:val="single"/>
        </w:rPr>
        <w:t>atbalsta sistēmas</w:t>
      </w:r>
      <w:bookmarkEnd w:id="28"/>
      <w:bookmarkEnd w:id="29"/>
    </w:p>
    <w:p w14:paraId="2674E140" w14:textId="694FF714" w:rsidR="00681BF2" w:rsidRDefault="00681BF2" w:rsidP="00C515D5">
      <w:pPr>
        <w:spacing w:before="120" w:after="120" w:line="240" w:lineRule="auto"/>
        <w:jc w:val="both"/>
        <w:rPr>
          <w:rFonts w:ascii="Times New Roman" w:hAnsi="Times New Roman"/>
          <w:sz w:val="27"/>
          <w:szCs w:val="27"/>
        </w:rPr>
      </w:pPr>
      <w:r w:rsidRPr="00401368">
        <w:rPr>
          <w:rFonts w:ascii="Times New Roman" w:hAnsi="Times New Roman"/>
          <w:b/>
          <w:sz w:val="27"/>
          <w:szCs w:val="27"/>
        </w:rPr>
        <w:t>Mērķis:</w:t>
      </w:r>
      <w:r>
        <w:rPr>
          <w:rFonts w:ascii="Times New Roman" w:hAnsi="Times New Roman"/>
          <w:sz w:val="27"/>
          <w:szCs w:val="27"/>
        </w:rPr>
        <w:t xml:space="preserve"> Veicinot elektrostaciju iespējas darbam ārpus valsts atbalsta sistēmas, mazināt izmaksas elektroenerģijas lietotāju izmaksas, vienlaikus nodrošinot atjaunojamās enerģijas nozares attīstību.</w:t>
      </w:r>
    </w:p>
    <w:p w14:paraId="422BABB0" w14:textId="34B8E839" w:rsidR="00EB1D9B" w:rsidRPr="00A224D6" w:rsidRDefault="00401368" w:rsidP="00C515D5">
      <w:pPr>
        <w:spacing w:before="120" w:after="120" w:line="240" w:lineRule="auto"/>
        <w:jc w:val="both"/>
        <w:rPr>
          <w:rFonts w:ascii="Times New Roman" w:hAnsi="Times New Roman"/>
          <w:b/>
          <w:sz w:val="27"/>
          <w:szCs w:val="27"/>
        </w:rPr>
      </w:pPr>
      <w:r w:rsidRPr="00401368">
        <w:rPr>
          <w:rFonts w:ascii="Times New Roman" w:hAnsi="Times New Roman"/>
          <w:b/>
          <w:sz w:val="27"/>
          <w:szCs w:val="27"/>
        </w:rPr>
        <w:t>Rīcība:</w:t>
      </w:r>
      <w:r w:rsidR="00A224D6">
        <w:rPr>
          <w:rFonts w:ascii="Times New Roman" w:hAnsi="Times New Roman"/>
          <w:b/>
          <w:sz w:val="27"/>
          <w:szCs w:val="27"/>
        </w:rPr>
        <w:t xml:space="preserve"> </w:t>
      </w:r>
      <w:r w:rsidR="00EB1D9B" w:rsidRPr="0048595C">
        <w:rPr>
          <w:rFonts w:ascii="Times New Roman" w:hAnsi="Times New Roman"/>
          <w:sz w:val="27"/>
          <w:szCs w:val="27"/>
        </w:rPr>
        <w:t xml:space="preserve">OI </w:t>
      </w:r>
      <w:r w:rsidR="00E1667D" w:rsidRPr="0048595C">
        <w:rPr>
          <w:rFonts w:ascii="Times New Roman" w:hAnsi="Times New Roman"/>
          <w:sz w:val="27"/>
          <w:szCs w:val="27"/>
        </w:rPr>
        <w:t>mehānism</w:t>
      </w:r>
      <w:r w:rsidR="00AB0418">
        <w:rPr>
          <w:rFonts w:ascii="Times New Roman" w:hAnsi="Times New Roman"/>
          <w:sz w:val="27"/>
          <w:szCs w:val="27"/>
        </w:rPr>
        <w:t xml:space="preserve">s </w:t>
      </w:r>
      <w:r w:rsidR="00EB1D9B" w:rsidRPr="0048595C">
        <w:rPr>
          <w:rFonts w:ascii="Times New Roman" w:hAnsi="Times New Roman"/>
          <w:sz w:val="27"/>
          <w:szCs w:val="27"/>
        </w:rPr>
        <w:t xml:space="preserve">šobrīd ir </w:t>
      </w:r>
      <w:r w:rsidR="00AB0418">
        <w:rPr>
          <w:rFonts w:ascii="Times New Roman" w:hAnsi="Times New Roman"/>
          <w:sz w:val="27"/>
          <w:szCs w:val="27"/>
        </w:rPr>
        <w:t xml:space="preserve">galvenais </w:t>
      </w:r>
      <w:r w:rsidR="00EB1D9B" w:rsidRPr="0048595C">
        <w:rPr>
          <w:rFonts w:ascii="Times New Roman" w:hAnsi="Times New Roman"/>
          <w:sz w:val="27"/>
          <w:szCs w:val="27"/>
        </w:rPr>
        <w:t xml:space="preserve">atbalsta mehānisms atjaunojamās enerģijas jomā. Tomēr jau īstermiņā ir iespējams </w:t>
      </w:r>
      <w:r w:rsidR="00EB1D9B" w:rsidRPr="0048595C">
        <w:rPr>
          <w:rFonts w:ascii="Times New Roman" w:hAnsi="Times New Roman"/>
          <w:b/>
          <w:sz w:val="27"/>
          <w:szCs w:val="27"/>
        </w:rPr>
        <w:t xml:space="preserve">veicināt </w:t>
      </w:r>
      <w:r w:rsidR="009C778E" w:rsidRPr="0048595C">
        <w:rPr>
          <w:rFonts w:ascii="Times New Roman" w:hAnsi="Times New Roman"/>
          <w:b/>
          <w:sz w:val="27"/>
          <w:szCs w:val="27"/>
        </w:rPr>
        <w:t>ražotāju</w:t>
      </w:r>
      <w:r w:rsidR="00EB1D9B" w:rsidRPr="0048595C">
        <w:rPr>
          <w:rFonts w:ascii="Times New Roman" w:hAnsi="Times New Roman"/>
          <w:b/>
          <w:sz w:val="27"/>
          <w:szCs w:val="27"/>
        </w:rPr>
        <w:t xml:space="preserve"> darbības turpināšanu bez tieša valsts atbalsta</w:t>
      </w:r>
      <w:r w:rsidR="00EB1D9B" w:rsidRPr="0048595C">
        <w:rPr>
          <w:rFonts w:ascii="Times New Roman" w:hAnsi="Times New Roman"/>
          <w:sz w:val="27"/>
          <w:szCs w:val="27"/>
        </w:rPr>
        <w:t xml:space="preserve">. Tam nepieciešamas sistēmiskas </w:t>
      </w:r>
      <w:r w:rsidR="00CE3F09">
        <w:rPr>
          <w:rFonts w:ascii="Times New Roman" w:hAnsi="Times New Roman"/>
          <w:sz w:val="27"/>
          <w:szCs w:val="27"/>
        </w:rPr>
        <w:t xml:space="preserve">normatīvo aktu </w:t>
      </w:r>
      <w:r w:rsidR="00EB1D9B" w:rsidRPr="0048595C">
        <w:rPr>
          <w:rFonts w:ascii="Times New Roman" w:hAnsi="Times New Roman"/>
          <w:sz w:val="27"/>
          <w:szCs w:val="27"/>
        </w:rPr>
        <w:t>izmaiņas</w:t>
      </w:r>
      <w:r>
        <w:rPr>
          <w:rFonts w:ascii="Times New Roman" w:hAnsi="Times New Roman"/>
          <w:sz w:val="27"/>
          <w:szCs w:val="27"/>
        </w:rPr>
        <w:t>.</w:t>
      </w:r>
    </w:p>
    <w:p w14:paraId="4FD94801" w14:textId="77777777" w:rsidR="00F268BA" w:rsidRPr="0048595C" w:rsidRDefault="00F268BA" w:rsidP="00C515D5">
      <w:pPr>
        <w:spacing w:before="120" w:after="120" w:line="240" w:lineRule="auto"/>
        <w:jc w:val="both"/>
        <w:rPr>
          <w:rFonts w:ascii="Times New Roman" w:hAnsi="Times New Roman"/>
          <w:sz w:val="27"/>
          <w:szCs w:val="27"/>
        </w:rPr>
      </w:pPr>
    </w:p>
    <w:p w14:paraId="7DAFE9B8" w14:textId="5C17E322" w:rsidR="00FE0744" w:rsidRDefault="00FE0744" w:rsidP="00C515D5">
      <w:pPr>
        <w:spacing w:before="120" w:after="120" w:line="240" w:lineRule="auto"/>
        <w:jc w:val="both"/>
        <w:rPr>
          <w:rFonts w:ascii="Times New Roman" w:eastAsia="Times New Roman" w:hAnsi="Times New Roman"/>
          <w:b/>
          <w:sz w:val="27"/>
          <w:szCs w:val="27"/>
          <w:lang w:eastAsia="lv-LV"/>
        </w:rPr>
      </w:pPr>
      <w:r>
        <w:rPr>
          <w:rFonts w:ascii="Times New Roman" w:eastAsia="Times New Roman" w:hAnsi="Times New Roman"/>
          <w:b/>
          <w:sz w:val="27"/>
          <w:szCs w:val="27"/>
          <w:lang w:eastAsia="lv-LV"/>
        </w:rPr>
        <w:t xml:space="preserve">1. </w:t>
      </w:r>
      <w:r w:rsidRPr="00FE0744">
        <w:rPr>
          <w:rFonts w:ascii="Times New Roman" w:eastAsia="Times New Roman" w:hAnsi="Times New Roman"/>
          <w:b/>
          <w:sz w:val="27"/>
          <w:szCs w:val="27"/>
          <w:lang w:eastAsia="lv-LV"/>
        </w:rPr>
        <w:t>Pilnveidot izcelsmes apliecinājumu sistēmu</w:t>
      </w:r>
    </w:p>
    <w:p w14:paraId="165A5576" w14:textId="60611ECA" w:rsidR="0067651A" w:rsidRDefault="0067651A" w:rsidP="00C515D5">
      <w:pPr>
        <w:spacing w:before="120" w:after="120" w:line="240" w:lineRule="auto"/>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Izcelsmes apliecinājums ir elektroniska formāta dokuments, kura mērķis ir pierādīt elektroenerģijas lietotājiem, ka attiecīgais elektroenerģijas daudzums ir saražots, izmantojot atjaunojamos energoresursus vai augstas efektivitātes koģenerācijā</w:t>
      </w:r>
      <w:r>
        <w:rPr>
          <w:rFonts w:ascii="Times New Roman" w:eastAsia="Times New Roman" w:hAnsi="Times New Roman"/>
          <w:sz w:val="27"/>
          <w:szCs w:val="27"/>
          <w:lang w:eastAsia="lv-LV"/>
        </w:rPr>
        <w:t>.</w:t>
      </w:r>
      <w:r w:rsidR="00581187">
        <w:rPr>
          <w:rFonts w:ascii="Times New Roman" w:eastAsia="Times New Roman" w:hAnsi="Times New Roman"/>
          <w:sz w:val="27"/>
          <w:szCs w:val="27"/>
          <w:lang w:eastAsia="lv-LV"/>
        </w:rPr>
        <w:t xml:space="preserve"> Ņemot vērā sabiedrības pieaugošu pieprasījumu pēc ilgtspējīgas enerģijas,</w:t>
      </w:r>
      <w:r w:rsidR="001764C1">
        <w:rPr>
          <w:rFonts w:ascii="Times New Roman" w:eastAsia="Times New Roman" w:hAnsi="Times New Roman"/>
          <w:sz w:val="27"/>
          <w:szCs w:val="27"/>
          <w:lang w:eastAsia="lv-LV"/>
        </w:rPr>
        <w:t xml:space="preserve"> </w:t>
      </w:r>
      <w:r w:rsidR="00581187">
        <w:rPr>
          <w:rFonts w:ascii="Times New Roman" w:eastAsia="Times New Roman" w:hAnsi="Times New Roman"/>
          <w:sz w:val="27"/>
          <w:szCs w:val="27"/>
          <w:lang w:eastAsia="lv-LV"/>
        </w:rPr>
        <w:t>p</w:t>
      </w:r>
      <w:r w:rsidR="001764C1">
        <w:rPr>
          <w:rFonts w:ascii="Times New Roman" w:eastAsia="Times New Roman" w:hAnsi="Times New Roman"/>
          <w:sz w:val="27"/>
          <w:szCs w:val="27"/>
          <w:lang w:eastAsia="lv-LV"/>
        </w:rPr>
        <w:t xml:space="preserve">ieprasījums pēc </w:t>
      </w:r>
      <w:r w:rsidR="00581187">
        <w:rPr>
          <w:rFonts w:ascii="Times New Roman" w:eastAsia="Times New Roman" w:hAnsi="Times New Roman"/>
          <w:sz w:val="27"/>
          <w:szCs w:val="27"/>
          <w:lang w:eastAsia="lv-LV"/>
        </w:rPr>
        <w:t>atjaunojamās enerģijas</w:t>
      </w:r>
      <w:r w:rsidR="001764C1">
        <w:rPr>
          <w:rFonts w:ascii="Times New Roman" w:eastAsia="Times New Roman" w:hAnsi="Times New Roman"/>
          <w:sz w:val="27"/>
          <w:szCs w:val="27"/>
          <w:lang w:eastAsia="lv-LV"/>
        </w:rPr>
        <w:t xml:space="preserve"> </w:t>
      </w:r>
      <w:r w:rsidR="00581187">
        <w:rPr>
          <w:rFonts w:ascii="Times New Roman" w:eastAsia="Times New Roman" w:hAnsi="Times New Roman"/>
          <w:sz w:val="27"/>
          <w:szCs w:val="27"/>
          <w:lang w:eastAsia="lv-LV"/>
        </w:rPr>
        <w:t xml:space="preserve">izcelsmes apliecinājumiem </w:t>
      </w:r>
      <w:r w:rsidR="001764C1">
        <w:rPr>
          <w:rFonts w:ascii="Times New Roman" w:eastAsia="Times New Roman" w:hAnsi="Times New Roman"/>
          <w:sz w:val="27"/>
          <w:szCs w:val="27"/>
          <w:lang w:eastAsia="lv-LV"/>
        </w:rPr>
        <w:t>Eiropā arvien pieaug.</w:t>
      </w:r>
    </w:p>
    <w:p w14:paraId="68C360BB" w14:textId="0DFB35DD" w:rsidR="0067651A" w:rsidRDefault="0067651A" w:rsidP="00C515D5">
      <w:pPr>
        <w:spacing w:before="120" w:after="120" w:line="240" w:lineRule="auto"/>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Elektroenerģijas izcelsmes apliecinājumu aprite un tirdzniecība vienotā Eiropas tirgū ir iespējama, pateicoties brīvprātīgai Eiropas enerģijas izcelsmes apliecinājumu sistēmai, kurai pievienojušās jau 20 Eiropas dalībvalstis. Pašlaik to vidū vēl nav Latvijas, kas liedz mūsu valsts elektroenerģijas ražotājiem un patērētājiem izmantot vienotā Eiropas izcelsmes apliecinājumu tirgus priekšrocības. Eiropas praksē enerģijas izcelsmes apliecinājumu sistēmu administrē un apliecinājumus izdod pārvades sistēmas operatori, retāk citas iestādes – tirgus operatori, regulatori. Latvija šajā reģionā ir izņēmums, jo izcelsmes apliecinājumu sistēmas administrēšana līdz šim ir bijusi Ekonomikas ministrijas pārziņā</w:t>
      </w:r>
      <w:r>
        <w:rPr>
          <w:rFonts w:ascii="Times New Roman" w:eastAsia="Times New Roman" w:hAnsi="Times New Roman"/>
          <w:sz w:val="27"/>
          <w:szCs w:val="27"/>
          <w:lang w:eastAsia="lv-LV"/>
        </w:rPr>
        <w:t>.</w:t>
      </w:r>
    </w:p>
    <w:p w14:paraId="6B786153" w14:textId="77777777" w:rsidR="0067651A" w:rsidRPr="0067651A" w:rsidRDefault="0067651A" w:rsidP="00C515D5">
      <w:pPr>
        <w:spacing w:before="120" w:after="120" w:line="240" w:lineRule="auto"/>
        <w:jc w:val="both"/>
        <w:rPr>
          <w:rFonts w:ascii="Times New Roman" w:eastAsia="Times New Roman" w:hAnsi="Times New Roman"/>
          <w:sz w:val="27"/>
          <w:szCs w:val="27"/>
          <w:u w:val="single"/>
          <w:lang w:eastAsia="lv-LV"/>
        </w:rPr>
      </w:pPr>
      <w:r w:rsidRPr="0067651A">
        <w:rPr>
          <w:rFonts w:ascii="Times New Roman" w:eastAsia="Times New Roman" w:hAnsi="Times New Roman"/>
          <w:sz w:val="27"/>
          <w:szCs w:val="27"/>
          <w:u w:val="single"/>
          <w:lang w:eastAsia="lv-LV"/>
        </w:rPr>
        <w:t xml:space="preserve">Priekšlikums paredz Latvijas izcelsmes apliecinājumu sistēmas pilnveidošanu un integrēšana vienotajā Eiropas Enerģijas izcelsmes apliecinājumu sistēmā </w:t>
      </w:r>
      <w:r w:rsidRPr="0067651A">
        <w:rPr>
          <w:rFonts w:ascii="Times New Roman" w:eastAsia="Times New Roman" w:hAnsi="Times New Roman"/>
          <w:sz w:val="27"/>
          <w:szCs w:val="27"/>
          <w:lang w:eastAsia="lv-LV"/>
        </w:rPr>
        <w:t xml:space="preserve">(EECS – </w:t>
      </w:r>
      <w:proofErr w:type="spellStart"/>
      <w:r w:rsidRPr="0067651A">
        <w:rPr>
          <w:rFonts w:ascii="Times New Roman" w:eastAsia="Times New Roman" w:hAnsi="Times New Roman"/>
          <w:sz w:val="27"/>
          <w:szCs w:val="27"/>
          <w:lang w:eastAsia="lv-LV"/>
        </w:rPr>
        <w:lastRenderedPageBreak/>
        <w:t>European</w:t>
      </w:r>
      <w:proofErr w:type="spellEnd"/>
      <w:r w:rsidRPr="0067651A">
        <w:rPr>
          <w:rFonts w:ascii="Times New Roman" w:eastAsia="Times New Roman" w:hAnsi="Times New Roman"/>
          <w:sz w:val="27"/>
          <w:szCs w:val="27"/>
          <w:lang w:eastAsia="lv-LV"/>
        </w:rPr>
        <w:t xml:space="preserve"> </w:t>
      </w:r>
      <w:proofErr w:type="spellStart"/>
      <w:r w:rsidRPr="0067651A">
        <w:rPr>
          <w:rFonts w:ascii="Times New Roman" w:eastAsia="Times New Roman" w:hAnsi="Times New Roman"/>
          <w:sz w:val="27"/>
          <w:szCs w:val="27"/>
          <w:lang w:eastAsia="lv-LV"/>
        </w:rPr>
        <w:t>Energy</w:t>
      </w:r>
      <w:proofErr w:type="spellEnd"/>
      <w:r w:rsidRPr="0067651A">
        <w:rPr>
          <w:rFonts w:ascii="Times New Roman" w:eastAsia="Times New Roman" w:hAnsi="Times New Roman"/>
          <w:sz w:val="27"/>
          <w:szCs w:val="27"/>
          <w:lang w:eastAsia="lv-LV"/>
        </w:rPr>
        <w:t xml:space="preserve"> </w:t>
      </w:r>
      <w:proofErr w:type="spellStart"/>
      <w:r w:rsidRPr="0067651A">
        <w:rPr>
          <w:rFonts w:ascii="Times New Roman" w:eastAsia="Times New Roman" w:hAnsi="Times New Roman"/>
          <w:sz w:val="27"/>
          <w:szCs w:val="27"/>
          <w:lang w:eastAsia="lv-LV"/>
        </w:rPr>
        <w:t>Certificate</w:t>
      </w:r>
      <w:proofErr w:type="spellEnd"/>
      <w:r w:rsidRPr="0067651A">
        <w:rPr>
          <w:rFonts w:ascii="Times New Roman" w:eastAsia="Times New Roman" w:hAnsi="Times New Roman"/>
          <w:sz w:val="27"/>
          <w:szCs w:val="27"/>
          <w:lang w:eastAsia="lv-LV"/>
        </w:rPr>
        <w:t xml:space="preserve"> </w:t>
      </w:r>
      <w:proofErr w:type="spellStart"/>
      <w:r w:rsidRPr="0067651A">
        <w:rPr>
          <w:rFonts w:ascii="Times New Roman" w:eastAsia="Times New Roman" w:hAnsi="Times New Roman"/>
          <w:sz w:val="27"/>
          <w:szCs w:val="27"/>
          <w:lang w:eastAsia="lv-LV"/>
        </w:rPr>
        <w:t>System</w:t>
      </w:r>
      <w:proofErr w:type="spellEnd"/>
      <w:r w:rsidRPr="0067651A">
        <w:rPr>
          <w:rFonts w:ascii="Times New Roman" w:eastAsia="Times New Roman" w:hAnsi="Times New Roman"/>
          <w:sz w:val="27"/>
          <w:szCs w:val="27"/>
          <w:lang w:eastAsia="lv-LV"/>
        </w:rPr>
        <w:t>). Tas pozitīvi ietekmētu visus elektroenerģijas tirgus dalībniekus:</w:t>
      </w:r>
    </w:p>
    <w:p w14:paraId="043A97EE" w14:textId="77777777" w:rsidR="0067651A" w:rsidRPr="0067651A" w:rsidRDefault="0067651A" w:rsidP="008D06DB">
      <w:pPr>
        <w:numPr>
          <w:ilvl w:val="0"/>
          <w:numId w:val="3"/>
        </w:numPr>
        <w:spacing w:before="120" w:after="120" w:line="240" w:lineRule="auto"/>
        <w:ind w:left="777" w:hanging="357"/>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elektroenerģijas ražotāji varēs pārdot izcelsmes apliecinājumus likvīdā starptautiskā Eiropas tirgū;</w:t>
      </w:r>
    </w:p>
    <w:p w14:paraId="56E332CB" w14:textId="77777777" w:rsidR="0067651A" w:rsidRPr="0067651A" w:rsidRDefault="0067651A" w:rsidP="008D06DB">
      <w:pPr>
        <w:numPr>
          <w:ilvl w:val="0"/>
          <w:numId w:val="3"/>
        </w:numPr>
        <w:spacing w:before="120" w:after="120" w:line="240" w:lineRule="auto"/>
        <w:ind w:left="777" w:hanging="357"/>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elektroenerģijas tirgotāji varēs iegādāties izcelsmes apliecinājumus starptautiskajā tirgū, paplašināt piedāvājamo produktu klāstu, realizēt klientu vēlmes patērēt “zaļo” elektroenerģiju;</w:t>
      </w:r>
    </w:p>
    <w:p w14:paraId="65206B76" w14:textId="77777777" w:rsidR="0067651A" w:rsidRPr="0067651A" w:rsidRDefault="0067651A" w:rsidP="008D06DB">
      <w:pPr>
        <w:numPr>
          <w:ilvl w:val="0"/>
          <w:numId w:val="3"/>
        </w:numPr>
        <w:spacing w:before="120" w:after="120" w:line="240" w:lineRule="auto"/>
        <w:ind w:left="777" w:hanging="357"/>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elektroenerģijas patērētājiem tiks nodrošināta precīza, droša, patiesa informācija par patērētas elektroenerģijas izcelsmi;</w:t>
      </w:r>
    </w:p>
    <w:p w14:paraId="27C78647" w14:textId="77777777" w:rsidR="0067651A" w:rsidRPr="0067651A" w:rsidRDefault="0067651A" w:rsidP="008D06DB">
      <w:pPr>
        <w:numPr>
          <w:ilvl w:val="0"/>
          <w:numId w:val="3"/>
        </w:numPr>
        <w:spacing w:before="120" w:after="120" w:line="240" w:lineRule="auto"/>
        <w:ind w:left="777" w:hanging="357"/>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regulējošās iestādes varēs efektīvi kontrolēt un auditēt tirgus dalībnieku publicēto informāciju par elektroenerģijas izcelsmi;</w:t>
      </w:r>
    </w:p>
    <w:p w14:paraId="6005C540" w14:textId="73F2362E" w:rsidR="0067651A" w:rsidRDefault="0067651A" w:rsidP="008D06DB">
      <w:pPr>
        <w:numPr>
          <w:ilvl w:val="0"/>
          <w:numId w:val="3"/>
        </w:numPr>
        <w:spacing w:before="120" w:after="120" w:line="240" w:lineRule="auto"/>
        <w:ind w:left="777" w:hanging="357"/>
        <w:jc w:val="both"/>
        <w:rPr>
          <w:rFonts w:ascii="Times New Roman" w:eastAsia="Times New Roman" w:hAnsi="Times New Roman"/>
          <w:sz w:val="27"/>
          <w:szCs w:val="27"/>
          <w:lang w:eastAsia="lv-LV"/>
        </w:rPr>
      </w:pPr>
      <w:r w:rsidRPr="0067651A">
        <w:rPr>
          <w:rFonts w:ascii="Times New Roman" w:eastAsia="Times New Roman" w:hAnsi="Times New Roman"/>
          <w:sz w:val="27"/>
          <w:szCs w:val="27"/>
          <w:lang w:eastAsia="lv-LV"/>
        </w:rPr>
        <w:t>elektroniskā sistēma nodrošinātu nozīmīgu administrēšanas izmaksu ekonomiju gan tirgus dalībniekiem, gan valsts iestādēm.</w:t>
      </w:r>
    </w:p>
    <w:p w14:paraId="2E157281" w14:textId="11D3B68F" w:rsidR="0067651A" w:rsidRPr="00676E0E" w:rsidRDefault="0067651A" w:rsidP="00C515D5">
      <w:pPr>
        <w:spacing w:before="120" w:after="120" w:line="240" w:lineRule="auto"/>
        <w:jc w:val="both"/>
        <w:rPr>
          <w:rFonts w:ascii="Times New Roman" w:hAnsi="Times New Roman"/>
          <w:color w:val="000000"/>
          <w:sz w:val="27"/>
          <w:szCs w:val="27"/>
        </w:rPr>
      </w:pPr>
      <w:r w:rsidRPr="00676E0E">
        <w:rPr>
          <w:rFonts w:ascii="Times New Roman" w:hAnsi="Times New Roman"/>
          <w:color w:val="000000"/>
          <w:sz w:val="27"/>
          <w:szCs w:val="27"/>
        </w:rPr>
        <w:t xml:space="preserve">Tāpat dalība šajā izcelsmes apliecinājumu tirgū sniedz iespēju mazināt obligātā iepirkuma komponentes, jo daļu subsidētās elektroenerģijas izmaksu var segt pārdodot </w:t>
      </w:r>
      <w:r w:rsidR="00676E0E">
        <w:rPr>
          <w:rFonts w:ascii="Times New Roman" w:hAnsi="Times New Roman"/>
          <w:color w:val="000000"/>
          <w:sz w:val="27"/>
          <w:szCs w:val="27"/>
        </w:rPr>
        <w:t xml:space="preserve">OI saņēmēju </w:t>
      </w:r>
      <w:r w:rsidRPr="00676E0E">
        <w:rPr>
          <w:rFonts w:ascii="Times New Roman" w:hAnsi="Times New Roman"/>
          <w:color w:val="000000"/>
          <w:sz w:val="27"/>
          <w:szCs w:val="27"/>
        </w:rPr>
        <w:t>saražotās elektroenerģijas izcelsmes apliecinājumus.</w:t>
      </w:r>
    </w:p>
    <w:p w14:paraId="60A639D8" w14:textId="7F3D882D" w:rsidR="00FE0744" w:rsidRPr="00676E0E" w:rsidRDefault="00C93062" w:rsidP="00C515D5">
      <w:pPr>
        <w:spacing w:before="120" w:after="120" w:line="240" w:lineRule="auto"/>
        <w:jc w:val="both"/>
        <w:rPr>
          <w:rFonts w:ascii="Times New Roman" w:hAnsi="Times New Roman"/>
          <w:color w:val="000000"/>
          <w:sz w:val="27"/>
          <w:szCs w:val="27"/>
        </w:rPr>
      </w:pPr>
      <w:r w:rsidRPr="00676E0E">
        <w:rPr>
          <w:rFonts w:ascii="Times New Roman" w:hAnsi="Times New Roman"/>
          <w:color w:val="000000"/>
          <w:sz w:val="27"/>
          <w:szCs w:val="27"/>
        </w:rPr>
        <w:t xml:space="preserve">Grozījumi Elektroenerģijas tirgus likumā izcelsmes apliecinājumu sistēmas administrēšanas nodošanai pārvades sistēmas operatoram - AS “Augstsprieguma tīkls” </w:t>
      </w:r>
      <w:r w:rsidR="007453E3">
        <w:rPr>
          <w:rFonts w:ascii="Times New Roman" w:hAnsi="Times New Roman"/>
          <w:color w:val="000000"/>
          <w:sz w:val="27"/>
          <w:szCs w:val="27"/>
        </w:rPr>
        <w:t xml:space="preserve">(šobrīd to kapacitātes iespējās veic Ekonomikas ministrija, kur šī uzdevuma veikšanai ir pieejama 0,5 amata slodzes) </w:t>
      </w:r>
      <w:r w:rsidRPr="00676E0E">
        <w:rPr>
          <w:rFonts w:ascii="Times New Roman" w:hAnsi="Times New Roman"/>
          <w:color w:val="000000"/>
          <w:sz w:val="27"/>
          <w:szCs w:val="27"/>
        </w:rPr>
        <w:t>un sistēmas integrēšanai vienotajā Eiropas Enerģijas izcelsmes apliecinājumu sistēmā ir apstiprināti Saeimā 1.lasījumā un attiecīgi izmaiņu īstenošanai nepieciešama to tālāka virzība.</w:t>
      </w:r>
      <w:r w:rsidR="007453E3">
        <w:rPr>
          <w:rFonts w:ascii="Times New Roman" w:hAnsi="Times New Roman"/>
          <w:color w:val="000000"/>
          <w:sz w:val="27"/>
          <w:szCs w:val="27"/>
        </w:rPr>
        <w:t xml:space="preserve"> Paredzams, ka iespējamais Ekonomikas ministrijas iekšējo resursu ietaupījums pēc izcelsmes apliecinājumu sistēmas administrēšanas nodošanas pārvades sistēmas operatoram</w:t>
      </w:r>
      <w:r w:rsidR="00750C35">
        <w:rPr>
          <w:rFonts w:ascii="Times New Roman" w:hAnsi="Times New Roman"/>
          <w:color w:val="000000"/>
          <w:sz w:val="27"/>
          <w:szCs w:val="27"/>
        </w:rPr>
        <w:t xml:space="preserve"> varētu tikt izmantots citu Ekonomikas ministrijas funkciju veikšanai nepieciešamās kapacitātes uzlabošanai</w:t>
      </w:r>
    </w:p>
    <w:p w14:paraId="3AE83882" w14:textId="77777777" w:rsidR="00C93062" w:rsidRDefault="00C93062" w:rsidP="00C515D5">
      <w:pPr>
        <w:spacing w:before="120" w:after="120" w:line="240" w:lineRule="auto"/>
        <w:jc w:val="both"/>
        <w:rPr>
          <w:rFonts w:ascii="Times New Roman" w:eastAsia="Times New Roman" w:hAnsi="Times New Roman"/>
          <w:b/>
          <w:sz w:val="27"/>
          <w:szCs w:val="27"/>
          <w:lang w:eastAsia="lv-LV"/>
        </w:rPr>
      </w:pPr>
    </w:p>
    <w:p w14:paraId="6D5F0C37" w14:textId="55766E78" w:rsidR="0067651A" w:rsidRDefault="00676E0E" w:rsidP="00C515D5">
      <w:pPr>
        <w:spacing w:before="120" w:after="120" w:line="240" w:lineRule="auto"/>
        <w:jc w:val="both"/>
        <w:rPr>
          <w:rFonts w:ascii="Times New Roman" w:eastAsia="Times New Roman" w:hAnsi="Times New Roman"/>
          <w:b/>
          <w:sz w:val="27"/>
          <w:szCs w:val="27"/>
          <w:lang w:eastAsia="lv-LV"/>
        </w:rPr>
      </w:pPr>
      <w:r>
        <w:rPr>
          <w:rFonts w:ascii="Times New Roman" w:eastAsia="Times New Roman" w:hAnsi="Times New Roman"/>
          <w:b/>
          <w:sz w:val="27"/>
          <w:szCs w:val="27"/>
          <w:lang w:eastAsia="lv-LV"/>
        </w:rPr>
        <w:t>2</w:t>
      </w:r>
      <w:r w:rsidR="00FE0744">
        <w:rPr>
          <w:rFonts w:ascii="Times New Roman" w:eastAsia="Times New Roman" w:hAnsi="Times New Roman"/>
          <w:b/>
          <w:sz w:val="27"/>
          <w:szCs w:val="27"/>
          <w:lang w:eastAsia="lv-LV"/>
        </w:rPr>
        <w:t xml:space="preserve">. </w:t>
      </w:r>
      <w:r w:rsidR="00FE0744" w:rsidRPr="00FE0744">
        <w:rPr>
          <w:rFonts w:ascii="Times New Roman" w:eastAsia="Times New Roman" w:hAnsi="Times New Roman"/>
          <w:b/>
          <w:sz w:val="27"/>
          <w:szCs w:val="27"/>
          <w:lang w:eastAsia="lv-LV"/>
        </w:rPr>
        <w:t xml:space="preserve">Izstrādāt risinājumu biogāzes stacijām </w:t>
      </w:r>
      <w:r w:rsidR="000F4C54">
        <w:rPr>
          <w:rFonts w:ascii="Times New Roman" w:eastAsia="Times New Roman" w:hAnsi="Times New Roman"/>
          <w:b/>
          <w:sz w:val="27"/>
          <w:szCs w:val="27"/>
          <w:lang w:eastAsia="lv-LV"/>
        </w:rPr>
        <w:t xml:space="preserve">brīvprātīgai </w:t>
      </w:r>
      <w:r w:rsidR="00FE0744" w:rsidRPr="00FE0744">
        <w:rPr>
          <w:rFonts w:ascii="Times New Roman" w:eastAsia="Times New Roman" w:hAnsi="Times New Roman"/>
          <w:b/>
          <w:sz w:val="27"/>
          <w:szCs w:val="27"/>
          <w:lang w:eastAsia="lv-LV"/>
        </w:rPr>
        <w:t xml:space="preserve">pāriešanai no elektroenerģijas ražošanas uz </w:t>
      </w:r>
      <w:proofErr w:type="spellStart"/>
      <w:r w:rsidR="00FE0744" w:rsidRPr="00FE0744">
        <w:rPr>
          <w:rFonts w:ascii="Times New Roman" w:eastAsia="Times New Roman" w:hAnsi="Times New Roman"/>
          <w:b/>
          <w:sz w:val="27"/>
          <w:szCs w:val="27"/>
          <w:lang w:eastAsia="lv-LV"/>
        </w:rPr>
        <w:t>biometāna</w:t>
      </w:r>
      <w:proofErr w:type="spellEnd"/>
      <w:r w:rsidR="00FE0744" w:rsidRPr="00FE0744">
        <w:rPr>
          <w:rFonts w:ascii="Times New Roman" w:eastAsia="Times New Roman" w:hAnsi="Times New Roman"/>
          <w:b/>
          <w:sz w:val="27"/>
          <w:szCs w:val="27"/>
          <w:lang w:eastAsia="lv-LV"/>
        </w:rPr>
        <w:t xml:space="preserve"> ražošanu</w:t>
      </w:r>
      <w:r w:rsidR="0067651A">
        <w:rPr>
          <w:rFonts w:ascii="Times New Roman" w:eastAsia="Times New Roman" w:hAnsi="Times New Roman"/>
          <w:b/>
          <w:sz w:val="27"/>
          <w:szCs w:val="27"/>
          <w:lang w:eastAsia="lv-LV"/>
        </w:rPr>
        <w:t>.</w:t>
      </w:r>
    </w:p>
    <w:p w14:paraId="7B615A71" w14:textId="0F5841D6" w:rsidR="002F7F25" w:rsidRDefault="002F7F25" w:rsidP="00C515D5">
      <w:pPr>
        <w:spacing w:before="120" w:after="120" w:line="240" w:lineRule="auto"/>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B</w:t>
      </w:r>
      <w:r w:rsidRPr="002F7F25">
        <w:rPr>
          <w:rFonts w:ascii="Times New Roman" w:eastAsia="Times New Roman" w:hAnsi="Times New Roman"/>
          <w:sz w:val="27"/>
          <w:szCs w:val="27"/>
          <w:lang w:eastAsia="lv-LV"/>
        </w:rPr>
        <w:t xml:space="preserve">iogāzes nozari pārstāvošās institūcijas ir izteikušas interesi pāriešanai no elektroenerģijas ražošanas OI mehānisma ietvaros uz </w:t>
      </w:r>
      <w:proofErr w:type="spellStart"/>
      <w:r w:rsidRPr="002F7F25">
        <w:rPr>
          <w:rFonts w:ascii="Times New Roman" w:eastAsia="Times New Roman" w:hAnsi="Times New Roman"/>
          <w:sz w:val="27"/>
          <w:szCs w:val="27"/>
          <w:lang w:eastAsia="lv-LV"/>
        </w:rPr>
        <w:t>biometāna</w:t>
      </w:r>
      <w:proofErr w:type="spellEnd"/>
      <w:r w:rsidRPr="002F7F25">
        <w:rPr>
          <w:rFonts w:ascii="Times New Roman" w:eastAsia="Times New Roman" w:hAnsi="Times New Roman"/>
          <w:sz w:val="27"/>
          <w:szCs w:val="27"/>
          <w:lang w:eastAsia="lv-LV"/>
        </w:rPr>
        <w:t xml:space="preserve"> ražošanu ar sekojošu tā ievadīšanu dabasgāzes tīklā vai izmantošanu transportā. </w:t>
      </w:r>
    </w:p>
    <w:p w14:paraId="16B34C5F" w14:textId="1DD5AC6A" w:rsidR="00676E0E" w:rsidRDefault="002F7F25" w:rsidP="00C515D5">
      <w:pPr>
        <w:spacing w:before="120" w:after="120" w:line="240" w:lineRule="auto"/>
        <w:jc w:val="both"/>
        <w:rPr>
          <w:rFonts w:ascii="Times New Roman" w:eastAsia="Times New Roman" w:hAnsi="Times New Roman"/>
          <w:sz w:val="27"/>
          <w:szCs w:val="27"/>
          <w:lang w:eastAsia="lv-LV"/>
        </w:rPr>
      </w:pPr>
      <w:r w:rsidRPr="002F7F25">
        <w:rPr>
          <w:rFonts w:ascii="Times New Roman" w:eastAsia="Times New Roman" w:hAnsi="Times New Roman"/>
          <w:sz w:val="27"/>
          <w:szCs w:val="27"/>
          <w:lang w:eastAsia="lv-LV"/>
        </w:rPr>
        <w:t>Īstenojot šo risinājumu,</w:t>
      </w:r>
      <w:r>
        <w:rPr>
          <w:rFonts w:ascii="Times New Roman" w:eastAsia="Times New Roman" w:hAnsi="Times New Roman"/>
          <w:sz w:val="27"/>
          <w:szCs w:val="27"/>
          <w:lang w:eastAsia="lv-LV"/>
        </w:rPr>
        <w:t xml:space="preserve"> pirmkārt</w:t>
      </w:r>
      <w:r w:rsidR="00C515D5">
        <w:rPr>
          <w:rFonts w:ascii="Times New Roman" w:eastAsia="Times New Roman" w:hAnsi="Times New Roman"/>
          <w:sz w:val="27"/>
          <w:szCs w:val="27"/>
          <w:lang w:eastAsia="lv-LV"/>
        </w:rPr>
        <w:t>,</w:t>
      </w:r>
      <w:r>
        <w:rPr>
          <w:rFonts w:ascii="Times New Roman" w:eastAsia="Times New Roman" w:hAnsi="Times New Roman"/>
          <w:sz w:val="27"/>
          <w:szCs w:val="27"/>
          <w:lang w:eastAsia="lv-LV"/>
        </w:rPr>
        <w:t xml:space="preserve"> tiktu nodrošināts OI izmaksu un sekojoš</w:t>
      </w:r>
      <w:r w:rsidR="00C515D5">
        <w:rPr>
          <w:rFonts w:ascii="Times New Roman" w:eastAsia="Times New Roman" w:hAnsi="Times New Roman"/>
          <w:sz w:val="27"/>
          <w:szCs w:val="27"/>
          <w:lang w:eastAsia="lv-LV"/>
        </w:rPr>
        <w:t>i</w:t>
      </w:r>
      <w:r>
        <w:rPr>
          <w:rFonts w:ascii="Times New Roman" w:eastAsia="Times New Roman" w:hAnsi="Times New Roman"/>
          <w:sz w:val="27"/>
          <w:szCs w:val="27"/>
          <w:lang w:eastAsia="lv-LV"/>
        </w:rPr>
        <w:t xml:space="preserve"> elektroenerģijas galalietotāju OIK izmaksu samazinājums un vienlaikus</w:t>
      </w:r>
      <w:r w:rsidRPr="002F7F25">
        <w:rPr>
          <w:rFonts w:ascii="Times New Roman" w:eastAsia="Times New Roman" w:hAnsi="Times New Roman"/>
          <w:sz w:val="27"/>
          <w:szCs w:val="27"/>
          <w:lang w:eastAsia="lv-LV"/>
        </w:rPr>
        <w:t xml:space="preserve"> tiktu nodrošināta esošo biogāzes staciju iespēja tālāka darbība pēc OI atbalsta perioda beigām, tādējādi sniedzot ieguldījumu Latvijai noteikto 2030.gada AER, tostarp transporta sektora</w:t>
      </w:r>
      <w:r w:rsidR="00676E0E">
        <w:rPr>
          <w:rFonts w:ascii="Times New Roman" w:eastAsia="Times New Roman" w:hAnsi="Times New Roman"/>
          <w:sz w:val="27"/>
          <w:szCs w:val="27"/>
          <w:lang w:eastAsia="lv-LV"/>
        </w:rPr>
        <w:t xml:space="preserve"> (tajā skaitā moderno biodegvielu)</w:t>
      </w:r>
      <w:r w:rsidRPr="002F7F25">
        <w:rPr>
          <w:rFonts w:ascii="Times New Roman" w:eastAsia="Times New Roman" w:hAnsi="Times New Roman"/>
          <w:sz w:val="27"/>
          <w:szCs w:val="27"/>
          <w:lang w:eastAsia="lv-LV"/>
        </w:rPr>
        <w:t xml:space="preserve">, mērķu sasniegšanā. </w:t>
      </w:r>
    </w:p>
    <w:p w14:paraId="77858B3C" w14:textId="788EDDD1" w:rsidR="00676E0E" w:rsidRDefault="00676E0E" w:rsidP="00C515D5">
      <w:pPr>
        <w:spacing w:before="120" w:after="120" w:line="240" w:lineRule="auto"/>
        <w:jc w:val="both"/>
        <w:rPr>
          <w:rFonts w:ascii="Times New Roman" w:eastAsia="Times New Roman" w:hAnsi="Times New Roman"/>
          <w:sz w:val="27"/>
          <w:szCs w:val="27"/>
          <w:lang w:eastAsia="lv-LV"/>
        </w:rPr>
      </w:pPr>
      <w:r w:rsidRPr="002F7F25">
        <w:rPr>
          <w:rFonts w:ascii="Times New Roman" w:eastAsia="Times New Roman" w:hAnsi="Times New Roman"/>
          <w:sz w:val="27"/>
          <w:szCs w:val="27"/>
          <w:lang w:eastAsia="lv-LV"/>
        </w:rPr>
        <w:t xml:space="preserve">Šāda risinājuma īstenošanai nepieciešams piesaistīt ES līdzekļus sākotnējo investīciju segšanai nepieciešamajām papildu iekārtām biogāzes stacijās (pamatā biogāzes attīrīšanai līdz </w:t>
      </w:r>
      <w:proofErr w:type="spellStart"/>
      <w:r w:rsidRPr="002F7F25">
        <w:rPr>
          <w:rFonts w:ascii="Times New Roman" w:eastAsia="Times New Roman" w:hAnsi="Times New Roman"/>
          <w:sz w:val="27"/>
          <w:szCs w:val="27"/>
          <w:lang w:eastAsia="lv-LV"/>
        </w:rPr>
        <w:t>biometāna</w:t>
      </w:r>
      <w:proofErr w:type="spellEnd"/>
      <w:r w:rsidRPr="002F7F25">
        <w:rPr>
          <w:rFonts w:ascii="Times New Roman" w:eastAsia="Times New Roman" w:hAnsi="Times New Roman"/>
          <w:sz w:val="27"/>
          <w:szCs w:val="27"/>
          <w:lang w:eastAsia="lv-LV"/>
        </w:rPr>
        <w:t xml:space="preserve"> kvalitātei). </w:t>
      </w:r>
      <w:r>
        <w:rPr>
          <w:rFonts w:ascii="Times New Roman" w:eastAsia="Times New Roman" w:hAnsi="Times New Roman"/>
          <w:sz w:val="27"/>
          <w:szCs w:val="27"/>
          <w:lang w:eastAsia="lv-LV"/>
        </w:rPr>
        <w:t>Tāpat risinājums izstrādājams kopsakarā ar pienākumu</w:t>
      </w:r>
      <w:r w:rsidR="00C515D5">
        <w:rPr>
          <w:rFonts w:ascii="Times New Roman" w:eastAsia="Times New Roman" w:hAnsi="Times New Roman"/>
          <w:sz w:val="27"/>
          <w:szCs w:val="27"/>
          <w:lang w:eastAsia="lv-LV"/>
        </w:rPr>
        <w:t xml:space="preserve"> noteikšanu </w:t>
      </w:r>
      <w:proofErr w:type="spellStart"/>
      <w:r>
        <w:rPr>
          <w:rFonts w:ascii="Times New Roman" w:eastAsia="Times New Roman" w:hAnsi="Times New Roman"/>
          <w:sz w:val="27"/>
          <w:szCs w:val="27"/>
          <w:lang w:eastAsia="lv-LV"/>
        </w:rPr>
        <w:t>biometāna</w:t>
      </w:r>
      <w:proofErr w:type="spellEnd"/>
      <w:r>
        <w:rPr>
          <w:rFonts w:ascii="Times New Roman" w:eastAsia="Times New Roman" w:hAnsi="Times New Roman"/>
          <w:sz w:val="27"/>
          <w:szCs w:val="27"/>
          <w:lang w:eastAsia="lv-LV"/>
        </w:rPr>
        <w:t xml:space="preserve"> patēriņam un </w:t>
      </w:r>
      <w:proofErr w:type="spellStart"/>
      <w:r>
        <w:rPr>
          <w:rFonts w:ascii="Times New Roman" w:eastAsia="Times New Roman" w:hAnsi="Times New Roman"/>
          <w:sz w:val="27"/>
          <w:szCs w:val="27"/>
          <w:lang w:eastAsia="lv-LV"/>
        </w:rPr>
        <w:t>biometāna</w:t>
      </w:r>
      <w:proofErr w:type="spellEnd"/>
      <w:r>
        <w:rPr>
          <w:rFonts w:ascii="Times New Roman" w:eastAsia="Times New Roman" w:hAnsi="Times New Roman"/>
          <w:sz w:val="27"/>
          <w:szCs w:val="27"/>
          <w:lang w:eastAsia="lv-LV"/>
        </w:rPr>
        <w:t xml:space="preserve"> izcelsmes apliec</w:t>
      </w:r>
      <w:r w:rsidR="00C515D5">
        <w:rPr>
          <w:rFonts w:ascii="Times New Roman" w:eastAsia="Times New Roman" w:hAnsi="Times New Roman"/>
          <w:sz w:val="27"/>
          <w:szCs w:val="27"/>
          <w:lang w:eastAsia="lv-LV"/>
        </w:rPr>
        <w:t>i</w:t>
      </w:r>
      <w:r>
        <w:rPr>
          <w:rFonts w:ascii="Times New Roman" w:eastAsia="Times New Roman" w:hAnsi="Times New Roman"/>
          <w:sz w:val="27"/>
          <w:szCs w:val="27"/>
          <w:lang w:eastAsia="lv-LV"/>
        </w:rPr>
        <w:t xml:space="preserve">nājumu sistēmas izstrādi, lai nodrošinātu </w:t>
      </w:r>
      <w:proofErr w:type="spellStart"/>
      <w:r>
        <w:rPr>
          <w:rFonts w:ascii="Times New Roman" w:eastAsia="Times New Roman" w:hAnsi="Times New Roman"/>
          <w:sz w:val="27"/>
          <w:szCs w:val="27"/>
          <w:lang w:eastAsia="lv-LV"/>
        </w:rPr>
        <w:t>biometāna</w:t>
      </w:r>
      <w:proofErr w:type="spellEnd"/>
      <w:r>
        <w:rPr>
          <w:rFonts w:ascii="Times New Roman" w:eastAsia="Times New Roman" w:hAnsi="Times New Roman"/>
          <w:sz w:val="27"/>
          <w:szCs w:val="27"/>
          <w:lang w:eastAsia="lv-LV"/>
        </w:rPr>
        <w:t xml:space="preserve"> apri</w:t>
      </w:r>
      <w:r w:rsidR="00787DA0">
        <w:rPr>
          <w:rFonts w:ascii="Times New Roman" w:eastAsia="Times New Roman" w:hAnsi="Times New Roman"/>
          <w:sz w:val="27"/>
          <w:szCs w:val="27"/>
          <w:lang w:eastAsia="lv-LV"/>
        </w:rPr>
        <w:t>ti bez faktiskas enerģijas aprites.</w:t>
      </w:r>
    </w:p>
    <w:p w14:paraId="2A849612" w14:textId="0E09529F" w:rsidR="0067651A" w:rsidRDefault="00B21C05" w:rsidP="00C515D5">
      <w:pPr>
        <w:spacing w:before="120" w:after="120" w:line="240" w:lineRule="auto"/>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lastRenderedPageBreak/>
        <w:t>Š</w:t>
      </w:r>
      <w:r w:rsidR="002F7F25" w:rsidRPr="002F7F25">
        <w:rPr>
          <w:rFonts w:ascii="Times New Roman" w:eastAsia="Times New Roman" w:hAnsi="Times New Roman"/>
          <w:sz w:val="27"/>
          <w:szCs w:val="27"/>
          <w:lang w:eastAsia="lv-LV"/>
        </w:rPr>
        <w:t>āds risinājums izstrādājams E</w:t>
      </w:r>
      <w:r>
        <w:rPr>
          <w:rFonts w:ascii="Times New Roman" w:eastAsia="Times New Roman" w:hAnsi="Times New Roman"/>
          <w:sz w:val="27"/>
          <w:szCs w:val="27"/>
          <w:lang w:eastAsia="lv-LV"/>
        </w:rPr>
        <w:t>konomikas ministrijai</w:t>
      </w:r>
      <w:r w:rsidR="002F7F25" w:rsidRPr="002F7F25">
        <w:rPr>
          <w:rFonts w:ascii="Times New Roman" w:eastAsia="Times New Roman" w:hAnsi="Times New Roman"/>
          <w:sz w:val="27"/>
          <w:szCs w:val="27"/>
          <w:lang w:eastAsia="lv-LV"/>
        </w:rPr>
        <w:t xml:space="preserve"> sadarbojoties ar Z</w:t>
      </w:r>
      <w:r>
        <w:rPr>
          <w:rFonts w:ascii="Times New Roman" w:eastAsia="Times New Roman" w:hAnsi="Times New Roman"/>
          <w:sz w:val="27"/>
          <w:szCs w:val="27"/>
          <w:lang w:eastAsia="lv-LV"/>
        </w:rPr>
        <w:t>emkopības ministriju</w:t>
      </w:r>
      <w:r w:rsidR="002F7F25" w:rsidRPr="002F7F25">
        <w:rPr>
          <w:rFonts w:ascii="Times New Roman" w:eastAsia="Times New Roman" w:hAnsi="Times New Roman"/>
          <w:sz w:val="27"/>
          <w:szCs w:val="27"/>
          <w:lang w:eastAsia="lv-LV"/>
        </w:rPr>
        <w:t xml:space="preserve"> un V</w:t>
      </w:r>
      <w:r>
        <w:rPr>
          <w:rFonts w:ascii="Times New Roman" w:eastAsia="Times New Roman" w:hAnsi="Times New Roman"/>
          <w:sz w:val="27"/>
          <w:szCs w:val="27"/>
          <w:lang w:eastAsia="lv-LV"/>
        </w:rPr>
        <w:t>ides aizsardzības un reģionālās attīstības ministriju</w:t>
      </w:r>
      <w:r w:rsidR="002F7F25" w:rsidRPr="002F7F25">
        <w:rPr>
          <w:rFonts w:ascii="Times New Roman" w:eastAsia="Times New Roman" w:hAnsi="Times New Roman"/>
          <w:sz w:val="27"/>
          <w:szCs w:val="27"/>
          <w:lang w:eastAsia="lv-LV"/>
        </w:rPr>
        <w:t>.</w:t>
      </w:r>
    </w:p>
    <w:p w14:paraId="53350C23" w14:textId="77777777" w:rsidR="00676E0E" w:rsidRPr="00B21C05" w:rsidRDefault="00676E0E" w:rsidP="00C515D5">
      <w:pPr>
        <w:spacing w:before="120" w:after="120" w:line="240" w:lineRule="auto"/>
        <w:ind w:firstLine="720"/>
        <w:jc w:val="both"/>
        <w:rPr>
          <w:rFonts w:ascii="Times New Roman" w:eastAsia="Times New Roman" w:hAnsi="Times New Roman"/>
          <w:sz w:val="27"/>
          <w:szCs w:val="27"/>
          <w:lang w:eastAsia="lv-LV"/>
        </w:rPr>
      </w:pPr>
    </w:p>
    <w:p w14:paraId="5348378B" w14:textId="5DF103E4" w:rsidR="00FE0744" w:rsidRDefault="00676E0E" w:rsidP="00C515D5">
      <w:pPr>
        <w:spacing w:before="120" w:after="120" w:line="240" w:lineRule="auto"/>
        <w:jc w:val="both"/>
        <w:rPr>
          <w:rFonts w:ascii="Times New Roman" w:eastAsia="Times New Roman" w:hAnsi="Times New Roman"/>
          <w:b/>
          <w:sz w:val="27"/>
          <w:szCs w:val="27"/>
          <w:lang w:eastAsia="lv-LV"/>
        </w:rPr>
      </w:pPr>
      <w:r>
        <w:rPr>
          <w:rFonts w:ascii="Times New Roman" w:eastAsia="Times New Roman" w:hAnsi="Times New Roman"/>
          <w:b/>
          <w:sz w:val="27"/>
          <w:szCs w:val="27"/>
          <w:lang w:eastAsia="lv-LV"/>
        </w:rPr>
        <w:t>3</w:t>
      </w:r>
      <w:r w:rsidR="00FE0744">
        <w:rPr>
          <w:rFonts w:ascii="Times New Roman" w:eastAsia="Times New Roman" w:hAnsi="Times New Roman"/>
          <w:b/>
          <w:sz w:val="27"/>
          <w:szCs w:val="27"/>
          <w:lang w:eastAsia="lv-LV"/>
        </w:rPr>
        <w:t xml:space="preserve">. </w:t>
      </w:r>
      <w:r w:rsidR="004D5A5F">
        <w:rPr>
          <w:rFonts w:ascii="Times New Roman" w:eastAsia="Times New Roman" w:hAnsi="Times New Roman"/>
          <w:b/>
          <w:sz w:val="27"/>
          <w:szCs w:val="27"/>
          <w:lang w:eastAsia="lv-LV"/>
        </w:rPr>
        <w:t>Pārskatīt</w:t>
      </w:r>
      <w:r w:rsidR="004D5A5F" w:rsidRPr="00FE0744">
        <w:rPr>
          <w:rFonts w:ascii="Times New Roman" w:eastAsia="Times New Roman" w:hAnsi="Times New Roman"/>
          <w:b/>
          <w:sz w:val="27"/>
          <w:szCs w:val="27"/>
          <w:lang w:eastAsia="lv-LV"/>
        </w:rPr>
        <w:t xml:space="preserve"> </w:t>
      </w:r>
      <w:r w:rsidR="00FE0744" w:rsidRPr="00FE0744">
        <w:rPr>
          <w:rFonts w:ascii="Times New Roman" w:eastAsia="Times New Roman" w:hAnsi="Times New Roman"/>
          <w:b/>
          <w:sz w:val="27"/>
          <w:szCs w:val="27"/>
          <w:lang w:eastAsia="lv-LV"/>
        </w:rPr>
        <w:t>Dabas resursu nodokli mazajām hidroelektrostacijām</w:t>
      </w:r>
    </w:p>
    <w:p w14:paraId="6AFA4C9F" w14:textId="2043DDEA" w:rsidR="00B21C05" w:rsidRDefault="00B21C05" w:rsidP="00C515D5">
      <w:pPr>
        <w:spacing w:before="120" w:after="120" w:line="240" w:lineRule="auto"/>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H</w:t>
      </w:r>
      <w:r w:rsidRPr="00B21C05">
        <w:rPr>
          <w:rFonts w:ascii="Times New Roman" w:eastAsia="Times New Roman" w:hAnsi="Times New Roman"/>
          <w:sz w:val="27"/>
          <w:szCs w:val="27"/>
          <w:lang w:eastAsia="lv-LV"/>
        </w:rPr>
        <w:t>idroelektroenerģijas ražošanas nozari pārstāvošās institūcijas ir norādījušas, ka pašreiz hidroelektrostacijām piemērojamais</w:t>
      </w:r>
      <w:r>
        <w:rPr>
          <w:rFonts w:ascii="Times New Roman" w:eastAsia="Times New Roman" w:hAnsi="Times New Roman"/>
          <w:sz w:val="27"/>
          <w:szCs w:val="27"/>
          <w:lang w:eastAsia="lv-LV"/>
        </w:rPr>
        <w:t xml:space="preserve"> dabas resursu nodoklis</w:t>
      </w:r>
      <w:r w:rsidRPr="00B21C05">
        <w:rPr>
          <w:rFonts w:ascii="Times New Roman" w:eastAsia="Times New Roman" w:hAnsi="Times New Roman"/>
          <w:sz w:val="27"/>
          <w:szCs w:val="27"/>
          <w:lang w:eastAsia="lv-LV"/>
        </w:rPr>
        <w:t xml:space="preserve"> ir nesamērīgs, īpaši attiecībā uz mazajām HES un atsevišķos gadījumos var sasniegt pat 80% no to apgrozījuma. Tāpēc, lai nodrošinātu mazo hidroelektrostaciju iespējas darboties elektroenerģijas tirgū bez valsts atbalsta, ir pārskatāms tām piemērojamais </w:t>
      </w:r>
      <w:r>
        <w:rPr>
          <w:rFonts w:ascii="Times New Roman" w:eastAsia="Times New Roman" w:hAnsi="Times New Roman"/>
          <w:sz w:val="27"/>
          <w:szCs w:val="27"/>
          <w:lang w:eastAsia="lv-LV"/>
        </w:rPr>
        <w:t>dabas resursu nodoklis</w:t>
      </w:r>
      <w:r w:rsidRPr="00B21C05">
        <w:rPr>
          <w:rFonts w:ascii="Times New Roman" w:eastAsia="Times New Roman" w:hAnsi="Times New Roman"/>
          <w:sz w:val="27"/>
          <w:szCs w:val="27"/>
          <w:lang w:eastAsia="lv-LV"/>
        </w:rPr>
        <w:t>.</w:t>
      </w:r>
      <w:r>
        <w:rPr>
          <w:rFonts w:ascii="Times New Roman" w:eastAsia="Times New Roman" w:hAnsi="Times New Roman"/>
          <w:sz w:val="27"/>
          <w:szCs w:val="27"/>
          <w:lang w:eastAsia="lv-LV"/>
        </w:rPr>
        <w:t xml:space="preserve"> </w:t>
      </w:r>
    </w:p>
    <w:p w14:paraId="66EFFEAC" w14:textId="31D6CAE6" w:rsidR="00B21C05" w:rsidRDefault="00A965E4" w:rsidP="00C515D5">
      <w:pPr>
        <w:spacing w:before="120" w:after="120" w:line="240" w:lineRule="auto"/>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Primāri vērtēj</w:t>
      </w:r>
      <w:r w:rsidR="00787DA0">
        <w:rPr>
          <w:rFonts w:ascii="Times New Roman" w:eastAsia="Times New Roman" w:hAnsi="Times New Roman"/>
          <w:sz w:val="27"/>
          <w:szCs w:val="27"/>
          <w:lang w:eastAsia="lv-LV"/>
        </w:rPr>
        <w:t>a</w:t>
      </w:r>
      <w:r>
        <w:rPr>
          <w:rFonts w:ascii="Times New Roman" w:eastAsia="Times New Roman" w:hAnsi="Times New Roman"/>
          <w:sz w:val="27"/>
          <w:szCs w:val="27"/>
          <w:lang w:eastAsia="lv-LV"/>
        </w:rPr>
        <w:t xml:space="preserve">ms būtu risinājums, ka dabas resursu nodoklis tiek </w:t>
      </w:r>
      <w:r w:rsidR="006B3BA0">
        <w:rPr>
          <w:rFonts w:ascii="Times New Roman" w:eastAsia="Times New Roman" w:hAnsi="Times New Roman"/>
          <w:sz w:val="27"/>
          <w:szCs w:val="27"/>
          <w:lang w:eastAsia="lv-LV"/>
        </w:rPr>
        <w:t xml:space="preserve">pārskatīts </w:t>
      </w:r>
      <w:r>
        <w:rPr>
          <w:rFonts w:ascii="Times New Roman" w:eastAsia="Times New Roman" w:hAnsi="Times New Roman"/>
          <w:sz w:val="27"/>
          <w:szCs w:val="27"/>
          <w:lang w:eastAsia="lv-LV"/>
        </w:rPr>
        <w:t>tām mazajām HES, kas nesaņem atbalstu OI mehānisma ietvaros</w:t>
      </w:r>
      <w:r w:rsidR="00E53809">
        <w:rPr>
          <w:rFonts w:ascii="Times New Roman" w:eastAsia="Times New Roman" w:hAnsi="Times New Roman"/>
          <w:sz w:val="27"/>
          <w:szCs w:val="27"/>
          <w:lang w:eastAsia="lv-LV"/>
        </w:rPr>
        <w:t>,</w:t>
      </w:r>
      <w:r w:rsidR="00585F6C">
        <w:rPr>
          <w:rFonts w:ascii="Times New Roman" w:eastAsia="Times New Roman" w:hAnsi="Times New Roman"/>
          <w:sz w:val="27"/>
          <w:szCs w:val="27"/>
          <w:lang w:eastAsia="lv-LV"/>
        </w:rPr>
        <w:t xml:space="preserve"> tomēr šāda pieeja</w:t>
      </w:r>
      <w:r w:rsidR="00E53809">
        <w:rPr>
          <w:rFonts w:ascii="Times New Roman" w:eastAsia="Times New Roman" w:hAnsi="Times New Roman"/>
          <w:sz w:val="27"/>
          <w:szCs w:val="27"/>
          <w:lang w:eastAsia="lv-LV"/>
        </w:rPr>
        <w:t xml:space="preserve"> </w:t>
      </w:r>
      <w:r w:rsidR="00585F6C" w:rsidRPr="00585F6C">
        <w:rPr>
          <w:rFonts w:ascii="Times New Roman" w:eastAsia="Times New Roman" w:hAnsi="Times New Roman"/>
          <w:sz w:val="27"/>
          <w:szCs w:val="27"/>
          <w:lang w:eastAsia="lv-LV"/>
        </w:rPr>
        <w:t>jāvērtē atbilstoši valsts atbalsta normām</w:t>
      </w:r>
      <w:r w:rsidR="00585F6C">
        <w:rPr>
          <w:rFonts w:ascii="Times New Roman" w:eastAsia="Times New Roman" w:hAnsi="Times New Roman"/>
          <w:sz w:val="27"/>
          <w:szCs w:val="27"/>
          <w:lang w:eastAsia="lv-LV"/>
        </w:rPr>
        <w:t xml:space="preserve"> un attiecīgi šādu risinājumu </w:t>
      </w:r>
      <w:r w:rsidR="00585F6C" w:rsidRPr="00585F6C">
        <w:rPr>
          <w:rFonts w:ascii="Times New Roman" w:eastAsia="Times New Roman" w:hAnsi="Times New Roman"/>
          <w:sz w:val="27"/>
          <w:szCs w:val="27"/>
          <w:lang w:eastAsia="lv-LV"/>
        </w:rPr>
        <w:t>var būt nepieciešams saskaņot ar Eiropas Komisiju atbilstoši Līguma par Eiropas savienības darbību 107. un 108.pantam</w:t>
      </w:r>
      <w:r w:rsidR="00E53809" w:rsidRPr="00E53809">
        <w:rPr>
          <w:rFonts w:ascii="Times New Roman" w:eastAsia="Times New Roman" w:hAnsi="Times New Roman"/>
          <w:sz w:val="27"/>
          <w:szCs w:val="27"/>
          <w:lang w:eastAsia="lv-LV"/>
        </w:rPr>
        <w:t>.</w:t>
      </w:r>
      <w:r w:rsidR="00E53809">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 xml:space="preserve">Tomēr, ja šāds risinājums nav iespējams, </w:t>
      </w:r>
      <w:r w:rsidR="00C515D5">
        <w:rPr>
          <w:rFonts w:ascii="Times New Roman" w:eastAsia="Times New Roman" w:hAnsi="Times New Roman"/>
          <w:sz w:val="27"/>
          <w:szCs w:val="27"/>
          <w:lang w:eastAsia="lv-LV"/>
        </w:rPr>
        <w:t>dabas resursu nodoklis</w:t>
      </w:r>
      <w:r w:rsidR="00787DA0">
        <w:rPr>
          <w:rFonts w:ascii="Times New Roman" w:eastAsia="Times New Roman" w:hAnsi="Times New Roman"/>
          <w:sz w:val="27"/>
          <w:szCs w:val="27"/>
          <w:lang w:eastAsia="lv-LV"/>
        </w:rPr>
        <w:t xml:space="preserve"> </w:t>
      </w:r>
      <w:r w:rsidR="006B3BA0">
        <w:rPr>
          <w:rFonts w:ascii="Times New Roman" w:eastAsia="Times New Roman" w:hAnsi="Times New Roman"/>
          <w:sz w:val="27"/>
          <w:szCs w:val="27"/>
          <w:lang w:eastAsia="lv-LV"/>
        </w:rPr>
        <w:t>pārskatāms</w:t>
      </w:r>
      <w:r w:rsidR="00787DA0">
        <w:rPr>
          <w:rFonts w:ascii="Times New Roman" w:eastAsia="Times New Roman" w:hAnsi="Times New Roman"/>
          <w:sz w:val="27"/>
          <w:szCs w:val="27"/>
          <w:lang w:eastAsia="lv-LV"/>
        </w:rPr>
        <w:t xml:space="preserve"> visām mazajām hidroelektrostacijām. J</w:t>
      </w:r>
      <w:r>
        <w:rPr>
          <w:rFonts w:ascii="Times New Roman" w:eastAsia="Times New Roman" w:hAnsi="Times New Roman"/>
          <w:sz w:val="27"/>
          <w:szCs w:val="27"/>
          <w:lang w:eastAsia="lv-LV"/>
        </w:rPr>
        <w:t xml:space="preserve">āņem vērā, ka dabas resursu nodoklis tiek ņemts </w:t>
      </w:r>
      <w:r w:rsidR="00787DA0">
        <w:rPr>
          <w:rFonts w:ascii="Times New Roman" w:eastAsia="Times New Roman" w:hAnsi="Times New Roman"/>
          <w:sz w:val="27"/>
          <w:szCs w:val="27"/>
          <w:lang w:eastAsia="lv-LV"/>
        </w:rPr>
        <w:t>v</w:t>
      </w:r>
      <w:r>
        <w:rPr>
          <w:rFonts w:ascii="Times New Roman" w:eastAsia="Times New Roman" w:hAnsi="Times New Roman"/>
          <w:sz w:val="27"/>
          <w:szCs w:val="27"/>
          <w:lang w:eastAsia="lv-LV"/>
        </w:rPr>
        <w:t xml:space="preserve">ērā </w:t>
      </w:r>
      <w:r w:rsidR="00787DA0">
        <w:rPr>
          <w:rFonts w:ascii="Times New Roman" w:eastAsia="Times New Roman" w:hAnsi="Times New Roman"/>
          <w:sz w:val="27"/>
          <w:szCs w:val="27"/>
          <w:lang w:eastAsia="lv-LV"/>
        </w:rPr>
        <w:t xml:space="preserve">hidroelektrostaciju </w:t>
      </w:r>
      <w:r>
        <w:rPr>
          <w:rFonts w:ascii="Times New Roman" w:eastAsia="Times New Roman" w:hAnsi="Times New Roman"/>
          <w:sz w:val="27"/>
          <w:szCs w:val="27"/>
          <w:lang w:eastAsia="lv-LV"/>
        </w:rPr>
        <w:t>kopējo</w:t>
      </w:r>
      <w:r w:rsidR="00787DA0">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kapitālieguldījumu IRR aprēķinā un to atceļot palielinātos šādu ražotāju ieņēmumi, bet tos būtu iespējams ierobežot ar pārkompensācijas novēršanas mehānisma palīdzību, samazinot elektroenerģijas iepirkuma cenu, ja pārkompensācija tiktu konstatēta.</w:t>
      </w:r>
    </w:p>
    <w:p w14:paraId="2C4230E1" w14:textId="77777777" w:rsidR="00C91A56" w:rsidRPr="00C91A56" w:rsidRDefault="00C91A56" w:rsidP="00C515D5">
      <w:pPr>
        <w:spacing w:before="120" w:after="120" w:line="240" w:lineRule="auto"/>
        <w:jc w:val="both"/>
        <w:rPr>
          <w:rFonts w:ascii="Times New Roman" w:eastAsia="Times New Roman" w:hAnsi="Times New Roman"/>
          <w:sz w:val="27"/>
          <w:szCs w:val="27"/>
          <w:lang w:eastAsia="lv-LV"/>
        </w:rPr>
      </w:pPr>
    </w:p>
    <w:p w14:paraId="3B57D429" w14:textId="77A8482B" w:rsidR="006F1890" w:rsidRDefault="00676E0E" w:rsidP="00C515D5">
      <w:pPr>
        <w:spacing w:before="120" w:after="120" w:line="240" w:lineRule="auto"/>
        <w:jc w:val="both"/>
        <w:rPr>
          <w:rFonts w:ascii="Times New Roman" w:eastAsia="Times New Roman" w:hAnsi="Times New Roman"/>
          <w:b/>
          <w:sz w:val="27"/>
          <w:szCs w:val="27"/>
          <w:lang w:eastAsia="lv-LV"/>
        </w:rPr>
      </w:pPr>
      <w:r>
        <w:rPr>
          <w:rFonts w:ascii="Times New Roman" w:eastAsia="Times New Roman" w:hAnsi="Times New Roman"/>
          <w:b/>
          <w:sz w:val="27"/>
          <w:szCs w:val="27"/>
          <w:lang w:eastAsia="lv-LV"/>
        </w:rPr>
        <w:t>4</w:t>
      </w:r>
      <w:r w:rsidR="00FE0744">
        <w:rPr>
          <w:rFonts w:ascii="Times New Roman" w:eastAsia="Times New Roman" w:hAnsi="Times New Roman"/>
          <w:b/>
          <w:sz w:val="27"/>
          <w:szCs w:val="27"/>
          <w:lang w:eastAsia="lv-LV"/>
        </w:rPr>
        <w:t xml:space="preserve">. </w:t>
      </w:r>
      <w:r w:rsidR="00FE0744" w:rsidRPr="00FE0744">
        <w:rPr>
          <w:rFonts w:ascii="Times New Roman" w:eastAsia="Times New Roman" w:hAnsi="Times New Roman"/>
          <w:b/>
          <w:sz w:val="27"/>
          <w:szCs w:val="27"/>
          <w:lang w:eastAsia="lv-LV"/>
        </w:rPr>
        <w:t>Novēr</w:t>
      </w:r>
      <w:r w:rsidR="00FE0744">
        <w:rPr>
          <w:rFonts w:ascii="Times New Roman" w:eastAsia="Times New Roman" w:hAnsi="Times New Roman"/>
          <w:b/>
          <w:sz w:val="27"/>
          <w:szCs w:val="27"/>
          <w:lang w:eastAsia="lv-LV"/>
        </w:rPr>
        <w:t>st</w:t>
      </w:r>
      <w:r w:rsidR="00FE0744" w:rsidRPr="00FE0744">
        <w:rPr>
          <w:rFonts w:ascii="Times New Roman" w:eastAsia="Times New Roman" w:hAnsi="Times New Roman"/>
          <w:b/>
          <w:sz w:val="27"/>
          <w:szCs w:val="27"/>
          <w:lang w:eastAsia="lv-LV"/>
        </w:rPr>
        <w:t xml:space="preserve"> administratīvos šķēršļus vēja elektrostaciju darbībai tirgus apstākļos</w:t>
      </w:r>
    </w:p>
    <w:p w14:paraId="35FA492C" w14:textId="09A22021" w:rsidR="00D244AC" w:rsidRDefault="00A965E4" w:rsidP="00C515D5">
      <w:pPr>
        <w:spacing w:before="120" w:after="120" w:line="240" w:lineRule="auto"/>
        <w:jc w:val="both"/>
        <w:rPr>
          <w:rFonts w:ascii="Times New Roman" w:eastAsia="Times New Roman" w:hAnsi="Times New Roman"/>
          <w:bCs/>
          <w:sz w:val="27"/>
          <w:szCs w:val="27"/>
          <w:lang w:eastAsia="lv-LV"/>
        </w:rPr>
      </w:pPr>
      <w:r>
        <w:rPr>
          <w:rFonts w:ascii="Times New Roman" w:eastAsia="Times New Roman" w:hAnsi="Times New Roman"/>
          <w:sz w:val="27"/>
          <w:szCs w:val="27"/>
          <w:lang w:eastAsia="lv-LV"/>
        </w:rPr>
        <w:t>N</w:t>
      </w:r>
      <w:r w:rsidRPr="00A965E4">
        <w:rPr>
          <w:rFonts w:ascii="Times New Roman" w:eastAsia="Times New Roman" w:hAnsi="Times New Roman"/>
          <w:sz w:val="27"/>
          <w:szCs w:val="27"/>
          <w:lang w:eastAsia="lv-LV"/>
        </w:rPr>
        <w:t>olūkā sekmēt tālāku vēja enerģijas attīstību Latvijā</w:t>
      </w:r>
      <w:r>
        <w:rPr>
          <w:rFonts w:ascii="Times New Roman" w:eastAsia="Times New Roman" w:hAnsi="Times New Roman"/>
          <w:sz w:val="27"/>
          <w:szCs w:val="27"/>
          <w:lang w:eastAsia="lv-LV"/>
        </w:rPr>
        <w:t xml:space="preserve">, stacijām darbojoties bez papildu finansiāla atbalsta, </w:t>
      </w:r>
      <w:r w:rsidRPr="00A965E4">
        <w:rPr>
          <w:rFonts w:ascii="Times New Roman" w:eastAsia="Times New Roman" w:hAnsi="Times New Roman"/>
          <w:sz w:val="27"/>
          <w:szCs w:val="27"/>
          <w:lang w:eastAsia="lv-LV"/>
        </w:rPr>
        <w:t>aktuāls ir jautājums par teritorijas plānošanas nosacījumu iespējamu pārskatīšanu attiecībā uz vēja turbīnu izvietošanu. Saistībā ar to ir jāizvērtē iespējamās izmaiņas teritorijas plānošanas nosacījumos</w:t>
      </w:r>
      <w:r>
        <w:rPr>
          <w:rFonts w:ascii="Times New Roman" w:eastAsia="Times New Roman" w:hAnsi="Times New Roman"/>
          <w:sz w:val="27"/>
          <w:szCs w:val="27"/>
          <w:lang w:eastAsia="lv-LV"/>
        </w:rPr>
        <w:t>. Primāri risināms jautājums attiecībā uz ierobežojumiem vēja elektrostaciju celtniecībai</w:t>
      </w:r>
      <w:r w:rsidRPr="00C91A56">
        <w:rPr>
          <w:rFonts w:ascii="Times New Roman" w:eastAsia="Times New Roman" w:hAnsi="Times New Roman"/>
          <w:sz w:val="27"/>
          <w:szCs w:val="27"/>
          <w:lang w:eastAsia="lv-LV"/>
        </w:rPr>
        <w:t>, kas noteikti</w:t>
      </w:r>
      <w:r>
        <w:rPr>
          <w:rFonts w:ascii="Times New Roman" w:eastAsia="Times New Roman" w:hAnsi="Times New Roman"/>
          <w:sz w:val="27"/>
          <w:szCs w:val="27"/>
          <w:lang w:eastAsia="lv-LV"/>
        </w:rPr>
        <w:t xml:space="preserve"> </w:t>
      </w:r>
      <w:r w:rsidR="00C91A56">
        <w:rPr>
          <w:rFonts w:ascii="Times New Roman" w:eastAsia="Times New Roman" w:hAnsi="Times New Roman"/>
          <w:sz w:val="27"/>
          <w:szCs w:val="27"/>
          <w:lang w:eastAsia="lv-LV"/>
        </w:rPr>
        <w:t>Ministru kabineta 2013.gada 30.aprīļa noteikumos Nr.240</w:t>
      </w:r>
      <w:r w:rsidR="00C91A56" w:rsidRPr="00C91A56">
        <w:rPr>
          <w:rFonts w:ascii="Times New Roman" w:eastAsia="Times New Roman" w:hAnsi="Times New Roman"/>
          <w:sz w:val="27"/>
          <w:szCs w:val="27"/>
          <w:lang w:eastAsia="lv-LV"/>
        </w:rPr>
        <w:t xml:space="preserve"> “</w:t>
      </w:r>
      <w:r w:rsidR="00C91A56" w:rsidRPr="00C91A56">
        <w:rPr>
          <w:rFonts w:ascii="Times New Roman" w:eastAsia="Times New Roman" w:hAnsi="Times New Roman"/>
          <w:bCs/>
          <w:sz w:val="27"/>
          <w:szCs w:val="27"/>
          <w:lang w:eastAsia="lv-LV"/>
        </w:rPr>
        <w:t>Vispārīgie teritorijas plānošanas, izmantošanas un apbūves noteikumi”.</w:t>
      </w:r>
    </w:p>
    <w:p w14:paraId="2BB73907" w14:textId="77777777" w:rsidR="00C515D5" w:rsidRPr="00D65F62" w:rsidRDefault="00C515D5" w:rsidP="00C515D5">
      <w:pPr>
        <w:spacing w:before="120" w:after="120" w:line="240" w:lineRule="auto"/>
        <w:jc w:val="both"/>
        <w:rPr>
          <w:rFonts w:ascii="Times New Roman" w:eastAsia="Times New Roman" w:hAnsi="Times New Roman"/>
          <w:sz w:val="27"/>
          <w:szCs w:val="27"/>
          <w:lang w:eastAsia="lv-LV"/>
        </w:rPr>
      </w:pPr>
    </w:p>
    <w:p w14:paraId="2066442C" w14:textId="1821DAD6" w:rsidR="00794274" w:rsidRPr="00AD2746" w:rsidRDefault="00F268BA" w:rsidP="00AD2746">
      <w:pPr>
        <w:pStyle w:val="Heading1"/>
        <w:rPr>
          <w:u w:val="single"/>
        </w:rPr>
      </w:pPr>
      <w:bookmarkStart w:id="30" w:name="_Toc9244612"/>
      <w:bookmarkStart w:id="31" w:name="_Toc13152092"/>
      <w:r w:rsidRPr="00AD2746">
        <w:rPr>
          <w:u w:val="single"/>
        </w:rPr>
        <w:t>5</w:t>
      </w:r>
      <w:r w:rsidR="0087794E" w:rsidRPr="00AD2746">
        <w:rPr>
          <w:u w:val="single"/>
        </w:rPr>
        <w:t xml:space="preserve">. </w:t>
      </w:r>
      <w:r w:rsidR="004E2F8F" w:rsidRPr="00AD2746">
        <w:rPr>
          <w:u w:val="single"/>
        </w:rPr>
        <w:t xml:space="preserve">Rīcības virziens - </w:t>
      </w:r>
      <w:r w:rsidR="00794274" w:rsidRPr="00AD2746">
        <w:rPr>
          <w:u w:val="single"/>
        </w:rPr>
        <w:t>Elektroenerģijas gala patērētāju izmaksu samazināšana</w:t>
      </w:r>
      <w:bookmarkEnd w:id="30"/>
      <w:bookmarkEnd w:id="31"/>
    </w:p>
    <w:p w14:paraId="6DA514C1" w14:textId="5F773C4A" w:rsidR="00D244AC" w:rsidRPr="0048595C" w:rsidRDefault="00D244AC" w:rsidP="00C515D5">
      <w:pPr>
        <w:spacing w:before="120" w:after="120" w:line="240" w:lineRule="auto"/>
        <w:jc w:val="both"/>
        <w:rPr>
          <w:rFonts w:ascii="Times New Roman" w:hAnsi="Times New Roman"/>
          <w:sz w:val="27"/>
          <w:szCs w:val="27"/>
        </w:rPr>
      </w:pPr>
      <w:r w:rsidRPr="0048595C">
        <w:rPr>
          <w:rFonts w:ascii="Times New Roman" w:hAnsi="Times New Roman"/>
          <w:b/>
          <w:sz w:val="27"/>
          <w:szCs w:val="27"/>
        </w:rPr>
        <w:t>Mērķis:</w:t>
      </w:r>
      <w:r w:rsidRPr="0048595C">
        <w:rPr>
          <w:rFonts w:ascii="Times New Roman" w:hAnsi="Times New Roman"/>
          <w:sz w:val="27"/>
          <w:szCs w:val="27"/>
        </w:rPr>
        <w:t xml:space="preserve"> Ieviešot papildu pasākumus bez</w:t>
      </w:r>
      <w:r w:rsidR="00EB57D8">
        <w:rPr>
          <w:rFonts w:ascii="Times New Roman" w:hAnsi="Times New Roman"/>
          <w:sz w:val="27"/>
          <w:szCs w:val="27"/>
        </w:rPr>
        <w:t xml:space="preserve"> </w:t>
      </w:r>
      <w:r w:rsidRPr="0048595C">
        <w:rPr>
          <w:rFonts w:ascii="Times New Roman" w:hAnsi="Times New Roman"/>
          <w:sz w:val="27"/>
          <w:szCs w:val="27"/>
        </w:rPr>
        <w:t>OIK mazināšanas, samazināt elektroenerģijas cenas jau tuvākajā laikā</w:t>
      </w:r>
      <w:r w:rsidR="00DE4B6C">
        <w:rPr>
          <w:rFonts w:ascii="Times New Roman" w:hAnsi="Times New Roman"/>
          <w:sz w:val="27"/>
          <w:szCs w:val="27"/>
        </w:rPr>
        <w:t>, kā arī rast ilgtermiņa risinājumus.</w:t>
      </w:r>
    </w:p>
    <w:p w14:paraId="0BB08A31" w14:textId="4EBCE9FD" w:rsidR="00076896" w:rsidRPr="00EB57D8" w:rsidRDefault="00D244AC" w:rsidP="00C515D5">
      <w:pPr>
        <w:spacing w:before="120" w:after="120" w:line="240" w:lineRule="auto"/>
        <w:jc w:val="both"/>
        <w:rPr>
          <w:rFonts w:ascii="Times New Roman" w:hAnsi="Times New Roman"/>
          <w:b/>
          <w:sz w:val="27"/>
          <w:szCs w:val="27"/>
        </w:rPr>
      </w:pPr>
      <w:r w:rsidRPr="0048595C">
        <w:rPr>
          <w:rFonts w:ascii="Times New Roman" w:hAnsi="Times New Roman"/>
          <w:b/>
          <w:sz w:val="27"/>
          <w:szCs w:val="27"/>
        </w:rPr>
        <w:t xml:space="preserve">Rīcība: </w:t>
      </w:r>
    </w:p>
    <w:p w14:paraId="2EA7FA0A" w14:textId="34EDABFF" w:rsidR="00EB57D8" w:rsidRPr="006E6693" w:rsidRDefault="005F51B4" w:rsidP="005F51B4">
      <w:pPr>
        <w:spacing w:before="120" w:after="120" w:line="240" w:lineRule="auto"/>
        <w:jc w:val="both"/>
        <w:textAlignment w:val="baseline"/>
        <w:rPr>
          <w:rFonts w:ascii="Times New Roman" w:eastAsia="Times New Roman" w:hAnsi="Times New Roman"/>
          <w:sz w:val="27"/>
          <w:szCs w:val="27"/>
          <w:lang w:eastAsia="lv-LV"/>
        </w:rPr>
      </w:pPr>
      <w:r>
        <w:rPr>
          <w:rFonts w:ascii="Times New Roman" w:eastAsia="Times New Roman" w:hAnsi="Times New Roman"/>
          <w:b/>
          <w:sz w:val="27"/>
          <w:szCs w:val="27"/>
          <w:lang w:eastAsia="lv-LV"/>
        </w:rPr>
        <w:t xml:space="preserve">1. </w:t>
      </w:r>
      <w:r w:rsidR="00A905F2" w:rsidRPr="006E6693">
        <w:rPr>
          <w:rFonts w:ascii="Times New Roman" w:eastAsia="Times New Roman" w:hAnsi="Times New Roman"/>
          <w:b/>
          <w:sz w:val="27"/>
          <w:szCs w:val="27"/>
          <w:lang w:eastAsia="lv-LV"/>
        </w:rPr>
        <w:t>OIK likmes mazināšana no PVN</w:t>
      </w:r>
      <w:r w:rsidR="006345A1" w:rsidRPr="006E6693">
        <w:rPr>
          <w:rFonts w:ascii="Times New Roman" w:eastAsia="Times New Roman" w:hAnsi="Times New Roman"/>
          <w:b/>
          <w:sz w:val="27"/>
          <w:szCs w:val="27"/>
          <w:lang w:eastAsia="lv-LV"/>
        </w:rPr>
        <w:t xml:space="preserve"> ieņēmumiem</w:t>
      </w:r>
      <w:r w:rsidR="006345A1">
        <w:rPr>
          <w:rFonts w:ascii="Times New Roman" w:eastAsia="Times New Roman" w:hAnsi="Times New Roman"/>
          <w:b/>
          <w:sz w:val="27"/>
          <w:szCs w:val="27"/>
          <w:lang w:eastAsia="lv-LV"/>
        </w:rPr>
        <w:t xml:space="preserve"> par OIK</w:t>
      </w:r>
    </w:p>
    <w:p w14:paraId="5D85B88C" w14:textId="09364AFB" w:rsidR="006E6693" w:rsidRDefault="006E6693" w:rsidP="00FB5CAF">
      <w:pPr>
        <w:spacing w:before="120" w:after="120" w:line="240" w:lineRule="auto"/>
        <w:jc w:val="both"/>
        <w:textAlignment w:val="baseline"/>
        <w:rPr>
          <w:rFonts w:ascii="Times New Roman" w:eastAsia="Times New Roman" w:hAnsi="Times New Roman"/>
          <w:sz w:val="27"/>
          <w:szCs w:val="27"/>
          <w:lang w:eastAsia="lv-LV"/>
        </w:rPr>
      </w:pPr>
      <w:r w:rsidRPr="006E6693">
        <w:rPr>
          <w:rFonts w:ascii="Times New Roman" w:eastAsia="Times New Roman" w:hAnsi="Times New Roman"/>
          <w:sz w:val="27"/>
          <w:szCs w:val="27"/>
          <w:lang w:eastAsia="lv-LV"/>
        </w:rPr>
        <w:t xml:space="preserve">OIK ietekmi uz elektroenerģijas galalietotāju izmaksām pastiprina fakts, ka OIK tiek aplikta ar PVN. </w:t>
      </w:r>
      <w:r w:rsidR="002345F1">
        <w:rPr>
          <w:rFonts w:ascii="Times New Roman" w:eastAsia="Times New Roman" w:hAnsi="Times New Roman"/>
          <w:sz w:val="27"/>
          <w:szCs w:val="27"/>
          <w:lang w:eastAsia="lv-LV"/>
        </w:rPr>
        <w:t xml:space="preserve">Ir iespējams izvērtēt iespējas OIK piemērot Pievienotās vērtības nodokļa likumā </w:t>
      </w:r>
      <w:r w:rsidR="0041332D">
        <w:rPr>
          <w:rFonts w:ascii="Times New Roman" w:eastAsia="Times New Roman" w:hAnsi="Times New Roman"/>
          <w:sz w:val="27"/>
          <w:szCs w:val="27"/>
          <w:lang w:eastAsia="lv-LV"/>
        </w:rPr>
        <w:t xml:space="preserve">noteiktās samazinātās likmes, tomēr </w:t>
      </w:r>
      <w:r w:rsidR="006345A1">
        <w:rPr>
          <w:rFonts w:ascii="Times New Roman" w:eastAsia="Times New Roman" w:hAnsi="Times New Roman"/>
          <w:sz w:val="27"/>
          <w:szCs w:val="27"/>
          <w:lang w:eastAsia="lv-LV"/>
        </w:rPr>
        <w:t xml:space="preserve">šāda risinājuma īstenošanai būtu nepieciešami grozījumi Pievienotās vērtības nodokļa likumā. Ātrāks risinājums ar tādu pašu finansiālo ietekmi ir mazināt </w:t>
      </w:r>
      <w:r w:rsidR="00A159BA">
        <w:rPr>
          <w:rFonts w:ascii="Times New Roman" w:eastAsia="Times New Roman" w:hAnsi="Times New Roman"/>
          <w:sz w:val="27"/>
          <w:szCs w:val="27"/>
          <w:lang w:eastAsia="lv-LV"/>
        </w:rPr>
        <w:t>OIK izmaksas un sekojoši samazināt</w:t>
      </w:r>
      <w:r w:rsidR="00000621">
        <w:rPr>
          <w:rFonts w:ascii="Times New Roman" w:eastAsia="Times New Roman" w:hAnsi="Times New Roman"/>
          <w:sz w:val="27"/>
          <w:szCs w:val="27"/>
          <w:lang w:eastAsia="lv-LV"/>
        </w:rPr>
        <w:t xml:space="preserve"> </w:t>
      </w:r>
      <w:r w:rsidR="006345A1">
        <w:rPr>
          <w:rFonts w:ascii="Times New Roman" w:eastAsia="Times New Roman" w:hAnsi="Times New Roman"/>
          <w:sz w:val="27"/>
          <w:szCs w:val="27"/>
          <w:lang w:eastAsia="lv-LV"/>
        </w:rPr>
        <w:t xml:space="preserve">OIK vidējo </w:t>
      </w:r>
      <w:r w:rsidR="006345A1">
        <w:rPr>
          <w:rFonts w:ascii="Times New Roman" w:eastAsia="Times New Roman" w:hAnsi="Times New Roman"/>
          <w:sz w:val="27"/>
          <w:szCs w:val="27"/>
          <w:lang w:eastAsia="lv-LV"/>
        </w:rPr>
        <w:lastRenderedPageBreak/>
        <w:t>likmi, ko apstiprina regulators, novirzot šim mērķim ieņēmumus no PVN par OIK.</w:t>
      </w:r>
      <w:r w:rsidR="00803ECB">
        <w:rPr>
          <w:rFonts w:ascii="Times New Roman" w:eastAsia="Times New Roman" w:hAnsi="Times New Roman"/>
          <w:sz w:val="27"/>
          <w:szCs w:val="27"/>
          <w:lang w:eastAsia="lv-LV"/>
        </w:rPr>
        <w:t xml:space="preserve"> Tādējādi OIK izmaksas elektroenerģijas galalietotājiem būtu iespējams samazināt jau ar 2020.gad</w:t>
      </w:r>
      <w:r w:rsidR="00000621">
        <w:rPr>
          <w:rFonts w:ascii="Times New Roman" w:eastAsia="Times New Roman" w:hAnsi="Times New Roman"/>
          <w:sz w:val="27"/>
          <w:szCs w:val="27"/>
          <w:lang w:eastAsia="lv-LV"/>
        </w:rPr>
        <w:t>a</w:t>
      </w:r>
      <w:r w:rsidR="00803ECB">
        <w:rPr>
          <w:rFonts w:ascii="Times New Roman" w:eastAsia="Times New Roman" w:hAnsi="Times New Roman"/>
          <w:sz w:val="27"/>
          <w:szCs w:val="27"/>
          <w:lang w:eastAsia="lv-LV"/>
        </w:rPr>
        <w:t xml:space="preserve"> 1.janvāri par aptuveni 30 milj. </w:t>
      </w:r>
      <w:proofErr w:type="spellStart"/>
      <w:r w:rsidR="00803ECB" w:rsidRPr="00803ECB">
        <w:rPr>
          <w:rFonts w:ascii="Times New Roman" w:eastAsia="Times New Roman" w:hAnsi="Times New Roman"/>
          <w:i/>
          <w:sz w:val="27"/>
          <w:szCs w:val="27"/>
          <w:lang w:eastAsia="lv-LV"/>
        </w:rPr>
        <w:t>euro</w:t>
      </w:r>
      <w:proofErr w:type="spellEnd"/>
      <w:r w:rsidR="00803ECB">
        <w:rPr>
          <w:rFonts w:ascii="Times New Roman" w:eastAsia="Times New Roman" w:hAnsi="Times New Roman"/>
          <w:sz w:val="27"/>
          <w:szCs w:val="27"/>
          <w:lang w:eastAsia="lv-LV"/>
        </w:rPr>
        <w:t xml:space="preserve">. </w:t>
      </w:r>
    </w:p>
    <w:p w14:paraId="02E744CC" w14:textId="77777777" w:rsidR="00FB5CAF" w:rsidRPr="006E6693" w:rsidRDefault="00FB5CAF" w:rsidP="00FB5CAF">
      <w:pPr>
        <w:spacing w:before="120" w:after="120" w:line="240" w:lineRule="auto"/>
        <w:jc w:val="both"/>
        <w:textAlignment w:val="baseline"/>
        <w:rPr>
          <w:rFonts w:ascii="Times New Roman" w:eastAsia="Times New Roman" w:hAnsi="Times New Roman"/>
          <w:color w:val="FF0000"/>
          <w:sz w:val="27"/>
          <w:szCs w:val="27"/>
          <w:lang w:eastAsia="lv-LV"/>
        </w:rPr>
      </w:pPr>
    </w:p>
    <w:p w14:paraId="604466B3" w14:textId="2DCB52A0" w:rsidR="00EB57D8" w:rsidRPr="00EB57D8" w:rsidRDefault="005F51B4" w:rsidP="005F51B4">
      <w:pPr>
        <w:spacing w:before="120" w:after="120" w:line="240" w:lineRule="auto"/>
        <w:jc w:val="both"/>
        <w:textAlignment w:val="baseline"/>
        <w:rPr>
          <w:rFonts w:ascii="Times New Roman" w:eastAsia="Times New Roman" w:hAnsi="Times New Roman"/>
          <w:b/>
          <w:sz w:val="27"/>
          <w:szCs w:val="27"/>
          <w:lang w:eastAsia="lv-LV"/>
        </w:rPr>
      </w:pPr>
      <w:r>
        <w:rPr>
          <w:rFonts w:ascii="Times New Roman" w:eastAsia="Times New Roman" w:hAnsi="Times New Roman"/>
          <w:b/>
          <w:sz w:val="27"/>
          <w:szCs w:val="27"/>
          <w:lang w:eastAsia="lv-LV"/>
        </w:rPr>
        <w:t xml:space="preserve">2. </w:t>
      </w:r>
      <w:r w:rsidR="00076896" w:rsidRPr="00EB57D8">
        <w:rPr>
          <w:rFonts w:ascii="Times New Roman" w:eastAsia="Times New Roman" w:hAnsi="Times New Roman"/>
          <w:b/>
          <w:sz w:val="27"/>
          <w:szCs w:val="27"/>
          <w:lang w:eastAsia="lv-LV"/>
        </w:rPr>
        <w:t>Neto sistēmas pilnveide elektroenerģijas pašpatērētājiem</w:t>
      </w:r>
    </w:p>
    <w:p w14:paraId="2A8581B4" w14:textId="628F9CAC" w:rsidR="00076896" w:rsidRPr="00C33465" w:rsidRDefault="00C515D5" w:rsidP="00C33465">
      <w:pPr>
        <w:spacing w:before="120" w:after="120" w:line="240" w:lineRule="auto"/>
        <w:jc w:val="both"/>
        <w:textAlignment w:val="baseline"/>
        <w:rPr>
          <w:rFonts w:ascii="Times New Roman" w:eastAsia="Times New Roman" w:hAnsi="Times New Roman"/>
          <w:sz w:val="27"/>
          <w:szCs w:val="27"/>
          <w:lang w:eastAsia="lv-LV"/>
        </w:rPr>
      </w:pPr>
      <w:r w:rsidRPr="00C33465">
        <w:rPr>
          <w:rFonts w:ascii="Times New Roman" w:eastAsia="Times New Roman" w:hAnsi="Times New Roman"/>
          <w:sz w:val="27"/>
          <w:szCs w:val="27"/>
          <w:lang w:eastAsia="lv-LV"/>
        </w:rPr>
        <w:t xml:space="preserve">Mājsaimniecībām, kas uzstādījušas atjaunojamo energoresursu elektroenerģijas </w:t>
      </w:r>
      <w:proofErr w:type="spellStart"/>
      <w:r w:rsidRPr="00C33465">
        <w:rPr>
          <w:rFonts w:ascii="Times New Roman" w:eastAsia="Times New Roman" w:hAnsi="Times New Roman"/>
          <w:sz w:val="27"/>
          <w:szCs w:val="27"/>
          <w:lang w:eastAsia="lv-LV"/>
        </w:rPr>
        <w:t>mikroģenerācijas</w:t>
      </w:r>
      <w:proofErr w:type="spellEnd"/>
      <w:r w:rsidRPr="00C33465">
        <w:rPr>
          <w:rFonts w:ascii="Times New Roman" w:eastAsia="Times New Roman" w:hAnsi="Times New Roman"/>
          <w:sz w:val="27"/>
          <w:szCs w:val="27"/>
          <w:lang w:eastAsia="lv-LV"/>
        </w:rPr>
        <w:t xml:space="preserve"> iekārtas, tiek piemērota neto sistēma, kas nodrošina iespēju gada ietvaros saņemt atpakaļ tīklā nodoto elektroenerģiju, nemaksājot par to elektroenerģijas cenu. Tomēr par attiecīgo elektroenerģijas apjomu maksājami pārējie uz elektroenerģiju attiecināmie maksājumi, tajā skaitā OIK. Tādējādi, </w:t>
      </w:r>
      <w:r w:rsidR="00C00078" w:rsidRPr="00C33465">
        <w:rPr>
          <w:rFonts w:ascii="Times New Roman" w:eastAsia="Times New Roman" w:hAnsi="Times New Roman"/>
          <w:sz w:val="27"/>
          <w:szCs w:val="27"/>
          <w:lang w:eastAsia="lv-LV"/>
        </w:rPr>
        <w:t>neto sistēmas lietotāji</w:t>
      </w:r>
      <w:r w:rsidR="00DA46C3">
        <w:rPr>
          <w:rFonts w:ascii="Times New Roman" w:eastAsia="Times New Roman" w:hAnsi="Times New Roman"/>
          <w:sz w:val="27"/>
          <w:szCs w:val="27"/>
          <w:lang w:eastAsia="lv-LV"/>
        </w:rPr>
        <w:t>e</w:t>
      </w:r>
      <w:r w:rsidR="00C00078" w:rsidRPr="00C33465">
        <w:rPr>
          <w:rFonts w:ascii="Times New Roman" w:eastAsia="Times New Roman" w:hAnsi="Times New Roman"/>
          <w:sz w:val="27"/>
          <w:szCs w:val="27"/>
          <w:lang w:eastAsia="lv-LV"/>
        </w:rPr>
        <w:t>m</w:t>
      </w:r>
      <w:r w:rsidRPr="00C33465">
        <w:rPr>
          <w:rFonts w:ascii="Times New Roman" w:eastAsia="Times New Roman" w:hAnsi="Times New Roman"/>
          <w:sz w:val="27"/>
          <w:szCs w:val="27"/>
          <w:lang w:eastAsia="lv-LV"/>
        </w:rPr>
        <w:t xml:space="preserve"> a</w:t>
      </w:r>
      <w:r w:rsidR="00076896" w:rsidRPr="00C33465">
        <w:rPr>
          <w:rFonts w:ascii="Times New Roman" w:eastAsia="Times New Roman" w:hAnsi="Times New Roman"/>
          <w:sz w:val="27"/>
          <w:szCs w:val="27"/>
          <w:lang w:eastAsia="lv-LV"/>
        </w:rPr>
        <w:t>tceļot OIK</w:t>
      </w:r>
      <w:r w:rsidR="00D65F62" w:rsidRPr="00C33465">
        <w:rPr>
          <w:rFonts w:ascii="Times New Roman" w:eastAsia="Times New Roman" w:hAnsi="Times New Roman"/>
          <w:sz w:val="27"/>
          <w:szCs w:val="27"/>
          <w:lang w:eastAsia="lv-LV"/>
        </w:rPr>
        <w:t xml:space="preserve"> </w:t>
      </w:r>
      <w:r w:rsidR="00076896" w:rsidRPr="00C33465">
        <w:rPr>
          <w:rFonts w:ascii="Times New Roman" w:eastAsia="Times New Roman" w:hAnsi="Times New Roman"/>
          <w:sz w:val="27"/>
          <w:szCs w:val="27"/>
          <w:lang w:eastAsia="lv-LV"/>
        </w:rPr>
        <w:t>no tīkla saņemtai elektroenerģijai tādā apjomā, kas iepriekš nodota tīklā gada ietvaros</w:t>
      </w:r>
      <w:r w:rsidR="00EB57D8" w:rsidRPr="00C33465">
        <w:rPr>
          <w:rFonts w:ascii="Times New Roman" w:eastAsia="Times New Roman" w:hAnsi="Times New Roman"/>
          <w:sz w:val="27"/>
          <w:szCs w:val="27"/>
          <w:lang w:eastAsia="lv-LV"/>
        </w:rPr>
        <w:t>, iespējams samazināt elektroenerģijas izmaksas tiem elektroenerģijas lietotājiem, kas, uzstādot iekārtas elektroenerģijas ražošanai pašu vajadzībām, snieguši ieguldījumu atjaunojamās enerģijas attīstībā.</w:t>
      </w:r>
    </w:p>
    <w:p w14:paraId="119DA3D1" w14:textId="41783F56" w:rsidR="00D65F62" w:rsidRDefault="00D65F62" w:rsidP="00C33465">
      <w:pPr>
        <w:spacing w:before="120" w:after="120" w:line="240" w:lineRule="auto"/>
        <w:jc w:val="both"/>
        <w:textAlignment w:val="baseline"/>
        <w:rPr>
          <w:rFonts w:ascii="Times New Roman" w:eastAsia="Times New Roman" w:hAnsi="Times New Roman"/>
          <w:sz w:val="27"/>
          <w:szCs w:val="27"/>
          <w:lang w:eastAsia="lv-LV"/>
        </w:rPr>
      </w:pPr>
      <w:r w:rsidRPr="00C33465">
        <w:rPr>
          <w:rFonts w:ascii="Times New Roman" w:eastAsia="Times New Roman" w:hAnsi="Times New Roman"/>
          <w:sz w:val="27"/>
          <w:szCs w:val="27"/>
          <w:lang w:eastAsia="lv-LV"/>
        </w:rPr>
        <w:t>Grozījumi Elektroenerģijas tirgus likumā attiecībā uz minētajām izmaiņām ir apstiprināti Saeimā 1.lasījumā un attiecīgi izmaiņu īstenošanai nepieciešama to tālāka virzība.</w:t>
      </w:r>
    </w:p>
    <w:p w14:paraId="3D22A9BF" w14:textId="77777777" w:rsidR="003C3150" w:rsidRPr="00C33465" w:rsidRDefault="003C3150" w:rsidP="00C33465">
      <w:pPr>
        <w:spacing w:before="120" w:after="120" w:line="240" w:lineRule="auto"/>
        <w:jc w:val="both"/>
        <w:textAlignment w:val="baseline"/>
        <w:rPr>
          <w:rFonts w:ascii="Times New Roman" w:eastAsia="Times New Roman" w:hAnsi="Times New Roman"/>
          <w:sz w:val="27"/>
          <w:szCs w:val="27"/>
          <w:lang w:eastAsia="lv-LV"/>
        </w:rPr>
      </w:pPr>
    </w:p>
    <w:p w14:paraId="5385615C" w14:textId="7C50BBA1" w:rsidR="00120F4A" w:rsidRDefault="005F51B4" w:rsidP="005F51B4">
      <w:pPr>
        <w:spacing w:before="120" w:after="120" w:line="240" w:lineRule="auto"/>
        <w:jc w:val="both"/>
        <w:textAlignment w:val="baseline"/>
        <w:rPr>
          <w:rFonts w:ascii="Times New Roman" w:eastAsia="Times New Roman" w:hAnsi="Times New Roman"/>
          <w:b/>
          <w:sz w:val="27"/>
          <w:szCs w:val="27"/>
          <w:lang w:eastAsia="lv-LV"/>
        </w:rPr>
      </w:pPr>
      <w:r>
        <w:rPr>
          <w:rFonts w:ascii="Times New Roman" w:eastAsia="Times New Roman" w:hAnsi="Times New Roman"/>
          <w:b/>
          <w:sz w:val="27"/>
          <w:szCs w:val="27"/>
          <w:lang w:eastAsia="lv-LV"/>
        </w:rPr>
        <w:t xml:space="preserve">3. </w:t>
      </w:r>
      <w:r w:rsidR="00120F4A" w:rsidRPr="00EB57D8">
        <w:rPr>
          <w:rFonts w:ascii="Times New Roman" w:eastAsia="Times New Roman" w:hAnsi="Times New Roman"/>
          <w:b/>
          <w:sz w:val="27"/>
          <w:szCs w:val="27"/>
          <w:lang w:eastAsia="lv-LV"/>
        </w:rPr>
        <w:t xml:space="preserve">Ieņēmumu no izcelsmes apliecinājumiem novirzīšana </w:t>
      </w:r>
      <w:r w:rsidR="00DE4B6C">
        <w:rPr>
          <w:rFonts w:ascii="Times New Roman" w:eastAsia="Times New Roman" w:hAnsi="Times New Roman"/>
          <w:b/>
          <w:sz w:val="27"/>
          <w:szCs w:val="27"/>
          <w:lang w:eastAsia="lv-LV"/>
        </w:rPr>
        <w:t>valsts atbalsta</w:t>
      </w:r>
      <w:r w:rsidR="00DE4B6C" w:rsidRPr="00EB57D8">
        <w:rPr>
          <w:rFonts w:ascii="Times New Roman" w:eastAsia="Times New Roman" w:hAnsi="Times New Roman"/>
          <w:b/>
          <w:sz w:val="27"/>
          <w:szCs w:val="27"/>
          <w:lang w:eastAsia="lv-LV"/>
        </w:rPr>
        <w:t xml:space="preserve"> </w:t>
      </w:r>
      <w:r w:rsidR="00120F4A" w:rsidRPr="00EB57D8">
        <w:rPr>
          <w:rFonts w:ascii="Times New Roman" w:eastAsia="Times New Roman" w:hAnsi="Times New Roman"/>
          <w:b/>
          <w:sz w:val="27"/>
          <w:szCs w:val="27"/>
          <w:lang w:eastAsia="lv-LV"/>
        </w:rPr>
        <w:t xml:space="preserve">izmaksu mazināšanai </w:t>
      </w:r>
    </w:p>
    <w:p w14:paraId="248EFD24" w14:textId="31B3CF0E" w:rsidR="00D65F62" w:rsidRPr="00C33465" w:rsidRDefault="00EB57D8" w:rsidP="00C33465">
      <w:pPr>
        <w:spacing w:before="120" w:after="120" w:line="240" w:lineRule="auto"/>
        <w:jc w:val="both"/>
        <w:textAlignment w:val="baseline"/>
        <w:rPr>
          <w:rFonts w:ascii="Times New Roman" w:eastAsia="Times New Roman" w:hAnsi="Times New Roman"/>
          <w:sz w:val="27"/>
          <w:szCs w:val="27"/>
          <w:lang w:eastAsia="lv-LV"/>
        </w:rPr>
      </w:pPr>
      <w:r w:rsidRPr="00C33465">
        <w:rPr>
          <w:rFonts w:ascii="Times New Roman" w:eastAsia="Times New Roman" w:hAnsi="Times New Roman"/>
          <w:sz w:val="27"/>
          <w:szCs w:val="27"/>
          <w:lang w:eastAsia="lv-LV"/>
        </w:rPr>
        <w:t xml:space="preserve">Pilnveidojot izcelsmes apliecinājumu sistēmu </w:t>
      </w:r>
      <w:r w:rsidRPr="001326CF">
        <w:rPr>
          <w:rFonts w:ascii="Times New Roman" w:eastAsia="Times New Roman" w:hAnsi="Times New Roman"/>
          <w:sz w:val="27"/>
          <w:szCs w:val="27"/>
          <w:lang w:eastAsia="lv-LV"/>
        </w:rPr>
        <w:t>(</w:t>
      </w:r>
      <w:r w:rsidR="001326CF" w:rsidRPr="001326CF">
        <w:rPr>
          <w:rFonts w:ascii="Times New Roman" w:eastAsia="Times New Roman" w:hAnsi="Times New Roman"/>
          <w:sz w:val="27"/>
          <w:szCs w:val="27"/>
          <w:lang w:eastAsia="lv-LV"/>
        </w:rPr>
        <w:t>4</w:t>
      </w:r>
      <w:r w:rsidRPr="001326CF">
        <w:rPr>
          <w:rFonts w:ascii="Times New Roman" w:eastAsia="Times New Roman" w:hAnsi="Times New Roman"/>
          <w:sz w:val="27"/>
          <w:szCs w:val="27"/>
          <w:lang w:eastAsia="lv-LV"/>
        </w:rPr>
        <w:t xml:space="preserve">. </w:t>
      </w:r>
      <w:r w:rsidR="001326CF" w:rsidRPr="001326CF">
        <w:rPr>
          <w:rFonts w:ascii="Times New Roman" w:eastAsia="Times New Roman" w:hAnsi="Times New Roman"/>
          <w:sz w:val="27"/>
          <w:szCs w:val="27"/>
          <w:lang w:eastAsia="lv-LV"/>
        </w:rPr>
        <w:t>r</w:t>
      </w:r>
      <w:r w:rsidRPr="001326CF">
        <w:rPr>
          <w:rFonts w:ascii="Times New Roman" w:eastAsia="Times New Roman" w:hAnsi="Times New Roman"/>
          <w:sz w:val="27"/>
          <w:szCs w:val="27"/>
          <w:lang w:eastAsia="lv-LV"/>
        </w:rPr>
        <w:t>īcības virziena 1.punkts),</w:t>
      </w:r>
      <w:r w:rsidRPr="00C33465">
        <w:rPr>
          <w:rFonts w:ascii="Times New Roman" w:eastAsia="Times New Roman" w:hAnsi="Times New Roman"/>
          <w:sz w:val="27"/>
          <w:szCs w:val="27"/>
          <w:lang w:eastAsia="lv-LV"/>
        </w:rPr>
        <w:t xml:space="preserve"> ieņēmumus no izcelsmes apliecinājumu tirgošanas, ko saņemtu OI stacijas, iespējams novirzīt </w:t>
      </w:r>
      <w:r w:rsidR="00171210">
        <w:rPr>
          <w:rFonts w:ascii="Times New Roman" w:eastAsia="Times New Roman" w:hAnsi="Times New Roman"/>
          <w:sz w:val="27"/>
          <w:szCs w:val="27"/>
          <w:lang w:eastAsia="lv-LV"/>
        </w:rPr>
        <w:t>valsts atbalsta</w:t>
      </w:r>
      <w:r w:rsidR="00171210" w:rsidRPr="00C33465">
        <w:rPr>
          <w:rFonts w:ascii="Times New Roman" w:eastAsia="Times New Roman" w:hAnsi="Times New Roman"/>
          <w:sz w:val="27"/>
          <w:szCs w:val="27"/>
          <w:lang w:eastAsia="lv-LV"/>
        </w:rPr>
        <w:t xml:space="preserve"> </w:t>
      </w:r>
      <w:r w:rsidRPr="00C33465">
        <w:rPr>
          <w:rFonts w:ascii="Times New Roman" w:eastAsia="Times New Roman" w:hAnsi="Times New Roman"/>
          <w:sz w:val="27"/>
          <w:szCs w:val="27"/>
          <w:lang w:eastAsia="lv-LV"/>
        </w:rPr>
        <w:t xml:space="preserve">izmaksu segšanai. Šādus izcelsmes apliecinājumus tirgotu AS “Elektroenerģijas publiskais tirgotājs” un ieņēmumu novirzīšanai </w:t>
      </w:r>
      <w:r w:rsidR="00171210">
        <w:rPr>
          <w:rFonts w:ascii="Times New Roman" w:eastAsia="Times New Roman" w:hAnsi="Times New Roman"/>
          <w:sz w:val="27"/>
          <w:szCs w:val="27"/>
          <w:lang w:eastAsia="lv-LV"/>
        </w:rPr>
        <w:t>valsts atbalsta</w:t>
      </w:r>
      <w:r w:rsidR="00171210" w:rsidRPr="00C33465">
        <w:rPr>
          <w:rFonts w:ascii="Times New Roman" w:eastAsia="Times New Roman" w:hAnsi="Times New Roman"/>
          <w:sz w:val="27"/>
          <w:szCs w:val="27"/>
          <w:lang w:eastAsia="lv-LV"/>
        </w:rPr>
        <w:t xml:space="preserve"> </w:t>
      </w:r>
      <w:r w:rsidRPr="00C33465">
        <w:rPr>
          <w:rFonts w:ascii="Times New Roman" w:eastAsia="Times New Roman" w:hAnsi="Times New Roman"/>
          <w:sz w:val="27"/>
          <w:szCs w:val="27"/>
          <w:lang w:eastAsia="lv-LV"/>
        </w:rPr>
        <w:t>izmaksu segšanai nebūtu jāveic sarežģītas administratīvas procedūras.</w:t>
      </w:r>
    </w:p>
    <w:p w14:paraId="66DCD043" w14:textId="75D6E69D" w:rsidR="00D65F62" w:rsidRDefault="00D65F62" w:rsidP="00E54FDD">
      <w:pPr>
        <w:spacing w:before="120" w:after="120" w:line="240" w:lineRule="auto"/>
        <w:jc w:val="both"/>
        <w:textAlignment w:val="baseline"/>
        <w:rPr>
          <w:rFonts w:ascii="Times New Roman" w:eastAsia="Times New Roman" w:hAnsi="Times New Roman"/>
          <w:sz w:val="27"/>
          <w:szCs w:val="27"/>
          <w:lang w:eastAsia="lv-LV"/>
        </w:rPr>
      </w:pPr>
      <w:r w:rsidRPr="00C00078">
        <w:rPr>
          <w:rFonts w:ascii="Times New Roman" w:eastAsia="Times New Roman" w:hAnsi="Times New Roman"/>
          <w:sz w:val="27"/>
          <w:szCs w:val="27"/>
          <w:lang w:eastAsia="lv-LV"/>
        </w:rPr>
        <w:t>Grozījumi Elektroenerģijas tirgus likumā izcelsmes apliecinājumu sistēmas administrēšanas nodošanai pārvades sistēmas operatoram - AS “Augstsprieguma tīkls” un sistēmas integrēšanai vienotajā Eiropas Enerģijas izcelsmes apliecinājumu sistēmā ir apstiprināti Saeimā 1.lasījumā un attiecīgi izmaiņu īstenošanai nepieciešama to tālāka virzība.</w:t>
      </w:r>
    </w:p>
    <w:p w14:paraId="505A1A42" w14:textId="77777777" w:rsidR="003C3150" w:rsidRDefault="003C3150" w:rsidP="00E54FDD">
      <w:pPr>
        <w:spacing w:before="120" w:after="120" w:line="240" w:lineRule="auto"/>
        <w:jc w:val="both"/>
        <w:textAlignment w:val="baseline"/>
        <w:rPr>
          <w:rFonts w:ascii="Times New Roman" w:eastAsia="Times New Roman" w:hAnsi="Times New Roman"/>
          <w:sz w:val="27"/>
          <w:szCs w:val="27"/>
          <w:lang w:eastAsia="lv-LV"/>
        </w:rPr>
      </w:pPr>
    </w:p>
    <w:p w14:paraId="0BBADEBD" w14:textId="42F5905A" w:rsidR="007D720E" w:rsidRPr="000668CB" w:rsidRDefault="007D720E" w:rsidP="00E54FDD">
      <w:pPr>
        <w:spacing w:before="120" w:after="120" w:line="240" w:lineRule="auto"/>
        <w:jc w:val="both"/>
        <w:textAlignment w:val="baseline"/>
        <w:rPr>
          <w:rFonts w:ascii="Times New Roman" w:eastAsia="Times New Roman" w:hAnsi="Times New Roman"/>
          <w:b/>
          <w:bCs/>
          <w:sz w:val="27"/>
          <w:szCs w:val="27"/>
          <w:lang w:eastAsia="lv-LV"/>
        </w:rPr>
      </w:pPr>
      <w:r w:rsidRPr="006C1CB3">
        <w:rPr>
          <w:rFonts w:ascii="Times New Roman" w:eastAsia="Times New Roman" w:hAnsi="Times New Roman"/>
          <w:b/>
          <w:bCs/>
          <w:sz w:val="27"/>
          <w:szCs w:val="27"/>
          <w:lang w:eastAsia="lv-LV"/>
        </w:rPr>
        <w:t xml:space="preserve">4. </w:t>
      </w:r>
      <w:r w:rsidR="00D45F55">
        <w:rPr>
          <w:rFonts w:ascii="Times New Roman" w:eastAsia="Times New Roman" w:hAnsi="Times New Roman"/>
          <w:b/>
          <w:bCs/>
          <w:sz w:val="27"/>
          <w:szCs w:val="27"/>
          <w:lang w:eastAsia="lv-LV"/>
        </w:rPr>
        <w:t>Valsts atbalsta</w:t>
      </w:r>
      <w:r w:rsidRPr="006C1CB3">
        <w:rPr>
          <w:rFonts w:ascii="Times New Roman" w:eastAsia="Times New Roman" w:hAnsi="Times New Roman"/>
          <w:b/>
          <w:bCs/>
          <w:sz w:val="27"/>
          <w:szCs w:val="27"/>
          <w:lang w:eastAsia="lv-LV"/>
        </w:rPr>
        <w:t xml:space="preserve"> izmaksu st</w:t>
      </w:r>
      <w:r w:rsidRPr="006F39C3">
        <w:rPr>
          <w:rFonts w:ascii="Times New Roman" w:eastAsia="Times New Roman" w:hAnsi="Times New Roman"/>
          <w:b/>
          <w:bCs/>
          <w:sz w:val="27"/>
          <w:szCs w:val="27"/>
          <w:lang w:eastAsia="lv-LV"/>
        </w:rPr>
        <w:t>ruktūras atspoguļošana elektr</w:t>
      </w:r>
      <w:r w:rsidR="00171210">
        <w:rPr>
          <w:rFonts w:ascii="Times New Roman" w:eastAsia="Times New Roman" w:hAnsi="Times New Roman"/>
          <w:b/>
          <w:bCs/>
          <w:sz w:val="27"/>
          <w:szCs w:val="27"/>
          <w:lang w:eastAsia="lv-LV"/>
        </w:rPr>
        <w:t>oenerģijas</w:t>
      </w:r>
      <w:r w:rsidRPr="006F39C3">
        <w:rPr>
          <w:rFonts w:ascii="Times New Roman" w:eastAsia="Times New Roman" w:hAnsi="Times New Roman"/>
          <w:b/>
          <w:bCs/>
          <w:sz w:val="27"/>
          <w:szCs w:val="27"/>
          <w:lang w:eastAsia="lv-LV"/>
        </w:rPr>
        <w:t xml:space="preserve"> rēķinos </w:t>
      </w:r>
      <w:r w:rsidR="00D14C69">
        <w:rPr>
          <w:rFonts w:ascii="Times New Roman" w:eastAsia="Times New Roman" w:hAnsi="Times New Roman"/>
          <w:b/>
          <w:bCs/>
          <w:sz w:val="27"/>
          <w:szCs w:val="27"/>
          <w:lang w:eastAsia="lv-LV"/>
        </w:rPr>
        <w:t xml:space="preserve">sadalījumā </w:t>
      </w:r>
      <w:r w:rsidRPr="006F39C3">
        <w:rPr>
          <w:rFonts w:ascii="Times New Roman" w:eastAsia="Times New Roman" w:hAnsi="Times New Roman"/>
          <w:b/>
          <w:bCs/>
          <w:sz w:val="27"/>
          <w:szCs w:val="27"/>
          <w:lang w:eastAsia="lv-LV"/>
        </w:rPr>
        <w:t>pa en</w:t>
      </w:r>
      <w:r w:rsidRPr="000668CB">
        <w:rPr>
          <w:rFonts w:ascii="Times New Roman" w:eastAsia="Times New Roman" w:hAnsi="Times New Roman"/>
          <w:b/>
          <w:bCs/>
          <w:sz w:val="27"/>
          <w:szCs w:val="27"/>
          <w:lang w:eastAsia="lv-LV"/>
        </w:rPr>
        <w:t>ergoresursu veidiem</w:t>
      </w:r>
      <w:r w:rsidR="00D14C69">
        <w:rPr>
          <w:rFonts w:ascii="Times New Roman" w:eastAsia="Times New Roman" w:hAnsi="Times New Roman"/>
          <w:b/>
          <w:bCs/>
          <w:sz w:val="27"/>
          <w:szCs w:val="27"/>
          <w:lang w:eastAsia="lv-LV"/>
        </w:rPr>
        <w:t xml:space="preserve"> un uzstādītajām jaudām</w:t>
      </w:r>
    </w:p>
    <w:p w14:paraId="0FB56A7F" w14:textId="3A974711" w:rsidR="00855A20" w:rsidRDefault="00C97935" w:rsidP="00E54FDD">
      <w:pPr>
        <w:spacing w:before="120" w:after="120" w:line="240" w:lineRule="auto"/>
        <w:jc w:val="both"/>
        <w:textAlignment w:val="baseline"/>
        <w:rPr>
          <w:rFonts w:ascii="Times New Roman" w:eastAsia="Times New Roman" w:hAnsi="Times New Roman"/>
          <w:sz w:val="27"/>
          <w:szCs w:val="27"/>
          <w:lang w:eastAsia="lv-LV"/>
        </w:rPr>
      </w:pPr>
      <w:r>
        <w:rPr>
          <w:rFonts w:ascii="Times New Roman" w:eastAsia="Times New Roman" w:hAnsi="Times New Roman"/>
          <w:sz w:val="27"/>
          <w:szCs w:val="27"/>
          <w:lang w:eastAsia="lv-LV"/>
        </w:rPr>
        <w:t>Valsts atbalsta</w:t>
      </w:r>
      <w:r w:rsidR="00171210">
        <w:rPr>
          <w:rFonts w:ascii="Times New Roman" w:eastAsia="Times New Roman" w:hAnsi="Times New Roman"/>
          <w:sz w:val="27"/>
          <w:szCs w:val="27"/>
          <w:lang w:eastAsia="lv-LV"/>
        </w:rPr>
        <w:t xml:space="preserve"> izmaksu mazināšanas procesā būtiski arī veicināt elektroenerģijas lietotāju izpratni par to, kādas izmaksas tiek segtas ar ieņēmumiem, kas gūti no elektroenerģijas lietotāju apmaksātajiem elektroenerģijas rēķiniem. </w:t>
      </w:r>
      <w:r w:rsidR="005B1EF9">
        <w:rPr>
          <w:rFonts w:ascii="Times New Roman" w:eastAsia="Times New Roman" w:hAnsi="Times New Roman"/>
          <w:sz w:val="27"/>
          <w:szCs w:val="27"/>
          <w:lang w:eastAsia="lv-LV"/>
        </w:rPr>
        <w:t>Pašreiz elektroenerģijas rēķin</w:t>
      </w:r>
      <w:r w:rsidR="006A577A">
        <w:rPr>
          <w:rFonts w:ascii="Times New Roman" w:eastAsia="Times New Roman" w:hAnsi="Times New Roman"/>
          <w:sz w:val="27"/>
          <w:szCs w:val="27"/>
          <w:lang w:eastAsia="lv-LV"/>
        </w:rPr>
        <w:t xml:space="preserve">os norādītās </w:t>
      </w:r>
      <w:r>
        <w:rPr>
          <w:rFonts w:ascii="Times New Roman" w:eastAsia="Times New Roman" w:hAnsi="Times New Roman"/>
          <w:sz w:val="27"/>
          <w:szCs w:val="27"/>
          <w:lang w:eastAsia="lv-LV"/>
        </w:rPr>
        <w:t>valsts atbalsta</w:t>
      </w:r>
      <w:r w:rsidR="006A577A">
        <w:rPr>
          <w:rFonts w:ascii="Times New Roman" w:eastAsia="Times New Roman" w:hAnsi="Times New Roman"/>
          <w:sz w:val="27"/>
          <w:szCs w:val="27"/>
          <w:lang w:eastAsia="lv-LV"/>
        </w:rPr>
        <w:t xml:space="preserve"> izmaksu kategorijas nepilnīgi atspoguļo dažādo atbalsta veidu mērķus. </w:t>
      </w:r>
      <w:r w:rsidR="00171210">
        <w:rPr>
          <w:rFonts w:ascii="Times New Roman" w:eastAsia="Times New Roman" w:hAnsi="Times New Roman"/>
          <w:sz w:val="27"/>
          <w:szCs w:val="27"/>
          <w:lang w:eastAsia="lv-LV"/>
        </w:rPr>
        <w:t>Attiecīgi tiek rosināts elektroenerģijas rēķinos atspoguļot valsts atbalsta izmaksas pa energoresursu veidiem</w:t>
      </w:r>
      <w:r w:rsidR="00D14C69">
        <w:rPr>
          <w:rFonts w:ascii="Times New Roman" w:eastAsia="Times New Roman" w:hAnsi="Times New Roman"/>
          <w:sz w:val="27"/>
          <w:szCs w:val="27"/>
          <w:lang w:eastAsia="lv-LV"/>
        </w:rPr>
        <w:t xml:space="preserve"> un garantētās maksas par elektrostacijā uzstādīto jaudu gadījumā pa jaudas sliekšņiem virs un zem 100 MW.</w:t>
      </w:r>
    </w:p>
    <w:p w14:paraId="08BA63B5" w14:textId="77777777" w:rsidR="00855A20" w:rsidRDefault="00855A20" w:rsidP="00E54FDD">
      <w:pPr>
        <w:spacing w:before="120" w:after="120" w:line="240" w:lineRule="auto"/>
        <w:jc w:val="both"/>
        <w:textAlignment w:val="baseline"/>
        <w:rPr>
          <w:rFonts w:ascii="Times New Roman" w:eastAsia="Times New Roman" w:hAnsi="Times New Roman"/>
          <w:sz w:val="27"/>
          <w:szCs w:val="27"/>
          <w:lang w:eastAsia="lv-LV"/>
        </w:rPr>
      </w:pPr>
    </w:p>
    <w:p w14:paraId="07BA9A25" w14:textId="66057EBD" w:rsidR="007D720E" w:rsidRPr="007D720E" w:rsidRDefault="007D720E" w:rsidP="00E54FDD">
      <w:pPr>
        <w:spacing w:before="120" w:after="120" w:line="240" w:lineRule="auto"/>
        <w:jc w:val="both"/>
        <w:textAlignment w:val="baseline"/>
        <w:rPr>
          <w:rFonts w:ascii="Times New Roman" w:eastAsia="Times New Roman" w:hAnsi="Times New Roman"/>
          <w:b/>
          <w:bCs/>
          <w:sz w:val="27"/>
          <w:szCs w:val="27"/>
          <w:lang w:eastAsia="lv-LV"/>
        </w:rPr>
      </w:pPr>
      <w:r w:rsidRPr="007D720E">
        <w:rPr>
          <w:rFonts w:ascii="Times New Roman" w:eastAsia="Times New Roman" w:hAnsi="Times New Roman"/>
          <w:b/>
          <w:bCs/>
          <w:sz w:val="27"/>
          <w:szCs w:val="27"/>
          <w:lang w:eastAsia="lv-LV"/>
        </w:rPr>
        <w:lastRenderedPageBreak/>
        <w:t>5. OI mehānisma finansēšana no valsts budžeta līdzekļiem</w:t>
      </w:r>
      <w:r w:rsidR="00C90CBA">
        <w:rPr>
          <w:rFonts w:ascii="Times New Roman" w:eastAsia="Times New Roman" w:hAnsi="Times New Roman"/>
          <w:b/>
          <w:bCs/>
          <w:sz w:val="27"/>
          <w:szCs w:val="27"/>
          <w:lang w:eastAsia="lv-LV"/>
        </w:rPr>
        <w:t xml:space="preserve"> no 2021.gada</w:t>
      </w:r>
      <w:r w:rsidRPr="007D720E">
        <w:rPr>
          <w:rFonts w:ascii="Times New Roman" w:eastAsia="Times New Roman" w:hAnsi="Times New Roman"/>
          <w:b/>
          <w:bCs/>
          <w:sz w:val="27"/>
          <w:szCs w:val="27"/>
          <w:lang w:eastAsia="lv-LV"/>
        </w:rPr>
        <w:t xml:space="preserve"> </w:t>
      </w:r>
    </w:p>
    <w:p w14:paraId="2E331142" w14:textId="15213841" w:rsidR="007D720E" w:rsidRPr="004E15F9" w:rsidRDefault="00960D35" w:rsidP="00E54FDD">
      <w:pPr>
        <w:spacing w:before="120" w:after="120" w:line="240" w:lineRule="auto"/>
        <w:jc w:val="both"/>
        <w:textAlignment w:val="baseline"/>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Kā tas ir secināts iepriekš veiktajos </w:t>
      </w:r>
      <w:proofErr w:type="spellStart"/>
      <w:r>
        <w:rPr>
          <w:rFonts w:ascii="Times New Roman" w:eastAsia="Times New Roman" w:hAnsi="Times New Roman"/>
          <w:sz w:val="27"/>
          <w:szCs w:val="27"/>
          <w:lang w:eastAsia="lv-LV"/>
        </w:rPr>
        <w:t>izvērtējumos</w:t>
      </w:r>
      <w:proofErr w:type="spellEnd"/>
      <w:r w:rsidR="007C00D1">
        <w:rPr>
          <w:rStyle w:val="FootnoteReference"/>
          <w:rFonts w:ascii="Times New Roman" w:eastAsia="Times New Roman" w:hAnsi="Times New Roman"/>
          <w:sz w:val="27"/>
          <w:szCs w:val="27"/>
          <w:lang w:eastAsia="lv-LV"/>
        </w:rPr>
        <w:footnoteReference w:id="11"/>
      </w:r>
      <w:r w:rsidR="006C1CB3">
        <w:rPr>
          <w:rFonts w:ascii="Times New Roman" w:eastAsia="Times New Roman" w:hAnsi="Times New Roman"/>
          <w:sz w:val="27"/>
          <w:szCs w:val="27"/>
          <w:lang w:eastAsia="lv-LV"/>
        </w:rPr>
        <w:t>,</w:t>
      </w:r>
      <w:r>
        <w:rPr>
          <w:rFonts w:ascii="Times New Roman" w:eastAsia="Times New Roman" w:hAnsi="Times New Roman"/>
          <w:sz w:val="27"/>
          <w:szCs w:val="27"/>
          <w:lang w:eastAsia="lv-LV"/>
        </w:rPr>
        <w:t xml:space="preserve"> atbalstu OI mehānisma ietvaros nav iespējams atcelt</w:t>
      </w:r>
      <w:r w:rsidR="006C1CB3">
        <w:rPr>
          <w:rFonts w:ascii="Times New Roman" w:eastAsia="Times New Roman" w:hAnsi="Times New Roman"/>
          <w:sz w:val="27"/>
          <w:szCs w:val="27"/>
          <w:lang w:eastAsia="lv-LV"/>
        </w:rPr>
        <w:t xml:space="preserve"> bez</w:t>
      </w:r>
      <w:r w:rsidR="00A5335B">
        <w:rPr>
          <w:rFonts w:ascii="Times New Roman" w:eastAsia="Times New Roman" w:hAnsi="Times New Roman"/>
          <w:sz w:val="27"/>
          <w:szCs w:val="27"/>
          <w:lang w:eastAsia="lv-LV"/>
        </w:rPr>
        <w:t xml:space="preserve"> augstiem</w:t>
      </w:r>
      <w:r w:rsidR="006C1CB3">
        <w:rPr>
          <w:rFonts w:ascii="Times New Roman" w:eastAsia="Times New Roman" w:hAnsi="Times New Roman"/>
          <w:sz w:val="27"/>
          <w:szCs w:val="27"/>
          <w:lang w:eastAsia="lv-LV"/>
        </w:rPr>
        <w:t xml:space="preserve"> tiesvedību </w:t>
      </w:r>
      <w:r w:rsidR="00171210">
        <w:rPr>
          <w:rFonts w:ascii="Times New Roman" w:eastAsia="Times New Roman" w:hAnsi="Times New Roman"/>
          <w:sz w:val="27"/>
          <w:szCs w:val="27"/>
          <w:lang w:eastAsia="lv-LV"/>
        </w:rPr>
        <w:t>riskiem</w:t>
      </w:r>
      <w:r>
        <w:rPr>
          <w:rFonts w:ascii="Times New Roman" w:eastAsia="Times New Roman" w:hAnsi="Times New Roman"/>
          <w:sz w:val="27"/>
          <w:szCs w:val="27"/>
          <w:lang w:eastAsia="lv-LV"/>
        </w:rPr>
        <w:t xml:space="preserve">. Tomēr, īstenojot </w:t>
      </w:r>
      <w:r w:rsidR="006C1CB3">
        <w:rPr>
          <w:rFonts w:ascii="Times New Roman" w:eastAsia="Times New Roman" w:hAnsi="Times New Roman"/>
          <w:sz w:val="27"/>
          <w:szCs w:val="27"/>
          <w:lang w:eastAsia="lv-LV"/>
        </w:rPr>
        <w:t xml:space="preserve">efektīvu atbalsta saņēmēju kontroli un pārdomāti </w:t>
      </w:r>
      <w:r w:rsidR="00171210">
        <w:rPr>
          <w:rFonts w:ascii="Times New Roman" w:eastAsia="Times New Roman" w:hAnsi="Times New Roman"/>
          <w:sz w:val="27"/>
          <w:szCs w:val="27"/>
          <w:lang w:eastAsia="lv-LV"/>
        </w:rPr>
        <w:t>īstenojot</w:t>
      </w:r>
      <w:r w:rsidR="006C1CB3">
        <w:rPr>
          <w:rFonts w:ascii="Times New Roman" w:eastAsia="Times New Roman" w:hAnsi="Times New Roman"/>
          <w:sz w:val="27"/>
          <w:szCs w:val="27"/>
          <w:lang w:eastAsia="lv-LV"/>
        </w:rPr>
        <w:t xml:space="preserve"> valsts atbalsta apmēra ierobežošanu, iespējams panākt atbalsta izmaksu samazinājumu. Vienlaikus, </w:t>
      </w:r>
      <w:r w:rsidR="00AA0B81">
        <w:rPr>
          <w:rFonts w:ascii="Times New Roman" w:eastAsia="Times New Roman" w:hAnsi="Times New Roman"/>
          <w:sz w:val="27"/>
          <w:szCs w:val="27"/>
          <w:lang w:eastAsia="lv-LV"/>
        </w:rPr>
        <w:t xml:space="preserve">mērķtiecīgi </w:t>
      </w:r>
      <w:r w:rsidR="00C90CBA">
        <w:rPr>
          <w:rFonts w:ascii="Times New Roman" w:eastAsia="Times New Roman" w:hAnsi="Times New Roman"/>
          <w:sz w:val="27"/>
          <w:szCs w:val="27"/>
          <w:lang w:eastAsia="lv-LV"/>
        </w:rPr>
        <w:t xml:space="preserve">novirzot AS “Latvenergo” dividendes un </w:t>
      </w:r>
      <w:r w:rsidR="00AA0B81">
        <w:rPr>
          <w:rFonts w:ascii="Times New Roman" w:eastAsia="Times New Roman" w:hAnsi="Times New Roman"/>
          <w:sz w:val="27"/>
          <w:szCs w:val="27"/>
          <w:lang w:eastAsia="lv-LV"/>
        </w:rPr>
        <w:t xml:space="preserve">ieviešot un </w:t>
      </w:r>
      <w:r w:rsidR="006C1CB3">
        <w:rPr>
          <w:rFonts w:ascii="Times New Roman" w:eastAsia="Times New Roman" w:hAnsi="Times New Roman"/>
          <w:sz w:val="27"/>
          <w:szCs w:val="27"/>
          <w:lang w:eastAsia="lv-LV"/>
        </w:rPr>
        <w:t xml:space="preserve">īstenojot </w:t>
      </w:r>
      <w:r w:rsidR="003805C9">
        <w:rPr>
          <w:rFonts w:ascii="Times New Roman" w:eastAsia="Times New Roman" w:hAnsi="Times New Roman"/>
          <w:sz w:val="27"/>
          <w:szCs w:val="27"/>
          <w:lang w:eastAsia="lv-LV"/>
        </w:rPr>
        <w:t xml:space="preserve">“piesārņotājs maksā” principu, kas pats par sevi veicinātu atjaunojamās enerģijas izmantošu, būtu iespējams </w:t>
      </w:r>
      <w:r w:rsidR="00C90CBA">
        <w:rPr>
          <w:rFonts w:ascii="Times New Roman" w:eastAsia="Times New Roman" w:hAnsi="Times New Roman"/>
          <w:sz w:val="27"/>
          <w:szCs w:val="27"/>
          <w:lang w:eastAsia="lv-LV"/>
        </w:rPr>
        <w:t>rast finansējumu</w:t>
      </w:r>
      <w:r w:rsidR="003805C9">
        <w:rPr>
          <w:rFonts w:ascii="Times New Roman" w:eastAsia="Times New Roman" w:hAnsi="Times New Roman"/>
          <w:sz w:val="27"/>
          <w:szCs w:val="27"/>
          <w:lang w:eastAsia="lv-LV"/>
        </w:rPr>
        <w:t xml:space="preserve"> valsts budžetā</w:t>
      </w:r>
      <w:r w:rsidR="00171210">
        <w:rPr>
          <w:rFonts w:ascii="Times New Roman" w:eastAsia="Times New Roman" w:hAnsi="Times New Roman"/>
          <w:sz w:val="27"/>
          <w:szCs w:val="27"/>
          <w:lang w:eastAsia="lv-LV"/>
        </w:rPr>
        <w:t xml:space="preserve">, ko varētu novirzīt atjaunojamās enerģijas un efektīvas koģenerācijas atbalstam. Tādējādi ar 2021.gadu OI mehānisma izmaksas </w:t>
      </w:r>
      <w:r w:rsidR="00C90CBA">
        <w:rPr>
          <w:rFonts w:ascii="Times New Roman" w:eastAsia="Times New Roman" w:hAnsi="Times New Roman"/>
          <w:sz w:val="27"/>
          <w:szCs w:val="27"/>
          <w:lang w:eastAsia="lv-LV"/>
        </w:rPr>
        <w:t xml:space="preserve">tiktu </w:t>
      </w:r>
      <w:r w:rsidR="00171210">
        <w:rPr>
          <w:rFonts w:ascii="Times New Roman" w:eastAsia="Times New Roman" w:hAnsi="Times New Roman"/>
          <w:sz w:val="27"/>
          <w:szCs w:val="27"/>
          <w:lang w:eastAsia="lv-LV"/>
        </w:rPr>
        <w:t>segt</w:t>
      </w:r>
      <w:r w:rsidR="00C90CBA">
        <w:rPr>
          <w:rFonts w:ascii="Times New Roman" w:eastAsia="Times New Roman" w:hAnsi="Times New Roman"/>
          <w:sz w:val="27"/>
          <w:szCs w:val="27"/>
          <w:lang w:eastAsia="lv-LV"/>
        </w:rPr>
        <w:t>as</w:t>
      </w:r>
      <w:r w:rsidR="00171210">
        <w:rPr>
          <w:rFonts w:ascii="Times New Roman" w:eastAsia="Times New Roman" w:hAnsi="Times New Roman"/>
          <w:sz w:val="27"/>
          <w:szCs w:val="27"/>
          <w:lang w:eastAsia="lv-LV"/>
        </w:rPr>
        <w:t xml:space="preserve"> no papildu gūtajiem valsts budžeta ieņēmumiem.</w:t>
      </w:r>
      <w:r w:rsidR="006F39C3">
        <w:rPr>
          <w:rFonts w:ascii="Times New Roman" w:eastAsia="Times New Roman" w:hAnsi="Times New Roman"/>
          <w:sz w:val="27"/>
          <w:szCs w:val="27"/>
          <w:lang w:eastAsia="lv-LV"/>
        </w:rPr>
        <w:t xml:space="preserve"> Paredzams, ka šādas izmaksas nepārsniegtu 150</w:t>
      </w:r>
      <w:r w:rsidR="008E7DC8">
        <w:rPr>
          <w:rFonts w:ascii="Times New Roman" w:eastAsia="Times New Roman" w:hAnsi="Times New Roman"/>
          <w:sz w:val="27"/>
          <w:szCs w:val="27"/>
          <w:lang w:eastAsia="lv-LV"/>
        </w:rPr>
        <w:t xml:space="preserve"> - 155</w:t>
      </w:r>
      <w:r w:rsidR="006F39C3">
        <w:rPr>
          <w:rFonts w:ascii="Times New Roman" w:eastAsia="Times New Roman" w:hAnsi="Times New Roman"/>
          <w:sz w:val="27"/>
          <w:szCs w:val="27"/>
          <w:lang w:eastAsia="lv-LV"/>
        </w:rPr>
        <w:t xml:space="preserve"> </w:t>
      </w:r>
      <w:proofErr w:type="spellStart"/>
      <w:r w:rsidR="006F39C3">
        <w:rPr>
          <w:rFonts w:ascii="Times New Roman" w:eastAsia="Times New Roman" w:hAnsi="Times New Roman"/>
          <w:sz w:val="27"/>
          <w:szCs w:val="27"/>
          <w:lang w:eastAsia="lv-LV"/>
        </w:rPr>
        <w:t>milj.</w:t>
      </w:r>
      <w:r w:rsidR="006F39C3" w:rsidRPr="00AD2746">
        <w:rPr>
          <w:rFonts w:ascii="Times New Roman" w:eastAsia="Times New Roman" w:hAnsi="Times New Roman"/>
          <w:i/>
          <w:iCs/>
          <w:sz w:val="27"/>
          <w:szCs w:val="27"/>
          <w:lang w:eastAsia="lv-LV"/>
        </w:rPr>
        <w:t>euro</w:t>
      </w:r>
      <w:proofErr w:type="spellEnd"/>
      <w:r w:rsidR="006F39C3">
        <w:rPr>
          <w:rFonts w:ascii="Times New Roman" w:eastAsia="Times New Roman" w:hAnsi="Times New Roman"/>
          <w:sz w:val="27"/>
          <w:szCs w:val="27"/>
          <w:lang w:eastAsia="lv-LV"/>
        </w:rPr>
        <w:t xml:space="preserve"> 2021.gadā un pēc tam ar katru gadu samazinātos, ņemot vērā, ka elektroenerģijas ražotājiem </w:t>
      </w:r>
      <w:r w:rsidR="000668CB">
        <w:rPr>
          <w:rFonts w:ascii="Times New Roman" w:eastAsia="Times New Roman" w:hAnsi="Times New Roman"/>
          <w:sz w:val="27"/>
          <w:szCs w:val="27"/>
          <w:lang w:eastAsia="lv-LV"/>
        </w:rPr>
        <w:t xml:space="preserve">OI mehānisma ietvaros </w:t>
      </w:r>
      <w:r w:rsidR="006F39C3">
        <w:rPr>
          <w:rFonts w:ascii="Times New Roman" w:eastAsia="Times New Roman" w:hAnsi="Times New Roman"/>
          <w:sz w:val="27"/>
          <w:szCs w:val="27"/>
          <w:lang w:eastAsia="lv-LV"/>
        </w:rPr>
        <w:t>beigtos atbalsta termiņš</w:t>
      </w:r>
      <w:r w:rsidR="00443B4B">
        <w:rPr>
          <w:rFonts w:ascii="Times New Roman" w:eastAsia="Times New Roman" w:hAnsi="Times New Roman"/>
          <w:sz w:val="27"/>
          <w:szCs w:val="27"/>
          <w:lang w:eastAsia="lv-LV"/>
        </w:rPr>
        <w:t xml:space="preserve"> un</w:t>
      </w:r>
      <w:r w:rsidR="00C90CBA">
        <w:rPr>
          <w:rFonts w:ascii="Times New Roman" w:eastAsia="Times New Roman" w:hAnsi="Times New Roman"/>
          <w:sz w:val="27"/>
          <w:szCs w:val="27"/>
          <w:lang w:eastAsia="lv-LV"/>
        </w:rPr>
        <w:t>,</w:t>
      </w:r>
      <w:r w:rsidR="00443B4B">
        <w:rPr>
          <w:rFonts w:ascii="Times New Roman" w:eastAsia="Times New Roman" w:hAnsi="Times New Roman"/>
          <w:sz w:val="27"/>
          <w:szCs w:val="27"/>
          <w:lang w:eastAsia="lv-LV"/>
        </w:rPr>
        <w:t xml:space="preserve"> īstenojot citus šajā informatīvajā ziņojumā minētos pasākumus</w:t>
      </w:r>
      <w:r w:rsidR="00C90CBA">
        <w:rPr>
          <w:rFonts w:ascii="Times New Roman" w:eastAsia="Times New Roman" w:hAnsi="Times New Roman"/>
          <w:sz w:val="27"/>
          <w:szCs w:val="27"/>
          <w:lang w:eastAsia="lv-LV"/>
        </w:rPr>
        <w:t>,</w:t>
      </w:r>
      <w:r w:rsidR="00443B4B">
        <w:rPr>
          <w:rFonts w:ascii="Times New Roman" w:eastAsia="Times New Roman" w:hAnsi="Times New Roman"/>
          <w:sz w:val="27"/>
          <w:szCs w:val="27"/>
          <w:lang w:eastAsia="lv-LV"/>
        </w:rPr>
        <w:t xml:space="preserve"> ir iespējams atbalsta izmaksu samazinājums</w:t>
      </w:r>
      <w:r w:rsidR="006F39C3">
        <w:rPr>
          <w:rFonts w:ascii="Times New Roman" w:eastAsia="Times New Roman" w:hAnsi="Times New Roman"/>
          <w:sz w:val="27"/>
          <w:szCs w:val="27"/>
          <w:lang w:eastAsia="lv-LV"/>
        </w:rPr>
        <w:t>.</w:t>
      </w:r>
    </w:p>
    <w:p w14:paraId="35AF323C" w14:textId="77777777" w:rsidR="000152DA" w:rsidRDefault="000152DA" w:rsidP="000152DA">
      <w:pPr>
        <w:pStyle w:val="Heading1"/>
        <w:rPr>
          <w:u w:val="single"/>
        </w:rPr>
      </w:pPr>
      <w:bookmarkStart w:id="32" w:name="_Toc9244613"/>
    </w:p>
    <w:p w14:paraId="3153B989" w14:textId="5B50613C" w:rsidR="009A1364" w:rsidRPr="000152DA" w:rsidRDefault="00F268BA" w:rsidP="000152DA">
      <w:pPr>
        <w:pStyle w:val="Heading1"/>
        <w:rPr>
          <w:u w:val="single"/>
          <w:lang w:eastAsia="lv-LV"/>
        </w:rPr>
      </w:pPr>
      <w:bookmarkStart w:id="33" w:name="_Toc13152093"/>
      <w:r w:rsidRPr="000152DA">
        <w:rPr>
          <w:u w:val="single"/>
        </w:rPr>
        <w:t>6</w:t>
      </w:r>
      <w:r w:rsidR="004E2F8F" w:rsidRPr="000152DA">
        <w:rPr>
          <w:u w:val="single"/>
        </w:rPr>
        <w:t>. Risinājumu ieviešanas laika grafiks un saskaņojuma nepieciešamība ar Eiropas Komisiju</w:t>
      </w:r>
      <w:bookmarkEnd w:id="32"/>
      <w:bookmarkEnd w:id="33"/>
    </w:p>
    <w:p w14:paraId="65EC2463" w14:textId="22D7EE44" w:rsidR="005C345F" w:rsidRDefault="00CF7F8E" w:rsidP="00C515D5">
      <w:pPr>
        <w:spacing w:before="120" w:after="120" w:line="240" w:lineRule="auto"/>
        <w:jc w:val="both"/>
        <w:textAlignment w:val="baseline"/>
        <w:rPr>
          <w:rFonts w:ascii="Times New Roman" w:eastAsia="Times New Roman" w:hAnsi="Times New Roman"/>
          <w:sz w:val="27"/>
          <w:szCs w:val="27"/>
          <w:lang w:eastAsia="lv-LV"/>
        </w:rPr>
      </w:pPr>
      <w:r w:rsidRPr="00CF7F8E">
        <w:rPr>
          <w:rFonts w:ascii="Times New Roman" w:eastAsia="Times New Roman" w:hAnsi="Times New Roman"/>
          <w:sz w:val="27"/>
          <w:szCs w:val="27"/>
          <w:lang w:eastAsia="lv-LV"/>
        </w:rPr>
        <w:t>Ņemot vērā, ka jau 12. Saeimas laikā uzsākts darbs pie grozījumiem Elektroenerģijas tirgus likumā, lai nostiprinātu prasības atbalsta saņēmējiem</w:t>
      </w:r>
      <w:r w:rsidR="000300AE">
        <w:rPr>
          <w:rFonts w:ascii="Times New Roman" w:eastAsia="Times New Roman" w:hAnsi="Times New Roman"/>
          <w:sz w:val="27"/>
          <w:szCs w:val="27"/>
          <w:lang w:eastAsia="lv-LV"/>
        </w:rPr>
        <w:t xml:space="preserve"> OI mehānisma ietvaros</w:t>
      </w:r>
      <w:r w:rsidRPr="00CF7F8E">
        <w:rPr>
          <w:rFonts w:ascii="Times New Roman" w:eastAsia="Times New Roman" w:hAnsi="Times New Roman"/>
          <w:sz w:val="27"/>
          <w:szCs w:val="27"/>
          <w:lang w:eastAsia="lv-LV"/>
        </w:rPr>
        <w:t xml:space="preserve"> un</w:t>
      </w:r>
      <w:r w:rsidR="000300AE">
        <w:rPr>
          <w:rFonts w:ascii="Times New Roman" w:eastAsia="Times New Roman" w:hAnsi="Times New Roman"/>
          <w:sz w:val="27"/>
          <w:szCs w:val="27"/>
          <w:lang w:eastAsia="lv-LV"/>
        </w:rPr>
        <w:t xml:space="preserve"> likuma līmenī noteiktu elektrostaciju</w:t>
      </w:r>
      <w:r w:rsidRPr="00CF7F8E">
        <w:rPr>
          <w:rFonts w:ascii="Times New Roman" w:eastAsia="Times New Roman" w:hAnsi="Times New Roman"/>
          <w:sz w:val="27"/>
          <w:szCs w:val="27"/>
          <w:lang w:eastAsia="lv-LV"/>
        </w:rPr>
        <w:t xml:space="preserve"> kopējo kapitālieguldījumu IRR aprēķin</w:t>
      </w:r>
      <w:r w:rsidR="000300AE">
        <w:rPr>
          <w:rFonts w:ascii="Times New Roman" w:eastAsia="Times New Roman" w:hAnsi="Times New Roman"/>
          <w:sz w:val="27"/>
          <w:szCs w:val="27"/>
          <w:lang w:eastAsia="lv-LV"/>
        </w:rPr>
        <w:t>a principu,</w:t>
      </w:r>
      <w:r w:rsidR="005C345F">
        <w:rPr>
          <w:rFonts w:ascii="Times New Roman" w:eastAsia="Times New Roman" w:hAnsi="Times New Roman"/>
          <w:sz w:val="27"/>
          <w:szCs w:val="27"/>
          <w:lang w:eastAsia="lv-LV"/>
        </w:rPr>
        <w:t xml:space="preserve"> </w:t>
      </w:r>
      <w:r w:rsidR="005F51B4">
        <w:rPr>
          <w:rFonts w:ascii="Times New Roman" w:eastAsia="Times New Roman" w:hAnsi="Times New Roman"/>
          <w:sz w:val="27"/>
          <w:szCs w:val="27"/>
          <w:lang w:eastAsia="lv-LV"/>
        </w:rPr>
        <w:t xml:space="preserve">kā arī pilnveidotu neto norēķinu un izcelsmes apliecinājumu sistēmu, </w:t>
      </w:r>
      <w:r w:rsidR="000300AE">
        <w:rPr>
          <w:rFonts w:ascii="Times New Roman" w:eastAsia="Times New Roman" w:hAnsi="Times New Roman"/>
          <w:sz w:val="27"/>
          <w:szCs w:val="27"/>
          <w:lang w:eastAsia="lv-LV"/>
        </w:rPr>
        <w:t>šajā informatīvajā ziņojumā iekļauto</w:t>
      </w:r>
      <w:r w:rsidR="005C345F">
        <w:rPr>
          <w:rFonts w:ascii="Times New Roman" w:eastAsia="Times New Roman" w:hAnsi="Times New Roman"/>
          <w:sz w:val="27"/>
          <w:szCs w:val="27"/>
          <w:lang w:eastAsia="lv-LV"/>
        </w:rPr>
        <w:t xml:space="preserve"> risinājumu turpmākai virzībai</w:t>
      </w:r>
      <w:r w:rsidR="005F51B4">
        <w:rPr>
          <w:rFonts w:ascii="Times New Roman" w:eastAsia="Times New Roman" w:hAnsi="Times New Roman"/>
          <w:sz w:val="27"/>
          <w:szCs w:val="27"/>
          <w:lang w:eastAsia="lv-LV"/>
        </w:rPr>
        <w:t xml:space="preserve"> ir būtiska tālāka Elektroenerģijas tirgus likuma grozījumu virzība Saeimā</w:t>
      </w:r>
      <w:r w:rsidR="005C345F">
        <w:rPr>
          <w:rFonts w:ascii="Times New Roman" w:eastAsia="Times New Roman" w:hAnsi="Times New Roman"/>
          <w:sz w:val="27"/>
          <w:szCs w:val="27"/>
          <w:lang w:eastAsia="lv-LV"/>
        </w:rPr>
        <w:t xml:space="preserve"> </w:t>
      </w:r>
      <w:r w:rsidR="005F51B4">
        <w:rPr>
          <w:rFonts w:ascii="Times New Roman" w:eastAsia="Times New Roman" w:hAnsi="Times New Roman"/>
          <w:sz w:val="27"/>
          <w:szCs w:val="27"/>
          <w:lang w:eastAsia="lv-LV"/>
        </w:rPr>
        <w:t xml:space="preserve">un </w:t>
      </w:r>
      <w:r w:rsidR="005C345F">
        <w:rPr>
          <w:rFonts w:ascii="Times New Roman" w:eastAsia="Times New Roman" w:hAnsi="Times New Roman"/>
          <w:sz w:val="27"/>
          <w:szCs w:val="27"/>
          <w:lang w:eastAsia="lv-LV"/>
        </w:rPr>
        <w:t>iesniedzami papildu priekšlikumi</w:t>
      </w:r>
      <w:r w:rsidR="005F51B4">
        <w:rPr>
          <w:rFonts w:ascii="Times New Roman" w:eastAsia="Times New Roman" w:hAnsi="Times New Roman"/>
          <w:sz w:val="27"/>
          <w:szCs w:val="27"/>
          <w:lang w:eastAsia="lv-LV"/>
        </w:rPr>
        <w:t xml:space="preserve"> minētajiem </w:t>
      </w:r>
      <w:r w:rsidR="005C345F">
        <w:rPr>
          <w:rFonts w:ascii="Times New Roman" w:eastAsia="Times New Roman" w:hAnsi="Times New Roman"/>
          <w:sz w:val="27"/>
          <w:szCs w:val="27"/>
          <w:lang w:eastAsia="lv-LV"/>
        </w:rPr>
        <w:t>grozījumiem. Ekonomikas ministr</w:t>
      </w:r>
      <w:r w:rsidR="0036537D">
        <w:rPr>
          <w:rFonts w:ascii="Times New Roman" w:eastAsia="Times New Roman" w:hAnsi="Times New Roman"/>
          <w:sz w:val="27"/>
          <w:szCs w:val="27"/>
          <w:lang w:eastAsia="lv-LV"/>
        </w:rPr>
        <w:t>a</w:t>
      </w:r>
      <w:r w:rsidR="005C345F">
        <w:rPr>
          <w:rFonts w:ascii="Times New Roman" w:eastAsia="Times New Roman" w:hAnsi="Times New Roman"/>
          <w:sz w:val="27"/>
          <w:szCs w:val="27"/>
          <w:lang w:eastAsia="lv-LV"/>
        </w:rPr>
        <w:t xml:space="preserve"> priekšlikumi Saeimas T</w:t>
      </w:r>
      <w:r w:rsidR="005C345F" w:rsidRPr="005C345F">
        <w:rPr>
          <w:rFonts w:ascii="Times New Roman" w:eastAsia="Times New Roman" w:hAnsi="Times New Roman"/>
          <w:sz w:val="27"/>
          <w:szCs w:val="27"/>
          <w:lang w:eastAsia="lv-LV"/>
        </w:rPr>
        <w:t>autsaimniecības agrārās vides un reģionālās politikas komisija</w:t>
      </w:r>
      <w:r w:rsidR="005C345F">
        <w:rPr>
          <w:rFonts w:ascii="Times New Roman" w:eastAsia="Times New Roman" w:hAnsi="Times New Roman"/>
          <w:sz w:val="27"/>
          <w:szCs w:val="27"/>
          <w:lang w:eastAsia="lv-LV"/>
        </w:rPr>
        <w:t xml:space="preserve">i </w:t>
      </w:r>
      <w:r w:rsidR="0036537D">
        <w:rPr>
          <w:rFonts w:ascii="Times New Roman" w:eastAsia="Times New Roman" w:hAnsi="Times New Roman"/>
          <w:sz w:val="27"/>
          <w:szCs w:val="27"/>
          <w:lang w:eastAsia="lv-LV"/>
        </w:rPr>
        <w:t>Elektroenerģijas tirgus likuma grozījumiem 2.lasījumam iesniegti līdz ar</w:t>
      </w:r>
      <w:r w:rsidR="005C345F">
        <w:rPr>
          <w:rFonts w:ascii="Times New Roman" w:eastAsia="Times New Roman" w:hAnsi="Times New Roman"/>
          <w:sz w:val="27"/>
          <w:szCs w:val="27"/>
          <w:lang w:eastAsia="lv-LV"/>
        </w:rPr>
        <w:t xml:space="preserve"> šī informatīvā ziņojuma </w:t>
      </w:r>
      <w:r w:rsidR="0036537D">
        <w:rPr>
          <w:rFonts w:ascii="Times New Roman" w:eastAsia="Times New Roman" w:hAnsi="Times New Roman"/>
          <w:sz w:val="27"/>
          <w:szCs w:val="27"/>
          <w:lang w:eastAsia="lv-LV"/>
        </w:rPr>
        <w:t>iesniegšanu Ministru kabinetā.</w:t>
      </w:r>
      <w:r w:rsidR="005F51B4">
        <w:rPr>
          <w:rFonts w:ascii="Times New Roman" w:eastAsia="Times New Roman" w:hAnsi="Times New Roman"/>
          <w:sz w:val="27"/>
          <w:szCs w:val="27"/>
          <w:lang w:eastAsia="lv-LV"/>
        </w:rPr>
        <w:t xml:space="preserve"> Elektroenerģijas tirgus likuma grozījumi kopā ar papildu iesniegtajiem ekonomikas ministra priekšlikumiem attieksies uz šādiem šajā informatīvajā ziņojumā minētajiem risinājumiem:</w:t>
      </w:r>
    </w:p>
    <w:p w14:paraId="7D5D832F" w14:textId="55FF44C6" w:rsidR="0034339D" w:rsidRDefault="002711E4" w:rsidP="008D06DB">
      <w:pPr>
        <w:pStyle w:val="ListParagraph"/>
        <w:numPr>
          <w:ilvl w:val="0"/>
          <w:numId w:val="27"/>
        </w:numPr>
        <w:spacing w:before="120" w:after="120" w:line="240" w:lineRule="auto"/>
        <w:jc w:val="both"/>
        <w:rPr>
          <w:rFonts w:ascii="Times New Roman" w:hAnsi="Times New Roman"/>
          <w:sz w:val="27"/>
          <w:szCs w:val="27"/>
        </w:rPr>
      </w:pPr>
      <w:r>
        <w:rPr>
          <w:rFonts w:ascii="Times New Roman" w:hAnsi="Times New Roman"/>
          <w:sz w:val="27"/>
          <w:szCs w:val="27"/>
        </w:rPr>
        <w:t>enerģētikas nozares valsts atbalsta sistēmas darbības regulēšanas</w:t>
      </w:r>
      <w:r w:rsidR="00E37F67">
        <w:rPr>
          <w:rFonts w:ascii="Times New Roman" w:hAnsi="Times New Roman"/>
          <w:sz w:val="27"/>
          <w:szCs w:val="27"/>
        </w:rPr>
        <w:t xml:space="preserve"> nodevas </w:t>
      </w:r>
      <w:r w:rsidR="0034339D" w:rsidRPr="0034339D">
        <w:rPr>
          <w:rFonts w:ascii="Times New Roman" w:hAnsi="Times New Roman"/>
          <w:sz w:val="27"/>
          <w:szCs w:val="27"/>
        </w:rPr>
        <w:t>ieviešana</w:t>
      </w:r>
      <w:r w:rsidR="004B1410">
        <w:rPr>
          <w:rFonts w:ascii="Times New Roman" w:hAnsi="Times New Roman"/>
          <w:sz w:val="27"/>
          <w:szCs w:val="27"/>
        </w:rPr>
        <w:t xml:space="preserve"> (I.1.1.)</w:t>
      </w:r>
    </w:p>
    <w:p w14:paraId="551494FE" w14:textId="059F4D73" w:rsidR="005F51B4" w:rsidRPr="005F51B4" w:rsidRDefault="005F51B4" w:rsidP="008D06DB">
      <w:pPr>
        <w:pStyle w:val="ListParagraph"/>
        <w:numPr>
          <w:ilvl w:val="0"/>
          <w:numId w:val="27"/>
        </w:numPr>
        <w:spacing w:before="120" w:after="120" w:line="240" w:lineRule="auto"/>
        <w:jc w:val="both"/>
        <w:rPr>
          <w:rFonts w:ascii="Times New Roman" w:hAnsi="Times New Roman"/>
          <w:sz w:val="27"/>
          <w:szCs w:val="27"/>
        </w:rPr>
      </w:pPr>
      <w:r>
        <w:rPr>
          <w:rFonts w:ascii="Times New Roman" w:hAnsi="Times New Roman"/>
          <w:sz w:val="27"/>
          <w:szCs w:val="27"/>
        </w:rPr>
        <w:t>s</w:t>
      </w:r>
      <w:r w:rsidRPr="005F51B4">
        <w:rPr>
          <w:rFonts w:ascii="Times New Roman" w:hAnsi="Times New Roman"/>
          <w:sz w:val="27"/>
          <w:szCs w:val="27"/>
        </w:rPr>
        <w:t>tingrāku elektrostaciju darbības nosacījumu ieviešana (I.2.1</w:t>
      </w:r>
      <w:r w:rsidR="001E1A1C">
        <w:rPr>
          <w:rFonts w:ascii="Times New Roman" w:hAnsi="Times New Roman"/>
          <w:sz w:val="27"/>
          <w:szCs w:val="27"/>
        </w:rPr>
        <w:t>.</w:t>
      </w:r>
      <w:r w:rsidRPr="005F51B4">
        <w:rPr>
          <w:rFonts w:ascii="Times New Roman" w:hAnsi="Times New Roman"/>
          <w:sz w:val="27"/>
          <w:szCs w:val="27"/>
        </w:rPr>
        <w:t>).</w:t>
      </w:r>
    </w:p>
    <w:p w14:paraId="11A4BE9A" w14:textId="4B6AE64E" w:rsidR="005F51B4" w:rsidRPr="005F51B4" w:rsidRDefault="005F51B4" w:rsidP="008D06DB">
      <w:pPr>
        <w:pStyle w:val="ListParagraph"/>
        <w:numPr>
          <w:ilvl w:val="0"/>
          <w:numId w:val="27"/>
        </w:numPr>
        <w:spacing w:before="120" w:after="120" w:line="240" w:lineRule="auto"/>
        <w:jc w:val="both"/>
        <w:rPr>
          <w:rFonts w:ascii="Times New Roman" w:hAnsi="Times New Roman"/>
          <w:sz w:val="27"/>
          <w:szCs w:val="27"/>
        </w:rPr>
      </w:pPr>
      <w:r>
        <w:rPr>
          <w:rFonts w:ascii="Times New Roman" w:hAnsi="Times New Roman"/>
          <w:sz w:val="27"/>
          <w:szCs w:val="27"/>
        </w:rPr>
        <w:t>s</w:t>
      </w:r>
      <w:r w:rsidRPr="005F51B4">
        <w:rPr>
          <w:rFonts w:ascii="Times New Roman" w:hAnsi="Times New Roman"/>
          <w:sz w:val="27"/>
          <w:szCs w:val="27"/>
        </w:rPr>
        <w:t>tingrāku sankciju noteikšana par OI saņēmēju pārkāpumiem (I.2.3</w:t>
      </w:r>
      <w:r w:rsidR="001E1A1C">
        <w:rPr>
          <w:rFonts w:ascii="Times New Roman" w:hAnsi="Times New Roman"/>
          <w:sz w:val="27"/>
          <w:szCs w:val="27"/>
        </w:rPr>
        <w:t>.</w:t>
      </w:r>
      <w:r w:rsidRPr="005F51B4">
        <w:rPr>
          <w:rFonts w:ascii="Times New Roman" w:hAnsi="Times New Roman"/>
          <w:sz w:val="27"/>
          <w:szCs w:val="27"/>
        </w:rPr>
        <w:t>)</w:t>
      </w:r>
    </w:p>
    <w:p w14:paraId="7830C3C1" w14:textId="709592FB" w:rsidR="005F51B4" w:rsidRPr="005F51B4" w:rsidRDefault="005F51B4" w:rsidP="008D06DB">
      <w:pPr>
        <w:pStyle w:val="ListParagraph"/>
        <w:numPr>
          <w:ilvl w:val="0"/>
          <w:numId w:val="27"/>
        </w:numPr>
        <w:spacing w:before="120" w:after="120" w:line="256" w:lineRule="auto"/>
        <w:jc w:val="both"/>
        <w:rPr>
          <w:rFonts w:ascii="Times New Roman" w:hAnsi="Times New Roman"/>
          <w:sz w:val="27"/>
          <w:szCs w:val="27"/>
        </w:rPr>
      </w:pPr>
      <w:r>
        <w:rPr>
          <w:rFonts w:ascii="Times New Roman" w:hAnsi="Times New Roman"/>
          <w:sz w:val="27"/>
          <w:szCs w:val="27"/>
        </w:rPr>
        <w:t>p</w:t>
      </w:r>
      <w:r w:rsidRPr="005F51B4">
        <w:rPr>
          <w:rFonts w:ascii="Times New Roman" w:hAnsi="Times New Roman"/>
          <w:sz w:val="27"/>
          <w:szCs w:val="27"/>
        </w:rPr>
        <w:t>ārkompensācijas novēršanas mehānisma pilnveide (I.3.2.)</w:t>
      </w:r>
    </w:p>
    <w:p w14:paraId="1BAF1DEE" w14:textId="5F121AA5" w:rsidR="005F51B4" w:rsidRPr="005F51B4" w:rsidRDefault="005F51B4" w:rsidP="008D06DB">
      <w:pPr>
        <w:pStyle w:val="ListParagraph"/>
        <w:numPr>
          <w:ilvl w:val="0"/>
          <w:numId w:val="27"/>
        </w:numPr>
        <w:spacing w:before="120" w:after="120" w:line="240" w:lineRule="auto"/>
        <w:jc w:val="both"/>
        <w:textAlignment w:val="baseline"/>
        <w:rPr>
          <w:rFonts w:ascii="Times New Roman" w:eastAsia="Times New Roman" w:hAnsi="Times New Roman"/>
          <w:sz w:val="27"/>
          <w:szCs w:val="27"/>
          <w:lang w:eastAsia="lv-LV"/>
        </w:rPr>
      </w:pPr>
      <w:r w:rsidRPr="005F51B4">
        <w:rPr>
          <w:rFonts w:ascii="Times New Roman" w:eastAsia="Times New Roman" w:hAnsi="Times New Roman"/>
          <w:sz w:val="27"/>
          <w:szCs w:val="27"/>
          <w:lang w:eastAsia="lv-LV"/>
        </w:rPr>
        <w:t>izcelsmes apliecinājumu sistēm</w:t>
      </w:r>
      <w:r>
        <w:rPr>
          <w:rFonts w:ascii="Times New Roman" w:eastAsia="Times New Roman" w:hAnsi="Times New Roman"/>
          <w:sz w:val="27"/>
          <w:szCs w:val="27"/>
          <w:lang w:eastAsia="lv-LV"/>
        </w:rPr>
        <w:t>as pilnveidošana</w:t>
      </w:r>
      <w:r w:rsidRPr="005F51B4">
        <w:rPr>
          <w:rFonts w:ascii="Times New Roman" w:eastAsia="Times New Roman" w:hAnsi="Times New Roman"/>
          <w:sz w:val="27"/>
          <w:szCs w:val="27"/>
          <w:lang w:eastAsia="lv-LV"/>
        </w:rPr>
        <w:t xml:space="preserve"> (I.4.1.), tostarp </w:t>
      </w:r>
      <w:r>
        <w:rPr>
          <w:rFonts w:ascii="Times New Roman" w:eastAsia="Times New Roman" w:hAnsi="Times New Roman"/>
          <w:sz w:val="27"/>
          <w:szCs w:val="27"/>
          <w:lang w:eastAsia="lv-LV"/>
        </w:rPr>
        <w:t>i</w:t>
      </w:r>
      <w:r w:rsidRPr="005F51B4">
        <w:rPr>
          <w:rFonts w:ascii="Times New Roman" w:eastAsia="Times New Roman" w:hAnsi="Times New Roman"/>
          <w:sz w:val="27"/>
          <w:szCs w:val="27"/>
          <w:lang w:eastAsia="lv-LV"/>
        </w:rPr>
        <w:t>eņēmumu no izcelsmes apliecinājumiem novirzīšana OIK izmaksu mazināšanai (I.5.3</w:t>
      </w:r>
      <w:r w:rsidR="001E1A1C">
        <w:rPr>
          <w:rFonts w:ascii="Times New Roman" w:eastAsia="Times New Roman" w:hAnsi="Times New Roman"/>
          <w:sz w:val="27"/>
          <w:szCs w:val="27"/>
          <w:lang w:eastAsia="lv-LV"/>
        </w:rPr>
        <w:t>.</w:t>
      </w:r>
      <w:r w:rsidRPr="005F51B4">
        <w:rPr>
          <w:rFonts w:ascii="Times New Roman" w:eastAsia="Times New Roman" w:hAnsi="Times New Roman"/>
          <w:sz w:val="27"/>
          <w:szCs w:val="27"/>
          <w:lang w:eastAsia="lv-LV"/>
        </w:rPr>
        <w:t>)</w:t>
      </w:r>
    </w:p>
    <w:p w14:paraId="72762E2D" w14:textId="1FB23569" w:rsidR="005F51B4" w:rsidRPr="005F51B4" w:rsidRDefault="005F51B4" w:rsidP="008D06DB">
      <w:pPr>
        <w:pStyle w:val="ListParagraph"/>
        <w:numPr>
          <w:ilvl w:val="0"/>
          <w:numId w:val="27"/>
        </w:numPr>
        <w:spacing w:before="120" w:after="120" w:line="240" w:lineRule="auto"/>
        <w:jc w:val="both"/>
        <w:textAlignment w:val="baseline"/>
        <w:rPr>
          <w:rFonts w:ascii="Times New Roman" w:eastAsia="Times New Roman" w:hAnsi="Times New Roman"/>
          <w:sz w:val="27"/>
          <w:szCs w:val="27"/>
          <w:lang w:eastAsia="lv-LV"/>
        </w:rPr>
      </w:pPr>
      <w:r>
        <w:rPr>
          <w:rFonts w:ascii="Times New Roman" w:eastAsia="Times New Roman" w:hAnsi="Times New Roman"/>
          <w:sz w:val="27"/>
          <w:szCs w:val="27"/>
          <w:lang w:eastAsia="lv-LV"/>
        </w:rPr>
        <w:t>n</w:t>
      </w:r>
      <w:r w:rsidRPr="005F51B4">
        <w:rPr>
          <w:rFonts w:ascii="Times New Roman" w:eastAsia="Times New Roman" w:hAnsi="Times New Roman"/>
          <w:sz w:val="27"/>
          <w:szCs w:val="27"/>
          <w:lang w:eastAsia="lv-LV"/>
        </w:rPr>
        <w:t>eto sistēmas pilnveide elektroenerģijas pašpatērētājiem (I.5.2.)</w:t>
      </w:r>
    </w:p>
    <w:p w14:paraId="3E88BB52" w14:textId="3B61E2EF" w:rsidR="0036537D" w:rsidRDefault="0036537D" w:rsidP="00C515D5">
      <w:pPr>
        <w:spacing w:before="120" w:after="120" w:line="240" w:lineRule="auto"/>
        <w:jc w:val="both"/>
        <w:textAlignment w:val="baseline"/>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Tālākai piedāvāto risinājumu īstenošanai nepieciešams izstrādāt grozījumus </w:t>
      </w:r>
      <w:r w:rsidR="00E53809">
        <w:rPr>
          <w:rFonts w:ascii="Times New Roman" w:eastAsia="Times New Roman" w:hAnsi="Times New Roman"/>
          <w:sz w:val="27"/>
          <w:szCs w:val="27"/>
          <w:lang w:eastAsia="lv-LV"/>
        </w:rPr>
        <w:t>citos normatīvajos aktos, kas ietver nosacījumus OI mehānisma uzraudzībai</w:t>
      </w:r>
      <w:r w:rsidR="002D05C8">
        <w:rPr>
          <w:rFonts w:ascii="Times New Roman" w:eastAsia="Times New Roman" w:hAnsi="Times New Roman"/>
          <w:sz w:val="27"/>
          <w:szCs w:val="27"/>
          <w:lang w:eastAsia="lv-LV"/>
        </w:rPr>
        <w:t xml:space="preserve">. Ņemot vērā, ka daļu grozījumu iespējams veikt tikai pēc grozījumu pieņemšanas Elektroenerģijas tirgus likumā, bet attiecībā uz kopējo kapitālieguldījumu IRR aprēķina pilnveidi – pēc </w:t>
      </w:r>
      <w:r w:rsidR="002D05C8">
        <w:rPr>
          <w:rFonts w:ascii="Times New Roman" w:eastAsia="Times New Roman" w:hAnsi="Times New Roman"/>
          <w:sz w:val="27"/>
          <w:szCs w:val="27"/>
          <w:lang w:eastAsia="lv-LV"/>
        </w:rPr>
        <w:lastRenderedPageBreak/>
        <w:t xml:space="preserve">pētījuma veikšanas par atbilstošu </w:t>
      </w:r>
      <w:proofErr w:type="spellStart"/>
      <w:r w:rsidR="002D05C8">
        <w:rPr>
          <w:rFonts w:ascii="Times New Roman" w:eastAsia="Times New Roman" w:hAnsi="Times New Roman"/>
          <w:sz w:val="27"/>
          <w:szCs w:val="27"/>
          <w:lang w:eastAsia="lv-LV"/>
        </w:rPr>
        <w:t>līmeņatzīmju</w:t>
      </w:r>
      <w:proofErr w:type="spellEnd"/>
      <w:r w:rsidR="002D05C8">
        <w:rPr>
          <w:rFonts w:ascii="Times New Roman" w:eastAsia="Times New Roman" w:hAnsi="Times New Roman"/>
          <w:sz w:val="27"/>
          <w:szCs w:val="27"/>
          <w:lang w:eastAsia="lv-LV"/>
        </w:rPr>
        <w:t xml:space="preserve"> noteikšanu, grozījumi izstrādājami vairākās kārtās:</w:t>
      </w:r>
    </w:p>
    <w:p w14:paraId="3F689745" w14:textId="30282294" w:rsidR="00601919" w:rsidRDefault="002D05C8" w:rsidP="00601919">
      <w:pPr>
        <w:spacing w:before="120" w:after="120" w:line="240" w:lineRule="auto"/>
        <w:jc w:val="both"/>
        <w:textAlignment w:val="baseline"/>
        <w:rPr>
          <w:rFonts w:ascii="Times New Roman" w:eastAsia="Times New Roman" w:hAnsi="Times New Roman"/>
          <w:sz w:val="27"/>
          <w:szCs w:val="27"/>
          <w:lang w:eastAsia="lv-LV"/>
        </w:rPr>
      </w:pPr>
      <w:r>
        <w:rPr>
          <w:rFonts w:ascii="Times New Roman" w:eastAsia="Times New Roman" w:hAnsi="Times New Roman"/>
          <w:sz w:val="27"/>
          <w:szCs w:val="27"/>
          <w:lang w:eastAsia="lv-LV"/>
        </w:rPr>
        <w:tab/>
        <w:t>1) 2019.gada vasarā</w:t>
      </w:r>
      <w:r w:rsidR="00F74A20">
        <w:rPr>
          <w:rFonts w:ascii="Times New Roman" w:eastAsia="Times New Roman" w:hAnsi="Times New Roman"/>
          <w:sz w:val="27"/>
          <w:szCs w:val="27"/>
          <w:lang w:eastAsia="lv-LV"/>
        </w:rPr>
        <w:t xml:space="preserve"> un rudenī</w:t>
      </w:r>
      <w:r>
        <w:rPr>
          <w:rFonts w:ascii="Times New Roman" w:eastAsia="Times New Roman" w:hAnsi="Times New Roman"/>
          <w:sz w:val="27"/>
          <w:szCs w:val="27"/>
          <w:lang w:eastAsia="lv-LV"/>
        </w:rPr>
        <w:t xml:space="preserve"> </w:t>
      </w:r>
      <w:r w:rsidR="00601919">
        <w:rPr>
          <w:rFonts w:ascii="Times New Roman" w:eastAsia="Times New Roman" w:hAnsi="Times New Roman"/>
          <w:sz w:val="27"/>
          <w:szCs w:val="27"/>
          <w:lang w:eastAsia="lv-LV"/>
        </w:rPr>
        <w:t>attiecībā uz:</w:t>
      </w:r>
    </w:p>
    <w:p w14:paraId="727611EE" w14:textId="6A13F4EA" w:rsidR="009C544D" w:rsidRPr="009C544D" w:rsidRDefault="009C544D" w:rsidP="008D06DB">
      <w:pPr>
        <w:pStyle w:val="ListParagraph"/>
        <w:numPr>
          <w:ilvl w:val="0"/>
          <w:numId w:val="25"/>
        </w:numPr>
        <w:spacing w:before="120" w:after="120" w:line="240" w:lineRule="auto"/>
        <w:jc w:val="both"/>
        <w:textAlignment w:val="baseline"/>
        <w:rPr>
          <w:rFonts w:ascii="Times New Roman" w:hAnsi="Times New Roman"/>
          <w:sz w:val="27"/>
          <w:szCs w:val="27"/>
        </w:rPr>
      </w:pPr>
      <w:r w:rsidRPr="009C544D">
        <w:rPr>
          <w:rFonts w:ascii="Times New Roman" w:hAnsi="Times New Roman"/>
          <w:sz w:val="27"/>
          <w:szCs w:val="27"/>
        </w:rPr>
        <w:t>OI mehānisma uzraudzības funkcijas nodošan</w:t>
      </w:r>
      <w:r>
        <w:rPr>
          <w:rFonts w:ascii="Times New Roman" w:hAnsi="Times New Roman"/>
          <w:sz w:val="27"/>
          <w:szCs w:val="27"/>
        </w:rPr>
        <w:t>u</w:t>
      </w:r>
      <w:r w:rsidRPr="009C544D">
        <w:rPr>
          <w:rFonts w:ascii="Times New Roman" w:hAnsi="Times New Roman"/>
          <w:sz w:val="27"/>
          <w:szCs w:val="27"/>
        </w:rPr>
        <w:t xml:space="preserve"> </w:t>
      </w:r>
      <w:r w:rsidR="006B0341">
        <w:rPr>
          <w:rFonts w:ascii="Times New Roman" w:hAnsi="Times New Roman"/>
          <w:sz w:val="27"/>
          <w:szCs w:val="27"/>
        </w:rPr>
        <w:t>BVKB</w:t>
      </w:r>
      <w:r w:rsidR="00672998">
        <w:rPr>
          <w:rFonts w:ascii="Times New Roman" w:hAnsi="Times New Roman"/>
          <w:sz w:val="27"/>
          <w:szCs w:val="27"/>
        </w:rPr>
        <w:t xml:space="preserve"> ar spēkā stāšanos no 2020.gada 1.janvāra (</w:t>
      </w:r>
      <w:r w:rsidR="005F51B4">
        <w:rPr>
          <w:rFonts w:ascii="Times New Roman" w:hAnsi="Times New Roman"/>
          <w:sz w:val="27"/>
          <w:szCs w:val="27"/>
        </w:rPr>
        <w:t>I.</w:t>
      </w:r>
      <w:r w:rsidR="00672998">
        <w:rPr>
          <w:rFonts w:ascii="Times New Roman" w:hAnsi="Times New Roman"/>
          <w:sz w:val="27"/>
          <w:szCs w:val="27"/>
        </w:rPr>
        <w:t>1.1.);</w:t>
      </w:r>
    </w:p>
    <w:p w14:paraId="387194DE" w14:textId="35C55804" w:rsidR="00601919" w:rsidRPr="00601919" w:rsidRDefault="008012B3" w:rsidP="008D06DB">
      <w:pPr>
        <w:pStyle w:val="ListParagraph"/>
        <w:numPr>
          <w:ilvl w:val="0"/>
          <w:numId w:val="25"/>
        </w:numPr>
        <w:spacing w:before="120" w:after="120" w:line="240" w:lineRule="auto"/>
        <w:jc w:val="both"/>
        <w:textAlignment w:val="baseline"/>
        <w:rPr>
          <w:rFonts w:ascii="Times New Roman" w:hAnsi="Times New Roman"/>
          <w:sz w:val="27"/>
          <w:szCs w:val="27"/>
        </w:rPr>
      </w:pPr>
      <w:r>
        <w:rPr>
          <w:rFonts w:ascii="Times New Roman" w:hAnsi="Times New Roman"/>
          <w:sz w:val="27"/>
          <w:szCs w:val="27"/>
        </w:rPr>
        <w:t>p</w:t>
      </w:r>
      <w:r w:rsidR="00601919" w:rsidRPr="00601919">
        <w:rPr>
          <w:rFonts w:ascii="Times New Roman" w:hAnsi="Times New Roman"/>
          <w:sz w:val="27"/>
          <w:szCs w:val="27"/>
        </w:rPr>
        <w:t>apildu prasību noteikšan</w:t>
      </w:r>
      <w:r w:rsidR="009C544D">
        <w:rPr>
          <w:rFonts w:ascii="Times New Roman" w:hAnsi="Times New Roman"/>
          <w:sz w:val="27"/>
          <w:szCs w:val="27"/>
        </w:rPr>
        <w:t>u</w:t>
      </w:r>
      <w:r w:rsidR="00601919" w:rsidRPr="00601919">
        <w:rPr>
          <w:rFonts w:ascii="Times New Roman" w:hAnsi="Times New Roman"/>
          <w:sz w:val="27"/>
          <w:szCs w:val="27"/>
        </w:rPr>
        <w:t xml:space="preserve"> biogāzes stacijām attiecībā uz atlikumproduktu, tostarp kūtsmēslu, izmantošanu</w:t>
      </w:r>
      <w:r w:rsidR="00672998">
        <w:rPr>
          <w:rFonts w:ascii="Times New Roman" w:hAnsi="Times New Roman"/>
          <w:sz w:val="27"/>
          <w:szCs w:val="27"/>
        </w:rPr>
        <w:t xml:space="preserve"> (</w:t>
      </w:r>
      <w:r w:rsidR="005F51B4">
        <w:rPr>
          <w:rFonts w:ascii="Times New Roman" w:hAnsi="Times New Roman"/>
          <w:sz w:val="27"/>
          <w:szCs w:val="27"/>
        </w:rPr>
        <w:t>I.</w:t>
      </w:r>
      <w:r w:rsidR="00672998" w:rsidRPr="00601919">
        <w:rPr>
          <w:rFonts w:ascii="Times New Roman" w:eastAsia="Times New Roman" w:hAnsi="Times New Roman"/>
          <w:sz w:val="27"/>
          <w:szCs w:val="27"/>
          <w:lang w:eastAsia="lv-LV"/>
        </w:rPr>
        <w:t>2.</w:t>
      </w:r>
      <w:r w:rsidR="00672998" w:rsidRPr="00601919">
        <w:rPr>
          <w:rFonts w:ascii="Times New Roman" w:hAnsi="Times New Roman"/>
          <w:sz w:val="27"/>
          <w:szCs w:val="27"/>
        </w:rPr>
        <w:t>2.</w:t>
      </w:r>
      <w:r w:rsidR="00672998">
        <w:rPr>
          <w:rFonts w:ascii="Times New Roman" w:hAnsi="Times New Roman"/>
          <w:sz w:val="27"/>
          <w:szCs w:val="27"/>
        </w:rPr>
        <w:t>);</w:t>
      </w:r>
    </w:p>
    <w:p w14:paraId="7868E495" w14:textId="7ED77AD9" w:rsidR="00601919" w:rsidRPr="00601919" w:rsidRDefault="008012B3" w:rsidP="008D06DB">
      <w:pPr>
        <w:pStyle w:val="ListParagraph"/>
        <w:numPr>
          <w:ilvl w:val="0"/>
          <w:numId w:val="25"/>
        </w:numPr>
        <w:spacing w:before="120" w:after="120" w:line="240" w:lineRule="auto"/>
        <w:jc w:val="both"/>
        <w:rPr>
          <w:rFonts w:ascii="Times New Roman" w:hAnsi="Times New Roman"/>
          <w:sz w:val="27"/>
          <w:szCs w:val="27"/>
        </w:rPr>
      </w:pPr>
      <w:r>
        <w:rPr>
          <w:rFonts w:ascii="Times New Roman" w:hAnsi="Times New Roman"/>
          <w:sz w:val="27"/>
          <w:szCs w:val="27"/>
        </w:rPr>
        <w:t>s</w:t>
      </w:r>
      <w:r w:rsidR="00601919" w:rsidRPr="00601919">
        <w:rPr>
          <w:rFonts w:ascii="Times New Roman" w:hAnsi="Times New Roman"/>
          <w:sz w:val="27"/>
          <w:szCs w:val="27"/>
        </w:rPr>
        <w:t>tingrāku sankciju noteikšan</w:t>
      </w:r>
      <w:r w:rsidR="009C544D">
        <w:rPr>
          <w:rFonts w:ascii="Times New Roman" w:hAnsi="Times New Roman"/>
          <w:sz w:val="27"/>
          <w:szCs w:val="27"/>
        </w:rPr>
        <w:t>u</w:t>
      </w:r>
      <w:r w:rsidR="00601919" w:rsidRPr="00601919">
        <w:rPr>
          <w:rFonts w:ascii="Times New Roman" w:hAnsi="Times New Roman"/>
          <w:sz w:val="27"/>
          <w:szCs w:val="27"/>
        </w:rPr>
        <w:t xml:space="preserve"> par OI saņēmēju pārkāpumiem</w:t>
      </w:r>
      <w:r w:rsidR="00672998">
        <w:rPr>
          <w:rFonts w:ascii="Times New Roman" w:hAnsi="Times New Roman"/>
          <w:sz w:val="27"/>
          <w:szCs w:val="27"/>
        </w:rPr>
        <w:t xml:space="preserve"> (</w:t>
      </w:r>
      <w:r w:rsidR="005F51B4">
        <w:rPr>
          <w:rFonts w:ascii="Times New Roman" w:hAnsi="Times New Roman"/>
          <w:sz w:val="27"/>
          <w:szCs w:val="27"/>
        </w:rPr>
        <w:t>I.</w:t>
      </w:r>
      <w:r w:rsidR="00672998">
        <w:rPr>
          <w:rFonts w:ascii="Times New Roman" w:hAnsi="Times New Roman"/>
          <w:sz w:val="27"/>
          <w:szCs w:val="27"/>
        </w:rPr>
        <w:t>2.3</w:t>
      </w:r>
      <w:r w:rsidR="00AF5EC9">
        <w:rPr>
          <w:rFonts w:ascii="Times New Roman" w:hAnsi="Times New Roman"/>
          <w:sz w:val="27"/>
          <w:szCs w:val="27"/>
        </w:rPr>
        <w:t>.</w:t>
      </w:r>
      <w:r w:rsidR="00672998">
        <w:rPr>
          <w:rFonts w:ascii="Times New Roman" w:hAnsi="Times New Roman"/>
          <w:sz w:val="27"/>
          <w:szCs w:val="27"/>
        </w:rPr>
        <w:t>)</w:t>
      </w:r>
      <w:r w:rsidR="00601919">
        <w:rPr>
          <w:rFonts w:ascii="Times New Roman" w:hAnsi="Times New Roman"/>
          <w:sz w:val="27"/>
          <w:szCs w:val="27"/>
        </w:rPr>
        <w:t>;</w:t>
      </w:r>
    </w:p>
    <w:p w14:paraId="6B162375" w14:textId="19F127C3" w:rsidR="00601919" w:rsidRPr="00601919" w:rsidRDefault="008012B3" w:rsidP="008D06DB">
      <w:pPr>
        <w:pStyle w:val="ListParagraph"/>
        <w:numPr>
          <w:ilvl w:val="0"/>
          <w:numId w:val="25"/>
        </w:numPr>
        <w:spacing w:before="120" w:after="120" w:line="256" w:lineRule="auto"/>
        <w:jc w:val="both"/>
        <w:rPr>
          <w:rFonts w:ascii="Times New Roman" w:eastAsia="Times New Roman" w:hAnsi="Times New Roman"/>
          <w:sz w:val="27"/>
          <w:szCs w:val="27"/>
          <w:lang w:eastAsia="lv-LV"/>
        </w:rPr>
      </w:pPr>
      <w:r>
        <w:rPr>
          <w:rFonts w:ascii="Times New Roman" w:hAnsi="Times New Roman"/>
          <w:sz w:val="27"/>
          <w:szCs w:val="27"/>
        </w:rPr>
        <w:t>e</w:t>
      </w:r>
      <w:r w:rsidR="00601919" w:rsidRPr="00601919">
        <w:rPr>
          <w:rFonts w:ascii="Times New Roman" w:hAnsi="Times New Roman"/>
          <w:sz w:val="27"/>
          <w:szCs w:val="27"/>
        </w:rPr>
        <w:t>lektroenerģijas iepirkuma cenu formulu pārskatīšan</w:t>
      </w:r>
      <w:r w:rsidR="009C544D">
        <w:rPr>
          <w:rFonts w:ascii="Times New Roman" w:hAnsi="Times New Roman"/>
          <w:sz w:val="27"/>
          <w:szCs w:val="27"/>
        </w:rPr>
        <w:t>u</w:t>
      </w:r>
      <w:r w:rsidR="00601919" w:rsidRPr="00601919">
        <w:rPr>
          <w:rFonts w:ascii="Times New Roman" w:hAnsi="Times New Roman"/>
          <w:sz w:val="27"/>
          <w:szCs w:val="27"/>
        </w:rPr>
        <w:t xml:space="preserve"> ekspluatācijā nenodotām elektrostacijām</w:t>
      </w:r>
      <w:r w:rsidR="00672998">
        <w:rPr>
          <w:rFonts w:ascii="Times New Roman" w:hAnsi="Times New Roman"/>
          <w:sz w:val="27"/>
          <w:szCs w:val="27"/>
        </w:rPr>
        <w:t xml:space="preserve"> (</w:t>
      </w:r>
      <w:r w:rsidR="005F51B4">
        <w:rPr>
          <w:rFonts w:ascii="Times New Roman" w:hAnsi="Times New Roman"/>
          <w:sz w:val="27"/>
          <w:szCs w:val="27"/>
        </w:rPr>
        <w:t>I.</w:t>
      </w:r>
      <w:r w:rsidR="00672998" w:rsidRPr="00601919">
        <w:rPr>
          <w:rFonts w:ascii="Times New Roman" w:hAnsi="Times New Roman"/>
          <w:sz w:val="27"/>
          <w:szCs w:val="27"/>
        </w:rPr>
        <w:t>3.1.</w:t>
      </w:r>
      <w:r w:rsidR="00672998">
        <w:rPr>
          <w:rFonts w:ascii="Times New Roman" w:hAnsi="Times New Roman"/>
          <w:sz w:val="27"/>
          <w:szCs w:val="27"/>
        </w:rPr>
        <w:t>).</w:t>
      </w:r>
    </w:p>
    <w:p w14:paraId="7A4448D9" w14:textId="635916E4" w:rsidR="008012B3" w:rsidRDefault="00601919" w:rsidP="00672998">
      <w:pPr>
        <w:spacing w:before="120" w:after="120" w:line="256" w:lineRule="auto"/>
        <w:ind w:left="720"/>
        <w:jc w:val="both"/>
        <w:rPr>
          <w:rFonts w:ascii="Times New Roman" w:eastAsia="Times New Roman" w:hAnsi="Times New Roman"/>
          <w:sz w:val="27"/>
          <w:szCs w:val="27"/>
          <w:lang w:eastAsia="lv-LV"/>
        </w:rPr>
      </w:pPr>
      <w:r>
        <w:rPr>
          <w:rFonts w:ascii="Times New Roman" w:eastAsia="Times New Roman" w:hAnsi="Times New Roman"/>
          <w:sz w:val="27"/>
          <w:szCs w:val="27"/>
          <w:lang w:eastAsia="lv-LV"/>
        </w:rPr>
        <w:t xml:space="preserve">2) pēc grozījumu pieņemšanas Elektroenerģijas tirgus likumā </w:t>
      </w:r>
      <w:r w:rsidR="008012B3">
        <w:rPr>
          <w:rFonts w:ascii="Times New Roman" w:eastAsia="Times New Roman" w:hAnsi="Times New Roman"/>
          <w:sz w:val="27"/>
          <w:szCs w:val="27"/>
          <w:lang w:eastAsia="lv-LV"/>
        </w:rPr>
        <w:t>attiecībā uz:</w:t>
      </w:r>
    </w:p>
    <w:p w14:paraId="64EE9527" w14:textId="2E27453E" w:rsidR="00672998" w:rsidRDefault="008012B3" w:rsidP="008D06DB">
      <w:pPr>
        <w:pStyle w:val="ListParagraph"/>
        <w:numPr>
          <w:ilvl w:val="0"/>
          <w:numId w:val="26"/>
        </w:numPr>
        <w:spacing w:before="120" w:after="120" w:line="256" w:lineRule="auto"/>
        <w:jc w:val="both"/>
        <w:rPr>
          <w:rFonts w:ascii="Times New Roman" w:hAnsi="Times New Roman"/>
          <w:sz w:val="27"/>
          <w:szCs w:val="27"/>
        </w:rPr>
      </w:pPr>
      <w:r w:rsidRPr="008012B3">
        <w:rPr>
          <w:rFonts w:ascii="Times New Roman" w:hAnsi="Times New Roman"/>
          <w:sz w:val="27"/>
          <w:szCs w:val="27"/>
        </w:rPr>
        <w:t>s</w:t>
      </w:r>
      <w:r w:rsidR="00672998" w:rsidRPr="008012B3">
        <w:rPr>
          <w:rFonts w:ascii="Times New Roman" w:hAnsi="Times New Roman"/>
          <w:sz w:val="27"/>
          <w:szCs w:val="27"/>
        </w:rPr>
        <w:t>tingrāku elektrostaciju darbības nosacījumu ieviešan</w:t>
      </w:r>
      <w:r w:rsidRPr="008012B3">
        <w:rPr>
          <w:rFonts w:ascii="Times New Roman" w:hAnsi="Times New Roman"/>
          <w:sz w:val="27"/>
          <w:szCs w:val="27"/>
        </w:rPr>
        <w:t>u (</w:t>
      </w:r>
      <w:r w:rsidR="005F51B4">
        <w:rPr>
          <w:rFonts w:ascii="Times New Roman" w:hAnsi="Times New Roman"/>
          <w:sz w:val="27"/>
          <w:szCs w:val="27"/>
        </w:rPr>
        <w:t>I.</w:t>
      </w:r>
      <w:r w:rsidRPr="008012B3">
        <w:rPr>
          <w:rFonts w:ascii="Times New Roman" w:hAnsi="Times New Roman"/>
          <w:sz w:val="27"/>
          <w:szCs w:val="27"/>
        </w:rPr>
        <w:t>2.1.)</w:t>
      </w:r>
      <w:r>
        <w:rPr>
          <w:rFonts w:ascii="Times New Roman" w:hAnsi="Times New Roman"/>
          <w:sz w:val="27"/>
          <w:szCs w:val="27"/>
        </w:rPr>
        <w:t>;</w:t>
      </w:r>
    </w:p>
    <w:p w14:paraId="75051D1D" w14:textId="538F1BF6" w:rsidR="008012B3" w:rsidRDefault="00AF5EC9" w:rsidP="008D06DB">
      <w:pPr>
        <w:pStyle w:val="ListParagraph"/>
        <w:numPr>
          <w:ilvl w:val="0"/>
          <w:numId w:val="26"/>
        </w:numPr>
        <w:spacing w:before="120" w:after="120" w:line="256" w:lineRule="auto"/>
        <w:jc w:val="both"/>
        <w:rPr>
          <w:rFonts w:ascii="Times New Roman" w:hAnsi="Times New Roman"/>
          <w:sz w:val="27"/>
          <w:szCs w:val="27"/>
        </w:rPr>
      </w:pPr>
      <w:r>
        <w:rPr>
          <w:rFonts w:ascii="Times New Roman" w:hAnsi="Times New Roman"/>
          <w:sz w:val="27"/>
          <w:szCs w:val="27"/>
        </w:rPr>
        <w:t>p</w:t>
      </w:r>
      <w:r w:rsidRPr="00AF5EC9">
        <w:rPr>
          <w:rFonts w:ascii="Times New Roman" w:hAnsi="Times New Roman"/>
          <w:sz w:val="27"/>
          <w:szCs w:val="27"/>
        </w:rPr>
        <w:t>ārkompensācijas novēršanas mehānisma pilnveid</w:t>
      </w:r>
      <w:r>
        <w:rPr>
          <w:rFonts w:ascii="Times New Roman" w:hAnsi="Times New Roman"/>
          <w:sz w:val="27"/>
          <w:szCs w:val="27"/>
        </w:rPr>
        <w:t>i (</w:t>
      </w:r>
      <w:r w:rsidR="005F51B4">
        <w:rPr>
          <w:rFonts w:ascii="Times New Roman" w:hAnsi="Times New Roman"/>
          <w:sz w:val="27"/>
          <w:szCs w:val="27"/>
        </w:rPr>
        <w:t>I.</w:t>
      </w:r>
      <w:r>
        <w:rPr>
          <w:rFonts w:ascii="Times New Roman" w:hAnsi="Times New Roman"/>
          <w:sz w:val="27"/>
          <w:szCs w:val="27"/>
        </w:rPr>
        <w:t>3.2.)</w:t>
      </w:r>
      <w:r w:rsidR="001C222A">
        <w:rPr>
          <w:rFonts w:ascii="Times New Roman" w:hAnsi="Times New Roman"/>
          <w:sz w:val="27"/>
          <w:szCs w:val="27"/>
        </w:rPr>
        <w:t>.</w:t>
      </w:r>
    </w:p>
    <w:p w14:paraId="41E52092" w14:textId="58D8D050" w:rsidR="001C222A" w:rsidRPr="001C222A" w:rsidRDefault="001C222A" w:rsidP="001C222A">
      <w:pPr>
        <w:spacing w:before="120" w:after="120" w:line="256" w:lineRule="auto"/>
        <w:jc w:val="both"/>
        <w:rPr>
          <w:rFonts w:ascii="Times New Roman" w:hAnsi="Times New Roman"/>
          <w:sz w:val="27"/>
          <w:szCs w:val="27"/>
        </w:rPr>
      </w:pPr>
      <w:r>
        <w:rPr>
          <w:rFonts w:ascii="Times New Roman" w:hAnsi="Times New Roman"/>
          <w:sz w:val="27"/>
          <w:szCs w:val="27"/>
        </w:rPr>
        <w:t xml:space="preserve">Jāņem vērā, </w:t>
      </w:r>
      <w:r w:rsidR="00533DFB">
        <w:rPr>
          <w:rFonts w:ascii="Times New Roman" w:hAnsi="Times New Roman"/>
          <w:sz w:val="27"/>
          <w:szCs w:val="27"/>
        </w:rPr>
        <w:t xml:space="preserve">ka </w:t>
      </w:r>
      <w:r w:rsidR="00533DFB" w:rsidRPr="00533DFB">
        <w:rPr>
          <w:rFonts w:ascii="Times New Roman" w:hAnsi="Times New Roman"/>
          <w:sz w:val="27"/>
          <w:szCs w:val="27"/>
        </w:rPr>
        <w:t>gan esošo pasākumu izmaiņas, gan plānotie pasākumi, kas ietekmē valsts atbalsta apmēru,</w:t>
      </w:r>
      <w:r w:rsidR="00533DFB">
        <w:rPr>
          <w:rFonts w:ascii="Times New Roman" w:hAnsi="Times New Roman"/>
          <w:sz w:val="27"/>
          <w:szCs w:val="27"/>
        </w:rPr>
        <w:t xml:space="preserve"> </w:t>
      </w:r>
      <w:r>
        <w:rPr>
          <w:rFonts w:ascii="Times New Roman" w:hAnsi="Times New Roman"/>
          <w:sz w:val="27"/>
          <w:szCs w:val="27"/>
        </w:rPr>
        <w:t>vispirms ir paziņojami Eiropas Komisijai un var stāties spēkā pēc saskaņojuma saņemšanas no Eiropas Komisijas.</w:t>
      </w:r>
      <w:r w:rsidR="00533DFB">
        <w:rPr>
          <w:rFonts w:ascii="Times New Roman" w:hAnsi="Times New Roman"/>
          <w:sz w:val="27"/>
          <w:szCs w:val="27"/>
        </w:rPr>
        <w:t xml:space="preserve"> Attiecīgi </w:t>
      </w:r>
      <w:bookmarkStart w:id="34" w:name="_Hlk13046621"/>
      <w:r w:rsidR="00533DFB" w:rsidRPr="00533DFB">
        <w:rPr>
          <w:rFonts w:ascii="Times New Roman" w:hAnsi="Times New Roman"/>
          <w:sz w:val="27"/>
          <w:szCs w:val="27"/>
        </w:rPr>
        <w:t>Ekonomikas ministrija</w:t>
      </w:r>
      <w:r w:rsidR="00533DFB">
        <w:rPr>
          <w:rFonts w:ascii="Times New Roman" w:hAnsi="Times New Roman"/>
          <w:sz w:val="27"/>
          <w:szCs w:val="27"/>
        </w:rPr>
        <w:t>i</w:t>
      </w:r>
      <w:r w:rsidR="00533DFB" w:rsidRPr="00533DFB">
        <w:rPr>
          <w:rFonts w:ascii="Times New Roman" w:hAnsi="Times New Roman"/>
          <w:sz w:val="27"/>
          <w:szCs w:val="27"/>
        </w:rPr>
        <w:t xml:space="preserve"> ar Finanšu ministrijas starpniecību</w:t>
      </w:r>
      <w:r w:rsidR="00533DFB">
        <w:rPr>
          <w:rFonts w:ascii="Times New Roman" w:hAnsi="Times New Roman"/>
          <w:sz w:val="27"/>
          <w:szCs w:val="27"/>
        </w:rPr>
        <w:t xml:space="preserve"> </w:t>
      </w:r>
      <w:r w:rsidR="00DE4E5A">
        <w:rPr>
          <w:rFonts w:ascii="Times New Roman" w:hAnsi="Times New Roman"/>
          <w:sz w:val="27"/>
          <w:szCs w:val="27"/>
        </w:rPr>
        <w:t>pēc šī informatīvā ziņojuma apstiprināšanas jāiesniedz</w:t>
      </w:r>
      <w:r w:rsidR="00533DFB" w:rsidRPr="00533DFB">
        <w:rPr>
          <w:rFonts w:ascii="Times New Roman" w:hAnsi="Times New Roman"/>
          <w:sz w:val="27"/>
          <w:szCs w:val="27"/>
        </w:rPr>
        <w:t xml:space="preserve"> informācij</w:t>
      </w:r>
      <w:r w:rsidR="00DE4E5A">
        <w:rPr>
          <w:rFonts w:ascii="Times New Roman" w:hAnsi="Times New Roman"/>
          <w:sz w:val="27"/>
          <w:szCs w:val="27"/>
        </w:rPr>
        <w:t>a</w:t>
      </w:r>
      <w:r w:rsidR="00533DFB" w:rsidRPr="00533DFB">
        <w:rPr>
          <w:rFonts w:ascii="Times New Roman" w:hAnsi="Times New Roman"/>
          <w:sz w:val="27"/>
          <w:szCs w:val="27"/>
        </w:rPr>
        <w:t xml:space="preserve"> Eiropas Komisijā saskaņojuma saņemšanai.</w:t>
      </w:r>
    </w:p>
    <w:bookmarkEnd w:id="34"/>
    <w:p w14:paraId="2A1FAB5C" w14:textId="3F187A4C" w:rsidR="004B1410" w:rsidRDefault="005F51B4" w:rsidP="001C222A">
      <w:pPr>
        <w:spacing w:before="120" w:after="120" w:line="240" w:lineRule="auto"/>
        <w:jc w:val="both"/>
        <w:rPr>
          <w:rFonts w:ascii="Times New Roman" w:hAnsi="Times New Roman"/>
          <w:sz w:val="27"/>
          <w:szCs w:val="27"/>
        </w:rPr>
      </w:pPr>
      <w:r>
        <w:rPr>
          <w:rFonts w:ascii="Times New Roman" w:eastAsia="Times New Roman" w:hAnsi="Times New Roman"/>
          <w:sz w:val="27"/>
          <w:szCs w:val="27"/>
          <w:lang w:eastAsia="lv-LV"/>
        </w:rPr>
        <w:t xml:space="preserve">Panākot vienošanos </w:t>
      </w:r>
      <w:r w:rsidR="004B1410">
        <w:rPr>
          <w:rFonts w:ascii="Times New Roman" w:eastAsia="Times New Roman" w:hAnsi="Times New Roman"/>
          <w:sz w:val="27"/>
          <w:szCs w:val="27"/>
          <w:lang w:eastAsia="lv-LV"/>
        </w:rPr>
        <w:t xml:space="preserve">par </w:t>
      </w:r>
      <w:r w:rsidR="004B1410" w:rsidRPr="004B1410">
        <w:rPr>
          <w:rFonts w:ascii="Times New Roman" w:hAnsi="Times New Roman"/>
          <w:sz w:val="27"/>
          <w:szCs w:val="27"/>
        </w:rPr>
        <w:t xml:space="preserve">enerģētikas politikas īstenošanas funkcijas nodošanu </w:t>
      </w:r>
      <w:r w:rsidR="006B0341">
        <w:rPr>
          <w:rFonts w:ascii="Times New Roman" w:hAnsi="Times New Roman"/>
          <w:sz w:val="27"/>
          <w:szCs w:val="27"/>
        </w:rPr>
        <w:t>BVKB</w:t>
      </w:r>
      <w:r w:rsidR="0064586F">
        <w:rPr>
          <w:rFonts w:ascii="Times New Roman" w:hAnsi="Times New Roman"/>
          <w:sz w:val="27"/>
          <w:szCs w:val="27"/>
        </w:rPr>
        <w:t>, i</w:t>
      </w:r>
      <w:r w:rsidR="00D347BB">
        <w:rPr>
          <w:rFonts w:ascii="Times New Roman" w:hAnsi="Times New Roman"/>
          <w:sz w:val="27"/>
          <w:szCs w:val="27"/>
        </w:rPr>
        <w:t>zstrādāj</w:t>
      </w:r>
      <w:r w:rsidR="00C40970">
        <w:rPr>
          <w:rFonts w:ascii="Times New Roman" w:hAnsi="Times New Roman"/>
          <w:sz w:val="27"/>
          <w:szCs w:val="27"/>
        </w:rPr>
        <w:t>a</w:t>
      </w:r>
      <w:r w:rsidR="00D347BB">
        <w:rPr>
          <w:rFonts w:ascii="Times New Roman" w:hAnsi="Times New Roman"/>
          <w:sz w:val="27"/>
          <w:szCs w:val="27"/>
        </w:rPr>
        <w:t xml:space="preserve">mi grozījumi arī </w:t>
      </w:r>
      <w:r w:rsidR="00D347BB" w:rsidRPr="00D347BB">
        <w:rPr>
          <w:rFonts w:ascii="Times New Roman" w:hAnsi="Times New Roman"/>
          <w:sz w:val="27"/>
          <w:szCs w:val="27"/>
        </w:rPr>
        <w:t>Energoefektivitātes likum</w:t>
      </w:r>
      <w:r w:rsidR="00D347BB">
        <w:rPr>
          <w:rFonts w:ascii="Times New Roman" w:hAnsi="Times New Roman"/>
          <w:sz w:val="27"/>
          <w:szCs w:val="27"/>
        </w:rPr>
        <w:t>ā un Enerģētikas likumā un tam pakārtotajos Ministru kabineta noteikumos.</w:t>
      </w:r>
    </w:p>
    <w:p w14:paraId="692449EC" w14:textId="079B88DE" w:rsidR="0039352D" w:rsidRDefault="0039352D" w:rsidP="001C222A">
      <w:pPr>
        <w:spacing w:after="0" w:line="240" w:lineRule="auto"/>
        <w:jc w:val="both"/>
        <w:rPr>
          <w:rFonts w:ascii="Times New Roman" w:hAnsi="Times New Roman"/>
          <w:sz w:val="27"/>
          <w:szCs w:val="27"/>
        </w:rPr>
      </w:pPr>
      <w:r>
        <w:rPr>
          <w:rFonts w:ascii="Times New Roman" w:hAnsi="Times New Roman"/>
          <w:sz w:val="27"/>
          <w:szCs w:val="27"/>
        </w:rPr>
        <w:t xml:space="preserve">Tāpat uzsākams darbs pie risinājumu un normatīvo aktu izstrādes, kas attiecas uz </w:t>
      </w:r>
    </w:p>
    <w:p w14:paraId="16B7AEAC" w14:textId="2C2AF749" w:rsidR="0039352D" w:rsidRPr="0039352D" w:rsidRDefault="0039352D" w:rsidP="001C222A">
      <w:pPr>
        <w:spacing w:after="0" w:line="240" w:lineRule="auto"/>
        <w:jc w:val="both"/>
        <w:rPr>
          <w:rFonts w:ascii="Times New Roman" w:hAnsi="Times New Roman"/>
          <w:sz w:val="27"/>
          <w:szCs w:val="27"/>
        </w:rPr>
      </w:pPr>
      <w:r w:rsidRPr="0039352D">
        <w:rPr>
          <w:rFonts w:ascii="Times New Roman" w:hAnsi="Times New Roman"/>
          <w:sz w:val="27"/>
          <w:szCs w:val="27"/>
        </w:rPr>
        <w:t>veicinošu apstākļu radīšan</w:t>
      </w:r>
      <w:r w:rsidR="006E301B">
        <w:rPr>
          <w:rFonts w:ascii="Times New Roman" w:hAnsi="Times New Roman"/>
          <w:sz w:val="27"/>
          <w:szCs w:val="27"/>
        </w:rPr>
        <w:t>u</w:t>
      </w:r>
      <w:r w:rsidRPr="0039352D">
        <w:rPr>
          <w:rFonts w:ascii="Times New Roman" w:hAnsi="Times New Roman"/>
          <w:sz w:val="27"/>
          <w:szCs w:val="27"/>
        </w:rPr>
        <w:t xml:space="preserve"> elektrostaciju darbam ārpus valsts atbalsta sistēmas</w:t>
      </w:r>
      <w:r>
        <w:rPr>
          <w:rFonts w:ascii="Times New Roman" w:hAnsi="Times New Roman"/>
          <w:sz w:val="27"/>
          <w:szCs w:val="27"/>
        </w:rPr>
        <w:t>:</w:t>
      </w:r>
    </w:p>
    <w:p w14:paraId="1FB4B4E8" w14:textId="2D331C2D" w:rsidR="0039352D" w:rsidRPr="0039352D" w:rsidRDefault="0039352D" w:rsidP="008D06DB">
      <w:pPr>
        <w:pStyle w:val="ListParagraph"/>
        <w:numPr>
          <w:ilvl w:val="0"/>
          <w:numId w:val="28"/>
        </w:numPr>
        <w:spacing w:after="0" w:line="240" w:lineRule="auto"/>
        <w:jc w:val="both"/>
        <w:rPr>
          <w:rFonts w:ascii="Times New Roman" w:eastAsia="Times New Roman" w:hAnsi="Times New Roman"/>
          <w:sz w:val="27"/>
          <w:szCs w:val="27"/>
          <w:lang w:eastAsia="lv-LV"/>
        </w:rPr>
      </w:pPr>
      <w:r w:rsidRPr="0039352D">
        <w:rPr>
          <w:rFonts w:ascii="Times New Roman" w:eastAsia="Times New Roman" w:hAnsi="Times New Roman"/>
          <w:sz w:val="27"/>
          <w:szCs w:val="27"/>
          <w:lang w:eastAsia="lv-LV"/>
        </w:rPr>
        <w:t xml:space="preserve">risinājumu izstrādāšana biogāzes stacijām pāriešanai no elektroenerģijas ražošanas uz </w:t>
      </w:r>
      <w:proofErr w:type="spellStart"/>
      <w:r w:rsidRPr="0039352D">
        <w:rPr>
          <w:rFonts w:ascii="Times New Roman" w:eastAsia="Times New Roman" w:hAnsi="Times New Roman"/>
          <w:sz w:val="27"/>
          <w:szCs w:val="27"/>
          <w:lang w:eastAsia="lv-LV"/>
        </w:rPr>
        <w:t>biometāna</w:t>
      </w:r>
      <w:proofErr w:type="spellEnd"/>
      <w:r w:rsidRPr="0039352D">
        <w:rPr>
          <w:rFonts w:ascii="Times New Roman" w:eastAsia="Times New Roman" w:hAnsi="Times New Roman"/>
          <w:sz w:val="27"/>
          <w:szCs w:val="27"/>
          <w:lang w:eastAsia="lv-LV"/>
        </w:rPr>
        <w:t xml:space="preserve"> ražošanu (I.4.2.);</w:t>
      </w:r>
    </w:p>
    <w:p w14:paraId="728CF980" w14:textId="354BCF4E" w:rsidR="0039352D" w:rsidRPr="0039352D" w:rsidRDefault="0039352D" w:rsidP="008D06DB">
      <w:pPr>
        <w:pStyle w:val="ListParagraph"/>
        <w:numPr>
          <w:ilvl w:val="0"/>
          <w:numId w:val="28"/>
        </w:numPr>
        <w:spacing w:after="0" w:line="240" w:lineRule="auto"/>
        <w:jc w:val="both"/>
        <w:rPr>
          <w:rFonts w:ascii="Times New Roman" w:eastAsia="Times New Roman" w:hAnsi="Times New Roman"/>
          <w:sz w:val="27"/>
          <w:szCs w:val="27"/>
          <w:lang w:eastAsia="lv-LV"/>
        </w:rPr>
      </w:pPr>
      <w:r w:rsidRPr="0039352D">
        <w:rPr>
          <w:rFonts w:ascii="Times New Roman" w:eastAsia="Times New Roman" w:hAnsi="Times New Roman"/>
          <w:sz w:val="27"/>
          <w:szCs w:val="27"/>
          <w:lang w:eastAsia="lv-LV"/>
        </w:rPr>
        <w:t xml:space="preserve">Dabas resursu nodokļa </w:t>
      </w:r>
      <w:r w:rsidR="006B3BA0">
        <w:rPr>
          <w:rFonts w:ascii="Times New Roman" w:eastAsia="Times New Roman" w:hAnsi="Times New Roman"/>
          <w:sz w:val="27"/>
          <w:szCs w:val="27"/>
          <w:lang w:eastAsia="lv-LV"/>
        </w:rPr>
        <w:t>pārskatīšana</w:t>
      </w:r>
      <w:r w:rsidRPr="0039352D">
        <w:rPr>
          <w:rFonts w:ascii="Times New Roman" w:eastAsia="Times New Roman" w:hAnsi="Times New Roman"/>
          <w:sz w:val="27"/>
          <w:szCs w:val="27"/>
          <w:lang w:eastAsia="lv-LV"/>
        </w:rPr>
        <w:t xml:space="preserve"> mazajām hidroelektrostacijām (I.4.3.);</w:t>
      </w:r>
    </w:p>
    <w:p w14:paraId="254C9FCF" w14:textId="3C4A0E33" w:rsidR="0039352D" w:rsidRPr="0039352D" w:rsidRDefault="0039352D" w:rsidP="008D06DB">
      <w:pPr>
        <w:pStyle w:val="ListParagraph"/>
        <w:numPr>
          <w:ilvl w:val="0"/>
          <w:numId w:val="28"/>
        </w:numPr>
        <w:spacing w:after="0" w:line="240" w:lineRule="auto"/>
        <w:jc w:val="both"/>
        <w:rPr>
          <w:rFonts w:ascii="Times New Roman" w:eastAsia="Times New Roman" w:hAnsi="Times New Roman"/>
          <w:sz w:val="27"/>
          <w:szCs w:val="27"/>
          <w:lang w:eastAsia="lv-LV"/>
        </w:rPr>
      </w:pPr>
      <w:r w:rsidRPr="0039352D">
        <w:rPr>
          <w:rFonts w:ascii="Times New Roman" w:eastAsia="Times New Roman" w:hAnsi="Times New Roman"/>
          <w:sz w:val="27"/>
          <w:szCs w:val="27"/>
          <w:lang w:eastAsia="lv-LV"/>
        </w:rPr>
        <w:t>administratīvo šķēršļu novēršana vēja elektrostaciju darbībai tirgus apstākļos (I.4.4.);</w:t>
      </w:r>
    </w:p>
    <w:p w14:paraId="53F00329" w14:textId="529AB0DE" w:rsidR="00F268BA" w:rsidRDefault="00F268BA">
      <w:pPr>
        <w:spacing w:after="0" w:line="240" w:lineRule="auto"/>
        <w:rPr>
          <w:rFonts w:ascii="Times New Roman" w:hAnsi="Times New Roman"/>
          <w:b/>
          <w:sz w:val="27"/>
          <w:szCs w:val="27"/>
          <w:u w:val="single"/>
        </w:rPr>
      </w:pPr>
    </w:p>
    <w:p w14:paraId="4B4CA65B" w14:textId="77777777" w:rsidR="0038031A" w:rsidRDefault="004A0299" w:rsidP="0038031A">
      <w:pPr>
        <w:pStyle w:val="Heading1"/>
        <w:jc w:val="center"/>
        <w:rPr>
          <w:szCs w:val="27"/>
        </w:rPr>
      </w:pPr>
      <w:bookmarkStart w:id="35" w:name="_Toc9244614"/>
      <w:r>
        <w:br w:type="page"/>
      </w:r>
      <w:bookmarkStart w:id="36" w:name="_Toc9267419"/>
      <w:bookmarkStart w:id="37" w:name="_Toc13152094"/>
      <w:bookmarkEnd w:id="35"/>
      <w:r w:rsidR="0038031A">
        <w:lastRenderedPageBreak/>
        <w:t>II. Enerģētikas politikas īstenošanas funkcijas</w:t>
      </w:r>
      <w:bookmarkEnd w:id="36"/>
      <w:bookmarkEnd w:id="37"/>
      <w:r w:rsidR="0038031A">
        <w:t xml:space="preserve"> </w:t>
      </w:r>
      <w:r w:rsidR="0038031A">
        <w:br/>
      </w:r>
    </w:p>
    <w:p w14:paraId="5696D5FC"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Saskaņā ar Ministru kabineta 2010.gada 23.marta noteikumiem Nr.271 “Ekonomikas ministrijas nolikumu” un Ekonomikas ministrijas struktūrvienību reglamentiem Ekonomikas ministrijas kompetencē ir noteikts veikt 1. attēlā minētās funkcijas, ko ir pienākums veikt Ekonomikas ministrijas valsts sekretāra vietnieka enerģētikas jautājumos padotībā esošām trīs Ekonomikas ministrijas struktūrvienībām – Ilgtspējīgas enerģētikas politikas departaments, Enerģijas tirgus un infrastruktūras departaments, Enerģētikas finanšu instrumentu nodaļa, kā arī Ekonomikas ministrijas Administrācijas vadītāja padotībā esošajam Enerģētikas politikas administrēšanas departamentam. </w:t>
      </w:r>
    </w:p>
    <w:p w14:paraId="739C1815" w14:textId="50E3F7B1" w:rsidR="0038031A" w:rsidRDefault="0038031A" w:rsidP="0038031A">
      <w:pPr>
        <w:spacing w:before="120" w:after="120" w:line="240" w:lineRule="auto"/>
        <w:jc w:val="center"/>
        <w:rPr>
          <w:rFonts w:ascii="Times New Roman" w:eastAsiaTheme="minorHAnsi" w:hAnsi="Times New Roman"/>
          <w:b/>
          <w:lang w:eastAsia="lv-LV"/>
        </w:rPr>
      </w:pPr>
      <w:r>
        <w:rPr>
          <w:rFonts w:ascii="Times New Roman" w:eastAsiaTheme="minorHAnsi" w:hAnsi="Times New Roman"/>
          <w:b/>
          <w:noProof/>
          <w:lang w:eastAsia="lv-LV"/>
        </w:rPr>
        <w:drawing>
          <wp:inline distT="0" distB="0" distL="0" distR="0" wp14:anchorId="32E515CE" wp14:editId="28C60CC0">
            <wp:extent cx="5753735" cy="6271260"/>
            <wp:effectExtent l="0" t="0" r="0" b="0"/>
            <wp:docPr id="10" name="Picture 10" descr="A close up of a newspap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newspaper&#10;&#10;Description generated with high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6271260"/>
                    </a:xfrm>
                    <a:prstGeom prst="rect">
                      <a:avLst/>
                    </a:prstGeom>
                    <a:noFill/>
                    <a:ln>
                      <a:noFill/>
                    </a:ln>
                  </pic:spPr>
                </pic:pic>
              </a:graphicData>
            </a:graphic>
          </wp:inline>
        </w:drawing>
      </w:r>
    </w:p>
    <w:p w14:paraId="4654E147" w14:textId="77777777" w:rsidR="0038031A" w:rsidRDefault="0038031A" w:rsidP="0038031A">
      <w:pPr>
        <w:spacing w:before="120" w:after="120" w:line="240" w:lineRule="auto"/>
        <w:jc w:val="center"/>
        <w:rPr>
          <w:rFonts w:ascii="Times New Roman" w:eastAsiaTheme="minorHAnsi" w:hAnsi="Times New Roman"/>
          <w:b/>
          <w:lang w:eastAsia="lv-LV"/>
        </w:rPr>
      </w:pPr>
      <w:r>
        <w:rPr>
          <w:rFonts w:ascii="Times New Roman" w:eastAsiaTheme="minorHAnsi" w:hAnsi="Times New Roman"/>
          <w:b/>
          <w:lang w:eastAsia="lv-LV"/>
        </w:rPr>
        <w:t>1.attēls. Ekonomikas ministrijas enerģētikas struktūrvienības un to pienākumi</w:t>
      </w:r>
      <w:bookmarkStart w:id="38" w:name="_Toc8719122"/>
      <w:bookmarkStart w:id="39" w:name="_Toc8648972"/>
      <w:bookmarkStart w:id="40" w:name="_Toc5617041"/>
      <w:bookmarkStart w:id="41" w:name="_Toc5616974"/>
      <w:bookmarkStart w:id="42" w:name="_Toc5616874"/>
      <w:bookmarkStart w:id="43" w:name="_Toc5615482"/>
      <w:bookmarkStart w:id="44" w:name="_Toc2286380"/>
      <w:bookmarkStart w:id="45" w:name="_Toc531102708"/>
      <w:bookmarkStart w:id="46" w:name="_Toc530605149"/>
      <w:bookmarkStart w:id="47" w:name="_Toc530117350"/>
    </w:p>
    <w:p w14:paraId="4153402D" w14:textId="77777777" w:rsidR="0038031A" w:rsidRDefault="0038031A" w:rsidP="0038031A">
      <w:pPr>
        <w:pStyle w:val="Heading1"/>
        <w:rPr>
          <w:rFonts w:eastAsia="Times New Roman"/>
          <w:u w:val="single"/>
          <w:lang w:eastAsia="lv-LV"/>
        </w:rPr>
      </w:pPr>
      <w:bookmarkStart w:id="48" w:name="_Toc9267420"/>
      <w:bookmarkStart w:id="49" w:name="_Toc13152095"/>
      <w:r>
        <w:rPr>
          <w:rFonts w:eastAsia="Times New Roman"/>
          <w:u w:val="single"/>
          <w:lang w:eastAsia="lv-LV"/>
        </w:rPr>
        <w:lastRenderedPageBreak/>
        <w:t>1. OI mehānisma nosacījumu uzraudzība, kontrole un atbalsts</w:t>
      </w:r>
      <w:bookmarkEnd w:id="38"/>
      <w:bookmarkEnd w:id="39"/>
      <w:bookmarkEnd w:id="40"/>
      <w:bookmarkEnd w:id="41"/>
      <w:bookmarkEnd w:id="42"/>
      <w:bookmarkEnd w:id="43"/>
      <w:bookmarkEnd w:id="48"/>
      <w:bookmarkEnd w:id="49"/>
    </w:p>
    <w:p w14:paraId="31D1E0F4" w14:textId="77777777" w:rsidR="0038031A" w:rsidRDefault="0038031A" w:rsidP="0038031A">
      <w:pPr>
        <w:shd w:val="clear" w:color="auto" w:fill="FFFFFF"/>
        <w:spacing w:before="120" w:after="120" w:line="240" w:lineRule="auto"/>
        <w:ind w:firstLine="720"/>
        <w:jc w:val="both"/>
        <w:outlineLvl w:val="2"/>
        <w:rPr>
          <w:rFonts w:ascii="Times New Roman" w:eastAsia="Times New Roman" w:hAnsi="Times New Roman"/>
          <w:b/>
          <w:i/>
          <w:sz w:val="27"/>
          <w:szCs w:val="27"/>
          <w:lang w:eastAsia="lv-LV"/>
        </w:rPr>
      </w:pPr>
      <w:bookmarkStart w:id="50" w:name="_Toc8719123"/>
      <w:bookmarkStart w:id="51" w:name="_Toc8648973"/>
      <w:bookmarkStart w:id="52" w:name="_Toc5617042"/>
      <w:bookmarkStart w:id="53" w:name="_Toc5616975"/>
      <w:bookmarkStart w:id="54" w:name="_Toc5616875"/>
      <w:bookmarkStart w:id="55" w:name="_Toc5615483"/>
      <w:r>
        <w:rPr>
          <w:rFonts w:ascii="Times New Roman" w:eastAsia="Times New Roman" w:hAnsi="Times New Roman"/>
          <w:b/>
          <w:i/>
          <w:sz w:val="27"/>
          <w:szCs w:val="27"/>
          <w:lang w:eastAsia="lv-LV"/>
        </w:rPr>
        <w:t>1.1. Elektroenerģijas ražotāju, kas saņem valsts atbalstu OI mehānisma ietvaros, darbības atbilstību novērtēšana</w:t>
      </w:r>
      <w:bookmarkEnd w:id="50"/>
      <w:bookmarkEnd w:id="51"/>
      <w:bookmarkEnd w:id="52"/>
      <w:bookmarkEnd w:id="53"/>
      <w:bookmarkEnd w:id="54"/>
      <w:bookmarkEnd w:id="55"/>
      <w:r>
        <w:rPr>
          <w:rFonts w:ascii="Times New Roman" w:eastAsia="Times New Roman" w:hAnsi="Times New Roman"/>
          <w:b/>
          <w:i/>
          <w:sz w:val="27"/>
          <w:szCs w:val="27"/>
          <w:lang w:eastAsia="lv-LV"/>
        </w:rPr>
        <w:t>, OI mehānisma uzraudzības sankciju nodrošināšana</w:t>
      </w:r>
    </w:p>
    <w:p w14:paraId="5BAFCBFA"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Elektroenerģijas tirgus likums, MK noteikumi Nr.262 un MK noteikumi Nr.221 nosaka, ka komersanti, kuri elektroenerģiju ražo vai plāno ražot no atjaunojamiem energoresursiem elektrostacijā Latvijas Republikas teritorijā, kā arī attiecīgie komersanti, kas atbilsti MK noteikumos Nr.221 noteiktajiem kritērijiem, varēja kvalificēties tiesībām pārdot saražoto elektroenerģiju obligātā iepirkuma ietvaros vai atbilstošā gadījumā saņemt garantēto maksu par koģenerācijas elektrostacijā uzstādīto elektrisko jaudu. Šobrīd komersantiem vairs nav iespējas iegūt tiesības pārdot saražoto elektroenerģiju obligātā iepirkuma ietvaros vai saņemt garantēto maksu, tomēr, ņemot vērā, ka daļa komersantu ir ieguvuši obligātā iepirkuma tiesības līdz pat 20 gadiem, aktualitāti vēl ilgstoši saglabās šādu komersantu uzraudzība.</w:t>
      </w:r>
    </w:p>
    <w:p w14:paraId="02311FC6" w14:textId="77777777" w:rsidR="0038031A" w:rsidRDefault="0038031A" w:rsidP="0038031A">
      <w:pPr>
        <w:spacing w:before="120" w:after="120" w:line="240" w:lineRule="auto"/>
        <w:jc w:val="both"/>
        <w:rPr>
          <w:rFonts w:ascii="Times New Roman" w:eastAsiaTheme="minorHAnsi" w:hAnsi="Times New Roman"/>
          <w:sz w:val="27"/>
          <w:szCs w:val="27"/>
          <w:lang w:eastAsia="lv-LV"/>
        </w:rPr>
      </w:pPr>
      <w:bookmarkStart w:id="56" w:name="_Hlk12611259"/>
      <w:r>
        <w:rPr>
          <w:rFonts w:ascii="Times New Roman" w:eastAsiaTheme="minorHAnsi" w:hAnsi="Times New Roman"/>
          <w:sz w:val="27"/>
          <w:szCs w:val="27"/>
          <w:lang w:eastAsia="lv-LV"/>
        </w:rPr>
        <w:t>MK noteikumos Nr.262 un MK noteikumos Nr.221 ir noteikts, ka komersanti, kas saņēmuši tiesības pārdot saražoto elektroenerģiju obligātā iepirkuma ietvaros vai saņemt garantēto maksu par koģenerācijas elektrostacijā uzstādīto jaudu, katru gadu līdz 1.martam iesniedz Ekonomikas ministrijā gada pārskatu, ko Ekonomikas ministrijai ir jāizvērtē, ja nepieciešams pieprasot papildus informāciju. Tāpat ir noteikts, ka Ekonomikas ministrija divas reizes gadā pārbauda, vai komersantam nav</w:t>
      </w:r>
      <w:r>
        <w:rPr>
          <w:rFonts w:ascii="Times New Roman" w:hAnsi="Times New Roman"/>
          <w:sz w:val="27"/>
        </w:rPr>
        <w:t xml:space="preserve"> </w:t>
      </w:r>
      <w:r>
        <w:rPr>
          <w:rFonts w:ascii="Times New Roman" w:eastAsiaTheme="minorHAnsi" w:hAnsi="Times New Roman"/>
          <w:sz w:val="27"/>
          <w:szCs w:val="27"/>
          <w:lang w:eastAsia="lv-LV"/>
        </w:rPr>
        <w:t>Valsts ieņēmumu dienesta administrēto nodokļu un nodevu parādu. Ja Ekonomikas ministrija konstatē, ka elektrostacijas darbība vai sniegtā informācija neatbilst MK noteikumu Nr.262 vai MK noteikumu Nr.221 prasībām, Ekonomikas ministrija komersantiem nosūta brīdinājumus vai tūlītēji atceļ minētās tiesības.</w:t>
      </w:r>
    </w:p>
    <w:p w14:paraId="319C9C43"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Ekonomikas ministrijai MK noteikumu Nr.262 un MK noteikumu Nr.221 ietvaros ir arī jāpieņem lēmumi:</w:t>
      </w:r>
    </w:p>
    <w:p w14:paraId="60238C0F" w14:textId="77777777" w:rsidR="0038031A" w:rsidRDefault="0038031A" w:rsidP="0038031A">
      <w:pPr>
        <w:pStyle w:val="ListParagraph"/>
        <w:numPr>
          <w:ilvl w:val="0"/>
          <w:numId w:val="46"/>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par lēmuma, ar kuru piešķirtas tiesības pārdot saražoto elektroenerģiju obligātā iepirkuma ietvaros vai saņemt garantēto maksu par koģenerācijas elektrostacijā uzstādīto elektrisko jaudu, atcelšanu, ja komersants ir iesniedzis iesniegumu  par atteikšanos no minētajām tiesībām;</w:t>
      </w:r>
    </w:p>
    <w:p w14:paraId="4EC10480" w14:textId="77777777" w:rsidR="0038031A" w:rsidRDefault="0038031A" w:rsidP="0038031A">
      <w:pPr>
        <w:pStyle w:val="ListParagraph"/>
        <w:numPr>
          <w:ilvl w:val="0"/>
          <w:numId w:val="46"/>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par lēmuma, ar kuru piešķirtas tiesības pārdot saražoto elektroenerģiju obligātā iepirkuma ietvaros vai saņemt garantēto maksu par koģenerācijas elektrostacijā uzstādīto elektrisko jaudu, atcelšanu, ja komersants nav ievērojis MK noteikumu Nr.221 vai MK noteikumu Nr.262 prasības.</w:t>
      </w:r>
    </w:p>
    <w:p w14:paraId="5DD66F4D"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MK noteikumi Nr.262 un MK noteikumi Nr.221 paredz, ka Ekonomikas ministrija izveido kontroles grupu, kas ir tiesīga pārbaudīt elektrostaciju atbilstību normatīvo aktu prasībām un ministrijai iesniegtās informācijas ticamību. Minētie noteikumi noteic, ka publiskais tirgotājs - AS „Enerģijas publiskais tirgotājs”, piesaistot neatkarīgus ekspertus, veic vienreizēju </w:t>
      </w:r>
      <w:proofErr w:type="spellStart"/>
      <w:r>
        <w:rPr>
          <w:rFonts w:ascii="Times New Roman" w:eastAsiaTheme="minorHAnsi" w:hAnsi="Times New Roman"/>
          <w:sz w:val="27"/>
          <w:szCs w:val="27"/>
          <w:lang w:eastAsia="lv-LV"/>
        </w:rPr>
        <w:t>apsekojumu</w:t>
      </w:r>
      <w:proofErr w:type="spellEnd"/>
      <w:r>
        <w:rPr>
          <w:rFonts w:ascii="Times New Roman" w:eastAsiaTheme="minorHAnsi" w:hAnsi="Times New Roman"/>
          <w:sz w:val="27"/>
          <w:szCs w:val="27"/>
          <w:lang w:eastAsia="lv-LV"/>
        </w:rPr>
        <w:t xml:space="preserve"> un pārbaudi elektrostacijās, kuras noslēgušas līgumu ar publisko tirgotāju par elektroenerģijas iepirkumu obligātā iepirkuma ietvaros vai garantētās maksas saņemšanu par koģenerācijas elektrostacijā uzstādīto jaudu. </w:t>
      </w:r>
    </w:p>
    <w:p w14:paraId="0678BDC9" w14:textId="77777777" w:rsidR="0038031A" w:rsidRDefault="0038031A" w:rsidP="0038031A">
      <w:pPr>
        <w:spacing w:before="120" w:after="120" w:line="240" w:lineRule="auto"/>
        <w:jc w:val="both"/>
        <w:rPr>
          <w:rFonts w:ascii="Times New Roman" w:eastAsiaTheme="minorHAnsi" w:hAnsi="Times New Roman"/>
          <w:sz w:val="27"/>
          <w:szCs w:val="27"/>
          <w:lang w:eastAsia="lv-LV"/>
        </w:rPr>
      </w:pPr>
      <w:bookmarkStart w:id="57" w:name="_Hlk12612236"/>
      <w:bookmarkEnd w:id="56"/>
      <w:r>
        <w:rPr>
          <w:rFonts w:ascii="Times New Roman" w:eastAsiaTheme="minorHAnsi" w:hAnsi="Times New Roman"/>
          <w:sz w:val="27"/>
          <w:szCs w:val="27"/>
          <w:lang w:eastAsia="lv-LV"/>
        </w:rPr>
        <w:t xml:space="preserve">Balstoties uz Ekonomikas ministrijas izveidotās kontroles grupas vai publiskā tirgotāja konstatējumiem par pārkāpumiem un padziļinātu pārbaudi, Ekonomikas ministrija var </w:t>
      </w:r>
      <w:r>
        <w:rPr>
          <w:rFonts w:ascii="Times New Roman" w:eastAsiaTheme="minorHAnsi" w:hAnsi="Times New Roman"/>
          <w:sz w:val="27"/>
          <w:szCs w:val="27"/>
          <w:lang w:eastAsia="lv-LV"/>
        </w:rPr>
        <w:lastRenderedPageBreak/>
        <w:t xml:space="preserve">brīdināt komersantu par obligātā iepirkuma tiesību vai tiesību saņemt garantēto maksu atcelšanu vai tūlītēji atcelt minētās tiesības. </w:t>
      </w:r>
    </w:p>
    <w:p w14:paraId="61156F35"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Tāpat jāņem vērā, ka minētās prasības atbalsta saņēmējiem un sekojoši uzraudzības funkcijas ir paredzēts būtiski papildināt, īstenojot šī informatīvā ziņojuma I. nodaļā piedāvātos risinājumus. </w:t>
      </w:r>
    </w:p>
    <w:p w14:paraId="0E581E05"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u w:val="single"/>
          <w:lang w:eastAsia="lv-LV"/>
        </w:rPr>
        <w:t xml:space="preserve">Šobrīd OI mehānisma uzraudzību </w:t>
      </w:r>
      <w:r>
        <w:rPr>
          <w:rFonts w:ascii="Times New Roman" w:eastAsiaTheme="minorHAnsi" w:hAnsi="Times New Roman"/>
          <w:sz w:val="27"/>
          <w:szCs w:val="27"/>
          <w:u w:val="single"/>
        </w:rPr>
        <w:t>kapacitātes iespēju robežās veic Ekonomikas ministrija (Enerģētikas politikas administrēšanas departaments), kam ir paredzētas 4 pilnas amata slodzes, bet šīs funkcijas veikšanai pieejamā kapacitāte nav pietiekama, jo jau pašreizējo funkciju veikšanai ir nepieciešamas vismaz 6 amata slodzes (šobrīd ir apmēram 375 obligātā iepirkuma saņēmēji).</w:t>
      </w:r>
      <w:r>
        <w:rPr>
          <w:rFonts w:ascii="Times New Roman" w:eastAsiaTheme="minorHAnsi" w:hAnsi="Times New Roman"/>
          <w:sz w:val="27"/>
          <w:szCs w:val="27"/>
        </w:rPr>
        <w:t xml:space="preserve"> Līdz ar to nav iespējams pietiekami operatīvi un detalizēti veikt minētās kontroles un pieņemt attiecīgos administratīvos aktus, lai novērstu konstatētos pārkāpumus un nepieļautu jaunus pārkāpumus. Kontroles funkciju veikšanai tiek piesaistīti ārējie eksperti un publiskā tirgotāja pārstāvji. Kā arī daļa no piedāvātājām funkcijām ir jaunas funkcijas, kuru veikšanai kapacitāte nav pieejama.</w:t>
      </w:r>
    </w:p>
    <w:p w14:paraId="65847085" w14:textId="77777777" w:rsidR="0038031A" w:rsidRDefault="0038031A" w:rsidP="0038031A">
      <w:pPr>
        <w:shd w:val="clear" w:color="auto" w:fill="FFFFFF"/>
        <w:spacing w:before="120" w:after="120" w:line="240" w:lineRule="auto"/>
        <w:ind w:firstLine="720"/>
        <w:jc w:val="both"/>
        <w:outlineLvl w:val="2"/>
        <w:rPr>
          <w:rFonts w:ascii="Times New Roman" w:eastAsia="Times New Roman" w:hAnsi="Times New Roman"/>
          <w:b/>
          <w:i/>
          <w:sz w:val="27"/>
          <w:szCs w:val="27"/>
          <w:lang w:eastAsia="lv-LV"/>
        </w:rPr>
      </w:pPr>
      <w:bookmarkStart w:id="58" w:name="_Toc8719125"/>
      <w:r>
        <w:rPr>
          <w:rFonts w:ascii="Times New Roman" w:eastAsia="Times New Roman" w:hAnsi="Times New Roman"/>
          <w:b/>
          <w:i/>
          <w:sz w:val="27"/>
          <w:szCs w:val="27"/>
          <w:lang w:eastAsia="lv-LV"/>
        </w:rPr>
        <w:t>1.2. Enerģētikas nozares valsts atbalsta sistēmas darbības regulēšanas nodeva administrēšana</w:t>
      </w:r>
      <w:bookmarkEnd w:id="58"/>
    </w:p>
    <w:p w14:paraId="24DD7BD4"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Saskaņā ar šajā informatīvajā ziņojumā iekļauto un ekonomikas ministra Saeimā iesniegto priekšlikumu likumprojekta “Grozījumi Elektroenerģijas tirgus likumā” papildināšanai, elektroenerģijas obligātā iepirkuma un garantētās maksas valsts atbalsta saņēmējiem tiek piedāvāts noteikt jaunu nodevu – enerģētikas nozares valsts atbalsta sistēmas darbības regulēšanas nodeva (turpmāk – enerģētikas nozares valsts atbalsta nodeva) , kas tiktu piemērota elektroenerģijas ražotājiem, kuri pārdod elektroenerģiju obligātā iepirkuma ietvaros vai kuri saņem maksu par koģenerācijas stacijā uzstādīto elektrisko jaudu. </w:t>
      </w:r>
    </w:p>
    <w:p w14:paraId="5FE441D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Paredzams, ka nodeva tiktu piemērota ne vairāk kā 375 komersantiem, un enerģētikas nozares valsts atbalsta nodevas apmēru atbalsta saņēmējs varēs aprēķināt pats pēc priekšlikumos piedāvātās likmes (nebūs nepieciešami atsevišķi lēmumi par nodevas piemērošanu), tomēr būs nepieciešamība nodrošināt likuma “Par nodokļiem un nodevām” 18.panta 1.</w:t>
      </w:r>
      <w:r>
        <w:rPr>
          <w:rFonts w:ascii="Times New Roman" w:eastAsiaTheme="minorHAnsi" w:hAnsi="Times New Roman"/>
          <w:sz w:val="27"/>
          <w:szCs w:val="27"/>
          <w:vertAlign w:val="superscript"/>
        </w:rPr>
        <w:t xml:space="preserve">1 </w:t>
      </w:r>
      <w:r>
        <w:rPr>
          <w:rFonts w:ascii="Times New Roman" w:eastAsiaTheme="minorHAnsi" w:hAnsi="Times New Roman"/>
          <w:sz w:val="27"/>
          <w:szCs w:val="27"/>
        </w:rPr>
        <w:t>daļā minētās nodevu administrācijas funkcijas, tai skaitā nodevas samaksas veikšanas kontroli, tostarp brīdinot komersantus par nodevas nenomaksāšanu.</w:t>
      </w:r>
    </w:p>
    <w:p w14:paraId="52BFB0EC" w14:textId="1832A59C"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enerģētikas nozares valsts atbalsta nodevas administrēšanai nav paredzētas amata slodzes, jo šī ir jauna līdz šim neveikta funkcija. Šīs funkcijas veikšanai būtu nepieciešama vismaz 0</w:t>
      </w:r>
      <w:r w:rsidR="004377F9">
        <w:rPr>
          <w:rFonts w:ascii="Times New Roman" w:eastAsiaTheme="minorHAnsi" w:hAnsi="Times New Roman"/>
          <w:sz w:val="27"/>
          <w:szCs w:val="27"/>
        </w:rPr>
        <w:t>,</w:t>
      </w:r>
      <w:r>
        <w:rPr>
          <w:rFonts w:ascii="Times New Roman" w:eastAsiaTheme="minorHAnsi" w:hAnsi="Times New Roman"/>
          <w:sz w:val="27"/>
          <w:szCs w:val="27"/>
        </w:rPr>
        <w:t>5 amata slodzes.</w:t>
      </w:r>
    </w:p>
    <w:p w14:paraId="1EF32E52" w14:textId="77777777" w:rsidR="0038031A" w:rsidRDefault="0038031A" w:rsidP="0038031A">
      <w:pPr>
        <w:shd w:val="clear" w:color="auto" w:fill="FFFFFF"/>
        <w:spacing w:before="120" w:after="120" w:line="240" w:lineRule="auto"/>
        <w:ind w:firstLine="720"/>
        <w:jc w:val="both"/>
        <w:outlineLvl w:val="2"/>
        <w:rPr>
          <w:rFonts w:ascii="Times New Roman" w:eastAsia="Times New Roman" w:hAnsi="Times New Roman"/>
          <w:b/>
          <w:i/>
          <w:sz w:val="27"/>
          <w:szCs w:val="27"/>
          <w:lang w:eastAsia="lv-LV"/>
        </w:rPr>
      </w:pPr>
      <w:bookmarkStart w:id="59" w:name="_Toc8719126"/>
      <w:r>
        <w:rPr>
          <w:rFonts w:ascii="Times New Roman" w:eastAsia="Times New Roman" w:hAnsi="Times New Roman"/>
          <w:b/>
          <w:i/>
          <w:sz w:val="27"/>
          <w:szCs w:val="27"/>
          <w:lang w:eastAsia="lv-LV"/>
        </w:rPr>
        <w:t>1.3. Elektroenerģijas ražošanas jaudu palielināšanas vai jaunu ražošanas iekārtu ieviešanas pieteikumi</w:t>
      </w:r>
      <w:bookmarkEnd w:id="59"/>
    </w:p>
    <w:p w14:paraId="7244B86F"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Elektroenerģijas tirgus likums un Ministru kabineta 2009.gada 11.augusta noteikumi Nr.883 “Noteikumi par atļaujām elektroenerģijas ražošanas jaudu palielināšanai vai jaunu ražošanas iekārtu ieviešanai”</w:t>
      </w:r>
      <w:r>
        <w:rPr>
          <w:vertAlign w:val="superscript"/>
        </w:rPr>
        <w:footnoteReference w:id="12"/>
      </w:r>
      <w:r>
        <w:rPr>
          <w:rFonts w:ascii="Times New Roman" w:eastAsiaTheme="minorHAnsi" w:hAnsi="Times New Roman"/>
          <w:sz w:val="27"/>
          <w:szCs w:val="27"/>
          <w:lang w:eastAsia="lv-LV"/>
        </w:rPr>
        <w:t xml:space="preserve"> (turpmāk – Noteikumi Nr.883) nosaka, ka komersants atļaujas saņemšanai elektroenerģijas ražošanas jaudu palielināšanai vai </w:t>
      </w:r>
      <w:r>
        <w:rPr>
          <w:rFonts w:ascii="Times New Roman" w:eastAsiaTheme="minorHAnsi" w:hAnsi="Times New Roman"/>
          <w:sz w:val="27"/>
          <w:szCs w:val="27"/>
          <w:lang w:eastAsia="lv-LV"/>
        </w:rPr>
        <w:lastRenderedPageBreak/>
        <w:t>jaunu ražošanas iekārtu ieviešanai iesniedz iesniegumu Ekonomikas ministrijā, un ministrija šo iesniegumu izskata un pieņem lēmumu par atļaujas izsniegšanu vai lēmumu par atteikumu izsniegt atļauju.</w:t>
      </w:r>
    </w:p>
    <w:p w14:paraId="51646073"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Minētā atļauja ir derīga trīs vai piecus gadus (ņemot vērā elektroenerģijas iekārtas uzstādīto jaudu) pēc tās izsniegšanas. Ja komersants vēlas pagarināt atļauju, tas iesniedz Ekonomikas ministrijā pieteikumu atļaujas pagarināšanai.</w:t>
      </w:r>
    </w:p>
    <w:p w14:paraId="12D50BCC"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Saskaņā ar Noteikumiem Nr.883 Ekonomikas ministrija apkopo minētās atļaujas un iesniedz tās Sabiedrisko pakalpojumu regulēšanas komisijai un elektroenerģijas pārvades sistēmas operatoram. Ekonomikas ministrija uzskaita, apkopo un publicē informāciju par minētajiem lēmumiem.</w:t>
      </w:r>
    </w:p>
    <w:p w14:paraId="123259CB"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u w:val="single"/>
          <w:lang w:eastAsia="lv-LV"/>
        </w:rPr>
        <w:t xml:space="preserve">Šobrīd pieņemto lēmumu skaits ir no 20 līdz 30 lēmumiem mēnesī. Minēto funkciju veikšanai ir nepieciešama 0,5 amata slodzes. </w:t>
      </w:r>
      <w:r>
        <w:rPr>
          <w:rFonts w:ascii="Times New Roman" w:eastAsiaTheme="minorHAnsi" w:hAnsi="Times New Roman"/>
          <w:sz w:val="27"/>
          <w:szCs w:val="27"/>
        </w:rPr>
        <w:t>Šobrīd minēto procesu veic Ekonomikas ministrija (Enerģētikas politikas administrēšanas departaments), pieejamās 0,5 amata slodzes robežās.</w:t>
      </w:r>
    </w:p>
    <w:p w14:paraId="30AB7B91" w14:textId="77777777" w:rsidR="0038031A" w:rsidRDefault="0038031A" w:rsidP="0038031A">
      <w:pPr>
        <w:spacing w:before="120" w:after="120" w:line="240" w:lineRule="auto"/>
        <w:jc w:val="both"/>
        <w:rPr>
          <w:rFonts w:ascii="Times New Roman" w:eastAsiaTheme="minorHAnsi" w:hAnsi="Times New Roman"/>
          <w:sz w:val="27"/>
          <w:szCs w:val="27"/>
          <w:u w:val="single"/>
        </w:rPr>
      </w:pPr>
      <w:r>
        <w:rPr>
          <w:rFonts w:ascii="Times New Roman" w:eastAsiaTheme="minorHAnsi" w:hAnsi="Times New Roman"/>
          <w:sz w:val="27"/>
          <w:szCs w:val="27"/>
          <w:lang w:eastAsia="lv-LV"/>
        </w:rPr>
        <w:t>Likumprojekts “Grozījumi Elektroenerģijas tirgus likumā”, kas 2.lasījumā Saeimas 12.sasaukumā tika izskatīts 2018.gada 1.novembrī</w:t>
      </w:r>
      <w:r>
        <w:rPr>
          <w:vertAlign w:val="superscript"/>
        </w:rPr>
        <w:footnoteReference w:id="13"/>
      </w:r>
      <w:r>
        <w:rPr>
          <w:rFonts w:ascii="Times New Roman" w:eastAsiaTheme="minorHAnsi" w:hAnsi="Times New Roman"/>
          <w:sz w:val="27"/>
          <w:szCs w:val="27"/>
          <w:lang w:eastAsia="lv-LV"/>
        </w:rPr>
        <w:t>, noteic, ka ražošanas jaudu palielināšanai un jaunas elektroenerģijas ražošanas iekārtas ieviešanai nav nepieciešama ministrijas atļauja, ja elektroenerģijas ražošanas iekārtu paredzēts pievienot elektroenerģijas sadales sistēmai. Šādā gadījumā ir paredzēts tikai iesniegt iesniegumu sadales sistēmas operatoram – AS “Sadales tīkls”. Bet joprojām nav noteikts, ka šīs funkcijas tiek noteiktas AS “Sadales tīkls” un šobrīd nav zināms, kad tas varētu tikt noteikts.</w:t>
      </w:r>
    </w:p>
    <w:p w14:paraId="3DB033B5" w14:textId="77777777" w:rsidR="0038031A" w:rsidRDefault="0038031A" w:rsidP="0038031A">
      <w:pPr>
        <w:shd w:val="clear" w:color="auto" w:fill="FFFFFF"/>
        <w:spacing w:before="120" w:after="120" w:line="240" w:lineRule="auto"/>
        <w:ind w:firstLine="720"/>
        <w:jc w:val="both"/>
        <w:outlineLvl w:val="2"/>
        <w:rPr>
          <w:rFonts w:ascii="Times New Roman" w:eastAsia="Times New Roman" w:hAnsi="Times New Roman"/>
          <w:b/>
          <w:i/>
          <w:sz w:val="27"/>
          <w:szCs w:val="27"/>
          <w:lang w:eastAsia="lv-LV"/>
        </w:rPr>
      </w:pPr>
      <w:bookmarkStart w:id="60" w:name="_Toc8719127"/>
      <w:bookmarkStart w:id="61" w:name="_Toc531102722"/>
      <w:bookmarkStart w:id="62" w:name="_Toc530117364"/>
      <w:bookmarkEnd w:id="57"/>
      <w:r>
        <w:rPr>
          <w:rFonts w:ascii="Times New Roman" w:eastAsia="Times New Roman" w:hAnsi="Times New Roman"/>
          <w:b/>
          <w:i/>
          <w:sz w:val="27"/>
          <w:szCs w:val="27"/>
          <w:lang w:eastAsia="lv-LV"/>
        </w:rPr>
        <w:t>1.4. Elektroenerģijas izcelsmes apliecinājumu administrēšana</w:t>
      </w:r>
      <w:bookmarkEnd w:id="60"/>
      <w:bookmarkEnd w:id="61"/>
      <w:bookmarkEnd w:id="62"/>
    </w:p>
    <w:p w14:paraId="2BBC6BEA"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Elektroenerģijas tirgus likumā ir noteikts, ka komersants, kurš elektroenerģijas ražošanai izmanto atjaunojamos energoresursus vai augstas efektivitātes koģenerāciju, var saņemt izcelsmes apliecinājumu par saražotās elektroenerģijas daudzumu Ministru kabineta 2017.gada 14.februāra noteikumos Nr.86 “Elektroenerģijas izcelsmes apliecinājumu saņemšanas kārtība”</w:t>
      </w:r>
      <w:r>
        <w:rPr>
          <w:vertAlign w:val="superscript"/>
        </w:rPr>
        <w:footnoteReference w:id="14"/>
      </w:r>
      <w:r>
        <w:rPr>
          <w:rFonts w:ascii="Times New Roman" w:eastAsiaTheme="minorHAnsi" w:hAnsi="Times New Roman"/>
          <w:sz w:val="27"/>
          <w:szCs w:val="27"/>
          <w:lang w:eastAsia="lv-LV"/>
        </w:rPr>
        <w:t xml:space="preserve"> (turpmāk – Noteikumi Nr.86) noteiktajā kārtībā.</w:t>
      </w:r>
    </w:p>
    <w:p w14:paraId="7684BC95"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Saskaņā ar Noteikumiem Nr.86 minētos izcelsmes apliecinājumus elektroniski izsniedz un uzskaita Ekonomikas ministrija, ņemot vērā komersanta iesniegto iesniegumu un tam klāt pievienotos dokumentus. Ekonomikas ministrijai iesniegtais iesniegums ir jāpārbauda un jāpieņem lēmums par izcelsmes apliecinājuma izsniegšanu vai neizsniegšanu.</w:t>
      </w:r>
    </w:p>
    <w:p w14:paraId="5D439265" w14:textId="77777777" w:rsidR="0038031A" w:rsidRDefault="0038031A" w:rsidP="0038031A">
      <w:pPr>
        <w:spacing w:before="120" w:after="120" w:line="240" w:lineRule="auto"/>
        <w:jc w:val="both"/>
        <w:rPr>
          <w:rFonts w:ascii="Times New Roman" w:eastAsiaTheme="minorHAnsi" w:hAnsi="Times New Roman"/>
          <w:sz w:val="27"/>
          <w:szCs w:val="27"/>
          <w:u w:val="single"/>
        </w:rPr>
      </w:pPr>
      <w:r>
        <w:rPr>
          <w:rFonts w:ascii="Times New Roman" w:eastAsiaTheme="minorHAnsi" w:hAnsi="Times New Roman"/>
          <w:sz w:val="27"/>
          <w:szCs w:val="27"/>
          <w:lang w:eastAsia="lv-LV"/>
        </w:rPr>
        <w:t>Šobrīd administrējamo subjektu skaits ir apmēram 5-10 komersanti, un gadā ir jāpieņem apmēram 20-30 lēmumi. Šo funkciju veikšanai ir nepieciešama 0,5 amata slodzes.</w:t>
      </w:r>
      <w:r>
        <w:rPr>
          <w:rFonts w:ascii="Times New Roman" w:eastAsiaTheme="minorHAnsi" w:hAnsi="Times New Roman"/>
          <w:sz w:val="27"/>
          <w:szCs w:val="27"/>
        </w:rPr>
        <w:t xml:space="preserve"> Šobrīd minēto procesu veic Ekonomikas ministrija (Enerģētikas politikas administrēšanas departaments), pieejamās 0,5 amata slodzes robežās. </w:t>
      </w:r>
      <w:r>
        <w:rPr>
          <w:rFonts w:ascii="Times New Roman" w:eastAsiaTheme="minorHAnsi" w:hAnsi="Times New Roman"/>
          <w:sz w:val="27"/>
          <w:szCs w:val="27"/>
          <w:lang w:eastAsia="lv-LV"/>
        </w:rPr>
        <w:t xml:space="preserve">Likumprojekts “Grozījumi Elektroenerģijas tirgus likumā”, kas pašlaik apstiprināts 1.lasījumā, noteic, ka elektroenerģijas izcelsmes apliecinājumu turpmāk izsniegs pārvades sistēmas </w:t>
      </w:r>
      <w:r>
        <w:rPr>
          <w:rFonts w:ascii="Times New Roman" w:eastAsiaTheme="minorHAnsi" w:hAnsi="Times New Roman"/>
          <w:sz w:val="27"/>
          <w:szCs w:val="27"/>
          <w:lang w:eastAsia="lv-LV"/>
        </w:rPr>
        <w:lastRenderedPageBreak/>
        <w:t>operators – AS “Augstsprieguma tīkls”, tomēr šobrīd nav zināms, kad minētie grozījumi stātos spēkā.</w:t>
      </w:r>
    </w:p>
    <w:p w14:paraId="045406AF" w14:textId="77777777" w:rsidR="0038031A" w:rsidRDefault="0038031A" w:rsidP="0038031A">
      <w:pPr>
        <w:shd w:val="clear" w:color="auto" w:fill="FFFFFF"/>
        <w:spacing w:before="120" w:after="120" w:line="240" w:lineRule="auto"/>
        <w:ind w:firstLine="720"/>
        <w:jc w:val="both"/>
        <w:outlineLvl w:val="2"/>
        <w:rPr>
          <w:rFonts w:ascii="Times New Roman" w:eastAsia="Times New Roman" w:hAnsi="Times New Roman"/>
          <w:b/>
          <w:i/>
          <w:sz w:val="27"/>
          <w:szCs w:val="27"/>
          <w:lang w:eastAsia="lv-LV"/>
        </w:rPr>
      </w:pPr>
      <w:bookmarkStart w:id="63" w:name="_Toc8719128"/>
      <w:r>
        <w:rPr>
          <w:rFonts w:ascii="Times New Roman" w:eastAsia="Times New Roman" w:hAnsi="Times New Roman"/>
          <w:b/>
          <w:i/>
          <w:sz w:val="27"/>
          <w:szCs w:val="27"/>
          <w:lang w:eastAsia="lv-LV"/>
        </w:rPr>
        <w:t>1.5. Energoietilpīgo apstrādes rūpniecības uzņēmumu pieteikumi</w:t>
      </w:r>
      <w:bookmarkEnd w:id="63"/>
    </w:p>
    <w:p w14:paraId="269120D2"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Elektroenerģijas tirgus likums un Ministru kabineta 2015.gada 14.jūlija noteikumi Nr.395 “Kārtība, kādā energoietilpīgi apstrādes rūpniecības uzņēmumi iegūst tiesības uz samazinātu līdzdalību obligātā iepirkuma komponentes maksājumam”</w:t>
      </w:r>
      <w:r>
        <w:rPr>
          <w:vertAlign w:val="superscript"/>
        </w:rPr>
        <w:footnoteReference w:id="15"/>
      </w:r>
      <w:r>
        <w:rPr>
          <w:rFonts w:ascii="Times New Roman" w:eastAsiaTheme="minorHAnsi" w:hAnsi="Times New Roman"/>
          <w:sz w:val="27"/>
          <w:szCs w:val="27"/>
        </w:rPr>
        <w:t xml:space="preserve"> (turpmāk – Noteikumi Nr.395) nosaka to, ka komersantiem, kas veic konkrētu saimniecisko darbību, un kas vēlas iegūt tiesības uz obligātā iepirkuma komponentes samazinājumu vienam kalendāra gadam, ir jāiesniedz iesniegumu ar tam klāt pievienotajiem dokumentiem. Ekonomikas ministrijai minētais iesniegums un konkrētā komersanta atbilstība noteiktajiem nosacījumiem ir jāizvērtē un mēneša laikā jāpieņem lēmums par tiesību piešķiršanu vai noraidīšanu.</w:t>
      </w:r>
    </w:p>
    <w:p w14:paraId="28A4E970"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Minētais komersants var iesniegt arī iesniegumu par atteikšanos no obligātā iepirkuma komponentes samazinājuma. Šādā gadījumā Ekonomikas ministrijas nekavējoties informē AS “Enerģijas publiskais tirgotājs” un pieņem lēmumu par tiesību atcelšanu.</w:t>
      </w:r>
    </w:p>
    <w:p w14:paraId="599C3CA9"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Noteikumos Nr.395 Ekonomikas ministrijai ir noteikts pienākums reģistrēt, uzskaitīt un publicēt minētos lēmumus.</w:t>
      </w:r>
    </w:p>
    <w:p w14:paraId="59D00A77" w14:textId="77777777" w:rsidR="0038031A" w:rsidRDefault="0038031A" w:rsidP="0038031A">
      <w:pPr>
        <w:spacing w:before="120" w:after="120" w:line="240" w:lineRule="auto"/>
        <w:jc w:val="both"/>
        <w:rPr>
          <w:rFonts w:ascii="Times New Roman" w:eastAsiaTheme="minorHAnsi" w:hAnsi="Times New Roman"/>
          <w:sz w:val="27"/>
          <w:szCs w:val="27"/>
          <w:u w:val="single"/>
        </w:rPr>
      </w:pPr>
      <w:r>
        <w:rPr>
          <w:rFonts w:ascii="Times New Roman" w:eastAsiaTheme="minorHAnsi" w:hAnsi="Times New Roman"/>
          <w:sz w:val="27"/>
          <w:szCs w:val="27"/>
          <w:u w:val="single"/>
        </w:rPr>
        <w:t>Šobrīd administrējamo subjektu skaits ir 40-60 komersanti gadā, un šo funkciju veikšanai ir nepieciešama viena amata slodze.</w:t>
      </w:r>
    </w:p>
    <w:p w14:paraId="1D2E66BA"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minēto procesu kapacitātes iespēju robežās veic Ekonomikas ministrija (Enerģētikas politikas administrēšanas departaments) pieejamās 0,5 amata slodzes robežās.</w:t>
      </w:r>
    </w:p>
    <w:p w14:paraId="1827ABD7"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Tātad ir secināms, ka šī informatīvā ziņojuma II sadaļas 1.punktā minēto pienākumu un uzdevumu veikšanai ir pieejamas 5,5 amata slodzes, bet ir nepieciešamas vismaz 7,5 amata slodzes.</w:t>
      </w:r>
    </w:p>
    <w:p w14:paraId="44F80869" w14:textId="77777777" w:rsidR="0038031A" w:rsidRDefault="0038031A" w:rsidP="0038031A">
      <w:pPr>
        <w:spacing w:before="120" w:after="120" w:line="240" w:lineRule="auto"/>
        <w:jc w:val="both"/>
        <w:rPr>
          <w:rFonts w:ascii="Times New Roman" w:eastAsiaTheme="minorHAnsi" w:hAnsi="Times New Roman"/>
          <w:sz w:val="27"/>
          <w:szCs w:val="27"/>
        </w:rPr>
      </w:pPr>
    </w:p>
    <w:p w14:paraId="7A676B8C" w14:textId="77777777" w:rsidR="0038031A" w:rsidRDefault="0038031A" w:rsidP="0038031A">
      <w:pPr>
        <w:pStyle w:val="Heading1"/>
        <w:rPr>
          <w:rFonts w:eastAsia="Times New Roman"/>
          <w:sz w:val="27"/>
          <w:szCs w:val="27"/>
          <w:u w:val="single"/>
          <w:lang w:eastAsia="lv-LV"/>
        </w:rPr>
      </w:pPr>
      <w:bookmarkStart w:id="64" w:name="_Toc9267421"/>
      <w:bookmarkStart w:id="65" w:name="_Toc8719129"/>
      <w:bookmarkStart w:id="66" w:name="_Toc8648976"/>
      <w:bookmarkStart w:id="67" w:name="_Toc5617045"/>
      <w:bookmarkStart w:id="68" w:name="_Toc5616978"/>
      <w:bookmarkStart w:id="69" w:name="_Toc5616878"/>
      <w:bookmarkStart w:id="70" w:name="_Toc5615486"/>
      <w:bookmarkStart w:id="71" w:name="_Toc13152096"/>
      <w:r>
        <w:rPr>
          <w:rFonts w:eastAsia="Times New Roman"/>
          <w:sz w:val="27"/>
          <w:szCs w:val="27"/>
          <w:u w:val="single"/>
          <w:lang w:eastAsia="lv-LV"/>
        </w:rPr>
        <w:t>2. Aizsargātā lietotāja tirdzniecības pakalpojuma sniegšanas nodrošinājums</w:t>
      </w:r>
      <w:bookmarkEnd w:id="64"/>
      <w:bookmarkEnd w:id="65"/>
      <w:bookmarkEnd w:id="66"/>
      <w:bookmarkEnd w:id="67"/>
      <w:bookmarkEnd w:id="68"/>
      <w:bookmarkEnd w:id="69"/>
      <w:bookmarkEnd w:id="70"/>
      <w:bookmarkEnd w:id="71"/>
    </w:p>
    <w:p w14:paraId="6C95DE08"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Saskaņā ar Elektroenerģijas tirgus likuma 1.pantu aizsargātā lietotāja tirdzniecības pakalpojums (turpmāk – Pakalpojums) ir elektroenerģijas tirdzniecība aizsargātajam lietotājam, kas ir trūcīga vai maznodrošināta ģimene (persona), </w:t>
      </w:r>
      <w:proofErr w:type="spellStart"/>
      <w:r>
        <w:rPr>
          <w:rFonts w:ascii="Times New Roman" w:eastAsiaTheme="minorHAnsi" w:hAnsi="Times New Roman"/>
          <w:sz w:val="27"/>
          <w:szCs w:val="27"/>
          <w:lang w:eastAsia="lv-LV"/>
        </w:rPr>
        <w:t>daudzbērnu</w:t>
      </w:r>
      <w:proofErr w:type="spellEnd"/>
      <w:r>
        <w:rPr>
          <w:rFonts w:ascii="Times New Roman" w:eastAsiaTheme="minorHAnsi" w:hAnsi="Times New Roman"/>
          <w:sz w:val="27"/>
          <w:szCs w:val="27"/>
          <w:lang w:eastAsia="lv-LV"/>
        </w:rPr>
        <w:t xml:space="preserve"> ģimene vai ģimene (persona), kuras aprūpē ir bērns ar invaliditāti, vai persona ar I invaliditātes grupu, kura izlieto elektroenerģiju savā mājsaimniecībā pašas vajadzībām (</w:t>
      </w:r>
      <w:proofErr w:type="spellStart"/>
      <w:r>
        <w:rPr>
          <w:rFonts w:ascii="Times New Roman" w:eastAsiaTheme="minorHAnsi" w:hAnsi="Times New Roman"/>
          <w:sz w:val="27"/>
          <w:szCs w:val="27"/>
          <w:lang w:eastAsia="lv-LV"/>
        </w:rPr>
        <w:t>galapatēriņam</w:t>
      </w:r>
      <w:proofErr w:type="spellEnd"/>
      <w:r>
        <w:rPr>
          <w:rFonts w:ascii="Times New Roman" w:eastAsiaTheme="minorHAnsi" w:hAnsi="Times New Roman"/>
          <w:sz w:val="27"/>
          <w:szCs w:val="27"/>
          <w:lang w:eastAsia="lv-LV"/>
        </w:rPr>
        <w:t>).</w:t>
      </w:r>
    </w:p>
    <w:p w14:paraId="4C73C2A1"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Elektroenerģijas tirgus likuma 33.</w:t>
      </w:r>
      <w:r>
        <w:rPr>
          <w:rFonts w:ascii="Times New Roman" w:eastAsiaTheme="minorHAnsi" w:hAnsi="Times New Roman"/>
          <w:sz w:val="27"/>
          <w:szCs w:val="27"/>
          <w:vertAlign w:val="superscript"/>
          <w:lang w:eastAsia="lv-LV"/>
        </w:rPr>
        <w:t>1</w:t>
      </w:r>
      <w:r>
        <w:rPr>
          <w:rFonts w:ascii="Times New Roman" w:eastAsiaTheme="minorHAnsi" w:hAnsi="Times New Roman"/>
          <w:sz w:val="27"/>
          <w:szCs w:val="27"/>
          <w:lang w:eastAsia="lv-LV"/>
        </w:rPr>
        <w:t xml:space="preserve"> panta trešā daļa nosaka, ka pakalpojuma pasūtījumu organizē Ekonomikas ministrija, izraugoties tirgotāju, kurš nodrošina Pakalpojuma sniegšanu ar viszemāko valsts budžeta līdzfinansējumu. Līgumu par Pakalpojuma sniegšanu slēdz uz diviem gadiem.</w:t>
      </w:r>
    </w:p>
    <w:p w14:paraId="0FFE7FB8"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Kārtību, kādā norit Pakalpojuma saņemšana un kompensēšana Pakalpojuma sniedzējam, nosaka Ministru kabineta 2016.gada 12.jūlija noteikumi Nr.459 </w:t>
      </w:r>
      <w:r>
        <w:rPr>
          <w:rFonts w:ascii="Times New Roman" w:eastAsiaTheme="minorHAnsi" w:hAnsi="Times New Roman"/>
          <w:sz w:val="27"/>
          <w:szCs w:val="27"/>
          <w:lang w:eastAsia="lv-LV"/>
        </w:rPr>
        <w:lastRenderedPageBreak/>
        <w:t>“Aizsargātā lietotāja tirdzniecības pakalpojuma sniegšanas, obligātā iepirkuma komponentes un sadales sistēmas pakalpojuma kompensēšanas kārtība” (turpmāk – Noteikumi Nr.459)</w:t>
      </w:r>
    </w:p>
    <w:p w14:paraId="31767888"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Šobrīd Ekonomikas ministrijas kompetencē ir:</w:t>
      </w:r>
    </w:p>
    <w:p w14:paraId="28FAC636" w14:textId="77777777" w:rsidR="0038031A" w:rsidRDefault="0038031A" w:rsidP="0038031A">
      <w:pPr>
        <w:numPr>
          <w:ilvl w:val="0"/>
          <w:numId w:val="47"/>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konkursa izsludināšana, lai izraudzītos Pakalpojuma sniedzēju;</w:t>
      </w:r>
    </w:p>
    <w:p w14:paraId="3792C010" w14:textId="77777777" w:rsidR="0038031A" w:rsidRDefault="0038031A" w:rsidP="0038031A">
      <w:pPr>
        <w:numPr>
          <w:ilvl w:val="0"/>
          <w:numId w:val="47"/>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līguma sagatavošana un slēgšana ar izraudzīto Pakalpojuma sniedzēju;</w:t>
      </w:r>
    </w:p>
    <w:p w14:paraId="13DEF35E" w14:textId="77777777" w:rsidR="0038031A" w:rsidRDefault="0038031A" w:rsidP="0038031A">
      <w:pPr>
        <w:numPr>
          <w:ilvl w:val="0"/>
          <w:numId w:val="47"/>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Pakalpojuma sniedzēja izsniegtā rēķina par kompensācijas apmēru, kas nepieciešams, lai segtu izdevumus par aizsargātajiem lietotājiem sniegto Pakalpojumu, apmaksa;</w:t>
      </w:r>
    </w:p>
    <w:p w14:paraId="6B2B108C" w14:textId="77777777" w:rsidR="0038031A" w:rsidRDefault="0038031A" w:rsidP="0038031A">
      <w:pPr>
        <w:numPr>
          <w:ilvl w:val="0"/>
          <w:numId w:val="47"/>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Pakalpojuma sniegšanai piešķirto valsts budžeta līdzekļu izlietošanas uzraudzība - Pakalpojuma sniedzēju sagatavoto rēķinu pārbaudes klātienē pēc nejaušības principa, atskaišu par kompensācijas </w:t>
      </w:r>
      <w:proofErr w:type="spellStart"/>
      <w:r>
        <w:rPr>
          <w:rFonts w:ascii="Times New Roman" w:eastAsiaTheme="minorHAnsi" w:hAnsi="Times New Roman"/>
          <w:sz w:val="27"/>
          <w:szCs w:val="27"/>
          <w:lang w:eastAsia="lv-LV"/>
        </w:rPr>
        <w:t>piemērojumu</w:t>
      </w:r>
      <w:proofErr w:type="spellEnd"/>
      <w:r>
        <w:rPr>
          <w:rFonts w:ascii="Times New Roman" w:eastAsiaTheme="minorHAnsi" w:hAnsi="Times New Roman"/>
          <w:sz w:val="27"/>
          <w:szCs w:val="27"/>
          <w:lang w:eastAsia="lv-LV"/>
        </w:rPr>
        <w:t xml:space="preserve"> atkarībā no elektroenerģijas patēriņa un pieslēguma veida pārbaude.</w:t>
      </w:r>
    </w:p>
    <w:p w14:paraId="6E26BBEC" w14:textId="77777777" w:rsidR="0038031A" w:rsidRDefault="0038031A" w:rsidP="0038031A">
      <w:pPr>
        <w:spacing w:before="120" w:after="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Tā kā pašlaik pakalpojumu var izmantot tikai viena elektroenerģijas tirgotāja klienti, aizsargātā lietotāja mehānisms kā sociāls rīks nesasniedz visas aizsargātā lietotāja būtībai atbilstošās personas, kā arī savā veidā ierobežo konkurenci starp elektroenerģijas tirgotājiem. Turklāt, Pakalpojuma saņemšana bez papildus iesnieguma un apliecinājuma iesniegšanas Pakalpojuma sniedzējam iespējama tikai trūcīgām un maznodrošinātām personām, par kurām informāciju Pakalpojuma sniedzējs datu veidā saņem no pašvaldību datu sistēmas “SOPA”. </w:t>
      </w:r>
      <w:proofErr w:type="spellStart"/>
      <w:r>
        <w:rPr>
          <w:rFonts w:ascii="Times New Roman" w:eastAsiaTheme="minorHAnsi" w:hAnsi="Times New Roman"/>
          <w:sz w:val="27"/>
          <w:szCs w:val="27"/>
        </w:rPr>
        <w:t>Daudzbērnu</w:t>
      </w:r>
      <w:proofErr w:type="spellEnd"/>
      <w:r>
        <w:rPr>
          <w:rFonts w:ascii="Times New Roman" w:eastAsiaTheme="minorHAnsi" w:hAnsi="Times New Roman"/>
          <w:sz w:val="27"/>
          <w:szCs w:val="27"/>
        </w:rPr>
        <w:t xml:space="preserve"> ģimenēm, ģimenēm ar bērniem ar invaliditāti, kā arī personām ar I grupas invaliditāti ir jāpiesakās pakalpojuma saņemšanai, uzrādot apliecinājuma dokumentāciju Pakalpojuma sniedzējam.</w:t>
      </w:r>
    </w:p>
    <w:p w14:paraId="5F0450AE" w14:textId="77777777" w:rsidR="0038031A" w:rsidRDefault="0038031A" w:rsidP="0038031A">
      <w:pPr>
        <w:spacing w:before="120" w:after="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Ar grozījumiem Elektroenerģijas tirgus likumā, kas apstiprināti Saeimā 1.lasījumā rosināts atcelt konkursu rīkošanu par Pakalpojuma sniegšanu, bet nodrošināt Pakalpojumu maksimāli plašam aizsargātā lietotāja statusam atbilstošo personu lokam neatkarīgi no izvēlētā elektroenerģijas tirgotāja. </w:t>
      </w:r>
    </w:p>
    <w:p w14:paraId="43981E78" w14:textId="77777777" w:rsidR="0038031A" w:rsidRDefault="0038031A" w:rsidP="0038031A">
      <w:pPr>
        <w:spacing w:before="120" w:after="120" w:line="240" w:lineRule="auto"/>
        <w:jc w:val="both"/>
        <w:rPr>
          <w:rFonts w:ascii="Times New Roman" w:eastAsiaTheme="minorHAnsi" w:hAnsi="Times New Roman"/>
          <w:b/>
          <w:i/>
          <w:sz w:val="27"/>
          <w:szCs w:val="27"/>
          <w:u w:val="single"/>
        </w:rPr>
      </w:pPr>
      <w:r>
        <w:rPr>
          <w:rFonts w:ascii="Times New Roman" w:eastAsiaTheme="minorHAnsi" w:hAnsi="Times New Roman"/>
          <w:sz w:val="27"/>
          <w:szCs w:val="27"/>
        </w:rPr>
        <w:t xml:space="preserve">Šobrīd minēto procesu kapacitātes iespēju robežās veic Ekonomikas ministrija (Enerģētikas tirgus un infrastruktūras departaments) pieejamās 0.5 amata slodzes robežās, bet šīs </w:t>
      </w:r>
      <w:r>
        <w:rPr>
          <w:rFonts w:ascii="Times New Roman" w:eastAsiaTheme="minorHAnsi" w:hAnsi="Times New Roman"/>
          <w:sz w:val="27"/>
          <w:szCs w:val="27"/>
          <w:u w:val="single"/>
        </w:rPr>
        <w:t>funkcijas veikšanai ir nepieciešamas divas amata slodzes.</w:t>
      </w:r>
    </w:p>
    <w:p w14:paraId="3DD5B3B7" w14:textId="77777777" w:rsidR="0038031A" w:rsidRDefault="0038031A" w:rsidP="0038031A">
      <w:pPr>
        <w:spacing w:before="120" w:line="254" w:lineRule="auto"/>
        <w:jc w:val="both"/>
        <w:rPr>
          <w:rFonts w:ascii="Times New Roman" w:eastAsiaTheme="minorHAnsi" w:hAnsi="Times New Roman"/>
          <w:b/>
          <w:i/>
          <w:sz w:val="27"/>
          <w:szCs w:val="27"/>
          <w:u w:val="single"/>
        </w:rPr>
      </w:pPr>
    </w:p>
    <w:p w14:paraId="4A5C5051" w14:textId="77777777" w:rsidR="0038031A" w:rsidRDefault="0038031A" w:rsidP="0038031A">
      <w:pPr>
        <w:pStyle w:val="Heading1"/>
        <w:rPr>
          <w:rFonts w:eastAsia="Times New Roman"/>
          <w:sz w:val="27"/>
          <w:szCs w:val="27"/>
          <w:u w:val="single"/>
          <w:lang w:eastAsia="lv-LV"/>
        </w:rPr>
      </w:pPr>
      <w:bookmarkStart w:id="72" w:name="_Toc9267422"/>
      <w:bookmarkStart w:id="73" w:name="_Toc8719130"/>
      <w:bookmarkStart w:id="74" w:name="_Toc8648977"/>
      <w:bookmarkStart w:id="75" w:name="_Toc5617046"/>
      <w:bookmarkStart w:id="76" w:name="_Toc5616979"/>
      <w:bookmarkStart w:id="77" w:name="_Toc5616879"/>
      <w:bookmarkStart w:id="78" w:name="_Toc5615487"/>
      <w:bookmarkStart w:id="79" w:name="_Toc13152097"/>
      <w:r>
        <w:rPr>
          <w:rFonts w:eastAsia="Times New Roman"/>
          <w:sz w:val="27"/>
          <w:szCs w:val="27"/>
          <w:u w:val="single"/>
          <w:lang w:eastAsia="lv-LV"/>
        </w:rPr>
        <w:t>3. Citas enerģētikas politikas īstenošanas funkcijas</w:t>
      </w:r>
      <w:bookmarkEnd w:id="72"/>
      <w:bookmarkEnd w:id="73"/>
      <w:bookmarkEnd w:id="74"/>
      <w:bookmarkEnd w:id="75"/>
      <w:bookmarkEnd w:id="76"/>
      <w:bookmarkEnd w:id="77"/>
      <w:bookmarkEnd w:id="78"/>
      <w:bookmarkEnd w:id="79"/>
    </w:p>
    <w:p w14:paraId="52820F49" w14:textId="77777777" w:rsidR="0038031A" w:rsidRDefault="0038031A" w:rsidP="0038031A">
      <w:pPr>
        <w:shd w:val="clear" w:color="auto" w:fill="FFFFFF"/>
        <w:spacing w:before="120" w:after="120" w:line="240" w:lineRule="auto"/>
        <w:ind w:left="709"/>
        <w:jc w:val="both"/>
        <w:outlineLvl w:val="2"/>
        <w:rPr>
          <w:rFonts w:ascii="Times New Roman" w:eastAsia="Times New Roman" w:hAnsi="Times New Roman"/>
          <w:b/>
          <w:i/>
          <w:sz w:val="27"/>
          <w:szCs w:val="27"/>
          <w:lang w:eastAsia="lv-LV"/>
        </w:rPr>
      </w:pPr>
      <w:bookmarkStart w:id="80" w:name="_Toc8719131"/>
      <w:bookmarkStart w:id="81" w:name="_Toc8648978"/>
      <w:bookmarkStart w:id="82" w:name="_Toc5617047"/>
      <w:bookmarkStart w:id="83" w:name="_Toc5616980"/>
      <w:bookmarkStart w:id="84" w:name="_Toc5616880"/>
      <w:bookmarkStart w:id="85" w:name="_Toc5615488"/>
      <w:r>
        <w:rPr>
          <w:rFonts w:ascii="Times New Roman" w:eastAsia="Times New Roman" w:hAnsi="Times New Roman"/>
          <w:b/>
          <w:i/>
          <w:sz w:val="27"/>
          <w:szCs w:val="27"/>
          <w:lang w:eastAsia="lv-LV"/>
        </w:rPr>
        <w:t>3.1. Energoefektivitātes jautājumu administrēšanas funkcijas</w:t>
      </w:r>
      <w:bookmarkEnd w:id="44"/>
      <w:bookmarkEnd w:id="45"/>
      <w:bookmarkEnd w:id="46"/>
      <w:bookmarkEnd w:id="47"/>
      <w:bookmarkEnd w:id="80"/>
      <w:bookmarkEnd w:id="81"/>
      <w:bookmarkEnd w:id="82"/>
      <w:bookmarkEnd w:id="83"/>
      <w:bookmarkEnd w:id="84"/>
      <w:bookmarkEnd w:id="85"/>
    </w:p>
    <w:p w14:paraId="629157E2" w14:textId="2BAE2E52"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Zemāk minēto energoefektivitātes jautājumu administrēšanas funkcijas izriet no Direktīvas </w:t>
      </w:r>
      <w:r>
        <w:rPr>
          <w:rFonts w:ascii="Times New Roman" w:eastAsiaTheme="minorHAnsi" w:hAnsi="Times New Roman"/>
          <w:sz w:val="27"/>
          <w:szCs w:val="27"/>
        </w:rPr>
        <w:t>2012/27/ES</w:t>
      </w:r>
      <w:r>
        <w:rPr>
          <w:rFonts w:ascii="Times New Roman" w:eastAsiaTheme="minorHAnsi" w:hAnsi="Times New Roman"/>
          <w:sz w:val="27"/>
          <w:szCs w:val="27"/>
          <w:vertAlign w:val="superscript"/>
        </w:rPr>
        <w:t>4</w:t>
      </w:r>
      <w:r>
        <w:rPr>
          <w:rFonts w:ascii="Times New Roman" w:eastAsiaTheme="minorHAnsi" w:hAnsi="Times New Roman"/>
          <w:sz w:val="27"/>
          <w:szCs w:val="27"/>
          <w:lang w:eastAsia="lv-LV"/>
        </w:rPr>
        <w:t>. Tomēr jau šobrīd ir zināms, ka energoefektivitātes jautājumu administrēšanas funkciju un uzdevumu apjoms palielināsies sakarā ar 2018.gada 11.decembra grozījumiem Direktīvā 2012/27/ES.</w:t>
      </w:r>
    </w:p>
    <w:p w14:paraId="5433B92F" w14:textId="5F541F28" w:rsidR="003C3150" w:rsidRDefault="003C3150" w:rsidP="0038031A">
      <w:pPr>
        <w:spacing w:before="120" w:after="120" w:line="240" w:lineRule="auto"/>
        <w:jc w:val="both"/>
        <w:rPr>
          <w:rFonts w:ascii="Times New Roman" w:eastAsiaTheme="minorHAnsi" w:hAnsi="Times New Roman"/>
          <w:sz w:val="27"/>
          <w:szCs w:val="27"/>
          <w:lang w:eastAsia="lv-LV"/>
        </w:rPr>
      </w:pPr>
    </w:p>
    <w:p w14:paraId="393C2EA1" w14:textId="77777777" w:rsidR="003C3150" w:rsidRDefault="003C3150" w:rsidP="0038031A">
      <w:pPr>
        <w:spacing w:before="120" w:after="120" w:line="240" w:lineRule="auto"/>
        <w:jc w:val="both"/>
        <w:rPr>
          <w:rFonts w:ascii="Times New Roman" w:eastAsiaTheme="minorHAnsi" w:hAnsi="Times New Roman"/>
          <w:sz w:val="27"/>
          <w:szCs w:val="27"/>
          <w:lang w:eastAsia="lv-LV"/>
        </w:rPr>
      </w:pPr>
    </w:p>
    <w:p w14:paraId="7CE5564F"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86" w:name="_Toc5615489"/>
      <w:bookmarkStart w:id="87" w:name="_Toc531102709"/>
      <w:bookmarkStart w:id="88" w:name="_Toc530117351"/>
      <w:r>
        <w:rPr>
          <w:rFonts w:ascii="Times New Roman" w:eastAsia="Times New Roman" w:hAnsi="Times New Roman"/>
          <w:sz w:val="27"/>
          <w:szCs w:val="27"/>
          <w:u w:val="single"/>
          <w:lang w:eastAsia="lv-LV"/>
        </w:rPr>
        <w:lastRenderedPageBreak/>
        <w:t>Energoefektivitātes pienākumu shēmas administrēšana</w:t>
      </w:r>
      <w:bookmarkEnd w:id="86"/>
      <w:bookmarkEnd w:id="87"/>
      <w:bookmarkEnd w:id="88"/>
    </w:p>
    <w:p w14:paraId="052D1368"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Energoefektivitātes pienākumu shēmas (turpmāk – EPS) aptvērumu un darbības principus nosaka Energoefektivitātes likums</w:t>
      </w:r>
      <w:r>
        <w:rPr>
          <w:rFonts w:ascii="Times New Roman" w:eastAsiaTheme="minorHAnsi" w:hAnsi="Times New Roman"/>
          <w:sz w:val="27"/>
          <w:szCs w:val="27"/>
          <w:vertAlign w:val="superscript"/>
        </w:rPr>
        <w:footnoteReference w:id="16"/>
      </w:r>
      <w:r>
        <w:rPr>
          <w:rFonts w:ascii="Times New Roman" w:eastAsiaTheme="minorHAnsi" w:hAnsi="Times New Roman"/>
          <w:sz w:val="27"/>
          <w:szCs w:val="27"/>
        </w:rPr>
        <w:t xml:space="preserve"> un uz minētajā likumā ietvertā deleģējuma pamata izdotie Ministru kabineta noteikumi:</w:t>
      </w:r>
    </w:p>
    <w:p w14:paraId="2D4E3641" w14:textId="77777777" w:rsidR="0038031A" w:rsidRDefault="0038031A" w:rsidP="0038031A">
      <w:pPr>
        <w:numPr>
          <w:ilvl w:val="0"/>
          <w:numId w:val="49"/>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Ministru kabineta 2017.gada 25.aprīļa noteikumi Nr.226 “Energoefektivitātes pienākuma shēmas noteikumi”</w:t>
      </w:r>
      <w:r>
        <w:rPr>
          <w:rFonts w:ascii="Times New Roman" w:eastAsiaTheme="minorHAnsi" w:hAnsi="Times New Roman"/>
          <w:sz w:val="27"/>
          <w:szCs w:val="27"/>
          <w:vertAlign w:val="superscript"/>
          <w:lang w:eastAsia="lv-LV"/>
        </w:rPr>
        <w:footnoteReference w:id="17"/>
      </w:r>
      <w:r>
        <w:rPr>
          <w:rFonts w:ascii="Times New Roman" w:eastAsiaTheme="minorHAnsi" w:hAnsi="Times New Roman"/>
          <w:sz w:val="27"/>
          <w:szCs w:val="27"/>
          <w:lang w:eastAsia="lv-LV"/>
        </w:rPr>
        <w:t xml:space="preserve"> (turpmāk – Noteikumi Nr.226);</w:t>
      </w:r>
    </w:p>
    <w:p w14:paraId="2C841B4E" w14:textId="77777777" w:rsidR="0038031A" w:rsidRDefault="0038031A" w:rsidP="0038031A">
      <w:pPr>
        <w:numPr>
          <w:ilvl w:val="0"/>
          <w:numId w:val="49"/>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Ministru kabineta 2016.gada 11.oktobra noteikumi Nr.668 “Energoefektivitātes monitoringa un piemērojamā </w:t>
      </w:r>
      <w:proofErr w:type="spellStart"/>
      <w:r>
        <w:rPr>
          <w:rFonts w:ascii="Times New Roman" w:eastAsiaTheme="minorHAnsi" w:hAnsi="Times New Roman"/>
          <w:sz w:val="27"/>
          <w:szCs w:val="27"/>
          <w:lang w:eastAsia="lv-LV"/>
        </w:rPr>
        <w:t>energopārvaldības</w:t>
      </w:r>
      <w:proofErr w:type="spellEnd"/>
      <w:r>
        <w:rPr>
          <w:rFonts w:ascii="Times New Roman" w:eastAsiaTheme="minorHAnsi" w:hAnsi="Times New Roman"/>
          <w:sz w:val="27"/>
          <w:szCs w:val="27"/>
          <w:lang w:eastAsia="lv-LV"/>
        </w:rPr>
        <w:t xml:space="preserve"> sistēmas standarta noteikumi”</w:t>
      </w:r>
      <w:r>
        <w:rPr>
          <w:rFonts w:ascii="Times New Roman" w:eastAsiaTheme="minorHAnsi" w:hAnsi="Times New Roman"/>
          <w:sz w:val="27"/>
          <w:szCs w:val="27"/>
          <w:vertAlign w:val="superscript"/>
          <w:lang w:eastAsia="lv-LV"/>
        </w:rPr>
        <w:footnoteReference w:id="18"/>
      </w:r>
      <w:r>
        <w:rPr>
          <w:rFonts w:ascii="Times New Roman" w:eastAsiaTheme="minorHAnsi" w:hAnsi="Times New Roman"/>
          <w:sz w:val="27"/>
          <w:szCs w:val="27"/>
          <w:lang w:eastAsia="lv-LV"/>
        </w:rPr>
        <w:t xml:space="preserve"> (turpmāk – Noteikumi Nr.668).</w:t>
      </w:r>
    </w:p>
    <w:p w14:paraId="631841F2"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EPS darbība sadalāma šādos saistību periodos: </w:t>
      </w:r>
    </w:p>
    <w:p w14:paraId="34A6CD1D" w14:textId="77777777" w:rsidR="0038031A" w:rsidRDefault="0038031A" w:rsidP="0038031A">
      <w:pPr>
        <w:numPr>
          <w:ilvl w:val="0"/>
          <w:numId w:val="50"/>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starta periods no 2017.gada 1.maija līdz 31.decembrim;</w:t>
      </w:r>
    </w:p>
    <w:p w14:paraId="7E179019" w14:textId="77777777" w:rsidR="0038031A" w:rsidRDefault="0038031A" w:rsidP="0038031A">
      <w:pPr>
        <w:numPr>
          <w:ilvl w:val="0"/>
          <w:numId w:val="50"/>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pirmais saistību periods no 2018.gada 1.janvāra līdz 2020.gada 31.decembrim;</w:t>
      </w:r>
    </w:p>
    <w:p w14:paraId="6900029F" w14:textId="77777777" w:rsidR="0038031A" w:rsidRDefault="0038031A" w:rsidP="0038031A">
      <w:pPr>
        <w:numPr>
          <w:ilvl w:val="0"/>
          <w:numId w:val="50"/>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otrais saistību periods no 2021.gada 1.janvāra līdz 2025.gada 31.decembrim;</w:t>
      </w:r>
    </w:p>
    <w:p w14:paraId="40716B33" w14:textId="77777777" w:rsidR="0038031A" w:rsidRDefault="0038031A" w:rsidP="0038031A">
      <w:pPr>
        <w:numPr>
          <w:ilvl w:val="0"/>
          <w:numId w:val="50"/>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trešais saistību periods no 2026.gada 1.janvāra līdz 2030.gada  31.decembrim.</w:t>
      </w:r>
    </w:p>
    <w:p w14:paraId="5A2A4A69"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Starta un pirmajā saistību periodā līdz 2020.gadam atbildīgās puses ir elektroenerģijas tirgotāji, kuriem tiek noteikts pienākums, informējot patērētājus par energoefektivitātes pasākumiem vai palīdzot tiem ieviest energoefektivitāti veicinošus pasākumus (piemēram, aizstāt esošās iekārtas ar energoefektīvākām, vai uzstādīt papildus energoefektivitāti veicinošus produktus) pie gala patērētājiem, panākt enerģijas ietaupījumus noteiktā apjomā (pienākuma apjoms).  EPS pirmajā saistību periodā līdz 2020.gadam:</w:t>
      </w:r>
    </w:p>
    <w:p w14:paraId="2375718B" w14:textId="77777777" w:rsidR="0038031A" w:rsidRDefault="0038031A" w:rsidP="0038031A">
      <w:pPr>
        <w:numPr>
          <w:ilvl w:val="0"/>
          <w:numId w:val="51"/>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EPS iekļaujamā nozare ir elektroenerģijas tirdzniecība, </w:t>
      </w:r>
    </w:p>
    <w:p w14:paraId="6B919B57" w14:textId="77777777" w:rsidR="0038031A" w:rsidRDefault="0038031A" w:rsidP="0038031A">
      <w:pPr>
        <w:numPr>
          <w:ilvl w:val="0"/>
          <w:numId w:val="51"/>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atbildīgās puses ir elektroenerģijas mazumtirgotāji,</w:t>
      </w:r>
    </w:p>
    <w:p w14:paraId="4C013B23" w14:textId="77777777" w:rsidR="0038031A" w:rsidRDefault="0038031A" w:rsidP="0038031A">
      <w:pPr>
        <w:numPr>
          <w:ilvl w:val="0"/>
          <w:numId w:val="51"/>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atbildīgo pušu izvēles kritērijs ir gadā pārdotais elektroenerģijas apjoms  10GWh un vairāk (2017.gadā kritērijam atbilst 13 elektroenerģijas mazumtirdzniecības komersanti),</w:t>
      </w:r>
    </w:p>
    <w:p w14:paraId="66468228" w14:textId="77777777" w:rsidR="0038031A" w:rsidRDefault="0038031A" w:rsidP="0038031A">
      <w:pPr>
        <w:numPr>
          <w:ilvl w:val="0"/>
          <w:numId w:val="51"/>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atbildīgo pušu pienākuma apjomu sadalījumā pa gadiem un tā noteikšanas metodiku atbilstoši Direktīvā 2012/27/ES noteiktajam enerģijas ietaupījumu uzkrāšanās (kumulācijas) principam nosaka, pamatojoties uz komersantu ikgadējo pārdoto enerģijas apjomu tādiem lietotājiem, kuri nav lielie uzņēmumi un lielie elektroenerģijas patērētāji atbilstoši Energoefektivitātes likumā noteiktajiem kritērijiem,</w:t>
      </w:r>
    </w:p>
    <w:p w14:paraId="39FC2D92" w14:textId="77777777" w:rsidR="0038031A" w:rsidRDefault="0038031A" w:rsidP="0038031A">
      <w:pPr>
        <w:numPr>
          <w:ilvl w:val="0"/>
          <w:numId w:val="51"/>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energoefektivitātes pasākumu veidi, kurus var veikt atbildīgās puses, ir pasākumi pie gala patērētāja, patērētāju informēšana un iemaksas energoefektivitātes fondā, </w:t>
      </w:r>
    </w:p>
    <w:p w14:paraId="1A6D093E" w14:textId="77777777" w:rsidR="0038031A" w:rsidRDefault="0038031A" w:rsidP="0038031A">
      <w:pPr>
        <w:numPr>
          <w:ilvl w:val="0"/>
          <w:numId w:val="51"/>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lastRenderedPageBreak/>
        <w:t>izmaksas, kas atbildīgajai pusei radušās par energoefektivitātes uzlabošanas pasākumiem pie galalietotāja un iemaksas valsts  energoefektivitātes fondā  var atgūt, iekļaujot maksā par enerģiju.</w:t>
      </w:r>
    </w:p>
    <w:p w14:paraId="640842C6"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Noteikumi Nr.226 nosaka, ka Ekonomikas ministrija reizi gadā:</w:t>
      </w:r>
    </w:p>
    <w:p w14:paraId="2BF68910" w14:textId="77777777" w:rsidR="0038031A" w:rsidRDefault="0038031A" w:rsidP="0038031A">
      <w:pPr>
        <w:numPr>
          <w:ilvl w:val="0"/>
          <w:numId w:val="52"/>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energoefektivitātes pienākuma shēmas atbildīgajai pusei pieprasa informāciju par tās galalietotāju enerģijas patēriņu sadalījumā pa nozarēm un mājsaimniecību sektorā, kā arī pa Latvijas Republikas plānošanas reģioniem un informāciju par tās galalietotājiem;</w:t>
      </w:r>
    </w:p>
    <w:p w14:paraId="2BF4EA34"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saņem no energoefektivitātes pienākuma shēmas atbildīgās puses enerģijas ietaupījumu pārskatus par īstenotajos energoefektivitātes uzlabošanas pasākumos sasniegtajiem ietaupījumiem iepriekšējā kalendāra gadā.</w:t>
      </w:r>
    </w:p>
    <w:p w14:paraId="6DC999F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Energoefektivitātes likums nosaka, ka EPS var tikt paplašināta, tajā iekļaujot arī siltumenerģijas, dabasgāzes un transporta enerģijas komersantus (tirgotājus). Ekonomikas ministrija EPS paplašināšanas nosacījumus ir iekļāvusi “Nacionālā enerģētikas un klimata plāna 2021.-2030.gadam” projektā (plāns tiks apstiprināts līdz 2019.gada 31.decembrim saskaņā ar Regulu Nr.2018/1999</w:t>
      </w:r>
      <w:r>
        <w:rPr>
          <w:rStyle w:val="FootnoteReference"/>
          <w:rFonts w:ascii="Times New Roman" w:eastAsiaTheme="minorHAnsi" w:hAnsi="Times New Roman"/>
          <w:sz w:val="27"/>
          <w:szCs w:val="27"/>
        </w:rPr>
        <w:footnoteReference w:id="19"/>
      </w:r>
      <w:r>
        <w:rPr>
          <w:rFonts w:ascii="Times New Roman" w:eastAsiaTheme="minorHAnsi" w:hAnsi="Times New Roman"/>
          <w:sz w:val="27"/>
          <w:szCs w:val="27"/>
          <w:lang w:eastAsia="lv-LV"/>
        </w:rPr>
        <w:t>) un plāno EPS paplašināšanu veikt 2020.gadā, veicot attiecīgos grozījumus Latvijas Republikas normatīvajos aktos. EPS paplašināšana ir nepieciešama, lai nodrošinātu Latvijas Republikai noteikto obligāto energoefektivitātes mērķu – ikgadējie jaunie enerģijas ietaupījumi un kopējais 2021.-2030.gada periodā uzkrātais ietaupījums, periodā līdz 2030.gadam izpildi.</w:t>
      </w:r>
      <w:r>
        <w:rPr>
          <w:rFonts w:ascii="Times New Roman" w:eastAsiaTheme="minorHAnsi" w:hAnsi="Times New Roman"/>
          <w:sz w:val="27"/>
          <w:szCs w:val="27"/>
        </w:rPr>
        <w:t xml:space="preserve"> EPS paplašināšanas gadījumā attiecīgi palielināsies EPS administrēšanas pienākumi.</w:t>
      </w:r>
    </w:p>
    <w:p w14:paraId="6A257B97"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EPS administrēšanas funkciju veikšanu veic Ekonomikas ministrija (Enerģētikas politikas administrēšanas departaments), tomēr šo funkciju izpilde nenotiek pilnvērtīgi kapacitātes trūkuma dēļ. Šobrīd iespēju robežās tiek apkopoti visi saņemtie pārskati, bet netiek veikta šo pārskatu kvalitatīva un detalizēta izvērtēšana un analīze, kā arī netiek uzturēts pilnvērtīgs dialogs ar atbildīgajām pusēm par pārskatā ietverto informāciju un tās labojumiem, ja tāda nepieciešamība tiek konstatēta.</w:t>
      </w:r>
    </w:p>
    <w:p w14:paraId="3B033349"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89" w:name="_Toc5615490"/>
      <w:bookmarkStart w:id="90" w:name="_Toc531102710"/>
      <w:bookmarkStart w:id="91" w:name="_Toc530117352"/>
      <w:proofErr w:type="spellStart"/>
      <w:r>
        <w:rPr>
          <w:rFonts w:ascii="Times New Roman" w:eastAsia="Times New Roman" w:hAnsi="Times New Roman"/>
          <w:sz w:val="27"/>
          <w:szCs w:val="27"/>
          <w:u w:val="single"/>
          <w:lang w:eastAsia="lv-LV"/>
        </w:rPr>
        <w:t>Energopārvaldības</w:t>
      </w:r>
      <w:proofErr w:type="spellEnd"/>
      <w:r>
        <w:rPr>
          <w:rFonts w:ascii="Times New Roman" w:eastAsia="Times New Roman" w:hAnsi="Times New Roman"/>
          <w:sz w:val="27"/>
          <w:szCs w:val="27"/>
          <w:u w:val="single"/>
          <w:lang w:eastAsia="lv-LV"/>
        </w:rPr>
        <w:t xml:space="preserve">  ieviešanas pienākumu izpildes uzraudzība valsts iestādēs un pašvaldībās</w:t>
      </w:r>
      <w:bookmarkEnd w:id="89"/>
      <w:bookmarkEnd w:id="90"/>
      <w:bookmarkEnd w:id="91"/>
    </w:p>
    <w:p w14:paraId="04D352C9"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Saskaņā ar Noteikumiem Nr.668 Ekonomikas ministrija 10 darbdienu laikā pēc valsts iestādes vai pašvaldības ziņojuma saņemšanas par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sistēmas ieviešanu vai sertificēšanu izvērtē paziņojumā sniegtās informācijas atbilstību Noteikumos Nr.668 noteiktajām prasībām un, ja nepieciešams, lūdz iesniegt precizējumus. Ja tiek konstatēts, ka ziņojumā sniegtā informācija ir atbilstoša Noteikumos Nr.668 noteiktajām prasībām, Ekonomikas ministrija apstiprina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sistēmas ieviešanu, iekļaujot iestādi vai pašvaldību to valsts iestāžu </w:t>
      </w:r>
      <w:r>
        <w:rPr>
          <w:rFonts w:ascii="Times New Roman" w:eastAsiaTheme="minorHAnsi" w:hAnsi="Times New Roman"/>
          <w:sz w:val="27"/>
          <w:szCs w:val="27"/>
        </w:rPr>
        <w:lastRenderedPageBreak/>
        <w:t xml:space="preserve">un pašvaldību sarakstā, kuras ieviesušas vai sertificējušas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sistēmu, un publicē sarakstu savā tīmekļvietnē.</w:t>
      </w:r>
    </w:p>
    <w:p w14:paraId="3A1BA5A3"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Noteikumos Nr.668 ir arī noteikts, ka Ekonomikas ministrija katru gadu savā tīmekļvietnē publicē arī pārskatu par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sistēmas ieviešanu valsts iestādēs un pašvaldībās.</w:t>
      </w:r>
    </w:p>
    <w:p w14:paraId="51AE3608"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Šobrīd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sistēmas pārraudzības valsts iestādēs un pašvaldībās funkciju veikšana ir noteikta Ekonomikas ministrijai (Enerģētikas politikas administrēšanas departaments), tomēr šo funkciju izpilde nenotiek pilnvērtīgi kapacitātes trūkuma dēļ, kur netiek veikta pilnvērtīga iesniegto ziņojumu kvalitatīva un detalizēta izvērtēšana.</w:t>
      </w:r>
    </w:p>
    <w:p w14:paraId="235BA640"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92" w:name="_Toc8719132"/>
      <w:bookmarkStart w:id="93" w:name="_Toc8654092"/>
      <w:bookmarkStart w:id="94" w:name="_Toc8652530"/>
      <w:bookmarkStart w:id="95" w:name="_Toc8649224"/>
      <w:bookmarkStart w:id="96" w:name="_Toc8648979"/>
      <w:bookmarkStart w:id="97" w:name="_Toc5617078"/>
      <w:bookmarkStart w:id="98" w:name="_Toc5617048"/>
      <w:bookmarkStart w:id="99" w:name="_Toc5616981"/>
      <w:bookmarkStart w:id="100" w:name="_Toc5616881"/>
      <w:bookmarkStart w:id="101" w:name="_Toc5615491"/>
      <w:bookmarkStart w:id="102" w:name="_Toc531102711"/>
      <w:bookmarkStart w:id="103" w:name="_Toc530117353"/>
      <w:r>
        <w:rPr>
          <w:rFonts w:ascii="Times New Roman" w:eastAsia="Times New Roman" w:hAnsi="Times New Roman"/>
          <w:sz w:val="27"/>
          <w:szCs w:val="27"/>
          <w:u w:val="single"/>
          <w:lang w:eastAsia="lv-LV"/>
        </w:rPr>
        <w:t xml:space="preserve">Lielo enerģijas patērētāju un lielo uzņēmumu saraksta sastādīšana, obligāto </w:t>
      </w:r>
      <w:proofErr w:type="spellStart"/>
      <w:r>
        <w:rPr>
          <w:rFonts w:ascii="Times New Roman" w:eastAsia="Times New Roman" w:hAnsi="Times New Roman"/>
          <w:sz w:val="27"/>
          <w:szCs w:val="27"/>
          <w:u w:val="single"/>
          <w:lang w:eastAsia="lv-LV"/>
        </w:rPr>
        <w:t>energoauditu</w:t>
      </w:r>
      <w:proofErr w:type="spellEnd"/>
      <w:r>
        <w:rPr>
          <w:rFonts w:ascii="Times New Roman" w:eastAsia="Times New Roman" w:hAnsi="Times New Roman"/>
          <w:sz w:val="27"/>
          <w:szCs w:val="27"/>
          <w:u w:val="single"/>
          <w:lang w:eastAsia="lv-LV"/>
        </w:rPr>
        <w:t xml:space="preserve"> un </w:t>
      </w:r>
      <w:proofErr w:type="spellStart"/>
      <w:r>
        <w:rPr>
          <w:rFonts w:ascii="Times New Roman" w:eastAsia="Times New Roman" w:hAnsi="Times New Roman"/>
          <w:sz w:val="27"/>
          <w:szCs w:val="27"/>
          <w:u w:val="single"/>
          <w:lang w:eastAsia="lv-LV"/>
        </w:rPr>
        <w:t>energopārvaldības</w:t>
      </w:r>
      <w:proofErr w:type="spellEnd"/>
      <w:r>
        <w:rPr>
          <w:rFonts w:ascii="Times New Roman" w:eastAsia="Times New Roman" w:hAnsi="Times New Roman"/>
          <w:sz w:val="27"/>
          <w:szCs w:val="27"/>
          <w:u w:val="single"/>
          <w:lang w:eastAsia="lv-LV"/>
        </w:rPr>
        <w:t xml:space="preserve"> pienākumu izpildes kontrole un</w:t>
      </w:r>
      <w:bookmarkEnd w:id="92"/>
      <w:bookmarkEnd w:id="93"/>
      <w:bookmarkEnd w:id="94"/>
      <w:bookmarkEnd w:id="95"/>
      <w:bookmarkEnd w:id="96"/>
      <w:bookmarkEnd w:id="97"/>
      <w:bookmarkEnd w:id="98"/>
      <w:bookmarkEnd w:id="99"/>
      <w:bookmarkEnd w:id="100"/>
      <w:r>
        <w:rPr>
          <w:rFonts w:ascii="Times New Roman" w:eastAsia="Times New Roman" w:hAnsi="Times New Roman"/>
          <w:sz w:val="27"/>
          <w:szCs w:val="27"/>
          <w:u w:val="single"/>
          <w:lang w:eastAsia="lv-LV"/>
        </w:rPr>
        <w:t xml:space="preserve"> ziņojumu par veiktajiem pasākumiem apkopošana</w:t>
      </w:r>
      <w:bookmarkEnd w:id="101"/>
      <w:bookmarkEnd w:id="102"/>
      <w:bookmarkEnd w:id="103"/>
    </w:p>
    <w:p w14:paraId="0E05BAD2"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Saskaņā ar Energoefektivitātes likumu lielo uzņēmumu sarakstu katru gadu izveido Centrālā statistikas pārvalde, izmantojot uzņēmuma pēdējā apstiprinātā pārskata perioda datus. Ekonomikas ministrija publicē sarakstu, kā arī precizē to pēc nepieciešamības. Savukārt lielo enerģijas patērētāju sarakstu veido Ekonomikas ministrija, pamatojoties uz sadales operatoru iesniegtajiem datiem un šo sarakstu izmanto kontroles nolūkiem un nepublicē.</w:t>
      </w:r>
    </w:p>
    <w:p w14:paraId="0CDCCE67"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Saskaņā ar Energoefektivitātes likumu lielajiem uzņēmumiem un lielajiem elektroenerģijas patērētājiem ir pienākums veikt regulārus </w:t>
      </w:r>
      <w:proofErr w:type="spellStart"/>
      <w:r>
        <w:rPr>
          <w:rFonts w:ascii="Times New Roman" w:eastAsiaTheme="minorHAnsi" w:hAnsi="Times New Roman"/>
          <w:sz w:val="27"/>
          <w:szCs w:val="27"/>
          <w:lang w:eastAsia="lv-LV"/>
        </w:rPr>
        <w:t>energoauditus</w:t>
      </w:r>
      <w:proofErr w:type="spellEnd"/>
      <w:r>
        <w:rPr>
          <w:rFonts w:ascii="Times New Roman" w:eastAsiaTheme="minorHAnsi" w:hAnsi="Times New Roman"/>
          <w:sz w:val="27"/>
          <w:szCs w:val="27"/>
          <w:lang w:eastAsia="lv-LV"/>
        </w:rPr>
        <w:t xml:space="preserve"> vai ieviest un uzturēt sertificētu </w:t>
      </w:r>
      <w:proofErr w:type="spellStart"/>
      <w:r>
        <w:rPr>
          <w:rFonts w:ascii="Times New Roman" w:eastAsiaTheme="minorHAnsi" w:hAnsi="Times New Roman"/>
          <w:sz w:val="27"/>
          <w:szCs w:val="27"/>
          <w:lang w:eastAsia="lv-LV"/>
        </w:rPr>
        <w:t>energopārvaldības</w:t>
      </w:r>
      <w:proofErr w:type="spellEnd"/>
      <w:r>
        <w:rPr>
          <w:rFonts w:ascii="Times New Roman" w:eastAsiaTheme="minorHAnsi" w:hAnsi="Times New Roman"/>
          <w:sz w:val="27"/>
          <w:szCs w:val="27"/>
          <w:lang w:eastAsia="lv-LV"/>
        </w:rPr>
        <w:t xml:space="preserve"> sistēmu. Par Energoefektivitātes likumā noteiktā pienākuma izpildi uzņēmumi ziņo Ekonomikas ministrijai Noteikumos Nr.668 noteiktajā kārtībā. </w:t>
      </w:r>
    </w:p>
    <w:p w14:paraId="0DE6FD2B"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Saskaņā ar </w:t>
      </w:r>
      <w:bookmarkStart w:id="104" w:name="_Hlk531004955"/>
      <w:r>
        <w:rPr>
          <w:rFonts w:ascii="Times New Roman" w:eastAsiaTheme="minorHAnsi" w:hAnsi="Times New Roman"/>
          <w:sz w:val="27"/>
          <w:szCs w:val="27"/>
          <w:lang w:eastAsia="lv-LV"/>
        </w:rPr>
        <w:t xml:space="preserve">Noteikumiem Nr.668 lielajiem </w:t>
      </w:r>
      <w:bookmarkEnd w:id="104"/>
      <w:r>
        <w:rPr>
          <w:rFonts w:ascii="Times New Roman" w:eastAsiaTheme="minorHAnsi" w:hAnsi="Times New Roman"/>
          <w:sz w:val="27"/>
          <w:szCs w:val="27"/>
          <w:lang w:eastAsia="lv-LV"/>
        </w:rPr>
        <w:t>elektroenerģijas patērētājiem un lielajiem uzņēmumiem katru gadu ir jāsagatavo un Ekonomikas ministrijā ir jāiesniedz ikgadējais pārskats par īstenotajos energoefektivitātes uzlabošanas pasākumos sasniegtajiem ietaupījumiem iepriekšējā kalendāra gadā. Savukārt Ekonomikas ministrijai ir jāuzskaita enerģijas ietaupījumi, pārbaudot iesniegtos pārskatus un novēršot dubulto uzskaiti, un par tiem jāziņo energoefektivitātes monitoringa sistēmas ietvaros.</w:t>
      </w:r>
    </w:p>
    <w:p w14:paraId="718B137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lielo elektroenerģijas patērētāju un lielo uzņēmumu obligāto pienākumu izpildes uzraudzības un iesniegto ikgadējo pārskatu izvērtēšanas funkciju veikšana ir noteikta Ekonomikas ministrijai (Enerģētikas politikas administrēšanas departaments), tomēr šo funkciju izpilde nenotiek pilnvērtīgi kapacitātes trūkuma dēļ, kur netiek veikta pilnvērtīga iesniegto ziņojumu kvalitatīva un detalizēta izvērtēšana.</w:t>
      </w:r>
    </w:p>
    <w:p w14:paraId="7F779D70"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05" w:name="_Toc5615492"/>
      <w:bookmarkStart w:id="106" w:name="_Toc531102712"/>
      <w:bookmarkStart w:id="107" w:name="_Toc530117354"/>
      <w:r>
        <w:rPr>
          <w:rFonts w:ascii="Times New Roman" w:eastAsia="Times New Roman" w:hAnsi="Times New Roman"/>
          <w:sz w:val="27"/>
          <w:szCs w:val="27"/>
          <w:u w:val="single"/>
          <w:lang w:eastAsia="lv-LV"/>
        </w:rPr>
        <w:t>Brīvprātīgo vienošanos pārraudzība</w:t>
      </w:r>
      <w:bookmarkEnd w:id="105"/>
      <w:bookmarkEnd w:id="106"/>
      <w:bookmarkEnd w:id="107"/>
    </w:p>
    <w:p w14:paraId="2ADFDBC8"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Energoefektivitātes likums paredz iespēju komersantus pārstāvošām organizācijām, komersantiem vai pašvaldībām noslēgt brīvprātīgu vienošanos (turpmāk – Vienošanās) ar Ekonomikas ministriju par energoefektivitātes uzlabošanu un energoefektivitātes pakalpojumu veicināšanu. Vienošanos noslēgšana ir viens no pasākumiem valsts energoefektivitātes rīcības plānā obligātā enerģijas ietaupījuma mērķa sasniegšanai. Vienošanās mērķis ir stimulēt energoefektivitātes paaugstināšanu atsevišķos </w:t>
      </w:r>
      <w:r>
        <w:rPr>
          <w:rFonts w:ascii="Times New Roman" w:eastAsiaTheme="minorHAnsi" w:hAnsi="Times New Roman"/>
          <w:sz w:val="27"/>
          <w:szCs w:val="27"/>
        </w:rPr>
        <w:lastRenderedPageBreak/>
        <w:t>uzņēmumos, komersantus pārstāvošas organizācijas uzņēmumos vai pašvaldībās un sasniegt vismaz 10 % enerģijas ietaupījumu.</w:t>
      </w:r>
    </w:p>
    <w:p w14:paraId="68FF5880"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Ministru kabineta 2016. gada 11. oktobra noteikumi Nr. 669 “Kārtība, kādā noslēdz un pārrauga brīvprātīgu vienošanos par energoefektivitātes uzlabošanu”</w:t>
      </w:r>
      <w:r>
        <w:rPr>
          <w:rFonts w:ascii="Times New Roman" w:eastAsiaTheme="minorHAnsi" w:hAnsi="Times New Roman"/>
          <w:sz w:val="27"/>
          <w:szCs w:val="27"/>
          <w:vertAlign w:val="superscript"/>
        </w:rPr>
        <w:footnoteReference w:id="20"/>
      </w:r>
      <w:r>
        <w:rPr>
          <w:rFonts w:ascii="Times New Roman" w:eastAsiaTheme="minorHAnsi" w:hAnsi="Times New Roman"/>
          <w:sz w:val="27"/>
          <w:szCs w:val="27"/>
        </w:rPr>
        <w:t> (turpmāk – Noteikumi 669) nosaka Vienošanās noslēgšanas kārtību.  Saskaņā ar Noteikumiem Nr. 669 Ekonomikas ministrija ne retāk kā reizi gadā publicē aicinājumu slēgt brīvprātīgas vienošanās, uztur noslēgto vienošanos reģistru, kā arī reizi gadā publicē un atjauno informāciju par vienošanās ietvaros sasniegtajiem rezultātiem, tai skaitā enerģijas ietaupījumu.</w:t>
      </w:r>
    </w:p>
    <w:p w14:paraId="26F32654"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Lai varētu konstatēt enerģijas ietaupījumu, vienošanās dalībnieki ziņo par sasniegtajiem ietaupījumiem energoefektivitātes monitoringa sistēmas ietvaros, kura darbojas atbilstoši Noteikumu Nr.668 prasībām.</w:t>
      </w:r>
    </w:p>
    <w:p w14:paraId="591239B5"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brīvprātīgo vienošanos pārraudzību iespēju robežās veic Ekonomikas ministrija (Enerģētikas politikas administrēšanas  departaments), tomēr kapacitātes trūkuma dēļ šī pārraudzība praktiski netiek veikta – šobrīd sasniegto rezultātu pārskati netiek apkopoti un kvalitatīvi analizēti.</w:t>
      </w:r>
    </w:p>
    <w:p w14:paraId="2B3CC2C0"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08" w:name="_Toc5615493"/>
      <w:bookmarkStart w:id="109" w:name="_Toc531102713"/>
      <w:bookmarkStart w:id="110" w:name="_Toc530117355"/>
      <w:r>
        <w:rPr>
          <w:rFonts w:ascii="Times New Roman" w:eastAsia="Times New Roman" w:hAnsi="Times New Roman"/>
          <w:sz w:val="27"/>
          <w:szCs w:val="27"/>
          <w:u w:val="single"/>
          <w:lang w:eastAsia="lv-LV"/>
        </w:rPr>
        <w:t>Energoefektivitātes nodevas administrēšana</w:t>
      </w:r>
      <w:bookmarkEnd w:id="108"/>
      <w:bookmarkEnd w:id="109"/>
      <w:bookmarkEnd w:id="110"/>
    </w:p>
    <w:p w14:paraId="55080C1A"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Saskaņā ar Ministru kabineta 2017.gada 11.aprīļa noteikumiem Nr.202 “Noteikumi par energoefektivitātes nodevas apmēru un tās aprēķināšanas, piemērošanas, maksāšanas un kontroles kārtību”</w:t>
      </w:r>
      <w:r>
        <w:rPr>
          <w:rFonts w:ascii="Times New Roman" w:eastAsiaTheme="minorHAnsi" w:hAnsi="Times New Roman"/>
          <w:sz w:val="27"/>
          <w:szCs w:val="27"/>
          <w:vertAlign w:val="superscript"/>
        </w:rPr>
        <w:footnoteReference w:id="21"/>
      </w:r>
      <w:r>
        <w:rPr>
          <w:rFonts w:ascii="Times New Roman" w:eastAsiaTheme="minorHAnsi" w:hAnsi="Times New Roman"/>
          <w:sz w:val="27"/>
          <w:szCs w:val="27"/>
        </w:rPr>
        <w:t xml:space="preserve"> (turpmāk – Noteikumi Nr.202) energoefektivitātes nodevu noteiktos gadījumos maksā lielais elektroenerģijas patērētājs.</w:t>
      </w:r>
    </w:p>
    <w:p w14:paraId="30C51ECF"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Saskaņā ar Noteikumiem Nr.202 lēmumu par energoefektivitātes nodevas piemērošanu pieņem Ekonomikas ministrija.</w:t>
      </w:r>
    </w:p>
    <w:p w14:paraId="153BAB1E"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energoefektivitātes nodevas administrēšanu veic Ekonomikas ministrija (Enerģētikas politikas administrēšanas departaments), tomēr šo funkciju izpilde nenotiek pilnvērtīgi kapacitātes trūkuma dēļ un pastāv riski, ka netiek iegūts maksimālais iespējamais finanšu līdzekļu apjoms, kas varētu tikt izmantots energoefektivitātes uzlabošanas pasākumu veikšanai.</w:t>
      </w:r>
    </w:p>
    <w:p w14:paraId="2D204F0E"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11" w:name="_Toc5615494"/>
      <w:bookmarkStart w:id="112" w:name="_Toc531102714"/>
      <w:bookmarkStart w:id="113" w:name="_Toc530117356"/>
      <w:r>
        <w:rPr>
          <w:rFonts w:ascii="Times New Roman" w:eastAsia="Times New Roman" w:hAnsi="Times New Roman"/>
          <w:sz w:val="27"/>
          <w:szCs w:val="27"/>
          <w:u w:val="single"/>
          <w:lang w:eastAsia="lv-LV"/>
        </w:rPr>
        <w:t>Energoefektivitātes mērķu sasniegšanas monitorings</w:t>
      </w:r>
      <w:bookmarkEnd w:id="111"/>
      <w:bookmarkEnd w:id="112"/>
      <w:bookmarkEnd w:id="113"/>
    </w:p>
    <w:p w14:paraId="4B85858E"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Saskaņā ar Direktīvas 2012/27/ES</w:t>
      </w:r>
      <w:r>
        <w:rPr>
          <w:rFonts w:ascii="Times New Roman" w:eastAsiaTheme="minorHAnsi" w:hAnsi="Times New Roman"/>
          <w:sz w:val="27"/>
          <w:szCs w:val="27"/>
          <w:vertAlign w:val="superscript"/>
        </w:rPr>
        <w:t>4</w:t>
      </w:r>
      <w:r>
        <w:rPr>
          <w:rFonts w:ascii="Times New Roman" w:eastAsiaTheme="minorHAnsi" w:hAnsi="Times New Roman"/>
          <w:sz w:val="27"/>
          <w:szCs w:val="27"/>
        </w:rPr>
        <w:t xml:space="preserve"> 24.panta pirmā punkta un XIV pielikuma  prasībām, Ekonomikas ministrijai katru gadu līdz 30.aprīlim jāziņo Eiropas Komisijai par gūtajiem panākumiem virzībā uz valsts 2020.gada indikatīvā enerģijas ietaupījuma mērķa un obligātā enerģijas ietaupījuma mērķa sasniegšanu. </w:t>
      </w:r>
    </w:p>
    <w:p w14:paraId="5C617EA3" w14:textId="6A081328"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Lai minēto ikgadējo ziņojumu varētu sagatavot, Ekonomikas ministrija energoefektivitātes monitoringa sistēmas ietvaros, kas izveidota atbilstoši Noteikumiem Nr.668, saņem informāciju no </w:t>
      </w:r>
      <w:r w:rsidR="009E0105">
        <w:rPr>
          <w:rFonts w:ascii="Times New Roman" w:eastAsiaTheme="minorHAnsi" w:hAnsi="Times New Roman"/>
          <w:sz w:val="27"/>
          <w:szCs w:val="27"/>
        </w:rPr>
        <w:t>Centrālās finanšu un līgumu</w:t>
      </w:r>
      <w:r>
        <w:rPr>
          <w:rFonts w:ascii="Times New Roman" w:eastAsiaTheme="minorHAnsi" w:hAnsi="Times New Roman"/>
          <w:sz w:val="27"/>
          <w:szCs w:val="27"/>
        </w:rPr>
        <w:t xml:space="preserve"> aģentūras par enerģijas ietaupījumiem, kas iegūti periodā no 2013.gada līdz ziņošanas pārskata gadam ES fondu atbalsta programmu realizēto projektu ietvaros un no Vides investīciju fonda  </w:t>
      </w:r>
      <w:r>
        <w:rPr>
          <w:rFonts w:ascii="Times New Roman" w:eastAsiaTheme="minorHAnsi" w:hAnsi="Times New Roman"/>
          <w:sz w:val="27"/>
          <w:szCs w:val="27"/>
        </w:rPr>
        <w:lastRenderedPageBreak/>
        <w:t xml:space="preserve">par enerģijas ietaupījumiem, kas iegūti Klimata pārmaiņu finanšu instrumenta vai Emisijas kvotu izsolīšanas instrumenta realizētajos projektos, kā arī no citiem </w:t>
      </w:r>
      <w:bookmarkStart w:id="114" w:name="_Hlk531006662"/>
      <w:r>
        <w:rPr>
          <w:rFonts w:ascii="Times New Roman" w:eastAsiaTheme="minorHAnsi" w:hAnsi="Times New Roman"/>
          <w:sz w:val="27"/>
          <w:szCs w:val="27"/>
        </w:rPr>
        <w:t xml:space="preserve">Noteikumu Nr.668 </w:t>
      </w:r>
      <w:bookmarkEnd w:id="114"/>
      <w:r>
        <w:rPr>
          <w:rFonts w:ascii="Times New Roman" w:eastAsiaTheme="minorHAnsi" w:hAnsi="Times New Roman"/>
          <w:sz w:val="27"/>
          <w:szCs w:val="27"/>
        </w:rPr>
        <w:t>10.punktā minētajiem informācijas sniedzējiem.</w:t>
      </w:r>
    </w:p>
    <w:p w14:paraId="23441C31" w14:textId="77777777" w:rsidR="0038031A" w:rsidRDefault="0038031A" w:rsidP="0038031A">
      <w:pPr>
        <w:spacing w:before="120" w:after="120" w:line="240" w:lineRule="auto"/>
        <w:jc w:val="both"/>
        <w:rPr>
          <w:rFonts w:ascii="Times New Roman" w:eastAsiaTheme="minorHAnsi" w:hAnsi="Times New Roman"/>
          <w:sz w:val="27"/>
          <w:szCs w:val="27"/>
        </w:rPr>
      </w:pPr>
      <w:bookmarkStart w:id="115" w:name="p31"/>
      <w:bookmarkStart w:id="116" w:name="p-603168"/>
      <w:bookmarkEnd w:id="115"/>
      <w:bookmarkEnd w:id="116"/>
      <w:r>
        <w:rPr>
          <w:rFonts w:ascii="Times New Roman" w:eastAsiaTheme="minorHAnsi" w:hAnsi="Times New Roman"/>
          <w:sz w:val="27"/>
          <w:szCs w:val="27"/>
        </w:rPr>
        <w:t>Energoefektivitātes monitorings ietver:</w:t>
      </w:r>
    </w:p>
    <w:p w14:paraId="06FA49A3"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Noteikumu Nr.668 ietvaros saņemtās informācijas reģistrēšanu, pārbaudi un  ziņoto enerģijas ietaupījumu apkopošanu;</w:t>
      </w:r>
    </w:p>
    <w:p w14:paraId="4AE7B0C8"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ieviesto politikas pasākumu (piemēram, nodokļu, obligāto standartu u.c.) rezultātā panākto enerģijas ietaupījumu novērtēšanu;</w:t>
      </w:r>
    </w:p>
    <w:p w14:paraId="3575B5D5"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primārās enerģijas patēriņa analīzi, tostarp par koģenerācijas staciju darbību;</w:t>
      </w:r>
    </w:p>
    <w:p w14:paraId="7FCD89A9"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enerģijas patēriņa analīzi (kur tas ir iespējams), specifisko un vispārīgo rādītāju izmaiņas un to novērtējumu katrā enerģijas </w:t>
      </w:r>
      <w:proofErr w:type="spellStart"/>
      <w:r>
        <w:rPr>
          <w:rFonts w:ascii="Times New Roman" w:eastAsiaTheme="minorHAnsi" w:hAnsi="Times New Roman"/>
          <w:sz w:val="27"/>
          <w:szCs w:val="27"/>
          <w:lang w:eastAsia="lv-LV"/>
        </w:rPr>
        <w:t>galapatēriņa</w:t>
      </w:r>
      <w:proofErr w:type="spellEnd"/>
      <w:r>
        <w:rPr>
          <w:rFonts w:ascii="Times New Roman" w:eastAsiaTheme="minorHAnsi" w:hAnsi="Times New Roman"/>
          <w:sz w:val="27"/>
          <w:szCs w:val="27"/>
          <w:lang w:eastAsia="lv-LV"/>
        </w:rPr>
        <w:t xml:space="preserve"> sektorā un valstī kopumā;</w:t>
      </w:r>
    </w:p>
    <w:p w14:paraId="0B271E12"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informācijas par nozīmīgākajiem energoefektivitātes pasākumiem iepriekšējā kalendāra gadā apkopošanu;</w:t>
      </w:r>
    </w:p>
    <w:p w14:paraId="76B94DCF"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informācijas apkopošana par valsts tiešās pārvaldes īpašumā un izmantošanā esošo ēku atjaunoto platību iepriekšējā kalendāra gadā;</w:t>
      </w:r>
    </w:p>
    <w:p w14:paraId="3DEB0406"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bookmarkStart w:id="117" w:name="_Hlk531006183"/>
      <w:r>
        <w:rPr>
          <w:rFonts w:ascii="Times New Roman" w:eastAsiaTheme="minorHAnsi" w:hAnsi="Times New Roman"/>
          <w:sz w:val="27"/>
          <w:szCs w:val="27"/>
          <w:lang w:eastAsia="lv-LV"/>
        </w:rPr>
        <w:t xml:space="preserve">informācijas apkopošana enerģijas ietaupījumu, kas panākts, ieviešot </w:t>
      </w:r>
      <w:bookmarkEnd w:id="117"/>
      <w:r>
        <w:rPr>
          <w:rFonts w:ascii="Times New Roman" w:eastAsiaTheme="minorHAnsi" w:hAnsi="Times New Roman"/>
          <w:sz w:val="27"/>
          <w:szCs w:val="27"/>
          <w:lang w:eastAsia="lv-LV"/>
        </w:rPr>
        <w:t>energoefektivitātes pienākuma shēmu, un analīze;</w:t>
      </w:r>
    </w:p>
    <w:p w14:paraId="7C061D89" w14:textId="77777777" w:rsidR="0038031A" w:rsidRDefault="0038031A" w:rsidP="0038031A">
      <w:pPr>
        <w:numPr>
          <w:ilvl w:val="0"/>
          <w:numId w:val="53"/>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informāciju par uzkrāto enerģijas ietaupījumu, kas panākts, ieviešot energoefektivitātes pasākumus.</w:t>
      </w:r>
    </w:p>
    <w:p w14:paraId="11A81C4A"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Iegūtie dati Ekonomikas ministrijai ir nepieciešami valsts ziņojuma sagatavošanai par valstij noteikto indikatīvo un obligāto energoefektivitātes mērķu izpildi. </w:t>
      </w:r>
    </w:p>
    <w:p w14:paraId="7951FEBF"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energoefektivitātes monitoringu iespēju robežās veic Ekonomikas ministrija (Noteikumu Nr.668 kārtībā ziņotās informācijas reģistrēšanu veic Enerģētikas politikas administrēšanas departaments, ikgadējo ziņošanu veic Ilgtspējīgas enerģētikas politikas departaments), tomēr energoefektivitātes mērķu sasniegšanas progress tiek novērtēts, iepērkot ārpakalpojumu, jo progresa novērtēšanai nepieciešamais darba apjoms un metodiskās prasības pārsniedz Ekonomikas ministrijas darbinieku kompetenci un pieejamo kapacitāti.</w:t>
      </w:r>
    </w:p>
    <w:p w14:paraId="59A6EA9C" w14:textId="1A22B2DB" w:rsidR="0038031A" w:rsidRDefault="0038031A" w:rsidP="0038031A">
      <w:pPr>
        <w:spacing w:before="120" w:after="120" w:line="240" w:lineRule="auto"/>
        <w:jc w:val="both"/>
        <w:rPr>
          <w:rFonts w:ascii="Times New Roman" w:eastAsiaTheme="minorHAnsi" w:hAnsi="Times New Roman"/>
          <w:sz w:val="27"/>
          <w:szCs w:val="27"/>
          <w:u w:val="single"/>
          <w:lang w:eastAsia="lv-LV"/>
        </w:rPr>
      </w:pPr>
      <w:bookmarkStart w:id="118" w:name="_Hlk535396124"/>
      <w:r>
        <w:rPr>
          <w:rFonts w:ascii="Times New Roman" w:eastAsiaTheme="minorHAnsi" w:hAnsi="Times New Roman"/>
          <w:sz w:val="27"/>
          <w:szCs w:val="27"/>
          <w:u w:val="single"/>
          <w:lang w:eastAsia="lv-LV"/>
        </w:rPr>
        <w:t>Šobrīd šī ziņojuma II sadaļas 3.1. nodaļā minētās pirmajos sešos ievilkumos (</w:t>
      </w:r>
      <w:proofErr w:type="spellStart"/>
      <w:r>
        <w:rPr>
          <w:rFonts w:ascii="Times New Roman" w:eastAsiaTheme="minorHAnsi" w:hAnsi="Times New Roman"/>
          <w:sz w:val="27"/>
          <w:szCs w:val="27"/>
          <w:u w:val="single"/>
          <w:lang w:eastAsia="lv-LV"/>
        </w:rPr>
        <w:t>buletpunktos</w:t>
      </w:r>
      <w:proofErr w:type="spellEnd"/>
      <w:r>
        <w:rPr>
          <w:rFonts w:ascii="Times New Roman" w:eastAsiaTheme="minorHAnsi" w:hAnsi="Times New Roman"/>
          <w:sz w:val="27"/>
          <w:szCs w:val="27"/>
          <w:u w:val="single"/>
          <w:lang w:eastAsia="lv-LV"/>
        </w:rPr>
        <w:t xml:space="preserve">) minēto pārraugāmo subjektu skaits ir apmēram 1300 komersanti (katru gadu skaits mainās), 32 pašvaldības un valsts iestādes, kurām noteikti pienākumi energoefektivitātes jomā, 9 EPS atbildīgās puses, 2 brīvprātīgās vienošanās subjekti, kā arī visas atbildīgās un </w:t>
      </w:r>
      <w:proofErr w:type="spellStart"/>
      <w:r>
        <w:rPr>
          <w:rFonts w:ascii="Times New Roman" w:eastAsiaTheme="minorHAnsi" w:hAnsi="Times New Roman"/>
          <w:sz w:val="27"/>
          <w:szCs w:val="27"/>
          <w:u w:val="single"/>
          <w:lang w:eastAsia="lv-LV"/>
        </w:rPr>
        <w:t>ieviesējiestādes</w:t>
      </w:r>
      <w:proofErr w:type="spellEnd"/>
      <w:r>
        <w:rPr>
          <w:rFonts w:ascii="Times New Roman" w:eastAsiaTheme="minorHAnsi" w:hAnsi="Times New Roman"/>
          <w:sz w:val="27"/>
          <w:szCs w:val="27"/>
          <w:u w:val="single"/>
          <w:lang w:eastAsia="lv-LV"/>
        </w:rPr>
        <w:t>, kuras piešķīrušas publisko finansējumu projektiem saistībā ar energoefektivitāti, uzlabojumiem ēkās, transportā un iekārtās. Šo funkciju veikšanai Ekonomikas ministrijai ir divas amata slodzes un divas 0,4 amata slodzes, kas ir nepietiekoši. Šo funkciju veikšanai būtu nepieciešamas vismaz 4 amata slodzes.</w:t>
      </w:r>
    </w:p>
    <w:p w14:paraId="40343029" w14:textId="2AE7F295" w:rsidR="00DB3E69" w:rsidRDefault="00DB3E69" w:rsidP="0038031A">
      <w:pPr>
        <w:spacing w:before="120" w:after="120" w:line="240" w:lineRule="auto"/>
        <w:jc w:val="both"/>
        <w:rPr>
          <w:rFonts w:ascii="Times New Roman" w:eastAsiaTheme="minorHAnsi" w:hAnsi="Times New Roman"/>
          <w:sz w:val="27"/>
          <w:szCs w:val="27"/>
          <w:u w:val="single"/>
          <w:lang w:eastAsia="lv-LV"/>
        </w:rPr>
      </w:pPr>
    </w:p>
    <w:p w14:paraId="1F521652" w14:textId="77777777" w:rsidR="00DB3E69" w:rsidRDefault="00DB3E69" w:rsidP="0038031A">
      <w:pPr>
        <w:spacing w:before="120" w:after="120" w:line="240" w:lineRule="auto"/>
        <w:jc w:val="both"/>
        <w:rPr>
          <w:rFonts w:ascii="Times New Roman" w:eastAsiaTheme="minorHAnsi" w:hAnsi="Times New Roman"/>
          <w:sz w:val="27"/>
          <w:szCs w:val="27"/>
          <w:lang w:eastAsia="lv-LV"/>
        </w:rPr>
      </w:pPr>
    </w:p>
    <w:p w14:paraId="73833B02"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19" w:name="_Toc5615495"/>
      <w:bookmarkStart w:id="120" w:name="_Toc531102716"/>
      <w:bookmarkStart w:id="121" w:name="_Toc530117358"/>
      <w:bookmarkEnd w:id="118"/>
      <w:r>
        <w:rPr>
          <w:rFonts w:ascii="Times New Roman" w:eastAsia="Times New Roman" w:hAnsi="Times New Roman"/>
          <w:sz w:val="27"/>
          <w:szCs w:val="27"/>
          <w:u w:val="single"/>
          <w:lang w:eastAsia="lv-LV"/>
        </w:rPr>
        <w:lastRenderedPageBreak/>
        <w:t>Energoefektivitātes pakalpojumu sniedzēju reģistra uzturēšana</w:t>
      </w:r>
      <w:bookmarkEnd w:id="119"/>
      <w:bookmarkEnd w:id="120"/>
      <w:bookmarkEnd w:id="121"/>
    </w:p>
    <w:p w14:paraId="0C7BC1DA"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Energoefektivitātes likuma 14.pants nosaka energoefektivitātes pakalpojumu nosacījumus, tomēr nav noteikti kvalifikācijas nosacījumi vai konkrēti standarti, kādiem ir jāatbilst energoefektivitātes pakalpojumu sniedzējiem.</w:t>
      </w:r>
    </w:p>
    <w:p w14:paraId="02C88112"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Lai nodrošinātu to, ka energoefektivitātes pakalpojumu sniedzēji atbilst noteiktajiem nosacījumiem un visi pakalpojuma sniedzēji veic savus pienākumus pēc vienotiem kvalitātes kritērijiem, ir nepieciešams izveidot energoefektivitātes pakalpojumu sniedzēju reģistru. </w:t>
      </w:r>
    </w:p>
    <w:p w14:paraId="610C3DD8"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u w:val="single"/>
          <w:lang w:eastAsia="lv-LV"/>
        </w:rPr>
        <w:t>Šobrīd nenotiek energoefektivitātes pakalpojumu sniedzēju uzskaite.</w:t>
      </w:r>
      <w:r>
        <w:rPr>
          <w:rFonts w:ascii="Times New Roman" w:eastAsiaTheme="minorHAnsi" w:hAnsi="Times New Roman"/>
          <w:sz w:val="27"/>
          <w:szCs w:val="27"/>
          <w:lang w:eastAsia="lv-LV"/>
        </w:rPr>
        <w:t xml:space="preserve"> </w:t>
      </w:r>
    </w:p>
    <w:p w14:paraId="2DAD6B0D"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22" w:name="_Toc530117359"/>
      <w:bookmarkStart w:id="123" w:name="_Toc5615496"/>
      <w:bookmarkStart w:id="124" w:name="_Toc531102717"/>
      <w:proofErr w:type="spellStart"/>
      <w:r>
        <w:rPr>
          <w:rFonts w:ascii="Times New Roman" w:eastAsia="Times New Roman" w:hAnsi="Times New Roman"/>
          <w:sz w:val="27"/>
          <w:szCs w:val="27"/>
          <w:u w:val="single"/>
          <w:lang w:eastAsia="lv-LV"/>
        </w:rPr>
        <w:t>Energoauditoru</w:t>
      </w:r>
      <w:proofErr w:type="spellEnd"/>
      <w:r>
        <w:rPr>
          <w:rFonts w:ascii="Times New Roman" w:eastAsia="Times New Roman" w:hAnsi="Times New Roman"/>
          <w:sz w:val="27"/>
          <w:szCs w:val="27"/>
          <w:u w:val="single"/>
          <w:lang w:eastAsia="lv-LV"/>
        </w:rPr>
        <w:t xml:space="preserve"> iesniegto pārskatu </w:t>
      </w:r>
      <w:bookmarkEnd w:id="122"/>
      <w:r>
        <w:rPr>
          <w:rFonts w:ascii="Times New Roman" w:eastAsia="Times New Roman" w:hAnsi="Times New Roman"/>
          <w:sz w:val="27"/>
          <w:szCs w:val="27"/>
          <w:u w:val="single"/>
          <w:lang w:eastAsia="lv-LV"/>
        </w:rPr>
        <w:t>administrēšana</w:t>
      </w:r>
      <w:bookmarkEnd w:id="123"/>
      <w:bookmarkEnd w:id="124"/>
    </w:p>
    <w:p w14:paraId="70F0AB8F"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Komersanti, kas atbilst normatīvajos aktos noteiktajiem kritērijiem, ziņo Ekonomikas ministrijai par </w:t>
      </w:r>
      <w:proofErr w:type="spellStart"/>
      <w:r>
        <w:rPr>
          <w:rFonts w:ascii="Times New Roman" w:eastAsiaTheme="minorHAnsi" w:hAnsi="Times New Roman"/>
          <w:sz w:val="27"/>
          <w:szCs w:val="27"/>
        </w:rPr>
        <w:t>energoaudita</w:t>
      </w:r>
      <w:proofErr w:type="spellEnd"/>
      <w:r>
        <w:rPr>
          <w:rFonts w:ascii="Times New Roman" w:eastAsiaTheme="minorHAnsi" w:hAnsi="Times New Roman"/>
          <w:sz w:val="27"/>
          <w:szCs w:val="27"/>
        </w:rPr>
        <w:t xml:space="preserve"> veikšanu vai sertificētas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sistēmas vai sertificētas vides pārvaldības sistēmas ieviešanu, ierosinātajiem energoefektivitātes uzlabošanas pasākumiem, kā arī katru gadu ziņo par ieviestajiem energoefektivitātes uzlabošanas pasākumiem un to rezultātā sasniegto enerģijas ietaupījumu.</w:t>
      </w:r>
    </w:p>
    <w:p w14:paraId="5BF284FC"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Saskaņā ar Energoefektivitātes likumu </w:t>
      </w:r>
      <w:proofErr w:type="spellStart"/>
      <w:r>
        <w:rPr>
          <w:rFonts w:ascii="Times New Roman" w:eastAsiaTheme="minorHAnsi" w:hAnsi="Times New Roman"/>
          <w:sz w:val="27"/>
          <w:szCs w:val="27"/>
        </w:rPr>
        <w:t>energoauditu</w:t>
      </w:r>
      <w:proofErr w:type="spellEnd"/>
      <w:r>
        <w:rPr>
          <w:rFonts w:ascii="Times New Roman" w:eastAsiaTheme="minorHAnsi" w:hAnsi="Times New Roman"/>
          <w:sz w:val="27"/>
          <w:szCs w:val="27"/>
        </w:rPr>
        <w:t xml:space="preserve"> lielajos uzņēmumos veic uzņēmumu </w:t>
      </w:r>
      <w:proofErr w:type="spellStart"/>
      <w:r>
        <w:rPr>
          <w:rFonts w:ascii="Times New Roman" w:eastAsiaTheme="minorHAnsi" w:hAnsi="Times New Roman"/>
          <w:sz w:val="27"/>
          <w:szCs w:val="27"/>
        </w:rPr>
        <w:t>energoauditors</w:t>
      </w:r>
      <w:proofErr w:type="spellEnd"/>
      <w:r>
        <w:rPr>
          <w:rFonts w:ascii="Times New Roman" w:eastAsiaTheme="minorHAnsi" w:hAnsi="Times New Roman"/>
          <w:sz w:val="27"/>
          <w:szCs w:val="27"/>
        </w:rPr>
        <w:t xml:space="preserve">, ievērojot normatīvo aktu prasības, kur pirmais </w:t>
      </w:r>
      <w:proofErr w:type="spellStart"/>
      <w:r>
        <w:rPr>
          <w:rFonts w:ascii="Times New Roman" w:eastAsiaTheme="minorHAnsi" w:hAnsi="Times New Roman"/>
          <w:sz w:val="27"/>
          <w:szCs w:val="27"/>
        </w:rPr>
        <w:t>energoaudits</w:t>
      </w:r>
      <w:proofErr w:type="spellEnd"/>
      <w:r>
        <w:rPr>
          <w:rFonts w:ascii="Times New Roman" w:eastAsiaTheme="minorHAnsi" w:hAnsi="Times New Roman"/>
          <w:sz w:val="27"/>
          <w:szCs w:val="27"/>
        </w:rPr>
        <w:t xml:space="preserve"> ir jāveic gada laikā pēc uzņēmuma iekļaušanas šā panta otrajā daļā minētajā sarakstā, bet kārtējais </w:t>
      </w:r>
      <w:proofErr w:type="spellStart"/>
      <w:r>
        <w:rPr>
          <w:rFonts w:ascii="Times New Roman" w:eastAsiaTheme="minorHAnsi" w:hAnsi="Times New Roman"/>
          <w:sz w:val="27"/>
          <w:szCs w:val="27"/>
        </w:rPr>
        <w:t>energoaudits</w:t>
      </w:r>
      <w:proofErr w:type="spellEnd"/>
      <w:r>
        <w:rPr>
          <w:rFonts w:ascii="Times New Roman" w:eastAsiaTheme="minorHAnsi" w:hAnsi="Times New Roman"/>
          <w:sz w:val="27"/>
          <w:szCs w:val="27"/>
        </w:rPr>
        <w:t xml:space="preserve"> veicams reizi četros gados. Šī prasība neattiecas, ja uzņēmums ievieš un sertificē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sistēmu, aptverot 90% enerģijas patēriņa.</w:t>
      </w:r>
    </w:p>
    <w:p w14:paraId="01E49117"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Tomēr šobrīd Ekonomikas ministrija kā normatīvo aktu </w:t>
      </w:r>
      <w:proofErr w:type="spellStart"/>
      <w:r>
        <w:rPr>
          <w:rFonts w:ascii="Times New Roman" w:eastAsiaTheme="minorHAnsi" w:hAnsi="Times New Roman"/>
          <w:sz w:val="27"/>
          <w:szCs w:val="27"/>
        </w:rPr>
        <w:t>energoauditu</w:t>
      </w:r>
      <w:proofErr w:type="spellEnd"/>
      <w:r>
        <w:rPr>
          <w:rFonts w:ascii="Times New Roman" w:eastAsiaTheme="minorHAnsi" w:hAnsi="Times New Roman"/>
          <w:sz w:val="27"/>
          <w:szCs w:val="27"/>
        </w:rPr>
        <w:t xml:space="preserve"> jomā izstrādātāja nevar neatkarīgi pārbaudīt sagatavotos un veiktos </w:t>
      </w:r>
      <w:proofErr w:type="spellStart"/>
      <w:r>
        <w:rPr>
          <w:rFonts w:ascii="Times New Roman" w:eastAsiaTheme="minorHAnsi" w:hAnsi="Times New Roman"/>
          <w:sz w:val="27"/>
          <w:szCs w:val="27"/>
        </w:rPr>
        <w:t>energoauditus</w:t>
      </w:r>
      <w:proofErr w:type="spellEnd"/>
      <w:r>
        <w:rPr>
          <w:rFonts w:ascii="Times New Roman" w:eastAsiaTheme="minorHAnsi" w:hAnsi="Times New Roman"/>
          <w:sz w:val="27"/>
          <w:szCs w:val="27"/>
        </w:rPr>
        <w:t xml:space="preserve">. Ekonomikas ministrija arī nepārbauda veiktajos </w:t>
      </w:r>
      <w:proofErr w:type="spellStart"/>
      <w:r>
        <w:rPr>
          <w:rFonts w:ascii="Times New Roman" w:eastAsiaTheme="minorHAnsi" w:hAnsi="Times New Roman"/>
          <w:sz w:val="27"/>
          <w:szCs w:val="27"/>
        </w:rPr>
        <w:t>energoauditos</w:t>
      </w:r>
      <w:proofErr w:type="spellEnd"/>
      <w:r>
        <w:rPr>
          <w:rFonts w:ascii="Times New Roman" w:eastAsiaTheme="minorHAnsi" w:hAnsi="Times New Roman"/>
          <w:sz w:val="27"/>
          <w:szCs w:val="27"/>
        </w:rPr>
        <w:t xml:space="preserve"> norādīto informāciju, kā arī to, vai </w:t>
      </w:r>
      <w:proofErr w:type="spellStart"/>
      <w:r>
        <w:rPr>
          <w:rFonts w:ascii="Times New Roman" w:eastAsiaTheme="minorHAnsi" w:hAnsi="Times New Roman"/>
          <w:sz w:val="27"/>
          <w:szCs w:val="27"/>
        </w:rPr>
        <w:t>energopārvaldības</w:t>
      </w:r>
      <w:proofErr w:type="spellEnd"/>
      <w:r>
        <w:rPr>
          <w:rFonts w:ascii="Times New Roman" w:eastAsiaTheme="minorHAnsi" w:hAnsi="Times New Roman"/>
          <w:sz w:val="27"/>
          <w:szCs w:val="27"/>
        </w:rPr>
        <w:t xml:space="preserve"> sistēmas aptvērums un ieplānotās darbības atbilst Energoefektivitātes likuma prasībām. </w:t>
      </w:r>
      <w:proofErr w:type="spellStart"/>
      <w:r>
        <w:rPr>
          <w:rFonts w:ascii="Times New Roman" w:eastAsiaTheme="minorHAnsi" w:hAnsi="Times New Roman"/>
          <w:sz w:val="27"/>
          <w:szCs w:val="27"/>
        </w:rPr>
        <w:t>Energoauditoru</w:t>
      </w:r>
      <w:proofErr w:type="spellEnd"/>
      <w:r>
        <w:rPr>
          <w:rFonts w:ascii="Times New Roman" w:eastAsiaTheme="minorHAnsi" w:hAnsi="Times New Roman"/>
          <w:sz w:val="27"/>
          <w:szCs w:val="27"/>
        </w:rPr>
        <w:t xml:space="preserve"> darbu uzrauga valsts aģentūra Latvijas nacionālais akreditācijas birojs, kas attiecīgi minētos </w:t>
      </w:r>
      <w:proofErr w:type="spellStart"/>
      <w:r>
        <w:rPr>
          <w:rFonts w:ascii="Times New Roman" w:eastAsiaTheme="minorHAnsi" w:hAnsi="Times New Roman"/>
          <w:sz w:val="27"/>
          <w:szCs w:val="27"/>
        </w:rPr>
        <w:t>energoauditorus</w:t>
      </w:r>
      <w:proofErr w:type="spellEnd"/>
      <w:r>
        <w:rPr>
          <w:rFonts w:ascii="Times New Roman" w:eastAsiaTheme="minorHAnsi" w:hAnsi="Times New Roman"/>
          <w:sz w:val="27"/>
          <w:szCs w:val="27"/>
        </w:rPr>
        <w:t xml:space="preserve"> ir akreditējusi saskaņā ar </w:t>
      </w:r>
      <w:bookmarkStart w:id="125" w:name="_Hlk10189973"/>
      <w:r>
        <w:rPr>
          <w:rFonts w:ascii="Times New Roman" w:eastAsiaTheme="minorHAnsi" w:hAnsi="Times New Roman"/>
          <w:sz w:val="27"/>
          <w:szCs w:val="27"/>
        </w:rPr>
        <w:t>Ministru kabineta 2018. gada 21. augusta noteikumiem “Noteikumi par neatkarīgu ekspertu kompetences novērtēšanu un profesionālās darbības uzraudzību ēku energoefektivitātes jomā”</w:t>
      </w:r>
      <w:bookmarkEnd w:id="125"/>
      <w:r>
        <w:rPr>
          <w:rFonts w:ascii="Times New Roman" w:eastAsiaTheme="minorHAnsi" w:hAnsi="Times New Roman"/>
          <w:sz w:val="27"/>
          <w:szCs w:val="27"/>
        </w:rPr>
        <w:t xml:space="preserve"> un veic </w:t>
      </w:r>
      <w:proofErr w:type="spellStart"/>
      <w:r>
        <w:rPr>
          <w:rFonts w:ascii="Times New Roman" w:eastAsiaTheme="minorHAnsi" w:hAnsi="Times New Roman"/>
          <w:sz w:val="27"/>
          <w:szCs w:val="27"/>
        </w:rPr>
        <w:t>energoauditoru</w:t>
      </w:r>
      <w:proofErr w:type="spellEnd"/>
      <w:r>
        <w:rPr>
          <w:rFonts w:ascii="Times New Roman" w:eastAsiaTheme="minorHAnsi" w:hAnsi="Times New Roman"/>
          <w:sz w:val="27"/>
          <w:szCs w:val="27"/>
        </w:rPr>
        <w:t xml:space="preserve"> uzraudzību saskaņā ar Ministru kabinet 2016. gada 26.jūlija noteikumiem Nr.487 “Uzņēmumu </w:t>
      </w:r>
      <w:proofErr w:type="spellStart"/>
      <w:r>
        <w:rPr>
          <w:rFonts w:ascii="Times New Roman" w:eastAsiaTheme="minorHAnsi" w:hAnsi="Times New Roman"/>
          <w:sz w:val="27"/>
          <w:szCs w:val="27"/>
        </w:rPr>
        <w:t>energoaudita</w:t>
      </w:r>
      <w:proofErr w:type="spellEnd"/>
      <w:r>
        <w:rPr>
          <w:rFonts w:ascii="Times New Roman" w:eastAsiaTheme="minorHAnsi" w:hAnsi="Times New Roman"/>
          <w:sz w:val="27"/>
          <w:szCs w:val="27"/>
        </w:rPr>
        <w:t xml:space="preserve"> noteikumi”. Savukārt, lai veiktu neatkarīgu </w:t>
      </w:r>
      <w:proofErr w:type="spellStart"/>
      <w:r>
        <w:rPr>
          <w:rFonts w:ascii="Times New Roman" w:eastAsiaTheme="minorHAnsi" w:hAnsi="Times New Roman"/>
          <w:sz w:val="27"/>
          <w:szCs w:val="27"/>
        </w:rPr>
        <w:t>energoauditu</w:t>
      </w:r>
      <w:proofErr w:type="spellEnd"/>
      <w:r>
        <w:rPr>
          <w:rFonts w:ascii="Times New Roman" w:eastAsiaTheme="minorHAnsi" w:hAnsi="Times New Roman"/>
          <w:sz w:val="27"/>
          <w:szCs w:val="27"/>
        </w:rPr>
        <w:t xml:space="preserve"> kvalitātes uzraudzību, ir nepieciešams šīs funkcijas veikt neatkarīgai institūcijai.</w:t>
      </w:r>
    </w:p>
    <w:p w14:paraId="389ED528"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Energoefektivitātes likuma 9.panta piektajā daļā ir noteikts, ka </w:t>
      </w:r>
      <w:proofErr w:type="spellStart"/>
      <w:r>
        <w:rPr>
          <w:rFonts w:ascii="Times New Roman" w:eastAsiaTheme="minorHAnsi" w:hAnsi="Times New Roman"/>
          <w:sz w:val="27"/>
          <w:szCs w:val="27"/>
        </w:rPr>
        <w:t>energoaudita</w:t>
      </w:r>
      <w:proofErr w:type="spellEnd"/>
      <w:r>
        <w:rPr>
          <w:rFonts w:ascii="Times New Roman" w:eastAsiaTheme="minorHAnsi" w:hAnsi="Times New Roman"/>
          <w:sz w:val="27"/>
          <w:szCs w:val="27"/>
        </w:rPr>
        <w:t xml:space="preserve"> pārskats ir jāreģistrē Ekonomikas ministrijas pārziņā esošajā informācijas sistēmā sākot ar 2017.gada 1.jūliju.  Tomēr vēl šobrīd </w:t>
      </w:r>
      <w:proofErr w:type="spellStart"/>
      <w:r>
        <w:rPr>
          <w:rFonts w:ascii="Times New Roman" w:eastAsiaTheme="minorHAnsi" w:hAnsi="Times New Roman"/>
          <w:sz w:val="27"/>
          <w:szCs w:val="27"/>
        </w:rPr>
        <w:t>energoauditoru</w:t>
      </w:r>
      <w:proofErr w:type="spellEnd"/>
      <w:r>
        <w:rPr>
          <w:rFonts w:ascii="Times New Roman" w:eastAsiaTheme="minorHAnsi" w:hAnsi="Times New Roman"/>
          <w:sz w:val="27"/>
          <w:szCs w:val="27"/>
        </w:rPr>
        <w:t xml:space="preserve"> iesniegtie pārskati netiek apkopoti vienotā reģistrā un </w:t>
      </w:r>
      <w:proofErr w:type="spellStart"/>
      <w:r>
        <w:rPr>
          <w:rFonts w:ascii="Times New Roman" w:eastAsiaTheme="minorHAnsi" w:hAnsi="Times New Roman"/>
          <w:sz w:val="27"/>
          <w:szCs w:val="27"/>
        </w:rPr>
        <w:t>energoauditu</w:t>
      </w:r>
      <w:proofErr w:type="spellEnd"/>
      <w:r>
        <w:rPr>
          <w:rFonts w:ascii="Times New Roman" w:eastAsiaTheme="minorHAnsi" w:hAnsi="Times New Roman"/>
          <w:sz w:val="27"/>
          <w:szCs w:val="27"/>
        </w:rPr>
        <w:t xml:space="preserve"> kvalitātes neatkarīgas pārbaudes netiek veiktas kapacitātes un tās finansējuma trūkuma dēļ.</w:t>
      </w:r>
    </w:p>
    <w:p w14:paraId="4064230B" w14:textId="0A301EBA" w:rsidR="0038031A" w:rsidRPr="007E0CA9" w:rsidRDefault="0038031A" w:rsidP="007E0CA9">
      <w:pPr>
        <w:spacing w:before="120" w:after="120" w:line="240" w:lineRule="auto"/>
        <w:jc w:val="both"/>
        <w:outlineLvl w:val="3"/>
        <w:rPr>
          <w:rFonts w:ascii="Times New Roman" w:eastAsia="Times New Roman" w:hAnsi="Times New Roman"/>
          <w:sz w:val="27"/>
          <w:szCs w:val="27"/>
          <w:u w:val="single"/>
          <w:lang w:eastAsia="lv-LV"/>
        </w:rPr>
      </w:pPr>
      <w:r>
        <w:rPr>
          <w:rFonts w:ascii="Times New Roman" w:eastAsiaTheme="minorHAnsi" w:hAnsi="Times New Roman"/>
          <w:sz w:val="27"/>
          <w:szCs w:val="27"/>
          <w:u w:val="single"/>
          <w:lang w:eastAsia="lv-LV"/>
        </w:rPr>
        <w:t>Šī</w:t>
      </w:r>
      <w:r w:rsidR="007D1975">
        <w:rPr>
          <w:rFonts w:ascii="Times New Roman" w:eastAsiaTheme="minorHAnsi" w:hAnsi="Times New Roman"/>
          <w:sz w:val="27"/>
          <w:szCs w:val="27"/>
          <w:u w:val="single"/>
          <w:lang w:eastAsia="lv-LV"/>
        </w:rPr>
        <w:t>s nodaļas</w:t>
      </w:r>
      <w:r w:rsidR="0024447E">
        <w:rPr>
          <w:rFonts w:ascii="Times New Roman" w:eastAsiaTheme="minorHAnsi" w:hAnsi="Times New Roman"/>
          <w:sz w:val="27"/>
          <w:szCs w:val="27"/>
          <w:u w:val="single"/>
          <w:lang w:eastAsia="lv-LV"/>
        </w:rPr>
        <w:t xml:space="preserve"> punktos “</w:t>
      </w:r>
      <w:r w:rsidR="0024447E" w:rsidRPr="0024447E">
        <w:rPr>
          <w:rFonts w:ascii="Times New Roman" w:eastAsiaTheme="minorHAnsi" w:hAnsi="Times New Roman"/>
          <w:sz w:val="27"/>
          <w:szCs w:val="27"/>
          <w:u w:val="single"/>
          <w:lang w:eastAsia="lv-LV"/>
        </w:rPr>
        <w:t>Energoefektivitātes pakalpojumu sniedzēju reģistra uzturēšana</w:t>
      </w:r>
      <w:r w:rsidR="0024447E">
        <w:rPr>
          <w:rFonts w:ascii="Times New Roman" w:eastAsiaTheme="minorHAnsi" w:hAnsi="Times New Roman"/>
          <w:sz w:val="27"/>
          <w:szCs w:val="27"/>
          <w:u w:val="single"/>
          <w:lang w:eastAsia="lv-LV"/>
        </w:rPr>
        <w:t>” un “</w:t>
      </w:r>
      <w:proofErr w:type="spellStart"/>
      <w:r w:rsidR="0024447E">
        <w:rPr>
          <w:rFonts w:ascii="Times New Roman" w:eastAsia="Times New Roman" w:hAnsi="Times New Roman"/>
          <w:sz w:val="27"/>
          <w:szCs w:val="27"/>
          <w:u w:val="single"/>
          <w:lang w:eastAsia="lv-LV"/>
        </w:rPr>
        <w:t>Energoauditoru</w:t>
      </w:r>
      <w:proofErr w:type="spellEnd"/>
      <w:r w:rsidR="0024447E">
        <w:rPr>
          <w:rFonts w:ascii="Times New Roman" w:eastAsia="Times New Roman" w:hAnsi="Times New Roman"/>
          <w:sz w:val="27"/>
          <w:szCs w:val="27"/>
          <w:u w:val="single"/>
          <w:lang w:eastAsia="lv-LV"/>
        </w:rPr>
        <w:t xml:space="preserve"> iesniegto pārskatu administrēšana”</w:t>
      </w:r>
      <w:r>
        <w:rPr>
          <w:rFonts w:ascii="Times New Roman" w:eastAsiaTheme="minorHAnsi" w:hAnsi="Times New Roman"/>
          <w:sz w:val="27"/>
          <w:szCs w:val="27"/>
          <w:u w:val="single"/>
          <w:lang w:eastAsia="lv-LV"/>
        </w:rPr>
        <w:t xml:space="preserve"> minēto jauno funkciju veikšanai Ekonomikas ministrijai nav noteiktas amata slodzes. Šo funkciju veikšanai būtu nepieciešamas vismaz divas amata slodzes.</w:t>
      </w:r>
    </w:p>
    <w:p w14:paraId="5CA140B9"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lastRenderedPageBreak/>
        <w:t>Tātad ir secināms, ka šī informatīvā ziņojuma II sadaļas 3.punktā minēto pienākumu un uzdevumu veikšanai ir pieejamas 2,8 amata slodzes, bet ir nepieciešamas vismaz 6 amata slodzes.</w:t>
      </w:r>
    </w:p>
    <w:p w14:paraId="313CF058" w14:textId="77777777" w:rsidR="0038031A" w:rsidRDefault="0038031A" w:rsidP="0038031A">
      <w:pPr>
        <w:spacing w:before="120" w:after="120" w:line="240" w:lineRule="auto"/>
        <w:jc w:val="both"/>
        <w:rPr>
          <w:rFonts w:ascii="Times New Roman" w:eastAsiaTheme="minorHAnsi" w:hAnsi="Times New Roman"/>
          <w:sz w:val="27"/>
          <w:szCs w:val="27"/>
          <w:u w:val="single"/>
          <w:lang w:eastAsia="lv-LV"/>
        </w:rPr>
      </w:pPr>
    </w:p>
    <w:p w14:paraId="09DD3278" w14:textId="77777777" w:rsidR="0038031A" w:rsidRDefault="0038031A" w:rsidP="0038031A">
      <w:pPr>
        <w:shd w:val="clear" w:color="auto" w:fill="FFFFFF"/>
        <w:spacing w:before="120" w:after="120" w:line="240" w:lineRule="auto"/>
        <w:ind w:left="709"/>
        <w:jc w:val="both"/>
        <w:outlineLvl w:val="2"/>
        <w:rPr>
          <w:rFonts w:ascii="Times New Roman" w:eastAsia="Times New Roman" w:hAnsi="Times New Roman"/>
          <w:b/>
          <w:i/>
          <w:sz w:val="27"/>
          <w:szCs w:val="27"/>
          <w:lang w:eastAsia="lv-LV"/>
        </w:rPr>
      </w:pPr>
      <w:bookmarkStart w:id="126" w:name="_Toc8719133"/>
      <w:bookmarkStart w:id="127" w:name="_Toc8648980"/>
      <w:bookmarkStart w:id="128" w:name="_Toc5617053"/>
      <w:bookmarkStart w:id="129" w:name="_Toc5616986"/>
      <w:bookmarkStart w:id="130" w:name="_Toc5616886"/>
      <w:bookmarkStart w:id="131" w:name="_Toc5615501"/>
      <w:bookmarkStart w:id="132" w:name="_Toc2286382"/>
      <w:bookmarkStart w:id="133" w:name="_Toc531102725"/>
      <w:bookmarkStart w:id="134" w:name="_Toc530605151"/>
      <w:bookmarkStart w:id="135" w:name="_Toc530117367"/>
      <w:r>
        <w:rPr>
          <w:rFonts w:ascii="Times New Roman" w:eastAsia="Times New Roman" w:hAnsi="Times New Roman"/>
          <w:b/>
          <w:i/>
          <w:sz w:val="27"/>
          <w:szCs w:val="27"/>
          <w:lang w:eastAsia="lv-LV"/>
        </w:rPr>
        <w:t>3.2. Transporta enerģijas nosacījumu izpildes uzraudzība un kontrole</w:t>
      </w:r>
      <w:bookmarkEnd w:id="126"/>
      <w:bookmarkEnd w:id="127"/>
      <w:bookmarkEnd w:id="128"/>
      <w:bookmarkEnd w:id="129"/>
      <w:bookmarkEnd w:id="130"/>
      <w:bookmarkEnd w:id="131"/>
      <w:bookmarkEnd w:id="132"/>
      <w:bookmarkEnd w:id="133"/>
      <w:bookmarkEnd w:id="134"/>
      <w:bookmarkEnd w:id="135"/>
    </w:p>
    <w:p w14:paraId="05E5D88D"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Transporta enerģijas nosacījumi izriet no divām ES direktīvām:</w:t>
      </w:r>
    </w:p>
    <w:p w14:paraId="5DB13A1D" w14:textId="77777777" w:rsidR="0038031A" w:rsidRDefault="0038031A" w:rsidP="0038031A">
      <w:pPr>
        <w:numPr>
          <w:ilvl w:val="0"/>
          <w:numId w:val="54"/>
        </w:numPr>
        <w:spacing w:before="120" w:after="120" w:line="240" w:lineRule="auto"/>
        <w:ind w:left="357" w:hanging="35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Eiropas Parlamenta un Padomes 2009.gada 23.aprīļa direktīva Nr.2009/28/EK par atjaunojamo energoresursu izmantošanas veicināšanu un ar ko groza un sekojoši atceļ Direktīvas 2001/77/EK un 2003/30/EK;</w:t>
      </w:r>
    </w:p>
    <w:p w14:paraId="730F60C5" w14:textId="77777777" w:rsidR="0038031A" w:rsidRDefault="0038031A" w:rsidP="0038031A">
      <w:pPr>
        <w:numPr>
          <w:ilvl w:val="0"/>
          <w:numId w:val="54"/>
        </w:numPr>
        <w:spacing w:before="120" w:after="120" w:line="240" w:lineRule="auto"/>
        <w:ind w:left="357" w:hanging="35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Eiropas Parlamenta un Padomes 1998.gada 13.oktobra direktīva Nr.98/70/EK, kas attiecas uz benzīna un dīzeļdegvielu kvalitāti un ar ko groza Padomes Direktīvu 93/12/EEK</w:t>
      </w:r>
      <w:r>
        <w:rPr>
          <w:rFonts w:ascii="Times New Roman" w:eastAsiaTheme="minorHAnsi" w:hAnsi="Times New Roman"/>
          <w:sz w:val="27"/>
          <w:szCs w:val="27"/>
          <w:vertAlign w:val="superscript"/>
          <w:lang w:eastAsia="lv-LV"/>
        </w:rPr>
        <w:footnoteReference w:id="22"/>
      </w:r>
      <w:r>
        <w:rPr>
          <w:rFonts w:ascii="Times New Roman" w:eastAsiaTheme="minorHAnsi" w:hAnsi="Times New Roman"/>
          <w:sz w:val="27"/>
          <w:szCs w:val="27"/>
          <w:lang w:eastAsia="lv-LV"/>
        </w:rPr>
        <w:t xml:space="preserve"> (turpmāk - Direktīva 98/70/EK).</w:t>
      </w:r>
    </w:p>
    <w:p w14:paraId="30005789"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Transporta enerģijas nosacījumi izpildes uzraudzības un kontroles nosacījumi ir izsakāmi nozaru normatīvajos aktos – Transporta enerģijas likumā un pakārtotajos Ministru kabineta noteikumos.</w:t>
      </w:r>
    </w:p>
    <w:p w14:paraId="182AE0E3" w14:textId="77777777" w:rsidR="0038031A" w:rsidRDefault="0038031A" w:rsidP="0038031A">
      <w:pPr>
        <w:spacing w:before="120" w:after="120" w:line="240" w:lineRule="auto"/>
        <w:jc w:val="both"/>
        <w:rPr>
          <w:rFonts w:ascii="Times New Roman" w:eastAsiaTheme="minorHAnsi" w:hAnsi="Times New Roman"/>
          <w:sz w:val="27"/>
          <w:szCs w:val="27"/>
          <w:lang w:eastAsia="lv-LV"/>
        </w:rPr>
      </w:pPr>
    </w:p>
    <w:p w14:paraId="40022E32"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36" w:name="_Toc5615502"/>
      <w:bookmarkStart w:id="137" w:name="_Toc531102726"/>
      <w:bookmarkStart w:id="138" w:name="_Toc530117368"/>
      <w:r>
        <w:rPr>
          <w:rFonts w:ascii="Times New Roman" w:eastAsia="Times New Roman" w:hAnsi="Times New Roman"/>
          <w:sz w:val="27"/>
          <w:szCs w:val="27"/>
          <w:u w:val="single"/>
          <w:lang w:eastAsia="lv-LV"/>
        </w:rPr>
        <w:t>Degvielas tirgus uzraudzība, degvielas kvalitātes monitorings un ziņošana</w:t>
      </w:r>
      <w:bookmarkEnd w:id="136"/>
      <w:bookmarkEnd w:id="137"/>
      <w:bookmarkEnd w:id="138"/>
    </w:p>
    <w:p w14:paraId="2EB303D0" w14:textId="77777777" w:rsidR="0038031A" w:rsidRDefault="0038031A" w:rsidP="0038031A">
      <w:pPr>
        <w:spacing w:before="75" w:after="75" w:line="240" w:lineRule="auto"/>
        <w:jc w:val="both"/>
        <w:rPr>
          <w:rFonts w:ascii="Times New Roman" w:eastAsia="Times New Roman" w:hAnsi="Times New Roman"/>
          <w:noProof/>
          <w:sz w:val="27"/>
          <w:szCs w:val="27"/>
          <w:lang w:eastAsia="lv-LV"/>
        </w:rPr>
      </w:pPr>
      <w:r>
        <w:rPr>
          <w:rFonts w:ascii="Times New Roman" w:eastAsia="Times New Roman" w:hAnsi="Times New Roman"/>
          <w:noProof/>
          <w:sz w:val="27"/>
          <w:szCs w:val="27"/>
          <w:lang w:eastAsia="lv-LV"/>
        </w:rPr>
        <w:t xml:space="preserve">Direktīvas 98/70/EK 8.pants paredz, ka visām ES dalībvalstīm ir jāizveido degvielas kvalitātes uzraudzības sistēmas saskaņā ar attiecīgo Eiropas standartu prasībām. Alternatīvas degvielas kvalitātes uzraudzības sistēmas var būt pieļaujamas tikai ar nosacījumu, ka tās nodrošina līdzvērtīgas uzticamības rezultātus. Vienlaikus </w:t>
      </w:r>
      <w:r>
        <w:rPr>
          <w:rFonts w:ascii="Times New Roman" w:eastAsia="Times New Roman" w:hAnsi="Times New Roman"/>
          <w:sz w:val="27"/>
          <w:szCs w:val="27"/>
          <w:lang w:eastAsia="lv-LV"/>
        </w:rPr>
        <w:t>Direktīvas 98/70/EK</w:t>
      </w:r>
      <w:r>
        <w:rPr>
          <w:rFonts w:ascii="Times New Roman" w:eastAsia="Times New Roman" w:hAnsi="Times New Roman"/>
          <w:noProof/>
          <w:sz w:val="27"/>
          <w:szCs w:val="27"/>
          <w:lang w:eastAsia="lv-LV"/>
        </w:rPr>
        <w:t xml:space="preserve"> 8.pants paredz, ka katru gadu līdz 31.augustam dalībvalstis Eiropas Komisijā iesniedz valsts degvielas kvalitātes ziņojumu par iepriekšējo kalendāro gadu. </w:t>
      </w:r>
    </w:p>
    <w:p w14:paraId="24A61FA0"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Saskaņā ar Ministru kabineta 2000.gada 26.septembra noteikumi Nr.332 “Noteikumi par benzīna un dīzeļdegvielas atbilstības novērtēšanu”</w:t>
      </w:r>
      <w:r>
        <w:rPr>
          <w:rFonts w:ascii="Times New Roman" w:eastAsiaTheme="minorHAnsi" w:hAnsi="Times New Roman"/>
          <w:sz w:val="27"/>
          <w:szCs w:val="27"/>
          <w:vertAlign w:val="superscript"/>
          <w:lang w:eastAsia="lv-LV"/>
        </w:rPr>
        <w:footnoteReference w:id="23"/>
      </w:r>
      <w:r>
        <w:rPr>
          <w:rFonts w:ascii="Times New Roman" w:eastAsiaTheme="minorHAnsi" w:hAnsi="Times New Roman"/>
          <w:sz w:val="27"/>
          <w:szCs w:val="27"/>
          <w:lang w:eastAsia="lv-LV"/>
        </w:rPr>
        <w:t xml:space="preserve"> (turpmāk – Noteikumi Nr.332) degvielas tirgus uzraudzību atbilstoši kompetencei veic Valsts ieņēmumu dienests atbilstoši testēšanas metodēm, kā arī Noteikumos Nr.332 noteiktajām prasībām.</w:t>
      </w:r>
    </w:p>
    <w:p w14:paraId="14180788"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Degvielas tirgus uzraudzība sevī ietver šādas darbības:</w:t>
      </w:r>
    </w:p>
    <w:p w14:paraId="78E5AE0A" w14:textId="77777777" w:rsidR="0038031A" w:rsidRDefault="0038031A" w:rsidP="0038031A">
      <w:pPr>
        <w:numPr>
          <w:ilvl w:val="0"/>
          <w:numId w:val="55"/>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Degvielas paraugu ievākšana un testēšana akreditētā laboratorijā:</w:t>
      </w:r>
    </w:p>
    <w:p w14:paraId="1E52BA55"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Paraugu atlasē ir jāievēro standartā LVS EN 14275:2013 "Automobiļu degvielas. Benzīna un dīzeļdegvielas kvalitātes novērtēšana. Paraugu ņemšana no mazumtirdzniecības vietu sūkņiem un vairumtirdzniecības vietu degvielas </w:t>
      </w:r>
      <w:proofErr w:type="spellStart"/>
      <w:r>
        <w:rPr>
          <w:rFonts w:ascii="Times New Roman" w:eastAsiaTheme="minorHAnsi" w:hAnsi="Times New Roman"/>
          <w:sz w:val="27"/>
          <w:szCs w:val="27"/>
        </w:rPr>
        <w:t>uzpildes</w:t>
      </w:r>
      <w:proofErr w:type="spellEnd"/>
      <w:r>
        <w:rPr>
          <w:rFonts w:ascii="Times New Roman" w:eastAsiaTheme="minorHAnsi" w:hAnsi="Times New Roman"/>
          <w:sz w:val="27"/>
          <w:szCs w:val="27"/>
        </w:rPr>
        <w:t xml:space="preserve"> automātiem" (turpmāk – standarts EN 14275) ietvertās prasības. Paraugu daudzums atkarīgs no izvēlētā statistiskā modeļa. Ir nepieciešams izveidot un katru gadu aktualizēt sarakstu ar degvielas </w:t>
      </w:r>
      <w:proofErr w:type="spellStart"/>
      <w:r>
        <w:rPr>
          <w:rFonts w:ascii="Times New Roman" w:eastAsiaTheme="minorHAnsi" w:hAnsi="Times New Roman"/>
          <w:sz w:val="27"/>
          <w:szCs w:val="27"/>
        </w:rPr>
        <w:t>uzpildes</w:t>
      </w:r>
      <w:proofErr w:type="spellEnd"/>
      <w:r>
        <w:rPr>
          <w:rFonts w:ascii="Times New Roman" w:eastAsiaTheme="minorHAnsi" w:hAnsi="Times New Roman"/>
          <w:sz w:val="27"/>
          <w:szCs w:val="27"/>
        </w:rPr>
        <w:t xml:space="preserve"> un uzglabāšanas vietām (mazumtirdzniecības, vairumtirdzniecības, akcīzes preču noliktavas, u.c.), kur tiks veikts degvielas kvalitātes monitorings. Katrai no šīm vietām ir jāpiešķir unikāls identifikācijas numurs, kurš pēc </w:t>
      </w:r>
      <w:r>
        <w:rPr>
          <w:rFonts w:ascii="Times New Roman" w:eastAsiaTheme="minorHAnsi" w:hAnsi="Times New Roman"/>
          <w:sz w:val="27"/>
          <w:szCs w:val="27"/>
        </w:rPr>
        <w:lastRenderedPageBreak/>
        <w:t xml:space="preserve">tam jāatspoguļo uz parauga, ja tas ievākts konkrētajā </w:t>
      </w:r>
      <w:proofErr w:type="spellStart"/>
      <w:r>
        <w:rPr>
          <w:rFonts w:ascii="Times New Roman" w:eastAsiaTheme="minorHAnsi" w:hAnsi="Times New Roman"/>
          <w:sz w:val="27"/>
          <w:szCs w:val="27"/>
        </w:rPr>
        <w:t>uzpildes</w:t>
      </w:r>
      <w:proofErr w:type="spellEnd"/>
      <w:r>
        <w:rPr>
          <w:rFonts w:ascii="Times New Roman" w:eastAsiaTheme="minorHAnsi" w:hAnsi="Times New Roman"/>
          <w:sz w:val="27"/>
          <w:szCs w:val="27"/>
        </w:rPr>
        <w:t xml:space="preserve"> vietā, līdz ar to institūcijai ir jāveido un jāuztur īpašs reģistrs.  </w:t>
      </w:r>
    </w:p>
    <w:p w14:paraId="66C31CBA"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Degvielas paraugus ir nepieciešams testēt akreditētā laboratorijā, kas akreditēta pēc standarta ISO/IEC 17025:2017 “Testēšanas un kalibrēšanas laboratoriju kompetences vispārīgās prasības” (turpmāk – standarts ISO/IEC 17025), vai citā valsts valdības noteiktā laboratorijā, kurai ir nepieciešams regulāri piedalīties vismaz vienā nacionālā, ES vai starptautiskā starp-laboratoriju shēmā, kā to paredz standarts ISO/IEC 17025. </w:t>
      </w:r>
    </w:p>
    <w:p w14:paraId="66320135"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Šai institūcijai ir jāsagatavo apliecinājums par degvielas paraugu ievākšanu un testēšanu, kā arī pārskats par veiktajiem testiem. </w:t>
      </w:r>
      <w:r>
        <w:rPr>
          <w:rFonts w:ascii="Times New Roman" w:eastAsiaTheme="minorHAnsi" w:hAnsi="Times New Roman"/>
          <w:sz w:val="27"/>
          <w:szCs w:val="27"/>
        </w:rPr>
        <w:tab/>
      </w:r>
    </w:p>
    <w:p w14:paraId="27652ED7" w14:textId="77777777" w:rsidR="0038031A" w:rsidRDefault="0038031A" w:rsidP="0038031A">
      <w:pPr>
        <w:numPr>
          <w:ilvl w:val="0"/>
          <w:numId w:val="56"/>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Degvielas atbilstības apliecinošo dokumentu pārbaude degvielas importētājam, ražotājam, vairumtirgotājam vai mazumtirgotājam</w:t>
      </w:r>
    </w:p>
    <w:p w14:paraId="6FC2A6C0"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Degvielas paraugu ievākšanas laikā šo paraugu ievācējiem ir jāpārbauda degvielas atbilstības apliecinošie dokumenti.</w:t>
      </w:r>
    </w:p>
    <w:p w14:paraId="1983F9E1" w14:textId="77777777" w:rsidR="0038031A" w:rsidRDefault="0038031A" w:rsidP="0038031A">
      <w:pPr>
        <w:numPr>
          <w:ilvl w:val="0"/>
          <w:numId w:val="56"/>
        </w:numPr>
        <w:spacing w:before="120" w:after="120" w:line="240" w:lineRule="auto"/>
        <w:ind w:left="397" w:hanging="39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Degvielas kvalitātes gala ziņojuma sagatavošana un iesniegšana Eiropas Komisijā:</w:t>
      </w:r>
    </w:p>
    <w:p w14:paraId="7715F664"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Valsts vai citai institūcijai, kas noteikta par atbildīgo un nodevusi paraugus testēšanai, nepieciešams sagatavot gala ziņojumu par testēšanas rezultātiem, ievērojot standarta EN 14275 pielikumā pievienoto veidlapas formu. Balstoties uz šo informāciju, atbildīgā institūcija var sagatavot degvielas kvalitātes pārskatu. Šo ziņojumu ir jāiesniedz Eiropas Komisijā izmantojot Eiropas Vides aģentūras uzturētajā interneta vietnē paredzēto rīku </w:t>
      </w:r>
      <w:r>
        <w:rPr>
          <w:rFonts w:ascii="Times New Roman" w:eastAsiaTheme="minorHAnsi" w:hAnsi="Times New Roman"/>
          <w:i/>
          <w:sz w:val="27"/>
          <w:szCs w:val="27"/>
        </w:rPr>
        <w:t xml:space="preserve">– </w:t>
      </w:r>
      <w:proofErr w:type="spellStart"/>
      <w:r>
        <w:rPr>
          <w:rFonts w:ascii="Times New Roman" w:eastAsiaTheme="minorHAnsi" w:hAnsi="Times New Roman"/>
          <w:i/>
          <w:sz w:val="27"/>
          <w:szCs w:val="27"/>
        </w:rPr>
        <w:t>Reportnet</w:t>
      </w:r>
      <w:proofErr w:type="spellEnd"/>
      <w:r>
        <w:rPr>
          <w:rFonts w:ascii="Times New Roman" w:eastAsiaTheme="minorHAnsi" w:hAnsi="Times New Roman"/>
          <w:sz w:val="27"/>
          <w:szCs w:val="27"/>
        </w:rPr>
        <w:t>.</w:t>
      </w:r>
    </w:p>
    <w:p w14:paraId="209A4960" w14:textId="731780B0"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Pēc iepriekšminēto darbību pabeigšanas, ja tiek konstatēts, ka degviela neatbilst noteiktajiem kvalitātes kritērijiem, institūcijai ir jāuzsāk administratīvā </w:t>
      </w:r>
      <w:r w:rsidR="004A45D7">
        <w:rPr>
          <w:rFonts w:ascii="Times New Roman" w:eastAsiaTheme="minorHAnsi" w:hAnsi="Times New Roman"/>
          <w:sz w:val="27"/>
          <w:szCs w:val="27"/>
        </w:rPr>
        <w:t xml:space="preserve">pārkāpuma process </w:t>
      </w:r>
      <w:r>
        <w:rPr>
          <w:rFonts w:ascii="Times New Roman" w:eastAsiaTheme="minorHAnsi" w:hAnsi="Times New Roman"/>
          <w:sz w:val="27"/>
          <w:szCs w:val="27"/>
        </w:rPr>
        <w:t>un jāpiemēro normatīvajos aktos noteiktie administratīvie sodi par attiecīgajiem pārkāpumiem.</w:t>
      </w:r>
    </w:p>
    <w:p w14:paraId="59FDA2D8"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Šobrīd iepriekšminētās darbības (izņemot ziņojuma iesniegšanu Eiropas Komisijā) veic Valsts ieņēmumu dienests, bet ziņojumu Eiropas Komisijā iesniedz Ekonomikas ministrija. Tomēr Valsts ieņēmumu dienests uztur iebildumus, ka tiek noteikts kā atbildīgā institūcija par degvielas tirgus uzraudzību, tāpēc ir nepieciešams noteikt citu par degvielas tirgus uzraudzību atbildīgo institūciju.</w:t>
      </w:r>
    </w:p>
    <w:p w14:paraId="725D106F"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Šobrīd administrējamo subjektu skaits ir apmēram 120-150, aptverot visas degvielas </w:t>
      </w:r>
      <w:proofErr w:type="spellStart"/>
      <w:r>
        <w:rPr>
          <w:rFonts w:ascii="Times New Roman" w:eastAsiaTheme="minorHAnsi" w:hAnsi="Times New Roman"/>
          <w:sz w:val="27"/>
          <w:szCs w:val="27"/>
        </w:rPr>
        <w:t>uzpildes</w:t>
      </w:r>
      <w:proofErr w:type="spellEnd"/>
      <w:r>
        <w:rPr>
          <w:rFonts w:ascii="Times New Roman" w:eastAsiaTheme="minorHAnsi" w:hAnsi="Times New Roman"/>
          <w:sz w:val="27"/>
          <w:szCs w:val="27"/>
        </w:rPr>
        <w:t xml:space="preserve"> stacijas un naftas bāzes. Savukārt ievācamo un testējamo paraugu skaits ir līdz 300 paraugiem gadā.</w:t>
      </w:r>
    </w:p>
    <w:p w14:paraId="467CE8B6" w14:textId="67B0C5D6" w:rsidR="0038031A" w:rsidRDefault="0038031A" w:rsidP="0038031A">
      <w:pPr>
        <w:spacing w:before="120" w:after="120" w:line="240" w:lineRule="auto"/>
        <w:jc w:val="both"/>
        <w:rPr>
          <w:rFonts w:ascii="Times New Roman" w:eastAsiaTheme="minorHAnsi" w:hAnsi="Times New Roman"/>
          <w:sz w:val="27"/>
          <w:szCs w:val="27"/>
          <w:u w:val="single"/>
        </w:rPr>
      </w:pPr>
      <w:r>
        <w:rPr>
          <w:rFonts w:ascii="Times New Roman" w:eastAsiaTheme="minorHAnsi" w:hAnsi="Times New Roman"/>
          <w:sz w:val="27"/>
          <w:szCs w:val="27"/>
          <w:u w:val="single"/>
        </w:rPr>
        <w:t>Šīs jaunās funkcijas veikšanai, ja to veic cita iestāde nevis Valsts ieņēmumu dienests, ir nepieciešamas apmēram 4 amata slodzes.</w:t>
      </w:r>
    </w:p>
    <w:p w14:paraId="62DB273A" w14:textId="77777777" w:rsidR="007E0CA9" w:rsidRDefault="007E0CA9" w:rsidP="0038031A">
      <w:pPr>
        <w:spacing w:before="120" w:after="120" w:line="240" w:lineRule="auto"/>
        <w:jc w:val="both"/>
        <w:rPr>
          <w:rFonts w:ascii="Times New Roman" w:eastAsiaTheme="minorHAnsi" w:hAnsi="Times New Roman"/>
          <w:sz w:val="27"/>
          <w:szCs w:val="27"/>
          <w:u w:val="single"/>
        </w:rPr>
      </w:pPr>
    </w:p>
    <w:p w14:paraId="40F85A05"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39" w:name="_Toc5615503"/>
      <w:bookmarkStart w:id="140" w:name="_Toc531102727"/>
      <w:bookmarkStart w:id="141" w:name="_Toc530117369"/>
      <w:r>
        <w:rPr>
          <w:rFonts w:ascii="Times New Roman" w:eastAsia="Times New Roman" w:hAnsi="Times New Roman"/>
          <w:sz w:val="27"/>
          <w:szCs w:val="27"/>
          <w:u w:val="single"/>
          <w:lang w:eastAsia="lv-LV"/>
        </w:rPr>
        <w:t>Vispārīgās ziņošanas kārtība</w:t>
      </w:r>
      <w:bookmarkEnd w:id="139"/>
      <w:bookmarkEnd w:id="140"/>
      <w:bookmarkEnd w:id="141"/>
    </w:p>
    <w:p w14:paraId="12A24BBC"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2018.gada 11.decembra Ministru kabineta sēdē atkārtoti</w:t>
      </w:r>
      <w:r>
        <w:rPr>
          <w:rFonts w:ascii="Times New Roman" w:eastAsiaTheme="minorHAnsi" w:hAnsi="Times New Roman"/>
          <w:sz w:val="27"/>
          <w:szCs w:val="27"/>
          <w:vertAlign w:val="superscript"/>
          <w:lang w:eastAsia="lv-LV"/>
        </w:rPr>
        <w:footnoteReference w:id="24"/>
      </w:r>
      <w:r>
        <w:rPr>
          <w:rFonts w:ascii="Times New Roman" w:eastAsiaTheme="minorHAnsi" w:hAnsi="Times New Roman"/>
          <w:sz w:val="27"/>
          <w:szCs w:val="27"/>
          <w:lang w:eastAsia="lv-LV"/>
        </w:rPr>
        <w:t xml:space="preserve"> tika apstiprināts likumprojekts “Transporta enerģijas likums” (turpmāk – Likumprojekts), kas tika </w:t>
      </w:r>
      <w:r>
        <w:rPr>
          <w:rFonts w:ascii="Times New Roman" w:eastAsiaTheme="minorHAnsi" w:hAnsi="Times New Roman"/>
          <w:sz w:val="27"/>
          <w:szCs w:val="27"/>
          <w:lang w:eastAsia="lv-LV"/>
        </w:rPr>
        <w:lastRenderedPageBreak/>
        <w:t>iesniegts Latvijas Republikas Saeimā 2018.gada 19.decembrī</w:t>
      </w:r>
      <w:r>
        <w:rPr>
          <w:rFonts w:ascii="Times New Roman" w:eastAsiaTheme="minorHAnsi" w:hAnsi="Times New Roman"/>
          <w:sz w:val="27"/>
          <w:szCs w:val="27"/>
          <w:vertAlign w:val="superscript"/>
          <w:lang w:eastAsia="lv-LV"/>
        </w:rPr>
        <w:footnoteReference w:id="25"/>
      </w:r>
      <w:r>
        <w:rPr>
          <w:rFonts w:ascii="Times New Roman" w:eastAsiaTheme="minorHAnsi" w:hAnsi="Times New Roman"/>
          <w:sz w:val="27"/>
          <w:szCs w:val="27"/>
          <w:lang w:eastAsia="lv-LV"/>
        </w:rPr>
        <w:t>. Ar Likumprojektu tiek plānots noteikt vispārīgās ziņošanas kārtību attiecībā uz visiem transporta enerģijai piemērotajiem nosacījumiem. Ar šo kārtību tiks noteikts, ka degvielas piegādātājs vienā ziņojumā iesniedz kompetentajai iestādei gada pārskatu – informāciju un datus, kurā iekļauj šādu informāciju:</w:t>
      </w:r>
    </w:p>
    <w:p w14:paraId="77401D92" w14:textId="77777777" w:rsidR="0038031A" w:rsidRPr="00FC30FF" w:rsidRDefault="0038031A" w:rsidP="00FC30FF">
      <w:pPr>
        <w:pStyle w:val="ListParagraph"/>
        <w:numPr>
          <w:ilvl w:val="3"/>
          <w:numId w:val="48"/>
        </w:numPr>
        <w:spacing w:before="120" w:after="120" w:line="240" w:lineRule="auto"/>
        <w:ind w:left="397" w:hanging="397"/>
        <w:contextualSpacing w:val="0"/>
        <w:jc w:val="both"/>
        <w:rPr>
          <w:rFonts w:ascii="Times New Roman" w:eastAsiaTheme="minorHAnsi" w:hAnsi="Times New Roman"/>
          <w:sz w:val="27"/>
          <w:szCs w:val="27"/>
          <w:lang w:eastAsia="lv-LV"/>
        </w:rPr>
      </w:pPr>
      <w:proofErr w:type="spellStart"/>
      <w:r w:rsidRPr="00FC30FF">
        <w:rPr>
          <w:rFonts w:ascii="Times New Roman" w:eastAsiaTheme="minorHAnsi" w:hAnsi="Times New Roman"/>
          <w:sz w:val="27"/>
          <w:szCs w:val="27"/>
          <w:lang w:eastAsia="lv-LV"/>
        </w:rPr>
        <w:t>Galapatēriņam</w:t>
      </w:r>
      <w:proofErr w:type="spellEnd"/>
      <w:r w:rsidRPr="00FC30FF">
        <w:rPr>
          <w:rFonts w:ascii="Times New Roman" w:eastAsiaTheme="minorHAnsi" w:hAnsi="Times New Roman"/>
          <w:sz w:val="27"/>
          <w:szCs w:val="27"/>
          <w:lang w:eastAsia="lv-LV"/>
        </w:rPr>
        <w:t xml:space="preserve"> transportā piegādātais transporta enerģijas – degviela, biodegviela, elektroenerģija, apjoms;</w:t>
      </w:r>
    </w:p>
    <w:p w14:paraId="71BB65AB" w14:textId="77777777" w:rsidR="0038031A" w:rsidRPr="00FC30FF" w:rsidRDefault="0038031A" w:rsidP="00FC30FF">
      <w:pPr>
        <w:pStyle w:val="ListParagraph"/>
        <w:numPr>
          <w:ilvl w:val="3"/>
          <w:numId w:val="48"/>
        </w:numPr>
        <w:spacing w:before="120" w:after="120" w:line="240" w:lineRule="auto"/>
        <w:ind w:left="397" w:hanging="397"/>
        <w:contextualSpacing w:val="0"/>
        <w:jc w:val="both"/>
        <w:rPr>
          <w:rFonts w:ascii="Times New Roman" w:eastAsiaTheme="minorHAnsi" w:hAnsi="Times New Roman"/>
          <w:sz w:val="27"/>
          <w:szCs w:val="27"/>
          <w:lang w:eastAsia="lv-LV"/>
        </w:rPr>
      </w:pPr>
      <w:proofErr w:type="spellStart"/>
      <w:r w:rsidRPr="00FC30FF">
        <w:rPr>
          <w:rFonts w:ascii="Times New Roman" w:eastAsiaTheme="minorHAnsi" w:hAnsi="Times New Roman"/>
          <w:sz w:val="27"/>
          <w:szCs w:val="27"/>
          <w:lang w:eastAsia="lv-LV"/>
        </w:rPr>
        <w:t>Galapatēriņam</w:t>
      </w:r>
      <w:proofErr w:type="spellEnd"/>
      <w:r w:rsidRPr="00FC30FF">
        <w:rPr>
          <w:rFonts w:ascii="Times New Roman" w:eastAsiaTheme="minorHAnsi" w:hAnsi="Times New Roman"/>
          <w:sz w:val="27"/>
          <w:szCs w:val="27"/>
          <w:lang w:eastAsia="lv-LV"/>
        </w:rPr>
        <w:t xml:space="preserve"> transportā piegādātās degvielas izcelsme;</w:t>
      </w:r>
    </w:p>
    <w:p w14:paraId="3D38463C" w14:textId="77777777" w:rsidR="0038031A" w:rsidRPr="00FC30FF" w:rsidRDefault="0038031A" w:rsidP="00FC30FF">
      <w:pPr>
        <w:pStyle w:val="ListParagraph"/>
        <w:numPr>
          <w:ilvl w:val="3"/>
          <w:numId w:val="48"/>
        </w:numPr>
        <w:spacing w:before="120" w:after="120" w:line="240" w:lineRule="auto"/>
        <w:ind w:left="397" w:hanging="397"/>
        <w:contextualSpacing w:val="0"/>
        <w:jc w:val="both"/>
        <w:rPr>
          <w:rFonts w:ascii="Times New Roman" w:eastAsiaTheme="minorHAnsi" w:hAnsi="Times New Roman"/>
          <w:sz w:val="27"/>
          <w:szCs w:val="27"/>
          <w:lang w:eastAsia="lv-LV"/>
        </w:rPr>
      </w:pPr>
      <w:r w:rsidRPr="00FC30FF">
        <w:rPr>
          <w:rFonts w:ascii="Times New Roman" w:eastAsiaTheme="minorHAnsi" w:hAnsi="Times New Roman"/>
          <w:sz w:val="27"/>
          <w:szCs w:val="27"/>
          <w:lang w:eastAsia="lv-LV"/>
        </w:rPr>
        <w:t>Piegādātās biodegvielas apjoms un tā atbilstība noteiktiem ilgtspējas kritērijiem;</w:t>
      </w:r>
    </w:p>
    <w:p w14:paraId="32EB420A" w14:textId="77777777" w:rsidR="0038031A" w:rsidRPr="00FC30FF" w:rsidRDefault="0038031A" w:rsidP="00FC30FF">
      <w:pPr>
        <w:pStyle w:val="ListParagraph"/>
        <w:numPr>
          <w:ilvl w:val="3"/>
          <w:numId w:val="48"/>
        </w:numPr>
        <w:spacing w:before="120" w:after="120" w:line="240" w:lineRule="auto"/>
        <w:ind w:left="397" w:hanging="397"/>
        <w:contextualSpacing w:val="0"/>
        <w:jc w:val="both"/>
        <w:rPr>
          <w:rFonts w:ascii="Times New Roman" w:eastAsiaTheme="minorHAnsi" w:hAnsi="Times New Roman"/>
          <w:sz w:val="27"/>
          <w:szCs w:val="27"/>
          <w:lang w:eastAsia="lv-LV"/>
        </w:rPr>
      </w:pPr>
      <w:proofErr w:type="spellStart"/>
      <w:r w:rsidRPr="00FC30FF">
        <w:rPr>
          <w:rFonts w:ascii="Times New Roman" w:eastAsiaTheme="minorHAnsi" w:hAnsi="Times New Roman"/>
          <w:sz w:val="27"/>
          <w:szCs w:val="27"/>
          <w:lang w:eastAsia="lv-LV"/>
        </w:rPr>
        <w:t>Galapatēriņam</w:t>
      </w:r>
      <w:proofErr w:type="spellEnd"/>
      <w:r w:rsidRPr="00FC30FF">
        <w:rPr>
          <w:rFonts w:ascii="Times New Roman" w:eastAsiaTheme="minorHAnsi" w:hAnsi="Times New Roman"/>
          <w:sz w:val="27"/>
          <w:szCs w:val="27"/>
          <w:lang w:eastAsia="lv-LV"/>
        </w:rPr>
        <w:t xml:space="preserve"> transportā nodotais atjaunojamo energoresursu apjoms;</w:t>
      </w:r>
    </w:p>
    <w:p w14:paraId="06515619" w14:textId="77777777" w:rsidR="0038031A" w:rsidRPr="00FC30FF" w:rsidRDefault="0038031A" w:rsidP="00FC30FF">
      <w:pPr>
        <w:pStyle w:val="ListParagraph"/>
        <w:numPr>
          <w:ilvl w:val="3"/>
          <w:numId w:val="48"/>
        </w:numPr>
        <w:spacing w:before="120" w:after="120" w:line="240" w:lineRule="auto"/>
        <w:ind w:left="397" w:hanging="397"/>
        <w:contextualSpacing w:val="0"/>
        <w:jc w:val="both"/>
        <w:rPr>
          <w:rFonts w:ascii="Times New Roman" w:eastAsiaTheme="minorHAnsi" w:hAnsi="Times New Roman"/>
          <w:sz w:val="27"/>
          <w:szCs w:val="27"/>
          <w:lang w:eastAsia="lv-LV"/>
        </w:rPr>
      </w:pPr>
      <w:r w:rsidRPr="00FC30FF">
        <w:rPr>
          <w:rFonts w:ascii="Times New Roman" w:eastAsiaTheme="minorHAnsi" w:hAnsi="Times New Roman"/>
          <w:sz w:val="27"/>
          <w:szCs w:val="27"/>
          <w:lang w:eastAsia="lv-LV"/>
        </w:rPr>
        <w:t xml:space="preserve">Līdz 2021.gadam – </w:t>
      </w:r>
      <w:proofErr w:type="spellStart"/>
      <w:r w:rsidRPr="00FC30FF">
        <w:rPr>
          <w:rFonts w:ascii="Times New Roman" w:eastAsiaTheme="minorHAnsi" w:hAnsi="Times New Roman"/>
          <w:sz w:val="27"/>
          <w:szCs w:val="27"/>
          <w:lang w:eastAsia="lv-LV"/>
        </w:rPr>
        <w:t>galapatēriņam</w:t>
      </w:r>
      <w:proofErr w:type="spellEnd"/>
      <w:r w:rsidRPr="00FC30FF">
        <w:rPr>
          <w:rFonts w:ascii="Times New Roman" w:eastAsiaTheme="minorHAnsi" w:hAnsi="Times New Roman"/>
          <w:sz w:val="27"/>
          <w:szCs w:val="27"/>
          <w:lang w:eastAsia="lv-LV"/>
        </w:rPr>
        <w:t xml:space="preserve"> transportā piegādātās transporta enerģijas aprites cikla SEG emisiju intensitātes apjoms.</w:t>
      </w:r>
    </w:p>
    <w:p w14:paraId="7960B619" w14:textId="77777777" w:rsidR="0038031A" w:rsidRDefault="0038031A" w:rsidP="0038031A">
      <w:pPr>
        <w:spacing w:before="120" w:after="120" w:line="240" w:lineRule="auto"/>
        <w:jc w:val="both"/>
        <w:rPr>
          <w:rFonts w:ascii="Times New Roman" w:eastAsiaTheme="minorHAnsi" w:hAnsi="Times New Roman"/>
          <w:sz w:val="27"/>
          <w:szCs w:val="27"/>
          <w:u w:val="single"/>
          <w:lang w:eastAsia="lv-LV"/>
        </w:rPr>
      </w:pPr>
      <w:r>
        <w:rPr>
          <w:rFonts w:ascii="Times New Roman" w:eastAsiaTheme="minorHAnsi" w:hAnsi="Times New Roman"/>
          <w:sz w:val="27"/>
          <w:szCs w:val="27"/>
          <w:u w:val="single"/>
          <w:lang w:eastAsia="lv-LV"/>
        </w:rPr>
        <w:t xml:space="preserve">Šobrīd nav noteikta kompetentā iestāde, kurai iepriekšminētā informācija un dati tiek iesniegti (izņemot </w:t>
      </w:r>
      <w:proofErr w:type="spellStart"/>
      <w:r>
        <w:rPr>
          <w:rFonts w:ascii="Times New Roman" w:eastAsiaTheme="minorHAnsi" w:hAnsi="Times New Roman"/>
          <w:sz w:val="27"/>
          <w:szCs w:val="27"/>
          <w:u w:val="single"/>
          <w:lang w:eastAsia="lv-LV"/>
        </w:rPr>
        <w:t>galapatēriņam</w:t>
      </w:r>
      <w:proofErr w:type="spellEnd"/>
      <w:r>
        <w:rPr>
          <w:rFonts w:ascii="Times New Roman" w:eastAsiaTheme="minorHAnsi" w:hAnsi="Times New Roman"/>
          <w:sz w:val="27"/>
          <w:szCs w:val="27"/>
          <w:u w:val="single"/>
          <w:lang w:eastAsia="lv-LV"/>
        </w:rPr>
        <w:t xml:space="preserve"> transportā piegādātās transporta enerģijas aprites cikla SEG emisiju intensitātes apjomu, kas tiek ziņots arī Valsts vides dienestam).</w:t>
      </w:r>
    </w:p>
    <w:p w14:paraId="0E36E60E" w14:textId="117FED85"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Ir paredzēts, ka minētā kompetentā iestāde izvērtēs degvielas piegādātāja iesniegto gada pārskatu un arī izvērtēs degvielas piegādātājam noteikto obligātā pienākuma saistību izpildi. Savukārt, ja minētās saistības netiks izpildītas, tad kompetentajai iestādei būs jāpiemēro attiecīgais maksājums par saistību nepildīšanu. Minētajai kompetentajai iestādei būs arī </w:t>
      </w:r>
      <w:r w:rsidR="004A45D7">
        <w:rPr>
          <w:rFonts w:ascii="Times New Roman" w:eastAsiaTheme="minorHAnsi" w:hAnsi="Times New Roman"/>
          <w:sz w:val="27"/>
          <w:szCs w:val="27"/>
          <w:lang w:eastAsia="lv-LV"/>
        </w:rPr>
        <w:t xml:space="preserve">jāuzsāk </w:t>
      </w:r>
      <w:r>
        <w:rPr>
          <w:rFonts w:ascii="Times New Roman" w:eastAsiaTheme="minorHAnsi" w:hAnsi="Times New Roman"/>
          <w:sz w:val="27"/>
          <w:szCs w:val="27"/>
          <w:lang w:eastAsia="lv-LV"/>
        </w:rPr>
        <w:t xml:space="preserve">administratīvā </w:t>
      </w:r>
      <w:r w:rsidR="004A45D7">
        <w:rPr>
          <w:rFonts w:ascii="Times New Roman" w:eastAsiaTheme="minorHAnsi" w:hAnsi="Times New Roman"/>
          <w:sz w:val="27"/>
          <w:szCs w:val="27"/>
          <w:lang w:eastAsia="lv-LV"/>
        </w:rPr>
        <w:t xml:space="preserve">pārkāpuma process </w:t>
      </w:r>
      <w:r>
        <w:rPr>
          <w:rFonts w:ascii="Times New Roman" w:eastAsiaTheme="minorHAnsi" w:hAnsi="Times New Roman"/>
          <w:sz w:val="27"/>
          <w:szCs w:val="27"/>
          <w:lang w:eastAsia="lv-LV"/>
        </w:rPr>
        <w:t>gadījumos, ja gada pārskats netiek iesniegts un būs jānodrošina, ka šis gada pārskats tiek iesniegts.</w:t>
      </w:r>
    </w:p>
    <w:p w14:paraId="6B245C0F" w14:textId="77777777" w:rsidR="0038031A" w:rsidRDefault="0038031A" w:rsidP="0038031A">
      <w:pPr>
        <w:spacing w:before="120" w:after="120" w:line="240" w:lineRule="auto"/>
        <w:jc w:val="both"/>
        <w:rPr>
          <w:rFonts w:ascii="Times New Roman" w:eastAsiaTheme="minorHAnsi" w:hAnsi="Times New Roman"/>
          <w:sz w:val="27"/>
          <w:szCs w:val="27"/>
          <w:u w:val="single"/>
          <w:lang w:eastAsia="lv-LV"/>
        </w:rPr>
      </w:pPr>
      <w:r>
        <w:rPr>
          <w:rFonts w:ascii="Times New Roman" w:eastAsiaTheme="minorHAnsi" w:hAnsi="Times New Roman"/>
          <w:sz w:val="27"/>
          <w:szCs w:val="27"/>
          <w:u w:val="single"/>
          <w:lang w:eastAsia="lv-LV"/>
        </w:rPr>
        <w:t xml:space="preserve">Šobrīd administrējamo subjektu skaits ir apmēram 80, un šo jauno funkciju veikšanai ir nepieciešamas 2 amata slodzes.  </w:t>
      </w:r>
    </w:p>
    <w:p w14:paraId="3916A450" w14:textId="3CA58091" w:rsidR="007E0CA9"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Šobrīd nav noteikta arī administratīvā atbildība par monitoringa datu slēpšanu vai sagrozīšanu, kā arī par gada pārskatu neiesniegšanu vispārīgās ziņošanas kārtības ietvaros vai šo pārskatu datu sagrozīšanu. Līdz ar to ir paredzama arī nepieciešamība izvērtēt iespēju noteikt šādu administratīvo atbildību un izvērtēt iespēju noteikt jaunu funkciju attiecībā uz administratīv</w:t>
      </w:r>
      <w:r w:rsidR="004A45D7">
        <w:rPr>
          <w:rFonts w:ascii="Times New Roman" w:eastAsiaTheme="minorHAnsi" w:hAnsi="Times New Roman"/>
          <w:sz w:val="27"/>
          <w:szCs w:val="27"/>
          <w:lang w:eastAsia="lv-LV"/>
        </w:rPr>
        <w:t>ā</w:t>
      </w:r>
      <w:r>
        <w:rPr>
          <w:rFonts w:ascii="Times New Roman" w:eastAsiaTheme="minorHAnsi" w:hAnsi="Times New Roman"/>
          <w:sz w:val="27"/>
          <w:szCs w:val="27"/>
          <w:lang w:eastAsia="lv-LV"/>
        </w:rPr>
        <w:t xml:space="preserve"> </w:t>
      </w:r>
      <w:r w:rsidR="004A45D7">
        <w:rPr>
          <w:rFonts w:ascii="Times New Roman" w:eastAsiaTheme="minorHAnsi" w:hAnsi="Times New Roman"/>
          <w:sz w:val="27"/>
          <w:szCs w:val="27"/>
          <w:lang w:eastAsia="lv-LV"/>
        </w:rPr>
        <w:t xml:space="preserve">pārkāpuma </w:t>
      </w:r>
      <w:r>
        <w:rPr>
          <w:rFonts w:ascii="Times New Roman" w:eastAsiaTheme="minorHAnsi" w:hAnsi="Times New Roman"/>
          <w:sz w:val="27"/>
          <w:szCs w:val="27"/>
          <w:lang w:eastAsia="lv-LV"/>
        </w:rPr>
        <w:t>procesa nodrošināšanu. Minētās administratīvās atbildības nosacījumi ir izskatāmi Tieslietu ministrijas izveidotajā Latvijas Administratīvo pārkāpumu kodeksa pastāvīgajā darba grupā, un pēc tam ir iekļaujami nozaru normatīvajos aktos – Transporta enerģijas likums.</w:t>
      </w:r>
    </w:p>
    <w:p w14:paraId="2C196298" w14:textId="77777777" w:rsidR="007E0CA9" w:rsidRDefault="007E0CA9" w:rsidP="0038031A">
      <w:pPr>
        <w:spacing w:before="120" w:after="120" w:line="240" w:lineRule="auto"/>
        <w:jc w:val="both"/>
        <w:rPr>
          <w:rFonts w:ascii="Times New Roman" w:eastAsiaTheme="minorHAnsi" w:hAnsi="Times New Roman"/>
          <w:sz w:val="27"/>
          <w:szCs w:val="27"/>
          <w:lang w:eastAsia="lv-LV"/>
        </w:rPr>
      </w:pPr>
    </w:p>
    <w:p w14:paraId="7B4F8448" w14:textId="77777777" w:rsidR="0038031A" w:rsidRDefault="0038031A" w:rsidP="0038031A">
      <w:pPr>
        <w:shd w:val="clear" w:color="auto" w:fill="FFFFFF"/>
        <w:spacing w:before="120" w:after="120" w:line="240" w:lineRule="auto"/>
        <w:ind w:left="709"/>
        <w:jc w:val="both"/>
        <w:outlineLvl w:val="2"/>
        <w:rPr>
          <w:rFonts w:ascii="Times New Roman" w:eastAsia="Times New Roman" w:hAnsi="Times New Roman"/>
          <w:b/>
          <w:i/>
          <w:sz w:val="27"/>
          <w:szCs w:val="27"/>
          <w:lang w:eastAsia="lv-LV"/>
        </w:rPr>
      </w:pPr>
      <w:bookmarkStart w:id="142" w:name="_Toc531102728"/>
      <w:bookmarkStart w:id="143" w:name="_Toc530605152"/>
      <w:bookmarkStart w:id="144" w:name="_Toc530117371"/>
      <w:bookmarkStart w:id="145" w:name="_Toc8719134"/>
      <w:bookmarkStart w:id="146" w:name="_Toc8648981"/>
      <w:bookmarkStart w:id="147" w:name="_Toc5617054"/>
      <w:bookmarkStart w:id="148" w:name="_Toc5616987"/>
      <w:bookmarkStart w:id="149" w:name="_Toc5616887"/>
      <w:bookmarkStart w:id="150" w:name="_Toc5615504"/>
      <w:bookmarkStart w:id="151" w:name="_Toc2286383"/>
      <w:r>
        <w:rPr>
          <w:rFonts w:ascii="Times New Roman" w:eastAsia="Times New Roman" w:hAnsi="Times New Roman"/>
          <w:b/>
          <w:i/>
          <w:sz w:val="27"/>
          <w:szCs w:val="27"/>
          <w:lang w:eastAsia="lv-LV"/>
        </w:rPr>
        <w:t>3.3. Naftas produktu jautājumu administrēšanas</w:t>
      </w:r>
      <w:bookmarkEnd w:id="142"/>
      <w:bookmarkEnd w:id="143"/>
      <w:bookmarkEnd w:id="144"/>
      <w:r>
        <w:rPr>
          <w:rFonts w:ascii="Times New Roman" w:eastAsia="Times New Roman" w:hAnsi="Times New Roman"/>
          <w:b/>
          <w:i/>
          <w:sz w:val="27"/>
          <w:szCs w:val="27"/>
          <w:lang w:eastAsia="lv-LV"/>
        </w:rPr>
        <w:t xml:space="preserve"> funkcija</w:t>
      </w:r>
      <w:bookmarkEnd w:id="145"/>
      <w:bookmarkEnd w:id="146"/>
      <w:bookmarkEnd w:id="147"/>
      <w:bookmarkEnd w:id="148"/>
      <w:bookmarkEnd w:id="149"/>
      <w:bookmarkEnd w:id="150"/>
      <w:bookmarkEnd w:id="151"/>
    </w:p>
    <w:p w14:paraId="3492B54B"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52" w:name="_Toc5615505"/>
      <w:bookmarkStart w:id="153" w:name="_Toc531102729"/>
      <w:bookmarkStart w:id="154" w:name="_Toc530117372"/>
      <w:r>
        <w:rPr>
          <w:rFonts w:ascii="Times New Roman" w:eastAsia="Times New Roman" w:hAnsi="Times New Roman"/>
          <w:sz w:val="27"/>
          <w:szCs w:val="27"/>
          <w:u w:val="single"/>
          <w:lang w:eastAsia="lv-LV"/>
        </w:rPr>
        <w:t>Centrālās krājumu uzturēšanas struktūras funkcija</w:t>
      </w:r>
      <w:bookmarkEnd w:id="152"/>
      <w:bookmarkEnd w:id="153"/>
      <w:bookmarkEnd w:id="154"/>
    </w:p>
    <w:p w14:paraId="7B41D0E4" w14:textId="77777777" w:rsidR="0038031A" w:rsidRDefault="0038031A" w:rsidP="0038031A">
      <w:pPr>
        <w:spacing w:before="120" w:after="120" w:line="240" w:lineRule="auto"/>
        <w:jc w:val="both"/>
        <w:rPr>
          <w:rFonts w:ascii="Times New Roman" w:eastAsiaTheme="minorHAnsi" w:hAnsi="Times New Roman"/>
          <w:color w:val="000000" w:themeColor="text1"/>
          <w:sz w:val="27"/>
          <w:szCs w:val="27"/>
        </w:rPr>
      </w:pPr>
      <w:r>
        <w:rPr>
          <w:rFonts w:ascii="Times New Roman" w:eastAsiaTheme="minorHAnsi" w:hAnsi="Times New Roman"/>
          <w:color w:val="000000" w:themeColor="text1"/>
          <w:sz w:val="27"/>
          <w:szCs w:val="27"/>
        </w:rPr>
        <w:t xml:space="preserve">Latvijas </w:t>
      </w:r>
      <w:r>
        <w:rPr>
          <w:rFonts w:ascii="Times New Roman" w:eastAsiaTheme="minorHAnsi" w:hAnsi="Times New Roman"/>
          <w:sz w:val="27"/>
          <w:szCs w:val="27"/>
          <w:lang w:eastAsia="lv-LV"/>
        </w:rPr>
        <w:t>Republika</w:t>
      </w:r>
      <w:r>
        <w:rPr>
          <w:rFonts w:ascii="Times New Roman" w:eastAsiaTheme="minorHAnsi" w:hAnsi="Times New Roman"/>
          <w:color w:val="000000" w:themeColor="text1"/>
          <w:sz w:val="27"/>
          <w:szCs w:val="27"/>
        </w:rPr>
        <w:t xml:space="preserve"> uztur valsts naftas produktu drošības rezerves saskaņā ar Padomes 2009.gada 14.septembra Direktīvas 2009/119/EK, ar ko dalībvalstīm uzliek pienākumu uzturēt jēlnaftas un/vai naftas produktu obligātas rezerves prasībām (turpmāk – Padomes Direktīva 2009/119/EK), t.i. dalībvalstis Eiropas Kopienas teritorijā pastāvīgi </w:t>
      </w:r>
      <w:r>
        <w:rPr>
          <w:rFonts w:ascii="Times New Roman" w:eastAsiaTheme="minorHAnsi" w:hAnsi="Times New Roman"/>
          <w:color w:val="000000" w:themeColor="text1"/>
          <w:sz w:val="27"/>
          <w:szCs w:val="27"/>
        </w:rPr>
        <w:lastRenderedPageBreak/>
        <w:t xml:space="preserve">uztur naftas krājumu apjomu, kas atbilst vismaz dienas vidējā tīrā importa daudzumiem 90 dienām vai arī dienas vidējam iekšzemes patēriņam 61 dienai atkarībā no tā, kurš no abiem daudzumiem ir lielāks. </w:t>
      </w:r>
    </w:p>
    <w:p w14:paraId="26F7A215" w14:textId="77777777" w:rsidR="0038031A" w:rsidRDefault="0038031A" w:rsidP="0038031A">
      <w:pPr>
        <w:spacing w:before="120" w:after="120" w:line="240" w:lineRule="auto"/>
        <w:jc w:val="both"/>
        <w:rPr>
          <w:rFonts w:ascii="Times New Roman" w:eastAsiaTheme="minorHAnsi" w:hAnsi="Times New Roman"/>
          <w:color w:val="000000" w:themeColor="text1"/>
          <w:sz w:val="27"/>
          <w:szCs w:val="27"/>
        </w:rPr>
      </w:pPr>
      <w:r>
        <w:rPr>
          <w:rFonts w:ascii="Times New Roman" w:eastAsiaTheme="minorHAnsi" w:hAnsi="Times New Roman"/>
          <w:color w:val="000000" w:themeColor="text1"/>
          <w:sz w:val="27"/>
          <w:szCs w:val="27"/>
        </w:rPr>
        <w:t>No 2010.gada 1.septembra Ekonomikas ministrija kā centrālā krājumu uzturēšanas struktūra (turpmāk - CKUS) ir valsts kompetentā iestāde, kas īsteno Padomes Direktīvas 2009/119/EK nosacījumus. Enerģētikas likuma</w:t>
      </w:r>
      <w:r>
        <w:rPr>
          <w:rFonts w:ascii="Times New Roman" w:eastAsiaTheme="minorHAnsi" w:hAnsi="Times New Roman"/>
          <w:color w:val="000000" w:themeColor="text1"/>
          <w:sz w:val="27"/>
          <w:szCs w:val="27"/>
          <w:vertAlign w:val="superscript"/>
        </w:rPr>
        <w:footnoteReference w:id="26"/>
      </w:r>
      <w:r>
        <w:rPr>
          <w:rFonts w:ascii="Times New Roman" w:eastAsiaTheme="minorHAnsi" w:hAnsi="Times New Roman"/>
          <w:color w:val="000000" w:themeColor="text1"/>
          <w:sz w:val="27"/>
          <w:szCs w:val="27"/>
        </w:rPr>
        <w:t xml:space="preserve"> 72. un </w:t>
      </w:r>
      <w:hyperlink r:id="rId9" w:anchor="p72.3" w:tgtFrame="_blank" w:history="1">
        <w:r>
          <w:rPr>
            <w:rStyle w:val="Hyperlink"/>
            <w:rFonts w:ascii="Times New Roman" w:eastAsiaTheme="minorHAnsi" w:hAnsi="Times New Roman"/>
            <w:color w:val="000000" w:themeColor="text1"/>
            <w:sz w:val="27"/>
            <w:szCs w:val="27"/>
          </w:rPr>
          <w:t>72.</w:t>
        </w:r>
        <w:r>
          <w:rPr>
            <w:rStyle w:val="Hyperlink"/>
            <w:rFonts w:ascii="Times New Roman" w:eastAsiaTheme="minorHAnsi" w:hAnsi="Times New Roman"/>
            <w:color w:val="000000" w:themeColor="text1"/>
            <w:sz w:val="27"/>
            <w:szCs w:val="27"/>
            <w:vertAlign w:val="superscript"/>
          </w:rPr>
          <w:t>2</w:t>
        </w:r>
        <w:r>
          <w:rPr>
            <w:rStyle w:val="Hyperlink"/>
            <w:rFonts w:ascii="Times New Roman" w:eastAsiaTheme="minorHAnsi" w:hAnsi="Times New Roman"/>
            <w:color w:val="000000" w:themeColor="text1"/>
            <w:sz w:val="27"/>
            <w:szCs w:val="27"/>
          </w:rPr>
          <w:t> pants</w:t>
        </w:r>
      </w:hyperlink>
      <w:r>
        <w:rPr>
          <w:rFonts w:ascii="Times New Roman" w:eastAsiaTheme="minorHAnsi" w:hAnsi="Times New Roman"/>
          <w:color w:val="000000" w:themeColor="text1"/>
          <w:sz w:val="27"/>
          <w:szCs w:val="27"/>
        </w:rPr>
        <w:t xml:space="preserve"> nosaka CKUS funkcijas:</w:t>
      </w:r>
    </w:p>
    <w:p w14:paraId="0511BECC" w14:textId="77777777" w:rsidR="0038031A" w:rsidRDefault="0038031A" w:rsidP="0038031A">
      <w:pPr>
        <w:numPr>
          <w:ilvl w:val="0"/>
          <w:numId w:val="57"/>
        </w:numPr>
        <w:spacing w:before="120" w:after="120" w:line="240" w:lineRule="auto"/>
        <w:jc w:val="both"/>
        <w:rPr>
          <w:rFonts w:ascii="Times New Roman" w:eastAsiaTheme="minorHAnsi" w:hAnsi="Times New Roman"/>
          <w:color w:val="000000" w:themeColor="text1"/>
          <w:sz w:val="27"/>
          <w:szCs w:val="27"/>
          <w:lang w:eastAsia="lv-LV"/>
        </w:rPr>
      </w:pPr>
      <w:r>
        <w:rPr>
          <w:rFonts w:ascii="Times New Roman" w:eastAsiaTheme="minorHAnsi" w:hAnsi="Times New Roman"/>
          <w:color w:val="000000" w:themeColor="text1"/>
          <w:sz w:val="27"/>
          <w:szCs w:val="27"/>
          <w:lang w:eastAsia="lv-LV"/>
        </w:rPr>
        <w:t>iegādāties drošības rezervju pakalpojumu valsts naftas produktu rezervju izveidei noteiktā apjomā, lai enerģētiskās krīzes periodos tiktu nodrošināta apgāde ar naftas produktiem, ievērojot Enerģētikas likuma un publisko iepirkumu jomu regulējošos normatīvajos aktos minētās prasības;</w:t>
      </w:r>
    </w:p>
    <w:p w14:paraId="14D1504F" w14:textId="77777777" w:rsidR="0038031A" w:rsidRDefault="0038031A" w:rsidP="0038031A">
      <w:pPr>
        <w:numPr>
          <w:ilvl w:val="0"/>
          <w:numId w:val="57"/>
        </w:numPr>
        <w:spacing w:before="120" w:after="120" w:line="240" w:lineRule="auto"/>
        <w:jc w:val="both"/>
        <w:rPr>
          <w:rFonts w:ascii="Times New Roman" w:eastAsiaTheme="minorHAnsi" w:hAnsi="Times New Roman"/>
          <w:color w:val="000000" w:themeColor="text1"/>
          <w:sz w:val="27"/>
          <w:szCs w:val="27"/>
          <w:lang w:eastAsia="lv-LV"/>
        </w:rPr>
      </w:pPr>
      <w:r>
        <w:rPr>
          <w:rFonts w:ascii="Times New Roman" w:eastAsiaTheme="minorHAnsi" w:hAnsi="Times New Roman"/>
          <w:color w:val="000000" w:themeColor="text1"/>
          <w:sz w:val="27"/>
          <w:szCs w:val="27"/>
          <w:lang w:eastAsia="lv-LV"/>
        </w:rPr>
        <w:t>administrēt augstāk minēto pakalpojumu;</w:t>
      </w:r>
    </w:p>
    <w:p w14:paraId="3D02A304" w14:textId="77777777" w:rsidR="0038031A" w:rsidRDefault="0038031A" w:rsidP="0038031A">
      <w:pPr>
        <w:numPr>
          <w:ilvl w:val="0"/>
          <w:numId w:val="57"/>
        </w:numPr>
        <w:spacing w:before="120" w:after="120" w:line="240" w:lineRule="auto"/>
        <w:jc w:val="both"/>
        <w:rPr>
          <w:rFonts w:ascii="Times New Roman" w:eastAsiaTheme="minorHAnsi" w:hAnsi="Times New Roman"/>
          <w:color w:val="000000" w:themeColor="text1"/>
          <w:sz w:val="27"/>
          <w:szCs w:val="27"/>
          <w:lang w:eastAsia="lv-LV"/>
        </w:rPr>
      </w:pPr>
      <w:r>
        <w:rPr>
          <w:rFonts w:ascii="Times New Roman" w:eastAsiaTheme="minorHAnsi" w:hAnsi="Times New Roman"/>
          <w:color w:val="000000" w:themeColor="text1"/>
          <w:sz w:val="27"/>
          <w:szCs w:val="27"/>
          <w:lang w:eastAsia="lv-LV"/>
        </w:rPr>
        <w:t>administrēt valsts nodevu par drošības rezervju uzturēšanu.</w:t>
      </w:r>
    </w:p>
    <w:p w14:paraId="2934B2C3" w14:textId="77777777" w:rsidR="0038031A" w:rsidRDefault="0038031A" w:rsidP="0038031A">
      <w:pPr>
        <w:spacing w:before="120" w:after="120" w:line="240" w:lineRule="auto"/>
        <w:jc w:val="both"/>
        <w:rPr>
          <w:rFonts w:ascii="Times New Roman" w:eastAsiaTheme="minorHAnsi" w:hAnsi="Times New Roman"/>
          <w:color w:val="000000" w:themeColor="text1"/>
          <w:sz w:val="27"/>
          <w:szCs w:val="27"/>
        </w:rPr>
      </w:pPr>
      <w:r>
        <w:rPr>
          <w:rFonts w:ascii="Times New Roman" w:eastAsiaTheme="minorHAnsi" w:hAnsi="Times New Roman"/>
          <w:color w:val="000000" w:themeColor="text1"/>
          <w:sz w:val="27"/>
          <w:szCs w:val="27"/>
        </w:rPr>
        <w:t xml:space="preserve">Ekonomikas ministrijai kā CKUS funkciju pildošai iestādei ir nepieciešams organizēt virs ES līgumcenu sliekšņa iepirkumu drošības rezervju pakalpojuma sniegšanai valsts naftas produktu rezervju izveidei, </w:t>
      </w:r>
      <w:r>
        <w:rPr>
          <w:rFonts w:ascii="Times New Roman" w:eastAsiaTheme="minorHAnsi" w:hAnsi="Times New Roman"/>
          <w:color w:val="000000"/>
          <w:sz w:val="27"/>
          <w:szCs w:val="27"/>
          <w:shd w:val="clear" w:color="auto" w:fill="FFFFFF"/>
        </w:rPr>
        <w:t>piemērojot gan Publisko iepirkumu likumu, gan arī Aizsardzības un drošības jomas iepirkumu likumu</w:t>
      </w:r>
      <w:r>
        <w:rPr>
          <w:rFonts w:ascii="Times New Roman" w:eastAsiaTheme="minorHAnsi" w:hAnsi="Times New Roman"/>
          <w:color w:val="000000" w:themeColor="text1"/>
          <w:sz w:val="27"/>
          <w:szCs w:val="27"/>
        </w:rPr>
        <w:t xml:space="preserve">, kas ļauj vispārīgo vienošanos slēgt uz laiku līdz septiņiem gadiem. </w:t>
      </w:r>
    </w:p>
    <w:p w14:paraId="65BAA24D" w14:textId="77777777" w:rsidR="0038031A" w:rsidRDefault="0038031A" w:rsidP="0038031A">
      <w:pPr>
        <w:spacing w:before="120" w:after="120" w:line="240" w:lineRule="auto"/>
        <w:jc w:val="both"/>
        <w:rPr>
          <w:rFonts w:ascii="Times New Roman" w:eastAsiaTheme="minorHAnsi" w:hAnsi="Times New Roman"/>
          <w:color w:val="000000" w:themeColor="text1"/>
          <w:sz w:val="27"/>
          <w:szCs w:val="27"/>
        </w:rPr>
      </w:pPr>
      <w:r>
        <w:rPr>
          <w:rFonts w:ascii="Times New Roman" w:eastAsiaTheme="minorHAnsi" w:hAnsi="Times New Roman"/>
          <w:color w:val="000000" w:themeColor="text1"/>
          <w:sz w:val="27"/>
          <w:szCs w:val="27"/>
        </w:rPr>
        <w:t>Saskaņā ar Ministru kabineta 2011.gada 12.aprīļa noteikumu Nr.286 "Kārtība, kādā komersanti nodrošina un sniedz drošības rezervju pakalpojumu valsts naftas produktu drošības rezervju izveidei noteiktā apjomā"</w:t>
      </w:r>
      <w:r>
        <w:rPr>
          <w:rFonts w:ascii="Times New Roman" w:eastAsiaTheme="minorHAnsi" w:hAnsi="Times New Roman"/>
          <w:color w:val="000000" w:themeColor="text1"/>
          <w:sz w:val="27"/>
          <w:szCs w:val="27"/>
          <w:vertAlign w:val="superscript"/>
        </w:rPr>
        <w:footnoteReference w:id="27"/>
      </w:r>
      <w:r>
        <w:rPr>
          <w:rFonts w:ascii="Times New Roman" w:eastAsiaTheme="minorHAnsi" w:hAnsi="Times New Roman"/>
          <w:color w:val="000000" w:themeColor="text1"/>
          <w:sz w:val="27"/>
          <w:szCs w:val="27"/>
        </w:rPr>
        <w:t xml:space="preserve"> (turpmāk – Noteikumi Nr.286) nosacījumiem  Ekonomikas ministrijai ir jāizvērtē iesniegtie pieteikumi un piedāvājumi, jāpārbauda atbilstība iepirkuma nolikuma un uzaicinājuma prasībām, ja nepieciešams, jāpieprasa papildus informācija (I posma pārbaude). Pēc tam  </w:t>
      </w:r>
      <w:r>
        <w:rPr>
          <w:rFonts w:ascii="Times New Roman" w:eastAsiaTheme="minorHAnsi" w:hAnsi="Times New Roman"/>
          <w:color w:val="000000"/>
          <w:sz w:val="27"/>
          <w:szCs w:val="27"/>
          <w:shd w:val="clear" w:color="auto" w:fill="FFFFFF"/>
        </w:rPr>
        <w:t xml:space="preserve">kandidāti vai pretendenti par kuriem nav  saņemts valsts drošības iestādes atzinums, ka iepirkuma līguma noslēgšana ar kandidātu vai pretendentu var radīt draudus nacionālajai drošībai, </w:t>
      </w:r>
      <w:r>
        <w:rPr>
          <w:rFonts w:ascii="Times New Roman" w:eastAsiaTheme="minorHAnsi" w:hAnsi="Times New Roman"/>
          <w:color w:val="000000" w:themeColor="text1"/>
          <w:sz w:val="27"/>
          <w:szCs w:val="27"/>
        </w:rPr>
        <w:t xml:space="preserve">tiek uzaicināti  iesniegt tehnisko un finanšu piedāvājumu, ko arī izvērtē Ekonomikas ministrija, kā arī veic klātienes </w:t>
      </w:r>
      <w:proofErr w:type="spellStart"/>
      <w:r>
        <w:rPr>
          <w:rFonts w:ascii="Times New Roman" w:eastAsiaTheme="minorHAnsi" w:hAnsi="Times New Roman"/>
          <w:color w:val="000000" w:themeColor="text1"/>
          <w:sz w:val="27"/>
          <w:szCs w:val="27"/>
        </w:rPr>
        <w:t>pirmslīguma</w:t>
      </w:r>
      <w:proofErr w:type="spellEnd"/>
      <w:r>
        <w:rPr>
          <w:rFonts w:ascii="Times New Roman" w:eastAsiaTheme="minorHAnsi" w:hAnsi="Times New Roman"/>
          <w:color w:val="000000" w:themeColor="text1"/>
          <w:sz w:val="27"/>
          <w:szCs w:val="27"/>
        </w:rPr>
        <w:t xml:space="preserve"> slēgšanas inventarizācijas un, saņemot piedāvājumu pakalpojuma sniegšanai ārpus Latvijas Republikas teritorijas, informē tās valsts kompetento institūciju, kurā plānots nodrošināt naftas produktu drošības rezervju pakalpojuma sniegšanu, par pretendentu un plānoto naftas produktu drošības rezervju uzglabāšanas vietu un apjomu, kā arī, ja nepieciešams, sniedz citu informāciju un lūdz attiecīgo kompetento ārvalsts institūciju apstiprināt naftas produktu, (arī jēlnaftas, starpproduktu (komponentes)) un plānotās pakalpojuma sniegšanas vietas atbilstību pretendenta iesniegtajam piedāvājumam. (II posma pārbaude). Pēc tam Ekonomikas ministrija paziņo sarunu procedūras rezultātu visiem pretendentiem par </w:t>
      </w:r>
      <w:r>
        <w:rPr>
          <w:rFonts w:ascii="Times New Roman" w:eastAsiaTheme="minorHAnsi" w:hAnsi="Times New Roman"/>
          <w:color w:val="000000"/>
          <w:sz w:val="27"/>
          <w:szCs w:val="27"/>
        </w:rPr>
        <w:t>vispārīgās vienošanās un līgumu vispārīgās vienošanās ietvaros</w:t>
      </w:r>
      <w:r>
        <w:rPr>
          <w:rFonts w:ascii="Times New Roman" w:eastAsiaTheme="minorHAnsi" w:hAnsi="Times New Roman"/>
          <w:color w:val="000000" w:themeColor="text1"/>
          <w:sz w:val="27"/>
          <w:szCs w:val="27"/>
        </w:rPr>
        <w:t xml:space="preserve"> slēgšanu. </w:t>
      </w:r>
    </w:p>
    <w:p w14:paraId="43F15E68" w14:textId="77777777" w:rsidR="0038031A" w:rsidRDefault="0038031A" w:rsidP="0038031A">
      <w:pPr>
        <w:spacing w:before="120" w:after="120" w:line="240" w:lineRule="auto"/>
        <w:jc w:val="both"/>
        <w:rPr>
          <w:rFonts w:ascii="Times New Roman" w:eastAsiaTheme="minorHAnsi" w:hAnsi="Times New Roman"/>
          <w:color w:val="000000" w:themeColor="text1"/>
          <w:sz w:val="27"/>
          <w:szCs w:val="27"/>
        </w:rPr>
      </w:pPr>
      <w:r>
        <w:rPr>
          <w:rFonts w:ascii="Times New Roman" w:eastAsiaTheme="minorHAnsi" w:hAnsi="Times New Roman"/>
          <w:color w:val="000000" w:themeColor="text1"/>
          <w:sz w:val="27"/>
          <w:szCs w:val="27"/>
        </w:rPr>
        <w:t xml:space="preserve">Saskaņā ar Noteikumiem Nr.286 Ekonomikas ministrija uzrauga komersantus, ar kuriem ir noslēgti minētie līgumi vispārīgās vienošanās ietvaros (minētie komersanti katru mēnesi iesniedz Ekonomikas ministrijā pārskatu par drošības rezervju </w:t>
      </w:r>
      <w:r>
        <w:rPr>
          <w:rFonts w:ascii="Times New Roman" w:eastAsiaTheme="minorHAnsi" w:hAnsi="Times New Roman"/>
          <w:color w:val="000000" w:themeColor="text1"/>
          <w:sz w:val="27"/>
          <w:szCs w:val="27"/>
        </w:rPr>
        <w:lastRenderedPageBreak/>
        <w:t>pakalpojuma sniegšanu) un ne retāk kā reizi trijos mēnešos vismaz trīs cilvēku sastāvā veic klātienes pārbaudes un tiek izvērtēta (ne)atbilstība naftas rezervju nodrošināšanas nosacījumiem.</w:t>
      </w:r>
    </w:p>
    <w:p w14:paraId="1DBF8DFB" w14:textId="77777777" w:rsidR="0038031A" w:rsidRDefault="0038031A" w:rsidP="0038031A">
      <w:pPr>
        <w:spacing w:before="120" w:after="120" w:line="240" w:lineRule="auto"/>
        <w:jc w:val="both"/>
        <w:rPr>
          <w:rFonts w:ascii="Times New Roman" w:eastAsiaTheme="minorHAnsi" w:hAnsi="Times New Roman"/>
          <w:color w:val="000000" w:themeColor="text1"/>
          <w:sz w:val="27"/>
          <w:szCs w:val="27"/>
        </w:rPr>
      </w:pPr>
      <w:r>
        <w:rPr>
          <w:rFonts w:ascii="Times New Roman" w:eastAsiaTheme="minorHAnsi" w:hAnsi="Times New Roman"/>
          <w:color w:val="000000" w:themeColor="text1"/>
          <w:sz w:val="27"/>
          <w:szCs w:val="27"/>
        </w:rPr>
        <w:t>Pamatojoties uz Ekonomikas ministrijas veiktā iepirkuma „Drošības rezervju pakalpojuma sniegšana valsts (Latvijas Republikas) naftas produktu rezervju izveidei” (ID Nr. EM 2018/67) rezultātā pieņemto lēmumu (Iepirkuma komisijas 2018.gada 27.novembra protokols Nr.18) no 2018.gada 12.decembra līdz 2020.gada 11.decembrim administrējamo subjektu skaits būs 9, un minēto funkciju veikšanai ir nepieciešama viena amata slodze.</w:t>
      </w:r>
    </w:p>
    <w:p w14:paraId="58B693A0" w14:textId="733E9280" w:rsidR="0038031A" w:rsidRDefault="0038031A" w:rsidP="0038031A">
      <w:pPr>
        <w:spacing w:before="60" w:after="40" w:line="240" w:lineRule="auto"/>
        <w:jc w:val="both"/>
        <w:rPr>
          <w:rFonts w:ascii="Times New Roman" w:eastAsiaTheme="minorHAnsi" w:hAnsi="Times New Roman"/>
          <w:color w:val="000000" w:themeColor="text1"/>
          <w:sz w:val="27"/>
          <w:szCs w:val="27"/>
        </w:rPr>
      </w:pPr>
      <w:r>
        <w:rPr>
          <w:rFonts w:ascii="Times New Roman" w:eastAsia="Times New Roman" w:hAnsi="Times New Roman"/>
          <w:sz w:val="27"/>
          <w:szCs w:val="27"/>
          <w:lang w:eastAsia="lv-LV"/>
        </w:rPr>
        <w:t xml:space="preserve">Izveidotais naftas produktu drošības rezervju apjoms laika posmam no 2018.gada 12.decembra līdz 2020.gada 11.decembrim ir 376 544 tonnas par kopējo summu 39 321 873 </w:t>
      </w:r>
      <w:proofErr w:type="spellStart"/>
      <w:r w:rsidR="00BA3B4D" w:rsidRPr="00BA3B4D">
        <w:rPr>
          <w:rFonts w:ascii="Times New Roman" w:eastAsia="Times New Roman" w:hAnsi="Times New Roman"/>
          <w:i/>
          <w:iCs/>
          <w:sz w:val="27"/>
          <w:szCs w:val="27"/>
          <w:lang w:eastAsia="lv-LV"/>
        </w:rPr>
        <w:t>euro</w:t>
      </w:r>
      <w:proofErr w:type="spellEnd"/>
      <w:r w:rsidR="00BA3B4D">
        <w:rPr>
          <w:rFonts w:ascii="Times New Roman" w:eastAsia="Times New Roman" w:hAnsi="Times New Roman"/>
          <w:sz w:val="27"/>
          <w:szCs w:val="27"/>
          <w:lang w:eastAsia="lv-LV"/>
        </w:rPr>
        <w:t xml:space="preserve"> </w:t>
      </w:r>
      <w:r>
        <w:rPr>
          <w:rFonts w:ascii="Times New Roman" w:eastAsia="Times New Roman" w:hAnsi="Times New Roman"/>
          <w:sz w:val="27"/>
          <w:szCs w:val="27"/>
          <w:lang w:eastAsia="lv-LV"/>
        </w:rPr>
        <w:t xml:space="preserve">bez pievienotās vērtības nodokļa. Valsts naftas produktu drošības rezervēs tiks uzglabāti divi galvenie Latvijas Republikas tautsaimniecībā nepieciešamie naftas produkti – benzīns un dīzeļdegviela. </w:t>
      </w:r>
    </w:p>
    <w:p w14:paraId="6F4A38D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u w:val="single"/>
        </w:rPr>
        <w:t>Šobrīd iepriekšminēto procesu kapacitātes iespēju robežās veic Ekonomikas ministrija (Enerģētikas politikas administrēšanas departaments) pieejamās 0,5 amata slodzes ietvaros</w:t>
      </w:r>
      <w:r>
        <w:rPr>
          <w:rFonts w:ascii="Times New Roman" w:eastAsiaTheme="minorHAnsi" w:hAnsi="Times New Roman"/>
          <w:sz w:val="27"/>
          <w:szCs w:val="27"/>
        </w:rPr>
        <w:t>, un šo funkciju veikšanai ir nepieciešama vismaz 1 amata slodze.</w:t>
      </w:r>
    </w:p>
    <w:p w14:paraId="0D746B07"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55" w:name="_Toc5615506"/>
      <w:bookmarkStart w:id="156" w:name="_Toc531102730"/>
      <w:bookmarkStart w:id="157" w:name="_Toc530117373"/>
      <w:r>
        <w:rPr>
          <w:rFonts w:ascii="Times New Roman" w:eastAsia="Times New Roman" w:hAnsi="Times New Roman"/>
          <w:sz w:val="27"/>
          <w:szCs w:val="27"/>
          <w:u w:val="single"/>
          <w:lang w:eastAsia="lv-LV"/>
        </w:rPr>
        <w:t>Valsts naftas produktu drošības rezervju nodevas administrēšana</w:t>
      </w:r>
      <w:bookmarkEnd w:id="155"/>
      <w:bookmarkEnd w:id="156"/>
      <w:bookmarkEnd w:id="157"/>
    </w:p>
    <w:p w14:paraId="463A9F05"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Enerģētikas likumā ir noteikts, ka attiecīgie komersanti maksā valsts nodevu par naftas produktu drošības rezervju uzturēšanu par kopējo naftas produktu drošības rezervju apjomu, kas atbilst tīrā importa dienas vidējam daudzumam 90 dienām iepriekšējā kalendāra gadā. Nodevu aprēķina saskaņā ar Noteikumos Nr.286 noteikto kārtību.</w:t>
      </w:r>
    </w:p>
    <w:p w14:paraId="51F3547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Ekonomikas ministrija kontrolē valsts nodevas samaksu Valsts kases norēķina kontos katru mēnesi, kā arī apkopo Naftas produktu informācijas sistēmas (NAPRO) informāciju par naftas produktu apjomiem. Valsts ieņēmumu dienests nodrošina NAPRO, kuras pārzinis ir Ekonomikas ministrija, informācijas pieejamību Ekonomikas ministrijai datu pārraides tiešsaistes režīmā par komersantu patēriņam nodoto, saražoto, Latvijā realizēto, savam patēriņam izlietoto, kā arī uz citām ES dalībvalstīm izvesto un uz trešajām valstīm eksportēto naftas produktu apjomu iepriekšējā mēnesī.  Attiecīgajos gadījumos Ekonomikas ministrija aprēķina valsts nodevas pamatsummas un nokavējuma naudas par nesamaksāto valsts nodevu apmērus un pieņem lēmumu par maksājumu piemērošanu. Ekonomikas ministrija pēc tam arī kontrolē lēmuma izpildi un tā neizpildes gadījumā zvērinātam tiesu izpildītājam nosūta </w:t>
      </w:r>
      <w:proofErr w:type="spellStart"/>
      <w:r>
        <w:rPr>
          <w:rFonts w:ascii="Times New Roman" w:eastAsiaTheme="minorHAnsi" w:hAnsi="Times New Roman"/>
          <w:sz w:val="27"/>
          <w:szCs w:val="27"/>
        </w:rPr>
        <w:t>izpildrīkojumu</w:t>
      </w:r>
      <w:proofErr w:type="spellEnd"/>
      <w:r>
        <w:rPr>
          <w:rFonts w:ascii="Times New Roman" w:eastAsiaTheme="minorHAnsi" w:hAnsi="Times New Roman"/>
          <w:sz w:val="27"/>
          <w:szCs w:val="27"/>
        </w:rPr>
        <w:t xml:space="preserve"> par naudas piedziņu.</w:t>
      </w:r>
    </w:p>
    <w:p w14:paraId="7EFD18CC"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Šobrīd administrējamo subjektu skaits ir 62 komersanti, un mēnesī tiek pieņemti 4-5 lēmumi. </w:t>
      </w:r>
    </w:p>
    <w:p w14:paraId="4EAD3EB2" w14:textId="2E5A8EFC"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u w:val="single"/>
        </w:rPr>
        <w:t>Šobrīd minēto procesu kapacitātes iespēju robežās veic Ekonomikas ministrija (Enerģētikas politikas administrēšanas departaments) pieejamās 0,5 amata slodzes ietvaros</w:t>
      </w:r>
      <w:r>
        <w:rPr>
          <w:rFonts w:ascii="Times New Roman" w:eastAsiaTheme="minorHAnsi" w:hAnsi="Times New Roman"/>
          <w:sz w:val="27"/>
          <w:szCs w:val="27"/>
        </w:rPr>
        <w:t>, un šo funkciju veikšanai ir nepieciešama vismaz 1 amata slodze.</w:t>
      </w:r>
    </w:p>
    <w:p w14:paraId="632C260C" w14:textId="77777777" w:rsidR="00DB3E69" w:rsidRDefault="00DB3E69" w:rsidP="0038031A">
      <w:pPr>
        <w:spacing w:before="120" w:after="120" w:line="240" w:lineRule="auto"/>
        <w:jc w:val="both"/>
        <w:rPr>
          <w:rFonts w:ascii="Times New Roman" w:eastAsiaTheme="minorHAnsi" w:hAnsi="Times New Roman"/>
          <w:sz w:val="27"/>
          <w:szCs w:val="27"/>
        </w:rPr>
      </w:pPr>
    </w:p>
    <w:p w14:paraId="674B24C7"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58" w:name="_Toc5615507"/>
      <w:bookmarkStart w:id="159" w:name="_Toc531102731"/>
      <w:bookmarkStart w:id="160" w:name="_Toc530117374"/>
      <w:r>
        <w:rPr>
          <w:rFonts w:ascii="Times New Roman" w:eastAsia="Times New Roman" w:hAnsi="Times New Roman"/>
          <w:sz w:val="27"/>
          <w:szCs w:val="27"/>
          <w:u w:val="single"/>
          <w:lang w:eastAsia="lv-LV"/>
        </w:rPr>
        <w:lastRenderedPageBreak/>
        <w:t>Ogļūdeņražu meklēšanas, ogļūdeņražu izpētes un ieguves licenču administrēšana</w:t>
      </w:r>
      <w:bookmarkEnd w:id="158"/>
      <w:bookmarkEnd w:id="159"/>
      <w:bookmarkEnd w:id="160"/>
    </w:p>
    <w:p w14:paraId="48CED8A2"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Likums “Par zemes dzīlēm”</w:t>
      </w:r>
      <w:r>
        <w:rPr>
          <w:rFonts w:ascii="Times New Roman" w:eastAsiaTheme="minorHAnsi" w:hAnsi="Times New Roman"/>
          <w:sz w:val="27"/>
          <w:szCs w:val="27"/>
          <w:vertAlign w:val="superscript"/>
          <w:lang w:eastAsia="lv-LV"/>
        </w:rPr>
        <w:footnoteReference w:id="28"/>
      </w:r>
      <w:r>
        <w:rPr>
          <w:rFonts w:ascii="Times New Roman" w:eastAsiaTheme="minorHAnsi" w:hAnsi="Times New Roman"/>
          <w:sz w:val="27"/>
          <w:szCs w:val="27"/>
          <w:lang w:eastAsia="lv-LV"/>
        </w:rPr>
        <w:t xml:space="preserve"> noteic, ka Ekonomikas ministrija izsniedz ogļūdeņražu meklēšanas, izpētes un ieguves licences, kā arī veic ogļūdeņražu meklēšanas, izpētes un ieguves administratīvo pārraudzību Ministru kabineta 2015.gada 22.decembra noteikumos Nr.805 “Noteikumi par ogļūdeņražu meklēšanu, izpēti un ieguvi”</w:t>
      </w:r>
      <w:r>
        <w:rPr>
          <w:rFonts w:ascii="Times New Roman" w:eastAsiaTheme="minorHAnsi" w:hAnsi="Times New Roman"/>
          <w:sz w:val="27"/>
          <w:szCs w:val="27"/>
          <w:vertAlign w:val="superscript"/>
          <w:lang w:eastAsia="lv-LV"/>
        </w:rPr>
        <w:footnoteReference w:id="29"/>
      </w:r>
      <w:r>
        <w:rPr>
          <w:rFonts w:ascii="Times New Roman" w:eastAsiaTheme="minorHAnsi" w:hAnsi="Times New Roman"/>
          <w:sz w:val="27"/>
          <w:szCs w:val="27"/>
          <w:lang w:eastAsia="lv-LV"/>
        </w:rPr>
        <w:t xml:space="preserve"> (turpmāk – Noteikumi Nr.805), noteiktajā kārtībā un saskaņā ar Eiropas Parlamenta un Padomes 1994.gada 30.maija Direktīvā 94/22/EEK par atļauju piešķiršanas un izmantošanas noteikumiem ogļūdeņražu meklēšanai, izpētei un ieguvei, kā arī Eiropas Parlamenta un Padomes 2013.gada 12.jūnija Direktīvā 2013/30/ES par to darbību drošumu, kas saistītas ar naftas un gāzes nozares darbībām jūrā, un ar kuru groza Direktīvu 2004/35/EK, noteikto.</w:t>
      </w:r>
    </w:p>
    <w:p w14:paraId="42599FBC"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Ogļūdeņražu meklēšanas licences saņemšanai pretendents iesniedz Ekonomikas ministrijā iesniegumu un tam klāt pievienotos dokumentus, ko Ekonomikas ministrijai ir jāizvērtē un jāpieņem lēmums par licences izsniegšanu vai par iesnieguma noraidīšanu un šis lēmums ir </w:t>
      </w:r>
      <w:proofErr w:type="spellStart"/>
      <w:r>
        <w:rPr>
          <w:rFonts w:ascii="Times New Roman" w:eastAsiaTheme="minorHAnsi" w:hAnsi="Times New Roman"/>
          <w:sz w:val="27"/>
          <w:szCs w:val="27"/>
          <w:lang w:eastAsia="lv-LV"/>
        </w:rPr>
        <w:t>jānosūta</w:t>
      </w:r>
      <w:proofErr w:type="spellEnd"/>
      <w:r>
        <w:rPr>
          <w:rFonts w:ascii="Times New Roman" w:eastAsiaTheme="minorHAnsi" w:hAnsi="Times New Roman"/>
          <w:sz w:val="27"/>
          <w:szCs w:val="27"/>
          <w:lang w:eastAsia="lv-LV"/>
        </w:rPr>
        <w:t xml:space="preserve"> Valsts vides dienestam, valsts SIA “Latvijas Vides, ģeoloģijas un meteoroloģijas centrs” un attiecīgajos gadījumos arī Karsta apsardzes dienestam un valsts aģentūrai “Latvijas Jūras administrācija”.</w:t>
      </w:r>
    </w:p>
    <w:p w14:paraId="0351C3D2"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Ogļūdeņražu izpētes un ieguves licences saņemšanai pretendents iesniedz Ekonomikas ministrijā iesniegumu un tam klāt pievienotos dokumentus, ko pēc tam izskata licencēšanas komisija, kurā ir iekļauti pārstāvji no Ekonomikas ministrijas, Latvijas Pašvaldību savienības, Vides aizsardzības un reģionālās attīstības ministrijas, BVKB, un licencēšanas komisijas priekšsēdētājs un komisijas priekšsēdētāja vietnieks ir Ekonomikas ministrijas pārstāvji. Ekonomikas ministrija organizē minētās komisijas sēdes, kā arī pēc tām sagatavo sēdes protokolu un nodrošina tā saskaņošanu. Ekonomikas ministrija arī sagatavo lēmumu projektus par licences izsniegšanu vai atteikumu to izsniegt. Minēto lēmumu Ekonomikas ministrijai ir </w:t>
      </w:r>
      <w:proofErr w:type="spellStart"/>
      <w:r>
        <w:rPr>
          <w:rFonts w:ascii="Times New Roman" w:eastAsiaTheme="minorHAnsi" w:hAnsi="Times New Roman"/>
          <w:sz w:val="27"/>
          <w:szCs w:val="27"/>
          <w:lang w:eastAsia="lv-LV"/>
        </w:rPr>
        <w:t>jānosūta</w:t>
      </w:r>
      <w:proofErr w:type="spellEnd"/>
      <w:r>
        <w:rPr>
          <w:rFonts w:ascii="Times New Roman" w:eastAsiaTheme="minorHAnsi" w:hAnsi="Times New Roman"/>
          <w:sz w:val="27"/>
          <w:szCs w:val="27"/>
          <w:lang w:eastAsia="lv-LV"/>
        </w:rPr>
        <w:t xml:space="preserve"> Valsts vides dienestam, valsts SIA “Latvijas Vides, ģeoloģijas un meteoroloģijas centrs”, BVKB un attiecīgajos gadījumos arī Krasta apsardzes dienestam un valsts aģentūrai “Latvijas Jūras administrācija”.</w:t>
      </w:r>
    </w:p>
    <w:p w14:paraId="72D1FE91"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Gadījumā, ja Ministru kabinets ir izdevis rīkojumu par licences laukuma noteikšanu ogļūdeņražu izpētei un ieguvei jūrā, valsts vai pašvaldību īpašumā esošajos nekustamajos īpašumos, Ekonomikas ministrija izsludina licencēšanas konkursu un publicē uzaicinājumu Latvijas Republikas oficiālajā izdevumā “Latvijas Vēstnesis” (turpmāk – Latvijas Vēstnesis) un ES Oficiālajā Vēstnesī piedalīties konkursā par pieteikšanos uz licenci ogļūdeņražu meklēšanai. Šim konkursam Ekonomikas ministrija izstrādā un apstiprina konkursa nolikumu</w:t>
      </w:r>
      <w:r>
        <w:rPr>
          <w:rFonts w:ascii="Times New Roman" w:eastAsiaTheme="minorHAnsi" w:hAnsi="Times New Roman"/>
          <w:sz w:val="27"/>
          <w:szCs w:val="27"/>
        </w:rPr>
        <w:t xml:space="preserve"> un ko</w:t>
      </w:r>
      <w:r>
        <w:rPr>
          <w:rFonts w:ascii="Times New Roman" w:eastAsiaTheme="minorHAnsi" w:hAnsi="Times New Roman"/>
          <w:sz w:val="27"/>
          <w:szCs w:val="27"/>
          <w:lang w:eastAsia="lv-LV"/>
        </w:rPr>
        <w:t xml:space="preserve">nkursa nolikumam pievieno kopdarbības līguma projektu, kuru sagatavo Ekonomikas ministrija, un publicē nolikuma kritērijus Latvijas Vēstnesī, savukārt  atsauci uz publikāciju Latvijas Vēstnesī publicē ES Oficiālajā Vēstnesī. Pretendenta iesniegto iesniegumu un tam klāt pievienotos dokumentus, tai skaitā minimālo ogļūdeņražu izpētes darba programmu, </w:t>
      </w:r>
      <w:r>
        <w:rPr>
          <w:rFonts w:ascii="Times New Roman" w:eastAsiaTheme="minorHAnsi" w:hAnsi="Times New Roman"/>
          <w:sz w:val="27"/>
          <w:szCs w:val="27"/>
          <w:lang w:eastAsia="lv-LV"/>
        </w:rPr>
        <w:lastRenderedPageBreak/>
        <w:t>izskata iepriekšminētā licencēšanas komisija, kas pēc tam pieņem lēmumu par konkursa uzvarētāju. Savukārt, ja konkurss beidzas bez rezultāta, Ekonomikas ministrijai ir jānodrošina jauna konkursa rīkošana.</w:t>
      </w:r>
    </w:p>
    <w:p w14:paraId="7D1FF21E"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Pretendents arī iesniedz iesniegumu un tam klāt pievienotos dokumentus izmaiņu veikšanai minimālajā ogļūdeņražu izpētes darbu programmā, ko pēc tam izvērtē licencēšanas komisija. Ekonomikas ministrija pieņem lēmumu par izmaiņu veikšanu licencē.</w:t>
      </w:r>
    </w:p>
    <w:p w14:paraId="4D9859F7"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Pretendents iesniedz iesniegumu un tam klāt pievienotos dokumentus, lai saņemtu ogļūdeņražu izpētes un ieguves licenci nekustamajos īpašumos, kas nav valsts vai pašvaldību īpašums, Ekonomikas ministrijā, kas pēc tam pārbauda iesniegto informāciju un pieņem lēmumu par licences izsniegšanu vai lēmumu noraidīt iesniegumu.</w:t>
      </w:r>
    </w:p>
    <w:p w14:paraId="68C03650"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Ja licences saņēmējs (par nekustamajiem īpašumiem, kas nav valsts vai pašvaldību īpašums) vēlas nodot savu licenci vai tās daļu trešajai personai, tas iesniedz attiecīgo iesniegumu un tam klāt pievienotos dokumentos Ekonomikas ministrijā, kas pēc iesnieguma un dokumentu izvērtēšanas pieņem lēmumu par licences izsniegšanu vai lēmumu par iesnieguma noraidīšanu. Ja licences saņēmējs (par nekustamajiem īpašumiem, kas ir valsts un pašvaldību īpašums, vai jūrā) vēlas nodot savu licenci vai tās daļu trešajai personai, tā iesniedz attiecīgo iesniegumu un tam klāt pievienotos dokumentos Ekonomikas ministrijā, un to izskata licencēšanas komisija kas pēc iesnieguma un dokumentu izvērtēšanas pieņem lēmumu par licences izsniegšanu vai lēmumu par iesnieguma noraidīšanu.</w:t>
      </w:r>
    </w:p>
    <w:p w14:paraId="30F0963F"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Šobrīd nav noteikts administrējamo subjektu skaits, līdz ar to nav iespējams izvērtēt funkciju veikšanai nepieciešamās amata slodzes. Tomēr ir nepieciešams nodrošināt vismaz 0,5 amata slodze šo funkciju nodrošināšanai.</w:t>
      </w:r>
    </w:p>
    <w:p w14:paraId="18C0BA0B" w14:textId="77777777" w:rsidR="0038031A" w:rsidRDefault="0038031A" w:rsidP="0038031A">
      <w:pPr>
        <w:numPr>
          <w:ilvl w:val="3"/>
          <w:numId w:val="48"/>
        </w:numPr>
        <w:spacing w:before="120" w:after="120" w:line="240" w:lineRule="auto"/>
        <w:ind w:left="993" w:hanging="993"/>
        <w:jc w:val="both"/>
        <w:outlineLvl w:val="3"/>
        <w:rPr>
          <w:rFonts w:ascii="Times New Roman" w:eastAsia="Times New Roman" w:hAnsi="Times New Roman"/>
          <w:sz w:val="27"/>
          <w:szCs w:val="27"/>
          <w:u w:val="single"/>
          <w:lang w:eastAsia="lv-LV"/>
        </w:rPr>
      </w:pPr>
      <w:bookmarkStart w:id="161" w:name="_Toc5615508"/>
      <w:bookmarkStart w:id="162" w:name="_Toc531102732"/>
      <w:bookmarkStart w:id="163" w:name="_Toc530117375"/>
      <w:r>
        <w:rPr>
          <w:rFonts w:ascii="Times New Roman" w:eastAsia="Times New Roman" w:hAnsi="Times New Roman"/>
          <w:sz w:val="27"/>
          <w:szCs w:val="27"/>
          <w:u w:val="single"/>
          <w:lang w:eastAsia="lv-LV"/>
        </w:rPr>
        <w:t>Ogļūdeņražu meklēšanas, izpētes un ieguves licences laukumu noteikšana</w:t>
      </w:r>
      <w:bookmarkEnd w:id="161"/>
      <w:bookmarkEnd w:id="162"/>
      <w:bookmarkEnd w:id="163"/>
    </w:p>
    <w:p w14:paraId="34ADF297"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Saskaņā ar Noteikumiem Nr.805 komersants var iesniegt iesniegumu un tam klāt pievienotos dokumentus ar ierosinājumu par licences laukuma noteikšanu vai palielināšanu. Ekonomikas ministrija attiecīgo iesniegumu un tam klāt pievienotos dokumentus izvērtē un pieņem lēmumu par iesnieguma noraidīšanu vai sagatavo Ministru kabineta rīkojuma projektu par licences laukuma noteikšanu vai palielināšanu. Attiecīgo Ministru kabineta rīkojumu projektu saskaņo un apstiprina Ministru kabineta 2009.gada 7.aprīļa noteikumu Nr.300 “Ministru kabineta kārtības rullis”</w:t>
      </w:r>
      <w:r>
        <w:rPr>
          <w:rFonts w:ascii="Times New Roman" w:eastAsiaTheme="minorHAnsi" w:hAnsi="Times New Roman"/>
          <w:sz w:val="27"/>
          <w:szCs w:val="27"/>
          <w:vertAlign w:val="superscript"/>
          <w:lang w:eastAsia="lv-LV"/>
        </w:rPr>
        <w:footnoteReference w:id="30"/>
      </w:r>
      <w:r>
        <w:rPr>
          <w:rFonts w:ascii="Times New Roman" w:eastAsiaTheme="minorHAnsi" w:hAnsi="Times New Roman"/>
          <w:sz w:val="27"/>
          <w:szCs w:val="27"/>
          <w:lang w:eastAsia="lv-LV"/>
        </w:rPr>
        <w:t xml:space="preserve"> noteiktajā kārtībā. Ekonomikas ministrija pēc Ministru kabineta rīkojuma apstiprināšanas Ministru kabinetā par to informē komersantu.</w:t>
      </w:r>
    </w:p>
    <w:p w14:paraId="10406659"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Arī Ekonomikas ministrija var rosināt licences laukuma noteikšanu un tādā gadījumā arī sagatavo Ministru kabineta rīkojuma projektu par licences laukuma noteikšanu vai palielināšanu. Attiecīgo Ministru kabineta rīkojumu projektu saskaņo un apstiprina Ministru kabineta 2009.gada 7.aprīļa noteikumu Nr.300 “Ministru kabineta kārtības rullis” noteiktajā kārtībā. Pēc Ministru kabineta rīkojuma apstiprināšanas Ministru kabinetā Ekonomikas ministrija publicē uzaicinājumu Latvijas Vēstnesī un ES </w:t>
      </w:r>
      <w:r>
        <w:rPr>
          <w:rFonts w:ascii="Times New Roman" w:eastAsiaTheme="minorHAnsi" w:hAnsi="Times New Roman"/>
          <w:sz w:val="27"/>
          <w:szCs w:val="27"/>
          <w:lang w:eastAsia="lv-LV"/>
        </w:rPr>
        <w:lastRenderedPageBreak/>
        <w:t>Oficiālajā Vēstnesī piedalīties konkursā par pieteikšanos uz licenci ogļūdeņražu meklēšanai.</w:t>
      </w:r>
    </w:p>
    <w:p w14:paraId="11A30F7E" w14:textId="77777777" w:rsidR="0038031A" w:rsidRDefault="0038031A" w:rsidP="0038031A">
      <w:pPr>
        <w:spacing w:before="120" w:line="254" w:lineRule="auto"/>
        <w:jc w:val="both"/>
        <w:rPr>
          <w:rFonts w:ascii="Times New Roman" w:eastAsiaTheme="minorHAnsi" w:hAnsi="Times New Roman"/>
          <w:sz w:val="27"/>
          <w:szCs w:val="27"/>
        </w:rPr>
      </w:pPr>
      <w:r>
        <w:rPr>
          <w:rFonts w:ascii="Times New Roman" w:eastAsiaTheme="minorHAnsi" w:hAnsi="Times New Roman"/>
          <w:sz w:val="27"/>
          <w:szCs w:val="27"/>
          <w:lang w:eastAsia="lv-LV"/>
        </w:rPr>
        <w:t xml:space="preserve">Šobrīd </w:t>
      </w:r>
      <w:r>
        <w:rPr>
          <w:rFonts w:ascii="Times New Roman" w:eastAsiaTheme="minorHAnsi" w:hAnsi="Times New Roman"/>
          <w:sz w:val="27"/>
          <w:szCs w:val="27"/>
        </w:rPr>
        <w:t xml:space="preserve">administrējamo subjektu skaits ir apmēram 3-5 komersanti gadā.  </w:t>
      </w:r>
    </w:p>
    <w:p w14:paraId="3796203A" w14:textId="77777777" w:rsidR="0038031A" w:rsidRDefault="0038031A" w:rsidP="0038031A">
      <w:pPr>
        <w:spacing w:before="120" w:after="120" w:line="240" w:lineRule="auto"/>
        <w:jc w:val="both"/>
        <w:rPr>
          <w:rFonts w:ascii="Times New Roman" w:eastAsiaTheme="minorHAnsi" w:hAnsi="Times New Roman"/>
          <w:sz w:val="27"/>
          <w:szCs w:val="27"/>
          <w:u w:val="single"/>
        </w:rPr>
      </w:pPr>
      <w:r>
        <w:rPr>
          <w:rFonts w:ascii="Times New Roman" w:eastAsiaTheme="minorHAnsi" w:hAnsi="Times New Roman"/>
          <w:sz w:val="27"/>
          <w:szCs w:val="27"/>
          <w:u w:val="single"/>
        </w:rPr>
        <w:t>Šobrīd  ogļūdeņražu meklēšanas, ogļūdeņražu izpētes un ieguves licenču administrēšanas un ogļūdeņražu meklēšanas, izpētes un ieguves licences laukumu noteikšanas procesus kapacitātes iespēju robežās veic Ekonomikas ministrija (Enerģētikas politikas administrēšanas departaments) pieejamās 0,5 amata slodzes ietvaros</w:t>
      </w:r>
      <w:r>
        <w:rPr>
          <w:rFonts w:ascii="Times New Roman" w:eastAsiaTheme="minorHAnsi" w:hAnsi="Times New Roman"/>
          <w:sz w:val="27"/>
          <w:szCs w:val="27"/>
        </w:rPr>
        <w:t>, un šo funkciju veikšanai ir nepieciešama vismaz 1 amata slodze.</w:t>
      </w:r>
    </w:p>
    <w:p w14:paraId="155F278A" w14:textId="77777777" w:rsidR="0038031A" w:rsidRDefault="0038031A" w:rsidP="0038031A">
      <w:pPr>
        <w:rPr>
          <w:rFonts w:ascii="Times New Roman" w:eastAsiaTheme="minorHAnsi" w:hAnsi="Times New Roman"/>
          <w:sz w:val="27"/>
          <w:szCs w:val="27"/>
          <w:lang w:eastAsia="lv-LV"/>
        </w:rPr>
      </w:pPr>
      <w:bookmarkStart w:id="164" w:name="_Toc8719135"/>
      <w:bookmarkStart w:id="165" w:name="_Toc8648982"/>
      <w:bookmarkStart w:id="166" w:name="_Toc5617056"/>
      <w:bookmarkStart w:id="167" w:name="_Toc5616989"/>
      <w:bookmarkStart w:id="168" w:name="_Toc5616889"/>
      <w:bookmarkStart w:id="169" w:name="_Toc5615510"/>
      <w:bookmarkStart w:id="170" w:name="_Toc2286385"/>
      <w:bookmarkStart w:id="171" w:name="_Toc531102735"/>
      <w:bookmarkStart w:id="172" w:name="_Toc530605154"/>
      <w:bookmarkStart w:id="173" w:name="_Toc530117378"/>
    </w:p>
    <w:p w14:paraId="7E7CA422" w14:textId="77777777" w:rsidR="0038031A" w:rsidRDefault="0038031A" w:rsidP="0038031A">
      <w:pPr>
        <w:pStyle w:val="Heading1"/>
        <w:rPr>
          <w:rFonts w:eastAsiaTheme="minorHAnsi"/>
          <w:bCs/>
          <w:sz w:val="27"/>
          <w:szCs w:val="27"/>
          <w:u w:val="single"/>
          <w:lang w:eastAsia="lv-LV"/>
        </w:rPr>
      </w:pPr>
      <w:bookmarkStart w:id="174" w:name="_Toc9267423"/>
      <w:bookmarkStart w:id="175" w:name="_Toc13152098"/>
      <w:r>
        <w:rPr>
          <w:rFonts w:eastAsiaTheme="minorHAnsi"/>
          <w:sz w:val="27"/>
          <w:szCs w:val="27"/>
          <w:u w:val="single"/>
          <w:lang w:eastAsia="lv-LV"/>
        </w:rPr>
        <w:t>4. Risinājumi enerģētikas politikas īstenošanas funkciju veikšanai</w:t>
      </w:r>
      <w:bookmarkEnd w:id="164"/>
      <w:bookmarkEnd w:id="165"/>
      <w:bookmarkEnd w:id="166"/>
      <w:bookmarkEnd w:id="167"/>
      <w:bookmarkEnd w:id="168"/>
      <w:bookmarkEnd w:id="169"/>
      <w:bookmarkEnd w:id="170"/>
      <w:bookmarkEnd w:id="171"/>
      <w:bookmarkEnd w:id="172"/>
      <w:bookmarkEnd w:id="173"/>
      <w:bookmarkEnd w:id="174"/>
      <w:bookmarkEnd w:id="175"/>
    </w:p>
    <w:p w14:paraId="0EB1A5B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Ņemot vērā ziņojuma II sadaļas 1.-3.punktā minētās funkcijas un uzdevumus uz doto brīdi ir noteikta situācija, kad Ekonomikas ministrija vienlaikus izstrādā enerģētikas politiku un tās nosacījumus, ievieš un īsteno enerģētikas politikas nosacījumus, uzrauga un kontrolē enerģētikas politikas ieviešanas un īstenošanas nosacījumu izpildi, kā arī vienlaikus piemēro Latvijas</w:t>
      </w:r>
      <w:r>
        <w:rPr>
          <w:rFonts w:ascii="Times New Roman" w:eastAsiaTheme="minorHAnsi" w:hAnsi="Times New Roman"/>
          <w:sz w:val="27"/>
          <w:szCs w:val="27"/>
          <w:lang w:eastAsia="lv-LV"/>
        </w:rPr>
        <w:t xml:space="preserve"> Republikas</w:t>
      </w:r>
      <w:r>
        <w:rPr>
          <w:rFonts w:ascii="Times New Roman" w:eastAsiaTheme="minorHAnsi" w:hAnsi="Times New Roman"/>
          <w:sz w:val="27"/>
          <w:szCs w:val="27"/>
        </w:rPr>
        <w:t xml:space="preserve"> normatīvajos aktos noteiktos maksājumus vai nodevas par kāda no minēto nosacījumu neīstenošanu vai nepildīšanu.</w:t>
      </w:r>
    </w:p>
    <w:p w14:paraId="50300107"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Ņemot vērā ziņojuma II sadaļas 1.-3.punktā minētās funkcijas ir secināms, ka ir nepieciešamas jaunu amata slodžu izveide minēto pienākumu kvalitatīvai izpildei. Kā arī ir secināms, ka palielināsies administratīvais slogs šo jauno pienākumu izteikšanai un amata slodžu izveidei.</w:t>
      </w:r>
    </w:p>
    <w:p w14:paraId="5CA43A50" w14:textId="77777777" w:rsidR="0038031A" w:rsidRDefault="0038031A" w:rsidP="0038031A">
      <w:pPr>
        <w:spacing w:before="120" w:after="120" w:line="240" w:lineRule="auto"/>
        <w:jc w:val="both"/>
        <w:rPr>
          <w:rFonts w:ascii="Times New Roman" w:eastAsiaTheme="minorHAnsi" w:hAnsi="Times New Roman"/>
          <w:sz w:val="27"/>
          <w:szCs w:val="27"/>
        </w:rPr>
      </w:pPr>
    </w:p>
    <w:p w14:paraId="235E07ED" w14:textId="77777777" w:rsidR="0038031A" w:rsidRDefault="0038031A" w:rsidP="0038031A">
      <w:pPr>
        <w:shd w:val="clear" w:color="auto" w:fill="FFFFFF"/>
        <w:spacing w:before="120" w:after="120" w:line="240" w:lineRule="auto"/>
        <w:ind w:left="567"/>
        <w:jc w:val="both"/>
        <w:outlineLvl w:val="1"/>
        <w:rPr>
          <w:rFonts w:ascii="Times New Roman" w:eastAsia="Times New Roman" w:hAnsi="Times New Roman"/>
          <w:b/>
          <w:bCs/>
          <w:i/>
          <w:sz w:val="27"/>
          <w:szCs w:val="27"/>
          <w:lang w:eastAsia="lv-LV"/>
        </w:rPr>
      </w:pPr>
      <w:bookmarkStart w:id="176" w:name="_Toc530605155"/>
      <w:bookmarkStart w:id="177" w:name="_Toc530117379"/>
      <w:bookmarkStart w:id="178" w:name="_Toc5617087"/>
      <w:bookmarkStart w:id="179" w:name="_Toc5617057"/>
      <w:bookmarkStart w:id="180" w:name="_Toc5616990"/>
      <w:bookmarkStart w:id="181" w:name="_Toc5616890"/>
      <w:bookmarkStart w:id="182" w:name="_Toc5615511"/>
      <w:bookmarkStart w:id="183" w:name="_Toc2286386"/>
      <w:bookmarkStart w:id="184" w:name="_Toc531102736"/>
      <w:r>
        <w:rPr>
          <w:rFonts w:ascii="Times New Roman" w:eastAsia="Times New Roman" w:hAnsi="Times New Roman"/>
          <w:b/>
          <w:bCs/>
          <w:i/>
          <w:sz w:val="27"/>
          <w:szCs w:val="27"/>
          <w:lang w:eastAsia="lv-LV"/>
        </w:rPr>
        <w:t>Funkciju veikšanas turpināšana Ekonomikas ministrijā</w:t>
      </w:r>
      <w:bookmarkEnd w:id="176"/>
      <w:bookmarkEnd w:id="177"/>
      <w:r>
        <w:rPr>
          <w:rFonts w:ascii="Times New Roman" w:eastAsia="Times New Roman" w:hAnsi="Times New Roman"/>
          <w:b/>
          <w:bCs/>
          <w:i/>
          <w:sz w:val="27"/>
          <w:szCs w:val="27"/>
          <w:lang w:eastAsia="lv-LV"/>
        </w:rPr>
        <w:t xml:space="preserve"> – 1.risinājums</w:t>
      </w:r>
      <w:bookmarkEnd w:id="178"/>
      <w:bookmarkEnd w:id="179"/>
      <w:bookmarkEnd w:id="180"/>
      <w:bookmarkEnd w:id="181"/>
      <w:bookmarkEnd w:id="182"/>
      <w:bookmarkEnd w:id="183"/>
      <w:bookmarkEnd w:id="184"/>
    </w:p>
    <w:p w14:paraId="6962C20C" w14:textId="77777777" w:rsidR="0038031A" w:rsidRDefault="0038031A" w:rsidP="0038031A">
      <w:pPr>
        <w:jc w:val="both"/>
        <w:rPr>
          <w:rFonts w:ascii="Times New Roman" w:eastAsiaTheme="minorHAnsi" w:hAnsi="Times New Roman"/>
          <w:sz w:val="27"/>
          <w:szCs w:val="27"/>
        </w:rPr>
      </w:pPr>
      <w:r>
        <w:rPr>
          <w:rFonts w:ascii="Times New Roman" w:eastAsiaTheme="minorHAnsi" w:hAnsi="Times New Roman"/>
          <w:sz w:val="27"/>
          <w:szCs w:val="27"/>
        </w:rPr>
        <w:t>Jau šobrīd Ekonomikas ministrija ir noteikta kā atbildīgā ministrija (kompetentā iestāde) vairāku Ziņojuma II sadaļas 1.-3.punktā minēto funkciju veikšanā, un šīs funkcijas tiek veiktas esošās kapacitātes un esošā finansējuma ietvaros. Šobrīd Ekonomikas ministrijā II sadaļas 1.-3.punktā minētās funkcijas veic ne vairāk kā 11 darbinieki (ieskaitot vadītājus, neieskaitot atbalsta funkciju veicējus). Savukārt Ziņojuma II sadaļas 1.-3.punktā minēto esošo un jauno funkciju veikšanai ir nepieciešama vismaz 23 amata slodzes  (neieskaitot vadītājus un atbalsta funkciju veicējus).</w:t>
      </w:r>
    </w:p>
    <w:p w14:paraId="0CBB33FC" w14:textId="40D1DA14" w:rsidR="0038031A" w:rsidRDefault="0038031A" w:rsidP="0038031A">
      <w:pPr>
        <w:spacing w:before="120" w:after="120" w:line="240" w:lineRule="auto"/>
        <w:jc w:val="center"/>
        <w:rPr>
          <w:rFonts w:ascii="Times New Roman" w:hAnsi="Times New Roman"/>
          <w:b/>
          <w:sz w:val="20"/>
          <w:szCs w:val="20"/>
        </w:rPr>
      </w:pPr>
      <w:r>
        <w:rPr>
          <w:rFonts w:ascii="Times New Roman" w:hAnsi="Times New Roman"/>
          <w:b/>
          <w:noProof/>
          <w:sz w:val="20"/>
          <w:szCs w:val="20"/>
        </w:rPr>
        <w:lastRenderedPageBreak/>
        <w:drawing>
          <wp:inline distT="0" distB="0" distL="0" distR="0" wp14:anchorId="198248D2" wp14:editId="7F321EBB">
            <wp:extent cx="4391025" cy="327787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3277870"/>
                    </a:xfrm>
                    <a:prstGeom prst="rect">
                      <a:avLst/>
                    </a:prstGeom>
                    <a:noFill/>
                    <a:ln>
                      <a:noFill/>
                    </a:ln>
                  </pic:spPr>
                </pic:pic>
              </a:graphicData>
            </a:graphic>
          </wp:inline>
        </w:drawing>
      </w:r>
    </w:p>
    <w:p w14:paraId="04C5F410" w14:textId="77777777" w:rsidR="0038031A" w:rsidRDefault="0038031A" w:rsidP="0038031A">
      <w:pPr>
        <w:spacing w:before="120" w:after="120" w:line="240" w:lineRule="auto"/>
        <w:jc w:val="center"/>
        <w:rPr>
          <w:rFonts w:ascii="Times New Roman" w:hAnsi="Times New Roman"/>
          <w:b/>
          <w:sz w:val="20"/>
          <w:szCs w:val="20"/>
        </w:rPr>
      </w:pPr>
      <w:r>
        <w:rPr>
          <w:rFonts w:ascii="Times New Roman" w:hAnsi="Times New Roman"/>
          <w:b/>
          <w:sz w:val="20"/>
          <w:szCs w:val="20"/>
        </w:rPr>
        <w:t xml:space="preserve">2.attēls. Ziņojuma 2.nodaļā minēto funkciju izpildei pieejamais esošais </w:t>
      </w:r>
      <w:proofErr w:type="spellStart"/>
      <w:r>
        <w:rPr>
          <w:rFonts w:ascii="Times New Roman" w:hAnsi="Times New Roman"/>
          <w:b/>
          <w:sz w:val="20"/>
          <w:szCs w:val="20"/>
        </w:rPr>
        <w:t>darbstundu</w:t>
      </w:r>
      <w:proofErr w:type="spellEnd"/>
      <w:r>
        <w:rPr>
          <w:rFonts w:ascii="Times New Roman" w:hAnsi="Times New Roman"/>
          <w:b/>
          <w:sz w:val="20"/>
          <w:szCs w:val="20"/>
        </w:rPr>
        <w:t xml:space="preserve"> apjoms un nepieciešamais </w:t>
      </w:r>
      <w:proofErr w:type="spellStart"/>
      <w:r>
        <w:rPr>
          <w:rFonts w:ascii="Times New Roman" w:hAnsi="Times New Roman"/>
          <w:b/>
          <w:sz w:val="20"/>
          <w:szCs w:val="20"/>
        </w:rPr>
        <w:t>darbstundu</w:t>
      </w:r>
      <w:proofErr w:type="spellEnd"/>
      <w:r>
        <w:rPr>
          <w:rFonts w:ascii="Times New Roman" w:hAnsi="Times New Roman"/>
          <w:b/>
          <w:sz w:val="20"/>
          <w:szCs w:val="20"/>
        </w:rPr>
        <w:t xml:space="preserve"> apjoms (stundas / gadā)</w:t>
      </w:r>
    </w:p>
    <w:p w14:paraId="3930AF0D" w14:textId="77777777" w:rsidR="0038031A" w:rsidRDefault="0038031A" w:rsidP="0038031A">
      <w:pPr>
        <w:spacing w:before="120" w:after="120" w:line="240" w:lineRule="auto"/>
        <w:jc w:val="both"/>
        <w:rPr>
          <w:rFonts w:ascii="Times New Roman" w:hAnsi="Times New Roman"/>
          <w:sz w:val="27"/>
          <w:szCs w:val="27"/>
        </w:rPr>
      </w:pPr>
      <w:r>
        <w:rPr>
          <w:rFonts w:ascii="Times New Roman" w:hAnsi="Times New Roman"/>
          <w:sz w:val="27"/>
          <w:szCs w:val="27"/>
        </w:rPr>
        <w:t xml:space="preserve">Tā kā ziņojuma </w:t>
      </w:r>
      <w:r>
        <w:rPr>
          <w:rFonts w:ascii="Times New Roman" w:eastAsiaTheme="minorHAnsi" w:hAnsi="Times New Roman"/>
          <w:sz w:val="27"/>
          <w:szCs w:val="27"/>
        </w:rPr>
        <w:t xml:space="preserve">II sadaļas 1.-3.punktā </w:t>
      </w:r>
      <w:r>
        <w:rPr>
          <w:rFonts w:ascii="Times New Roman" w:hAnsi="Times New Roman"/>
          <w:sz w:val="27"/>
          <w:szCs w:val="27"/>
        </w:rPr>
        <w:t>minēto esošo un jauno funkciju veikšanai ir nepieciešamas vismaz 23 pastāvīgas amata slodzes (neieskaitot vadītājus un atbalsta funkciju veicējus), bet Ekonomikas ministrijā šo funkciju veikšanai ir pieejamas tikai 11 amata slodzes (ieskaitot vadītājus) un finansējums tām, tad šis risinājums:</w:t>
      </w:r>
    </w:p>
    <w:p w14:paraId="1BB86A21" w14:textId="77777777" w:rsidR="0038031A" w:rsidRDefault="0038031A" w:rsidP="0038031A">
      <w:pPr>
        <w:pStyle w:val="ListParagraph"/>
        <w:numPr>
          <w:ilvl w:val="0"/>
          <w:numId w:val="58"/>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neparedz jaunu amata slodžu izveidošanu un tam nepieciešamā finansējuma pieprasījumu;</w:t>
      </w:r>
    </w:p>
    <w:p w14:paraId="0CCC36C1" w14:textId="77777777" w:rsidR="0038031A" w:rsidRDefault="0038031A" w:rsidP="0038031A">
      <w:pPr>
        <w:pStyle w:val="ListParagraph"/>
        <w:numPr>
          <w:ilvl w:val="0"/>
          <w:numId w:val="58"/>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 xml:space="preserve">paredz atteikšanos no noteiktu esošo funkciju – brīvprātīgo vienošanos pārraudzību, energoefektivitātes nodevas administrēšanu, energoefektivitātes nodevas administrēšanu, ogļūdeņražu meklēšanas, ogļūdeņražu izpētes un ieguves licenču administrēšanu, ogļūdeņražu meklēšanas, izpētes un ieguves licences laukumu noteikšanu, veikšanas un tās veikt tikai Ekonomikas ministrijai pieejamās kapacitātes un tā finansējuma apjomā </w:t>
      </w:r>
    </w:p>
    <w:p w14:paraId="115D3786" w14:textId="04CED138" w:rsidR="0038031A" w:rsidRDefault="0038031A" w:rsidP="0038031A">
      <w:pPr>
        <w:pStyle w:val="ListParagraph"/>
        <w:numPr>
          <w:ilvl w:val="0"/>
          <w:numId w:val="58"/>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paredz atteikšanos (</w:t>
      </w:r>
      <w:r w:rsidRPr="00516ACA">
        <w:rPr>
          <w:rFonts w:ascii="Times New Roman" w:hAnsi="Times New Roman"/>
          <w:sz w:val="27"/>
          <w:szCs w:val="27"/>
        </w:rPr>
        <w:t xml:space="preserve">neuzņemšanos) tādu jaunu funkciju veikšanai, ko Valsts pārvaldes iekārtas likums </w:t>
      </w:r>
      <w:r w:rsidR="00BC6B69" w:rsidRPr="00516ACA">
        <w:rPr>
          <w:rFonts w:ascii="Times New Roman" w:hAnsi="Times New Roman"/>
          <w:sz w:val="27"/>
          <w:szCs w:val="27"/>
        </w:rPr>
        <w:t xml:space="preserve">tipiski </w:t>
      </w:r>
      <w:r w:rsidRPr="00516ACA">
        <w:rPr>
          <w:rFonts w:ascii="Times New Roman" w:hAnsi="Times New Roman"/>
          <w:sz w:val="27"/>
          <w:szCs w:val="27"/>
        </w:rPr>
        <w:t xml:space="preserve">neparedz kā veicamu ministrijai (Valsts pārvaldes iekārtas likuma 18.pants) </w:t>
      </w:r>
      <w:r w:rsidR="00BC6B69" w:rsidRPr="00516ACA">
        <w:rPr>
          <w:rFonts w:ascii="Times New Roman" w:hAnsi="Times New Roman"/>
          <w:sz w:val="27"/>
          <w:szCs w:val="27"/>
        </w:rPr>
        <w:t>–</w:t>
      </w:r>
      <w:r w:rsidRPr="00516ACA">
        <w:rPr>
          <w:rFonts w:ascii="Times New Roman" w:hAnsi="Times New Roman"/>
          <w:sz w:val="27"/>
          <w:szCs w:val="27"/>
        </w:rPr>
        <w:t xml:space="preserve"> elektrostaciju fiziskā pārbaude (</w:t>
      </w:r>
      <w:proofErr w:type="spellStart"/>
      <w:r w:rsidRPr="00516ACA">
        <w:rPr>
          <w:rFonts w:ascii="Times New Roman" w:hAnsi="Times New Roman"/>
          <w:sz w:val="27"/>
          <w:szCs w:val="27"/>
        </w:rPr>
        <w:t>apsekojums</w:t>
      </w:r>
      <w:proofErr w:type="spellEnd"/>
      <w:r w:rsidRPr="00516ACA">
        <w:rPr>
          <w:rFonts w:ascii="Times New Roman" w:hAnsi="Times New Roman"/>
          <w:sz w:val="27"/>
          <w:szCs w:val="27"/>
        </w:rPr>
        <w:t xml:space="preserve">) un elektrostaciju atbilstības tehniskā pārbaude normatīvo aktu prasībām, degvielas tirgus uzraudzības darbības – degvielas paraugu ņemšana, degvielas paraugu testēšana, degvielas piegādātāju, degvielas </w:t>
      </w:r>
      <w:proofErr w:type="spellStart"/>
      <w:r w:rsidRPr="00516ACA">
        <w:rPr>
          <w:rFonts w:ascii="Times New Roman" w:hAnsi="Times New Roman"/>
          <w:sz w:val="27"/>
          <w:szCs w:val="27"/>
        </w:rPr>
        <w:t>uzpildes</w:t>
      </w:r>
      <w:proofErr w:type="spellEnd"/>
      <w:r w:rsidRPr="00516ACA">
        <w:rPr>
          <w:rFonts w:ascii="Times New Roman" w:hAnsi="Times New Roman"/>
          <w:sz w:val="27"/>
          <w:szCs w:val="27"/>
        </w:rPr>
        <w:t xml:space="preserve"> staciju, naftas bāžu fiziskie </w:t>
      </w:r>
      <w:proofErr w:type="spellStart"/>
      <w:r w:rsidRPr="00516ACA">
        <w:rPr>
          <w:rFonts w:ascii="Times New Roman" w:hAnsi="Times New Roman"/>
          <w:sz w:val="27"/>
          <w:szCs w:val="27"/>
        </w:rPr>
        <w:t>apsekojumi</w:t>
      </w:r>
      <w:proofErr w:type="spellEnd"/>
      <w:r w:rsidRPr="00516ACA">
        <w:rPr>
          <w:rFonts w:ascii="Times New Roman" w:hAnsi="Times New Roman"/>
          <w:sz w:val="27"/>
          <w:szCs w:val="27"/>
        </w:rPr>
        <w:t>) piemērošana</w:t>
      </w:r>
    </w:p>
    <w:p w14:paraId="4027C601" w14:textId="77777777" w:rsidR="0038031A" w:rsidRDefault="0038031A" w:rsidP="0038031A">
      <w:pPr>
        <w:spacing w:before="120" w:after="120" w:line="240" w:lineRule="auto"/>
        <w:jc w:val="both"/>
        <w:rPr>
          <w:rFonts w:ascii="Times New Roman" w:hAnsi="Times New Roman"/>
          <w:sz w:val="27"/>
          <w:szCs w:val="27"/>
        </w:rPr>
      </w:pPr>
      <w:r>
        <w:rPr>
          <w:rFonts w:ascii="Times New Roman" w:hAnsi="Times New Roman"/>
          <w:sz w:val="27"/>
          <w:szCs w:val="27"/>
        </w:rPr>
        <w:t>Tomēr šajā risinājumā ir jāparedz, ka minēto funkciju nepildīšanas gadījumā Eiropas Komisija piemēros soda naudas Latvijas Republikai par šādos ES normatīvajos aktos noteikto pienākumu nepildīšanu un Latvijas</w:t>
      </w:r>
      <w:r>
        <w:rPr>
          <w:rFonts w:ascii="Times New Roman" w:hAnsi="Times New Roman"/>
          <w:sz w:val="27"/>
          <w:szCs w:val="27"/>
          <w:lang w:eastAsia="lv-LV"/>
        </w:rPr>
        <w:t xml:space="preserve"> Republikai</w:t>
      </w:r>
      <w:r>
        <w:rPr>
          <w:rFonts w:ascii="Times New Roman" w:hAnsi="Times New Roman"/>
          <w:sz w:val="27"/>
          <w:szCs w:val="27"/>
        </w:rPr>
        <w:t xml:space="preserve"> noteikto mērķu nesasniegšanu:</w:t>
      </w:r>
    </w:p>
    <w:p w14:paraId="50E3E24A"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2012. gada 25.oktobra direktīva Nr. 2012/27/ES par energoefektivitāti, ar ko groza Direktīvas 2009/125/EK un 2010/30/ES un atceļ Direktīvas 2004/8/EK un 2006/32/EK (konsolidētā versija);</w:t>
      </w:r>
    </w:p>
    <w:p w14:paraId="516D0720"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lastRenderedPageBreak/>
        <w:t>Eiropas Parlamenta un Padomes 2018.gada 11.decembra direktīva Nr.2018/2002 ar ko groza Direktīvu 2012/27/ES par energoefektivitāti;</w:t>
      </w:r>
    </w:p>
    <w:p w14:paraId="5EB73316"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2010.gada 19.maija direktīva Nr.2010/31/ES par ēku energoefektivitāti (konsolidētā versija);</w:t>
      </w:r>
    </w:p>
    <w:p w14:paraId="352FB260"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2009. gada 23. aprīļa direktīva Nr. 2009/28/EK par atjaunojamo energoresursu izmantošanas veicināšanu un ar ko groza un sekojoši atceļ Direktīvas 2001/77/EK un 2003/30/EK;</w:t>
      </w:r>
    </w:p>
    <w:p w14:paraId="01DAEF7C"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2018.gada 11.decembra direktīva Nr. 2018/2001 par no atjaunojamajiem energoresursiem iegūtas enerģijas izmantošanas veicināšanu (pārstrādāta redakcija);</w:t>
      </w:r>
    </w:p>
    <w:p w14:paraId="47221D05"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1998.gada 13.oktobra direktīva Nr.98/70/EK, kas attiecas uz benzīna un dīzeļdegvielu kvalitāti un ar ko groza Padomes Direktīvu 93/12/EEK (konsolidētā versija);</w:t>
      </w:r>
    </w:p>
    <w:p w14:paraId="02C032C5"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1994. gada 30. maija direktīva Nr. 94/22/EEK par atļauju piešķiršanas un izmantošanas noteikumiem ogļūdeņražu meklēšanai, izpētei un ieguvei;</w:t>
      </w:r>
    </w:p>
    <w:p w14:paraId="226873E7" w14:textId="77777777" w:rsidR="0038031A" w:rsidRDefault="0038031A" w:rsidP="0038031A">
      <w:pPr>
        <w:pStyle w:val="ListParagraph"/>
        <w:numPr>
          <w:ilvl w:val="0"/>
          <w:numId w:val="59"/>
        </w:numPr>
        <w:spacing w:before="120" w:after="120" w:line="240" w:lineRule="auto"/>
        <w:ind w:left="397" w:hanging="397"/>
        <w:jc w:val="both"/>
        <w:rPr>
          <w:rFonts w:ascii="Times New Roman" w:hAnsi="Times New Roman"/>
          <w:sz w:val="27"/>
          <w:szCs w:val="27"/>
        </w:rPr>
      </w:pPr>
      <w:r>
        <w:rPr>
          <w:rFonts w:ascii="Times New Roman" w:hAnsi="Times New Roman"/>
          <w:sz w:val="27"/>
          <w:szCs w:val="27"/>
        </w:rPr>
        <w:t>Eiropas Parlamenta un Padomes 2013. gada 12. jūnija direktīvas Nr. 2013/30/ES par to darbību drošumu, kas saistītas ar naftas un gāzes nozares darbībām jūrā, un ar kuru groza Direktīvu 2004/35/EK.</w:t>
      </w:r>
    </w:p>
    <w:p w14:paraId="1C333193" w14:textId="77777777" w:rsidR="0038031A" w:rsidRDefault="0038031A" w:rsidP="0038031A">
      <w:pPr>
        <w:spacing w:before="120" w:after="120" w:line="240" w:lineRule="auto"/>
        <w:jc w:val="both"/>
        <w:rPr>
          <w:rFonts w:ascii="Times New Roman" w:hAnsi="Times New Roman"/>
          <w:sz w:val="27"/>
          <w:szCs w:val="27"/>
        </w:rPr>
      </w:pPr>
      <w:r>
        <w:rPr>
          <w:rFonts w:ascii="Times New Roman" w:hAnsi="Times New Roman"/>
          <w:sz w:val="27"/>
          <w:szCs w:val="27"/>
        </w:rPr>
        <w:t xml:space="preserve">Eiropas Komisija minētos sodus sāks piemērot Latvijas Republikai tiklīdz tiks konstatēta kādas funkcijas neveikšana vai kad tiks konstatēta valstij noteiktā pienākuma vai mērķa – AER īpatsvara mērķis, energoefektivitātes mērķi, ēku energoefektivitātes mērķi,  atjaunojamo </w:t>
      </w:r>
      <w:proofErr w:type="spellStart"/>
      <w:r>
        <w:rPr>
          <w:rFonts w:ascii="Times New Roman" w:hAnsi="Times New Roman"/>
          <w:sz w:val="27"/>
          <w:szCs w:val="27"/>
        </w:rPr>
        <w:t>energorsursu</w:t>
      </w:r>
      <w:proofErr w:type="spellEnd"/>
      <w:r>
        <w:rPr>
          <w:rFonts w:ascii="Times New Roman" w:hAnsi="Times New Roman"/>
          <w:sz w:val="27"/>
          <w:szCs w:val="27"/>
        </w:rPr>
        <w:t xml:space="preserve"> īpatsvara transportā mērķis, nesasniegšana. </w:t>
      </w:r>
    </w:p>
    <w:p w14:paraId="730197E9" w14:textId="38188E8F" w:rsidR="0038031A" w:rsidRDefault="0038031A" w:rsidP="0038031A">
      <w:pPr>
        <w:spacing w:before="120" w:after="120" w:line="240" w:lineRule="auto"/>
        <w:jc w:val="both"/>
        <w:rPr>
          <w:rFonts w:ascii="Times New Roman" w:hAnsi="Times New Roman"/>
          <w:sz w:val="27"/>
          <w:szCs w:val="27"/>
        </w:rPr>
      </w:pPr>
      <w:r>
        <w:rPr>
          <w:rFonts w:ascii="Times New Roman" w:hAnsi="Times New Roman"/>
          <w:sz w:val="27"/>
          <w:szCs w:val="27"/>
        </w:rPr>
        <w:t xml:space="preserve">Ir iespējams aptuveni aprēķināt katra Latvijas </w:t>
      </w:r>
      <w:r>
        <w:rPr>
          <w:rFonts w:ascii="Times New Roman" w:hAnsi="Times New Roman"/>
          <w:sz w:val="27"/>
          <w:szCs w:val="27"/>
          <w:lang w:eastAsia="lv-LV"/>
        </w:rPr>
        <w:t>Republikai</w:t>
      </w:r>
      <w:r>
        <w:rPr>
          <w:rFonts w:ascii="Times New Roman" w:hAnsi="Times New Roman"/>
          <w:sz w:val="27"/>
          <w:szCs w:val="27"/>
        </w:rPr>
        <w:t xml:space="preserve"> noteiktā mērķa nesasniegšanai piemērotās soda naudas. Latvijas </w:t>
      </w:r>
      <w:r>
        <w:rPr>
          <w:rFonts w:ascii="Times New Roman" w:hAnsi="Times New Roman"/>
          <w:sz w:val="27"/>
          <w:szCs w:val="27"/>
          <w:lang w:eastAsia="lv-LV"/>
        </w:rPr>
        <w:t xml:space="preserve">Republikas </w:t>
      </w:r>
      <w:r>
        <w:rPr>
          <w:rFonts w:ascii="Times New Roman" w:hAnsi="Times New Roman"/>
          <w:sz w:val="27"/>
          <w:szCs w:val="27"/>
        </w:rPr>
        <w:t xml:space="preserve">gadījumā minimālā kavējuma nauda par katru dienu, kamēr šis mērķis nav sasniegt ir 372,6 </w:t>
      </w:r>
      <w:proofErr w:type="spellStart"/>
      <w:r w:rsidR="00BA3B4D" w:rsidRPr="00BA3B4D">
        <w:rPr>
          <w:rFonts w:ascii="Times New Roman" w:hAnsi="Times New Roman"/>
          <w:i/>
          <w:iCs/>
          <w:sz w:val="27"/>
          <w:szCs w:val="27"/>
        </w:rPr>
        <w:t>euro</w:t>
      </w:r>
      <w:proofErr w:type="spellEnd"/>
      <w:r w:rsidR="00BA3B4D">
        <w:rPr>
          <w:rFonts w:ascii="Times New Roman" w:hAnsi="Times New Roman"/>
          <w:sz w:val="27"/>
          <w:szCs w:val="27"/>
        </w:rPr>
        <w:t xml:space="preserve"> </w:t>
      </w:r>
      <w:r>
        <w:rPr>
          <w:rFonts w:ascii="Times New Roman" w:hAnsi="Times New Roman"/>
          <w:sz w:val="27"/>
          <w:szCs w:val="27"/>
        </w:rPr>
        <w:t xml:space="preserve">/dienā, bet maksimālā – 22 356 </w:t>
      </w:r>
      <w:proofErr w:type="spellStart"/>
      <w:r w:rsidR="00BA3B4D" w:rsidRPr="00BA3B4D">
        <w:rPr>
          <w:rFonts w:ascii="Times New Roman" w:hAnsi="Times New Roman"/>
          <w:i/>
          <w:iCs/>
          <w:sz w:val="27"/>
          <w:szCs w:val="27"/>
        </w:rPr>
        <w:t>euro</w:t>
      </w:r>
      <w:proofErr w:type="spellEnd"/>
      <w:r>
        <w:rPr>
          <w:rFonts w:ascii="Times New Roman" w:hAnsi="Times New Roman"/>
          <w:sz w:val="27"/>
          <w:szCs w:val="27"/>
        </w:rPr>
        <w:t xml:space="preserve">/dienā. Savukārt vienreizējā soda maksājuma minimālā pamatsumma ir 124,2 </w:t>
      </w:r>
      <w:proofErr w:type="spellStart"/>
      <w:r w:rsidR="00BA3B4D" w:rsidRPr="00BA3B4D">
        <w:rPr>
          <w:rFonts w:ascii="Times New Roman" w:hAnsi="Times New Roman"/>
          <w:i/>
          <w:iCs/>
          <w:sz w:val="27"/>
          <w:szCs w:val="27"/>
        </w:rPr>
        <w:t>euro</w:t>
      </w:r>
      <w:proofErr w:type="spellEnd"/>
      <w:r w:rsidR="00BA3B4D">
        <w:rPr>
          <w:rFonts w:ascii="Times New Roman" w:hAnsi="Times New Roman"/>
          <w:sz w:val="27"/>
          <w:szCs w:val="27"/>
        </w:rPr>
        <w:t xml:space="preserve"> </w:t>
      </w:r>
      <w:r>
        <w:rPr>
          <w:rFonts w:ascii="Times New Roman" w:hAnsi="Times New Roman"/>
          <w:sz w:val="27"/>
          <w:szCs w:val="27"/>
        </w:rPr>
        <w:t xml:space="preserve">/dienā, bet maksimālā – 2484 </w:t>
      </w:r>
      <w:proofErr w:type="spellStart"/>
      <w:r w:rsidR="00BA3B4D" w:rsidRPr="00BA3B4D">
        <w:rPr>
          <w:rFonts w:ascii="Times New Roman" w:hAnsi="Times New Roman"/>
          <w:i/>
          <w:iCs/>
          <w:sz w:val="27"/>
          <w:szCs w:val="27"/>
        </w:rPr>
        <w:t>euro</w:t>
      </w:r>
      <w:proofErr w:type="spellEnd"/>
      <w:r w:rsidR="00BA3B4D">
        <w:rPr>
          <w:rFonts w:ascii="Times New Roman" w:hAnsi="Times New Roman"/>
          <w:sz w:val="27"/>
          <w:szCs w:val="27"/>
        </w:rPr>
        <w:t xml:space="preserve"> </w:t>
      </w:r>
      <w:r>
        <w:rPr>
          <w:rFonts w:ascii="Times New Roman" w:hAnsi="Times New Roman"/>
          <w:sz w:val="27"/>
          <w:szCs w:val="27"/>
        </w:rPr>
        <w:t xml:space="preserve">/dienā. Tā kā kavējuma nauda var tikt piemērota vienlaicīgi ar soda naudu, tad, attiecīgi, summējot tās kopā, maksimālā finansiālā sankcija varētu būt 24 840 </w:t>
      </w:r>
      <w:proofErr w:type="spellStart"/>
      <w:r w:rsidR="00BA3B4D" w:rsidRPr="00BA3B4D">
        <w:rPr>
          <w:rFonts w:ascii="Times New Roman" w:hAnsi="Times New Roman"/>
          <w:i/>
          <w:iCs/>
          <w:sz w:val="27"/>
          <w:szCs w:val="27"/>
        </w:rPr>
        <w:t>euro</w:t>
      </w:r>
      <w:proofErr w:type="spellEnd"/>
      <w:r w:rsidR="00BA3B4D">
        <w:rPr>
          <w:rFonts w:ascii="Times New Roman" w:hAnsi="Times New Roman"/>
          <w:sz w:val="27"/>
          <w:szCs w:val="27"/>
        </w:rPr>
        <w:t xml:space="preserve"> </w:t>
      </w:r>
      <w:r>
        <w:rPr>
          <w:rFonts w:ascii="Times New Roman" w:hAnsi="Times New Roman"/>
          <w:sz w:val="27"/>
          <w:szCs w:val="27"/>
        </w:rPr>
        <w:t>/dienā jeb 9,067 milj.</w:t>
      </w:r>
      <w:r w:rsidR="00BA3B4D" w:rsidRPr="00BA3B4D">
        <w:rPr>
          <w:rFonts w:ascii="Times New Roman" w:hAnsi="Times New Roman"/>
          <w:i/>
          <w:iCs/>
          <w:sz w:val="27"/>
          <w:szCs w:val="27"/>
        </w:rPr>
        <w:t xml:space="preserve"> </w:t>
      </w:r>
      <w:proofErr w:type="spellStart"/>
      <w:r w:rsidR="00BA3B4D" w:rsidRPr="00BA3B4D">
        <w:rPr>
          <w:rFonts w:ascii="Times New Roman" w:hAnsi="Times New Roman"/>
          <w:i/>
          <w:iCs/>
          <w:sz w:val="27"/>
          <w:szCs w:val="27"/>
        </w:rPr>
        <w:t>euro</w:t>
      </w:r>
      <w:proofErr w:type="spellEnd"/>
      <w:r>
        <w:rPr>
          <w:rFonts w:ascii="Times New Roman" w:hAnsi="Times New Roman"/>
          <w:sz w:val="27"/>
          <w:szCs w:val="27"/>
        </w:rPr>
        <w:t xml:space="preserve"> gadā.</w:t>
      </w:r>
    </w:p>
    <w:p w14:paraId="3814DE23" w14:textId="77777777" w:rsidR="0038031A" w:rsidRDefault="0038031A" w:rsidP="0038031A">
      <w:pPr>
        <w:spacing w:before="120" w:after="120" w:line="240" w:lineRule="auto"/>
        <w:jc w:val="both"/>
        <w:rPr>
          <w:rFonts w:ascii="Times New Roman" w:hAnsi="Times New Roman"/>
          <w:sz w:val="27"/>
          <w:szCs w:val="27"/>
        </w:rPr>
      </w:pPr>
      <w:r>
        <w:rPr>
          <w:rFonts w:ascii="Times New Roman" w:hAnsi="Times New Roman"/>
          <w:sz w:val="27"/>
          <w:szCs w:val="27"/>
        </w:rPr>
        <w:t>Šobrīd nav iespējams aprēķināt soda naudas apmēru, ko Eiropas Komisija piemēros Latvijas</w:t>
      </w:r>
      <w:r>
        <w:rPr>
          <w:rFonts w:ascii="Times New Roman" w:hAnsi="Times New Roman"/>
          <w:sz w:val="27"/>
          <w:szCs w:val="27"/>
          <w:lang w:eastAsia="lv-LV"/>
        </w:rPr>
        <w:t xml:space="preserve"> Republikai</w:t>
      </w:r>
      <w:r>
        <w:rPr>
          <w:rFonts w:ascii="Times New Roman" w:hAnsi="Times New Roman"/>
          <w:sz w:val="27"/>
          <w:szCs w:val="27"/>
        </w:rPr>
        <w:t xml:space="preserve"> par ES normatīvajos aktos noteikto funkciju vai pienākumu neveikšanu, jo tie var variēt ņemot vērā pārkāpuma smagumu un ilgumu.</w:t>
      </w:r>
    </w:p>
    <w:p w14:paraId="139AB664" w14:textId="77777777" w:rsidR="0038031A" w:rsidRDefault="0038031A" w:rsidP="0038031A">
      <w:pPr>
        <w:spacing w:before="120" w:after="120" w:line="240" w:lineRule="auto"/>
        <w:jc w:val="both"/>
        <w:rPr>
          <w:rFonts w:ascii="Times New Roman" w:eastAsiaTheme="minorHAnsi" w:hAnsi="Times New Roman"/>
          <w:sz w:val="27"/>
          <w:szCs w:val="27"/>
        </w:rPr>
      </w:pPr>
    </w:p>
    <w:p w14:paraId="3153CD5B" w14:textId="77777777" w:rsidR="0038031A" w:rsidRDefault="0038031A" w:rsidP="0038031A">
      <w:pPr>
        <w:shd w:val="clear" w:color="auto" w:fill="FFFFFF"/>
        <w:spacing w:before="120" w:after="120" w:line="240" w:lineRule="auto"/>
        <w:ind w:left="567"/>
        <w:jc w:val="both"/>
        <w:outlineLvl w:val="1"/>
        <w:rPr>
          <w:rFonts w:ascii="Times New Roman" w:eastAsia="Times New Roman" w:hAnsi="Times New Roman"/>
          <w:b/>
          <w:bCs/>
          <w:i/>
          <w:sz w:val="27"/>
          <w:szCs w:val="27"/>
          <w:lang w:eastAsia="lv-LV"/>
        </w:rPr>
      </w:pPr>
      <w:bookmarkStart w:id="185" w:name="_Toc8719136"/>
      <w:bookmarkStart w:id="186" w:name="_Toc8648983"/>
      <w:bookmarkStart w:id="187" w:name="_Toc5617058"/>
      <w:bookmarkStart w:id="188" w:name="_Toc5616991"/>
      <w:bookmarkStart w:id="189" w:name="_Toc5616891"/>
      <w:bookmarkStart w:id="190" w:name="_Toc5615512"/>
      <w:bookmarkStart w:id="191" w:name="_Toc2286387"/>
      <w:bookmarkStart w:id="192" w:name="_Toc531102737"/>
      <w:bookmarkStart w:id="193" w:name="_Toc530605156"/>
      <w:bookmarkStart w:id="194" w:name="_Toc530117380"/>
      <w:r>
        <w:rPr>
          <w:rFonts w:ascii="Times New Roman" w:eastAsia="Times New Roman" w:hAnsi="Times New Roman"/>
          <w:b/>
          <w:bCs/>
          <w:i/>
          <w:sz w:val="27"/>
          <w:szCs w:val="27"/>
          <w:lang w:eastAsia="lv-LV"/>
        </w:rPr>
        <w:t xml:space="preserve">Funkciju veikšanas noteikšana </w:t>
      </w:r>
      <w:bookmarkEnd w:id="185"/>
      <w:bookmarkEnd w:id="186"/>
      <w:bookmarkEnd w:id="187"/>
      <w:bookmarkEnd w:id="188"/>
      <w:bookmarkEnd w:id="189"/>
      <w:bookmarkEnd w:id="190"/>
      <w:bookmarkEnd w:id="191"/>
      <w:bookmarkEnd w:id="192"/>
      <w:bookmarkEnd w:id="193"/>
      <w:bookmarkEnd w:id="194"/>
      <w:r>
        <w:rPr>
          <w:rFonts w:ascii="Times New Roman" w:eastAsia="Times New Roman" w:hAnsi="Times New Roman"/>
          <w:b/>
          <w:bCs/>
          <w:i/>
          <w:sz w:val="27"/>
          <w:szCs w:val="27"/>
          <w:lang w:eastAsia="lv-LV"/>
        </w:rPr>
        <w:t>BVKB – 2.risinājums</w:t>
      </w:r>
    </w:p>
    <w:p w14:paraId="76F9EA48" w14:textId="77777777" w:rsidR="0038031A" w:rsidRDefault="0038031A" w:rsidP="0038031A">
      <w:pPr>
        <w:spacing w:before="120" w:after="120" w:line="240" w:lineRule="auto"/>
        <w:jc w:val="both"/>
        <w:rPr>
          <w:rFonts w:ascii="Times New Roman" w:eastAsiaTheme="minorHAnsi" w:hAnsi="Times New Roman"/>
          <w:sz w:val="27"/>
          <w:szCs w:val="27"/>
        </w:rPr>
      </w:pPr>
      <w:bookmarkStart w:id="195" w:name="_Hlk529861079"/>
      <w:r>
        <w:rPr>
          <w:rFonts w:ascii="Times New Roman" w:eastAsiaTheme="minorHAnsi" w:hAnsi="Times New Roman"/>
          <w:sz w:val="27"/>
          <w:szCs w:val="27"/>
        </w:rPr>
        <w:t>BVKB kompetencē neietilpst neviena no ziņojuma 2.punktā noteiktajiem pienākumiem.</w:t>
      </w:r>
    </w:p>
    <w:bookmarkEnd w:id="195"/>
    <w:p w14:paraId="279AFED6" w14:textId="43398DF4" w:rsidR="00962751" w:rsidRDefault="0038031A" w:rsidP="00962751">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Ņemot vērā paredzamo darba apjomu esošo un jauno pienākumu izpildei, </w:t>
      </w:r>
      <w:r>
        <w:rPr>
          <w:rFonts w:ascii="Times New Roman" w:eastAsiaTheme="minorHAnsi" w:hAnsi="Times New Roman"/>
          <w:sz w:val="27"/>
          <w:szCs w:val="27"/>
          <w:u w:val="single"/>
        </w:rPr>
        <w:t>būtu nepieciešams izveidot jaunas atsevišķas struktūrvienības (departamenti), kuriem varētu noteikt šī ziņojuma II sadaļas 1.-3.punktā minēto funkciju izpildi, kuru veikšanai būs nepieciešama vismaz 2</w:t>
      </w:r>
      <w:r w:rsidR="00962751">
        <w:rPr>
          <w:rFonts w:ascii="Times New Roman" w:eastAsiaTheme="minorHAnsi" w:hAnsi="Times New Roman"/>
          <w:sz w:val="27"/>
          <w:szCs w:val="27"/>
          <w:u w:val="single"/>
        </w:rPr>
        <w:t>9</w:t>
      </w:r>
      <w:r>
        <w:rPr>
          <w:rFonts w:ascii="Times New Roman" w:eastAsiaTheme="minorHAnsi" w:hAnsi="Times New Roman"/>
          <w:sz w:val="27"/>
          <w:szCs w:val="27"/>
          <w:u w:val="single"/>
        </w:rPr>
        <w:t xml:space="preserve"> jaunas amata slodzes</w:t>
      </w:r>
      <w:r>
        <w:rPr>
          <w:rFonts w:ascii="Times New Roman" w:eastAsiaTheme="minorHAnsi" w:hAnsi="Times New Roman"/>
          <w:sz w:val="27"/>
          <w:szCs w:val="27"/>
        </w:rPr>
        <w:t xml:space="preserve"> – 2</w:t>
      </w:r>
      <w:r w:rsidR="00962751">
        <w:rPr>
          <w:rFonts w:ascii="Times New Roman" w:eastAsiaTheme="minorHAnsi" w:hAnsi="Times New Roman"/>
          <w:sz w:val="27"/>
          <w:szCs w:val="27"/>
        </w:rPr>
        <w:t>1</w:t>
      </w:r>
      <w:r>
        <w:rPr>
          <w:rFonts w:ascii="Times New Roman" w:eastAsiaTheme="minorHAnsi" w:hAnsi="Times New Roman"/>
          <w:sz w:val="27"/>
          <w:szCs w:val="27"/>
        </w:rPr>
        <w:t xml:space="preserve"> jaunas amata slodzes </w:t>
      </w:r>
      <w:proofErr w:type="spellStart"/>
      <w:r>
        <w:rPr>
          <w:rFonts w:ascii="Times New Roman" w:eastAsiaTheme="minorHAnsi" w:hAnsi="Times New Roman"/>
          <w:sz w:val="27"/>
          <w:szCs w:val="27"/>
        </w:rPr>
        <w:t>jaunizveidojamos</w:t>
      </w:r>
      <w:proofErr w:type="spellEnd"/>
      <w:r>
        <w:rPr>
          <w:rFonts w:ascii="Times New Roman" w:eastAsiaTheme="minorHAnsi" w:hAnsi="Times New Roman"/>
          <w:sz w:val="27"/>
          <w:szCs w:val="27"/>
        </w:rPr>
        <w:t xml:space="preserve"> departamentos, kā arī </w:t>
      </w:r>
      <w:r w:rsidR="00962751">
        <w:rPr>
          <w:rFonts w:ascii="Times New Roman" w:eastAsiaTheme="minorHAnsi" w:hAnsi="Times New Roman"/>
          <w:sz w:val="27"/>
          <w:szCs w:val="27"/>
        </w:rPr>
        <w:t>8</w:t>
      </w:r>
      <w:r>
        <w:rPr>
          <w:rFonts w:ascii="Times New Roman" w:eastAsiaTheme="minorHAnsi" w:hAnsi="Times New Roman"/>
          <w:sz w:val="27"/>
          <w:szCs w:val="27"/>
        </w:rPr>
        <w:t xml:space="preserve"> amata slodzes citā BVKB struktūrvienībā jauno pienākumu izpildei.</w:t>
      </w:r>
      <w:r w:rsidR="00962751">
        <w:rPr>
          <w:rFonts w:ascii="Times New Roman" w:eastAsiaTheme="minorHAnsi" w:hAnsi="Times New Roman"/>
          <w:sz w:val="27"/>
          <w:szCs w:val="27"/>
        </w:rPr>
        <w:t xml:space="preserve"> Tāpat ir jāņem vērā, ka šobrīd informatīvā ziņojuma II </w:t>
      </w:r>
      <w:r w:rsidR="00962751">
        <w:rPr>
          <w:rFonts w:ascii="Times New Roman" w:eastAsiaTheme="minorHAnsi" w:hAnsi="Times New Roman"/>
          <w:sz w:val="27"/>
          <w:szCs w:val="27"/>
        </w:rPr>
        <w:lastRenderedPageBreak/>
        <w:t>sadaļas 1.-3.punktā ir izvērtētas pienākumu un uzdevumu izpildei nepieciešamās amata slodzes pie spēkā esošajiem nosacījumiem. Tomēr likumprojekta “Grozījumu Elektroenerģijas tirgus likumā” un arī Eiropas Savienības normatīvā regulējuma periodam pēc 2021.gada īstenošanai būs nepieciešamas vairāk amata slodzes papildus informatīvā ziņojuma II sadaļas 1.-3.punktā aprēķinātajām amata slodzēm.</w:t>
      </w:r>
    </w:p>
    <w:p w14:paraId="6C9DBE45" w14:textId="003FB8A3" w:rsidR="0038031A" w:rsidRDefault="0038031A" w:rsidP="0038031A">
      <w:pPr>
        <w:spacing w:before="120" w:after="120" w:line="240" w:lineRule="auto"/>
        <w:jc w:val="both"/>
        <w:rPr>
          <w:rFonts w:ascii="Times New Roman" w:eastAsiaTheme="minorHAnsi" w:hAnsi="Times New Roman"/>
          <w:sz w:val="27"/>
          <w:szCs w:val="27"/>
        </w:rPr>
      </w:pPr>
    </w:p>
    <w:p w14:paraId="7A994F7B"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Ievērojot to, ka BVKB ir izveidots ar likumu (Būvniecības likuma 6. panta septītā daļa),  ka tiešās pārvaldes iestādes izveido, reorganizē un likvidē Ministru kabinets (Latvijas Republikas orgāns valsts pārvaldes jomā) un to, ka tādas tiešās pārvaldes iestādes, kuru esība izriet no likuma, un šo iestāžu likvidēšana ir pieļaujama, tikai izdarot attiecīgus grozījumus likumā, tad minētā risinājuma īstenošanai būs nepieciešams veikt grozījumus Enerģētikas likumā dodot deleģējumu BVKB veikt arī ar enerģētikas politikas funkciju un uzdevumu īstenošanu saistītos uzdevumus. Tāpat būs nepieciešams veikt grozījumus Energoefektivitātes likumā. </w:t>
      </w:r>
    </w:p>
    <w:p w14:paraId="668B099B" w14:textId="77777777" w:rsidR="0038031A" w:rsidRDefault="0038031A" w:rsidP="0038031A">
      <w:pPr>
        <w:tabs>
          <w:tab w:val="left" w:pos="851"/>
        </w:tabs>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Lai nodrošinātu mērķtiecīgas un funkcionāli efektīvas darbības nodrošināšanu, ņemot vērā lietderības un ekonomiskās efektivitātes apsvērumus, kā arī to, ka  BVKB pārziņā jau šobrīd ir vairāk nekā divas atbildības jomas un, pamatojoties uz Ministru kabineta 2010.gada 14.decembra ieteikumiem Nr.2 “Valsts pārvaldes iestādes struktūras izveidošanas kārtība”, BVKB papildus būs nepieciešams izveidot vienu pastāvīgu BVKB direktora vietnieka amata slodzi. </w:t>
      </w:r>
    </w:p>
    <w:p w14:paraId="7EFC7D1C" w14:textId="120798C5" w:rsidR="0038031A" w:rsidRDefault="0038031A" w:rsidP="0038031A">
      <w:pPr>
        <w:tabs>
          <w:tab w:val="left" w:pos="851"/>
        </w:tabs>
        <w:spacing w:before="120" w:after="120" w:line="240" w:lineRule="auto"/>
        <w:jc w:val="both"/>
        <w:rPr>
          <w:rFonts w:ascii="Times New Roman" w:eastAsiaTheme="minorHAnsi" w:hAnsi="Times New Roman"/>
          <w:sz w:val="27"/>
          <w:szCs w:val="27"/>
          <w:u w:val="single"/>
        </w:rPr>
      </w:pPr>
      <w:r>
        <w:rPr>
          <w:rFonts w:ascii="Times New Roman" w:eastAsiaTheme="minorHAnsi" w:hAnsi="Times New Roman"/>
          <w:sz w:val="27"/>
          <w:szCs w:val="27"/>
          <w:u w:val="single"/>
        </w:rPr>
        <w:t xml:space="preserve">Tātad kopumā BVKB ir nepieciešamas </w:t>
      </w:r>
      <w:r w:rsidR="00962751">
        <w:rPr>
          <w:rFonts w:ascii="Times New Roman" w:eastAsiaTheme="minorHAnsi" w:hAnsi="Times New Roman"/>
          <w:sz w:val="27"/>
          <w:szCs w:val="27"/>
          <w:u w:val="single"/>
        </w:rPr>
        <w:t>30</w:t>
      </w:r>
      <w:r>
        <w:rPr>
          <w:rFonts w:ascii="Times New Roman" w:eastAsiaTheme="minorHAnsi" w:hAnsi="Times New Roman"/>
          <w:sz w:val="27"/>
          <w:szCs w:val="27"/>
          <w:u w:val="single"/>
        </w:rPr>
        <w:t xml:space="preserve"> jaunas amata slodzes.</w:t>
      </w:r>
    </w:p>
    <w:p w14:paraId="37589A67"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Ja BVKB tiks nodotas enerģētikas un naftas produktu kontroles un uzraudzības funkcijas, būs nepieciešams mainīt arī BVKB nosaukumu, lai tā nosaukumā tiktu atspoguļotas arī papildus noteiktās funkcijas, piemēram, Valsts enerģētikas un būvniecības kontroles birojs. Līdz ar to būs nepieciešams veikt grozījumus arī Būvniecības likumā, lai tajā izteiktu jauno BVKB nosaukumu.</w:t>
      </w:r>
    </w:p>
    <w:p w14:paraId="5D282560" w14:textId="77777777" w:rsidR="0038031A" w:rsidRDefault="0038031A" w:rsidP="0038031A">
      <w:pPr>
        <w:tabs>
          <w:tab w:val="left" w:pos="851"/>
        </w:tabs>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Tāpat ir nepieciešams stiprināt BVKB kapacitāti un neatkarību, nodrošinot iespēju jauno funkciju veikšanai piesaistīt augsti kvalificētus konkrētās nozares speciālistus.</w:t>
      </w:r>
    </w:p>
    <w:p w14:paraId="682ECA69"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Šī risinājuma izpildei BVKB būs nepieciešams izveidot divas jaunas struktūrvienības – departamentus, kā arī izveidot vairākas jaunas amata slodzes jauno funkciju un uzdevumu veikšanas atbalstam:</w:t>
      </w:r>
    </w:p>
    <w:p w14:paraId="6618059E"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u w:val="single"/>
          <w:lang w:eastAsia="lv-LV"/>
        </w:rPr>
        <w:t>Obligātā iepirkuma uzraudzības departaments (8 amata slodzes, t.sk., departamenta direktora amata slodze)</w:t>
      </w:r>
    </w:p>
    <w:p w14:paraId="429C78AE" w14:textId="77777777" w:rsidR="0038031A" w:rsidRDefault="0038031A" w:rsidP="0038031A">
      <w:pPr>
        <w:numPr>
          <w:ilvl w:val="0"/>
          <w:numId w:val="60"/>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departamenta direktors (1 amata slodze); </w:t>
      </w:r>
    </w:p>
    <w:p w14:paraId="07CE95D6" w14:textId="77777777" w:rsidR="0038031A" w:rsidRDefault="0038031A" w:rsidP="0038031A">
      <w:pPr>
        <w:numPr>
          <w:ilvl w:val="0"/>
          <w:numId w:val="60"/>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vecākais eksperts (2 amata slodze);</w:t>
      </w:r>
    </w:p>
    <w:p w14:paraId="1B56F86E" w14:textId="77777777" w:rsidR="0038031A" w:rsidRDefault="0038031A" w:rsidP="0038031A">
      <w:pPr>
        <w:numPr>
          <w:ilvl w:val="0"/>
          <w:numId w:val="60"/>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inspektors (3 amata slodze);</w:t>
      </w:r>
    </w:p>
    <w:p w14:paraId="72854496" w14:textId="4E10A00D" w:rsidR="0038031A" w:rsidRDefault="00962751" w:rsidP="0038031A">
      <w:pPr>
        <w:numPr>
          <w:ilvl w:val="0"/>
          <w:numId w:val="60"/>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vecākais juriskonsults un </w:t>
      </w:r>
      <w:r w:rsidR="0038031A">
        <w:rPr>
          <w:rFonts w:ascii="Times New Roman" w:eastAsiaTheme="minorHAnsi" w:hAnsi="Times New Roman"/>
          <w:sz w:val="27"/>
          <w:szCs w:val="27"/>
          <w:lang w:eastAsia="lv-LV"/>
        </w:rPr>
        <w:t>juriskonsults (2 amata slodze).</w:t>
      </w:r>
    </w:p>
    <w:p w14:paraId="7DA52A45" w14:textId="62035871" w:rsidR="0038031A" w:rsidRDefault="0038031A" w:rsidP="0038031A">
      <w:pPr>
        <w:tabs>
          <w:tab w:val="left" w:pos="1134"/>
        </w:tabs>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Šīs </w:t>
      </w:r>
      <w:r w:rsidR="002867C3">
        <w:rPr>
          <w:rFonts w:ascii="Times New Roman" w:eastAsiaTheme="minorHAnsi" w:hAnsi="Times New Roman"/>
          <w:sz w:val="27"/>
          <w:szCs w:val="27"/>
        </w:rPr>
        <w:t>departamenta</w:t>
      </w:r>
      <w:r>
        <w:rPr>
          <w:rFonts w:ascii="Times New Roman" w:eastAsiaTheme="minorHAnsi" w:hAnsi="Times New Roman"/>
          <w:sz w:val="27"/>
          <w:szCs w:val="27"/>
        </w:rPr>
        <w:t xml:space="preserve"> pienākumi būtu veikt šī ziņojuma II sadaļas 1. un 2.nodaļā minētos pienākumus.</w:t>
      </w:r>
    </w:p>
    <w:p w14:paraId="44539BF7" w14:textId="487C69D9" w:rsidR="0038031A" w:rsidRDefault="0038031A" w:rsidP="0038031A">
      <w:pPr>
        <w:tabs>
          <w:tab w:val="left" w:pos="426"/>
        </w:tabs>
        <w:spacing w:before="120" w:after="120" w:line="240" w:lineRule="auto"/>
        <w:jc w:val="both"/>
        <w:rPr>
          <w:rFonts w:ascii="Times New Roman" w:eastAsiaTheme="minorHAnsi" w:hAnsi="Times New Roman"/>
          <w:sz w:val="27"/>
          <w:szCs w:val="27"/>
          <w:u w:val="single"/>
          <w:lang w:eastAsia="lv-LV"/>
        </w:rPr>
      </w:pPr>
      <w:r>
        <w:rPr>
          <w:rFonts w:ascii="Times New Roman" w:eastAsiaTheme="minorHAnsi" w:hAnsi="Times New Roman"/>
          <w:sz w:val="27"/>
          <w:szCs w:val="27"/>
          <w:u w:val="single"/>
          <w:lang w:eastAsia="lv-LV"/>
        </w:rPr>
        <w:lastRenderedPageBreak/>
        <w:t>Enerģētikas departaments (</w:t>
      </w:r>
      <w:r w:rsidR="00CC35A4">
        <w:rPr>
          <w:rFonts w:ascii="Times New Roman" w:eastAsiaTheme="minorHAnsi" w:hAnsi="Times New Roman"/>
          <w:sz w:val="27"/>
          <w:szCs w:val="27"/>
          <w:u w:val="single"/>
          <w:lang w:eastAsia="lv-LV"/>
        </w:rPr>
        <w:t>13</w:t>
      </w:r>
      <w:r>
        <w:rPr>
          <w:rFonts w:ascii="Times New Roman" w:eastAsiaTheme="minorHAnsi" w:hAnsi="Times New Roman"/>
          <w:sz w:val="27"/>
          <w:szCs w:val="27"/>
          <w:u w:val="single"/>
          <w:lang w:eastAsia="lv-LV"/>
        </w:rPr>
        <w:t xml:space="preserve"> amata slodzes nodaļās, t.sk. departamenta direktora amata slodze):</w:t>
      </w:r>
    </w:p>
    <w:p w14:paraId="56933928" w14:textId="67F59115" w:rsidR="0038031A" w:rsidRDefault="0038031A" w:rsidP="0038031A">
      <w:pPr>
        <w:tabs>
          <w:tab w:val="left" w:pos="1134"/>
        </w:tabs>
        <w:spacing w:before="120" w:after="120" w:line="240" w:lineRule="auto"/>
        <w:jc w:val="both"/>
        <w:rPr>
          <w:rFonts w:ascii="Times New Roman" w:eastAsiaTheme="minorHAnsi" w:hAnsi="Times New Roman"/>
          <w:i/>
          <w:sz w:val="27"/>
          <w:szCs w:val="27"/>
        </w:rPr>
      </w:pPr>
      <w:bookmarkStart w:id="196" w:name="_Hlk534711932"/>
      <w:r>
        <w:rPr>
          <w:rFonts w:ascii="Times New Roman" w:eastAsiaTheme="minorHAnsi" w:hAnsi="Times New Roman"/>
          <w:i/>
          <w:sz w:val="27"/>
          <w:szCs w:val="27"/>
        </w:rPr>
        <w:tab/>
        <w:t xml:space="preserve">Energoefektivitātes uzraudzības nodaļa </w:t>
      </w:r>
      <w:bookmarkEnd w:id="196"/>
      <w:r>
        <w:rPr>
          <w:rFonts w:ascii="Times New Roman" w:eastAsiaTheme="minorHAnsi" w:hAnsi="Times New Roman"/>
          <w:i/>
          <w:sz w:val="27"/>
          <w:szCs w:val="27"/>
        </w:rPr>
        <w:t>(</w:t>
      </w:r>
      <w:r w:rsidR="00CC35A4">
        <w:rPr>
          <w:rFonts w:ascii="Times New Roman" w:eastAsiaTheme="minorHAnsi" w:hAnsi="Times New Roman"/>
          <w:i/>
          <w:sz w:val="27"/>
          <w:szCs w:val="27"/>
        </w:rPr>
        <w:t>5</w:t>
      </w:r>
      <w:r>
        <w:rPr>
          <w:rFonts w:ascii="Times New Roman" w:eastAsiaTheme="minorHAnsi" w:hAnsi="Times New Roman"/>
          <w:i/>
          <w:sz w:val="27"/>
          <w:szCs w:val="27"/>
        </w:rPr>
        <w:t xml:space="preserve"> amata </w:t>
      </w:r>
      <w:r>
        <w:rPr>
          <w:rFonts w:ascii="Times New Roman" w:eastAsiaTheme="minorHAnsi" w:hAnsi="Times New Roman"/>
          <w:sz w:val="27"/>
          <w:szCs w:val="27"/>
          <w:lang w:eastAsia="lv-LV"/>
        </w:rPr>
        <w:t>slodzes</w:t>
      </w:r>
      <w:r>
        <w:rPr>
          <w:rFonts w:ascii="Times New Roman" w:eastAsiaTheme="minorHAnsi" w:hAnsi="Times New Roman"/>
          <w:i/>
          <w:sz w:val="27"/>
          <w:szCs w:val="27"/>
        </w:rPr>
        <w:t>):</w:t>
      </w:r>
    </w:p>
    <w:p w14:paraId="690498FB" w14:textId="77777777" w:rsidR="0038031A" w:rsidRDefault="0038031A" w:rsidP="0038031A">
      <w:pPr>
        <w:numPr>
          <w:ilvl w:val="0"/>
          <w:numId w:val="61"/>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nodaļas vadītājs (1 amata slodze); </w:t>
      </w:r>
    </w:p>
    <w:p w14:paraId="706DD323" w14:textId="52CBB802" w:rsidR="0038031A" w:rsidRDefault="0038031A" w:rsidP="0038031A">
      <w:pPr>
        <w:numPr>
          <w:ilvl w:val="0"/>
          <w:numId w:val="61"/>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vecākais eksperts (</w:t>
      </w:r>
      <w:r w:rsidR="00CC35A4">
        <w:rPr>
          <w:rFonts w:ascii="Times New Roman" w:eastAsiaTheme="minorHAnsi" w:hAnsi="Times New Roman"/>
          <w:sz w:val="27"/>
          <w:szCs w:val="27"/>
          <w:lang w:eastAsia="lv-LV"/>
        </w:rPr>
        <w:t>2</w:t>
      </w:r>
      <w:r>
        <w:rPr>
          <w:rFonts w:ascii="Times New Roman" w:eastAsiaTheme="minorHAnsi" w:hAnsi="Times New Roman"/>
          <w:sz w:val="27"/>
          <w:szCs w:val="27"/>
          <w:lang w:eastAsia="lv-LV"/>
        </w:rPr>
        <w:t xml:space="preserve"> amata slodzes);</w:t>
      </w:r>
    </w:p>
    <w:p w14:paraId="4049CC84" w14:textId="0E9BB191" w:rsidR="0038031A" w:rsidRDefault="00CC35A4" w:rsidP="0038031A">
      <w:pPr>
        <w:numPr>
          <w:ilvl w:val="0"/>
          <w:numId w:val="61"/>
        </w:numPr>
        <w:tabs>
          <w:tab w:val="left" w:pos="1134"/>
        </w:tabs>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vecākais juriskonsults un </w:t>
      </w:r>
      <w:r w:rsidR="0038031A">
        <w:rPr>
          <w:rFonts w:ascii="Times New Roman" w:eastAsiaTheme="minorHAnsi" w:hAnsi="Times New Roman"/>
          <w:sz w:val="27"/>
          <w:szCs w:val="27"/>
          <w:lang w:eastAsia="lv-LV"/>
        </w:rPr>
        <w:t>juriskonsults (2 amata slodzes).</w:t>
      </w:r>
    </w:p>
    <w:p w14:paraId="6A37C5E2" w14:textId="77777777" w:rsidR="0038031A" w:rsidRDefault="0038031A" w:rsidP="0038031A">
      <w:pPr>
        <w:tabs>
          <w:tab w:val="left" w:pos="1134"/>
        </w:tabs>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Šīs nodaļas pienākumi būtu veikt šī ziņojuma II daļas 3.1.apakšnodaļā minētos pienākumus.</w:t>
      </w:r>
    </w:p>
    <w:p w14:paraId="78AF5873" w14:textId="77777777" w:rsidR="0038031A" w:rsidRDefault="0038031A" w:rsidP="0038031A">
      <w:pPr>
        <w:widowControl w:val="0"/>
        <w:tabs>
          <w:tab w:val="left" w:pos="1134"/>
        </w:tabs>
        <w:suppressAutoHyphens/>
        <w:spacing w:before="120" w:after="120" w:line="240" w:lineRule="auto"/>
        <w:jc w:val="both"/>
        <w:rPr>
          <w:rFonts w:ascii="Times New Roman" w:eastAsiaTheme="minorHAnsi" w:hAnsi="Times New Roman"/>
          <w:bCs/>
          <w:i/>
          <w:sz w:val="27"/>
          <w:szCs w:val="27"/>
        </w:rPr>
      </w:pPr>
      <w:bookmarkStart w:id="197" w:name="_Hlk534712045"/>
      <w:r>
        <w:rPr>
          <w:rFonts w:ascii="Times New Roman" w:eastAsiaTheme="minorHAnsi" w:hAnsi="Times New Roman"/>
          <w:bCs/>
          <w:i/>
          <w:sz w:val="27"/>
          <w:szCs w:val="27"/>
        </w:rPr>
        <w:tab/>
        <w:t xml:space="preserve">Naftas produktu nodaļa </w:t>
      </w:r>
      <w:bookmarkEnd w:id="197"/>
      <w:r>
        <w:rPr>
          <w:rFonts w:ascii="Times New Roman" w:eastAsiaTheme="minorHAnsi" w:hAnsi="Times New Roman"/>
          <w:bCs/>
          <w:i/>
          <w:sz w:val="27"/>
          <w:szCs w:val="27"/>
        </w:rPr>
        <w:t>(7 amata slodzes):</w:t>
      </w:r>
    </w:p>
    <w:p w14:paraId="79E11C73" w14:textId="77777777" w:rsidR="0038031A" w:rsidRDefault="0038031A" w:rsidP="0038031A">
      <w:pPr>
        <w:numPr>
          <w:ilvl w:val="0"/>
          <w:numId w:val="62"/>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nodaļas vadītājs (1 amata slodze);</w:t>
      </w:r>
    </w:p>
    <w:p w14:paraId="4C0D5E8A" w14:textId="77777777" w:rsidR="0038031A" w:rsidRDefault="0038031A" w:rsidP="0038031A">
      <w:pPr>
        <w:numPr>
          <w:ilvl w:val="0"/>
          <w:numId w:val="62"/>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eksperts (2 amata slodzes); </w:t>
      </w:r>
    </w:p>
    <w:p w14:paraId="37F0AA3A" w14:textId="77777777" w:rsidR="0038031A" w:rsidRDefault="0038031A" w:rsidP="0038031A">
      <w:pPr>
        <w:numPr>
          <w:ilvl w:val="0"/>
          <w:numId w:val="62"/>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inspektors (2 amata slodzes); </w:t>
      </w:r>
    </w:p>
    <w:p w14:paraId="26BF4199" w14:textId="31BD9C67" w:rsidR="0038031A" w:rsidRDefault="00CC35A4" w:rsidP="0038031A">
      <w:pPr>
        <w:numPr>
          <w:ilvl w:val="0"/>
          <w:numId w:val="62"/>
        </w:num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vecākais juriskonsults un </w:t>
      </w:r>
      <w:r w:rsidR="0038031A">
        <w:rPr>
          <w:rFonts w:ascii="Times New Roman" w:eastAsiaTheme="minorHAnsi" w:hAnsi="Times New Roman"/>
          <w:sz w:val="27"/>
          <w:szCs w:val="27"/>
          <w:lang w:eastAsia="lv-LV"/>
        </w:rPr>
        <w:t>juriskonsults (2 amata slodzes).</w:t>
      </w:r>
    </w:p>
    <w:p w14:paraId="12444BD9" w14:textId="30C438AB" w:rsidR="0038031A" w:rsidRDefault="0038031A" w:rsidP="0038031A">
      <w:pPr>
        <w:tabs>
          <w:tab w:val="left" w:pos="1134"/>
        </w:tabs>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Šīs nodaļas pienākumi būtu veikt šī ziņojuma II daļas 3.2 un 3.3. apakšnodaļā minētos pienākumus.</w:t>
      </w:r>
    </w:p>
    <w:p w14:paraId="1AE61A6F" w14:textId="77777777" w:rsidR="00CC35A4" w:rsidRPr="005928E4" w:rsidRDefault="00CC35A4" w:rsidP="00CC35A4">
      <w:pPr>
        <w:spacing w:before="120" w:after="120" w:line="240" w:lineRule="auto"/>
        <w:jc w:val="both"/>
        <w:rPr>
          <w:rFonts w:ascii="Times New Roman" w:eastAsiaTheme="minorHAnsi" w:hAnsi="Times New Roman"/>
          <w:sz w:val="27"/>
          <w:szCs w:val="27"/>
          <w:u w:val="single"/>
          <w:lang w:eastAsia="lv-LV"/>
        </w:rPr>
      </w:pPr>
      <w:r w:rsidRPr="005928E4">
        <w:rPr>
          <w:rFonts w:ascii="Times New Roman" w:eastAsiaTheme="minorHAnsi" w:hAnsi="Times New Roman"/>
          <w:sz w:val="27"/>
          <w:szCs w:val="27"/>
          <w:u w:val="single"/>
          <w:lang w:eastAsia="lv-LV"/>
        </w:rPr>
        <w:t>Juridiskā nodaļa (</w:t>
      </w:r>
      <w:r>
        <w:rPr>
          <w:rFonts w:ascii="Times New Roman" w:eastAsiaTheme="minorHAnsi" w:hAnsi="Times New Roman"/>
          <w:sz w:val="27"/>
          <w:szCs w:val="27"/>
          <w:u w:val="single"/>
          <w:lang w:eastAsia="lv-LV"/>
        </w:rPr>
        <w:t>3</w:t>
      </w:r>
      <w:r w:rsidRPr="005928E4">
        <w:rPr>
          <w:rFonts w:ascii="Times New Roman" w:eastAsiaTheme="minorHAnsi" w:hAnsi="Times New Roman"/>
          <w:sz w:val="27"/>
          <w:szCs w:val="27"/>
          <w:u w:val="single"/>
          <w:lang w:eastAsia="lv-LV"/>
        </w:rPr>
        <w:t xml:space="preserve"> papildu amata vietas)</w:t>
      </w:r>
    </w:p>
    <w:p w14:paraId="0890D0CC" w14:textId="77777777" w:rsidR="00CC35A4" w:rsidRPr="005928E4" w:rsidRDefault="00CC35A4" w:rsidP="00CC35A4">
      <w:pPr>
        <w:spacing w:before="120" w:after="120" w:line="240" w:lineRule="auto"/>
        <w:jc w:val="both"/>
        <w:rPr>
          <w:rFonts w:ascii="Times New Roman" w:eastAsiaTheme="minorHAnsi" w:hAnsi="Times New Roman"/>
          <w:sz w:val="27"/>
          <w:szCs w:val="27"/>
        </w:rPr>
      </w:pPr>
      <w:r w:rsidRPr="005928E4">
        <w:rPr>
          <w:rFonts w:ascii="Times New Roman" w:eastAsiaTheme="minorHAnsi" w:hAnsi="Times New Roman"/>
          <w:sz w:val="27"/>
          <w:szCs w:val="27"/>
        </w:rPr>
        <w:t xml:space="preserve">Saistībā ar </w:t>
      </w:r>
      <w:r>
        <w:rPr>
          <w:rFonts w:ascii="Times New Roman" w:eastAsiaTheme="minorHAnsi" w:hAnsi="Times New Roman"/>
          <w:sz w:val="27"/>
          <w:szCs w:val="27"/>
        </w:rPr>
        <w:t xml:space="preserve">divu jaunu departamentu gatavotajiem lēmumiem, ir sagaidāms arī būtisks </w:t>
      </w:r>
      <w:r w:rsidRPr="005928E4">
        <w:rPr>
          <w:rFonts w:ascii="Times New Roman" w:eastAsiaTheme="minorHAnsi" w:hAnsi="Times New Roman"/>
          <w:sz w:val="27"/>
          <w:szCs w:val="27"/>
        </w:rPr>
        <w:t xml:space="preserve">apstrīdēšanas iesniegumu un tiesvedību skaita pieaugumu būs nepieciešams izveidot papildu štata vietas </w:t>
      </w:r>
      <w:r>
        <w:rPr>
          <w:rFonts w:ascii="Times New Roman" w:eastAsiaTheme="minorHAnsi" w:hAnsi="Times New Roman"/>
          <w:sz w:val="27"/>
          <w:szCs w:val="27"/>
        </w:rPr>
        <w:t>BVKB</w:t>
      </w:r>
      <w:r w:rsidRPr="005928E4">
        <w:rPr>
          <w:rFonts w:ascii="Times New Roman" w:eastAsiaTheme="minorHAnsi" w:hAnsi="Times New Roman"/>
          <w:sz w:val="27"/>
          <w:szCs w:val="27"/>
        </w:rPr>
        <w:t xml:space="preserve"> Juridiskajā nodaļā (</w:t>
      </w:r>
      <w:r>
        <w:rPr>
          <w:rFonts w:ascii="Times New Roman" w:eastAsiaTheme="minorHAnsi" w:hAnsi="Times New Roman"/>
          <w:sz w:val="27"/>
          <w:szCs w:val="27"/>
        </w:rPr>
        <w:t>3</w:t>
      </w:r>
      <w:r w:rsidRPr="005928E4">
        <w:rPr>
          <w:rFonts w:ascii="Times New Roman" w:eastAsiaTheme="minorHAnsi" w:hAnsi="Times New Roman"/>
          <w:sz w:val="27"/>
          <w:szCs w:val="27"/>
        </w:rPr>
        <w:t xml:space="preserve"> papildu amata vietas).</w:t>
      </w:r>
      <w:r>
        <w:rPr>
          <w:rFonts w:ascii="Times New Roman" w:eastAsiaTheme="minorHAnsi" w:hAnsi="Times New Roman"/>
          <w:sz w:val="27"/>
          <w:szCs w:val="27"/>
        </w:rPr>
        <w:t xml:space="preserve"> Šīs štata vietas ir nepieciešams izdalīt atsevišķi Juridiskajā nodaļā, lai ievērotu divu pakāpju lēmumu pieņemšanas uzraudzības principu. Tāpat ir paredzams, ka BVKB būs jāpārņem no Ekonomikas ministrijas arī iespējamās un esošās tiesvedības OIK jomā.</w:t>
      </w:r>
      <w:r w:rsidRPr="005928E4">
        <w:rPr>
          <w:rFonts w:ascii="Times New Roman" w:eastAsiaTheme="minorHAnsi" w:hAnsi="Times New Roman"/>
          <w:sz w:val="27"/>
          <w:szCs w:val="27"/>
        </w:rPr>
        <w:t xml:space="preserve"> </w:t>
      </w:r>
    </w:p>
    <w:p w14:paraId="72BEC059" w14:textId="77777777" w:rsidR="00CC35A4" w:rsidRDefault="00CC35A4" w:rsidP="0038031A">
      <w:pPr>
        <w:tabs>
          <w:tab w:val="left" w:pos="1134"/>
        </w:tabs>
        <w:spacing w:before="120" w:after="120" w:line="240" w:lineRule="auto"/>
        <w:jc w:val="both"/>
        <w:rPr>
          <w:rFonts w:ascii="Times New Roman" w:eastAsiaTheme="minorHAnsi" w:hAnsi="Times New Roman"/>
          <w:sz w:val="27"/>
          <w:szCs w:val="27"/>
        </w:rPr>
      </w:pPr>
    </w:p>
    <w:p w14:paraId="611E7F53" w14:textId="6C5EF559" w:rsidR="0038031A" w:rsidRDefault="0038031A" w:rsidP="0038031A">
      <w:pPr>
        <w:spacing w:before="120" w:after="120" w:line="240" w:lineRule="auto"/>
        <w:jc w:val="both"/>
        <w:rPr>
          <w:rFonts w:ascii="Times New Roman" w:eastAsiaTheme="minorHAnsi" w:hAnsi="Times New Roman"/>
          <w:sz w:val="27"/>
          <w:szCs w:val="27"/>
          <w:u w:val="single"/>
          <w:lang w:eastAsia="lv-LV"/>
        </w:rPr>
      </w:pPr>
      <w:r>
        <w:rPr>
          <w:rFonts w:ascii="Times New Roman" w:eastAsiaTheme="minorHAnsi" w:hAnsi="Times New Roman"/>
          <w:sz w:val="27"/>
          <w:szCs w:val="27"/>
          <w:u w:val="single"/>
          <w:lang w:eastAsia="lv-LV"/>
        </w:rPr>
        <w:t>Būvniecības Informācijas Sistēmas (BIS) departaments (</w:t>
      </w:r>
      <w:r w:rsidR="00CC35A4">
        <w:rPr>
          <w:rFonts w:ascii="Times New Roman" w:eastAsiaTheme="minorHAnsi" w:hAnsi="Times New Roman"/>
          <w:sz w:val="27"/>
          <w:szCs w:val="27"/>
          <w:u w:val="single"/>
          <w:lang w:eastAsia="lv-LV"/>
        </w:rPr>
        <w:t>5</w:t>
      </w:r>
      <w:r>
        <w:rPr>
          <w:rFonts w:ascii="Times New Roman" w:eastAsiaTheme="minorHAnsi" w:hAnsi="Times New Roman"/>
          <w:sz w:val="27"/>
          <w:szCs w:val="27"/>
          <w:u w:val="single"/>
          <w:lang w:eastAsia="lv-LV"/>
        </w:rPr>
        <w:t xml:space="preserve"> amata slodzes)</w:t>
      </w:r>
    </w:p>
    <w:p w14:paraId="6A077588"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Saistībā ar nepieciešamību nodrošināt no Ekonomikas ministrijas pārņemto programmatūru un sistēmu uzturēšanu, labošanu, atjaunināšanu, jaunu programmatūru un sistēmu ieviešanu būs nepieciešams izveidot papildu amata slodzes BVKB BIS departamentā:</w:t>
      </w:r>
    </w:p>
    <w:p w14:paraId="71083639" w14:textId="77777777" w:rsidR="00CC35A4" w:rsidRDefault="0038031A" w:rsidP="00CC35A4">
      <w:pPr>
        <w:numPr>
          <w:ilvl w:val="0"/>
          <w:numId w:val="63"/>
        </w:numPr>
        <w:spacing w:before="120" w:after="120" w:line="240" w:lineRule="auto"/>
        <w:ind w:left="357" w:hanging="35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sistēmas analītiķis (2 amata slodzes);</w:t>
      </w:r>
    </w:p>
    <w:p w14:paraId="7F8B0DAB" w14:textId="269B4DDA" w:rsidR="00CC35A4" w:rsidRPr="00CC35A4" w:rsidRDefault="00CC35A4" w:rsidP="00CC35A4">
      <w:pPr>
        <w:numPr>
          <w:ilvl w:val="0"/>
          <w:numId w:val="63"/>
        </w:numPr>
        <w:spacing w:before="120" w:after="120" w:line="240" w:lineRule="auto"/>
        <w:ind w:left="357" w:hanging="357"/>
        <w:jc w:val="both"/>
        <w:rPr>
          <w:rFonts w:ascii="Times New Roman" w:eastAsiaTheme="minorHAnsi" w:hAnsi="Times New Roman"/>
          <w:sz w:val="27"/>
          <w:szCs w:val="27"/>
          <w:lang w:eastAsia="lv-LV"/>
        </w:rPr>
      </w:pPr>
      <w:r w:rsidRPr="00CC35A4">
        <w:rPr>
          <w:rFonts w:ascii="Times New Roman" w:eastAsiaTheme="minorHAnsi" w:hAnsi="Times New Roman"/>
          <w:sz w:val="27"/>
          <w:szCs w:val="27"/>
          <w:lang w:eastAsia="lv-LV"/>
        </w:rPr>
        <w:t>pakalpojuma vadītājs (2 amata slodzes);</w:t>
      </w:r>
    </w:p>
    <w:p w14:paraId="73FDCDD6" w14:textId="77777777" w:rsidR="0038031A" w:rsidRDefault="0038031A" w:rsidP="0038031A">
      <w:pPr>
        <w:numPr>
          <w:ilvl w:val="0"/>
          <w:numId w:val="63"/>
        </w:numPr>
        <w:spacing w:before="120" w:after="120" w:line="240" w:lineRule="auto"/>
        <w:ind w:left="357" w:hanging="357"/>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datu un sistēmu analītiķis (1 amata slodze).</w:t>
      </w:r>
    </w:p>
    <w:p w14:paraId="6ACE83AD"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Ņemot vērā BVKB pieredzi būvniecības procesa </w:t>
      </w:r>
      <w:proofErr w:type="spellStart"/>
      <w:r>
        <w:rPr>
          <w:rFonts w:ascii="Times New Roman" w:eastAsiaTheme="minorHAnsi" w:hAnsi="Times New Roman"/>
          <w:sz w:val="27"/>
          <w:szCs w:val="27"/>
        </w:rPr>
        <w:t>digitalizācijā</w:t>
      </w:r>
      <w:proofErr w:type="spellEnd"/>
      <w:r>
        <w:rPr>
          <w:rFonts w:ascii="Times New Roman" w:eastAsiaTheme="minorHAnsi" w:hAnsi="Times New Roman"/>
          <w:sz w:val="27"/>
          <w:szCs w:val="27"/>
        </w:rPr>
        <w:t xml:space="preserve"> un, lai nodrošinātu efektīvu uz analītiku balstītu kontroli un uzraudzību, t.sk. nodrošinātu datu monitoringu, ar jauno funkciju nodošanu BVKB, nepieciešams izveidot arī vienotu enerģētikas informācijas sistēmu.</w:t>
      </w:r>
    </w:p>
    <w:p w14:paraId="0F9E6449" w14:textId="14464DD8" w:rsidR="0038031A" w:rsidRDefault="0038031A" w:rsidP="0038031A">
      <w:pPr>
        <w:spacing w:before="120" w:after="120" w:line="240" w:lineRule="auto"/>
        <w:jc w:val="center"/>
        <w:rPr>
          <w:rFonts w:ascii="Times New Roman" w:hAnsi="Times New Roman"/>
          <w:sz w:val="27"/>
        </w:rPr>
      </w:pPr>
      <w:r>
        <w:rPr>
          <w:rFonts w:ascii="Times New Roman" w:hAnsi="Times New Roman"/>
          <w:noProof/>
          <w:sz w:val="27"/>
        </w:rPr>
        <w:lastRenderedPageBreak/>
        <w:drawing>
          <wp:inline distT="0" distB="0" distL="0" distR="0" wp14:anchorId="3630509E" wp14:editId="1EDCB632">
            <wp:extent cx="5210175" cy="29241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0175" cy="2924175"/>
                    </a:xfrm>
                    <a:prstGeom prst="rect">
                      <a:avLst/>
                    </a:prstGeom>
                    <a:noFill/>
                    <a:ln>
                      <a:noFill/>
                    </a:ln>
                  </pic:spPr>
                </pic:pic>
              </a:graphicData>
            </a:graphic>
          </wp:inline>
        </w:drawing>
      </w:r>
    </w:p>
    <w:p w14:paraId="4A79EF4E" w14:textId="77777777" w:rsidR="0038031A" w:rsidRDefault="0038031A" w:rsidP="0038031A">
      <w:pPr>
        <w:spacing w:before="120" w:after="120" w:line="240" w:lineRule="auto"/>
        <w:jc w:val="center"/>
        <w:rPr>
          <w:rFonts w:ascii="Times New Roman" w:hAnsi="Times New Roman"/>
          <w:b/>
          <w:sz w:val="20"/>
          <w:szCs w:val="20"/>
        </w:rPr>
      </w:pPr>
      <w:r>
        <w:rPr>
          <w:rFonts w:ascii="Times New Roman" w:hAnsi="Times New Roman"/>
          <w:b/>
          <w:sz w:val="20"/>
          <w:szCs w:val="20"/>
        </w:rPr>
        <w:t>3.attēls. Iespējamā Enerģētikas un būvniecības valsts kontroles biroja struktūra</w:t>
      </w:r>
      <w:r>
        <w:rPr>
          <w:rFonts w:ascii="Times New Roman" w:hAnsi="Times New Roman"/>
          <w:b/>
          <w:sz w:val="20"/>
          <w:szCs w:val="20"/>
          <w:vertAlign w:val="superscript"/>
        </w:rPr>
        <w:footnoteReference w:id="31"/>
      </w:r>
    </w:p>
    <w:p w14:paraId="113DEF15" w14:textId="04E37685" w:rsidR="000960E0" w:rsidRDefault="000960E0" w:rsidP="000960E0">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Tomēr izdevumu samazināšanai uz BVKB ir iespējams pārcelt attiecīgos kompetentos Ekonomikas ministrijas darbiniekus (kopā ar finansējumu un tehnisko nodrošinājumu), kopumā 9 amata slodzes</w:t>
      </w:r>
      <w:r w:rsidR="003A24F2">
        <w:rPr>
          <w:rFonts w:ascii="Times New Roman" w:eastAsiaTheme="minorHAnsi" w:hAnsi="Times New Roman"/>
          <w:sz w:val="27"/>
          <w:szCs w:val="27"/>
        </w:rPr>
        <w:t xml:space="preserve">. </w:t>
      </w:r>
      <w:r>
        <w:rPr>
          <w:rFonts w:ascii="Times New Roman" w:eastAsiaTheme="minorHAnsi" w:hAnsi="Times New Roman"/>
          <w:sz w:val="27"/>
          <w:szCs w:val="27"/>
        </w:rPr>
        <w:t>7 amata slodzes</w:t>
      </w:r>
      <w:r w:rsidR="003A24F2">
        <w:rPr>
          <w:rFonts w:ascii="Times New Roman" w:eastAsiaTheme="minorHAnsi" w:hAnsi="Times New Roman"/>
          <w:sz w:val="27"/>
          <w:szCs w:val="27"/>
        </w:rPr>
        <w:t xml:space="preserve"> iespējams pārcelt</w:t>
      </w:r>
      <w:r>
        <w:rPr>
          <w:rFonts w:ascii="Times New Roman" w:eastAsiaTheme="minorHAnsi" w:hAnsi="Times New Roman"/>
          <w:sz w:val="27"/>
          <w:szCs w:val="27"/>
        </w:rPr>
        <w:t xml:space="preserve"> no Enerģētikas politikas administrēšanas departamenta – </w:t>
      </w:r>
      <w:r w:rsidR="003F4F61">
        <w:rPr>
          <w:rFonts w:ascii="Times New Roman" w:eastAsiaTheme="minorHAnsi" w:hAnsi="Times New Roman"/>
          <w:sz w:val="27"/>
          <w:szCs w:val="27"/>
        </w:rPr>
        <w:t>5</w:t>
      </w:r>
      <w:r w:rsidR="004377F9">
        <w:rPr>
          <w:rFonts w:ascii="Times New Roman" w:eastAsiaTheme="minorHAnsi" w:hAnsi="Times New Roman"/>
          <w:sz w:val="27"/>
          <w:szCs w:val="27"/>
        </w:rPr>
        <w:t xml:space="preserve"> </w:t>
      </w:r>
      <w:r w:rsidR="003A24F2">
        <w:rPr>
          <w:rFonts w:ascii="Times New Roman" w:eastAsiaTheme="minorHAnsi" w:hAnsi="Times New Roman"/>
          <w:sz w:val="27"/>
          <w:szCs w:val="27"/>
        </w:rPr>
        <w:t xml:space="preserve">amata slodzes </w:t>
      </w:r>
      <w:r>
        <w:rPr>
          <w:rFonts w:ascii="Times New Roman" w:eastAsiaTheme="minorHAnsi" w:hAnsi="Times New Roman"/>
          <w:sz w:val="27"/>
          <w:szCs w:val="27"/>
        </w:rPr>
        <w:t xml:space="preserve">informatīvā ziņojuma </w:t>
      </w:r>
      <w:r w:rsidRPr="003A24F2">
        <w:rPr>
          <w:rFonts w:ascii="Times New Roman" w:eastAsiaTheme="minorHAnsi" w:hAnsi="Times New Roman"/>
          <w:sz w:val="27"/>
          <w:szCs w:val="27"/>
        </w:rPr>
        <w:t xml:space="preserve">II sadaļas 1. punktā minēto funkciju un uzdevumu </w:t>
      </w:r>
      <w:r w:rsidRPr="008172CB">
        <w:rPr>
          <w:rFonts w:ascii="Times New Roman" w:eastAsiaTheme="minorHAnsi" w:hAnsi="Times New Roman"/>
          <w:sz w:val="27"/>
          <w:szCs w:val="27"/>
        </w:rPr>
        <w:t>vei</w:t>
      </w:r>
      <w:r w:rsidR="004377F9" w:rsidRPr="008172CB">
        <w:rPr>
          <w:rFonts w:ascii="Times New Roman" w:eastAsiaTheme="minorHAnsi" w:hAnsi="Times New Roman"/>
          <w:sz w:val="27"/>
          <w:szCs w:val="27"/>
        </w:rPr>
        <w:t>kšana</w:t>
      </w:r>
      <w:r w:rsidR="003A24F2" w:rsidRPr="008172CB">
        <w:rPr>
          <w:rFonts w:ascii="Times New Roman" w:eastAsiaTheme="minorHAnsi" w:hAnsi="Times New Roman"/>
          <w:sz w:val="27"/>
          <w:szCs w:val="27"/>
        </w:rPr>
        <w:t>i</w:t>
      </w:r>
      <w:r w:rsidR="003F4F61" w:rsidRPr="008172CB">
        <w:rPr>
          <w:rFonts w:ascii="Times New Roman" w:eastAsiaTheme="minorHAnsi" w:hAnsi="Times New Roman"/>
          <w:sz w:val="27"/>
          <w:szCs w:val="27"/>
        </w:rPr>
        <w:t xml:space="preserve"> un</w:t>
      </w:r>
      <w:r w:rsidR="003F193A" w:rsidRPr="008172CB">
        <w:rPr>
          <w:rFonts w:ascii="Times New Roman" w:eastAsiaTheme="minorHAnsi" w:hAnsi="Times New Roman"/>
          <w:sz w:val="27"/>
          <w:szCs w:val="27"/>
        </w:rPr>
        <w:t xml:space="preserve"> 2</w:t>
      </w:r>
      <w:r w:rsidR="004377F9" w:rsidRPr="008172CB">
        <w:rPr>
          <w:rFonts w:ascii="Times New Roman" w:eastAsiaTheme="minorHAnsi" w:hAnsi="Times New Roman"/>
          <w:sz w:val="27"/>
          <w:szCs w:val="27"/>
        </w:rPr>
        <w:t xml:space="preserve"> </w:t>
      </w:r>
      <w:r w:rsidR="003A24F2" w:rsidRPr="008172CB">
        <w:rPr>
          <w:rFonts w:ascii="Times New Roman" w:eastAsiaTheme="minorHAnsi" w:hAnsi="Times New Roman"/>
          <w:sz w:val="27"/>
          <w:szCs w:val="27"/>
        </w:rPr>
        <w:t xml:space="preserve">amata slodzes </w:t>
      </w:r>
      <w:r w:rsidR="004377F9" w:rsidRPr="008172CB">
        <w:rPr>
          <w:rFonts w:ascii="Times New Roman" w:eastAsiaTheme="minorHAnsi" w:hAnsi="Times New Roman"/>
          <w:sz w:val="27"/>
          <w:szCs w:val="27"/>
        </w:rPr>
        <w:t>informatīvā ziņojuma II sadaļas 3.1.punktā</w:t>
      </w:r>
      <w:r w:rsidR="004377F9">
        <w:rPr>
          <w:rFonts w:ascii="Times New Roman" w:eastAsiaTheme="minorHAnsi" w:hAnsi="Times New Roman"/>
          <w:sz w:val="27"/>
          <w:szCs w:val="27"/>
        </w:rPr>
        <w:t xml:space="preserve"> minēto funkciju un uzdevumu veikšana</w:t>
      </w:r>
      <w:r w:rsidR="003A24F2">
        <w:rPr>
          <w:rFonts w:ascii="Times New Roman" w:eastAsiaTheme="minorHAnsi" w:hAnsi="Times New Roman"/>
          <w:sz w:val="27"/>
          <w:szCs w:val="27"/>
        </w:rPr>
        <w:t>i</w:t>
      </w:r>
      <w:r w:rsidR="00CC35A4">
        <w:rPr>
          <w:rFonts w:ascii="Times New Roman" w:eastAsiaTheme="minorHAnsi" w:hAnsi="Times New Roman"/>
          <w:sz w:val="27"/>
          <w:szCs w:val="27"/>
        </w:rPr>
        <w:t xml:space="preserve"> un 0,5 amata slodze informatīvā ziņojuma </w:t>
      </w:r>
      <w:r w:rsidR="00CC35A4" w:rsidRPr="003A24F2">
        <w:rPr>
          <w:rFonts w:ascii="Times New Roman" w:eastAsiaTheme="minorHAnsi" w:hAnsi="Times New Roman"/>
          <w:sz w:val="27"/>
          <w:szCs w:val="27"/>
        </w:rPr>
        <w:t xml:space="preserve">II sadaļas </w:t>
      </w:r>
      <w:r w:rsidR="00CC35A4">
        <w:rPr>
          <w:rFonts w:ascii="Times New Roman" w:eastAsiaTheme="minorHAnsi" w:hAnsi="Times New Roman"/>
          <w:sz w:val="27"/>
          <w:szCs w:val="27"/>
        </w:rPr>
        <w:t>3.3</w:t>
      </w:r>
      <w:r w:rsidR="00CC35A4" w:rsidRPr="003A24F2">
        <w:rPr>
          <w:rFonts w:ascii="Times New Roman" w:eastAsiaTheme="minorHAnsi" w:hAnsi="Times New Roman"/>
          <w:sz w:val="27"/>
          <w:szCs w:val="27"/>
        </w:rPr>
        <w:t>. punktā minēto funkciju un uzdevumu veikšanai</w:t>
      </w:r>
      <w:r w:rsidR="003A24F2">
        <w:rPr>
          <w:rFonts w:ascii="Times New Roman" w:eastAsiaTheme="minorHAnsi" w:hAnsi="Times New Roman"/>
          <w:sz w:val="27"/>
          <w:szCs w:val="27"/>
        </w:rPr>
        <w:t>.</w:t>
      </w:r>
      <w:r w:rsidR="003F193A">
        <w:rPr>
          <w:rFonts w:ascii="Times New Roman" w:eastAsiaTheme="minorHAnsi" w:hAnsi="Times New Roman"/>
          <w:sz w:val="27"/>
          <w:szCs w:val="27"/>
        </w:rPr>
        <w:t xml:space="preserve"> </w:t>
      </w:r>
      <w:r w:rsidR="003A24F2">
        <w:rPr>
          <w:rFonts w:ascii="Times New Roman" w:eastAsiaTheme="minorHAnsi" w:hAnsi="Times New Roman"/>
          <w:sz w:val="27"/>
          <w:szCs w:val="27"/>
        </w:rPr>
        <w:t>Savukārt</w:t>
      </w:r>
      <w:r>
        <w:rPr>
          <w:rFonts w:ascii="Times New Roman" w:eastAsiaTheme="minorHAnsi" w:hAnsi="Times New Roman"/>
          <w:sz w:val="27"/>
          <w:szCs w:val="27"/>
        </w:rPr>
        <w:t xml:space="preserve"> </w:t>
      </w:r>
      <w:r w:rsidR="00CC35A4">
        <w:rPr>
          <w:rFonts w:ascii="Times New Roman" w:eastAsiaTheme="minorHAnsi" w:hAnsi="Times New Roman"/>
          <w:sz w:val="27"/>
          <w:szCs w:val="27"/>
        </w:rPr>
        <w:t>1,5</w:t>
      </w:r>
      <w:r>
        <w:rPr>
          <w:rFonts w:ascii="Times New Roman" w:eastAsiaTheme="minorHAnsi" w:hAnsi="Times New Roman"/>
          <w:sz w:val="27"/>
          <w:szCs w:val="27"/>
        </w:rPr>
        <w:t xml:space="preserve"> amata slodzes</w:t>
      </w:r>
      <w:r w:rsidR="003A24F2">
        <w:rPr>
          <w:rFonts w:ascii="Times New Roman" w:eastAsiaTheme="minorHAnsi" w:hAnsi="Times New Roman"/>
          <w:sz w:val="27"/>
          <w:szCs w:val="27"/>
        </w:rPr>
        <w:t xml:space="preserve"> iespējams pārcelt</w:t>
      </w:r>
      <w:r>
        <w:rPr>
          <w:rFonts w:ascii="Times New Roman" w:eastAsiaTheme="minorHAnsi" w:hAnsi="Times New Roman"/>
          <w:sz w:val="27"/>
          <w:szCs w:val="27"/>
        </w:rPr>
        <w:t xml:space="preserve"> no Enerģētikas tirgus un infrastruktūras departamenta – </w:t>
      </w:r>
      <w:r w:rsidR="003F4F61">
        <w:rPr>
          <w:rFonts w:ascii="Times New Roman" w:eastAsiaTheme="minorHAnsi" w:hAnsi="Times New Roman"/>
          <w:sz w:val="27"/>
          <w:szCs w:val="27"/>
        </w:rPr>
        <w:t>0,5</w:t>
      </w:r>
      <w:r w:rsidR="003F193A">
        <w:rPr>
          <w:rFonts w:ascii="Times New Roman" w:eastAsiaTheme="minorHAnsi" w:hAnsi="Times New Roman"/>
          <w:sz w:val="27"/>
          <w:szCs w:val="27"/>
        </w:rPr>
        <w:t xml:space="preserve"> </w:t>
      </w:r>
      <w:r w:rsidR="003A24F2">
        <w:rPr>
          <w:rFonts w:ascii="Times New Roman" w:eastAsiaTheme="minorHAnsi" w:hAnsi="Times New Roman"/>
          <w:sz w:val="27"/>
          <w:szCs w:val="27"/>
        </w:rPr>
        <w:t xml:space="preserve">amata slodze </w:t>
      </w:r>
      <w:r>
        <w:rPr>
          <w:rFonts w:ascii="Times New Roman" w:eastAsiaTheme="minorHAnsi" w:hAnsi="Times New Roman"/>
          <w:sz w:val="27"/>
          <w:szCs w:val="27"/>
        </w:rPr>
        <w:t xml:space="preserve">informatīvā ziņojuma II sadaļas </w:t>
      </w:r>
      <w:r w:rsidR="003F193A">
        <w:rPr>
          <w:rFonts w:ascii="Times New Roman" w:eastAsiaTheme="minorHAnsi" w:hAnsi="Times New Roman"/>
          <w:sz w:val="27"/>
          <w:szCs w:val="27"/>
        </w:rPr>
        <w:t>2.punktā minēto funkciju un uzdevumu veikšana</w:t>
      </w:r>
      <w:r w:rsidR="003A24F2">
        <w:rPr>
          <w:rFonts w:ascii="Times New Roman" w:eastAsiaTheme="minorHAnsi" w:hAnsi="Times New Roman"/>
          <w:sz w:val="27"/>
          <w:szCs w:val="27"/>
        </w:rPr>
        <w:t>i</w:t>
      </w:r>
      <w:r w:rsidR="003F193A">
        <w:rPr>
          <w:rFonts w:ascii="Times New Roman" w:eastAsiaTheme="minorHAnsi" w:hAnsi="Times New Roman"/>
          <w:sz w:val="27"/>
          <w:szCs w:val="27"/>
        </w:rPr>
        <w:t xml:space="preserve">  un 1 </w:t>
      </w:r>
      <w:r w:rsidR="003A24F2">
        <w:rPr>
          <w:rFonts w:ascii="Times New Roman" w:eastAsiaTheme="minorHAnsi" w:hAnsi="Times New Roman"/>
          <w:sz w:val="27"/>
          <w:szCs w:val="27"/>
        </w:rPr>
        <w:t xml:space="preserve">amata slodze </w:t>
      </w:r>
      <w:r w:rsidR="003F193A">
        <w:rPr>
          <w:rFonts w:ascii="Times New Roman" w:eastAsiaTheme="minorHAnsi" w:hAnsi="Times New Roman"/>
          <w:sz w:val="27"/>
          <w:szCs w:val="27"/>
        </w:rPr>
        <w:t xml:space="preserve">informatīvā ziņojuma II sadaļas </w:t>
      </w:r>
      <w:r>
        <w:rPr>
          <w:rFonts w:ascii="Times New Roman" w:eastAsiaTheme="minorHAnsi" w:hAnsi="Times New Roman"/>
          <w:sz w:val="27"/>
          <w:szCs w:val="27"/>
        </w:rPr>
        <w:t>3.3.punktā minēto funkciju un uzdevumu vei</w:t>
      </w:r>
      <w:r w:rsidR="003F193A">
        <w:rPr>
          <w:rFonts w:ascii="Times New Roman" w:eastAsiaTheme="minorHAnsi" w:hAnsi="Times New Roman"/>
          <w:sz w:val="27"/>
          <w:szCs w:val="27"/>
        </w:rPr>
        <w:t>kšana</w:t>
      </w:r>
      <w:r w:rsidR="003A24F2">
        <w:rPr>
          <w:rFonts w:ascii="Times New Roman" w:eastAsiaTheme="minorHAnsi" w:hAnsi="Times New Roman"/>
          <w:sz w:val="27"/>
          <w:szCs w:val="27"/>
        </w:rPr>
        <w:t>i. Tādējādi tiktu</w:t>
      </w:r>
      <w:r>
        <w:rPr>
          <w:rFonts w:ascii="Times New Roman" w:eastAsiaTheme="minorHAnsi" w:hAnsi="Times New Roman"/>
          <w:sz w:val="27"/>
          <w:szCs w:val="27"/>
        </w:rPr>
        <w:t xml:space="preserve"> samazin</w:t>
      </w:r>
      <w:r w:rsidR="003A24F2">
        <w:rPr>
          <w:rFonts w:ascii="Times New Roman" w:eastAsiaTheme="minorHAnsi" w:hAnsi="Times New Roman"/>
          <w:sz w:val="27"/>
          <w:szCs w:val="27"/>
        </w:rPr>
        <w:t>ā</w:t>
      </w:r>
      <w:r>
        <w:rPr>
          <w:rFonts w:ascii="Times New Roman" w:eastAsiaTheme="minorHAnsi" w:hAnsi="Times New Roman"/>
          <w:sz w:val="27"/>
          <w:szCs w:val="27"/>
        </w:rPr>
        <w:t>t</w:t>
      </w:r>
      <w:r w:rsidR="003A24F2">
        <w:rPr>
          <w:rFonts w:ascii="Times New Roman" w:eastAsiaTheme="minorHAnsi" w:hAnsi="Times New Roman"/>
          <w:sz w:val="27"/>
          <w:szCs w:val="27"/>
        </w:rPr>
        <w:t>as</w:t>
      </w:r>
      <w:r>
        <w:rPr>
          <w:rFonts w:ascii="Times New Roman" w:eastAsiaTheme="minorHAnsi" w:hAnsi="Times New Roman"/>
          <w:sz w:val="27"/>
          <w:szCs w:val="27"/>
        </w:rPr>
        <w:t xml:space="preserve"> izmaksas, kas saistītas ar jaunu darba vietu izveidi un jaunu darbinieku atlasi. Tātad, ņemot vērā minēto, būtu nepieciešams izveidot divas jaunas atsevišķas struktūrvienības (departamentus), un kopumā izveidot 17 jaunas amata slodzes un uzturēt 26 amata slodzes.</w:t>
      </w:r>
    </w:p>
    <w:p w14:paraId="66088BC5" w14:textId="77777777" w:rsidR="0038031A" w:rsidRDefault="0038031A" w:rsidP="0038031A">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BVKB šobrīd ir noteikta, kā kompetentā iestāde </w:t>
      </w:r>
      <w:r>
        <w:rPr>
          <w:rFonts w:ascii="Times New Roman" w:eastAsiaTheme="minorHAnsi" w:hAnsi="Times New Roman"/>
          <w:sz w:val="27"/>
          <w:szCs w:val="27"/>
          <w:lang w:eastAsia="lv-LV"/>
        </w:rPr>
        <w:t>Noteikumi Nr.805</w:t>
      </w:r>
      <w:r>
        <w:rPr>
          <w:rFonts w:ascii="Times New Roman" w:eastAsiaTheme="minorHAnsi" w:hAnsi="Times New Roman"/>
          <w:sz w:val="27"/>
          <w:szCs w:val="27"/>
        </w:rPr>
        <w:t xml:space="preserve">  izpratnē. Atbilstoši Eiropas Parlamenta un Padomes 2013.gada 12.jūnija Direktīvas Nr.2013/30/ES par to darbību drošumu, kas saistītas ar naftas un gāzes nozares darbībām jūrā, un ar kuru groza direktīvu 2004/35/EK, 8.panta 3.punktam kompetentās iestādes regulatīvās funkcijas jāveic tādā iestādē, kas ir neatkarīga no jebkādām dalībvalsts funkcijām saistībā ar jūras dabas resursu ekonomisko attīstību un licenču izsniegšanu naftas un gāzes nozares darbībām jūrā, un no minētajām darbībām izrietošo ieņēmumu iekasēšanu un pārvaldību. Līdz ar to šī risinājuma izpildei būs nepieciešams izvēlēties un noteikt jaunu kompetento iestādi </w:t>
      </w:r>
      <w:r>
        <w:rPr>
          <w:rFonts w:ascii="Times New Roman" w:eastAsiaTheme="minorHAnsi" w:hAnsi="Times New Roman"/>
          <w:sz w:val="27"/>
          <w:szCs w:val="27"/>
          <w:lang w:eastAsia="lv-LV"/>
        </w:rPr>
        <w:t>Noteikumi Nr.805 izpratnē.</w:t>
      </w:r>
    </w:p>
    <w:p w14:paraId="70E6F40F" w14:textId="77777777" w:rsidR="0038031A" w:rsidRDefault="0038031A" w:rsidP="0038031A">
      <w:pPr>
        <w:spacing w:before="120" w:after="120" w:line="240" w:lineRule="auto"/>
        <w:jc w:val="both"/>
        <w:rPr>
          <w:rFonts w:ascii="Times New Roman" w:eastAsiaTheme="minorHAnsi" w:hAnsi="Times New Roman"/>
          <w:sz w:val="27"/>
          <w:szCs w:val="27"/>
          <w:lang w:eastAsia="lv-LV"/>
        </w:rPr>
      </w:pPr>
    </w:p>
    <w:p w14:paraId="672DC813" w14:textId="77777777" w:rsidR="0038031A" w:rsidRDefault="0038031A" w:rsidP="0038031A">
      <w:pPr>
        <w:shd w:val="clear" w:color="auto" w:fill="FFFFFF"/>
        <w:spacing w:before="120" w:after="120" w:line="240" w:lineRule="auto"/>
        <w:ind w:left="567"/>
        <w:jc w:val="both"/>
        <w:outlineLvl w:val="1"/>
        <w:rPr>
          <w:rFonts w:ascii="Times New Roman" w:eastAsia="Times New Roman" w:hAnsi="Times New Roman"/>
          <w:b/>
          <w:bCs/>
          <w:i/>
          <w:sz w:val="27"/>
          <w:szCs w:val="27"/>
          <w:lang w:eastAsia="lv-LV"/>
        </w:rPr>
      </w:pPr>
      <w:bookmarkStart w:id="198" w:name="_Toc530605157"/>
      <w:bookmarkStart w:id="199" w:name="_Toc530117381"/>
      <w:bookmarkStart w:id="200" w:name="_Toc5617089"/>
      <w:bookmarkStart w:id="201" w:name="_Toc5617059"/>
      <w:bookmarkStart w:id="202" w:name="_Toc5616992"/>
      <w:bookmarkStart w:id="203" w:name="_Toc5616892"/>
      <w:bookmarkStart w:id="204" w:name="_Toc5615513"/>
      <w:bookmarkStart w:id="205" w:name="_Toc2286388"/>
      <w:bookmarkStart w:id="206" w:name="_Toc531102738"/>
      <w:r>
        <w:rPr>
          <w:rFonts w:ascii="Times New Roman" w:eastAsia="Times New Roman" w:hAnsi="Times New Roman"/>
          <w:b/>
          <w:bCs/>
          <w:i/>
          <w:sz w:val="27"/>
          <w:szCs w:val="27"/>
          <w:lang w:eastAsia="lv-LV"/>
        </w:rPr>
        <w:lastRenderedPageBreak/>
        <w:t>Funkciju veikšanas noteikšana jaunā iestādē</w:t>
      </w:r>
      <w:bookmarkEnd w:id="198"/>
      <w:bookmarkEnd w:id="199"/>
      <w:r>
        <w:rPr>
          <w:rFonts w:ascii="Times New Roman" w:eastAsia="Times New Roman" w:hAnsi="Times New Roman"/>
          <w:b/>
          <w:bCs/>
          <w:i/>
          <w:sz w:val="27"/>
          <w:szCs w:val="27"/>
          <w:lang w:eastAsia="lv-LV"/>
        </w:rPr>
        <w:t xml:space="preserve"> – 3.risinājums</w:t>
      </w:r>
      <w:bookmarkEnd w:id="200"/>
      <w:bookmarkEnd w:id="201"/>
      <w:bookmarkEnd w:id="202"/>
      <w:bookmarkEnd w:id="203"/>
      <w:bookmarkEnd w:id="204"/>
      <w:bookmarkEnd w:id="205"/>
      <w:bookmarkEnd w:id="206"/>
    </w:p>
    <w:p w14:paraId="62617F01" w14:textId="77777777" w:rsidR="0038031A" w:rsidRDefault="0038031A" w:rsidP="0038031A">
      <w:pPr>
        <w:jc w:val="both"/>
        <w:rPr>
          <w:rFonts w:ascii="Times New Roman" w:eastAsia="Times New Roman" w:hAnsi="Times New Roman"/>
          <w:color w:val="000000"/>
          <w:sz w:val="27"/>
          <w:szCs w:val="27"/>
          <w:lang w:eastAsia="lv-LV"/>
        </w:rPr>
      </w:pPr>
      <w:r>
        <w:rPr>
          <w:rFonts w:ascii="Times New Roman" w:eastAsia="Times New Roman" w:hAnsi="Times New Roman"/>
          <w:bCs/>
          <w:color w:val="000000"/>
          <w:sz w:val="27"/>
          <w:szCs w:val="27"/>
          <w:lang w:eastAsia="lv-LV"/>
        </w:rPr>
        <w:t xml:space="preserve">Ja šī ziņojuma </w:t>
      </w:r>
      <w:r>
        <w:rPr>
          <w:rFonts w:ascii="Times New Roman" w:eastAsiaTheme="minorHAnsi" w:hAnsi="Times New Roman"/>
          <w:sz w:val="27"/>
          <w:szCs w:val="27"/>
        </w:rPr>
        <w:t xml:space="preserve">II sadaļas 1.-3.punktā </w:t>
      </w:r>
      <w:r>
        <w:rPr>
          <w:rFonts w:ascii="Times New Roman" w:eastAsia="Times New Roman" w:hAnsi="Times New Roman"/>
          <w:bCs/>
          <w:color w:val="000000"/>
          <w:sz w:val="27"/>
          <w:szCs w:val="27"/>
          <w:lang w:eastAsia="lv-LV"/>
        </w:rPr>
        <w:t>minēto pienākumu veikšanai tiek veidota jauna struktūra Ekonomikas ministrijas ietvaros – jauna Ekonomikas ministrijas padotības iestāde, tad</w:t>
      </w:r>
      <w:r>
        <w:rPr>
          <w:rFonts w:ascii="Times New Roman" w:eastAsia="Times New Roman" w:hAnsi="Times New Roman"/>
          <w:color w:val="000000"/>
          <w:sz w:val="27"/>
          <w:szCs w:val="27"/>
          <w:lang w:eastAsia="lv-LV"/>
        </w:rPr>
        <w:t xml:space="preserve"> minēto pienākumu izpildei arī tiktu veidotas 47 jaunas amata slodzes– 1 jauna iestādes vadītāja amata slodze, 34 jaunas amata slodzes (tai skaitā 1 departamenta vadītāja un 4 nodaļas vadītāju amata slodzes, 9 juristu un 20 ekspertu un inspektoru amata slodzes), kā arī tiktu veidotas iestādes darbības nodrošināšanai nepieciešamās jaunas 12 amata slodzes – finanšu un dokumentu vadības, personāla vadības, amata slodzes – 3 vadītāja amata slodzes un 9 ekspertu – speciālistu amata slodzes.</w:t>
      </w:r>
    </w:p>
    <w:p w14:paraId="51523E1A" w14:textId="65A5B67D" w:rsidR="0038031A" w:rsidRDefault="0038031A" w:rsidP="0038031A">
      <w:pPr>
        <w:jc w:val="center"/>
        <w:rPr>
          <w:lang w:eastAsia="lv-LV"/>
        </w:rPr>
      </w:pPr>
      <w:r>
        <w:rPr>
          <w:noProof/>
          <w:lang w:eastAsia="lv-LV"/>
        </w:rPr>
        <w:drawing>
          <wp:inline distT="0" distB="0" distL="0" distR="0" wp14:anchorId="76919D4E" wp14:editId="14E30E3B">
            <wp:extent cx="5702300" cy="381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2300" cy="3813175"/>
                    </a:xfrm>
                    <a:prstGeom prst="rect">
                      <a:avLst/>
                    </a:prstGeom>
                    <a:noFill/>
                    <a:ln>
                      <a:noFill/>
                    </a:ln>
                  </pic:spPr>
                </pic:pic>
              </a:graphicData>
            </a:graphic>
          </wp:inline>
        </w:drawing>
      </w:r>
    </w:p>
    <w:p w14:paraId="5B254522" w14:textId="77777777" w:rsidR="0038031A" w:rsidRDefault="0038031A" w:rsidP="0038031A">
      <w:pPr>
        <w:spacing w:before="120" w:after="120" w:line="240" w:lineRule="auto"/>
        <w:jc w:val="center"/>
        <w:rPr>
          <w:rFonts w:ascii="Times New Roman" w:eastAsiaTheme="minorHAnsi" w:hAnsi="Times New Roman"/>
          <w:b/>
          <w:sz w:val="20"/>
          <w:szCs w:val="20"/>
        </w:rPr>
      </w:pPr>
      <w:r>
        <w:rPr>
          <w:rFonts w:ascii="Times New Roman" w:eastAsiaTheme="minorHAnsi" w:hAnsi="Times New Roman"/>
          <w:b/>
          <w:sz w:val="20"/>
          <w:szCs w:val="20"/>
        </w:rPr>
        <w:t>4.attēls. Iespējamā jaunās iestādes struktūra</w:t>
      </w:r>
    </w:p>
    <w:p w14:paraId="3FDA1373" w14:textId="77777777" w:rsidR="0038031A" w:rsidRDefault="0038031A" w:rsidP="0038031A">
      <w:pPr>
        <w:rPr>
          <w:lang w:eastAsia="lv-LV"/>
        </w:rPr>
      </w:pPr>
      <w:bookmarkStart w:id="207" w:name="_Toc5617091"/>
    </w:p>
    <w:p w14:paraId="2C290469" w14:textId="77777777" w:rsidR="0038031A" w:rsidRDefault="0038031A" w:rsidP="0038031A">
      <w:pPr>
        <w:shd w:val="clear" w:color="auto" w:fill="FFFFFF"/>
        <w:spacing w:before="120" w:after="120" w:line="240" w:lineRule="auto"/>
        <w:ind w:left="567"/>
        <w:jc w:val="both"/>
        <w:outlineLvl w:val="1"/>
        <w:rPr>
          <w:rFonts w:ascii="Times New Roman" w:eastAsia="Times New Roman" w:hAnsi="Times New Roman"/>
          <w:b/>
          <w:bCs/>
          <w:i/>
          <w:sz w:val="27"/>
          <w:szCs w:val="27"/>
          <w:lang w:eastAsia="lv-LV"/>
        </w:rPr>
      </w:pPr>
      <w:r>
        <w:rPr>
          <w:rFonts w:ascii="Times New Roman" w:eastAsia="Times New Roman" w:hAnsi="Times New Roman"/>
          <w:b/>
          <w:bCs/>
          <w:i/>
          <w:sz w:val="27"/>
          <w:szCs w:val="27"/>
          <w:lang w:eastAsia="lv-LV"/>
        </w:rPr>
        <w:t>Piedāvāto risinājumu kopsavilkums</w:t>
      </w:r>
      <w:bookmarkEnd w:id="207"/>
    </w:p>
    <w:p w14:paraId="3C9AFD9F" w14:textId="77777777" w:rsidR="0038031A" w:rsidRDefault="0038031A" w:rsidP="0038031A">
      <w:pPr>
        <w:spacing w:before="120" w:after="120"/>
        <w:jc w:val="right"/>
        <w:rPr>
          <w:rFonts w:ascii="Times New Roman" w:hAnsi="Times New Roman"/>
          <w:i/>
          <w:szCs w:val="26"/>
        </w:rPr>
      </w:pPr>
      <w:r>
        <w:rPr>
          <w:rFonts w:ascii="Times New Roman" w:hAnsi="Times New Roman"/>
          <w:i/>
          <w:szCs w:val="26"/>
        </w:rPr>
        <w:t xml:space="preserve">2.tabula </w:t>
      </w:r>
    </w:p>
    <w:p w14:paraId="21008F8F" w14:textId="77777777" w:rsidR="0038031A" w:rsidRDefault="0038031A" w:rsidP="0038031A">
      <w:pPr>
        <w:spacing w:before="120" w:after="120"/>
        <w:jc w:val="right"/>
        <w:rPr>
          <w:rFonts w:ascii="Times New Roman" w:hAnsi="Times New Roman"/>
          <w:i/>
          <w:szCs w:val="26"/>
        </w:rPr>
      </w:pPr>
      <w:r>
        <w:rPr>
          <w:rFonts w:ascii="Times New Roman" w:hAnsi="Times New Roman"/>
          <w:i/>
          <w:szCs w:val="26"/>
        </w:rPr>
        <w:t>Piedāvāto risinājumu pozitīvās puses un trūkumi</w:t>
      </w:r>
    </w:p>
    <w:tbl>
      <w:tblPr>
        <w:tblStyle w:val="TableGrid"/>
        <w:tblW w:w="0" w:type="auto"/>
        <w:tblLook w:val="04A0" w:firstRow="1" w:lastRow="0" w:firstColumn="1" w:lastColumn="0" w:noHBand="0" w:noVBand="1"/>
      </w:tblPr>
      <w:tblGrid>
        <w:gridCol w:w="1838"/>
        <w:gridCol w:w="3686"/>
        <w:gridCol w:w="3820"/>
      </w:tblGrid>
      <w:tr w:rsidR="0038031A" w14:paraId="6F9823BC" w14:textId="77777777" w:rsidTr="0038031A">
        <w:trPr>
          <w:tblHeader/>
        </w:trPr>
        <w:tc>
          <w:tcPr>
            <w:tcW w:w="1838" w:type="dxa"/>
            <w:tcBorders>
              <w:top w:val="single" w:sz="4" w:space="0" w:color="auto"/>
              <w:left w:val="single" w:sz="4" w:space="0" w:color="auto"/>
              <w:bottom w:val="single" w:sz="4" w:space="0" w:color="auto"/>
              <w:right w:val="single" w:sz="4" w:space="0" w:color="auto"/>
            </w:tcBorders>
          </w:tcPr>
          <w:p w14:paraId="2D902FC6" w14:textId="77777777" w:rsidR="0038031A" w:rsidRDefault="0038031A">
            <w:pPr>
              <w:spacing w:after="0"/>
              <w:jc w:val="center"/>
              <w:rPr>
                <w:rFonts w:ascii="Times New Roman" w:hAnsi="Times New Roman"/>
                <w:b/>
                <w:sz w:val="27"/>
                <w:szCs w:val="27"/>
                <w:lang w:eastAsia="lv-LV"/>
              </w:rPr>
            </w:pPr>
          </w:p>
        </w:tc>
        <w:tc>
          <w:tcPr>
            <w:tcW w:w="3686" w:type="dxa"/>
            <w:tcBorders>
              <w:top w:val="single" w:sz="4" w:space="0" w:color="auto"/>
              <w:left w:val="single" w:sz="4" w:space="0" w:color="auto"/>
              <w:bottom w:val="single" w:sz="4" w:space="0" w:color="auto"/>
              <w:right w:val="single" w:sz="4" w:space="0" w:color="auto"/>
            </w:tcBorders>
            <w:hideMark/>
          </w:tcPr>
          <w:p w14:paraId="0F859C12" w14:textId="77777777" w:rsidR="0038031A" w:rsidRDefault="0038031A">
            <w:pPr>
              <w:spacing w:after="0"/>
              <w:jc w:val="center"/>
              <w:rPr>
                <w:rFonts w:ascii="Times New Roman" w:hAnsi="Times New Roman"/>
                <w:b/>
                <w:sz w:val="27"/>
                <w:szCs w:val="27"/>
                <w:lang w:eastAsia="lv-LV"/>
              </w:rPr>
            </w:pPr>
            <w:r>
              <w:rPr>
                <w:rFonts w:ascii="Times New Roman" w:hAnsi="Times New Roman"/>
                <w:b/>
                <w:sz w:val="27"/>
                <w:szCs w:val="27"/>
                <w:lang w:eastAsia="lv-LV"/>
              </w:rPr>
              <w:t>Pozitīvās puses “+”</w:t>
            </w:r>
          </w:p>
        </w:tc>
        <w:tc>
          <w:tcPr>
            <w:tcW w:w="3820" w:type="dxa"/>
            <w:tcBorders>
              <w:top w:val="single" w:sz="4" w:space="0" w:color="auto"/>
              <w:left w:val="single" w:sz="4" w:space="0" w:color="auto"/>
              <w:bottom w:val="single" w:sz="4" w:space="0" w:color="auto"/>
              <w:right w:val="single" w:sz="4" w:space="0" w:color="auto"/>
            </w:tcBorders>
            <w:hideMark/>
          </w:tcPr>
          <w:p w14:paraId="13C1098D" w14:textId="77777777" w:rsidR="0038031A" w:rsidRDefault="0038031A">
            <w:pPr>
              <w:spacing w:after="0"/>
              <w:jc w:val="center"/>
              <w:rPr>
                <w:rFonts w:ascii="Times New Roman" w:hAnsi="Times New Roman"/>
                <w:b/>
                <w:sz w:val="27"/>
                <w:szCs w:val="27"/>
                <w:lang w:eastAsia="lv-LV"/>
              </w:rPr>
            </w:pPr>
            <w:r>
              <w:rPr>
                <w:rFonts w:ascii="Times New Roman" w:hAnsi="Times New Roman"/>
                <w:b/>
                <w:sz w:val="27"/>
                <w:szCs w:val="27"/>
                <w:lang w:eastAsia="lv-LV"/>
              </w:rPr>
              <w:t>Trūkumi “-“</w:t>
            </w:r>
          </w:p>
        </w:tc>
      </w:tr>
      <w:tr w:rsidR="0038031A" w14:paraId="303C392F" w14:textId="77777777" w:rsidTr="0038031A">
        <w:tc>
          <w:tcPr>
            <w:tcW w:w="1838" w:type="dxa"/>
            <w:tcBorders>
              <w:top w:val="single" w:sz="4" w:space="0" w:color="auto"/>
              <w:left w:val="single" w:sz="4" w:space="0" w:color="auto"/>
              <w:bottom w:val="single" w:sz="4" w:space="0" w:color="auto"/>
              <w:right w:val="single" w:sz="4" w:space="0" w:color="auto"/>
            </w:tcBorders>
            <w:hideMark/>
          </w:tcPr>
          <w:p w14:paraId="3A9FE85F" w14:textId="77777777" w:rsidR="0038031A" w:rsidRDefault="0038031A">
            <w:pPr>
              <w:spacing w:after="0"/>
              <w:rPr>
                <w:rFonts w:ascii="Times New Roman" w:hAnsi="Times New Roman"/>
                <w:b/>
                <w:sz w:val="27"/>
                <w:szCs w:val="27"/>
                <w:lang w:eastAsia="lv-LV"/>
              </w:rPr>
            </w:pPr>
            <w:r>
              <w:rPr>
                <w:rFonts w:ascii="Times New Roman" w:hAnsi="Times New Roman"/>
                <w:b/>
                <w:sz w:val="27"/>
                <w:szCs w:val="27"/>
                <w:lang w:eastAsia="lv-LV"/>
              </w:rPr>
              <w:t>1.risinājums</w:t>
            </w:r>
          </w:p>
        </w:tc>
        <w:tc>
          <w:tcPr>
            <w:tcW w:w="3686" w:type="dxa"/>
            <w:tcBorders>
              <w:top w:val="single" w:sz="4" w:space="0" w:color="auto"/>
              <w:left w:val="single" w:sz="4" w:space="0" w:color="auto"/>
              <w:bottom w:val="single" w:sz="4" w:space="0" w:color="auto"/>
              <w:right w:val="single" w:sz="4" w:space="0" w:color="auto"/>
            </w:tcBorders>
            <w:hideMark/>
          </w:tcPr>
          <w:p w14:paraId="23A24EC5" w14:textId="77777777" w:rsidR="0038031A" w:rsidRDefault="0038031A" w:rsidP="0038031A">
            <w:pPr>
              <w:pStyle w:val="ListParagraph"/>
              <w:numPr>
                <w:ilvl w:val="0"/>
                <w:numId w:val="64"/>
              </w:numPr>
              <w:spacing w:after="0" w:line="240" w:lineRule="auto"/>
              <w:ind w:left="397" w:hanging="397"/>
              <w:rPr>
                <w:rFonts w:ascii="Times New Roman" w:hAnsi="Times New Roman"/>
                <w:sz w:val="27"/>
                <w:szCs w:val="27"/>
              </w:rPr>
            </w:pPr>
            <w:r>
              <w:rPr>
                <w:rFonts w:ascii="Times New Roman" w:hAnsi="Times New Roman"/>
                <w:sz w:val="27"/>
                <w:szCs w:val="27"/>
              </w:rPr>
              <w:t xml:space="preserve">Netiek veidotas jaunas amata </w:t>
            </w:r>
            <w:r>
              <w:rPr>
                <w:rFonts w:ascii="Times New Roman" w:eastAsia="Times New Roman" w:hAnsi="Times New Roman"/>
                <w:sz w:val="27"/>
                <w:szCs w:val="27"/>
                <w:lang w:eastAsia="lv-LV"/>
              </w:rPr>
              <w:t>slodzes</w:t>
            </w:r>
            <w:r>
              <w:rPr>
                <w:rFonts w:ascii="Times New Roman" w:hAnsi="Times New Roman"/>
                <w:sz w:val="27"/>
                <w:szCs w:val="27"/>
              </w:rPr>
              <w:t xml:space="preserve"> valsts pārvaldē.</w:t>
            </w:r>
          </w:p>
        </w:tc>
        <w:tc>
          <w:tcPr>
            <w:tcW w:w="3820" w:type="dxa"/>
            <w:tcBorders>
              <w:top w:val="single" w:sz="4" w:space="0" w:color="auto"/>
              <w:left w:val="single" w:sz="4" w:space="0" w:color="auto"/>
              <w:bottom w:val="single" w:sz="4" w:space="0" w:color="auto"/>
              <w:right w:val="single" w:sz="4" w:space="0" w:color="auto"/>
            </w:tcBorders>
            <w:hideMark/>
          </w:tcPr>
          <w:p w14:paraId="24B48F45" w14:textId="77777777" w:rsidR="0038031A" w:rsidRDefault="0038031A" w:rsidP="0038031A">
            <w:pPr>
              <w:pStyle w:val="ListParagraph"/>
              <w:numPr>
                <w:ilvl w:val="0"/>
                <w:numId w:val="65"/>
              </w:numPr>
              <w:spacing w:after="0" w:line="240" w:lineRule="auto"/>
              <w:ind w:left="397" w:hanging="397"/>
              <w:rPr>
                <w:rFonts w:ascii="Times New Roman" w:hAnsi="Times New Roman"/>
                <w:sz w:val="27"/>
                <w:szCs w:val="27"/>
              </w:rPr>
            </w:pPr>
            <w:r>
              <w:rPr>
                <w:rFonts w:ascii="Times New Roman" w:hAnsi="Times New Roman"/>
                <w:sz w:val="27"/>
                <w:szCs w:val="27"/>
              </w:rPr>
              <w:t xml:space="preserve">Netiek pildīti ES un Latvijas Republikas normatīvajos aktos noteiktās funkcijas, </w:t>
            </w:r>
            <w:proofErr w:type="spellStart"/>
            <w:r>
              <w:rPr>
                <w:rFonts w:ascii="Times New Roman" w:hAnsi="Times New Roman"/>
                <w:sz w:val="27"/>
                <w:szCs w:val="27"/>
              </w:rPr>
              <w:t>udzevumi</w:t>
            </w:r>
            <w:proofErr w:type="spellEnd"/>
            <w:r>
              <w:rPr>
                <w:rFonts w:ascii="Times New Roman" w:hAnsi="Times New Roman"/>
                <w:sz w:val="27"/>
                <w:szCs w:val="27"/>
              </w:rPr>
              <w:t xml:space="preserve"> un mērķi;</w:t>
            </w:r>
          </w:p>
          <w:p w14:paraId="3DE90A48" w14:textId="77777777" w:rsidR="0038031A" w:rsidRDefault="0038031A" w:rsidP="0038031A">
            <w:pPr>
              <w:pStyle w:val="ListParagraph"/>
              <w:numPr>
                <w:ilvl w:val="0"/>
                <w:numId w:val="65"/>
              </w:numPr>
              <w:spacing w:after="0" w:line="240" w:lineRule="auto"/>
              <w:ind w:left="397" w:hanging="397"/>
              <w:rPr>
                <w:rFonts w:ascii="Times New Roman" w:hAnsi="Times New Roman"/>
                <w:sz w:val="27"/>
                <w:szCs w:val="27"/>
              </w:rPr>
            </w:pPr>
            <w:r>
              <w:rPr>
                <w:rFonts w:ascii="Times New Roman" w:hAnsi="Times New Roman"/>
                <w:sz w:val="27"/>
                <w:szCs w:val="27"/>
              </w:rPr>
              <w:t xml:space="preserve">Tiek būtiski ietekmēts valsts budžets – tiek piemērotas Eiropas Komisijas sankcijas </w:t>
            </w:r>
            <w:r>
              <w:rPr>
                <w:rFonts w:ascii="Times New Roman" w:hAnsi="Times New Roman"/>
                <w:sz w:val="27"/>
                <w:szCs w:val="27"/>
              </w:rPr>
              <w:lastRenderedPageBreak/>
              <w:t>par ES normatīvajos aktos noteikto funkciju un uzdevumu nepildīšanu un mērķu nesasniegšanu.</w:t>
            </w:r>
          </w:p>
        </w:tc>
      </w:tr>
      <w:tr w:rsidR="0038031A" w14:paraId="1B85FA59" w14:textId="77777777" w:rsidTr="0038031A">
        <w:tc>
          <w:tcPr>
            <w:tcW w:w="1838" w:type="dxa"/>
            <w:tcBorders>
              <w:top w:val="single" w:sz="4" w:space="0" w:color="auto"/>
              <w:left w:val="single" w:sz="4" w:space="0" w:color="auto"/>
              <w:bottom w:val="single" w:sz="4" w:space="0" w:color="auto"/>
              <w:right w:val="single" w:sz="4" w:space="0" w:color="auto"/>
            </w:tcBorders>
            <w:hideMark/>
          </w:tcPr>
          <w:p w14:paraId="116A8F6D" w14:textId="77777777" w:rsidR="0038031A" w:rsidRDefault="0038031A">
            <w:pPr>
              <w:spacing w:after="0"/>
              <w:rPr>
                <w:rFonts w:ascii="Times New Roman" w:hAnsi="Times New Roman"/>
                <w:b/>
                <w:sz w:val="27"/>
                <w:szCs w:val="27"/>
                <w:lang w:eastAsia="lv-LV"/>
              </w:rPr>
            </w:pPr>
            <w:r>
              <w:rPr>
                <w:rFonts w:ascii="Times New Roman" w:hAnsi="Times New Roman"/>
                <w:b/>
                <w:sz w:val="27"/>
                <w:szCs w:val="27"/>
                <w:lang w:eastAsia="lv-LV"/>
              </w:rPr>
              <w:lastRenderedPageBreak/>
              <w:t>2.risinājums</w:t>
            </w:r>
          </w:p>
        </w:tc>
        <w:tc>
          <w:tcPr>
            <w:tcW w:w="3686" w:type="dxa"/>
            <w:tcBorders>
              <w:top w:val="single" w:sz="4" w:space="0" w:color="auto"/>
              <w:left w:val="single" w:sz="4" w:space="0" w:color="auto"/>
              <w:bottom w:val="single" w:sz="4" w:space="0" w:color="auto"/>
              <w:right w:val="single" w:sz="4" w:space="0" w:color="auto"/>
            </w:tcBorders>
          </w:tcPr>
          <w:p w14:paraId="400D09C9" w14:textId="77777777" w:rsidR="0038031A" w:rsidRDefault="0038031A" w:rsidP="0038031A">
            <w:pPr>
              <w:pStyle w:val="ListParagraph"/>
              <w:numPr>
                <w:ilvl w:val="0"/>
                <w:numId w:val="66"/>
              </w:numPr>
              <w:spacing w:after="0" w:line="240" w:lineRule="auto"/>
              <w:ind w:left="397" w:hanging="397"/>
              <w:rPr>
                <w:rFonts w:ascii="Times New Roman" w:hAnsi="Times New Roman"/>
                <w:sz w:val="27"/>
                <w:szCs w:val="27"/>
              </w:rPr>
            </w:pPr>
            <w:r>
              <w:rPr>
                <w:rFonts w:ascii="Times New Roman" w:hAnsi="Times New Roman"/>
                <w:sz w:val="27"/>
                <w:szCs w:val="27"/>
              </w:rPr>
              <w:t>Tiek pildītas ES un Latvijas Republikas normatīvajos aktos noteiktās funkcijas, uzdevumi un mērķi pilnā apjomā.</w:t>
            </w:r>
          </w:p>
          <w:p w14:paraId="4F3D3EE8" w14:textId="77777777" w:rsidR="0038031A" w:rsidRDefault="0038031A">
            <w:pPr>
              <w:pStyle w:val="ListParagraph"/>
              <w:spacing w:after="0"/>
              <w:ind w:left="397"/>
              <w:rPr>
                <w:rFonts w:ascii="Times New Roman" w:hAnsi="Times New Roman"/>
                <w:sz w:val="27"/>
                <w:szCs w:val="27"/>
              </w:rPr>
            </w:pPr>
          </w:p>
        </w:tc>
        <w:tc>
          <w:tcPr>
            <w:tcW w:w="3820" w:type="dxa"/>
            <w:tcBorders>
              <w:top w:val="single" w:sz="4" w:space="0" w:color="auto"/>
              <w:left w:val="single" w:sz="4" w:space="0" w:color="auto"/>
              <w:bottom w:val="single" w:sz="4" w:space="0" w:color="auto"/>
              <w:right w:val="single" w:sz="4" w:space="0" w:color="auto"/>
            </w:tcBorders>
            <w:hideMark/>
          </w:tcPr>
          <w:p w14:paraId="7BA330C8" w14:textId="77777777" w:rsidR="0038031A" w:rsidRDefault="0038031A" w:rsidP="0038031A">
            <w:pPr>
              <w:pStyle w:val="ListParagraph"/>
              <w:numPr>
                <w:ilvl w:val="0"/>
                <w:numId w:val="67"/>
              </w:numPr>
              <w:spacing w:after="0" w:line="240" w:lineRule="auto"/>
              <w:ind w:left="397" w:hanging="397"/>
              <w:rPr>
                <w:rFonts w:ascii="Times New Roman" w:hAnsi="Times New Roman"/>
                <w:sz w:val="27"/>
                <w:szCs w:val="27"/>
              </w:rPr>
            </w:pPr>
            <w:r>
              <w:rPr>
                <w:rFonts w:ascii="Times New Roman" w:hAnsi="Times New Roman"/>
                <w:sz w:val="27"/>
                <w:szCs w:val="27"/>
              </w:rPr>
              <w:t xml:space="preserve">Tiek veidotas jaunas amata </w:t>
            </w:r>
            <w:r>
              <w:rPr>
                <w:rFonts w:ascii="Times New Roman" w:eastAsia="Times New Roman" w:hAnsi="Times New Roman"/>
                <w:sz w:val="27"/>
                <w:szCs w:val="27"/>
                <w:lang w:eastAsia="lv-LV"/>
              </w:rPr>
              <w:t>slodzes</w:t>
            </w:r>
            <w:r>
              <w:rPr>
                <w:rFonts w:ascii="Times New Roman" w:hAnsi="Times New Roman"/>
                <w:sz w:val="27"/>
                <w:szCs w:val="27"/>
              </w:rPr>
              <w:t>;</w:t>
            </w:r>
          </w:p>
          <w:p w14:paraId="3E935514" w14:textId="77777777" w:rsidR="0038031A" w:rsidRDefault="0038031A" w:rsidP="0038031A">
            <w:pPr>
              <w:pStyle w:val="ListParagraph"/>
              <w:numPr>
                <w:ilvl w:val="0"/>
                <w:numId w:val="67"/>
              </w:numPr>
              <w:spacing w:after="0" w:line="240" w:lineRule="auto"/>
              <w:ind w:left="397" w:hanging="397"/>
              <w:rPr>
                <w:rFonts w:ascii="Times New Roman" w:hAnsi="Times New Roman"/>
                <w:sz w:val="27"/>
                <w:szCs w:val="27"/>
              </w:rPr>
            </w:pPr>
            <w:r>
              <w:rPr>
                <w:rFonts w:ascii="Times New Roman" w:hAnsi="Times New Roman"/>
                <w:sz w:val="27"/>
                <w:szCs w:val="27"/>
              </w:rPr>
              <w:t>Tiek ietekmēts valsts budžets;</w:t>
            </w:r>
          </w:p>
          <w:p w14:paraId="3533B3D0" w14:textId="77777777" w:rsidR="0038031A" w:rsidRDefault="0038031A" w:rsidP="0038031A">
            <w:pPr>
              <w:pStyle w:val="ListParagraph"/>
              <w:numPr>
                <w:ilvl w:val="0"/>
                <w:numId w:val="67"/>
              </w:numPr>
              <w:spacing w:after="0" w:line="240" w:lineRule="auto"/>
              <w:ind w:left="397" w:hanging="397"/>
              <w:rPr>
                <w:rFonts w:ascii="Times New Roman" w:hAnsi="Times New Roman"/>
                <w:sz w:val="27"/>
                <w:szCs w:val="27"/>
              </w:rPr>
            </w:pPr>
            <w:r>
              <w:rPr>
                <w:rFonts w:ascii="Times New Roman" w:hAnsi="Times New Roman"/>
                <w:sz w:val="27"/>
                <w:szCs w:val="27"/>
              </w:rPr>
              <w:t>Nepieciešama grozījumu veikšana Latvijas Republikas normatīvajos aktos.</w:t>
            </w:r>
          </w:p>
        </w:tc>
      </w:tr>
      <w:tr w:rsidR="0038031A" w14:paraId="312A2400" w14:textId="77777777" w:rsidTr="0038031A">
        <w:tc>
          <w:tcPr>
            <w:tcW w:w="1838" w:type="dxa"/>
            <w:tcBorders>
              <w:top w:val="single" w:sz="4" w:space="0" w:color="auto"/>
              <w:left w:val="single" w:sz="4" w:space="0" w:color="auto"/>
              <w:bottom w:val="single" w:sz="4" w:space="0" w:color="auto"/>
              <w:right w:val="single" w:sz="4" w:space="0" w:color="auto"/>
            </w:tcBorders>
            <w:hideMark/>
          </w:tcPr>
          <w:p w14:paraId="7DE1DC41" w14:textId="77777777" w:rsidR="0038031A" w:rsidRDefault="0038031A">
            <w:pPr>
              <w:spacing w:after="0"/>
              <w:rPr>
                <w:rFonts w:ascii="Times New Roman" w:hAnsi="Times New Roman"/>
                <w:b/>
                <w:sz w:val="27"/>
                <w:szCs w:val="27"/>
                <w:lang w:eastAsia="lv-LV"/>
              </w:rPr>
            </w:pPr>
            <w:r>
              <w:rPr>
                <w:rFonts w:ascii="Times New Roman" w:hAnsi="Times New Roman"/>
                <w:b/>
                <w:sz w:val="27"/>
                <w:szCs w:val="27"/>
                <w:lang w:eastAsia="lv-LV"/>
              </w:rPr>
              <w:t>3.risinājums</w:t>
            </w:r>
          </w:p>
        </w:tc>
        <w:tc>
          <w:tcPr>
            <w:tcW w:w="3686" w:type="dxa"/>
            <w:tcBorders>
              <w:top w:val="single" w:sz="4" w:space="0" w:color="auto"/>
              <w:left w:val="single" w:sz="4" w:space="0" w:color="auto"/>
              <w:bottom w:val="single" w:sz="4" w:space="0" w:color="auto"/>
              <w:right w:val="single" w:sz="4" w:space="0" w:color="auto"/>
            </w:tcBorders>
          </w:tcPr>
          <w:p w14:paraId="5CCBA518" w14:textId="77777777" w:rsidR="0038031A" w:rsidRDefault="0038031A" w:rsidP="0038031A">
            <w:pPr>
              <w:pStyle w:val="ListParagraph"/>
              <w:numPr>
                <w:ilvl w:val="0"/>
                <w:numId w:val="68"/>
              </w:numPr>
              <w:spacing w:after="0" w:line="240" w:lineRule="auto"/>
              <w:ind w:left="397" w:hanging="397"/>
              <w:rPr>
                <w:rFonts w:ascii="Times New Roman" w:hAnsi="Times New Roman"/>
                <w:sz w:val="27"/>
                <w:szCs w:val="27"/>
              </w:rPr>
            </w:pPr>
            <w:r>
              <w:rPr>
                <w:rFonts w:ascii="Times New Roman" w:hAnsi="Times New Roman"/>
                <w:sz w:val="27"/>
                <w:szCs w:val="27"/>
              </w:rPr>
              <w:t>Tiek pildītas ES un Latvijas Republikas normatīvajos aktos noteiktās funkcijas, uzdevumi un mērķi pilnā apjomā.</w:t>
            </w:r>
          </w:p>
          <w:p w14:paraId="0B8970C0" w14:textId="77777777" w:rsidR="0038031A" w:rsidRDefault="0038031A">
            <w:pPr>
              <w:spacing w:after="0"/>
              <w:ind w:left="397" w:hanging="397"/>
              <w:rPr>
                <w:rFonts w:ascii="Times New Roman" w:hAnsi="Times New Roman"/>
                <w:sz w:val="27"/>
                <w:szCs w:val="27"/>
                <w:lang w:eastAsia="lv-LV"/>
              </w:rPr>
            </w:pPr>
          </w:p>
        </w:tc>
        <w:tc>
          <w:tcPr>
            <w:tcW w:w="3820" w:type="dxa"/>
            <w:tcBorders>
              <w:top w:val="single" w:sz="4" w:space="0" w:color="auto"/>
              <w:left w:val="single" w:sz="4" w:space="0" w:color="auto"/>
              <w:bottom w:val="single" w:sz="4" w:space="0" w:color="auto"/>
              <w:right w:val="single" w:sz="4" w:space="0" w:color="auto"/>
            </w:tcBorders>
            <w:hideMark/>
          </w:tcPr>
          <w:p w14:paraId="32B71FDC" w14:textId="77777777" w:rsidR="0038031A" w:rsidRDefault="0038031A" w:rsidP="0038031A">
            <w:pPr>
              <w:pStyle w:val="ListParagraph"/>
              <w:numPr>
                <w:ilvl w:val="0"/>
                <w:numId w:val="69"/>
              </w:numPr>
              <w:spacing w:after="0" w:line="240" w:lineRule="auto"/>
              <w:ind w:left="397" w:hanging="397"/>
              <w:rPr>
                <w:rFonts w:ascii="Times New Roman" w:hAnsi="Times New Roman"/>
                <w:sz w:val="27"/>
                <w:szCs w:val="27"/>
              </w:rPr>
            </w:pPr>
            <w:r>
              <w:rPr>
                <w:rFonts w:ascii="Times New Roman" w:hAnsi="Times New Roman"/>
                <w:sz w:val="27"/>
                <w:szCs w:val="27"/>
              </w:rPr>
              <w:t>Tiek veidota jauna ministrijas tiešās padotības iestāde;</w:t>
            </w:r>
          </w:p>
          <w:p w14:paraId="364E17E9" w14:textId="77777777" w:rsidR="0038031A" w:rsidRDefault="0038031A" w:rsidP="0038031A">
            <w:pPr>
              <w:pStyle w:val="ListParagraph"/>
              <w:numPr>
                <w:ilvl w:val="0"/>
                <w:numId w:val="69"/>
              </w:numPr>
              <w:spacing w:after="0" w:line="240" w:lineRule="auto"/>
              <w:ind w:left="397" w:hanging="397"/>
              <w:rPr>
                <w:rFonts w:ascii="Times New Roman" w:hAnsi="Times New Roman"/>
                <w:sz w:val="27"/>
                <w:szCs w:val="27"/>
              </w:rPr>
            </w:pPr>
            <w:r>
              <w:rPr>
                <w:rFonts w:ascii="Times New Roman" w:hAnsi="Times New Roman"/>
                <w:sz w:val="27"/>
                <w:szCs w:val="27"/>
              </w:rPr>
              <w:t xml:space="preserve">Tiek veidotas jaunas amata </w:t>
            </w:r>
            <w:r>
              <w:rPr>
                <w:rFonts w:ascii="Times New Roman" w:eastAsia="Times New Roman" w:hAnsi="Times New Roman"/>
                <w:sz w:val="27"/>
                <w:szCs w:val="27"/>
                <w:lang w:eastAsia="lv-LV"/>
              </w:rPr>
              <w:t>slodzes</w:t>
            </w:r>
            <w:r>
              <w:rPr>
                <w:rFonts w:ascii="Times New Roman" w:hAnsi="Times New Roman"/>
                <w:sz w:val="27"/>
                <w:szCs w:val="27"/>
              </w:rPr>
              <w:t>;</w:t>
            </w:r>
          </w:p>
          <w:p w14:paraId="6CF80914" w14:textId="77777777" w:rsidR="0038031A" w:rsidRDefault="0038031A" w:rsidP="0038031A">
            <w:pPr>
              <w:pStyle w:val="ListParagraph"/>
              <w:numPr>
                <w:ilvl w:val="0"/>
                <w:numId w:val="69"/>
              </w:numPr>
              <w:spacing w:after="0" w:line="240" w:lineRule="auto"/>
              <w:ind w:left="397" w:hanging="397"/>
              <w:rPr>
                <w:rFonts w:ascii="Times New Roman" w:hAnsi="Times New Roman"/>
                <w:sz w:val="27"/>
                <w:szCs w:val="27"/>
              </w:rPr>
            </w:pPr>
            <w:r>
              <w:rPr>
                <w:rFonts w:ascii="Times New Roman" w:hAnsi="Times New Roman"/>
                <w:sz w:val="27"/>
                <w:szCs w:val="27"/>
              </w:rPr>
              <w:t>Tiek ietekmēts valsts budžets;</w:t>
            </w:r>
          </w:p>
          <w:p w14:paraId="02813064" w14:textId="77777777" w:rsidR="0038031A" w:rsidRDefault="0038031A" w:rsidP="0038031A">
            <w:pPr>
              <w:pStyle w:val="ListParagraph"/>
              <w:numPr>
                <w:ilvl w:val="0"/>
                <w:numId w:val="69"/>
              </w:numPr>
              <w:spacing w:after="0" w:line="240" w:lineRule="auto"/>
              <w:ind w:left="397" w:hanging="397"/>
              <w:rPr>
                <w:rFonts w:ascii="Times New Roman" w:hAnsi="Times New Roman"/>
                <w:sz w:val="27"/>
                <w:szCs w:val="27"/>
              </w:rPr>
            </w:pPr>
            <w:r>
              <w:rPr>
                <w:rFonts w:ascii="Times New Roman" w:hAnsi="Times New Roman"/>
                <w:sz w:val="27"/>
                <w:szCs w:val="27"/>
              </w:rPr>
              <w:t>Nepieciešama grozījumu veikšana Latvijas Republikas normatīvajos aktos.</w:t>
            </w:r>
          </w:p>
        </w:tc>
      </w:tr>
    </w:tbl>
    <w:p w14:paraId="38B3EC45" w14:textId="77777777" w:rsidR="0038031A" w:rsidRDefault="0038031A" w:rsidP="0038031A">
      <w:pPr>
        <w:jc w:val="both"/>
        <w:rPr>
          <w:rFonts w:ascii="Times New Roman" w:hAnsi="Times New Roman"/>
          <w:sz w:val="27"/>
          <w:szCs w:val="27"/>
          <w:lang w:eastAsia="lv-LV"/>
        </w:rPr>
      </w:pPr>
    </w:p>
    <w:p w14:paraId="512FF9B0" w14:textId="77777777" w:rsidR="000960E0" w:rsidRDefault="000960E0" w:rsidP="000960E0">
      <w:pPr>
        <w:spacing w:before="120" w:after="120" w:line="240" w:lineRule="auto"/>
        <w:jc w:val="both"/>
        <w:rPr>
          <w:rFonts w:ascii="Times New Roman" w:hAnsi="Times New Roman"/>
          <w:sz w:val="27"/>
          <w:szCs w:val="27"/>
          <w:lang w:eastAsia="lv-LV"/>
        </w:rPr>
      </w:pPr>
      <w:bookmarkStart w:id="208" w:name="_Toc8719138"/>
      <w:bookmarkStart w:id="209" w:name="_Toc8648985"/>
      <w:bookmarkStart w:id="210" w:name="_Toc5617062"/>
      <w:bookmarkStart w:id="211" w:name="_Toc5616995"/>
      <w:bookmarkStart w:id="212" w:name="_Toc5616895"/>
      <w:bookmarkStart w:id="213" w:name="_Toc5615516"/>
      <w:bookmarkStart w:id="214" w:name="_Toc2286391"/>
      <w:bookmarkStart w:id="215" w:name="_Toc531102739"/>
      <w:bookmarkStart w:id="216" w:name="_Toc530117382"/>
      <w:r>
        <w:rPr>
          <w:rFonts w:ascii="Times New Roman" w:hAnsi="Times New Roman"/>
          <w:sz w:val="27"/>
          <w:szCs w:val="27"/>
          <w:lang w:eastAsia="lv-LV"/>
        </w:rPr>
        <w:t xml:space="preserve">1.risinājums paredz īstenot šī ziņojuma II nodaļas 1.-3.punktā minētās funkcijas esošās kapacitātes apjomā un atteikties no to funkciju veikšanas, kuru veikšanai Ekonomikas ministrijai nav pieejama kapacitāte un finansējums. Minētais risinājums arī paredz finansiālās sankcijas ES </w:t>
      </w:r>
      <w:r>
        <w:rPr>
          <w:rFonts w:ascii="Times New Roman" w:hAnsi="Times New Roman"/>
          <w:sz w:val="27"/>
          <w:szCs w:val="27"/>
        </w:rPr>
        <w:t>normatīvajos</w:t>
      </w:r>
      <w:r>
        <w:rPr>
          <w:rFonts w:ascii="Times New Roman" w:hAnsi="Times New Roman"/>
          <w:sz w:val="27"/>
          <w:szCs w:val="27"/>
          <w:lang w:eastAsia="lv-LV"/>
        </w:rPr>
        <w:t xml:space="preserve"> aktos noteikto mērķu neizpildes gadījumā. </w:t>
      </w:r>
    </w:p>
    <w:p w14:paraId="388AA782" w14:textId="165DC37A" w:rsidR="000960E0" w:rsidRDefault="000960E0" w:rsidP="000960E0">
      <w:pPr>
        <w:spacing w:before="120" w:after="120" w:line="240" w:lineRule="auto"/>
        <w:jc w:val="both"/>
        <w:rPr>
          <w:rFonts w:ascii="Times New Roman" w:hAnsi="Times New Roman"/>
          <w:sz w:val="27"/>
          <w:szCs w:val="27"/>
          <w:lang w:eastAsia="lv-LV"/>
        </w:rPr>
      </w:pPr>
      <w:r>
        <w:rPr>
          <w:rFonts w:ascii="Times New Roman" w:hAnsi="Times New Roman"/>
          <w:sz w:val="27"/>
          <w:szCs w:val="27"/>
          <w:lang w:eastAsia="lv-LV"/>
        </w:rPr>
        <w:t xml:space="preserve">2.risinājums paredz šī ziņojuma  II nodaļas 1.-3.punktā minēto enerģētikas politikas īstenošanas funkciju apvienošanu vienā esošā valsts pārvaldes iestādē, kura papildus esošajām funkcijām veiktu noteiktos jaunās enerģētikas politikas īstenošanas un administrēšanas funkcijas, tai skaitā, dažādu kontroļu un ekspertīžu veikšanu, informācijas sistēmu uzturēšanu, analīžu un </w:t>
      </w:r>
      <w:proofErr w:type="spellStart"/>
      <w:r>
        <w:rPr>
          <w:rFonts w:ascii="Times New Roman" w:hAnsi="Times New Roman"/>
          <w:sz w:val="27"/>
          <w:szCs w:val="27"/>
          <w:lang w:eastAsia="lv-LV"/>
        </w:rPr>
        <w:t>izvērtējumu</w:t>
      </w:r>
      <w:proofErr w:type="spellEnd"/>
      <w:r>
        <w:rPr>
          <w:rFonts w:ascii="Times New Roman" w:hAnsi="Times New Roman"/>
          <w:sz w:val="27"/>
          <w:szCs w:val="27"/>
          <w:lang w:eastAsia="lv-LV"/>
        </w:rPr>
        <w:t xml:space="preserve"> nodrošināšanu, administratīvā </w:t>
      </w:r>
      <w:r w:rsidR="004A45D7">
        <w:rPr>
          <w:rFonts w:ascii="Times New Roman" w:hAnsi="Times New Roman"/>
          <w:sz w:val="27"/>
          <w:szCs w:val="27"/>
          <w:lang w:eastAsia="lv-LV"/>
        </w:rPr>
        <w:t xml:space="preserve">pārkāpuma </w:t>
      </w:r>
      <w:r w:rsidR="00617C0C">
        <w:rPr>
          <w:rFonts w:ascii="Times New Roman" w:hAnsi="Times New Roman"/>
          <w:sz w:val="27"/>
          <w:szCs w:val="27"/>
          <w:lang w:eastAsia="lv-LV"/>
        </w:rPr>
        <w:t xml:space="preserve">procesa </w:t>
      </w:r>
      <w:r>
        <w:rPr>
          <w:rFonts w:ascii="Times New Roman" w:hAnsi="Times New Roman"/>
          <w:sz w:val="27"/>
          <w:szCs w:val="27"/>
          <w:lang w:eastAsia="lv-LV"/>
        </w:rPr>
        <w:t>nodrošināšanu.</w:t>
      </w:r>
    </w:p>
    <w:p w14:paraId="3A490683" w14:textId="77777777" w:rsidR="000960E0" w:rsidRDefault="000960E0" w:rsidP="000960E0">
      <w:pPr>
        <w:spacing w:before="120" w:after="120" w:line="240" w:lineRule="auto"/>
        <w:jc w:val="both"/>
        <w:rPr>
          <w:rFonts w:ascii="Times New Roman" w:hAnsi="Times New Roman"/>
          <w:sz w:val="27"/>
          <w:szCs w:val="27"/>
          <w:lang w:eastAsia="lv-LV"/>
        </w:rPr>
      </w:pPr>
      <w:r>
        <w:rPr>
          <w:rFonts w:ascii="Times New Roman" w:hAnsi="Times New Roman"/>
          <w:sz w:val="27"/>
          <w:szCs w:val="27"/>
          <w:lang w:eastAsia="lv-LV"/>
        </w:rPr>
        <w:t xml:space="preserve">3.risinājums paredz šī ziņojuma II nodaļas 1.-3.punktā minēto enerģētikas politikas īstenošanas funkciju apvienošanu vienā jaunā Ekonomikas ministrijas padotības iestādē, kura veiktu enerģētikas politikas īstenošanas un administrēšanas funkcijas, tai skaitā, dažādu kontroļu un ekspertīžu veikšanu, informācijas sistēmu uzturēšanu, analīžu un </w:t>
      </w:r>
      <w:proofErr w:type="spellStart"/>
      <w:r>
        <w:rPr>
          <w:rFonts w:ascii="Times New Roman" w:hAnsi="Times New Roman"/>
          <w:sz w:val="27"/>
          <w:szCs w:val="27"/>
          <w:lang w:eastAsia="lv-LV"/>
        </w:rPr>
        <w:t>izvērtējumu</w:t>
      </w:r>
      <w:proofErr w:type="spellEnd"/>
      <w:r>
        <w:rPr>
          <w:rFonts w:ascii="Times New Roman" w:hAnsi="Times New Roman"/>
          <w:sz w:val="27"/>
          <w:szCs w:val="27"/>
          <w:lang w:eastAsia="lv-LV"/>
        </w:rPr>
        <w:t xml:space="preserve"> nodrošināšanu.</w:t>
      </w:r>
    </w:p>
    <w:p w14:paraId="1E8B92BA" w14:textId="77777777" w:rsidR="000960E0" w:rsidRDefault="000960E0" w:rsidP="000960E0">
      <w:pPr>
        <w:spacing w:before="120" w:after="120" w:line="240" w:lineRule="auto"/>
        <w:jc w:val="both"/>
        <w:rPr>
          <w:rFonts w:ascii="Times New Roman" w:hAnsi="Times New Roman"/>
          <w:sz w:val="27"/>
          <w:szCs w:val="27"/>
          <w:lang w:eastAsia="lv-LV"/>
        </w:rPr>
      </w:pPr>
      <w:r>
        <w:rPr>
          <w:rFonts w:ascii="Times New Roman" w:hAnsi="Times New Roman"/>
          <w:sz w:val="27"/>
          <w:szCs w:val="27"/>
          <w:lang w:eastAsia="lv-LV"/>
        </w:rPr>
        <w:t>No minētā izriet, ka finansiāli visneefektīvākais ir ziņojumā paredzētais 1. un 3.risinājums. 1.risinājuma gadījumā Latvijas Republika</w:t>
      </w:r>
      <w:r>
        <w:rPr>
          <w:rFonts w:ascii="Times New Roman" w:hAnsi="Times New Roman"/>
          <w:sz w:val="27"/>
          <w:szCs w:val="27"/>
        </w:rPr>
        <w:t>i</w:t>
      </w:r>
      <w:r>
        <w:rPr>
          <w:rFonts w:ascii="Times New Roman" w:hAnsi="Times New Roman"/>
          <w:sz w:val="27"/>
          <w:szCs w:val="27"/>
          <w:lang w:eastAsia="lv-LV"/>
        </w:rPr>
        <w:t xml:space="preserve"> ir jārēķinās ar Eiropas Komisijas piemērotajām soda naudām būtiskā apjomā, kā arī ar administratīvajiem izdevumiem pārkāpumu procedūru un tiesvedību ietvaros, kam būs ievērojama ietekme uz valsts budžetu. 3.risinājums ir pretrunā</w:t>
      </w:r>
      <w:r>
        <w:rPr>
          <w:rFonts w:ascii="Times New Roman" w:hAnsi="Times New Roman"/>
          <w:sz w:val="27"/>
          <w:szCs w:val="27"/>
        </w:rPr>
        <w:t xml:space="preserve"> </w:t>
      </w:r>
      <w:r>
        <w:rPr>
          <w:rFonts w:ascii="Times New Roman" w:hAnsi="Times New Roman"/>
          <w:sz w:val="27"/>
          <w:szCs w:val="27"/>
          <w:lang w:eastAsia="lv-LV"/>
        </w:rPr>
        <w:t xml:space="preserve">Valsts pārvaldes reformu plānam 2020, kurā </w:t>
      </w:r>
      <w:r>
        <w:rPr>
          <w:rFonts w:ascii="Times New Roman" w:hAnsi="Times New Roman"/>
          <w:sz w:val="27"/>
          <w:szCs w:val="27"/>
          <w:lang w:eastAsia="lv-LV"/>
        </w:rPr>
        <w:lastRenderedPageBreak/>
        <w:t>kā viens no šī plāna īstenošanas pasākumiem ir atbalsta funkciju centralizēšana, izvērtējot radniecisko funkciju apvienošanas iespējas, kā arī mazo iestāžu darbības lietderību. 3.risinājums tieši paredz nelielas jaunas iestādes veidošanu, un līdz ar to arī ietekmi uz valsts budžetu un valsts darbinieku skaitu.</w:t>
      </w:r>
    </w:p>
    <w:p w14:paraId="6B88B9D1" w14:textId="77777777" w:rsidR="000960E0" w:rsidRDefault="000960E0" w:rsidP="000960E0">
      <w:pPr>
        <w:spacing w:before="120" w:after="120" w:line="240" w:lineRule="auto"/>
        <w:jc w:val="both"/>
        <w:rPr>
          <w:rFonts w:ascii="Times New Roman" w:hAnsi="Times New Roman"/>
          <w:sz w:val="27"/>
          <w:szCs w:val="27"/>
          <w:u w:val="single"/>
          <w:lang w:eastAsia="lv-LV"/>
        </w:rPr>
      </w:pPr>
      <w:r>
        <w:rPr>
          <w:rFonts w:ascii="Times New Roman" w:hAnsi="Times New Roman"/>
          <w:sz w:val="27"/>
          <w:szCs w:val="27"/>
          <w:u w:val="single"/>
          <w:lang w:eastAsia="lv-LV"/>
        </w:rPr>
        <w:t>2.risinājums ir finansiāli un administratīvi efektīvākais, lai gan ar mazāku ietekmi uz valsts budžetu, bet ar atbilstību Valsts pārvaldes reformu plānā 2020 noteiktajam par radniecisko funkciju apvienošanu un atbalsta funkciju centralizēšanu.</w:t>
      </w:r>
    </w:p>
    <w:p w14:paraId="05456B47" w14:textId="77777777" w:rsidR="0038031A" w:rsidRDefault="0038031A" w:rsidP="0038031A">
      <w:pPr>
        <w:spacing w:before="120" w:after="120" w:line="240" w:lineRule="auto"/>
        <w:jc w:val="both"/>
        <w:rPr>
          <w:rFonts w:ascii="Times New Roman" w:eastAsiaTheme="minorHAnsi" w:hAnsi="Times New Roman"/>
          <w:sz w:val="28"/>
          <w:szCs w:val="28"/>
        </w:rPr>
      </w:pPr>
    </w:p>
    <w:p w14:paraId="53314913" w14:textId="77777777" w:rsidR="0038031A" w:rsidRDefault="0038031A" w:rsidP="0038031A">
      <w:pPr>
        <w:pStyle w:val="Heading1"/>
        <w:rPr>
          <w:rFonts w:eastAsiaTheme="minorHAnsi"/>
          <w:u w:val="single"/>
          <w:lang w:eastAsia="lv-LV"/>
        </w:rPr>
      </w:pPr>
      <w:bookmarkStart w:id="217" w:name="_Toc9267424"/>
      <w:bookmarkStart w:id="218" w:name="_Toc13152099"/>
      <w:bookmarkEnd w:id="208"/>
      <w:bookmarkEnd w:id="209"/>
      <w:bookmarkEnd w:id="210"/>
      <w:bookmarkEnd w:id="211"/>
      <w:bookmarkEnd w:id="212"/>
      <w:bookmarkEnd w:id="213"/>
      <w:bookmarkEnd w:id="214"/>
      <w:bookmarkEnd w:id="215"/>
      <w:bookmarkEnd w:id="216"/>
      <w:r>
        <w:rPr>
          <w:rFonts w:eastAsiaTheme="minorHAnsi"/>
          <w:lang w:eastAsia="lv-LV"/>
        </w:rPr>
        <w:t>5. Risinājuma ietekme uz valsts budžetu</w:t>
      </w:r>
      <w:bookmarkEnd w:id="217"/>
      <w:bookmarkEnd w:id="218"/>
    </w:p>
    <w:p w14:paraId="24CD4648"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 xml:space="preserve">Ziņojumā piedāvāto risinājumu izpildei nav ietekme uz pašvaldību budžetu. </w:t>
      </w:r>
      <w:r>
        <w:rPr>
          <w:rFonts w:ascii="Times New Roman" w:eastAsiaTheme="minorEastAsia" w:hAnsi="Times New Roman"/>
          <w:sz w:val="27"/>
          <w:szCs w:val="27"/>
        </w:rPr>
        <w:t>2.tabulā atspoguļota piedāvāto risinājumu ietekme uz valsts budžetu esošajā valsts budžeta sadalījuma ietvarā. Tomēr ir secināms, ka, lai mazinātu ietekmi uz valsts budžetu, Ekonomikas ministrijai ir nepieciešams risināt jautājumu par apropriācijas pārdali starp valsts budžeta apakšprogrammām, t.sk., starp valsts budžeta Ekonomikas ministrijas apakšprogrammām.</w:t>
      </w:r>
    </w:p>
    <w:p w14:paraId="720DEC9A" w14:textId="77777777" w:rsidR="0038031A" w:rsidRDefault="0038031A" w:rsidP="0038031A">
      <w:pPr>
        <w:spacing w:before="120" w:after="120" w:line="240" w:lineRule="auto"/>
        <w:jc w:val="both"/>
        <w:rPr>
          <w:rFonts w:ascii="Times New Roman" w:eastAsiaTheme="minorHAnsi" w:hAnsi="Times New Roman"/>
          <w:sz w:val="27"/>
          <w:szCs w:val="27"/>
          <w:lang w:eastAsia="lv-LV"/>
        </w:rPr>
      </w:pPr>
      <w:r>
        <w:rPr>
          <w:rFonts w:ascii="Times New Roman" w:eastAsiaTheme="minorHAnsi" w:hAnsi="Times New Roman"/>
          <w:sz w:val="27"/>
          <w:szCs w:val="27"/>
          <w:lang w:eastAsia="lv-LV"/>
        </w:rPr>
        <w:t>Ziņojuma II sadaļas 4.nodaļā piedāvāto risinājumu ietekmes uz valsts budžetu samazināšanai tiek piedāvāts izmantot šādus finansējuma avotus:</w:t>
      </w:r>
    </w:p>
    <w:p w14:paraId="3DDB3490" w14:textId="77777777" w:rsidR="000960E0" w:rsidRDefault="000960E0" w:rsidP="000960E0">
      <w:pPr>
        <w:numPr>
          <w:ilvl w:val="0"/>
          <w:numId w:val="70"/>
        </w:numPr>
        <w:spacing w:before="120" w:after="120" w:line="240" w:lineRule="auto"/>
        <w:ind w:left="397" w:hanging="397"/>
        <w:jc w:val="both"/>
        <w:rPr>
          <w:rFonts w:ascii="Times New Roman" w:eastAsiaTheme="minorEastAsia" w:hAnsi="Times New Roman"/>
          <w:sz w:val="27"/>
          <w:szCs w:val="27"/>
          <w:u w:val="single"/>
          <w:lang w:eastAsia="lv-LV"/>
        </w:rPr>
      </w:pPr>
      <w:bookmarkStart w:id="219" w:name="_Hlk530477310"/>
      <w:r>
        <w:rPr>
          <w:rFonts w:ascii="Times New Roman" w:eastAsiaTheme="minorEastAsia" w:hAnsi="Times New Roman"/>
          <w:sz w:val="27"/>
          <w:szCs w:val="27"/>
          <w:u w:val="single"/>
          <w:lang w:eastAsia="lv-LV"/>
        </w:rPr>
        <w:t>Obligātā iepirkuma uzraudzības finansējums</w:t>
      </w:r>
    </w:p>
    <w:p w14:paraId="1D7C40FF" w14:textId="56DE8FC7" w:rsidR="000960E0" w:rsidRDefault="000960E0" w:rsidP="000960E0">
      <w:pPr>
        <w:spacing w:before="120" w:after="120" w:line="240" w:lineRule="auto"/>
        <w:jc w:val="both"/>
        <w:rPr>
          <w:rFonts w:ascii="Times New Roman" w:eastAsiaTheme="minorEastAsia" w:hAnsi="Times New Roman"/>
          <w:sz w:val="27"/>
          <w:szCs w:val="27"/>
        </w:rPr>
      </w:pPr>
      <w:r>
        <w:rPr>
          <w:rFonts w:ascii="Times New Roman" w:eastAsiaTheme="minorEastAsia" w:hAnsi="Times New Roman"/>
          <w:sz w:val="27"/>
          <w:szCs w:val="27"/>
        </w:rPr>
        <w:t xml:space="preserve">2019.gadam obligātā iepirkuma uzraudzībai ir pieejams finansējums </w:t>
      </w:r>
      <w:r w:rsidR="003F193A" w:rsidRPr="003F193A">
        <w:rPr>
          <w:rFonts w:ascii="Times New Roman" w:eastAsiaTheme="minorEastAsia" w:hAnsi="Times New Roman"/>
          <w:sz w:val="27"/>
          <w:szCs w:val="27"/>
        </w:rPr>
        <w:t>263</w:t>
      </w:r>
      <w:r w:rsidR="001A7285">
        <w:rPr>
          <w:rFonts w:ascii="Times New Roman" w:eastAsiaTheme="minorEastAsia" w:hAnsi="Times New Roman"/>
          <w:sz w:val="27"/>
          <w:szCs w:val="27"/>
        </w:rPr>
        <w:t> </w:t>
      </w:r>
      <w:r w:rsidR="003F193A" w:rsidRPr="003F193A">
        <w:rPr>
          <w:rFonts w:ascii="Times New Roman" w:eastAsiaTheme="minorEastAsia" w:hAnsi="Times New Roman"/>
          <w:sz w:val="27"/>
          <w:szCs w:val="27"/>
        </w:rPr>
        <w:t>215</w:t>
      </w:r>
      <w:r w:rsidR="001A7285">
        <w:rPr>
          <w:rFonts w:ascii="Times New Roman" w:eastAsiaTheme="minorEastAsia" w:hAnsi="Times New Roman"/>
          <w:sz w:val="27"/>
          <w:szCs w:val="27"/>
        </w:rPr>
        <w:t xml:space="preserve"> </w:t>
      </w:r>
      <w:proofErr w:type="spellStart"/>
      <w:r w:rsidR="001A7285">
        <w:rPr>
          <w:rFonts w:ascii="Times New Roman" w:eastAsiaTheme="minorEastAsia" w:hAnsi="Times New Roman"/>
          <w:i/>
          <w:iCs/>
          <w:sz w:val="27"/>
          <w:szCs w:val="27"/>
        </w:rPr>
        <w:t>euro</w:t>
      </w:r>
      <w:proofErr w:type="spellEnd"/>
      <w:r w:rsidR="003F193A" w:rsidRPr="003F193A">
        <w:rPr>
          <w:rFonts w:ascii="Times New Roman" w:eastAsiaTheme="minorEastAsia" w:hAnsi="Times New Roman"/>
          <w:sz w:val="27"/>
          <w:szCs w:val="27"/>
        </w:rPr>
        <w:t xml:space="preserve"> </w:t>
      </w:r>
      <w:r>
        <w:rPr>
          <w:rFonts w:ascii="Times New Roman" w:eastAsiaTheme="minorEastAsia" w:hAnsi="Times New Roman"/>
          <w:sz w:val="27"/>
          <w:szCs w:val="27"/>
        </w:rPr>
        <w:t xml:space="preserve"> apmērā 7 jaunām amata slodzēm</w:t>
      </w:r>
      <w:r w:rsidR="003F193A">
        <w:rPr>
          <w:rFonts w:ascii="Times New Roman" w:eastAsiaTheme="minorEastAsia" w:hAnsi="Times New Roman"/>
          <w:sz w:val="27"/>
          <w:szCs w:val="27"/>
        </w:rPr>
        <w:t>, no kurām 2 amata slodzes tiks saglabātas Ekonomikas ministrijā</w:t>
      </w:r>
      <w:r w:rsidR="00CC35A4">
        <w:rPr>
          <w:rFonts w:ascii="Times New Roman" w:eastAsiaTheme="minorEastAsia" w:hAnsi="Times New Roman"/>
          <w:sz w:val="27"/>
          <w:szCs w:val="27"/>
        </w:rPr>
        <w:t xml:space="preserve"> (75 204 </w:t>
      </w:r>
      <w:proofErr w:type="spellStart"/>
      <w:r w:rsidR="00CC35A4">
        <w:rPr>
          <w:rFonts w:ascii="Times New Roman" w:eastAsiaTheme="minorEastAsia" w:hAnsi="Times New Roman"/>
          <w:i/>
          <w:iCs/>
          <w:sz w:val="27"/>
          <w:szCs w:val="27"/>
        </w:rPr>
        <w:t>euro</w:t>
      </w:r>
      <w:proofErr w:type="spellEnd"/>
      <w:r w:rsidR="00CC35A4">
        <w:rPr>
          <w:rFonts w:ascii="Times New Roman" w:eastAsiaTheme="minorEastAsia" w:hAnsi="Times New Roman"/>
          <w:sz w:val="27"/>
          <w:szCs w:val="27"/>
        </w:rPr>
        <w:t xml:space="preserve"> finansējums)</w:t>
      </w:r>
      <w:r>
        <w:rPr>
          <w:rFonts w:ascii="Times New Roman" w:eastAsiaTheme="minorEastAsia" w:hAnsi="Times New Roman"/>
          <w:sz w:val="27"/>
          <w:szCs w:val="27"/>
        </w:rPr>
        <w:t>.</w:t>
      </w:r>
      <w:bookmarkEnd w:id="219"/>
    </w:p>
    <w:p w14:paraId="42D63175" w14:textId="77777777" w:rsidR="000960E0" w:rsidRDefault="000960E0" w:rsidP="000960E0">
      <w:pPr>
        <w:spacing w:before="120" w:after="120" w:line="240" w:lineRule="auto"/>
        <w:jc w:val="both"/>
        <w:rPr>
          <w:rFonts w:ascii="Times New Roman" w:eastAsiaTheme="minorEastAsia" w:hAnsi="Times New Roman"/>
          <w:sz w:val="27"/>
          <w:szCs w:val="27"/>
        </w:rPr>
      </w:pPr>
      <w:r>
        <w:rPr>
          <w:rFonts w:ascii="Times New Roman" w:eastAsiaTheme="minorEastAsia" w:hAnsi="Times New Roman"/>
          <w:sz w:val="27"/>
          <w:szCs w:val="27"/>
        </w:rPr>
        <w:t>Lai būtiski uzlabotu obligātā iepirkuma sistēmu, ņemot vērā Latvijas Republikas Saeimas un Ministru kabineta lēmumus, kā arī, lai cita starpā būtiski uzlabotu mehānisma uzraudzību, šobrīd tiek piedāvāts obligātā iepirkuma saņēmējiem noteikt valsts atbalsta elektroenerģijas ražošanai nodeva. Ņemot vērā piedāvātās nodevas likmes, ir aprēķināms, ka iemaksātais nodevas apjoms varētu sasniegt 1,1 milj.</w:t>
      </w:r>
      <w:r w:rsidRPr="00BA3B4D">
        <w:rPr>
          <w:rFonts w:ascii="Times New Roman" w:hAnsi="Times New Roman"/>
          <w:i/>
          <w:iCs/>
          <w:sz w:val="27"/>
          <w:szCs w:val="27"/>
        </w:rPr>
        <w:t xml:space="preserve">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Tomēr šis iemaksātais apjoms varētu samazināties, ja elektroenerģijas ražotāji pārtrauks elektroenerģijas ražošanu, līdz ar to nebūs nodevas maksātāji.</w:t>
      </w:r>
    </w:p>
    <w:p w14:paraId="2E341F89" w14:textId="77777777" w:rsidR="000960E0" w:rsidRDefault="000960E0" w:rsidP="000960E0">
      <w:pPr>
        <w:numPr>
          <w:ilvl w:val="0"/>
          <w:numId w:val="70"/>
        </w:numPr>
        <w:spacing w:before="120" w:after="120" w:line="240" w:lineRule="auto"/>
        <w:ind w:left="397" w:hanging="397"/>
        <w:jc w:val="both"/>
        <w:rPr>
          <w:rFonts w:ascii="Times New Roman" w:eastAsiaTheme="minorEastAsia" w:hAnsi="Times New Roman"/>
          <w:sz w:val="27"/>
          <w:szCs w:val="27"/>
          <w:u w:val="single"/>
          <w:lang w:eastAsia="lv-LV"/>
        </w:rPr>
      </w:pPr>
      <w:r>
        <w:rPr>
          <w:rFonts w:ascii="Times New Roman" w:eastAsiaTheme="minorEastAsia" w:hAnsi="Times New Roman"/>
          <w:sz w:val="27"/>
          <w:szCs w:val="27"/>
          <w:u w:val="single"/>
          <w:lang w:eastAsia="lv-LV"/>
        </w:rPr>
        <w:t xml:space="preserve">Valsts nodevas par valsts naftas produktu drošības rezervju uzturēšanu finansējums </w:t>
      </w:r>
    </w:p>
    <w:p w14:paraId="687B4471" w14:textId="77777777" w:rsidR="0038031A" w:rsidRDefault="0038031A" w:rsidP="0038031A">
      <w:pPr>
        <w:spacing w:before="120" w:after="120" w:line="240" w:lineRule="auto"/>
        <w:jc w:val="both"/>
        <w:rPr>
          <w:rFonts w:ascii="Times New Roman" w:eastAsiaTheme="minorEastAsia" w:hAnsi="Times New Roman"/>
          <w:sz w:val="27"/>
          <w:szCs w:val="27"/>
        </w:rPr>
      </w:pPr>
      <w:r>
        <w:rPr>
          <w:rFonts w:ascii="Times New Roman" w:eastAsiaTheme="minorEastAsia" w:hAnsi="Times New Roman"/>
          <w:sz w:val="27"/>
          <w:szCs w:val="27"/>
        </w:rPr>
        <w:t>Enerģētikas likuma 72.</w:t>
      </w:r>
      <w:r>
        <w:rPr>
          <w:rFonts w:ascii="Times New Roman" w:eastAsiaTheme="minorEastAsia" w:hAnsi="Times New Roman"/>
          <w:sz w:val="27"/>
          <w:szCs w:val="27"/>
          <w:vertAlign w:val="superscript"/>
        </w:rPr>
        <w:t>3</w:t>
      </w:r>
      <w:r>
        <w:rPr>
          <w:rFonts w:ascii="Times New Roman" w:eastAsiaTheme="minorEastAsia" w:hAnsi="Times New Roman"/>
          <w:sz w:val="27"/>
          <w:szCs w:val="27"/>
        </w:rPr>
        <w:t xml:space="preserve"> pants nosaka, ka par drošības rezervju uzturēšanu maksājama valsts nodeva, kuru maksā komersanti, kas saņēmuši speciālu atļauju (licenci) apstiprinātā akcīzes preču noliktavas turētāja darbībai, komersanti, kas saņēmuši speciālu atļauju (licenci) reģistrēta saņēmēja darbībai, komersanti, kas saņēmuši speciālu atļauju (licenci) degvielas vairumtirdzniecībai, komersanti, kas saņēmuši speciālu atļauju (licenci) degvielas mazumtirdzniecībai. Citi komersanti maksā valsts nodevu par naftas produktu apjomu, kuru tie Latvijas Republikā savam patēriņam ieved no ES dalībvalsts vai trešās valsts. </w:t>
      </w:r>
    </w:p>
    <w:p w14:paraId="24E8B0DA" w14:textId="333EA1AE" w:rsidR="000960E0" w:rsidRDefault="000960E0" w:rsidP="000960E0">
      <w:pPr>
        <w:spacing w:before="120" w:after="120" w:line="240" w:lineRule="auto"/>
        <w:jc w:val="both"/>
        <w:rPr>
          <w:rFonts w:ascii="Times New Roman" w:eastAsiaTheme="minorEastAsia" w:hAnsi="Times New Roman"/>
          <w:sz w:val="27"/>
          <w:szCs w:val="27"/>
        </w:rPr>
      </w:pPr>
      <w:r>
        <w:rPr>
          <w:rFonts w:ascii="Times New Roman" w:eastAsiaTheme="minorEastAsia" w:hAnsi="Times New Roman"/>
          <w:sz w:val="27"/>
          <w:szCs w:val="27"/>
        </w:rPr>
        <w:t xml:space="preserve">Saskaņā ar Ministru kabineta 2018.gada 18.decembra noteikumiem Nr.834 “Grozījumi Ministru kabineta 2011. gada 14. jūnija noteikumos Nr. 450 “Noteikumi par valsts naftas produktu rezervju apmēru, apmēru, kādā maksājama valsts nodeva par drošības rezervju uzturēšanu, kā arī tās aprēķināšanas, maksāšanas un administrēšanas kārtību”” </w:t>
      </w:r>
      <w:r>
        <w:rPr>
          <w:rFonts w:ascii="Times New Roman" w:eastAsiaTheme="minorEastAsia" w:hAnsi="Times New Roman"/>
          <w:sz w:val="27"/>
          <w:szCs w:val="27"/>
        </w:rPr>
        <w:lastRenderedPageBreak/>
        <w:t xml:space="preserve">sākot ar 2019.gadu valsts nodevas ieņēmumu kopējais apjoms ir 19 782 320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xml:space="preserve">, bet 2020. un 2021.gadā – 23 23 997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xml:space="preserve">. Savukārt administratīvo izdevumu segšanai ir </w:t>
      </w:r>
      <w:r w:rsidR="003A24F2">
        <w:rPr>
          <w:rFonts w:ascii="Times New Roman" w:eastAsiaTheme="minorEastAsia" w:hAnsi="Times New Roman"/>
          <w:sz w:val="27"/>
          <w:szCs w:val="27"/>
        </w:rPr>
        <w:t>iespējams piešķirt</w:t>
      </w:r>
      <w:r>
        <w:rPr>
          <w:rFonts w:ascii="Times New Roman" w:eastAsiaTheme="minorEastAsia" w:hAnsi="Times New Roman"/>
          <w:sz w:val="27"/>
          <w:szCs w:val="27"/>
        </w:rPr>
        <w:t xml:space="preserve"> līdz 100 tūkst.</w:t>
      </w:r>
      <w:r w:rsidRPr="00BA3B4D">
        <w:rPr>
          <w:rFonts w:ascii="Times New Roman" w:hAnsi="Times New Roman"/>
          <w:i/>
          <w:iCs/>
          <w:sz w:val="27"/>
          <w:szCs w:val="27"/>
        </w:rPr>
        <w:t xml:space="preserve">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kas nav pietiekami naftas produktu administrēšanas funkciju veikšanai.</w:t>
      </w:r>
    </w:p>
    <w:p w14:paraId="6FB632FA" w14:textId="77777777" w:rsidR="000960E0" w:rsidRDefault="000960E0" w:rsidP="000960E0">
      <w:pPr>
        <w:spacing w:before="120" w:after="120" w:line="240" w:lineRule="auto"/>
        <w:jc w:val="both"/>
        <w:rPr>
          <w:rFonts w:ascii="Times New Roman" w:eastAsiaTheme="minorEastAsia" w:hAnsi="Times New Roman"/>
          <w:sz w:val="27"/>
          <w:szCs w:val="27"/>
        </w:rPr>
      </w:pPr>
      <w:r>
        <w:rPr>
          <w:rFonts w:ascii="Times New Roman" w:eastAsiaTheme="minorEastAsia" w:hAnsi="Times New Roman"/>
          <w:sz w:val="27"/>
          <w:szCs w:val="27"/>
        </w:rPr>
        <w:t>Likuma “Par valsts budžetu 2019.gadā” 28.pantā ir noteikts, ka finanšu ministram ir atļauts palielināt apropriāciju Ekonomikas ministrijai resursiem no dotācijas no vispārējiem ieņēmumiem un izdevumiem naftas produktu rezervju uzturēšanai atbilstoši budžetā ieskaitāmās valsts nodevas par naftas produktu drošības rezervju uzturēšanu.</w:t>
      </w:r>
    </w:p>
    <w:p w14:paraId="7F6367C0" w14:textId="5AAB4DE0" w:rsidR="000960E0" w:rsidRPr="000960E0" w:rsidRDefault="000960E0" w:rsidP="000960E0">
      <w:pPr>
        <w:spacing w:before="120" w:after="120" w:line="240" w:lineRule="auto"/>
        <w:jc w:val="both"/>
        <w:rPr>
          <w:rFonts w:ascii="Times New Roman" w:eastAsiaTheme="minorHAnsi" w:hAnsi="Times New Roman"/>
          <w:sz w:val="27"/>
          <w:szCs w:val="27"/>
        </w:rPr>
      </w:pPr>
      <w:r>
        <w:rPr>
          <w:rFonts w:ascii="Times New Roman" w:eastAsiaTheme="minorHAnsi" w:hAnsi="Times New Roman"/>
          <w:sz w:val="27"/>
          <w:szCs w:val="27"/>
        </w:rPr>
        <w:t xml:space="preserve">Tā kā šī ziņojuma II daļas 3.2. apakšnodaļā minētās funkcijas pēc iespējas efektīvākā veidā ir jāsāk veikt pēc iespējas ātrāk, ir nepieciešams paredzēt, ka šo funkciju veikšanai nepieciešamās papildu amata </w:t>
      </w:r>
      <w:r>
        <w:rPr>
          <w:rFonts w:ascii="Times New Roman" w:eastAsia="Times New Roman" w:hAnsi="Times New Roman"/>
          <w:color w:val="000000"/>
          <w:sz w:val="27"/>
          <w:szCs w:val="27"/>
          <w:lang w:eastAsia="lv-LV"/>
        </w:rPr>
        <w:t>slodzes</w:t>
      </w:r>
      <w:r>
        <w:rPr>
          <w:rFonts w:ascii="Times New Roman" w:eastAsiaTheme="minorHAnsi" w:hAnsi="Times New Roman"/>
          <w:sz w:val="27"/>
          <w:szCs w:val="27"/>
        </w:rPr>
        <w:t xml:space="preserve"> un finansējums tiek atvēlēts jau sākot ar 2019.gada 4.ceturksni.</w:t>
      </w:r>
    </w:p>
    <w:p w14:paraId="6D48773F" w14:textId="5733A8DA" w:rsidR="000960E0" w:rsidRDefault="000960E0" w:rsidP="000960E0">
      <w:pPr>
        <w:spacing w:before="120" w:after="120" w:line="240" w:lineRule="auto"/>
        <w:jc w:val="both"/>
        <w:rPr>
          <w:rFonts w:ascii="Times New Roman" w:eastAsiaTheme="minorEastAsia" w:hAnsi="Times New Roman"/>
          <w:sz w:val="27"/>
          <w:szCs w:val="27"/>
        </w:rPr>
      </w:pPr>
      <w:r>
        <w:rPr>
          <w:rFonts w:ascii="Times New Roman" w:eastAsiaTheme="minorEastAsia" w:hAnsi="Times New Roman"/>
          <w:sz w:val="27"/>
          <w:szCs w:val="27"/>
        </w:rPr>
        <w:t xml:space="preserve">Šobrīd Ekonomikas ministrijas 2019.gada budžetā apakšprogrammā “Elektroenerģijas lietotāju atbalsts” (šī ziņojuma II sadaļas 1. un 2.punkts) ir pieejams finansējums </w:t>
      </w:r>
      <w:r w:rsidR="001A7285" w:rsidRPr="003F193A">
        <w:rPr>
          <w:rFonts w:ascii="Times New Roman" w:eastAsiaTheme="minorEastAsia" w:hAnsi="Times New Roman"/>
          <w:sz w:val="27"/>
          <w:szCs w:val="27"/>
        </w:rPr>
        <w:t xml:space="preserve">263 215 </w:t>
      </w:r>
      <w:r>
        <w:rPr>
          <w:rFonts w:ascii="Times New Roman" w:eastAsiaTheme="minorEastAsia" w:hAnsi="Times New Roman"/>
          <w:sz w:val="27"/>
          <w:szCs w:val="27"/>
        </w:rPr>
        <w:t xml:space="preserve">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xml:space="preserve"> apjomā, apakšprogrammā “Naftas produktu rezervju uzturēšana” (šī ziņojuma II sadaļas 3.2. un 3.3.punkts) – 100 000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kopā 3</w:t>
      </w:r>
      <w:r w:rsidR="001A7285">
        <w:rPr>
          <w:rFonts w:ascii="Times New Roman" w:eastAsiaTheme="minorEastAsia" w:hAnsi="Times New Roman"/>
          <w:sz w:val="27"/>
          <w:szCs w:val="27"/>
        </w:rPr>
        <w:t>63 215</w:t>
      </w:r>
      <w:r>
        <w:rPr>
          <w:rFonts w:ascii="Times New Roman" w:eastAsiaTheme="minorEastAsia" w:hAnsi="Times New Roman"/>
          <w:sz w:val="27"/>
          <w:szCs w:val="27"/>
        </w:rPr>
        <w:t xml:space="preserve"> </w:t>
      </w:r>
      <w:proofErr w:type="spellStart"/>
      <w:r w:rsidRPr="00BA3B4D">
        <w:rPr>
          <w:rFonts w:ascii="Times New Roman" w:hAnsi="Times New Roman"/>
          <w:i/>
          <w:iCs/>
          <w:sz w:val="27"/>
          <w:szCs w:val="27"/>
        </w:rPr>
        <w:t>euro</w:t>
      </w:r>
      <w:proofErr w:type="spellEnd"/>
      <w:r>
        <w:rPr>
          <w:rFonts w:ascii="Times New Roman" w:eastAsiaTheme="minorEastAsia" w:hAnsi="Times New Roman"/>
          <w:sz w:val="27"/>
          <w:szCs w:val="27"/>
        </w:rPr>
        <w:t xml:space="preserve">. </w:t>
      </w:r>
    </w:p>
    <w:p w14:paraId="1013923E" w14:textId="275A1718" w:rsidR="000960E0" w:rsidRDefault="000960E0" w:rsidP="000960E0">
      <w:pPr>
        <w:spacing w:before="120" w:after="120" w:line="240" w:lineRule="auto"/>
        <w:jc w:val="both"/>
        <w:rPr>
          <w:rFonts w:ascii="Times New Roman" w:hAnsi="Times New Roman"/>
          <w:color w:val="000000"/>
          <w:sz w:val="27"/>
          <w:szCs w:val="27"/>
        </w:rPr>
      </w:pPr>
      <w:r>
        <w:rPr>
          <w:rFonts w:ascii="Times New Roman" w:eastAsiaTheme="minorEastAsia" w:hAnsi="Times New Roman"/>
          <w:sz w:val="27"/>
          <w:szCs w:val="27"/>
        </w:rPr>
        <w:t xml:space="preserve">Gadījumā, ja iepriekšminētais finansējums kādā periodā nav pietiekams, Ziņojuma II sadaļā minēto funkciju un uzdevumu īstenošanai, Ekonomikas ministrijai būs nepieciešams pieprasīt papildu finansējumu. </w:t>
      </w:r>
      <w:r>
        <w:rPr>
          <w:rFonts w:ascii="Times New Roman" w:hAnsi="Times New Roman"/>
          <w:color w:val="000000"/>
          <w:sz w:val="27"/>
          <w:szCs w:val="27"/>
        </w:rPr>
        <w:t xml:space="preserve">Jautājums </w:t>
      </w:r>
      <w:r>
        <w:rPr>
          <w:rFonts w:ascii="Times New Roman" w:hAnsi="Times New Roman"/>
          <w:color w:val="000000"/>
          <w:sz w:val="27"/>
          <w:szCs w:val="27"/>
          <w:lang w:eastAsia="lv-LV"/>
        </w:rPr>
        <w:t xml:space="preserve">par papildus valsts budžeta līdzekļu piešķiršanu (ja tādi būs nepieciešami) </w:t>
      </w:r>
      <w:r>
        <w:rPr>
          <w:rFonts w:ascii="Times New Roman" w:hAnsi="Times New Roman"/>
          <w:color w:val="000000"/>
          <w:sz w:val="27"/>
          <w:szCs w:val="27"/>
        </w:rPr>
        <w:t>ir skatāms Ministru kabinetā kopā ar visu ministriju un centrālo valsts iestāžu iesniegtajiem prioritāro pasākumu pieteikumiem, gadskārtējā valsts budžeta likumprojekta un vidēja termiņa budžeta ietvara likumprojekta sagatavošanas un izskatīšanas procesā atbilstoši valsts budžeta finansiālajām iespējām.</w:t>
      </w:r>
    </w:p>
    <w:p w14:paraId="512C4C8C" w14:textId="3BDF5284" w:rsidR="004A1C83" w:rsidRPr="00AD2746" w:rsidRDefault="004A1C83" w:rsidP="00AD2746">
      <w:pPr>
        <w:pStyle w:val="Heading1"/>
        <w:jc w:val="center"/>
        <w:rPr>
          <w:color w:val="000000"/>
          <w:sz w:val="27"/>
          <w:szCs w:val="27"/>
        </w:rPr>
      </w:pPr>
    </w:p>
    <w:p w14:paraId="2785DCF6" w14:textId="045D833A" w:rsidR="004A1C83" w:rsidRPr="004A1C83" w:rsidRDefault="004A1C83" w:rsidP="00B34D94">
      <w:pPr>
        <w:spacing w:before="120" w:after="120" w:line="240" w:lineRule="auto"/>
        <w:jc w:val="both"/>
        <w:rPr>
          <w:rFonts w:ascii="Times New Roman" w:eastAsiaTheme="minorEastAsia" w:hAnsi="Times New Roman"/>
          <w:sz w:val="27"/>
          <w:szCs w:val="27"/>
        </w:rPr>
        <w:sectPr w:rsidR="004A1C83" w:rsidRPr="004A1C83" w:rsidSect="008D3683">
          <w:headerReference w:type="default" r:id="rId13"/>
          <w:footerReference w:type="default" r:id="rId14"/>
          <w:footerReference w:type="first" r:id="rId15"/>
          <w:pgSz w:w="11906" w:h="16838"/>
          <w:pgMar w:top="1418" w:right="851" w:bottom="1134" w:left="1701" w:header="709" w:footer="709" w:gutter="0"/>
          <w:cols w:space="708"/>
          <w:titlePg/>
          <w:docGrid w:linePitch="381"/>
        </w:sectPr>
      </w:pPr>
    </w:p>
    <w:p w14:paraId="5C7ADDEF" w14:textId="10BC839A" w:rsidR="00B34D94" w:rsidRPr="00350191" w:rsidRDefault="00C87BF2" w:rsidP="00B34D94">
      <w:pPr>
        <w:spacing w:before="120" w:after="120" w:line="240" w:lineRule="auto"/>
        <w:jc w:val="right"/>
        <w:rPr>
          <w:rFonts w:ascii="Times New Roman" w:hAnsi="Times New Roman"/>
          <w:i/>
          <w:sz w:val="24"/>
        </w:rPr>
      </w:pPr>
      <w:r>
        <w:rPr>
          <w:rFonts w:ascii="Times New Roman" w:hAnsi="Times New Roman"/>
          <w:i/>
          <w:sz w:val="24"/>
        </w:rPr>
        <w:lastRenderedPageBreak/>
        <w:t>3</w:t>
      </w:r>
      <w:r w:rsidR="00B34D94" w:rsidRPr="00350191">
        <w:rPr>
          <w:rFonts w:ascii="Times New Roman" w:hAnsi="Times New Roman"/>
          <w:i/>
          <w:sz w:val="24"/>
        </w:rPr>
        <w:t>. tabula</w:t>
      </w:r>
      <w:r w:rsidR="00297AD0" w:rsidRPr="00350191">
        <w:rPr>
          <w:rFonts w:ascii="Times New Roman" w:eastAsiaTheme="minorHAnsi" w:hAnsi="Times New Roman"/>
          <w:i/>
          <w:sz w:val="24"/>
          <w:szCs w:val="20"/>
          <w:lang w:eastAsia="lv-LV"/>
        </w:rPr>
        <w:t xml:space="preserve"> </w:t>
      </w:r>
      <w:r w:rsidR="00B34D94" w:rsidRPr="00350191">
        <w:rPr>
          <w:rFonts w:ascii="Times New Roman" w:hAnsi="Times New Roman"/>
          <w:i/>
          <w:sz w:val="24"/>
        </w:rPr>
        <w:t>Piedāvātā risinājuma ietekme uz valsts budžetu</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2"/>
        <w:gridCol w:w="1414"/>
        <w:gridCol w:w="1854"/>
        <w:gridCol w:w="1426"/>
        <w:gridCol w:w="1426"/>
        <w:gridCol w:w="1426"/>
        <w:gridCol w:w="1214"/>
        <w:gridCol w:w="1141"/>
        <w:gridCol w:w="1553"/>
        <w:gridCol w:w="1588"/>
      </w:tblGrid>
      <w:tr w:rsidR="000960E0" w:rsidRPr="00E857C3" w14:paraId="70978645" w14:textId="77777777" w:rsidTr="006C667E">
        <w:trPr>
          <w:trHeight w:val="507"/>
          <w:tblHeader/>
          <w:jc w:val="center"/>
        </w:trPr>
        <w:tc>
          <w:tcPr>
            <w:tcW w:w="1422" w:type="dxa"/>
            <w:vMerge w:val="restart"/>
            <w:shd w:val="clear" w:color="000000" w:fill="F2F2F2"/>
            <w:noWrap/>
            <w:vAlign w:val="center"/>
            <w:hideMark/>
          </w:tcPr>
          <w:p w14:paraId="130C1069"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Risinājums</w:t>
            </w:r>
          </w:p>
        </w:tc>
        <w:tc>
          <w:tcPr>
            <w:tcW w:w="1414" w:type="dxa"/>
            <w:vMerge w:val="restart"/>
            <w:shd w:val="clear" w:color="000000" w:fill="F2F2F2"/>
            <w:noWrap/>
            <w:vAlign w:val="center"/>
            <w:hideMark/>
          </w:tcPr>
          <w:p w14:paraId="50DE4A56"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Risinājums (risinājuma varianti)</w:t>
            </w:r>
          </w:p>
        </w:tc>
        <w:tc>
          <w:tcPr>
            <w:tcW w:w="1854" w:type="dxa"/>
            <w:vMerge w:val="restart"/>
            <w:shd w:val="clear" w:color="000000" w:fill="F2F2F2"/>
            <w:noWrap/>
            <w:vAlign w:val="center"/>
            <w:hideMark/>
          </w:tcPr>
          <w:p w14:paraId="7AD695F0"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Budžeta programmas</w:t>
            </w:r>
          </w:p>
        </w:tc>
        <w:tc>
          <w:tcPr>
            <w:tcW w:w="4278" w:type="dxa"/>
            <w:gridSpan w:val="3"/>
            <w:vMerge w:val="restart"/>
            <w:shd w:val="clear" w:color="000000" w:fill="F2F2F2"/>
            <w:noWrap/>
            <w:vAlign w:val="center"/>
            <w:hideMark/>
          </w:tcPr>
          <w:p w14:paraId="15430A15"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 xml:space="preserve">Vidēja termiņa budžeta ietvara likumā plānotais finansējums, </w:t>
            </w:r>
            <w:proofErr w:type="spellStart"/>
            <w:r w:rsidRPr="00673FBE">
              <w:rPr>
                <w:rFonts w:ascii="Times New Roman" w:hAnsi="Times New Roman"/>
                <w:b/>
                <w:bCs/>
                <w:i/>
                <w:iCs/>
                <w:sz w:val="24"/>
                <w:szCs w:val="24"/>
              </w:rPr>
              <w:t>euro</w:t>
            </w:r>
            <w:proofErr w:type="spellEnd"/>
          </w:p>
        </w:tc>
        <w:tc>
          <w:tcPr>
            <w:tcW w:w="5496" w:type="dxa"/>
            <w:gridSpan w:val="4"/>
            <w:vMerge w:val="restart"/>
            <w:shd w:val="clear" w:color="000000" w:fill="F2F2F2"/>
            <w:noWrap/>
            <w:vAlign w:val="center"/>
            <w:hideMark/>
          </w:tcPr>
          <w:p w14:paraId="47E67EB3"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 xml:space="preserve">Nepieciešamais papildu finansējums, </w:t>
            </w:r>
            <w:proofErr w:type="spellStart"/>
            <w:r w:rsidRPr="00673FBE">
              <w:rPr>
                <w:rFonts w:ascii="Times New Roman" w:hAnsi="Times New Roman"/>
                <w:b/>
                <w:bCs/>
                <w:i/>
                <w:iCs/>
                <w:sz w:val="24"/>
                <w:szCs w:val="24"/>
              </w:rPr>
              <w:t>euro</w:t>
            </w:r>
            <w:proofErr w:type="spellEnd"/>
          </w:p>
        </w:tc>
      </w:tr>
      <w:tr w:rsidR="000960E0" w:rsidRPr="00E857C3" w14:paraId="3FF62766" w14:textId="77777777" w:rsidTr="006C667E">
        <w:trPr>
          <w:trHeight w:val="507"/>
          <w:tblHeader/>
          <w:jc w:val="center"/>
        </w:trPr>
        <w:tc>
          <w:tcPr>
            <w:tcW w:w="1422" w:type="dxa"/>
            <w:vMerge/>
            <w:noWrap/>
            <w:vAlign w:val="center"/>
            <w:hideMark/>
          </w:tcPr>
          <w:p w14:paraId="0006FED4"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1414" w:type="dxa"/>
            <w:vMerge/>
            <w:noWrap/>
            <w:vAlign w:val="center"/>
            <w:hideMark/>
          </w:tcPr>
          <w:p w14:paraId="276AC4F0"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1854" w:type="dxa"/>
            <w:vMerge/>
            <w:noWrap/>
            <w:vAlign w:val="center"/>
            <w:hideMark/>
          </w:tcPr>
          <w:p w14:paraId="4611EE53"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4278" w:type="dxa"/>
            <w:gridSpan w:val="3"/>
            <w:vMerge/>
            <w:noWrap/>
            <w:vAlign w:val="center"/>
            <w:hideMark/>
          </w:tcPr>
          <w:p w14:paraId="38F0C40A"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5496" w:type="dxa"/>
            <w:gridSpan w:val="4"/>
            <w:vMerge/>
            <w:noWrap/>
            <w:vAlign w:val="center"/>
            <w:hideMark/>
          </w:tcPr>
          <w:p w14:paraId="079D7DF7"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r>
      <w:tr w:rsidR="000960E0" w:rsidRPr="00E857C3" w14:paraId="4D57C92B" w14:textId="77777777" w:rsidTr="006C667E">
        <w:trPr>
          <w:trHeight w:val="1024"/>
          <w:tblHeader/>
          <w:jc w:val="center"/>
        </w:trPr>
        <w:tc>
          <w:tcPr>
            <w:tcW w:w="1422" w:type="dxa"/>
            <w:vMerge/>
            <w:noWrap/>
            <w:vAlign w:val="center"/>
            <w:hideMark/>
          </w:tcPr>
          <w:p w14:paraId="61525682"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1414" w:type="dxa"/>
            <w:vMerge/>
            <w:noWrap/>
            <w:vAlign w:val="center"/>
            <w:hideMark/>
          </w:tcPr>
          <w:p w14:paraId="2ECDACFE"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1854" w:type="dxa"/>
            <w:vMerge/>
            <w:noWrap/>
            <w:vAlign w:val="center"/>
            <w:hideMark/>
          </w:tcPr>
          <w:p w14:paraId="2372581A"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p>
        </w:tc>
        <w:tc>
          <w:tcPr>
            <w:tcW w:w="1426" w:type="dxa"/>
            <w:shd w:val="clear" w:color="000000" w:fill="F2F2F2"/>
            <w:noWrap/>
            <w:vAlign w:val="center"/>
            <w:hideMark/>
          </w:tcPr>
          <w:p w14:paraId="74AAB063"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2019</w:t>
            </w:r>
          </w:p>
        </w:tc>
        <w:tc>
          <w:tcPr>
            <w:tcW w:w="1426" w:type="dxa"/>
            <w:shd w:val="clear" w:color="000000" w:fill="F2F2F2"/>
            <w:noWrap/>
            <w:vAlign w:val="center"/>
            <w:hideMark/>
          </w:tcPr>
          <w:p w14:paraId="533DC917"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2020</w:t>
            </w:r>
          </w:p>
        </w:tc>
        <w:tc>
          <w:tcPr>
            <w:tcW w:w="1426" w:type="dxa"/>
            <w:shd w:val="clear" w:color="000000" w:fill="F2F2F2"/>
            <w:noWrap/>
            <w:vAlign w:val="center"/>
            <w:hideMark/>
          </w:tcPr>
          <w:p w14:paraId="04584C67"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2021</w:t>
            </w:r>
          </w:p>
        </w:tc>
        <w:tc>
          <w:tcPr>
            <w:tcW w:w="1214" w:type="dxa"/>
            <w:shd w:val="clear" w:color="000000" w:fill="F2F2F2"/>
            <w:noWrap/>
            <w:vAlign w:val="center"/>
            <w:hideMark/>
          </w:tcPr>
          <w:p w14:paraId="6FD1BE20"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2020</w:t>
            </w:r>
          </w:p>
        </w:tc>
        <w:tc>
          <w:tcPr>
            <w:tcW w:w="1141" w:type="dxa"/>
            <w:shd w:val="clear" w:color="000000" w:fill="F2F2F2"/>
            <w:noWrap/>
            <w:vAlign w:val="center"/>
            <w:hideMark/>
          </w:tcPr>
          <w:p w14:paraId="5C77D499"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2021</w:t>
            </w:r>
          </w:p>
        </w:tc>
        <w:tc>
          <w:tcPr>
            <w:tcW w:w="1553" w:type="dxa"/>
            <w:shd w:val="clear" w:color="000000" w:fill="F2F2F2"/>
            <w:noWrap/>
            <w:vAlign w:val="center"/>
            <w:hideMark/>
          </w:tcPr>
          <w:p w14:paraId="7C23DEE6"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2022</w:t>
            </w:r>
          </w:p>
        </w:tc>
        <w:tc>
          <w:tcPr>
            <w:tcW w:w="1588" w:type="dxa"/>
            <w:shd w:val="clear" w:color="000000" w:fill="F2F2F2"/>
            <w:noWrap/>
            <w:vAlign w:val="center"/>
            <w:hideMark/>
          </w:tcPr>
          <w:p w14:paraId="072B1E49"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Turpmāk</w:t>
            </w:r>
          </w:p>
          <w:p w14:paraId="1C358C65"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eastAsia="Times New Roman" w:hAnsi="Times New Roman"/>
                <w:b/>
                <w:bCs/>
                <w:color w:val="000000"/>
                <w:sz w:val="24"/>
                <w:szCs w:val="24"/>
                <w:lang w:eastAsia="lv-LV"/>
              </w:rPr>
              <w:t>ik gadu</w:t>
            </w:r>
          </w:p>
        </w:tc>
      </w:tr>
      <w:tr w:rsidR="000960E0" w:rsidRPr="00E857C3" w14:paraId="51BF2C12" w14:textId="77777777" w:rsidTr="006C667E">
        <w:trPr>
          <w:trHeight w:val="315"/>
          <w:jc w:val="center"/>
        </w:trPr>
        <w:tc>
          <w:tcPr>
            <w:tcW w:w="14464" w:type="dxa"/>
            <w:gridSpan w:val="10"/>
            <w:shd w:val="clear" w:color="000000" w:fill="C4BC96"/>
            <w:vAlign w:val="center"/>
            <w:hideMark/>
          </w:tcPr>
          <w:p w14:paraId="3BCD6597" w14:textId="77777777" w:rsidR="000960E0" w:rsidRPr="00E857C3" w:rsidRDefault="000960E0" w:rsidP="006C667E">
            <w:pPr>
              <w:spacing w:after="0" w:line="240" w:lineRule="auto"/>
              <w:rPr>
                <w:rFonts w:ascii="Times New Roman" w:eastAsia="Times New Roman" w:hAnsi="Times New Roman"/>
                <w:color w:val="000000"/>
                <w:sz w:val="24"/>
                <w:szCs w:val="24"/>
                <w:lang w:eastAsia="lv-LV"/>
              </w:rPr>
            </w:pPr>
            <w:r w:rsidRPr="00E857C3">
              <w:rPr>
                <w:rFonts w:ascii="Times New Roman" w:eastAsia="Times New Roman" w:hAnsi="Times New Roman"/>
                <w:color w:val="000000"/>
                <w:sz w:val="24"/>
                <w:szCs w:val="24"/>
                <w:lang w:eastAsia="lv-LV"/>
              </w:rPr>
              <w:t>Finansējums konceptuālā ziņojuma īstenošanai kopā, tai skaitā</w:t>
            </w:r>
          </w:p>
        </w:tc>
      </w:tr>
      <w:tr w:rsidR="000960E0" w:rsidRPr="00E857C3" w14:paraId="15DC38D7" w14:textId="77777777" w:rsidTr="006C667E">
        <w:trPr>
          <w:trHeight w:val="315"/>
          <w:jc w:val="center"/>
        </w:trPr>
        <w:tc>
          <w:tcPr>
            <w:tcW w:w="4690" w:type="dxa"/>
            <w:gridSpan w:val="3"/>
            <w:shd w:val="clear" w:color="000000" w:fill="EEECE1"/>
            <w:vAlign w:val="center"/>
            <w:hideMark/>
          </w:tcPr>
          <w:p w14:paraId="2E0A7CB1"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1. risinājums - Funkciju veikšanas turpināšana Ekonomikas ministrijā</w:t>
            </w:r>
          </w:p>
        </w:tc>
        <w:tc>
          <w:tcPr>
            <w:tcW w:w="1426" w:type="dxa"/>
            <w:shd w:val="clear" w:color="000000" w:fill="EEECE1"/>
            <w:vAlign w:val="center"/>
          </w:tcPr>
          <w:p w14:paraId="635E5715" w14:textId="73E18E28"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3</w:t>
            </w:r>
            <w:r w:rsidR="00FA38AC">
              <w:rPr>
                <w:rFonts w:ascii="Times New Roman" w:hAnsi="Times New Roman"/>
                <w:b/>
                <w:bCs/>
                <w:sz w:val="24"/>
                <w:szCs w:val="24"/>
              </w:rPr>
              <w:t>63 215</w:t>
            </w:r>
          </w:p>
        </w:tc>
        <w:tc>
          <w:tcPr>
            <w:tcW w:w="1426" w:type="dxa"/>
            <w:shd w:val="clear" w:color="000000" w:fill="EEECE1"/>
            <w:vAlign w:val="center"/>
          </w:tcPr>
          <w:p w14:paraId="353FB717"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426" w:type="dxa"/>
            <w:shd w:val="clear" w:color="000000" w:fill="EEECE1"/>
            <w:vAlign w:val="center"/>
          </w:tcPr>
          <w:p w14:paraId="685FCDDC"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214" w:type="dxa"/>
            <w:shd w:val="clear" w:color="000000" w:fill="EEECE1"/>
            <w:vAlign w:val="center"/>
          </w:tcPr>
          <w:p w14:paraId="3E696F54" w14:textId="2F178201" w:rsidR="000960E0" w:rsidRPr="00E857C3" w:rsidRDefault="00720F51" w:rsidP="006C667E">
            <w:pPr>
              <w:spacing w:after="0" w:line="240" w:lineRule="auto"/>
              <w:jc w:val="center"/>
              <w:rPr>
                <w:rFonts w:ascii="Times New Roman" w:eastAsia="Times New Roman" w:hAnsi="Times New Roman"/>
                <w:b/>
                <w:bCs/>
                <w:color w:val="000000"/>
                <w:sz w:val="24"/>
                <w:szCs w:val="24"/>
                <w:lang w:eastAsia="lv-LV"/>
              </w:rPr>
            </w:pPr>
            <w:r w:rsidRPr="00720F51">
              <w:rPr>
                <w:rFonts w:ascii="Times New Roman" w:hAnsi="Times New Roman"/>
                <w:b/>
                <w:bCs/>
                <w:sz w:val="24"/>
                <w:szCs w:val="24"/>
              </w:rPr>
              <w:t>379 352</w:t>
            </w:r>
          </w:p>
        </w:tc>
        <w:tc>
          <w:tcPr>
            <w:tcW w:w="1141" w:type="dxa"/>
            <w:shd w:val="clear" w:color="000000" w:fill="EEECE1"/>
            <w:vAlign w:val="center"/>
          </w:tcPr>
          <w:p w14:paraId="6DE0AD66"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582 857</w:t>
            </w:r>
          </w:p>
        </w:tc>
        <w:tc>
          <w:tcPr>
            <w:tcW w:w="1553" w:type="dxa"/>
            <w:shd w:val="clear" w:color="000000" w:fill="E2EFD9"/>
            <w:vAlign w:val="center"/>
          </w:tcPr>
          <w:p w14:paraId="5F69119F"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&gt;91 248 857</w:t>
            </w:r>
          </w:p>
        </w:tc>
        <w:tc>
          <w:tcPr>
            <w:tcW w:w="1588" w:type="dxa"/>
            <w:shd w:val="clear" w:color="000000" w:fill="E2EFD9"/>
            <w:vAlign w:val="center"/>
          </w:tcPr>
          <w:p w14:paraId="5CD5EC6F"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&gt;91 248 857</w:t>
            </w:r>
          </w:p>
        </w:tc>
      </w:tr>
      <w:tr w:rsidR="000960E0" w:rsidRPr="00E857C3" w14:paraId="4206E176" w14:textId="77777777" w:rsidTr="006C667E">
        <w:trPr>
          <w:trHeight w:val="585"/>
          <w:jc w:val="center"/>
        </w:trPr>
        <w:tc>
          <w:tcPr>
            <w:tcW w:w="4690" w:type="dxa"/>
            <w:gridSpan w:val="3"/>
            <w:shd w:val="clear" w:color="auto" w:fill="auto"/>
            <w:vAlign w:val="center"/>
            <w:hideMark/>
          </w:tcPr>
          <w:p w14:paraId="3C7D53C4" w14:textId="77777777" w:rsidR="000960E0" w:rsidRPr="00E857C3" w:rsidRDefault="000960E0" w:rsidP="006C667E">
            <w:pPr>
              <w:spacing w:after="0" w:line="240" w:lineRule="auto"/>
              <w:rPr>
                <w:rFonts w:ascii="Times New Roman" w:eastAsia="Times New Roman" w:hAnsi="Times New Roman"/>
                <w:color w:val="000000"/>
                <w:sz w:val="24"/>
                <w:szCs w:val="24"/>
                <w:lang w:eastAsia="lv-LV"/>
              </w:rPr>
            </w:pPr>
            <w:r w:rsidRPr="00E857C3">
              <w:rPr>
                <w:rFonts w:ascii="Times New Roman" w:eastAsia="Times New Roman" w:hAnsi="Times New Roman"/>
                <w:color w:val="000000"/>
                <w:sz w:val="24"/>
                <w:szCs w:val="24"/>
                <w:lang w:eastAsia="lv-LV"/>
              </w:rPr>
              <w:t>Paredzamā Eiropas Komisijas piemērotās soda naudas apjoms</w:t>
            </w:r>
          </w:p>
        </w:tc>
        <w:tc>
          <w:tcPr>
            <w:tcW w:w="1426" w:type="dxa"/>
            <w:shd w:val="clear" w:color="auto" w:fill="auto"/>
            <w:vAlign w:val="center"/>
          </w:tcPr>
          <w:p w14:paraId="2F0360DE"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0</w:t>
            </w:r>
          </w:p>
        </w:tc>
        <w:tc>
          <w:tcPr>
            <w:tcW w:w="1426" w:type="dxa"/>
            <w:shd w:val="clear" w:color="auto" w:fill="auto"/>
            <w:vAlign w:val="center"/>
          </w:tcPr>
          <w:p w14:paraId="2FA7F63F"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0</w:t>
            </w:r>
          </w:p>
        </w:tc>
        <w:tc>
          <w:tcPr>
            <w:tcW w:w="1426" w:type="dxa"/>
            <w:shd w:val="clear" w:color="auto" w:fill="auto"/>
            <w:vAlign w:val="center"/>
          </w:tcPr>
          <w:p w14:paraId="599EA14E"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0</w:t>
            </w:r>
          </w:p>
        </w:tc>
        <w:tc>
          <w:tcPr>
            <w:tcW w:w="1214" w:type="dxa"/>
            <w:shd w:val="clear" w:color="auto" w:fill="auto"/>
            <w:vAlign w:val="center"/>
          </w:tcPr>
          <w:p w14:paraId="359F260C"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0</w:t>
            </w:r>
          </w:p>
        </w:tc>
        <w:tc>
          <w:tcPr>
            <w:tcW w:w="1141" w:type="dxa"/>
            <w:shd w:val="clear" w:color="auto" w:fill="auto"/>
            <w:vAlign w:val="center"/>
          </w:tcPr>
          <w:p w14:paraId="358365BD"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0</w:t>
            </w:r>
          </w:p>
        </w:tc>
        <w:tc>
          <w:tcPr>
            <w:tcW w:w="1553" w:type="dxa"/>
            <w:shd w:val="clear" w:color="auto" w:fill="auto"/>
            <w:vAlign w:val="center"/>
          </w:tcPr>
          <w:p w14:paraId="0CE2D32A"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&gt;90 666 000</w:t>
            </w:r>
          </w:p>
        </w:tc>
        <w:tc>
          <w:tcPr>
            <w:tcW w:w="1588" w:type="dxa"/>
            <w:shd w:val="clear" w:color="auto" w:fill="auto"/>
            <w:vAlign w:val="center"/>
          </w:tcPr>
          <w:p w14:paraId="74CB9B04"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&gt;90 666 000</w:t>
            </w:r>
          </w:p>
        </w:tc>
      </w:tr>
      <w:tr w:rsidR="000960E0" w:rsidRPr="00E857C3" w14:paraId="14163725" w14:textId="77777777" w:rsidTr="006C667E">
        <w:trPr>
          <w:trHeight w:val="585"/>
          <w:jc w:val="center"/>
        </w:trPr>
        <w:tc>
          <w:tcPr>
            <w:tcW w:w="4690" w:type="dxa"/>
            <w:gridSpan w:val="3"/>
            <w:shd w:val="clear" w:color="auto" w:fill="auto"/>
            <w:vAlign w:val="center"/>
            <w:hideMark/>
          </w:tcPr>
          <w:p w14:paraId="1D045332" w14:textId="77777777" w:rsidR="000960E0" w:rsidRPr="00E857C3" w:rsidRDefault="000960E0" w:rsidP="006C667E">
            <w:pPr>
              <w:spacing w:after="0" w:line="240" w:lineRule="auto"/>
              <w:rPr>
                <w:rFonts w:ascii="Times New Roman" w:eastAsia="Times New Roman" w:hAnsi="Times New Roman"/>
                <w:color w:val="000000"/>
                <w:sz w:val="24"/>
                <w:szCs w:val="24"/>
                <w:lang w:eastAsia="lv-LV"/>
              </w:rPr>
            </w:pPr>
            <w:r w:rsidRPr="00E857C3">
              <w:rPr>
                <w:rFonts w:ascii="Times New Roman" w:eastAsia="Times New Roman" w:hAnsi="Times New Roman"/>
                <w:color w:val="000000"/>
                <w:sz w:val="24"/>
                <w:szCs w:val="24"/>
                <w:lang w:eastAsia="lv-LV"/>
              </w:rPr>
              <w:t>Esošo amata slodžu uzturēšana Ekonomikas ministrijā </w:t>
            </w:r>
          </w:p>
        </w:tc>
        <w:tc>
          <w:tcPr>
            <w:tcW w:w="1426" w:type="dxa"/>
            <w:shd w:val="clear" w:color="auto" w:fill="auto"/>
            <w:vAlign w:val="center"/>
          </w:tcPr>
          <w:p w14:paraId="49F86B26" w14:textId="33E32260" w:rsidR="000960E0" w:rsidRPr="00E857C3" w:rsidRDefault="00FA38AC" w:rsidP="006C667E">
            <w:pPr>
              <w:spacing w:after="0" w:line="240" w:lineRule="auto"/>
              <w:jc w:val="center"/>
              <w:rPr>
                <w:rFonts w:ascii="Times New Roman" w:eastAsia="Times New Roman" w:hAnsi="Times New Roman"/>
                <w:color w:val="000000"/>
                <w:sz w:val="24"/>
                <w:szCs w:val="24"/>
                <w:lang w:eastAsia="lv-LV"/>
              </w:rPr>
            </w:pPr>
            <w:r w:rsidRPr="00FA38AC">
              <w:rPr>
                <w:rFonts w:ascii="Times New Roman" w:hAnsi="Times New Roman"/>
                <w:sz w:val="24"/>
                <w:szCs w:val="24"/>
              </w:rPr>
              <w:t>363 215</w:t>
            </w:r>
          </w:p>
        </w:tc>
        <w:tc>
          <w:tcPr>
            <w:tcW w:w="1426" w:type="dxa"/>
            <w:shd w:val="clear" w:color="auto" w:fill="auto"/>
            <w:vAlign w:val="center"/>
          </w:tcPr>
          <w:p w14:paraId="5A335D4E"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100 000</w:t>
            </w:r>
          </w:p>
        </w:tc>
        <w:tc>
          <w:tcPr>
            <w:tcW w:w="1426" w:type="dxa"/>
            <w:shd w:val="clear" w:color="auto" w:fill="auto"/>
            <w:vAlign w:val="center"/>
          </w:tcPr>
          <w:p w14:paraId="7F8F64A1"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100 000</w:t>
            </w:r>
          </w:p>
        </w:tc>
        <w:tc>
          <w:tcPr>
            <w:tcW w:w="1214" w:type="dxa"/>
            <w:shd w:val="clear" w:color="auto" w:fill="auto"/>
            <w:vAlign w:val="center"/>
          </w:tcPr>
          <w:p w14:paraId="3B1478E3" w14:textId="2BAA97B1" w:rsidR="000960E0" w:rsidRPr="00E857C3" w:rsidRDefault="00720F51" w:rsidP="006C667E">
            <w:pPr>
              <w:spacing w:after="0" w:line="240" w:lineRule="auto"/>
              <w:jc w:val="center"/>
              <w:rPr>
                <w:rFonts w:ascii="Times New Roman" w:eastAsia="Times New Roman" w:hAnsi="Times New Roman"/>
                <w:color w:val="000000"/>
                <w:sz w:val="24"/>
                <w:szCs w:val="24"/>
                <w:lang w:eastAsia="lv-LV"/>
              </w:rPr>
            </w:pPr>
            <w:r w:rsidRPr="00720F51">
              <w:rPr>
                <w:rFonts w:ascii="Times New Roman" w:hAnsi="Times New Roman"/>
                <w:sz w:val="24"/>
                <w:szCs w:val="24"/>
              </w:rPr>
              <w:t>379 352</w:t>
            </w:r>
          </w:p>
        </w:tc>
        <w:tc>
          <w:tcPr>
            <w:tcW w:w="1141" w:type="dxa"/>
            <w:shd w:val="clear" w:color="auto" w:fill="auto"/>
            <w:vAlign w:val="center"/>
          </w:tcPr>
          <w:p w14:paraId="1B6E74CF"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582 857</w:t>
            </w:r>
          </w:p>
        </w:tc>
        <w:tc>
          <w:tcPr>
            <w:tcW w:w="1553" w:type="dxa"/>
            <w:shd w:val="clear" w:color="auto" w:fill="auto"/>
            <w:vAlign w:val="center"/>
          </w:tcPr>
          <w:p w14:paraId="7783E297"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582 857</w:t>
            </w:r>
          </w:p>
        </w:tc>
        <w:tc>
          <w:tcPr>
            <w:tcW w:w="1588" w:type="dxa"/>
            <w:shd w:val="clear" w:color="auto" w:fill="auto"/>
            <w:vAlign w:val="center"/>
          </w:tcPr>
          <w:p w14:paraId="1998C04E" w14:textId="77777777" w:rsidR="000960E0" w:rsidRPr="00E857C3" w:rsidRDefault="000960E0" w:rsidP="006C667E">
            <w:pPr>
              <w:spacing w:after="0" w:line="240" w:lineRule="auto"/>
              <w:jc w:val="center"/>
              <w:rPr>
                <w:rFonts w:ascii="Times New Roman" w:eastAsia="Times New Roman" w:hAnsi="Times New Roman"/>
                <w:color w:val="000000"/>
                <w:sz w:val="24"/>
                <w:szCs w:val="24"/>
                <w:lang w:eastAsia="lv-LV"/>
              </w:rPr>
            </w:pPr>
            <w:r w:rsidRPr="00673FBE">
              <w:rPr>
                <w:rFonts w:ascii="Times New Roman" w:hAnsi="Times New Roman"/>
                <w:sz w:val="24"/>
                <w:szCs w:val="24"/>
              </w:rPr>
              <w:t>582 857</w:t>
            </w:r>
          </w:p>
        </w:tc>
      </w:tr>
      <w:tr w:rsidR="000960E0" w:rsidRPr="00E857C3" w14:paraId="12F61EBD" w14:textId="77777777" w:rsidTr="006C667E">
        <w:trPr>
          <w:trHeight w:val="315"/>
          <w:jc w:val="center"/>
        </w:trPr>
        <w:tc>
          <w:tcPr>
            <w:tcW w:w="1422" w:type="dxa"/>
            <w:shd w:val="clear" w:color="000000" w:fill="E2EFD9"/>
            <w:vAlign w:val="center"/>
            <w:hideMark/>
          </w:tcPr>
          <w:p w14:paraId="334E52DF"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 </w:t>
            </w:r>
          </w:p>
        </w:tc>
        <w:tc>
          <w:tcPr>
            <w:tcW w:w="3268" w:type="dxa"/>
            <w:gridSpan w:val="2"/>
            <w:shd w:val="clear" w:color="000000" w:fill="E2EFD9"/>
            <w:vAlign w:val="center"/>
            <w:hideMark/>
          </w:tcPr>
          <w:p w14:paraId="5ECDF2FA"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Valsts budžets</w:t>
            </w:r>
          </w:p>
        </w:tc>
        <w:tc>
          <w:tcPr>
            <w:tcW w:w="1426" w:type="dxa"/>
            <w:shd w:val="clear" w:color="000000" w:fill="E2EFD9"/>
            <w:vAlign w:val="center"/>
          </w:tcPr>
          <w:p w14:paraId="1DEF42FB" w14:textId="4A8A1A79" w:rsidR="000960E0" w:rsidRPr="00E857C3" w:rsidRDefault="00FA38AC"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3</w:t>
            </w:r>
            <w:r>
              <w:rPr>
                <w:rFonts w:ascii="Times New Roman" w:hAnsi="Times New Roman"/>
                <w:b/>
                <w:bCs/>
                <w:sz w:val="24"/>
                <w:szCs w:val="24"/>
              </w:rPr>
              <w:t>63 215</w:t>
            </w:r>
          </w:p>
        </w:tc>
        <w:tc>
          <w:tcPr>
            <w:tcW w:w="1426" w:type="dxa"/>
            <w:shd w:val="clear" w:color="000000" w:fill="E2EFD9"/>
            <w:vAlign w:val="center"/>
          </w:tcPr>
          <w:p w14:paraId="7EE948B5"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426" w:type="dxa"/>
            <w:shd w:val="clear" w:color="000000" w:fill="E2EFD9"/>
            <w:vAlign w:val="center"/>
          </w:tcPr>
          <w:p w14:paraId="56974A6E"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214" w:type="dxa"/>
            <w:shd w:val="clear" w:color="000000" w:fill="E2EFD9"/>
            <w:vAlign w:val="center"/>
          </w:tcPr>
          <w:p w14:paraId="050F2F69" w14:textId="2F265E23" w:rsidR="000960E0" w:rsidRPr="00E857C3" w:rsidRDefault="00720F51" w:rsidP="006C667E">
            <w:pPr>
              <w:spacing w:after="0" w:line="240" w:lineRule="auto"/>
              <w:jc w:val="center"/>
              <w:rPr>
                <w:rFonts w:ascii="Times New Roman" w:eastAsia="Times New Roman" w:hAnsi="Times New Roman"/>
                <w:b/>
                <w:bCs/>
                <w:color w:val="000000"/>
                <w:sz w:val="24"/>
                <w:szCs w:val="24"/>
                <w:lang w:eastAsia="lv-LV"/>
              </w:rPr>
            </w:pPr>
            <w:r w:rsidRPr="00720F51">
              <w:rPr>
                <w:rFonts w:ascii="Times New Roman" w:hAnsi="Times New Roman"/>
                <w:b/>
                <w:bCs/>
                <w:sz w:val="24"/>
                <w:szCs w:val="24"/>
              </w:rPr>
              <w:t>379 352</w:t>
            </w:r>
          </w:p>
        </w:tc>
        <w:tc>
          <w:tcPr>
            <w:tcW w:w="1141" w:type="dxa"/>
            <w:shd w:val="clear" w:color="000000" w:fill="E2EFD9"/>
            <w:vAlign w:val="center"/>
          </w:tcPr>
          <w:p w14:paraId="329A93A1"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582 857</w:t>
            </w:r>
          </w:p>
        </w:tc>
        <w:tc>
          <w:tcPr>
            <w:tcW w:w="1553" w:type="dxa"/>
            <w:shd w:val="clear" w:color="000000" w:fill="E2EFD9"/>
            <w:vAlign w:val="center"/>
          </w:tcPr>
          <w:p w14:paraId="6F1E6213"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&gt;91 248 857</w:t>
            </w:r>
          </w:p>
        </w:tc>
        <w:tc>
          <w:tcPr>
            <w:tcW w:w="1588" w:type="dxa"/>
            <w:shd w:val="clear" w:color="000000" w:fill="E2EFD9"/>
            <w:vAlign w:val="center"/>
          </w:tcPr>
          <w:p w14:paraId="7BA563E4"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&gt;91 248 857</w:t>
            </w:r>
          </w:p>
        </w:tc>
      </w:tr>
      <w:tr w:rsidR="000960E0" w:rsidRPr="00E857C3" w14:paraId="476F7376" w14:textId="77777777" w:rsidTr="006C667E">
        <w:trPr>
          <w:trHeight w:val="315"/>
          <w:jc w:val="center"/>
        </w:trPr>
        <w:tc>
          <w:tcPr>
            <w:tcW w:w="4690" w:type="dxa"/>
            <w:gridSpan w:val="3"/>
            <w:shd w:val="clear" w:color="000000" w:fill="EEECE1"/>
            <w:vAlign w:val="center"/>
            <w:hideMark/>
          </w:tcPr>
          <w:p w14:paraId="0705E459"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2. risinājums - Funkciju veikšanas noteikšana BVKB</w:t>
            </w:r>
            <w:r w:rsidRPr="00E857C3">
              <w:rPr>
                <w:rStyle w:val="FootnoteReference"/>
                <w:rFonts w:ascii="Times New Roman" w:eastAsia="Times New Roman" w:hAnsi="Times New Roman"/>
                <w:b/>
                <w:bCs/>
                <w:color w:val="000000"/>
                <w:sz w:val="24"/>
                <w:szCs w:val="24"/>
                <w:lang w:eastAsia="lv-LV"/>
              </w:rPr>
              <w:footnoteReference w:id="32"/>
            </w:r>
          </w:p>
        </w:tc>
        <w:tc>
          <w:tcPr>
            <w:tcW w:w="1426" w:type="dxa"/>
            <w:shd w:val="clear" w:color="000000" w:fill="EEECE1"/>
            <w:vAlign w:val="center"/>
          </w:tcPr>
          <w:p w14:paraId="0815D9D7" w14:textId="6DF637CF" w:rsidR="000960E0" w:rsidRPr="00E857C3" w:rsidRDefault="00FA38AC"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3</w:t>
            </w:r>
            <w:r>
              <w:rPr>
                <w:rFonts w:ascii="Times New Roman" w:hAnsi="Times New Roman"/>
                <w:b/>
                <w:bCs/>
                <w:sz w:val="24"/>
                <w:szCs w:val="24"/>
              </w:rPr>
              <w:t>63 215</w:t>
            </w:r>
            <w:r w:rsidR="00107F6F">
              <w:rPr>
                <w:rStyle w:val="FootnoteReference"/>
                <w:rFonts w:ascii="Times New Roman" w:hAnsi="Times New Roman"/>
                <w:b/>
                <w:bCs/>
                <w:sz w:val="24"/>
                <w:szCs w:val="24"/>
              </w:rPr>
              <w:footnoteReference w:id="33"/>
            </w:r>
          </w:p>
        </w:tc>
        <w:tc>
          <w:tcPr>
            <w:tcW w:w="1426" w:type="dxa"/>
            <w:shd w:val="clear" w:color="000000" w:fill="EEECE1"/>
            <w:vAlign w:val="center"/>
          </w:tcPr>
          <w:p w14:paraId="4952C6BA"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426" w:type="dxa"/>
            <w:shd w:val="clear" w:color="000000" w:fill="EEECE1"/>
            <w:vAlign w:val="center"/>
          </w:tcPr>
          <w:p w14:paraId="079E9B33"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214" w:type="dxa"/>
            <w:shd w:val="clear" w:color="000000" w:fill="EEECE1"/>
            <w:vAlign w:val="center"/>
          </w:tcPr>
          <w:p w14:paraId="6AB4ADE5" w14:textId="6B11321F" w:rsidR="000960E0" w:rsidRPr="00E857C3"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1 370 000</w:t>
            </w:r>
          </w:p>
        </w:tc>
        <w:tc>
          <w:tcPr>
            <w:tcW w:w="1141" w:type="dxa"/>
            <w:shd w:val="clear" w:color="000000" w:fill="EEECE1"/>
            <w:vAlign w:val="center"/>
          </w:tcPr>
          <w:p w14:paraId="30801723" w14:textId="0DBCCB6C" w:rsidR="000960E0" w:rsidRPr="00E857C3"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1 231 000</w:t>
            </w:r>
          </w:p>
        </w:tc>
        <w:tc>
          <w:tcPr>
            <w:tcW w:w="1553" w:type="dxa"/>
            <w:shd w:val="clear" w:color="000000" w:fill="E2EFD9"/>
            <w:vAlign w:val="center"/>
          </w:tcPr>
          <w:p w14:paraId="3D04779A" w14:textId="1ED4A0F7" w:rsidR="000960E0" w:rsidRPr="00E857C3"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1 231 000</w:t>
            </w:r>
          </w:p>
        </w:tc>
        <w:tc>
          <w:tcPr>
            <w:tcW w:w="1588" w:type="dxa"/>
            <w:shd w:val="clear" w:color="000000" w:fill="E2EFD9"/>
            <w:vAlign w:val="center"/>
          </w:tcPr>
          <w:p w14:paraId="6F6D1946" w14:textId="5E2FD615" w:rsidR="000960E0" w:rsidRPr="00E857C3"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1 231 000</w:t>
            </w:r>
          </w:p>
        </w:tc>
      </w:tr>
      <w:tr w:rsidR="000960E0" w:rsidRPr="00E857C3" w14:paraId="60315F33" w14:textId="77777777" w:rsidTr="006C667E">
        <w:trPr>
          <w:trHeight w:val="945"/>
          <w:jc w:val="center"/>
        </w:trPr>
        <w:tc>
          <w:tcPr>
            <w:tcW w:w="1422" w:type="dxa"/>
            <w:shd w:val="clear" w:color="auto" w:fill="E2EFD9" w:themeFill="accent6" w:themeFillTint="33"/>
            <w:vAlign w:val="center"/>
          </w:tcPr>
          <w:p w14:paraId="19AD5867" w14:textId="77777777" w:rsidR="000960E0" w:rsidRPr="00E857C3" w:rsidRDefault="000960E0" w:rsidP="006C667E">
            <w:pPr>
              <w:spacing w:after="0" w:line="240" w:lineRule="auto"/>
              <w:rPr>
                <w:rFonts w:ascii="Times New Roman" w:eastAsia="Times New Roman" w:hAnsi="Times New Roman"/>
                <w:color w:val="000000"/>
                <w:sz w:val="24"/>
                <w:szCs w:val="24"/>
                <w:lang w:eastAsia="lv-LV"/>
              </w:rPr>
            </w:pPr>
            <w:r w:rsidRPr="00E857C3">
              <w:rPr>
                <w:rFonts w:ascii="Times New Roman" w:eastAsia="Times New Roman" w:hAnsi="Times New Roman"/>
                <w:b/>
                <w:bCs/>
                <w:color w:val="000000"/>
                <w:sz w:val="24"/>
                <w:szCs w:val="24"/>
                <w:lang w:eastAsia="lv-LV"/>
              </w:rPr>
              <w:t> </w:t>
            </w:r>
          </w:p>
        </w:tc>
        <w:tc>
          <w:tcPr>
            <w:tcW w:w="3268" w:type="dxa"/>
            <w:gridSpan w:val="2"/>
            <w:shd w:val="clear" w:color="auto" w:fill="E2EFD9" w:themeFill="accent6" w:themeFillTint="33"/>
            <w:vAlign w:val="center"/>
          </w:tcPr>
          <w:p w14:paraId="2A25156D" w14:textId="77777777" w:rsidR="000960E0" w:rsidRPr="00673FBE"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Valsts budžets</w:t>
            </w:r>
          </w:p>
        </w:tc>
        <w:tc>
          <w:tcPr>
            <w:tcW w:w="1426" w:type="dxa"/>
            <w:shd w:val="clear" w:color="auto" w:fill="E2EFD9" w:themeFill="accent6" w:themeFillTint="33"/>
            <w:vAlign w:val="center"/>
          </w:tcPr>
          <w:p w14:paraId="6BB3BE4D" w14:textId="6C34BFDD" w:rsidR="000960E0" w:rsidRPr="00673FBE" w:rsidRDefault="00FA38AC"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3</w:t>
            </w:r>
            <w:r>
              <w:rPr>
                <w:rFonts w:ascii="Times New Roman" w:hAnsi="Times New Roman"/>
                <w:b/>
                <w:bCs/>
                <w:sz w:val="24"/>
                <w:szCs w:val="24"/>
              </w:rPr>
              <w:t>63 215</w:t>
            </w:r>
          </w:p>
        </w:tc>
        <w:tc>
          <w:tcPr>
            <w:tcW w:w="1426" w:type="dxa"/>
            <w:shd w:val="clear" w:color="auto" w:fill="E2EFD9" w:themeFill="accent6" w:themeFillTint="33"/>
            <w:vAlign w:val="center"/>
          </w:tcPr>
          <w:p w14:paraId="699889A7" w14:textId="77777777" w:rsidR="000960E0" w:rsidRPr="00673FBE"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426" w:type="dxa"/>
            <w:shd w:val="clear" w:color="auto" w:fill="E2EFD9" w:themeFill="accent6" w:themeFillTint="33"/>
            <w:vAlign w:val="center"/>
          </w:tcPr>
          <w:p w14:paraId="1BE5CB46" w14:textId="77777777" w:rsidR="000960E0" w:rsidRPr="002F3BA7"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214" w:type="dxa"/>
            <w:shd w:val="clear" w:color="auto" w:fill="E2EFD9" w:themeFill="accent6" w:themeFillTint="33"/>
            <w:vAlign w:val="center"/>
          </w:tcPr>
          <w:p w14:paraId="59B3FCB8" w14:textId="387424BF" w:rsidR="000960E0" w:rsidRPr="00673FBE"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1 370 000</w:t>
            </w:r>
          </w:p>
        </w:tc>
        <w:tc>
          <w:tcPr>
            <w:tcW w:w="1141" w:type="dxa"/>
            <w:shd w:val="clear" w:color="auto" w:fill="E2EFD9" w:themeFill="accent6" w:themeFillTint="33"/>
            <w:vAlign w:val="center"/>
          </w:tcPr>
          <w:p w14:paraId="68F2F2D6" w14:textId="5AB2752C" w:rsidR="000960E0" w:rsidRPr="00673FBE"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1 231 000</w:t>
            </w:r>
          </w:p>
        </w:tc>
        <w:tc>
          <w:tcPr>
            <w:tcW w:w="1553" w:type="dxa"/>
            <w:shd w:val="clear" w:color="auto" w:fill="E2EFD9" w:themeFill="accent6" w:themeFillTint="33"/>
            <w:vAlign w:val="center"/>
          </w:tcPr>
          <w:p w14:paraId="4B5AED55" w14:textId="0B460542" w:rsidR="000960E0" w:rsidRPr="00673FBE"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1 231 000</w:t>
            </w:r>
          </w:p>
        </w:tc>
        <w:tc>
          <w:tcPr>
            <w:tcW w:w="1588" w:type="dxa"/>
            <w:shd w:val="clear" w:color="auto" w:fill="E2EFD9" w:themeFill="accent6" w:themeFillTint="33"/>
            <w:vAlign w:val="center"/>
          </w:tcPr>
          <w:p w14:paraId="7A4FBDCD" w14:textId="18447A83" w:rsidR="000960E0" w:rsidRPr="00673FBE" w:rsidRDefault="00CC35A4" w:rsidP="006C667E">
            <w:pPr>
              <w:spacing w:after="0" w:line="240" w:lineRule="auto"/>
              <w:jc w:val="center"/>
              <w:rPr>
                <w:rFonts w:ascii="Times New Roman" w:eastAsia="Times New Roman" w:hAnsi="Times New Roman"/>
                <w:b/>
                <w:bCs/>
                <w:color w:val="000000"/>
                <w:sz w:val="24"/>
                <w:szCs w:val="24"/>
                <w:lang w:eastAsia="lv-LV"/>
              </w:rPr>
            </w:pPr>
            <w:r>
              <w:rPr>
                <w:rFonts w:ascii="Times New Roman" w:hAnsi="Times New Roman"/>
                <w:b/>
                <w:bCs/>
                <w:sz w:val="24"/>
                <w:szCs w:val="24"/>
              </w:rPr>
              <w:t>1 231 000</w:t>
            </w:r>
          </w:p>
        </w:tc>
      </w:tr>
      <w:tr w:rsidR="000960E0" w:rsidRPr="00E857C3" w14:paraId="061F3E01" w14:textId="77777777" w:rsidTr="006C667E">
        <w:trPr>
          <w:trHeight w:val="315"/>
          <w:jc w:val="center"/>
        </w:trPr>
        <w:tc>
          <w:tcPr>
            <w:tcW w:w="4690" w:type="dxa"/>
            <w:gridSpan w:val="3"/>
            <w:shd w:val="clear" w:color="000000" w:fill="DDD9C3"/>
            <w:vAlign w:val="center"/>
            <w:hideMark/>
          </w:tcPr>
          <w:p w14:paraId="611E1FEF"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3.risinājums - Funkciju veikšanas noteikšana jaunā iestādē</w:t>
            </w:r>
          </w:p>
        </w:tc>
        <w:tc>
          <w:tcPr>
            <w:tcW w:w="1426" w:type="dxa"/>
            <w:shd w:val="clear" w:color="000000" w:fill="DDD9C3"/>
            <w:vAlign w:val="center"/>
          </w:tcPr>
          <w:p w14:paraId="5BBC100E" w14:textId="161CBCA6" w:rsidR="000960E0" w:rsidRPr="00E857C3" w:rsidRDefault="00FA38AC"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3</w:t>
            </w:r>
            <w:r>
              <w:rPr>
                <w:rFonts w:ascii="Times New Roman" w:hAnsi="Times New Roman"/>
                <w:b/>
                <w:bCs/>
                <w:sz w:val="24"/>
                <w:szCs w:val="24"/>
              </w:rPr>
              <w:t>63 215</w:t>
            </w:r>
          </w:p>
        </w:tc>
        <w:tc>
          <w:tcPr>
            <w:tcW w:w="1426" w:type="dxa"/>
            <w:shd w:val="clear" w:color="000000" w:fill="DDD9C3"/>
            <w:vAlign w:val="center"/>
          </w:tcPr>
          <w:p w14:paraId="58C0C911"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426" w:type="dxa"/>
            <w:shd w:val="clear" w:color="000000" w:fill="DDD9C3"/>
            <w:vAlign w:val="center"/>
          </w:tcPr>
          <w:p w14:paraId="76EE8529"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214" w:type="dxa"/>
            <w:shd w:val="clear" w:color="000000" w:fill="DDD9C3"/>
            <w:vAlign w:val="center"/>
          </w:tcPr>
          <w:p w14:paraId="37777CFE" w14:textId="5C1F0154"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w:t>
            </w:r>
            <w:r w:rsidR="00720F51">
              <w:rPr>
                <w:rFonts w:ascii="Times New Roman" w:hAnsi="Times New Roman"/>
                <w:b/>
                <w:bCs/>
                <w:sz w:val="24"/>
                <w:szCs w:val="24"/>
              </w:rPr>
              <w:t> </w:t>
            </w:r>
            <w:r w:rsidRPr="00673FBE">
              <w:rPr>
                <w:rFonts w:ascii="Times New Roman" w:hAnsi="Times New Roman"/>
                <w:b/>
                <w:bCs/>
                <w:sz w:val="24"/>
                <w:szCs w:val="24"/>
              </w:rPr>
              <w:t>7</w:t>
            </w:r>
            <w:r w:rsidR="00720F51">
              <w:rPr>
                <w:rFonts w:ascii="Times New Roman" w:hAnsi="Times New Roman"/>
                <w:b/>
                <w:bCs/>
                <w:sz w:val="24"/>
                <w:szCs w:val="24"/>
              </w:rPr>
              <w:t>58 799</w:t>
            </w:r>
          </w:p>
        </w:tc>
        <w:tc>
          <w:tcPr>
            <w:tcW w:w="1141" w:type="dxa"/>
            <w:shd w:val="clear" w:color="000000" w:fill="DDD9C3"/>
            <w:vAlign w:val="center"/>
          </w:tcPr>
          <w:p w14:paraId="7E02E2ED"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1 694 518</w:t>
            </w:r>
          </w:p>
        </w:tc>
        <w:tc>
          <w:tcPr>
            <w:tcW w:w="1553" w:type="dxa"/>
            <w:shd w:val="clear" w:color="000000" w:fill="DDD9C3"/>
            <w:vAlign w:val="center"/>
          </w:tcPr>
          <w:p w14:paraId="4FC8A950"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1 694 518</w:t>
            </w:r>
          </w:p>
        </w:tc>
        <w:tc>
          <w:tcPr>
            <w:tcW w:w="1588" w:type="dxa"/>
            <w:shd w:val="clear" w:color="000000" w:fill="DDD9C3"/>
            <w:vAlign w:val="center"/>
          </w:tcPr>
          <w:p w14:paraId="60144EC8"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1 694 518</w:t>
            </w:r>
          </w:p>
        </w:tc>
      </w:tr>
      <w:tr w:rsidR="000960E0" w:rsidRPr="00E857C3" w14:paraId="34E8FCD8" w14:textId="77777777" w:rsidTr="006C667E">
        <w:trPr>
          <w:trHeight w:val="315"/>
          <w:jc w:val="center"/>
        </w:trPr>
        <w:tc>
          <w:tcPr>
            <w:tcW w:w="1422" w:type="dxa"/>
            <w:shd w:val="clear" w:color="000000" w:fill="E2EFD9"/>
            <w:vAlign w:val="center"/>
            <w:hideMark/>
          </w:tcPr>
          <w:p w14:paraId="779A5CB0"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 </w:t>
            </w:r>
          </w:p>
        </w:tc>
        <w:tc>
          <w:tcPr>
            <w:tcW w:w="3268" w:type="dxa"/>
            <w:gridSpan w:val="2"/>
            <w:shd w:val="clear" w:color="000000" w:fill="E2EFD9"/>
            <w:vAlign w:val="center"/>
            <w:hideMark/>
          </w:tcPr>
          <w:p w14:paraId="77E2D235" w14:textId="77777777" w:rsidR="000960E0" w:rsidRPr="00E857C3" w:rsidRDefault="000960E0" w:rsidP="006C667E">
            <w:pPr>
              <w:spacing w:after="0" w:line="240" w:lineRule="auto"/>
              <w:rPr>
                <w:rFonts w:ascii="Times New Roman" w:eastAsia="Times New Roman" w:hAnsi="Times New Roman"/>
                <w:b/>
                <w:bCs/>
                <w:color w:val="000000"/>
                <w:sz w:val="24"/>
                <w:szCs w:val="24"/>
                <w:lang w:eastAsia="lv-LV"/>
              </w:rPr>
            </w:pPr>
            <w:r w:rsidRPr="00E857C3">
              <w:rPr>
                <w:rFonts w:ascii="Times New Roman" w:eastAsia="Times New Roman" w:hAnsi="Times New Roman"/>
                <w:b/>
                <w:bCs/>
                <w:color w:val="000000"/>
                <w:sz w:val="24"/>
                <w:szCs w:val="24"/>
                <w:lang w:eastAsia="lv-LV"/>
              </w:rPr>
              <w:t>Valsts budžets</w:t>
            </w:r>
          </w:p>
        </w:tc>
        <w:tc>
          <w:tcPr>
            <w:tcW w:w="1426" w:type="dxa"/>
            <w:shd w:val="clear" w:color="000000" w:fill="E2EFD9"/>
            <w:vAlign w:val="center"/>
          </w:tcPr>
          <w:p w14:paraId="53A72846" w14:textId="2C82D4D9" w:rsidR="000960E0" w:rsidRPr="00E857C3" w:rsidRDefault="00FA38AC"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3</w:t>
            </w:r>
            <w:r>
              <w:rPr>
                <w:rFonts w:ascii="Times New Roman" w:hAnsi="Times New Roman"/>
                <w:b/>
                <w:bCs/>
                <w:sz w:val="24"/>
                <w:szCs w:val="24"/>
              </w:rPr>
              <w:t>63 215</w:t>
            </w:r>
          </w:p>
        </w:tc>
        <w:tc>
          <w:tcPr>
            <w:tcW w:w="1426" w:type="dxa"/>
            <w:shd w:val="clear" w:color="000000" w:fill="E2EFD9"/>
            <w:vAlign w:val="center"/>
          </w:tcPr>
          <w:p w14:paraId="4EC0EA5C"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426" w:type="dxa"/>
            <w:shd w:val="clear" w:color="000000" w:fill="E2EFD9"/>
            <w:vAlign w:val="center"/>
          </w:tcPr>
          <w:p w14:paraId="59EB9899"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100 000</w:t>
            </w:r>
          </w:p>
        </w:tc>
        <w:tc>
          <w:tcPr>
            <w:tcW w:w="1214" w:type="dxa"/>
            <w:shd w:val="clear" w:color="000000" w:fill="E2EFD9"/>
            <w:vAlign w:val="center"/>
          </w:tcPr>
          <w:p w14:paraId="3E4A02DE" w14:textId="6B8A5563"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w:t>
            </w:r>
            <w:r w:rsidR="00720F51">
              <w:rPr>
                <w:rFonts w:ascii="Times New Roman" w:hAnsi="Times New Roman"/>
                <w:b/>
                <w:bCs/>
                <w:sz w:val="24"/>
                <w:szCs w:val="24"/>
              </w:rPr>
              <w:t> 758 799</w:t>
            </w:r>
          </w:p>
        </w:tc>
        <w:tc>
          <w:tcPr>
            <w:tcW w:w="1141" w:type="dxa"/>
            <w:shd w:val="clear" w:color="000000" w:fill="E2EFD9"/>
            <w:vAlign w:val="center"/>
          </w:tcPr>
          <w:p w14:paraId="385CDDF5"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1 694 518</w:t>
            </w:r>
          </w:p>
        </w:tc>
        <w:tc>
          <w:tcPr>
            <w:tcW w:w="1553" w:type="dxa"/>
            <w:shd w:val="clear" w:color="000000" w:fill="E2EFD9"/>
            <w:vAlign w:val="center"/>
          </w:tcPr>
          <w:p w14:paraId="5DBBDBA4"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1 694 518</w:t>
            </w:r>
          </w:p>
        </w:tc>
        <w:tc>
          <w:tcPr>
            <w:tcW w:w="1588" w:type="dxa"/>
            <w:shd w:val="clear" w:color="000000" w:fill="E2EFD9"/>
            <w:vAlign w:val="center"/>
          </w:tcPr>
          <w:p w14:paraId="0AE6020A" w14:textId="77777777" w:rsidR="000960E0" w:rsidRPr="00E857C3" w:rsidRDefault="000960E0" w:rsidP="006C667E">
            <w:pPr>
              <w:spacing w:after="0" w:line="240" w:lineRule="auto"/>
              <w:jc w:val="center"/>
              <w:rPr>
                <w:rFonts w:ascii="Times New Roman" w:eastAsia="Times New Roman" w:hAnsi="Times New Roman"/>
                <w:b/>
                <w:bCs/>
                <w:color w:val="000000"/>
                <w:sz w:val="24"/>
                <w:szCs w:val="24"/>
                <w:lang w:eastAsia="lv-LV"/>
              </w:rPr>
            </w:pPr>
            <w:r w:rsidRPr="00673FBE">
              <w:rPr>
                <w:rFonts w:ascii="Times New Roman" w:hAnsi="Times New Roman"/>
                <w:b/>
                <w:bCs/>
                <w:sz w:val="24"/>
                <w:szCs w:val="24"/>
              </w:rPr>
              <w:t>1 694 518</w:t>
            </w:r>
          </w:p>
        </w:tc>
      </w:tr>
    </w:tbl>
    <w:p w14:paraId="146FF43E" w14:textId="060003D2" w:rsidR="00F628A8" w:rsidRDefault="00F628A8" w:rsidP="00617C0C">
      <w:pPr>
        <w:pStyle w:val="Nodaas"/>
      </w:pPr>
    </w:p>
    <w:p w14:paraId="306E40BF" w14:textId="77777777" w:rsidR="009A7D47" w:rsidRPr="0048595C" w:rsidRDefault="009A7D47" w:rsidP="009A7D47">
      <w:pPr>
        <w:tabs>
          <w:tab w:val="center" w:pos="9072"/>
        </w:tabs>
        <w:spacing w:before="120" w:after="120" w:line="240" w:lineRule="auto"/>
        <w:jc w:val="both"/>
        <w:rPr>
          <w:rFonts w:ascii="Times New Roman" w:hAnsi="Times New Roman"/>
          <w:sz w:val="27"/>
          <w:szCs w:val="27"/>
        </w:rPr>
      </w:pPr>
      <w:r w:rsidRPr="0048595C">
        <w:rPr>
          <w:rFonts w:ascii="Times New Roman" w:hAnsi="Times New Roman"/>
          <w:sz w:val="27"/>
          <w:szCs w:val="27"/>
        </w:rPr>
        <w:t>Ministru prezidents</w:t>
      </w:r>
      <w:r w:rsidRPr="0048595C">
        <w:rPr>
          <w:rFonts w:ascii="Times New Roman" w:hAnsi="Times New Roman"/>
          <w:sz w:val="27"/>
          <w:szCs w:val="27"/>
        </w:rPr>
        <w:tab/>
      </w:r>
      <w:r w:rsidR="00F628A8">
        <w:rPr>
          <w:rFonts w:ascii="Times New Roman" w:hAnsi="Times New Roman"/>
          <w:sz w:val="27"/>
          <w:szCs w:val="27"/>
        </w:rPr>
        <w:tab/>
      </w:r>
      <w:r w:rsidR="00F628A8">
        <w:rPr>
          <w:rFonts w:ascii="Times New Roman" w:hAnsi="Times New Roman"/>
          <w:sz w:val="27"/>
          <w:szCs w:val="27"/>
        </w:rPr>
        <w:tab/>
      </w:r>
      <w:proofErr w:type="spellStart"/>
      <w:r w:rsidRPr="0048595C">
        <w:rPr>
          <w:rFonts w:ascii="Times New Roman" w:hAnsi="Times New Roman"/>
          <w:sz w:val="27"/>
          <w:szCs w:val="27"/>
        </w:rPr>
        <w:t>A.K.Kariņš</w:t>
      </w:r>
      <w:proofErr w:type="spellEnd"/>
    </w:p>
    <w:p w14:paraId="10B6B542" w14:textId="77777777" w:rsidR="009A7D47" w:rsidRPr="0048595C" w:rsidRDefault="009A7D47" w:rsidP="009A7D47">
      <w:pPr>
        <w:tabs>
          <w:tab w:val="center" w:pos="9072"/>
        </w:tabs>
        <w:spacing w:before="120" w:after="120" w:line="240" w:lineRule="auto"/>
        <w:jc w:val="both"/>
        <w:rPr>
          <w:rFonts w:ascii="Times New Roman" w:hAnsi="Times New Roman"/>
          <w:sz w:val="27"/>
          <w:szCs w:val="27"/>
        </w:rPr>
      </w:pPr>
      <w:r w:rsidRPr="0048595C">
        <w:rPr>
          <w:rFonts w:ascii="Times New Roman" w:hAnsi="Times New Roman"/>
          <w:sz w:val="27"/>
          <w:szCs w:val="27"/>
        </w:rPr>
        <w:t xml:space="preserve">Ekonomikas ministrs </w:t>
      </w:r>
      <w:r w:rsidRPr="0048595C">
        <w:rPr>
          <w:rFonts w:ascii="Times New Roman" w:hAnsi="Times New Roman"/>
          <w:sz w:val="27"/>
          <w:szCs w:val="27"/>
        </w:rPr>
        <w:tab/>
      </w:r>
      <w:r w:rsidR="00F628A8">
        <w:rPr>
          <w:rFonts w:ascii="Times New Roman" w:hAnsi="Times New Roman"/>
          <w:sz w:val="27"/>
          <w:szCs w:val="27"/>
        </w:rPr>
        <w:tab/>
      </w:r>
      <w:r w:rsidR="00F628A8">
        <w:rPr>
          <w:rFonts w:ascii="Times New Roman" w:hAnsi="Times New Roman"/>
          <w:sz w:val="27"/>
          <w:szCs w:val="27"/>
        </w:rPr>
        <w:tab/>
      </w:r>
      <w:proofErr w:type="spellStart"/>
      <w:r w:rsidRPr="0048595C">
        <w:rPr>
          <w:rFonts w:ascii="Times New Roman" w:hAnsi="Times New Roman"/>
          <w:sz w:val="27"/>
          <w:szCs w:val="27"/>
        </w:rPr>
        <w:t>R.Nemiro</w:t>
      </w:r>
      <w:proofErr w:type="spellEnd"/>
    </w:p>
    <w:p w14:paraId="4C545E99" w14:textId="77777777" w:rsidR="009A7D47" w:rsidRPr="0048595C" w:rsidRDefault="009A7D47" w:rsidP="009A7D47">
      <w:pPr>
        <w:tabs>
          <w:tab w:val="center" w:pos="9072"/>
        </w:tabs>
        <w:spacing w:before="120" w:after="120" w:line="240" w:lineRule="auto"/>
        <w:jc w:val="both"/>
        <w:rPr>
          <w:rFonts w:ascii="Times New Roman" w:hAnsi="Times New Roman"/>
          <w:sz w:val="27"/>
          <w:szCs w:val="27"/>
        </w:rPr>
      </w:pPr>
      <w:r w:rsidRPr="0048595C">
        <w:rPr>
          <w:rFonts w:ascii="Times New Roman" w:hAnsi="Times New Roman"/>
          <w:sz w:val="27"/>
          <w:szCs w:val="27"/>
        </w:rPr>
        <w:t>Valsts kancelejas direktors</w:t>
      </w:r>
      <w:r w:rsidRPr="0048595C">
        <w:rPr>
          <w:rFonts w:ascii="Times New Roman" w:hAnsi="Times New Roman"/>
          <w:sz w:val="27"/>
          <w:szCs w:val="27"/>
        </w:rPr>
        <w:tab/>
      </w:r>
      <w:r w:rsidR="00F628A8">
        <w:rPr>
          <w:rFonts w:ascii="Times New Roman" w:hAnsi="Times New Roman"/>
          <w:sz w:val="27"/>
          <w:szCs w:val="27"/>
        </w:rPr>
        <w:tab/>
      </w:r>
      <w:r w:rsidR="00F628A8">
        <w:rPr>
          <w:rFonts w:ascii="Times New Roman" w:hAnsi="Times New Roman"/>
          <w:sz w:val="27"/>
          <w:szCs w:val="27"/>
        </w:rPr>
        <w:tab/>
      </w:r>
      <w:proofErr w:type="spellStart"/>
      <w:r w:rsidRPr="0048595C">
        <w:rPr>
          <w:rFonts w:ascii="Times New Roman" w:hAnsi="Times New Roman"/>
          <w:sz w:val="27"/>
          <w:szCs w:val="27"/>
        </w:rPr>
        <w:t>J.Citskovskis</w:t>
      </w:r>
      <w:proofErr w:type="spellEnd"/>
    </w:p>
    <w:p w14:paraId="0B466900" w14:textId="44BA3040" w:rsidR="008D3683" w:rsidRPr="008D3683" w:rsidRDefault="009A7D47" w:rsidP="00350191">
      <w:pPr>
        <w:tabs>
          <w:tab w:val="center" w:pos="9072"/>
        </w:tabs>
        <w:spacing w:before="120" w:after="120" w:line="240" w:lineRule="auto"/>
        <w:jc w:val="both"/>
        <w:rPr>
          <w:rFonts w:ascii="Times New Roman" w:eastAsiaTheme="minorHAnsi" w:hAnsi="Times New Roman"/>
          <w:b/>
          <w:sz w:val="28"/>
          <w:szCs w:val="28"/>
          <w:lang w:eastAsia="lv-LV"/>
        </w:rPr>
      </w:pPr>
      <w:r w:rsidRPr="0048595C">
        <w:rPr>
          <w:rFonts w:ascii="Times New Roman" w:hAnsi="Times New Roman"/>
          <w:sz w:val="27"/>
          <w:szCs w:val="27"/>
        </w:rPr>
        <w:t>Vīza: valsts sekretārs</w:t>
      </w:r>
      <w:r w:rsidRPr="0048595C">
        <w:rPr>
          <w:rFonts w:ascii="Times New Roman" w:hAnsi="Times New Roman"/>
          <w:sz w:val="27"/>
          <w:szCs w:val="27"/>
        </w:rPr>
        <w:tab/>
      </w:r>
      <w:r w:rsidR="00F628A8">
        <w:rPr>
          <w:rFonts w:ascii="Times New Roman" w:hAnsi="Times New Roman"/>
          <w:sz w:val="27"/>
          <w:szCs w:val="27"/>
        </w:rPr>
        <w:tab/>
      </w:r>
      <w:r w:rsidR="00F628A8">
        <w:rPr>
          <w:rFonts w:ascii="Times New Roman" w:hAnsi="Times New Roman"/>
          <w:sz w:val="27"/>
          <w:szCs w:val="27"/>
        </w:rPr>
        <w:tab/>
      </w:r>
      <w:proofErr w:type="spellStart"/>
      <w:r w:rsidRPr="0048595C">
        <w:rPr>
          <w:rFonts w:ascii="Times New Roman" w:hAnsi="Times New Roman"/>
          <w:sz w:val="27"/>
          <w:szCs w:val="27"/>
        </w:rPr>
        <w:t>Ē.Eglīti</w:t>
      </w:r>
      <w:r w:rsidR="001E34AA">
        <w:rPr>
          <w:rFonts w:ascii="Times New Roman" w:hAnsi="Times New Roman"/>
          <w:sz w:val="27"/>
          <w:szCs w:val="27"/>
        </w:rPr>
        <w:t>s</w:t>
      </w:r>
      <w:proofErr w:type="spellEnd"/>
    </w:p>
    <w:sectPr w:rsidR="008D3683" w:rsidRPr="008D3683" w:rsidSect="00350191">
      <w:headerReference w:type="default" r:id="rId16"/>
      <w:footerReference w:type="default" r:id="rId17"/>
      <w:footerReference w:type="first" r:id="rId18"/>
      <w:pgSz w:w="16838" w:h="11906" w:orient="landscape"/>
      <w:pgMar w:top="1701" w:right="851" w:bottom="1134"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1EBFD" w14:textId="77777777" w:rsidR="00F74A20" w:rsidRDefault="00F74A20">
      <w:pPr>
        <w:spacing w:after="0" w:line="240" w:lineRule="auto"/>
      </w:pPr>
      <w:r>
        <w:separator/>
      </w:r>
    </w:p>
  </w:endnote>
  <w:endnote w:type="continuationSeparator" w:id="0">
    <w:p w14:paraId="70309423" w14:textId="77777777" w:rsidR="00F74A20" w:rsidRDefault="00F74A20">
      <w:pPr>
        <w:spacing w:after="0" w:line="240" w:lineRule="auto"/>
      </w:pPr>
      <w:r>
        <w:continuationSeparator/>
      </w:r>
    </w:p>
  </w:endnote>
  <w:endnote w:type="continuationNotice" w:id="1">
    <w:p w14:paraId="01145519" w14:textId="77777777" w:rsidR="00F74A20" w:rsidRDefault="00F74A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imesBody)">
    <w:altName w:val="Calibri"/>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EB05" w14:textId="50AE2EA8" w:rsidR="00F74A20" w:rsidRDefault="00F74A20">
    <w:pPr>
      <w:pStyle w:val="Footer"/>
    </w:pPr>
    <w:r>
      <w:rPr>
        <w:rFonts w:ascii="Times New Roman" w:hAnsi="Times New Roman"/>
        <w:sz w:val="20"/>
      </w:rPr>
      <w:t>EMIz_</w:t>
    </w:r>
    <w:r w:rsidR="00881D89">
      <w:rPr>
        <w:rFonts w:ascii="Times New Roman" w:hAnsi="Times New Roman"/>
        <w:sz w:val="20"/>
      </w:rPr>
      <w:t>1</w:t>
    </w:r>
    <w:r>
      <w:rPr>
        <w:rFonts w:ascii="Times New Roman" w:hAnsi="Times New Roman"/>
        <w:sz w:val="20"/>
      </w:rPr>
      <w:t>50719_OIK</w:t>
    </w:r>
  </w:p>
  <w:p w14:paraId="49E46A86" w14:textId="60D241E5" w:rsidR="00F74A20" w:rsidRPr="001E34AA" w:rsidRDefault="00F74A20" w:rsidP="008D3683">
    <w:pPr>
      <w:pStyle w:val="Footer"/>
      <w:rPr>
        <w:rFonts w:ascii="Times New Roman" w:hAnsi="Times New Roman"/>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82DAA" w14:textId="33FF0DAE" w:rsidR="00F74A20" w:rsidRPr="00BC129D" w:rsidRDefault="00F74A20">
    <w:pPr>
      <w:pStyle w:val="Footer"/>
    </w:pPr>
    <w:r>
      <w:rPr>
        <w:rFonts w:ascii="Times New Roman" w:hAnsi="Times New Roman"/>
        <w:sz w:val="20"/>
      </w:rPr>
      <w:t>EMIz_</w:t>
    </w:r>
    <w:r w:rsidR="00881D89">
      <w:rPr>
        <w:rFonts w:ascii="Times New Roman" w:hAnsi="Times New Roman"/>
        <w:sz w:val="20"/>
      </w:rPr>
      <w:t>1</w:t>
    </w:r>
    <w:r>
      <w:rPr>
        <w:rFonts w:ascii="Times New Roman" w:hAnsi="Times New Roman"/>
        <w:sz w:val="20"/>
      </w:rPr>
      <w:t>50719_OIK</w:t>
    </w:r>
    <w:r w:rsidRPr="00876023">
      <w:rPr>
        <w:rFonts w:ascii="Times New Roman" w:hAnsi="Times New Roman"/>
        <w:sz w:val="20"/>
        <w:szCs w:val="20"/>
      </w:rPr>
      <w:fldChar w:fldCharType="begin"/>
    </w:r>
    <w:r w:rsidRPr="00876023">
      <w:rPr>
        <w:rFonts w:ascii="Times New Roman" w:hAnsi="Times New Roman"/>
        <w:sz w:val="20"/>
        <w:szCs w:val="20"/>
      </w:rPr>
      <w:instrText xml:space="preserve"> FILENAME   \* MERGEFORMAT </w:instrText>
    </w:r>
    <w:r w:rsidRPr="00876023">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A0A5" w14:textId="6F55EDD8" w:rsidR="00F74A20" w:rsidRPr="005A646A" w:rsidRDefault="00F74A20" w:rsidP="005A646A">
    <w:pPr>
      <w:pStyle w:val="Footer"/>
    </w:pPr>
    <w:r>
      <w:rPr>
        <w:rFonts w:ascii="Times New Roman" w:hAnsi="Times New Roman"/>
        <w:sz w:val="20"/>
      </w:rPr>
      <w:t>EMIz_</w:t>
    </w:r>
    <w:r w:rsidR="00881D89">
      <w:rPr>
        <w:rFonts w:ascii="Times New Roman" w:hAnsi="Times New Roman"/>
        <w:sz w:val="20"/>
      </w:rPr>
      <w:t>1</w:t>
    </w:r>
    <w:r>
      <w:rPr>
        <w:rFonts w:ascii="Times New Roman" w:hAnsi="Times New Roman"/>
        <w:sz w:val="20"/>
      </w:rPr>
      <w:t>50719_OIK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E61B" w14:textId="70A661A4" w:rsidR="00F74A20" w:rsidRPr="00076896" w:rsidRDefault="00F74A20" w:rsidP="00076896">
    <w:pPr>
      <w:pStyle w:val="Footer"/>
    </w:pPr>
    <w:r>
      <w:rPr>
        <w:rFonts w:ascii="Times New Roman" w:hAnsi="Times New Roman"/>
        <w:sz w:val="20"/>
      </w:rPr>
      <w:t>EMIz_</w:t>
    </w:r>
    <w:r w:rsidR="00881D89">
      <w:rPr>
        <w:rFonts w:ascii="Times New Roman" w:hAnsi="Times New Roman"/>
        <w:sz w:val="20"/>
      </w:rPr>
      <w:t>1</w:t>
    </w:r>
    <w:r>
      <w:rPr>
        <w:rFonts w:ascii="Times New Roman" w:hAnsi="Times New Roman"/>
        <w:sz w:val="20"/>
      </w:rPr>
      <w:t>50719_OIK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D422E" w14:textId="77777777" w:rsidR="00F74A20" w:rsidRDefault="00F74A20" w:rsidP="00E85BD0">
      <w:pPr>
        <w:spacing w:after="0" w:line="240" w:lineRule="auto"/>
      </w:pPr>
      <w:r>
        <w:separator/>
      </w:r>
    </w:p>
  </w:footnote>
  <w:footnote w:type="continuationSeparator" w:id="0">
    <w:p w14:paraId="1810952C" w14:textId="77777777" w:rsidR="00F74A20" w:rsidRDefault="00F74A20" w:rsidP="00E85BD0">
      <w:pPr>
        <w:spacing w:after="0" w:line="240" w:lineRule="auto"/>
      </w:pPr>
      <w:r>
        <w:continuationSeparator/>
      </w:r>
    </w:p>
  </w:footnote>
  <w:footnote w:type="continuationNotice" w:id="1">
    <w:p w14:paraId="1F0EBC99" w14:textId="77777777" w:rsidR="00F74A20" w:rsidRDefault="00F74A20">
      <w:pPr>
        <w:spacing w:after="0" w:line="240" w:lineRule="auto"/>
      </w:pPr>
    </w:p>
  </w:footnote>
  <w:footnote w:id="2">
    <w:p w14:paraId="074393A2" w14:textId="77777777" w:rsidR="00F74A20" w:rsidRDefault="00F74A20" w:rsidP="002711E4">
      <w:pPr>
        <w:pStyle w:val="FootnoteText"/>
      </w:pPr>
      <w:r>
        <w:rPr>
          <w:rStyle w:val="FootnoteReference"/>
        </w:rPr>
        <w:footnoteRef/>
      </w:r>
      <w:r>
        <w:t xml:space="preserve"> </w:t>
      </w:r>
      <w:proofErr w:type="spellStart"/>
      <w:r>
        <w:t>Nodevas</w:t>
      </w:r>
      <w:proofErr w:type="spellEnd"/>
      <w:r>
        <w:t xml:space="preserve"> </w:t>
      </w:r>
      <w:proofErr w:type="spellStart"/>
      <w:r>
        <w:t>izveidošana</w:t>
      </w:r>
      <w:proofErr w:type="spellEnd"/>
      <w:r>
        <w:t xml:space="preserve"> </w:t>
      </w:r>
      <w:proofErr w:type="spellStart"/>
      <w:r>
        <w:t>ir</w:t>
      </w:r>
      <w:proofErr w:type="spellEnd"/>
      <w:r>
        <w:t xml:space="preserve"> </w:t>
      </w:r>
      <w:proofErr w:type="spellStart"/>
      <w:r>
        <w:t>iekļauta</w:t>
      </w:r>
      <w:proofErr w:type="spellEnd"/>
      <w:r>
        <w:t xml:space="preserve"> </w:t>
      </w:r>
      <w:proofErr w:type="spellStart"/>
      <w:r>
        <w:t>Ekonomikas</w:t>
      </w:r>
      <w:proofErr w:type="spellEnd"/>
      <w:r>
        <w:t xml:space="preserve"> </w:t>
      </w:r>
      <w:proofErr w:type="spellStart"/>
      <w:r>
        <w:t>ministrijas</w:t>
      </w:r>
      <w:proofErr w:type="spellEnd"/>
      <w:r>
        <w:t xml:space="preserve"> </w:t>
      </w:r>
      <w:proofErr w:type="spellStart"/>
      <w:r>
        <w:t>priekšlikumos</w:t>
      </w:r>
      <w:proofErr w:type="spellEnd"/>
      <w:r>
        <w:t xml:space="preserve"> </w:t>
      </w:r>
      <w:proofErr w:type="spellStart"/>
      <w:r>
        <w:t>likumprojektam</w:t>
      </w:r>
      <w:proofErr w:type="spellEnd"/>
      <w:r>
        <w:t xml:space="preserve"> “</w:t>
      </w:r>
      <w:proofErr w:type="spellStart"/>
      <w:r>
        <w:t>Grozījumi</w:t>
      </w:r>
      <w:proofErr w:type="spellEnd"/>
      <w:r>
        <w:t xml:space="preserve"> </w:t>
      </w:r>
      <w:proofErr w:type="spellStart"/>
      <w:r>
        <w:t>Elektroenerģijas</w:t>
      </w:r>
      <w:proofErr w:type="spellEnd"/>
      <w:r>
        <w:t xml:space="preserve"> </w:t>
      </w:r>
      <w:proofErr w:type="spellStart"/>
      <w:r>
        <w:t>tirgus</w:t>
      </w:r>
      <w:proofErr w:type="spellEnd"/>
      <w:r>
        <w:t xml:space="preserve"> </w:t>
      </w:r>
      <w:proofErr w:type="spellStart"/>
      <w:r>
        <w:t>likumā</w:t>
      </w:r>
      <w:proofErr w:type="spellEnd"/>
      <w:r>
        <w:t xml:space="preserve">” – </w:t>
      </w:r>
      <w:hyperlink r:id="rId1" w:history="1">
        <w:r>
          <w:rPr>
            <w:rStyle w:val="Hyperlink"/>
          </w:rPr>
          <w:t>http://titania.saeima.lv/LIVS13/saeimalivs13.nsf/0/308d906d892d9e85c225842c001e9c23/$FILE/Lp%2077-2.pdf</w:t>
        </w:r>
      </w:hyperlink>
      <w:r>
        <w:t xml:space="preserve"> </w:t>
      </w:r>
    </w:p>
  </w:footnote>
  <w:footnote w:id="3">
    <w:p w14:paraId="7564405D" w14:textId="08415D69" w:rsidR="00F74A20" w:rsidRPr="00DC1DF4" w:rsidRDefault="00F74A20">
      <w:pPr>
        <w:pStyle w:val="FootnoteText"/>
        <w:rPr>
          <w:lang w:val="lv-LV"/>
        </w:rPr>
      </w:pPr>
      <w:r>
        <w:rPr>
          <w:rStyle w:val="FootnoteReference"/>
        </w:rPr>
        <w:footnoteRef/>
      </w:r>
      <w:r>
        <w:t xml:space="preserve"> </w:t>
      </w:r>
      <w:r>
        <w:rPr>
          <w:lang w:val="lv-LV"/>
        </w:rPr>
        <w:t xml:space="preserve">Skatīt: </w:t>
      </w:r>
      <w:r w:rsidRPr="00DC1DF4">
        <w:rPr>
          <w:lang w:val="lv-LV"/>
        </w:rPr>
        <w:t>https://likumi.lv/doc.php?id=108834</w:t>
      </w:r>
    </w:p>
  </w:footnote>
  <w:footnote w:id="4">
    <w:p w14:paraId="51A1740B" w14:textId="63A49040" w:rsidR="00F74A20" w:rsidRPr="00DC1DF4" w:rsidRDefault="00F74A20">
      <w:pPr>
        <w:pStyle w:val="FootnoteText"/>
        <w:rPr>
          <w:lang w:val="lv-LV"/>
        </w:rPr>
      </w:pPr>
      <w:r>
        <w:rPr>
          <w:rStyle w:val="FootnoteReference"/>
        </w:rPr>
        <w:footnoteRef/>
      </w:r>
      <w:r w:rsidRPr="00DC1DF4">
        <w:rPr>
          <w:lang w:val="lv-LV"/>
        </w:rPr>
        <w:t xml:space="preserve"> </w:t>
      </w:r>
      <w:r w:rsidRPr="00B32B10">
        <w:rPr>
          <w:rFonts w:eastAsiaTheme="minorEastAsia"/>
          <w:szCs w:val="28"/>
          <w:lang w:val="lv-LV"/>
        </w:rPr>
        <w:t>Ministru kabineta 2009. gada 10. marta noteikumos Nr. 221 “N</w:t>
      </w:r>
      <w:r w:rsidRPr="00B32B10">
        <w:rPr>
          <w:lang w:val="lv-LV"/>
        </w:rPr>
        <w:t xml:space="preserve">oteikumi par elektroenerģijas ražošanu un cenu noteikšanu, ražojot elektroenerģiju koģenerācijā”, skatīt: </w:t>
      </w:r>
      <w:r w:rsidRPr="00F76435">
        <w:rPr>
          <w:lang w:val="lv-LV"/>
        </w:rPr>
        <w:t>https://likumi.lv/doc.php?id=189260</w:t>
      </w:r>
    </w:p>
  </w:footnote>
  <w:footnote w:id="5">
    <w:p w14:paraId="147A1FF0" w14:textId="75B290C9" w:rsidR="00F74A20" w:rsidRPr="00DC1DF4" w:rsidRDefault="00F74A20">
      <w:pPr>
        <w:pStyle w:val="FootnoteText"/>
        <w:rPr>
          <w:lang w:val="lv-LV"/>
        </w:rPr>
      </w:pPr>
      <w:r>
        <w:rPr>
          <w:rStyle w:val="FootnoteReference"/>
        </w:rPr>
        <w:footnoteRef/>
      </w:r>
      <w:r w:rsidRPr="00DC1DF4">
        <w:rPr>
          <w:lang w:val="lv-LV"/>
        </w:rPr>
        <w:t xml:space="preserve"> </w:t>
      </w:r>
      <w:r w:rsidRPr="00AB0418">
        <w:rPr>
          <w:rFonts w:eastAsiaTheme="minorEastAsia"/>
          <w:szCs w:val="26"/>
          <w:lang w:val="lv-LV"/>
        </w:rPr>
        <w:t>M</w:t>
      </w:r>
      <w:r>
        <w:rPr>
          <w:rFonts w:eastAsiaTheme="minorEastAsia"/>
          <w:szCs w:val="26"/>
          <w:lang w:val="lv-LV"/>
        </w:rPr>
        <w:t>inistru kabineta</w:t>
      </w:r>
      <w:r w:rsidRPr="00AB0418">
        <w:rPr>
          <w:rFonts w:eastAsiaTheme="minorEastAsia"/>
          <w:szCs w:val="26"/>
          <w:lang w:val="lv-LV"/>
        </w:rPr>
        <w:t xml:space="preserve"> 2010.gada 16.marta noteikum</w:t>
      </w:r>
      <w:r>
        <w:rPr>
          <w:rFonts w:eastAsiaTheme="minorEastAsia"/>
          <w:szCs w:val="26"/>
          <w:lang w:val="lv-LV"/>
        </w:rPr>
        <w:t>i</w:t>
      </w:r>
      <w:r w:rsidRPr="00AB0418">
        <w:rPr>
          <w:rFonts w:eastAsiaTheme="minorEastAsia"/>
          <w:szCs w:val="26"/>
          <w:lang w:val="lv-LV"/>
        </w:rPr>
        <w:t xml:space="preserve"> Nr.262 “Noteikumi par elektroenerģijas ražošanu, izmantojot atjaunojamos energoresursus, un cenu noteikšanas kārtību”</w:t>
      </w:r>
      <w:r>
        <w:rPr>
          <w:rFonts w:eastAsiaTheme="minorEastAsia"/>
          <w:szCs w:val="26"/>
          <w:lang w:val="lv-LV"/>
        </w:rPr>
        <w:t xml:space="preserve">, skatīt: </w:t>
      </w:r>
      <w:r w:rsidRPr="00F76435">
        <w:rPr>
          <w:lang w:val="lv-LV"/>
        </w:rPr>
        <w:t>https://likumi.lv/doc.php?id=207458</w:t>
      </w:r>
    </w:p>
  </w:footnote>
  <w:footnote w:id="6">
    <w:p w14:paraId="152D1AF8" w14:textId="507187CE" w:rsidR="00F74A20" w:rsidRPr="00F86768" w:rsidRDefault="00F74A20">
      <w:pPr>
        <w:pStyle w:val="FootnoteText"/>
        <w:rPr>
          <w:lang w:val="lv-LV"/>
        </w:rPr>
      </w:pPr>
      <w:r>
        <w:rPr>
          <w:rStyle w:val="FootnoteReference"/>
        </w:rPr>
        <w:footnoteRef/>
      </w:r>
      <w:r w:rsidRPr="00DC1DF4">
        <w:rPr>
          <w:lang w:val="lv-LV"/>
        </w:rPr>
        <w:t xml:space="preserve"> Eiropas Parlamenta un Padomes Direktīva 2012/27/ES ( 2012. gada 25. oktobris ) par energoefektivitāti, ar ko groza Direktīvas 2009/125/EK un 2010/30/ES un atceļ Direktīvas 2004/8/EK un 2006/32/EK, skatīt: https://eur-lex.europa.eu/eli/dir/2012/27/oj/?locale=LV</w:t>
      </w:r>
    </w:p>
  </w:footnote>
  <w:footnote w:id="7">
    <w:p w14:paraId="223CAEAB" w14:textId="2F7576A7" w:rsidR="00F74A20" w:rsidRPr="00AD2746" w:rsidRDefault="00F74A20">
      <w:pPr>
        <w:pStyle w:val="FootnoteText"/>
        <w:rPr>
          <w:lang w:val="lv-LV"/>
        </w:rPr>
      </w:pPr>
      <w:r>
        <w:rPr>
          <w:rStyle w:val="FootnoteReference"/>
        </w:rPr>
        <w:footnoteRef/>
      </w:r>
      <w:r w:rsidRPr="00AD2746">
        <w:rPr>
          <w:lang w:val="lv-LV"/>
        </w:rPr>
        <w:t xml:space="preserve"> Kontroles mehānismi un nosacījumi tiks izteikti Latvijas tiesību aktos </w:t>
      </w:r>
      <w:r>
        <w:rPr>
          <w:lang w:val="lv-LV"/>
        </w:rPr>
        <w:t>–</w:t>
      </w:r>
      <w:r w:rsidRPr="00AD2746">
        <w:rPr>
          <w:lang w:val="lv-LV"/>
        </w:rPr>
        <w:t xml:space="preserve"> Elektroenerģ</w:t>
      </w:r>
      <w:r>
        <w:rPr>
          <w:lang w:val="lv-LV"/>
        </w:rPr>
        <w:t>ijas tirgus likumā un tu tā pamata izdotajos Ministru kabineta noteikumos</w:t>
      </w:r>
    </w:p>
  </w:footnote>
  <w:footnote w:id="8">
    <w:p w14:paraId="0CB8839E" w14:textId="4147347B" w:rsidR="00F74A20" w:rsidRPr="00382372" w:rsidRDefault="00F74A20">
      <w:pPr>
        <w:pStyle w:val="FootnoteText"/>
      </w:pPr>
      <w:r>
        <w:rPr>
          <w:rStyle w:val="FootnoteReference"/>
        </w:rPr>
        <w:footnoteRef/>
      </w:r>
      <w:r>
        <w:t xml:space="preserve"> MK </w:t>
      </w:r>
      <w:proofErr w:type="spellStart"/>
      <w:r>
        <w:t>noteikumi</w:t>
      </w:r>
      <w:proofErr w:type="spellEnd"/>
      <w:r>
        <w:t xml:space="preserve"> Nr.221 un MK </w:t>
      </w:r>
      <w:proofErr w:type="spellStart"/>
      <w:r>
        <w:t>noteikumi</w:t>
      </w:r>
      <w:proofErr w:type="spellEnd"/>
      <w:r>
        <w:t xml:space="preserve"> Nr.262</w:t>
      </w:r>
    </w:p>
  </w:footnote>
  <w:footnote w:id="9">
    <w:p w14:paraId="04F8BDA0" w14:textId="77777777" w:rsidR="00F74A20" w:rsidRPr="000D70EA" w:rsidRDefault="00F74A20" w:rsidP="001B2D49">
      <w:pPr>
        <w:rPr>
          <w:rFonts w:eastAsia="Times New Roman"/>
          <w:sz w:val="20"/>
          <w:szCs w:val="24"/>
        </w:rPr>
      </w:pPr>
      <w:r w:rsidRPr="000D70EA">
        <w:rPr>
          <w:rFonts w:eastAsia="Times New Roman"/>
          <w:sz w:val="20"/>
          <w:szCs w:val="24"/>
          <w:vertAlign w:val="superscript"/>
        </w:rPr>
        <w:footnoteRef/>
      </w:r>
      <w:r w:rsidRPr="000D70EA">
        <w:rPr>
          <w:sz w:val="20"/>
          <w:szCs w:val="24"/>
        </w:rPr>
        <w:t xml:space="preserve"> </w:t>
      </w:r>
      <w:r w:rsidRPr="00AB0418">
        <w:rPr>
          <w:rFonts w:ascii="Times New Roman" w:hAnsi="Times New Roman"/>
          <w:sz w:val="20"/>
          <w:szCs w:val="24"/>
        </w:rPr>
        <w:t xml:space="preserve">Skatīt: </w:t>
      </w:r>
      <w:hyperlink r:id="rId2" w:history="1">
        <w:r w:rsidRPr="00AB0418">
          <w:rPr>
            <w:rFonts w:ascii="Times New Roman" w:hAnsi="Times New Roman"/>
            <w:sz w:val="20"/>
            <w:szCs w:val="24"/>
          </w:rPr>
          <w:t>https://likumi.lv/doc.php?id=49833</w:t>
        </w:r>
      </w:hyperlink>
    </w:p>
  </w:footnote>
  <w:footnote w:id="10">
    <w:p w14:paraId="6857F285" w14:textId="77777777" w:rsidR="00F74A20" w:rsidRPr="00B32B10" w:rsidRDefault="00F74A20" w:rsidP="005F56C0">
      <w:pPr>
        <w:pStyle w:val="FootnoteText"/>
        <w:rPr>
          <w:lang w:val="lv-LV"/>
        </w:rPr>
      </w:pPr>
      <w:r>
        <w:rPr>
          <w:rStyle w:val="FootnoteReference"/>
        </w:rPr>
        <w:footnoteRef/>
      </w:r>
      <w:r w:rsidRPr="00B32B10">
        <w:rPr>
          <w:lang w:val="lv-LV"/>
        </w:rPr>
        <w:t xml:space="preserve"> </w:t>
      </w:r>
      <w:r>
        <w:rPr>
          <w:lang w:val="lv-LV"/>
        </w:rPr>
        <w:t xml:space="preserve">Skatīt: </w:t>
      </w:r>
      <w:r w:rsidRPr="00F76435">
        <w:t>https://eur-lex.europa.eu/legal-content/LV/TXT/?uri=CELEX%3A52014XC0628%2801%29</w:t>
      </w:r>
    </w:p>
  </w:footnote>
  <w:footnote w:id="11">
    <w:p w14:paraId="50800C4E" w14:textId="7F037EDA" w:rsidR="00F74A20" w:rsidRPr="007C00D1" w:rsidRDefault="00F74A20">
      <w:pPr>
        <w:pStyle w:val="FootnoteText"/>
      </w:pPr>
      <w:r>
        <w:rPr>
          <w:rStyle w:val="FootnoteReference"/>
        </w:rPr>
        <w:footnoteRef/>
      </w:r>
      <w:r>
        <w:t xml:space="preserve"> </w:t>
      </w:r>
      <w:r w:rsidRPr="007C00D1">
        <w:rPr>
          <w:lang w:val="lv-LV"/>
        </w:rPr>
        <w:t xml:space="preserve">Ministru kabineta 2019.gada 26.marta sēdes </w:t>
      </w:r>
      <w:proofErr w:type="spellStart"/>
      <w:r w:rsidRPr="007C00D1">
        <w:rPr>
          <w:lang w:val="lv-LV"/>
        </w:rPr>
        <w:t>protokollēmum</w:t>
      </w:r>
      <w:r>
        <w:rPr>
          <w:lang w:val="lv-LV"/>
        </w:rPr>
        <w:t>s</w:t>
      </w:r>
      <w:proofErr w:type="spellEnd"/>
      <w:r w:rsidRPr="007C00D1">
        <w:rPr>
          <w:lang w:val="lv-LV"/>
        </w:rPr>
        <w:t xml:space="preserve"> Nr.16, 46.§</w:t>
      </w:r>
    </w:p>
  </w:footnote>
  <w:footnote w:id="12">
    <w:p w14:paraId="547F6D5D" w14:textId="77777777" w:rsidR="00F74A20" w:rsidRDefault="00F74A20" w:rsidP="0038031A">
      <w:pPr>
        <w:pStyle w:val="FootnoteText"/>
        <w:rPr>
          <w:lang w:val="lv-LV"/>
        </w:rPr>
      </w:pPr>
      <w:r>
        <w:rPr>
          <w:rStyle w:val="FootnoteReference"/>
        </w:rPr>
        <w:footnoteRef/>
      </w:r>
      <w:r>
        <w:rPr>
          <w:lang w:val="lv-LV"/>
        </w:rPr>
        <w:t xml:space="preserve"> Skatīt: https://likumi.lv/doc.php?id=196123 </w:t>
      </w:r>
    </w:p>
  </w:footnote>
  <w:footnote w:id="13">
    <w:p w14:paraId="379368D8" w14:textId="77777777" w:rsidR="00F74A20" w:rsidRDefault="00F74A20" w:rsidP="0038031A">
      <w:pPr>
        <w:pStyle w:val="FootnoteText"/>
        <w:rPr>
          <w:lang w:val="lv-LV"/>
        </w:rPr>
      </w:pPr>
      <w:r>
        <w:rPr>
          <w:rStyle w:val="FootnoteReference"/>
        </w:rPr>
        <w:footnoteRef/>
      </w:r>
      <w:r>
        <w:rPr>
          <w:lang w:val="lv-LV"/>
        </w:rPr>
        <w:t xml:space="preserve"> Skatīt: http://titania.saeima.lv/LIVS12/saeimalivs12.nsf/webSasaiste?OpenView&amp;restricttocategory=1356/Lp12 </w:t>
      </w:r>
    </w:p>
  </w:footnote>
  <w:footnote w:id="14">
    <w:p w14:paraId="2D29FB10" w14:textId="77777777" w:rsidR="00F74A20" w:rsidRDefault="00F74A20" w:rsidP="0038031A">
      <w:pPr>
        <w:pStyle w:val="FootnoteText"/>
        <w:rPr>
          <w:lang w:val="lv-LV"/>
        </w:rPr>
      </w:pPr>
      <w:r>
        <w:rPr>
          <w:rStyle w:val="FootnoteReference"/>
        </w:rPr>
        <w:footnoteRef/>
      </w:r>
      <w:r>
        <w:rPr>
          <w:lang w:val="lv-LV"/>
        </w:rPr>
        <w:t xml:space="preserve"> Skatīt: https://likumi.lv/ta/id/288817-elektroenergijas-izcelsmes-apliecinajumu-sanemsanas-kartiba </w:t>
      </w:r>
    </w:p>
  </w:footnote>
  <w:footnote w:id="15">
    <w:p w14:paraId="3E91716D" w14:textId="77777777" w:rsidR="00F74A20" w:rsidRDefault="00F74A20" w:rsidP="0038031A">
      <w:pPr>
        <w:pStyle w:val="FootnoteText"/>
        <w:rPr>
          <w:lang w:val="lv-LV"/>
        </w:rPr>
      </w:pPr>
      <w:r>
        <w:rPr>
          <w:rStyle w:val="FootnoteReference"/>
        </w:rPr>
        <w:footnoteRef/>
      </w:r>
      <w:r>
        <w:rPr>
          <w:lang w:val="lv-LV"/>
        </w:rPr>
        <w:t xml:space="preserve"> Skatīt: https://likumi.lv/doc.php?id=275666 </w:t>
      </w:r>
    </w:p>
  </w:footnote>
  <w:footnote w:id="16">
    <w:p w14:paraId="6CB9298D" w14:textId="77777777" w:rsidR="00F74A20" w:rsidRDefault="00F74A20" w:rsidP="0038031A">
      <w:pPr>
        <w:pStyle w:val="FootnoteText"/>
        <w:rPr>
          <w:lang w:val="lv-LV"/>
        </w:rPr>
      </w:pPr>
      <w:r>
        <w:rPr>
          <w:rStyle w:val="FootnoteReference"/>
        </w:rPr>
        <w:footnoteRef/>
      </w:r>
      <w:r>
        <w:rPr>
          <w:lang w:val="lv-LV"/>
        </w:rPr>
        <w:t xml:space="preserve"> Skatīt: https://likumi.lv/doc.php?id=280932</w:t>
      </w:r>
    </w:p>
  </w:footnote>
  <w:footnote w:id="17">
    <w:p w14:paraId="167C06F4" w14:textId="77777777" w:rsidR="00F74A20" w:rsidRDefault="00F74A20" w:rsidP="0038031A">
      <w:pPr>
        <w:pStyle w:val="FootnoteText"/>
        <w:rPr>
          <w:lang w:val="lv-LV"/>
        </w:rPr>
      </w:pPr>
      <w:r>
        <w:rPr>
          <w:rStyle w:val="FootnoteReference"/>
        </w:rPr>
        <w:footnoteRef/>
      </w:r>
      <w:r>
        <w:rPr>
          <w:lang w:val="lv-LV"/>
        </w:rPr>
        <w:t xml:space="preserve"> Skatīt: https://likumi.lv/ta/id/290809-energoefektivitates-pienakuma-shemas-noteikumi</w:t>
      </w:r>
    </w:p>
  </w:footnote>
  <w:footnote w:id="18">
    <w:p w14:paraId="2F237484" w14:textId="77777777" w:rsidR="00F74A20" w:rsidRDefault="00F74A20" w:rsidP="0038031A">
      <w:pPr>
        <w:pStyle w:val="FootnoteText"/>
        <w:rPr>
          <w:lang w:val="lv-LV"/>
        </w:rPr>
      </w:pPr>
      <w:r>
        <w:rPr>
          <w:rStyle w:val="FootnoteReference"/>
        </w:rPr>
        <w:footnoteRef/>
      </w:r>
      <w:r>
        <w:rPr>
          <w:lang w:val="lv-LV"/>
        </w:rPr>
        <w:t xml:space="preserve"> https://likumi.lv/ta/id/285878-energoefektivitates-monitoringa-un-piemerojama-energoparvaldibas-sistemas-standarta-noteikumi</w:t>
      </w:r>
    </w:p>
  </w:footnote>
  <w:footnote w:id="19">
    <w:p w14:paraId="7E39B66E" w14:textId="77777777" w:rsidR="00F74A20" w:rsidRDefault="00F74A20" w:rsidP="0038031A">
      <w:pPr>
        <w:pStyle w:val="FootnoteText"/>
        <w:rPr>
          <w:lang w:val="lv-LV"/>
        </w:rPr>
      </w:pPr>
      <w:r>
        <w:rPr>
          <w:rStyle w:val="FootnoteReference"/>
        </w:rPr>
        <w:footnoteRef/>
      </w:r>
      <w:r>
        <w:rPr>
          <w:lang w:val="lv-LV"/>
        </w:rPr>
        <w:t xml:space="preserve"> </w:t>
      </w:r>
      <w:r>
        <w:rPr>
          <w:rFonts w:eastAsiaTheme="minorHAnsi"/>
          <w:szCs w:val="22"/>
          <w:lang w:val="lv-LV"/>
        </w:rPr>
        <w:t>Eiropas Parlamenta un Padomes 2018.gada 11.decembra regula Nr.2018/1999 par enerģētikas savienības un rīcības klimata politikas jomā pārvaldību un ar ko groza Eiropas Parlamenta un Padomes Regulas (EK) Nr. 663/2009 un (EK) Nr. 715/2009, Eiropas Parlamenta un Padomes Direktīvas 94/22/EK, 98/70/EK, 2009/31/EK, 2009/73/EK, 2010/31/ES, 2012/27/ES un 2013/30/ES, Padomes Direktīvas 2009/119/EK un (ES) 2015/652 un atceļ Eiropas Parlamenta un Padomes Regulu (ES) Nr. 525/2013</w:t>
      </w:r>
    </w:p>
  </w:footnote>
  <w:footnote w:id="20">
    <w:p w14:paraId="071888EF" w14:textId="77777777" w:rsidR="00F74A20" w:rsidRDefault="00F74A20" w:rsidP="0038031A">
      <w:pPr>
        <w:pStyle w:val="FootnoteText"/>
        <w:rPr>
          <w:lang w:val="lv-LV"/>
        </w:rPr>
      </w:pPr>
      <w:r>
        <w:rPr>
          <w:rStyle w:val="FootnoteReference"/>
        </w:rPr>
        <w:footnoteRef/>
      </w:r>
      <w:r>
        <w:rPr>
          <w:lang w:val="lv-LV"/>
        </w:rPr>
        <w:t xml:space="preserve"> Skatīt: https://likumi.lv/ta/id/285879-kartiba-kada-nosledz-un-parrauga-brivpratigu-vienosanos-par-energoefektivitates-uzlabosanu </w:t>
      </w:r>
    </w:p>
  </w:footnote>
  <w:footnote w:id="21">
    <w:p w14:paraId="5349ECC0" w14:textId="77777777" w:rsidR="00F74A20" w:rsidRDefault="00F74A20" w:rsidP="0038031A">
      <w:pPr>
        <w:pStyle w:val="FootnoteText"/>
        <w:rPr>
          <w:lang w:val="lv-LV"/>
        </w:rPr>
      </w:pPr>
      <w:r>
        <w:rPr>
          <w:rStyle w:val="FootnoteReference"/>
        </w:rPr>
        <w:footnoteRef/>
      </w:r>
      <w:r>
        <w:rPr>
          <w:lang w:val="lv-LV"/>
        </w:rPr>
        <w:t xml:space="preserve"> Skatīt: https://likumi.lv/doc.php?id=290131</w:t>
      </w:r>
    </w:p>
  </w:footnote>
  <w:footnote w:id="22">
    <w:p w14:paraId="560C56DE" w14:textId="77777777" w:rsidR="00F74A20" w:rsidRDefault="00F74A20" w:rsidP="0038031A">
      <w:pPr>
        <w:pStyle w:val="FootnoteText"/>
        <w:rPr>
          <w:lang w:val="lv-LV"/>
        </w:rPr>
      </w:pPr>
      <w:r>
        <w:rPr>
          <w:rStyle w:val="FootnoteReference"/>
        </w:rPr>
        <w:footnoteRef/>
      </w:r>
      <w:r>
        <w:rPr>
          <w:lang w:val="lv-LV"/>
        </w:rPr>
        <w:t xml:space="preserve"> Skatīt: https://eur-lex.europa.eu/legal-content/lv/TXT/HTML/?uri=CELEX:01998L0070-20151005&amp;from=LV</w:t>
      </w:r>
    </w:p>
  </w:footnote>
  <w:footnote w:id="23">
    <w:p w14:paraId="326D69AD" w14:textId="77777777" w:rsidR="00F74A20" w:rsidRDefault="00F74A20" w:rsidP="0038031A">
      <w:pPr>
        <w:pStyle w:val="FootnoteText"/>
        <w:rPr>
          <w:lang w:val="lv-LV"/>
        </w:rPr>
      </w:pPr>
      <w:r>
        <w:rPr>
          <w:rStyle w:val="FootnoteReference"/>
        </w:rPr>
        <w:footnoteRef/>
      </w:r>
      <w:r>
        <w:rPr>
          <w:lang w:val="lv-LV"/>
        </w:rPr>
        <w:t xml:space="preserve"> Skatīt: https://likumi.lv/doc.php?id=11217 </w:t>
      </w:r>
    </w:p>
  </w:footnote>
  <w:footnote w:id="24">
    <w:p w14:paraId="2A7BE253" w14:textId="77777777" w:rsidR="00F74A20" w:rsidRDefault="00F74A20" w:rsidP="0038031A">
      <w:pPr>
        <w:pStyle w:val="FootnoteText"/>
        <w:rPr>
          <w:lang w:val="lv-LV"/>
        </w:rPr>
      </w:pPr>
      <w:r>
        <w:rPr>
          <w:rStyle w:val="FootnoteReference"/>
        </w:rPr>
        <w:footnoteRef/>
      </w:r>
      <w:r>
        <w:rPr>
          <w:lang w:val="lv-LV"/>
        </w:rPr>
        <w:t xml:space="preserve"> </w:t>
      </w:r>
      <w:r>
        <w:rPr>
          <w:lang w:val="lv-LV" w:eastAsia="lv-LV"/>
        </w:rPr>
        <w:t>Saeima 12.sasaukumā šo likumprojektu neizskatīja 1.lasījumā</w:t>
      </w:r>
    </w:p>
  </w:footnote>
  <w:footnote w:id="25">
    <w:p w14:paraId="6DA640C6" w14:textId="77777777" w:rsidR="00F74A20" w:rsidRDefault="00F74A20" w:rsidP="0038031A">
      <w:pPr>
        <w:pStyle w:val="FootnoteText"/>
        <w:rPr>
          <w:lang w:val="lv-LV"/>
        </w:rPr>
      </w:pPr>
      <w:r>
        <w:rPr>
          <w:rStyle w:val="FootnoteReference"/>
        </w:rPr>
        <w:footnoteRef/>
      </w:r>
      <w:r>
        <w:rPr>
          <w:lang w:val="lv-LV"/>
        </w:rPr>
        <w:t>https://titania.saeima.lv/LIVS13/saeimalivs13.nsf/webAll?SearchView&amp;Query=([NumberTxt]=177/Lp13)&amp;SearchMax=0&amp;SearchOrder=4&amp;so=1</w:t>
      </w:r>
    </w:p>
  </w:footnote>
  <w:footnote w:id="26">
    <w:p w14:paraId="1E0FD5BB" w14:textId="77777777" w:rsidR="00F74A20" w:rsidRDefault="00F74A20" w:rsidP="0038031A">
      <w:pPr>
        <w:pStyle w:val="FootnoteText"/>
        <w:rPr>
          <w:lang w:val="lv-LV"/>
        </w:rPr>
      </w:pPr>
      <w:r>
        <w:rPr>
          <w:rStyle w:val="FootnoteReference"/>
        </w:rPr>
        <w:footnoteRef/>
      </w:r>
      <w:r>
        <w:rPr>
          <w:lang w:val="lv-LV"/>
        </w:rPr>
        <w:t xml:space="preserve"> Skatīt: https://likumi.lv/doc.php?id=49833 </w:t>
      </w:r>
    </w:p>
  </w:footnote>
  <w:footnote w:id="27">
    <w:p w14:paraId="60872CB1" w14:textId="77777777" w:rsidR="00F74A20" w:rsidRDefault="00F74A20" w:rsidP="0038031A">
      <w:pPr>
        <w:pStyle w:val="FootnoteText"/>
        <w:rPr>
          <w:lang w:val="lv-LV"/>
        </w:rPr>
      </w:pPr>
      <w:r>
        <w:rPr>
          <w:rStyle w:val="FootnoteReference"/>
        </w:rPr>
        <w:footnoteRef/>
      </w:r>
      <w:r>
        <w:rPr>
          <w:lang w:val="lv-LV"/>
        </w:rPr>
        <w:t xml:space="preserve"> Skatīt: https://likumi.lv/doc.php?id=229001&amp;version_date=27.02.2013 </w:t>
      </w:r>
    </w:p>
  </w:footnote>
  <w:footnote w:id="28">
    <w:p w14:paraId="3CCA6043" w14:textId="77777777" w:rsidR="00F74A20" w:rsidRDefault="00F74A20" w:rsidP="0038031A">
      <w:pPr>
        <w:pStyle w:val="FootnoteText"/>
        <w:rPr>
          <w:lang w:val="lv-LV"/>
        </w:rPr>
      </w:pPr>
      <w:r>
        <w:rPr>
          <w:rStyle w:val="FootnoteReference"/>
        </w:rPr>
        <w:footnoteRef/>
      </w:r>
      <w:r>
        <w:rPr>
          <w:lang w:val="lv-LV"/>
        </w:rPr>
        <w:t xml:space="preserve"> Skatīt: https://likumi.lv/doc.php?id=40249 </w:t>
      </w:r>
    </w:p>
  </w:footnote>
  <w:footnote w:id="29">
    <w:p w14:paraId="3ADBBBA3" w14:textId="77777777" w:rsidR="00F74A20" w:rsidRDefault="00F74A20" w:rsidP="0038031A">
      <w:pPr>
        <w:pStyle w:val="FootnoteText"/>
        <w:rPr>
          <w:lang w:val="lv-LV"/>
        </w:rPr>
      </w:pPr>
      <w:r>
        <w:rPr>
          <w:rStyle w:val="FootnoteReference"/>
        </w:rPr>
        <w:footnoteRef/>
      </w:r>
      <w:r>
        <w:rPr>
          <w:lang w:val="lv-LV"/>
        </w:rPr>
        <w:t xml:space="preserve"> Skatīt: https://likumi.lv/ta/id/279081-noteikumi-par-ogludenrazu-meklesanu-izpeti-un-ieguvi </w:t>
      </w:r>
    </w:p>
  </w:footnote>
  <w:footnote w:id="30">
    <w:p w14:paraId="1ABA3921" w14:textId="77777777" w:rsidR="00F74A20" w:rsidRDefault="00F74A20" w:rsidP="0038031A">
      <w:pPr>
        <w:pStyle w:val="FootnoteText"/>
        <w:rPr>
          <w:lang w:val="lv-LV"/>
        </w:rPr>
      </w:pPr>
      <w:r>
        <w:rPr>
          <w:rStyle w:val="FootnoteReference"/>
        </w:rPr>
        <w:footnoteRef/>
      </w:r>
      <w:r>
        <w:rPr>
          <w:lang w:val="lv-LV"/>
        </w:rPr>
        <w:t xml:space="preserve"> Skatīt: https://likumi.lv/doc.php?id=190612 </w:t>
      </w:r>
    </w:p>
  </w:footnote>
  <w:footnote w:id="31">
    <w:p w14:paraId="752E6374" w14:textId="77777777" w:rsidR="00F74A20" w:rsidRDefault="00F74A20" w:rsidP="0038031A">
      <w:pPr>
        <w:pStyle w:val="FootnoteText"/>
      </w:pPr>
      <w:r>
        <w:rPr>
          <w:rStyle w:val="FootnoteReference"/>
        </w:rPr>
        <w:footnoteRef/>
      </w:r>
      <w:r>
        <w:t xml:space="preserve"> </w:t>
      </w:r>
      <w:proofErr w:type="spellStart"/>
      <w:r>
        <w:t>Ar</w:t>
      </w:r>
      <w:proofErr w:type="spellEnd"/>
      <w:r>
        <w:t xml:space="preserve"> </w:t>
      </w:r>
      <w:proofErr w:type="spellStart"/>
      <w:r>
        <w:t>treknrakstu</w:t>
      </w:r>
      <w:proofErr w:type="spellEnd"/>
      <w:r>
        <w:t xml:space="preserve"> </w:t>
      </w:r>
      <w:proofErr w:type="spellStart"/>
      <w:r>
        <w:t>izceltas</w:t>
      </w:r>
      <w:proofErr w:type="spellEnd"/>
      <w:r>
        <w:t xml:space="preserve"> </w:t>
      </w:r>
      <w:proofErr w:type="spellStart"/>
      <w:r>
        <w:t>jaunas</w:t>
      </w:r>
      <w:proofErr w:type="spellEnd"/>
      <w:r>
        <w:t xml:space="preserve"> </w:t>
      </w:r>
      <w:proofErr w:type="spellStart"/>
      <w:r>
        <w:t>struktūrvienības</w:t>
      </w:r>
      <w:proofErr w:type="spellEnd"/>
      <w:r>
        <w:t xml:space="preserve"> </w:t>
      </w:r>
      <w:proofErr w:type="spellStart"/>
      <w:r>
        <w:t>vai</w:t>
      </w:r>
      <w:proofErr w:type="spellEnd"/>
      <w:r>
        <w:t xml:space="preserve"> </w:t>
      </w:r>
      <w:proofErr w:type="spellStart"/>
      <w:r>
        <w:t>amati</w:t>
      </w:r>
      <w:proofErr w:type="spellEnd"/>
      <w:r>
        <w:t xml:space="preserve">. </w:t>
      </w:r>
      <w:proofErr w:type="spellStart"/>
      <w:r>
        <w:t>Ar</w:t>
      </w:r>
      <w:proofErr w:type="spellEnd"/>
      <w:r>
        <w:t xml:space="preserve"> </w:t>
      </w:r>
      <w:proofErr w:type="spellStart"/>
      <w:r>
        <w:t>slīprakstu</w:t>
      </w:r>
      <w:proofErr w:type="spellEnd"/>
      <w:r>
        <w:t xml:space="preserve"> </w:t>
      </w:r>
      <w:proofErr w:type="spellStart"/>
      <w:r>
        <w:t>izceltas</w:t>
      </w:r>
      <w:proofErr w:type="spellEnd"/>
      <w:r>
        <w:t xml:space="preserve"> </w:t>
      </w:r>
      <w:proofErr w:type="spellStart"/>
      <w:r>
        <w:t>struktūrvienības</w:t>
      </w:r>
      <w:proofErr w:type="spellEnd"/>
      <w:r>
        <w:t xml:space="preserve">, </w:t>
      </w:r>
      <w:proofErr w:type="spellStart"/>
      <w:r>
        <w:t>kurās</w:t>
      </w:r>
      <w:proofErr w:type="spellEnd"/>
      <w:r>
        <w:t xml:space="preserve"> </w:t>
      </w:r>
      <w:proofErr w:type="spellStart"/>
      <w:r>
        <w:t>tiktu</w:t>
      </w:r>
      <w:proofErr w:type="spellEnd"/>
      <w:r>
        <w:t xml:space="preserve"> </w:t>
      </w:r>
      <w:proofErr w:type="spellStart"/>
      <w:r>
        <w:t>veidotas</w:t>
      </w:r>
      <w:proofErr w:type="spellEnd"/>
      <w:r>
        <w:t xml:space="preserve"> </w:t>
      </w:r>
      <w:proofErr w:type="spellStart"/>
      <w:r>
        <w:t>jaunas</w:t>
      </w:r>
      <w:proofErr w:type="spellEnd"/>
      <w:r>
        <w:t xml:space="preserve"> </w:t>
      </w:r>
      <w:proofErr w:type="spellStart"/>
      <w:r>
        <w:t>amata</w:t>
      </w:r>
      <w:proofErr w:type="spellEnd"/>
      <w:r>
        <w:t xml:space="preserve"> </w:t>
      </w:r>
      <w:proofErr w:type="spellStart"/>
      <w:r>
        <w:t>slodzes</w:t>
      </w:r>
      <w:proofErr w:type="spellEnd"/>
    </w:p>
  </w:footnote>
  <w:footnote w:id="32">
    <w:p w14:paraId="6938C1AF" w14:textId="351B44EF" w:rsidR="00F74A20" w:rsidRDefault="00F74A20" w:rsidP="000960E0">
      <w:pPr>
        <w:pStyle w:val="FootnoteText"/>
        <w:rPr>
          <w:lang w:val="lv-LV"/>
        </w:rPr>
      </w:pPr>
      <w:r>
        <w:rPr>
          <w:rStyle w:val="FootnoteReference"/>
        </w:rPr>
        <w:footnoteRef/>
      </w:r>
      <w:r>
        <w:t xml:space="preserve"> </w:t>
      </w:r>
      <w:r>
        <w:rPr>
          <w:lang w:val="lv-LV"/>
        </w:rPr>
        <w:t>Ieskaitot no Ekonomikas ministrijas pārceltās amata slodzes</w:t>
      </w:r>
      <w:r w:rsidR="00CC35A4">
        <w:rPr>
          <w:lang w:val="lv-LV"/>
        </w:rPr>
        <w:t xml:space="preserve">. Risinājumā BVKB ir pieejamas 190 000 </w:t>
      </w:r>
      <w:proofErr w:type="spellStart"/>
      <w:r w:rsidR="00CC35A4">
        <w:rPr>
          <w:i/>
          <w:iCs/>
          <w:lang w:val="lv-LV"/>
        </w:rPr>
        <w:t>euro</w:t>
      </w:r>
      <w:proofErr w:type="spellEnd"/>
    </w:p>
    <w:p w14:paraId="57B3B6E1" w14:textId="6C67F773" w:rsidR="00F74A20" w:rsidRPr="000E55AE" w:rsidRDefault="00F74A20" w:rsidP="00E85385">
      <w:pPr>
        <w:pStyle w:val="FootnoteText"/>
        <w:rPr>
          <w:lang w:val="lv-LV"/>
        </w:rPr>
      </w:pPr>
      <w:r>
        <w:rPr>
          <w:lang w:val="lv-LV"/>
        </w:rPr>
        <w:t>Minēto apjomu veido šādas izdevumu pozīcijas – atlīdzība, tai skaitā v</w:t>
      </w:r>
      <w:r w:rsidRPr="00E85385">
        <w:rPr>
          <w:lang w:val="lv-LV"/>
        </w:rPr>
        <w:t>ispārējās piemaksas</w:t>
      </w:r>
      <w:r>
        <w:rPr>
          <w:lang w:val="lv-LV"/>
        </w:rPr>
        <w:t>, p</w:t>
      </w:r>
      <w:r w:rsidRPr="00E85385">
        <w:rPr>
          <w:lang w:val="lv-LV"/>
        </w:rPr>
        <w:t xml:space="preserve">rēmijas un naudas balvas </w:t>
      </w:r>
      <w:r>
        <w:rPr>
          <w:lang w:val="lv-LV"/>
        </w:rPr>
        <w:t>, s</w:t>
      </w:r>
      <w:r w:rsidRPr="00E85385">
        <w:rPr>
          <w:lang w:val="lv-LV"/>
        </w:rPr>
        <w:t xml:space="preserve">ociālās garantijas </w:t>
      </w:r>
      <w:r>
        <w:rPr>
          <w:lang w:val="lv-LV"/>
        </w:rPr>
        <w:t xml:space="preserve"> un d</w:t>
      </w:r>
      <w:r w:rsidRPr="00E85385">
        <w:rPr>
          <w:lang w:val="lv-LV"/>
        </w:rPr>
        <w:t xml:space="preserve">arba devēja </w:t>
      </w:r>
      <w:r>
        <w:rPr>
          <w:lang w:val="lv-LV"/>
        </w:rPr>
        <w:t>valsts sociālas apdrošināšanas obligātās iemaksas, preces un pakalpojumi, tai skaitā, vienreizējās iemaksas un pastāvīgās izmaksas, tai skaitā laboratoriju pakalpojumu izmantošana, administratīvie izdevumi, komandējumu izdevumi un ārējo ekspertu piesaiste, kapitālie izdevumi, tai skaitā vienreizējie administratīvie izdevumi</w:t>
      </w:r>
    </w:p>
  </w:footnote>
  <w:footnote w:id="33">
    <w:p w14:paraId="1BF609C7" w14:textId="0E6485A2" w:rsidR="00F74A20" w:rsidRPr="00FC30FF" w:rsidRDefault="00F74A20">
      <w:pPr>
        <w:pStyle w:val="FootnoteText"/>
        <w:rPr>
          <w:lang w:val="lv-LV"/>
        </w:rPr>
      </w:pPr>
      <w:r>
        <w:rPr>
          <w:rStyle w:val="FootnoteReference"/>
        </w:rPr>
        <w:footnoteRef/>
      </w:r>
      <w:r>
        <w:t xml:space="preserve"> </w:t>
      </w:r>
      <w:r>
        <w:rPr>
          <w:lang w:val="lv-LV"/>
        </w:rPr>
        <w:t>Ieskaitot 2 amata slodzes, kas tiks saglabātas Ekonomikas ministrijā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818917765"/>
      <w:docPartObj>
        <w:docPartGallery w:val="Page Numbers (Top of Page)"/>
        <w:docPartUnique/>
      </w:docPartObj>
    </w:sdtPr>
    <w:sdtEndPr>
      <w:rPr>
        <w:noProof/>
      </w:rPr>
    </w:sdtEndPr>
    <w:sdtContent>
      <w:p w14:paraId="7927B929" w14:textId="77777777" w:rsidR="00F74A20" w:rsidRPr="00421026" w:rsidRDefault="00F74A20">
        <w:pPr>
          <w:pStyle w:val="Header"/>
          <w:jc w:val="center"/>
          <w:rPr>
            <w:rFonts w:ascii="Times New Roman" w:hAnsi="Times New Roman"/>
            <w:sz w:val="24"/>
            <w:szCs w:val="24"/>
          </w:rPr>
        </w:pPr>
        <w:r w:rsidRPr="00421026">
          <w:rPr>
            <w:rFonts w:ascii="Times New Roman" w:hAnsi="Times New Roman"/>
            <w:sz w:val="24"/>
            <w:szCs w:val="24"/>
          </w:rPr>
          <w:fldChar w:fldCharType="begin"/>
        </w:r>
        <w:r w:rsidRPr="00421026">
          <w:rPr>
            <w:rFonts w:ascii="Times New Roman" w:hAnsi="Times New Roman"/>
            <w:sz w:val="24"/>
            <w:szCs w:val="24"/>
          </w:rPr>
          <w:instrText xml:space="preserve"> PAGE   \* MERGEFORMAT </w:instrText>
        </w:r>
        <w:r w:rsidRPr="00421026">
          <w:rPr>
            <w:rFonts w:ascii="Times New Roman" w:hAnsi="Times New Roman"/>
            <w:sz w:val="24"/>
            <w:szCs w:val="24"/>
          </w:rPr>
          <w:fldChar w:fldCharType="separate"/>
        </w:r>
        <w:r w:rsidRPr="00421026">
          <w:rPr>
            <w:rFonts w:ascii="Times New Roman" w:hAnsi="Times New Roman"/>
            <w:noProof/>
            <w:sz w:val="24"/>
            <w:szCs w:val="24"/>
          </w:rPr>
          <w:t>29</w:t>
        </w:r>
        <w:r w:rsidRPr="00421026">
          <w:rPr>
            <w:rFonts w:ascii="Times New Roman" w:hAnsi="Times New Roman"/>
            <w:noProof/>
            <w:sz w:val="24"/>
            <w:szCs w:val="24"/>
          </w:rPr>
          <w:fldChar w:fldCharType="end"/>
        </w:r>
      </w:p>
    </w:sdtContent>
  </w:sdt>
  <w:p w14:paraId="03F7645E" w14:textId="77777777" w:rsidR="00F74A20" w:rsidRDefault="00F74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3C65" w14:textId="55444F91" w:rsidR="00F74A20" w:rsidRPr="00366728" w:rsidRDefault="00F74A20">
    <w:pPr>
      <w:pStyle w:val="Header"/>
      <w:jc w:val="center"/>
      <w:rPr>
        <w:rFonts w:ascii="Times New Roman" w:hAnsi="Times New Roman"/>
        <w:sz w:val="24"/>
        <w:szCs w:val="24"/>
      </w:rPr>
    </w:pPr>
    <w:r w:rsidRPr="00366728">
      <w:rPr>
        <w:rFonts w:ascii="Times New Roman" w:hAnsi="Times New Roman"/>
        <w:sz w:val="24"/>
        <w:szCs w:val="24"/>
      </w:rPr>
      <w:fldChar w:fldCharType="begin"/>
    </w:r>
    <w:r w:rsidRPr="00366728">
      <w:rPr>
        <w:rFonts w:ascii="Times New Roman" w:hAnsi="Times New Roman"/>
        <w:sz w:val="24"/>
        <w:szCs w:val="24"/>
      </w:rPr>
      <w:instrText xml:space="preserve"> PAGE   \* MERGEFORMAT </w:instrText>
    </w:r>
    <w:r w:rsidRPr="00366728">
      <w:rPr>
        <w:rFonts w:ascii="Times New Roman" w:hAnsi="Times New Roman"/>
        <w:sz w:val="24"/>
        <w:szCs w:val="24"/>
      </w:rPr>
      <w:fldChar w:fldCharType="separate"/>
    </w:r>
    <w:r>
      <w:rPr>
        <w:rFonts w:ascii="Times New Roman" w:hAnsi="Times New Roman"/>
        <w:noProof/>
        <w:sz w:val="24"/>
        <w:szCs w:val="24"/>
      </w:rPr>
      <w:t>5</w:t>
    </w:r>
    <w:r w:rsidRPr="00366728">
      <w:rPr>
        <w:rFonts w:ascii="Times New Roman" w:hAnsi="Times New Roman"/>
        <w:noProof/>
        <w:sz w:val="24"/>
        <w:szCs w:val="24"/>
      </w:rPr>
      <w:fldChar w:fldCharType="end"/>
    </w:r>
  </w:p>
  <w:p w14:paraId="13BAD173" w14:textId="77777777" w:rsidR="00F74A20" w:rsidRPr="00391FF4" w:rsidRDefault="00F74A20">
    <w:pPr>
      <w:pStyle w:val="Header"/>
      <w:rPr>
        <w:rFonts w:ascii="Calibri (imesBody)" w:hAnsi="Calibri (imesBody)"/>
      </w:rPr>
    </w:pPr>
  </w:p>
  <w:p w14:paraId="48A04EA2" w14:textId="77777777" w:rsidR="00F74A20" w:rsidRDefault="00F74A20"/>
  <w:p w14:paraId="4820F217" w14:textId="77777777" w:rsidR="00F74A20" w:rsidRDefault="00F74A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Num2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5466ED1"/>
    <w:multiLevelType w:val="hybridMultilevel"/>
    <w:tmpl w:val="104C7B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EC54819"/>
    <w:multiLevelType w:val="hybridMultilevel"/>
    <w:tmpl w:val="BCF46B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491A15"/>
    <w:multiLevelType w:val="hybridMultilevel"/>
    <w:tmpl w:val="360E41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42978"/>
    <w:multiLevelType w:val="hybridMultilevel"/>
    <w:tmpl w:val="FB92BE2A"/>
    <w:lvl w:ilvl="0" w:tplc="5AB65C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827DE8"/>
    <w:multiLevelType w:val="hybridMultilevel"/>
    <w:tmpl w:val="891EC7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2E5037"/>
    <w:multiLevelType w:val="hybridMultilevel"/>
    <w:tmpl w:val="35AA3FEE"/>
    <w:lvl w:ilvl="0" w:tplc="FD48373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5A726C8"/>
    <w:multiLevelType w:val="hybridMultilevel"/>
    <w:tmpl w:val="F2462B34"/>
    <w:lvl w:ilvl="0" w:tplc="C718870A">
      <w:start w:val="2"/>
      <w:numFmt w:val="bullet"/>
      <w:lvlText w:val="-"/>
      <w:lvlJc w:val="left"/>
      <w:pPr>
        <w:ind w:left="1080" w:hanging="360"/>
      </w:pPr>
      <w:rPr>
        <w:rFonts w:ascii="Times New Roman" w:eastAsia="Calibri" w:hAnsi="Times New Roman" w:cs="Times New Roman" w:hint="default"/>
      </w:rPr>
    </w:lvl>
    <w:lvl w:ilvl="1" w:tplc="04260001">
      <w:start w:val="1"/>
      <w:numFmt w:val="bullet"/>
      <w:lvlText w:val=""/>
      <w:lvlJc w:val="left"/>
      <w:pPr>
        <w:ind w:left="1800" w:hanging="360"/>
      </w:pPr>
      <w:rPr>
        <w:rFonts w:ascii="Symbol" w:hAnsi="Symbol" w:hint="default"/>
      </w:rPr>
    </w:lvl>
    <w:lvl w:ilvl="2" w:tplc="04260001">
      <w:start w:val="1"/>
      <w:numFmt w:val="bullet"/>
      <w:lvlText w:val=""/>
      <w:lvlJc w:val="left"/>
      <w:pPr>
        <w:ind w:left="2520" w:hanging="360"/>
      </w:pPr>
      <w:rPr>
        <w:rFonts w:ascii="Symbol" w:hAnsi="Symbol" w:hint="default"/>
      </w:rPr>
    </w:lvl>
    <w:lvl w:ilvl="3" w:tplc="FD7AC0F2" w:tentative="1">
      <w:start w:val="1"/>
      <w:numFmt w:val="bullet"/>
      <w:lvlText w:val=""/>
      <w:lvlJc w:val="left"/>
      <w:pPr>
        <w:ind w:left="3240" w:hanging="360"/>
      </w:pPr>
      <w:rPr>
        <w:rFonts w:ascii="Symbol" w:hAnsi="Symbol" w:hint="default"/>
      </w:rPr>
    </w:lvl>
    <w:lvl w:ilvl="4" w:tplc="9F4C9886" w:tentative="1">
      <w:start w:val="1"/>
      <w:numFmt w:val="bullet"/>
      <w:lvlText w:val="o"/>
      <w:lvlJc w:val="left"/>
      <w:pPr>
        <w:ind w:left="3960" w:hanging="360"/>
      </w:pPr>
      <w:rPr>
        <w:rFonts w:ascii="Courier New" w:hAnsi="Courier New" w:cs="Courier New" w:hint="default"/>
      </w:rPr>
    </w:lvl>
    <w:lvl w:ilvl="5" w:tplc="CCBCBFEA" w:tentative="1">
      <w:start w:val="1"/>
      <w:numFmt w:val="bullet"/>
      <w:lvlText w:val=""/>
      <w:lvlJc w:val="left"/>
      <w:pPr>
        <w:ind w:left="4680" w:hanging="360"/>
      </w:pPr>
      <w:rPr>
        <w:rFonts w:ascii="Wingdings" w:hAnsi="Wingdings" w:hint="default"/>
      </w:rPr>
    </w:lvl>
    <w:lvl w:ilvl="6" w:tplc="FFD2B9F2" w:tentative="1">
      <w:start w:val="1"/>
      <w:numFmt w:val="bullet"/>
      <w:lvlText w:val=""/>
      <w:lvlJc w:val="left"/>
      <w:pPr>
        <w:ind w:left="5400" w:hanging="360"/>
      </w:pPr>
      <w:rPr>
        <w:rFonts w:ascii="Symbol" w:hAnsi="Symbol" w:hint="default"/>
      </w:rPr>
    </w:lvl>
    <w:lvl w:ilvl="7" w:tplc="17D24D52" w:tentative="1">
      <w:start w:val="1"/>
      <w:numFmt w:val="bullet"/>
      <w:lvlText w:val="o"/>
      <w:lvlJc w:val="left"/>
      <w:pPr>
        <w:ind w:left="6120" w:hanging="360"/>
      </w:pPr>
      <w:rPr>
        <w:rFonts w:ascii="Courier New" w:hAnsi="Courier New" w:cs="Courier New" w:hint="default"/>
      </w:rPr>
    </w:lvl>
    <w:lvl w:ilvl="8" w:tplc="94527144" w:tentative="1">
      <w:start w:val="1"/>
      <w:numFmt w:val="bullet"/>
      <w:lvlText w:val=""/>
      <w:lvlJc w:val="left"/>
      <w:pPr>
        <w:ind w:left="6840" w:hanging="360"/>
      </w:pPr>
      <w:rPr>
        <w:rFonts w:ascii="Wingdings" w:hAnsi="Wingdings" w:hint="default"/>
      </w:rPr>
    </w:lvl>
  </w:abstractNum>
  <w:abstractNum w:abstractNumId="11" w15:restartNumberingAfterBreak="0">
    <w:nsid w:val="261C33D8"/>
    <w:multiLevelType w:val="hybridMultilevel"/>
    <w:tmpl w:val="55F034FE"/>
    <w:lvl w:ilvl="0" w:tplc="04260003">
      <w:start w:val="1"/>
      <w:numFmt w:val="bullet"/>
      <w:lvlText w:val="o"/>
      <w:lvlJc w:val="left"/>
      <w:pPr>
        <w:ind w:left="1494" w:hanging="360"/>
      </w:pPr>
      <w:rPr>
        <w:rFonts w:ascii="Courier New" w:hAnsi="Courier New" w:cs="Courier New" w:hint="default"/>
      </w:rPr>
    </w:lvl>
    <w:lvl w:ilvl="1" w:tplc="04260003">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2" w15:restartNumberingAfterBreak="0">
    <w:nsid w:val="28AB5CDF"/>
    <w:multiLevelType w:val="hybridMultilevel"/>
    <w:tmpl w:val="5930EEE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EF650B2"/>
    <w:multiLevelType w:val="hybridMultilevel"/>
    <w:tmpl w:val="7F742D5C"/>
    <w:lvl w:ilvl="0" w:tplc="74042A5C">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4146B5"/>
    <w:multiLevelType w:val="hybridMultilevel"/>
    <w:tmpl w:val="C4A203E0"/>
    <w:lvl w:ilvl="0" w:tplc="04260011">
      <w:start w:val="1"/>
      <w:numFmt w:val="decimal"/>
      <w:lvlText w:val="%1)"/>
      <w:lvlJc w:val="left"/>
      <w:pPr>
        <w:ind w:left="1515" w:hanging="360"/>
      </w:pPr>
      <w:rPr>
        <w:rFonts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5" w15:restartNumberingAfterBreak="0">
    <w:nsid w:val="32563F95"/>
    <w:multiLevelType w:val="multilevel"/>
    <w:tmpl w:val="BFD83A46"/>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7"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9625C0"/>
    <w:multiLevelType w:val="hybridMultilevel"/>
    <w:tmpl w:val="FB103A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41E5372B"/>
    <w:multiLevelType w:val="hybridMultilevel"/>
    <w:tmpl w:val="38AA6092"/>
    <w:lvl w:ilvl="0" w:tplc="D4BCD5E8">
      <w:numFmt w:val="bullet"/>
      <w:lvlText w:val="-"/>
      <w:lvlJc w:val="left"/>
      <w:pPr>
        <w:ind w:left="360" w:hanging="360"/>
      </w:pPr>
      <w:rPr>
        <w:rFonts w:ascii="Times New Roman" w:eastAsia="Times New Roman" w:hAnsi="Times New Roman" w:cs="Times New Roman" w:hint="default"/>
      </w:rPr>
    </w:lvl>
    <w:lvl w:ilvl="1" w:tplc="EC10DE3C">
      <w:start w:val="1"/>
      <w:numFmt w:val="bullet"/>
      <w:lvlText w:val="o"/>
      <w:lvlJc w:val="left"/>
      <w:pPr>
        <w:ind w:left="1080" w:hanging="360"/>
      </w:pPr>
      <w:rPr>
        <w:rFonts w:ascii="Courier New" w:hAnsi="Courier New" w:cs="Courier New" w:hint="default"/>
      </w:rPr>
    </w:lvl>
    <w:lvl w:ilvl="2" w:tplc="53123416" w:tentative="1">
      <w:start w:val="1"/>
      <w:numFmt w:val="bullet"/>
      <w:lvlText w:val=""/>
      <w:lvlJc w:val="left"/>
      <w:pPr>
        <w:ind w:left="1800" w:hanging="360"/>
      </w:pPr>
      <w:rPr>
        <w:rFonts w:ascii="Wingdings" w:hAnsi="Wingdings" w:hint="default"/>
      </w:rPr>
    </w:lvl>
    <w:lvl w:ilvl="3" w:tplc="BAEEBA62" w:tentative="1">
      <w:start w:val="1"/>
      <w:numFmt w:val="bullet"/>
      <w:lvlText w:val=""/>
      <w:lvlJc w:val="left"/>
      <w:pPr>
        <w:ind w:left="2520" w:hanging="360"/>
      </w:pPr>
      <w:rPr>
        <w:rFonts w:ascii="Symbol" w:hAnsi="Symbol" w:hint="default"/>
      </w:rPr>
    </w:lvl>
    <w:lvl w:ilvl="4" w:tplc="C7688990" w:tentative="1">
      <w:start w:val="1"/>
      <w:numFmt w:val="bullet"/>
      <w:lvlText w:val="o"/>
      <w:lvlJc w:val="left"/>
      <w:pPr>
        <w:ind w:left="3240" w:hanging="360"/>
      </w:pPr>
      <w:rPr>
        <w:rFonts w:ascii="Courier New" w:hAnsi="Courier New" w:cs="Courier New" w:hint="default"/>
      </w:rPr>
    </w:lvl>
    <w:lvl w:ilvl="5" w:tplc="CD14EED6" w:tentative="1">
      <w:start w:val="1"/>
      <w:numFmt w:val="bullet"/>
      <w:lvlText w:val=""/>
      <w:lvlJc w:val="left"/>
      <w:pPr>
        <w:ind w:left="3960" w:hanging="360"/>
      </w:pPr>
      <w:rPr>
        <w:rFonts w:ascii="Wingdings" w:hAnsi="Wingdings" w:hint="default"/>
      </w:rPr>
    </w:lvl>
    <w:lvl w:ilvl="6" w:tplc="0B10AB34" w:tentative="1">
      <w:start w:val="1"/>
      <w:numFmt w:val="bullet"/>
      <w:lvlText w:val=""/>
      <w:lvlJc w:val="left"/>
      <w:pPr>
        <w:ind w:left="4680" w:hanging="360"/>
      </w:pPr>
      <w:rPr>
        <w:rFonts w:ascii="Symbol" w:hAnsi="Symbol" w:hint="default"/>
      </w:rPr>
    </w:lvl>
    <w:lvl w:ilvl="7" w:tplc="8A22E56E" w:tentative="1">
      <w:start w:val="1"/>
      <w:numFmt w:val="bullet"/>
      <w:lvlText w:val="o"/>
      <w:lvlJc w:val="left"/>
      <w:pPr>
        <w:ind w:left="5400" w:hanging="360"/>
      </w:pPr>
      <w:rPr>
        <w:rFonts w:ascii="Courier New" w:hAnsi="Courier New" w:cs="Courier New" w:hint="default"/>
      </w:rPr>
    </w:lvl>
    <w:lvl w:ilvl="8" w:tplc="41BAF820" w:tentative="1">
      <w:start w:val="1"/>
      <w:numFmt w:val="bullet"/>
      <w:lvlText w:val=""/>
      <w:lvlJc w:val="left"/>
      <w:pPr>
        <w:ind w:left="6120" w:hanging="360"/>
      </w:pPr>
      <w:rPr>
        <w:rFonts w:ascii="Wingdings" w:hAnsi="Wingdings" w:hint="default"/>
      </w:rPr>
    </w:lvl>
  </w:abstractNum>
  <w:abstractNum w:abstractNumId="22" w15:restartNumberingAfterBreak="0">
    <w:nsid w:val="47FD7DC0"/>
    <w:multiLevelType w:val="hybridMultilevel"/>
    <w:tmpl w:val="C2605E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B4850B4"/>
    <w:multiLevelType w:val="hybridMultilevel"/>
    <w:tmpl w:val="449C73FC"/>
    <w:lvl w:ilvl="0" w:tplc="D226AC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DED4DBE"/>
    <w:multiLevelType w:val="hybridMultilevel"/>
    <w:tmpl w:val="82BE3DD4"/>
    <w:lvl w:ilvl="0" w:tplc="D4BCD5E8">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1">
    <w:nsid w:val="4E781919"/>
    <w:multiLevelType w:val="hybridMultilevel"/>
    <w:tmpl w:val="2A0C7110"/>
    <w:lvl w:ilvl="0" w:tplc="04260001">
      <w:start w:val="1"/>
      <w:numFmt w:val="bullet"/>
      <w:lvlText w:val=""/>
      <w:lvlJc w:val="left"/>
      <w:pPr>
        <w:ind w:left="1080" w:hanging="360"/>
      </w:pPr>
      <w:rPr>
        <w:rFonts w:ascii="Symbol" w:hAnsi="Symbol" w:hint="default"/>
      </w:rPr>
    </w:lvl>
    <w:lvl w:ilvl="1" w:tplc="04260001">
      <w:start w:val="1"/>
      <w:numFmt w:val="bullet"/>
      <w:lvlText w:val=""/>
      <w:lvlJc w:val="left"/>
      <w:pPr>
        <w:ind w:left="1800" w:hanging="360"/>
      </w:pPr>
      <w:rPr>
        <w:rFonts w:ascii="Symbol" w:hAnsi="Symbol" w:hint="default"/>
      </w:rPr>
    </w:lvl>
    <w:lvl w:ilvl="2" w:tplc="53123416" w:tentative="1">
      <w:start w:val="1"/>
      <w:numFmt w:val="bullet"/>
      <w:lvlText w:val=""/>
      <w:lvlJc w:val="left"/>
      <w:pPr>
        <w:ind w:left="2520" w:hanging="360"/>
      </w:pPr>
      <w:rPr>
        <w:rFonts w:ascii="Wingdings" w:hAnsi="Wingdings" w:hint="default"/>
      </w:rPr>
    </w:lvl>
    <w:lvl w:ilvl="3" w:tplc="BAEEBA62" w:tentative="1">
      <w:start w:val="1"/>
      <w:numFmt w:val="bullet"/>
      <w:lvlText w:val=""/>
      <w:lvlJc w:val="left"/>
      <w:pPr>
        <w:ind w:left="3240" w:hanging="360"/>
      </w:pPr>
      <w:rPr>
        <w:rFonts w:ascii="Symbol" w:hAnsi="Symbol" w:hint="default"/>
      </w:rPr>
    </w:lvl>
    <w:lvl w:ilvl="4" w:tplc="C7688990" w:tentative="1">
      <w:start w:val="1"/>
      <w:numFmt w:val="bullet"/>
      <w:lvlText w:val="o"/>
      <w:lvlJc w:val="left"/>
      <w:pPr>
        <w:ind w:left="3960" w:hanging="360"/>
      </w:pPr>
      <w:rPr>
        <w:rFonts w:ascii="Courier New" w:hAnsi="Courier New" w:cs="Courier New" w:hint="default"/>
      </w:rPr>
    </w:lvl>
    <w:lvl w:ilvl="5" w:tplc="CD14EED6" w:tentative="1">
      <w:start w:val="1"/>
      <w:numFmt w:val="bullet"/>
      <w:lvlText w:val=""/>
      <w:lvlJc w:val="left"/>
      <w:pPr>
        <w:ind w:left="4680" w:hanging="360"/>
      </w:pPr>
      <w:rPr>
        <w:rFonts w:ascii="Wingdings" w:hAnsi="Wingdings" w:hint="default"/>
      </w:rPr>
    </w:lvl>
    <w:lvl w:ilvl="6" w:tplc="0B10AB34" w:tentative="1">
      <w:start w:val="1"/>
      <w:numFmt w:val="bullet"/>
      <w:lvlText w:val=""/>
      <w:lvlJc w:val="left"/>
      <w:pPr>
        <w:ind w:left="5400" w:hanging="360"/>
      </w:pPr>
      <w:rPr>
        <w:rFonts w:ascii="Symbol" w:hAnsi="Symbol" w:hint="default"/>
      </w:rPr>
    </w:lvl>
    <w:lvl w:ilvl="7" w:tplc="8A22E56E" w:tentative="1">
      <w:start w:val="1"/>
      <w:numFmt w:val="bullet"/>
      <w:lvlText w:val="o"/>
      <w:lvlJc w:val="left"/>
      <w:pPr>
        <w:ind w:left="6120" w:hanging="360"/>
      </w:pPr>
      <w:rPr>
        <w:rFonts w:ascii="Courier New" w:hAnsi="Courier New" w:cs="Courier New" w:hint="default"/>
      </w:rPr>
    </w:lvl>
    <w:lvl w:ilvl="8" w:tplc="41BAF820" w:tentative="1">
      <w:start w:val="1"/>
      <w:numFmt w:val="bullet"/>
      <w:lvlText w:val=""/>
      <w:lvlJc w:val="left"/>
      <w:pPr>
        <w:ind w:left="6840" w:hanging="360"/>
      </w:pPr>
      <w:rPr>
        <w:rFonts w:ascii="Wingdings" w:hAnsi="Wingdings" w:hint="default"/>
      </w:rPr>
    </w:lvl>
  </w:abstractNum>
  <w:abstractNum w:abstractNumId="27" w15:restartNumberingAfterBreak="1">
    <w:nsid w:val="50A34B99"/>
    <w:multiLevelType w:val="hybridMultilevel"/>
    <w:tmpl w:val="D0549D6C"/>
    <w:lvl w:ilvl="0" w:tplc="04260001">
      <w:start w:val="1"/>
      <w:numFmt w:val="bullet"/>
      <w:lvlText w:val=""/>
      <w:lvlJc w:val="left"/>
      <w:pPr>
        <w:ind w:left="1080" w:hanging="360"/>
      </w:pPr>
      <w:rPr>
        <w:rFonts w:ascii="Symbol" w:hAnsi="Symbol" w:hint="default"/>
      </w:rPr>
    </w:lvl>
    <w:lvl w:ilvl="1" w:tplc="88B404D6" w:tentative="1">
      <w:start w:val="1"/>
      <w:numFmt w:val="bullet"/>
      <w:lvlText w:val="o"/>
      <w:lvlJc w:val="left"/>
      <w:pPr>
        <w:ind w:left="1800" w:hanging="360"/>
      </w:pPr>
      <w:rPr>
        <w:rFonts w:ascii="Courier New" w:hAnsi="Courier New" w:cs="Courier New" w:hint="default"/>
      </w:rPr>
    </w:lvl>
    <w:lvl w:ilvl="2" w:tplc="CA024F5C" w:tentative="1">
      <w:start w:val="1"/>
      <w:numFmt w:val="bullet"/>
      <w:lvlText w:val=""/>
      <w:lvlJc w:val="left"/>
      <w:pPr>
        <w:ind w:left="2520" w:hanging="360"/>
      </w:pPr>
      <w:rPr>
        <w:rFonts w:ascii="Wingdings" w:hAnsi="Wingdings" w:hint="default"/>
      </w:rPr>
    </w:lvl>
    <w:lvl w:ilvl="3" w:tplc="1168340A" w:tentative="1">
      <w:start w:val="1"/>
      <w:numFmt w:val="bullet"/>
      <w:lvlText w:val=""/>
      <w:lvlJc w:val="left"/>
      <w:pPr>
        <w:ind w:left="3240" w:hanging="360"/>
      </w:pPr>
      <w:rPr>
        <w:rFonts w:ascii="Symbol" w:hAnsi="Symbol" w:hint="default"/>
      </w:rPr>
    </w:lvl>
    <w:lvl w:ilvl="4" w:tplc="CEF87D70" w:tentative="1">
      <w:start w:val="1"/>
      <w:numFmt w:val="bullet"/>
      <w:lvlText w:val="o"/>
      <w:lvlJc w:val="left"/>
      <w:pPr>
        <w:ind w:left="3960" w:hanging="360"/>
      </w:pPr>
      <w:rPr>
        <w:rFonts w:ascii="Courier New" w:hAnsi="Courier New" w:cs="Courier New" w:hint="default"/>
      </w:rPr>
    </w:lvl>
    <w:lvl w:ilvl="5" w:tplc="D7429546" w:tentative="1">
      <w:start w:val="1"/>
      <w:numFmt w:val="bullet"/>
      <w:lvlText w:val=""/>
      <w:lvlJc w:val="left"/>
      <w:pPr>
        <w:ind w:left="4680" w:hanging="360"/>
      </w:pPr>
      <w:rPr>
        <w:rFonts w:ascii="Wingdings" w:hAnsi="Wingdings" w:hint="default"/>
      </w:rPr>
    </w:lvl>
    <w:lvl w:ilvl="6" w:tplc="26D2BC30" w:tentative="1">
      <w:start w:val="1"/>
      <w:numFmt w:val="bullet"/>
      <w:lvlText w:val=""/>
      <w:lvlJc w:val="left"/>
      <w:pPr>
        <w:ind w:left="5400" w:hanging="360"/>
      </w:pPr>
      <w:rPr>
        <w:rFonts w:ascii="Symbol" w:hAnsi="Symbol" w:hint="default"/>
      </w:rPr>
    </w:lvl>
    <w:lvl w:ilvl="7" w:tplc="01B612E0" w:tentative="1">
      <w:start w:val="1"/>
      <w:numFmt w:val="bullet"/>
      <w:lvlText w:val="o"/>
      <w:lvlJc w:val="left"/>
      <w:pPr>
        <w:ind w:left="6120" w:hanging="360"/>
      </w:pPr>
      <w:rPr>
        <w:rFonts w:ascii="Courier New" w:hAnsi="Courier New" w:cs="Courier New" w:hint="default"/>
      </w:rPr>
    </w:lvl>
    <w:lvl w:ilvl="8" w:tplc="78584C2C" w:tentative="1">
      <w:start w:val="1"/>
      <w:numFmt w:val="bullet"/>
      <w:lvlText w:val=""/>
      <w:lvlJc w:val="left"/>
      <w:pPr>
        <w:ind w:left="6840" w:hanging="360"/>
      </w:pPr>
      <w:rPr>
        <w:rFonts w:ascii="Wingdings" w:hAnsi="Wingdings" w:hint="default"/>
      </w:rPr>
    </w:lvl>
  </w:abstractNum>
  <w:abstractNum w:abstractNumId="28" w15:restartNumberingAfterBreak="1">
    <w:nsid w:val="50A7561E"/>
    <w:multiLevelType w:val="hybridMultilevel"/>
    <w:tmpl w:val="F1E2F210"/>
    <w:lvl w:ilvl="0" w:tplc="D4BCD5E8">
      <w:numFmt w:val="bullet"/>
      <w:lvlText w:val="-"/>
      <w:lvlJc w:val="left"/>
      <w:pPr>
        <w:ind w:left="360" w:hanging="360"/>
      </w:pPr>
      <w:rPr>
        <w:rFonts w:ascii="Times New Roman" w:eastAsia="Times New Roman" w:hAnsi="Times New Roman" w:cs="Times New Roman" w:hint="default"/>
      </w:rPr>
    </w:lvl>
    <w:lvl w:ilvl="1" w:tplc="6C22D978">
      <w:start w:val="1"/>
      <w:numFmt w:val="bullet"/>
      <w:lvlText w:val=""/>
      <w:lvlJc w:val="left"/>
      <w:pPr>
        <w:ind w:left="360" w:hanging="360"/>
      </w:pPr>
      <w:rPr>
        <w:rFonts w:ascii="Symbol" w:hAnsi="Symbol" w:hint="default"/>
      </w:rPr>
    </w:lvl>
    <w:lvl w:ilvl="2" w:tplc="5DE80178" w:tentative="1">
      <w:start w:val="1"/>
      <w:numFmt w:val="bullet"/>
      <w:lvlText w:val=""/>
      <w:lvlJc w:val="left"/>
      <w:pPr>
        <w:ind w:left="1080" w:hanging="360"/>
      </w:pPr>
      <w:rPr>
        <w:rFonts w:ascii="Wingdings" w:hAnsi="Wingdings" w:hint="default"/>
      </w:rPr>
    </w:lvl>
    <w:lvl w:ilvl="3" w:tplc="D618DB36" w:tentative="1">
      <w:start w:val="1"/>
      <w:numFmt w:val="bullet"/>
      <w:lvlText w:val=""/>
      <w:lvlJc w:val="left"/>
      <w:pPr>
        <w:ind w:left="1800" w:hanging="360"/>
      </w:pPr>
      <w:rPr>
        <w:rFonts w:ascii="Symbol" w:hAnsi="Symbol" w:hint="default"/>
      </w:rPr>
    </w:lvl>
    <w:lvl w:ilvl="4" w:tplc="315A9BFA" w:tentative="1">
      <w:start w:val="1"/>
      <w:numFmt w:val="bullet"/>
      <w:lvlText w:val="o"/>
      <w:lvlJc w:val="left"/>
      <w:pPr>
        <w:ind w:left="2520" w:hanging="360"/>
      </w:pPr>
      <w:rPr>
        <w:rFonts w:ascii="Courier New" w:hAnsi="Courier New" w:cs="Courier New" w:hint="default"/>
      </w:rPr>
    </w:lvl>
    <w:lvl w:ilvl="5" w:tplc="3724C566" w:tentative="1">
      <w:start w:val="1"/>
      <w:numFmt w:val="bullet"/>
      <w:lvlText w:val=""/>
      <w:lvlJc w:val="left"/>
      <w:pPr>
        <w:ind w:left="3240" w:hanging="360"/>
      </w:pPr>
      <w:rPr>
        <w:rFonts w:ascii="Wingdings" w:hAnsi="Wingdings" w:hint="default"/>
      </w:rPr>
    </w:lvl>
    <w:lvl w:ilvl="6" w:tplc="66EE148C" w:tentative="1">
      <w:start w:val="1"/>
      <w:numFmt w:val="bullet"/>
      <w:lvlText w:val=""/>
      <w:lvlJc w:val="left"/>
      <w:pPr>
        <w:ind w:left="3960" w:hanging="360"/>
      </w:pPr>
      <w:rPr>
        <w:rFonts w:ascii="Symbol" w:hAnsi="Symbol" w:hint="default"/>
      </w:rPr>
    </w:lvl>
    <w:lvl w:ilvl="7" w:tplc="9B92D5C2" w:tentative="1">
      <w:start w:val="1"/>
      <w:numFmt w:val="bullet"/>
      <w:lvlText w:val="o"/>
      <w:lvlJc w:val="left"/>
      <w:pPr>
        <w:ind w:left="4680" w:hanging="360"/>
      </w:pPr>
      <w:rPr>
        <w:rFonts w:ascii="Courier New" w:hAnsi="Courier New" w:cs="Courier New" w:hint="default"/>
      </w:rPr>
    </w:lvl>
    <w:lvl w:ilvl="8" w:tplc="11C4D37C" w:tentative="1">
      <w:start w:val="1"/>
      <w:numFmt w:val="bullet"/>
      <w:lvlText w:val=""/>
      <w:lvlJc w:val="left"/>
      <w:pPr>
        <w:ind w:left="5400" w:hanging="360"/>
      </w:pPr>
      <w:rPr>
        <w:rFonts w:ascii="Wingdings" w:hAnsi="Wingdings" w:hint="default"/>
      </w:rPr>
    </w:lvl>
  </w:abstractNum>
  <w:abstractNum w:abstractNumId="29" w15:restartNumberingAfterBreak="0">
    <w:nsid w:val="528153BF"/>
    <w:multiLevelType w:val="hybridMultilevel"/>
    <w:tmpl w:val="412EF274"/>
    <w:lvl w:ilvl="0" w:tplc="04260003">
      <w:start w:val="1"/>
      <w:numFmt w:val="bullet"/>
      <w:lvlText w:val="o"/>
      <w:lvlJc w:val="left"/>
      <w:pPr>
        <w:ind w:left="1514" w:hanging="360"/>
      </w:pPr>
      <w:rPr>
        <w:rFonts w:ascii="Courier New" w:hAnsi="Courier New" w:cs="Courier New"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30"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1">
    <w:nsid w:val="5FF74CBE"/>
    <w:multiLevelType w:val="hybridMultilevel"/>
    <w:tmpl w:val="D170341E"/>
    <w:lvl w:ilvl="0" w:tplc="D4BCD5E8">
      <w:numFmt w:val="bullet"/>
      <w:lvlText w:val="-"/>
      <w:lvlJc w:val="left"/>
      <w:pPr>
        <w:ind w:left="360" w:hanging="360"/>
      </w:pPr>
      <w:rPr>
        <w:rFonts w:ascii="Times New Roman" w:eastAsia="Times New Roman" w:hAnsi="Times New Roman" w:cs="Times New Roman" w:hint="default"/>
      </w:rPr>
    </w:lvl>
    <w:lvl w:ilvl="1" w:tplc="EC10DE3C">
      <w:start w:val="1"/>
      <w:numFmt w:val="bullet"/>
      <w:lvlText w:val="o"/>
      <w:lvlJc w:val="left"/>
      <w:pPr>
        <w:ind w:left="1080" w:hanging="360"/>
      </w:pPr>
      <w:rPr>
        <w:rFonts w:ascii="Courier New" w:hAnsi="Courier New" w:cs="Courier New" w:hint="default"/>
      </w:rPr>
    </w:lvl>
    <w:lvl w:ilvl="2" w:tplc="53123416" w:tentative="1">
      <w:start w:val="1"/>
      <w:numFmt w:val="bullet"/>
      <w:lvlText w:val=""/>
      <w:lvlJc w:val="left"/>
      <w:pPr>
        <w:ind w:left="1800" w:hanging="360"/>
      </w:pPr>
      <w:rPr>
        <w:rFonts w:ascii="Wingdings" w:hAnsi="Wingdings" w:hint="default"/>
      </w:rPr>
    </w:lvl>
    <w:lvl w:ilvl="3" w:tplc="BAEEBA62" w:tentative="1">
      <w:start w:val="1"/>
      <w:numFmt w:val="bullet"/>
      <w:lvlText w:val=""/>
      <w:lvlJc w:val="left"/>
      <w:pPr>
        <w:ind w:left="2520" w:hanging="360"/>
      </w:pPr>
      <w:rPr>
        <w:rFonts w:ascii="Symbol" w:hAnsi="Symbol" w:hint="default"/>
      </w:rPr>
    </w:lvl>
    <w:lvl w:ilvl="4" w:tplc="C7688990" w:tentative="1">
      <w:start w:val="1"/>
      <w:numFmt w:val="bullet"/>
      <w:lvlText w:val="o"/>
      <w:lvlJc w:val="left"/>
      <w:pPr>
        <w:ind w:left="3240" w:hanging="360"/>
      </w:pPr>
      <w:rPr>
        <w:rFonts w:ascii="Courier New" w:hAnsi="Courier New" w:cs="Courier New" w:hint="default"/>
      </w:rPr>
    </w:lvl>
    <w:lvl w:ilvl="5" w:tplc="CD14EED6" w:tentative="1">
      <w:start w:val="1"/>
      <w:numFmt w:val="bullet"/>
      <w:lvlText w:val=""/>
      <w:lvlJc w:val="left"/>
      <w:pPr>
        <w:ind w:left="3960" w:hanging="360"/>
      </w:pPr>
      <w:rPr>
        <w:rFonts w:ascii="Wingdings" w:hAnsi="Wingdings" w:hint="default"/>
      </w:rPr>
    </w:lvl>
    <w:lvl w:ilvl="6" w:tplc="0B10AB34" w:tentative="1">
      <w:start w:val="1"/>
      <w:numFmt w:val="bullet"/>
      <w:lvlText w:val=""/>
      <w:lvlJc w:val="left"/>
      <w:pPr>
        <w:ind w:left="4680" w:hanging="360"/>
      </w:pPr>
      <w:rPr>
        <w:rFonts w:ascii="Symbol" w:hAnsi="Symbol" w:hint="default"/>
      </w:rPr>
    </w:lvl>
    <w:lvl w:ilvl="7" w:tplc="8A22E56E" w:tentative="1">
      <w:start w:val="1"/>
      <w:numFmt w:val="bullet"/>
      <w:lvlText w:val="o"/>
      <w:lvlJc w:val="left"/>
      <w:pPr>
        <w:ind w:left="5400" w:hanging="360"/>
      </w:pPr>
      <w:rPr>
        <w:rFonts w:ascii="Courier New" w:hAnsi="Courier New" w:cs="Courier New" w:hint="default"/>
      </w:rPr>
    </w:lvl>
    <w:lvl w:ilvl="8" w:tplc="41BAF820" w:tentative="1">
      <w:start w:val="1"/>
      <w:numFmt w:val="bullet"/>
      <w:lvlText w:val=""/>
      <w:lvlJc w:val="left"/>
      <w:pPr>
        <w:ind w:left="6120" w:hanging="360"/>
      </w:pPr>
      <w:rPr>
        <w:rFonts w:ascii="Wingdings" w:hAnsi="Wingdings" w:hint="default"/>
      </w:rPr>
    </w:lvl>
  </w:abstractNum>
  <w:abstractNum w:abstractNumId="32" w15:restartNumberingAfterBreak="1">
    <w:nsid w:val="68246C38"/>
    <w:multiLevelType w:val="hybridMultilevel"/>
    <w:tmpl w:val="9D0A0888"/>
    <w:lvl w:ilvl="0" w:tplc="C718870A">
      <w:start w:val="2"/>
      <w:numFmt w:val="bullet"/>
      <w:lvlText w:val="-"/>
      <w:lvlJc w:val="left"/>
      <w:pPr>
        <w:ind w:left="360" w:hanging="360"/>
      </w:pPr>
      <w:rPr>
        <w:rFonts w:ascii="Times New Roman" w:eastAsia="Calibri" w:hAnsi="Times New Roman" w:cs="Times New Roman" w:hint="default"/>
      </w:rPr>
    </w:lvl>
    <w:lvl w:ilvl="1" w:tplc="F2E49D02" w:tentative="1">
      <w:start w:val="1"/>
      <w:numFmt w:val="bullet"/>
      <w:lvlText w:val="o"/>
      <w:lvlJc w:val="left"/>
      <w:pPr>
        <w:ind w:left="1080" w:hanging="360"/>
      </w:pPr>
      <w:rPr>
        <w:rFonts w:ascii="Courier New" w:hAnsi="Courier New" w:cs="Courier New" w:hint="default"/>
      </w:rPr>
    </w:lvl>
    <w:lvl w:ilvl="2" w:tplc="FF02963C">
      <w:start w:val="1"/>
      <w:numFmt w:val="bullet"/>
      <w:lvlText w:val=""/>
      <w:lvlJc w:val="left"/>
      <w:pPr>
        <w:ind w:left="1800" w:hanging="360"/>
      </w:pPr>
      <w:rPr>
        <w:rFonts w:ascii="Wingdings" w:hAnsi="Wingdings" w:hint="default"/>
      </w:rPr>
    </w:lvl>
    <w:lvl w:ilvl="3" w:tplc="FD7AC0F2" w:tentative="1">
      <w:start w:val="1"/>
      <w:numFmt w:val="bullet"/>
      <w:lvlText w:val=""/>
      <w:lvlJc w:val="left"/>
      <w:pPr>
        <w:ind w:left="2520" w:hanging="360"/>
      </w:pPr>
      <w:rPr>
        <w:rFonts w:ascii="Symbol" w:hAnsi="Symbol" w:hint="default"/>
      </w:rPr>
    </w:lvl>
    <w:lvl w:ilvl="4" w:tplc="9F4C9886" w:tentative="1">
      <w:start w:val="1"/>
      <w:numFmt w:val="bullet"/>
      <w:lvlText w:val="o"/>
      <w:lvlJc w:val="left"/>
      <w:pPr>
        <w:ind w:left="3240" w:hanging="360"/>
      </w:pPr>
      <w:rPr>
        <w:rFonts w:ascii="Courier New" w:hAnsi="Courier New" w:cs="Courier New" w:hint="default"/>
      </w:rPr>
    </w:lvl>
    <w:lvl w:ilvl="5" w:tplc="CCBCBFEA" w:tentative="1">
      <w:start w:val="1"/>
      <w:numFmt w:val="bullet"/>
      <w:lvlText w:val=""/>
      <w:lvlJc w:val="left"/>
      <w:pPr>
        <w:ind w:left="3960" w:hanging="360"/>
      </w:pPr>
      <w:rPr>
        <w:rFonts w:ascii="Wingdings" w:hAnsi="Wingdings" w:hint="default"/>
      </w:rPr>
    </w:lvl>
    <w:lvl w:ilvl="6" w:tplc="FFD2B9F2" w:tentative="1">
      <w:start w:val="1"/>
      <w:numFmt w:val="bullet"/>
      <w:lvlText w:val=""/>
      <w:lvlJc w:val="left"/>
      <w:pPr>
        <w:ind w:left="4680" w:hanging="360"/>
      </w:pPr>
      <w:rPr>
        <w:rFonts w:ascii="Symbol" w:hAnsi="Symbol" w:hint="default"/>
      </w:rPr>
    </w:lvl>
    <w:lvl w:ilvl="7" w:tplc="17D24D52" w:tentative="1">
      <w:start w:val="1"/>
      <w:numFmt w:val="bullet"/>
      <w:lvlText w:val="o"/>
      <w:lvlJc w:val="left"/>
      <w:pPr>
        <w:ind w:left="5400" w:hanging="360"/>
      </w:pPr>
      <w:rPr>
        <w:rFonts w:ascii="Courier New" w:hAnsi="Courier New" w:cs="Courier New" w:hint="default"/>
      </w:rPr>
    </w:lvl>
    <w:lvl w:ilvl="8" w:tplc="94527144" w:tentative="1">
      <w:start w:val="1"/>
      <w:numFmt w:val="bullet"/>
      <w:lvlText w:val=""/>
      <w:lvlJc w:val="left"/>
      <w:pPr>
        <w:ind w:left="6120" w:hanging="360"/>
      </w:pPr>
      <w:rPr>
        <w:rFonts w:ascii="Wingdings" w:hAnsi="Wingdings" w:hint="default"/>
      </w:rPr>
    </w:lvl>
  </w:abstractNum>
  <w:abstractNum w:abstractNumId="33"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37ABC"/>
    <w:multiLevelType w:val="hybridMultilevel"/>
    <w:tmpl w:val="B33695C4"/>
    <w:lvl w:ilvl="0" w:tplc="04260003">
      <w:start w:val="1"/>
      <w:numFmt w:val="bullet"/>
      <w:lvlText w:val="o"/>
      <w:lvlJc w:val="left"/>
      <w:pPr>
        <w:ind w:left="1514" w:hanging="360"/>
      </w:pPr>
      <w:rPr>
        <w:rFonts w:ascii="Courier New" w:hAnsi="Courier New" w:cs="Courier New"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35"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1">
    <w:nsid w:val="75C43875"/>
    <w:multiLevelType w:val="hybridMultilevel"/>
    <w:tmpl w:val="347E0C2C"/>
    <w:lvl w:ilvl="0" w:tplc="86D632BC">
      <w:start w:val="1"/>
      <w:numFmt w:val="bullet"/>
      <w:lvlText w:val=""/>
      <w:lvlJc w:val="left"/>
      <w:pPr>
        <w:ind w:left="360" w:hanging="360"/>
      </w:pPr>
      <w:rPr>
        <w:rFonts w:ascii="Wingdings" w:hAnsi="Wingdings" w:hint="default"/>
      </w:rPr>
    </w:lvl>
    <w:lvl w:ilvl="1" w:tplc="E4D0A628" w:tentative="1">
      <w:start w:val="1"/>
      <w:numFmt w:val="bullet"/>
      <w:lvlText w:val="o"/>
      <w:lvlJc w:val="left"/>
      <w:pPr>
        <w:ind w:left="1080" w:hanging="360"/>
      </w:pPr>
      <w:rPr>
        <w:rFonts w:ascii="Courier New" w:hAnsi="Courier New" w:cs="Courier New" w:hint="default"/>
      </w:rPr>
    </w:lvl>
    <w:lvl w:ilvl="2" w:tplc="C53C389C" w:tentative="1">
      <w:start w:val="1"/>
      <w:numFmt w:val="bullet"/>
      <w:lvlText w:val=""/>
      <w:lvlJc w:val="left"/>
      <w:pPr>
        <w:ind w:left="1800" w:hanging="360"/>
      </w:pPr>
      <w:rPr>
        <w:rFonts w:ascii="Wingdings" w:hAnsi="Wingdings" w:hint="default"/>
      </w:rPr>
    </w:lvl>
    <w:lvl w:ilvl="3" w:tplc="0D721DEC" w:tentative="1">
      <w:start w:val="1"/>
      <w:numFmt w:val="bullet"/>
      <w:lvlText w:val=""/>
      <w:lvlJc w:val="left"/>
      <w:pPr>
        <w:ind w:left="2520" w:hanging="360"/>
      </w:pPr>
      <w:rPr>
        <w:rFonts w:ascii="Symbol" w:hAnsi="Symbol" w:hint="default"/>
      </w:rPr>
    </w:lvl>
    <w:lvl w:ilvl="4" w:tplc="6C22C54E" w:tentative="1">
      <w:start w:val="1"/>
      <w:numFmt w:val="bullet"/>
      <w:lvlText w:val="o"/>
      <w:lvlJc w:val="left"/>
      <w:pPr>
        <w:ind w:left="3240" w:hanging="360"/>
      </w:pPr>
      <w:rPr>
        <w:rFonts w:ascii="Courier New" w:hAnsi="Courier New" w:cs="Courier New" w:hint="default"/>
      </w:rPr>
    </w:lvl>
    <w:lvl w:ilvl="5" w:tplc="E5A0EE18" w:tentative="1">
      <w:start w:val="1"/>
      <w:numFmt w:val="bullet"/>
      <w:lvlText w:val=""/>
      <w:lvlJc w:val="left"/>
      <w:pPr>
        <w:ind w:left="3960" w:hanging="360"/>
      </w:pPr>
      <w:rPr>
        <w:rFonts w:ascii="Wingdings" w:hAnsi="Wingdings" w:hint="default"/>
      </w:rPr>
    </w:lvl>
    <w:lvl w:ilvl="6" w:tplc="CB867F9E" w:tentative="1">
      <w:start w:val="1"/>
      <w:numFmt w:val="bullet"/>
      <w:lvlText w:val=""/>
      <w:lvlJc w:val="left"/>
      <w:pPr>
        <w:ind w:left="4680" w:hanging="360"/>
      </w:pPr>
      <w:rPr>
        <w:rFonts w:ascii="Symbol" w:hAnsi="Symbol" w:hint="default"/>
      </w:rPr>
    </w:lvl>
    <w:lvl w:ilvl="7" w:tplc="47CA8FE0" w:tentative="1">
      <w:start w:val="1"/>
      <w:numFmt w:val="bullet"/>
      <w:lvlText w:val="o"/>
      <w:lvlJc w:val="left"/>
      <w:pPr>
        <w:ind w:left="5400" w:hanging="360"/>
      </w:pPr>
      <w:rPr>
        <w:rFonts w:ascii="Courier New" w:hAnsi="Courier New" w:cs="Courier New" w:hint="default"/>
      </w:rPr>
    </w:lvl>
    <w:lvl w:ilvl="8" w:tplc="2940F528" w:tentative="1">
      <w:start w:val="1"/>
      <w:numFmt w:val="bullet"/>
      <w:lvlText w:val=""/>
      <w:lvlJc w:val="left"/>
      <w:pPr>
        <w:ind w:left="6120" w:hanging="360"/>
      </w:pPr>
      <w:rPr>
        <w:rFonts w:ascii="Wingdings" w:hAnsi="Wingdings" w:hint="default"/>
      </w:rPr>
    </w:lvl>
  </w:abstractNum>
  <w:abstractNum w:abstractNumId="37" w15:restartNumberingAfterBreak="0">
    <w:nsid w:val="7633584F"/>
    <w:multiLevelType w:val="hybridMultilevel"/>
    <w:tmpl w:val="891EC7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1B5AC0"/>
    <w:multiLevelType w:val="hybridMultilevel"/>
    <w:tmpl w:val="360E41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A03B5B"/>
    <w:multiLevelType w:val="hybridMultilevel"/>
    <w:tmpl w:val="BCF46B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9FA4C87"/>
    <w:multiLevelType w:val="hybridMultilevel"/>
    <w:tmpl w:val="2276798E"/>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BE436B4"/>
    <w:multiLevelType w:val="hybridMultilevel"/>
    <w:tmpl w:val="91C6C71A"/>
    <w:lvl w:ilvl="0" w:tplc="FFFFFFFF">
      <w:numFmt w:val="bullet"/>
      <w:lvlText w:val=""/>
      <w:lvlJc w:val="left"/>
      <w:pPr>
        <w:ind w:left="1514" w:hanging="360"/>
      </w:pPr>
      <w:rPr>
        <w:rFonts w:ascii="Symbol" w:eastAsia="Times New Roman" w:hAnsi="Symbol" w:cs="Times New Roman" w:hint="default"/>
      </w:rPr>
    </w:lvl>
    <w:lvl w:ilvl="1" w:tplc="04260003">
      <w:start w:val="1"/>
      <w:numFmt w:val="bullet"/>
      <w:lvlText w:val="o"/>
      <w:lvlJc w:val="left"/>
      <w:pPr>
        <w:ind w:left="2234" w:hanging="360"/>
      </w:pPr>
      <w:rPr>
        <w:rFonts w:ascii="Courier New" w:hAnsi="Courier New" w:cs="Courier New" w:hint="default"/>
      </w:rPr>
    </w:lvl>
    <w:lvl w:ilvl="2" w:tplc="04260005" w:tentative="1">
      <w:start w:val="1"/>
      <w:numFmt w:val="bullet"/>
      <w:lvlText w:val=""/>
      <w:lvlJc w:val="left"/>
      <w:pPr>
        <w:ind w:left="2954" w:hanging="360"/>
      </w:pPr>
      <w:rPr>
        <w:rFonts w:ascii="Wingdings" w:hAnsi="Wingdings" w:hint="default"/>
      </w:rPr>
    </w:lvl>
    <w:lvl w:ilvl="3" w:tplc="04260001" w:tentative="1">
      <w:start w:val="1"/>
      <w:numFmt w:val="bullet"/>
      <w:lvlText w:val=""/>
      <w:lvlJc w:val="left"/>
      <w:pPr>
        <w:ind w:left="3674" w:hanging="360"/>
      </w:pPr>
      <w:rPr>
        <w:rFonts w:ascii="Symbol" w:hAnsi="Symbol" w:hint="default"/>
      </w:rPr>
    </w:lvl>
    <w:lvl w:ilvl="4" w:tplc="04260003" w:tentative="1">
      <w:start w:val="1"/>
      <w:numFmt w:val="bullet"/>
      <w:lvlText w:val="o"/>
      <w:lvlJc w:val="left"/>
      <w:pPr>
        <w:ind w:left="4394" w:hanging="360"/>
      </w:pPr>
      <w:rPr>
        <w:rFonts w:ascii="Courier New" w:hAnsi="Courier New" w:cs="Courier New" w:hint="default"/>
      </w:rPr>
    </w:lvl>
    <w:lvl w:ilvl="5" w:tplc="04260005" w:tentative="1">
      <w:start w:val="1"/>
      <w:numFmt w:val="bullet"/>
      <w:lvlText w:val=""/>
      <w:lvlJc w:val="left"/>
      <w:pPr>
        <w:ind w:left="5114" w:hanging="360"/>
      </w:pPr>
      <w:rPr>
        <w:rFonts w:ascii="Wingdings" w:hAnsi="Wingdings" w:hint="default"/>
      </w:rPr>
    </w:lvl>
    <w:lvl w:ilvl="6" w:tplc="04260001" w:tentative="1">
      <w:start w:val="1"/>
      <w:numFmt w:val="bullet"/>
      <w:lvlText w:val=""/>
      <w:lvlJc w:val="left"/>
      <w:pPr>
        <w:ind w:left="5834" w:hanging="360"/>
      </w:pPr>
      <w:rPr>
        <w:rFonts w:ascii="Symbol" w:hAnsi="Symbol" w:hint="default"/>
      </w:rPr>
    </w:lvl>
    <w:lvl w:ilvl="7" w:tplc="04260003" w:tentative="1">
      <w:start w:val="1"/>
      <w:numFmt w:val="bullet"/>
      <w:lvlText w:val="o"/>
      <w:lvlJc w:val="left"/>
      <w:pPr>
        <w:ind w:left="6554" w:hanging="360"/>
      </w:pPr>
      <w:rPr>
        <w:rFonts w:ascii="Courier New" w:hAnsi="Courier New" w:cs="Courier New" w:hint="default"/>
      </w:rPr>
    </w:lvl>
    <w:lvl w:ilvl="8" w:tplc="04260005" w:tentative="1">
      <w:start w:val="1"/>
      <w:numFmt w:val="bullet"/>
      <w:lvlText w:val=""/>
      <w:lvlJc w:val="left"/>
      <w:pPr>
        <w:ind w:left="7274" w:hanging="360"/>
      </w:pPr>
      <w:rPr>
        <w:rFonts w:ascii="Wingdings" w:hAnsi="Wingdings" w:hint="default"/>
      </w:rPr>
    </w:lvl>
  </w:abstractNum>
  <w:abstractNum w:abstractNumId="42" w15:restartNumberingAfterBreak="0">
    <w:nsid w:val="7CC44281"/>
    <w:multiLevelType w:val="hybridMultilevel"/>
    <w:tmpl w:val="C1962A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82309C"/>
    <w:multiLevelType w:val="hybridMultilevel"/>
    <w:tmpl w:val="34E218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2"/>
  </w:num>
  <w:num w:numId="2">
    <w:abstractNumId w:val="36"/>
  </w:num>
  <w:num w:numId="3">
    <w:abstractNumId w:val="24"/>
  </w:num>
  <w:num w:numId="4">
    <w:abstractNumId w:val="15"/>
  </w:num>
  <w:num w:numId="5">
    <w:abstractNumId w:val="35"/>
  </w:num>
  <w:num w:numId="6">
    <w:abstractNumId w:val="43"/>
  </w:num>
  <w:num w:numId="7">
    <w:abstractNumId w:val="30"/>
  </w:num>
  <w:num w:numId="8">
    <w:abstractNumId w:val="8"/>
  </w:num>
  <w:num w:numId="9">
    <w:abstractNumId w:val="6"/>
  </w:num>
  <w:num w:numId="10">
    <w:abstractNumId w:val="17"/>
  </w:num>
  <w:num w:numId="11">
    <w:abstractNumId w:val="2"/>
  </w:num>
  <w:num w:numId="12">
    <w:abstractNumId w:val="41"/>
  </w:num>
  <w:num w:numId="13">
    <w:abstractNumId w:val="13"/>
  </w:num>
  <w:num w:numId="14">
    <w:abstractNumId w:val="33"/>
  </w:num>
  <w:num w:numId="15">
    <w:abstractNumId w:val="16"/>
  </w:num>
  <w:num w:numId="16">
    <w:abstractNumId w:val="7"/>
  </w:num>
  <w:num w:numId="17">
    <w:abstractNumId w:val="37"/>
  </w:num>
  <w:num w:numId="18">
    <w:abstractNumId w:val="25"/>
  </w:num>
  <w:num w:numId="19">
    <w:abstractNumId w:val="28"/>
  </w:num>
  <w:num w:numId="20">
    <w:abstractNumId w:val="21"/>
  </w:num>
  <w:num w:numId="21">
    <w:abstractNumId w:val="26"/>
  </w:num>
  <w:num w:numId="22">
    <w:abstractNumId w:val="31"/>
  </w:num>
  <w:num w:numId="23">
    <w:abstractNumId w:val="27"/>
  </w:num>
  <w:num w:numId="24">
    <w:abstractNumId w:val="10"/>
  </w:num>
  <w:num w:numId="25">
    <w:abstractNumId w:val="44"/>
  </w:num>
  <w:num w:numId="26">
    <w:abstractNumId w:val="12"/>
  </w:num>
  <w:num w:numId="27">
    <w:abstractNumId w:val="1"/>
  </w:num>
  <w:num w:numId="28">
    <w:abstractNumId w:val="18"/>
  </w:num>
  <w:num w:numId="29">
    <w:abstractNumId w:val="20"/>
  </w:num>
  <w:num w:numId="30">
    <w:abstractNumId w:val="23"/>
  </w:num>
  <w:num w:numId="31">
    <w:abstractNumId w:val="19"/>
  </w:num>
  <w:num w:numId="32">
    <w:abstractNumId w:val="40"/>
  </w:num>
  <w:num w:numId="33">
    <w:abstractNumId w:val="29"/>
  </w:num>
  <w:num w:numId="34">
    <w:abstractNumId w:val="11"/>
  </w:num>
  <w:num w:numId="35">
    <w:abstractNumId w:val="34"/>
  </w:num>
  <w:num w:numId="36">
    <w:abstractNumId w:val="9"/>
  </w:num>
  <w:num w:numId="37">
    <w:abstractNumId w:val="22"/>
  </w:num>
  <w:num w:numId="38">
    <w:abstractNumId w:val="42"/>
  </w:num>
  <w:num w:numId="39">
    <w:abstractNumId w:val="39"/>
  </w:num>
  <w:num w:numId="40">
    <w:abstractNumId w:val="3"/>
  </w:num>
  <w:num w:numId="41">
    <w:abstractNumId w:val="4"/>
  </w:num>
  <w:num w:numId="42">
    <w:abstractNumId w:val="38"/>
  </w:num>
  <w:num w:numId="43">
    <w:abstractNumId w:val="14"/>
  </w:num>
  <w:num w:numId="44">
    <w:abstractNumId w:val="5"/>
  </w:num>
  <w:num w:numId="45">
    <w:abstractNumId w:val="28"/>
  </w:num>
  <w:num w:numId="46">
    <w:abstractNumId w:val="20"/>
  </w:num>
  <w:num w:numId="47">
    <w:abstractNumId w:val="33"/>
  </w:num>
  <w:num w:numId="48">
    <w:abstractNumId w:val="8"/>
  </w:num>
  <w:num w:numId="49">
    <w:abstractNumId w:val="16"/>
  </w:num>
  <w:num w:numId="50">
    <w:abstractNumId w:val="2"/>
    <w:lvlOverride w:ilvl="0">
      <w:startOverride w:val="1"/>
    </w:lvlOverride>
    <w:lvlOverride w:ilvl="1"/>
    <w:lvlOverride w:ilvl="2"/>
    <w:lvlOverride w:ilvl="3"/>
    <w:lvlOverride w:ilvl="4"/>
    <w:lvlOverride w:ilvl="5"/>
    <w:lvlOverride w:ilvl="6"/>
    <w:lvlOverride w:ilvl="7"/>
    <w:lvlOverride w:ilvl="8"/>
  </w:num>
  <w:num w:numId="51">
    <w:abstractNumId w:val="35"/>
  </w:num>
  <w:num w:numId="52">
    <w:abstractNumId w:val="30"/>
  </w:num>
  <w:num w:numId="53">
    <w:abstractNumId w:val="43"/>
  </w:num>
  <w:num w:numId="54">
    <w:abstractNumId w:val="23"/>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 w:numId="61">
    <w:abstractNumId w:val="29"/>
  </w:num>
  <w:num w:numId="62">
    <w:abstractNumId w:val="40"/>
  </w:num>
  <w:num w:numId="63">
    <w:abstractNumId w:val="34"/>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00D"/>
    <w:rsid w:val="00000621"/>
    <w:rsid w:val="00000CEA"/>
    <w:rsid w:val="00002EFE"/>
    <w:rsid w:val="000062D2"/>
    <w:rsid w:val="00010ADB"/>
    <w:rsid w:val="000152DA"/>
    <w:rsid w:val="00017BAC"/>
    <w:rsid w:val="0002103D"/>
    <w:rsid w:val="00024837"/>
    <w:rsid w:val="00025BBE"/>
    <w:rsid w:val="00027EAA"/>
    <w:rsid w:val="000300AE"/>
    <w:rsid w:val="00030784"/>
    <w:rsid w:val="0003172F"/>
    <w:rsid w:val="000345D5"/>
    <w:rsid w:val="00034912"/>
    <w:rsid w:val="000371F7"/>
    <w:rsid w:val="000375DE"/>
    <w:rsid w:val="00040153"/>
    <w:rsid w:val="000403A9"/>
    <w:rsid w:val="00042A57"/>
    <w:rsid w:val="000430DC"/>
    <w:rsid w:val="00043FF0"/>
    <w:rsid w:val="00044C56"/>
    <w:rsid w:val="000452CE"/>
    <w:rsid w:val="000457EA"/>
    <w:rsid w:val="00045CCD"/>
    <w:rsid w:val="000470B1"/>
    <w:rsid w:val="00047502"/>
    <w:rsid w:val="00050634"/>
    <w:rsid w:val="0005109F"/>
    <w:rsid w:val="0005374C"/>
    <w:rsid w:val="0005572A"/>
    <w:rsid w:val="00057B12"/>
    <w:rsid w:val="00061FAF"/>
    <w:rsid w:val="00061FBF"/>
    <w:rsid w:val="00062A69"/>
    <w:rsid w:val="00062FDA"/>
    <w:rsid w:val="00062FE3"/>
    <w:rsid w:val="00064FDD"/>
    <w:rsid w:val="00065470"/>
    <w:rsid w:val="00065A5A"/>
    <w:rsid w:val="000668CB"/>
    <w:rsid w:val="00066D60"/>
    <w:rsid w:val="00066FF4"/>
    <w:rsid w:val="0006772E"/>
    <w:rsid w:val="00070357"/>
    <w:rsid w:val="00072855"/>
    <w:rsid w:val="00072F17"/>
    <w:rsid w:val="000735A8"/>
    <w:rsid w:val="00073B99"/>
    <w:rsid w:val="00074154"/>
    <w:rsid w:val="00076896"/>
    <w:rsid w:val="000771F5"/>
    <w:rsid w:val="000804ED"/>
    <w:rsid w:val="00080A95"/>
    <w:rsid w:val="0008140D"/>
    <w:rsid w:val="000857A7"/>
    <w:rsid w:val="000858A5"/>
    <w:rsid w:val="00090425"/>
    <w:rsid w:val="00092A06"/>
    <w:rsid w:val="000960E0"/>
    <w:rsid w:val="000961C3"/>
    <w:rsid w:val="000966F8"/>
    <w:rsid w:val="00096C02"/>
    <w:rsid w:val="000A09CC"/>
    <w:rsid w:val="000A0B8A"/>
    <w:rsid w:val="000A0D70"/>
    <w:rsid w:val="000A178B"/>
    <w:rsid w:val="000A2416"/>
    <w:rsid w:val="000A3011"/>
    <w:rsid w:val="000A3536"/>
    <w:rsid w:val="000A3C6E"/>
    <w:rsid w:val="000A4FBB"/>
    <w:rsid w:val="000A7668"/>
    <w:rsid w:val="000A7800"/>
    <w:rsid w:val="000A79CA"/>
    <w:rsid w:val="000B0C09"/>
    <w:rsid w:val="000B29AF"/>
    <w:rsid w:val="000B2DA0"/>
    <w:rsid w:val="000B3767"/>
    <w:rsid w:val="000B45BB"/>
    <w:rsid w:val="000B6F83"/>
    <w:rsid w:val="000B78D8"/>
    <w:rsid w:val="000C09BD"/>
    <w:rsid w:val="000C0A71"/>
    <w:rsid w:val="000C0FB5"/>
    <w:rsid w:val="000C1646"/>
    <w:rsid w:val="000C240D"/>
    <w:rsid w:val="000C3BBC"/>
    <w:rsid w:val="000C4C4F"/>
    <w:rsid w:val="000C4D18"/>
    <w:rsid w:val="000C5DA8"/>
    <w:rsid w:val="000D017D"/>
    <w:rsid w:val="000D345B"/>
    <w:rsid w:val="000D47FD"/>
    <w:rsid w:val="000D5593"/>
    <w:rsid w:val="000D57DC"/>
    <w:rsid w:val="000E0461"/>
    <w:rsid w:val="000E49DF"/>
    <w:rsid w:val="000E53B0"/>
    <w:rsid w:val="000E66CF"/>
    <w:rsid w:val="000E6A90"/>
    <w:rsid w:val="000E7287"/>
    <w:rsid w:val="000F0C34"/>
    <w:rsid w:val="000F0EDA"/>
    <w:rsid w:val="000F4848"/>
    <w:rsid w:val="000F4C54"/>
    <w:rsid w:val="000F5DED"/>
    <w:rsid w:val="000F601D"/>
    <w:rsid w:val="000F7A99"/>
    <w:rsid w:val="000F7E44"/>
    <w:rsid w:val="00100748"/>
    <w:rsid w:val="001009C6"/>
    <w:rsid w:val="00100DF3"/>
    <w:rsid w:val="00101013"/>
    <w:rsid w:val="00104B09"/>
    <w:rsid w:val="00107F6F"/>
    <w:rsid w:val="00111083"/>
    <w:rsid w:val="00112FDB"/>
    <w:rsid w:val="001133CB"/>
    <w:rsid w:val="00114EF4"/>
    <w:rsid w:val="00116605"/>
    <w:rsid w:val="00120F4A"/>
    <w:rsid w:val="00123604"/>
    <w:rsid w:val="001238AD"/>
    <w:rsid w:val="001239C2"/>
    <w:rsid w:val="00123F89"/>
    <w:rsid w:val="00126B6A"/>
    <w:rsid w:val="00130D85"/>
    <w:rsid w:val="00131A77"/>
    <w:rsid w:val="001326CF"/>
    <w:rsid w:val="001328CE"/>
    <w:rsid w:val="00136A26"/>
    <w:rsid w:val="00141203"/>
    <w:rsid w:val="00142E9A"/>
    <w:rsid w:val="00144126"/>
    <w:rsid w:val="001444CE"/>
    <w:rsid w:val="00156597"/>
    <w:rsid w:val="00162FE3"/>
    <w:rsid w:val="00164B5C"/>
    <w:rsid w:val="00166512"/>
    <w:rsid w:val="001674BF"/>
    <w:rsid w:val="00171210"/>
    <w:rsid w:val="00171AA0"/>
    <w:rsid w:val="00171FAE"/>
    <w:rsid w:val="001721F7"/>
    <w:rsid w:val="001727E6"/>
    <w:rsid w:val="0017420D"/>
    <w:rsid w:val="00174360"/>
    <w:rsid w:val="001749C2"/>
    <w:rsid w:val="00174C38"/>
    <w:rsid w:val="00176181"/>
    <w:rsid w:val="001764C1"/>
    <w:rsid w:val="001803F6"/>
    <w:rsid w:val="00183962"/>
    <w:rsid w:val="00185E79"/>
    <w:rsid w:val="00186518"/>
    <w:rsid w:val="001870E4"/>
    <w:rsid w:val="001902FB"/>
    <w:rsid w:val="00190A92"/>
    <w:rsid w:val="001932AD"/>
    <w:rsid w:val="001932B4"/>
    <w:rsid w:val="00193E62"/>
    <w:rsid w:val="00194334"/>
    <w:rsid w:val="001954D4"/>
    <w:rsid w:val="00195835"/>
    <w:rsid w:val="00195A9E"/>
    <w:rsid w:val="00196527"/>
    <w:rsid w:val="001A0292"/>
    <w:rsid w:val="001A211E"/>
    <w:rsid w:val="001A604E"/>
    <w:rsid w:val="001A7285"/>
    <w:rsid w:val="001A7FD5"/>
    <w:rsid w:val="001B20FF"/>
    <w:rsid w:val="001B2970"/>
    <w:rsid w:val="001B2D49"/>
    <w:rsid w:val="001B2E21"/>
    <w:rsid w:val="001B3019"/>
    <w:rsid w:val="001B371D"/>
    <w:rsid w:val="001B4922"/>
    <w:rsid w:val="001B4FBA"/>
    <w:rsid w:val="001B7C4D"/>
    <w:rsid w:val="001C0C3A"/>
    <w:rsid w:val="001C211F"/>
    <w:rsid w:val="001C222A"/>
    <w:rsid w:val="001C2A67"/>
    <w:rsid w:val="001C3D68"/>
    <w:rsid w:val="001C6947"/>
    <w:rsid w:val="001C6BB6"/>
    <w:rsid w:val="001C70CC"/>
    <w:rsid w:val="001D0A5A"/>
    <w:rsid w:val="001D2814"/>
    <w:rsid w:val="001D3645"/>
    <w:rsid w:val="001D537B"/>
    <w:rsid w:val="001D6692"/>
    <w:rsid w:val="001D6A99"/>
    <w:rsid w:val="001E0C3D"/>
    <w:rsid w:val="001E1A1C"/>
    <w:rsid w:val="001E1B2A"/>
    <w:rsid w:val="001E20A5"/>
    <w:rsid w:val="001E22B8"/>
    <w:rsid w:val="001E34AA"/>
    <w:rsid w:val="001E49C4"/>
    <w:rsid w:val="001E51E6"/>
    <w:rsid w:val="001E538E"/>
    <w:rsid w:val="001E598C"/>
    <w:rsid w:val="001E76D7"/>
    <w:rsid w:val="001E7918"/>
    <w:rsid w:val="001E799E"/>
    <w:rsid w:val="001F18F8"/>
    <w:rsid w:val="001F2AAA"/>
    <w:rsid w:val="001F4F79"/>
    <w:rsid w:val="001F56C1"/>
    <w:rsid w:val="001F6E17"/>
    <w:rsid w:val="00200456"/>
    <w:rsid w:val="002009FD"/>
    <w:rsid w:val="00200AE1"/>
    <w:rsid w:val="00200FAC"/>
    <w:rsid w:val="00201F4F"/>
    <w:rsid w:val="00202E71"/>
    <w:rsid w:val="00203041"/>
    <w:rsid w:val="00204CAA"/>
    <w:rsid w:val="002069EB"/>
    <w:rsid w:val="00206DC9"/>
    <w:rsid w:val="00210B56"/>
    <w:rsid w:val="0021269D"/>
    <w:rsid w:val="0021399A"/>
    <w:rsid w:val="0021450E"/>
    <w:rsid w:val="00214BB5"/>
    <w:rsid w:val="00215266"/>
    <w:rsid w:val="0022099D"/>
    <w:rsid w:val="00222B85"/>
    <w:rsid w:val="00223430"/>
    <w:rsid w:val="0022384D"/>
    <w:rsid w:val="002243E2"/>
    <w:rsid w:val="002248FF"/>
    <w:rsid w:val="0022790D"/>
    <w:rsid w:val="00230DCC"/>
    <w:rsid w:val="00233D2C"/>
    <w:rsid w:val="002340A3"/>
    <w:rsid w:val="002345F1"/>
    <w:rsid w:val="002346FD"/>
    <w:rsid w:val="00234ED8"/>
    <w:rsid w:val="00237174"/>
    <w:rsid w:val="002373C6"/>
    <w:rsid w:val="00240923"/>
    <w:rsid w:val="00240C64"/>
    <w:rsid w:val="00242E9F"/>
    <w:rsid w:val="00244244"/>
    <w:rsid w:val="0024447E"/>
    <w:rsid w:val="00247B42"/>
    <w:rsid w:val="00250DCD"/>
    <w:rsid w:val="00251107"/>
    <w:rsid w:val="00251DFB"/>
    <w:rsid w:val="002566D3"/>
    <w:rsid w:val="00256E48"/>
    <w:rsid w:val="00260055"/>
    <w:rsid w:val="002600BA"/>
    <w:rsid w:val="0026079E"/>
    <w:rsid w:val="00262185"/>
    <w:rsid w:val="00264169"/>
    <w:rsid w:val="002711E4"/>
    <w:rsid w:val="00272172"/>
    <w:rsid w:val="00273B16"/>
    <w:rsid w:val="00277A0C"/>
    <w:rsid w:val="0028003F"/>
    <w:rsid w:val="00280894"/>
    <w:rsid w:val="0028128A"/>
    <w:rsid w:val="00282002"/>
    <w:rsid w:val="0028251D"/>
    <w:rsid w:val="0028274D"/>
    <w:rsid w:val="00282ED1"/>
    <w:rsid w:val="002852ED"/>
    <w:rsid w:val="0028638C"/>
    <w:rsid w:val="002867C3"/>
    <w:rsid w:val="00286A11"/>
    <w:rsid w:val="002873B2"/>
    <w:rsid w:val="002901F3"/>
    <w:rsid w:val="00291EA6"/>
    <w:rsid w:val="00293362"/>
    <w:rsid w:val="002938F6"/>
    <w:rsid w:val="00293F10"/>
    <w:rsid w:val="0029438C"/>
    <w:rsid w:val="00296AD0"/>
    <w:rsid w:val="00297124"/>
    <w:rsid w:val="0029761F"/>
    <w:rsid w:val="00297AD0"/>
    <w:rsid w:val="002A0D8C"/>
    <w:rsid w:val="002A2DDC"/>
    <w:rsid w:val="002A3543"/>
    <w:rsid w:val="002A3A5D"/>
    <w:rsid w:val="002A6138"/>
    <w:rsid w:val="002A795B"/>
    <w:rsid w:val="002A7BE3"/>
    <w:rsid w:val="002B0B88"/>
    <w:rsid w:val="002B11F5"/>
    <w:rsid w:val="002B1ADF"/>
    <w:rsid w:val="002B32F1"/>
    <w:rsid w:val="002B376E"/>
    <w:rsid w:val="002B47F8"/>
    <w:rsid w:val="002B66F2"/>
    <w:rsid w:val="002B6D47"/>
    <w:rsid w:val="002B7934"/>
    <w:rsid w:val="002C06A8"/>
    <w:rsid w:val="002C06B4"/>
    <w:rsid w:val="002C12CB"/>
    <w:rsid w:val="002C16C4"/>
    <w:rsid w:val="002C2671"/>
    <w:rsid w:val="002C2973"/>
    <w:rsid w:val="002C2DB3"/>
    <w:rsid w:val="002C3406"/>
    <w:rsid w:val="002C7BAA"/>
    <w:rsid w:val="002C7C5B"/>
    <w:rsid w:val="002D0322"/>
    <w:rsid w:val="002D05C8"/>
    <w:rsid w:val="002D1169"/>
    <w:rsid w:val="002D19C5"/>
    <w:rsid w:val="002D1E83"/>
    <w:rsid w:val="002D2169"/>
    <w:rsid w:val="002D27E5"/>
    <w:rsid w:val="002D3017"/>
    <w:rsid w:val="002D319D"/>
    <w:rsid w:val="002D3A0B"/>
    <w:rsid w:val="002D3C3B"/>
    <w:rsid w:val="002D3F47"/>
    <w:rsid w:val="002D6FA4"/>
    <w:rsid w:val="002E0A25"/>
    <w:rsid w:val="002E0BBB"/>
    <w:rsid w:val="002E1818"/>
    <w:rsid w:val="002E48DF"/>
    <w:rsid w:val="002E58C7"/>
    <w:rsid w:val="002E5FAD"/>
    <w:rsid w:val="002E6CD2"/>
    <w:rsid w:val="002E7F60"/>
    <w:rsid w:val="002F09D0"/>
    <w:rsid w:val="002F0CE1"/>
    <w:rsid w:val="002F2286"/>
    <w:rsid w:val="002F4C43"/>
    <w:rsid w:val="002F72C3"/>
    <w:rsid w:val="002F7F25"/>
    <w:rsid w:val="00304672"/>
    <w:rsid w:val="00306C15"/>
    <w:rsid w:val="0030797A"/>
    <w:rsid w:val="00312037"/>
    <w:rsid w:val="00312E76"/>
    <w:rsid w:val="00314F97"/>
    <w:rsid w:val="00316396"/>
    <w:rsid w:val="00320079"/>
    <w:rsid w:val="00322F3F"/>
    <w:rsid w:val="00327059"/>
    <w:rsid w:val="00327309"/>
    <w:rsid w:val="00327897"/>
    <w:rsid w:val="003304E2"/>
    <w:rsid w:val="00330AC9"/>
    <w:rsid w:val="003323E8"/>
    <w:rsid w:val="00332E4A"/>
    <w:rsid w:val="0033334E"/>
    <w:rsid w:val="00334F49"/>
    <w:rsid w:val="00335AB4"/>
    <w:rsid w:val="003374D5"/>
    <w:rsid w:val="00337868"/>
    <w:rsid w:val="0034115C"/>
    <w:rsid w:val="003411CE"/>
    <w:rsid w:val="00341F5B"/>
    <w:rsid w:val="003431DE"/>
    <w:rsid w:val="0034339D"/>
    <w:rsid w:val="00343BE3"/>
    <w:rsid w:val="003443A3"/>
    <w:rsid w:val="00345C34"/>
    <w:rsid w:val="00350191"/>
    <w:rsid w:val="00351419"/>
    <w:rsid w:val="0035230F"/>
    <w:rsid w:val="003537C8"/>
    <w:rsid w:val="0035400D"/>
    <w:rsid w:val="00354A0C"/>
    <w:rsid w:val="00362911"/>
    <w:rsid w:val="00363317"/>
    <w:rsid w:val="00363629"/>
    <w:rsid w:val="0036537D"/>
    <w:rsid w:val="00366728"/>
    <w:rsid w:val="0036696A"/>
    <w:rsid w:val="00366F53"/>
    <w:rsid w:val="00367BB2"/>
    <w:rsid w:val="0037000D"/>
    <w:rsid w:val="00372F79"/>
    <w:rsid w:val="00376E46"/>
    <w:rsid w:val="00377AAA"/>
    <w:rsid w:val="00377C28"/>
    <w:rsid w:val="0038031A"/>
    <w:rsid w:val="003805C9"/>
    <w:rsid w:val="00381E1E"/>
    <w:rsid w:val="00382372"/>
    <w:rsid w:val="0038326F"/>
    <w:rsid w:val="00384594"/>
    <w:rsid w:val="003860A2"/>
    <w:rsid w:val="003900D6"/>
    <w:rsid w:val="00391FF4"/>
    <w:rsid w:val="00392105"/>
    <w:rsid w:val="0039352D"/>
    <w:rsid w:val="00393802"/>
    <w:rsid w:val="003938C8"/>
    <w:rsid w:val="00393EF8"/>
    <w:rsid w:val="00394639"/>
    <w:rsid w:val="00394B6B"/>
    <w:rsid w:val="00396EC0"/>
    <w:rsid w:val="003A1A4E"/>
    <w:rsid w:val="003A24F2"/>
    <w:rsid w:val="003A2663"/>
    <w:rsid w:val="003A77EA"/>
    <w:rsid w:val="003B042A"/>
    <w:rsid w:val="003B09CB"/>
    <w:rsid w:val="003B1268"/>
    <w:rsid w:val="003B23D6"/>
    <w:rsid w:val="003B341E"/>
    <w:rsid w:val="003B34C0"/>
    <w:rsid w:val="003B3D97"/>
    <w:rsid w:val="003B4939"/>
    <w:rsid w:val="003B5469"/>
    <w:rsid w:val="003B617A"/>
    <w:rsid w:val="003B640F"/>
    <w:rsid w:val="003B6698"/>
    <w:rsid w:val="003B66E9"/>
    <w:rsid w:val="003C3150"/>
    <w:rsid w:val="003C36BF"/>
    <w:rsid w:val="003C4B76"/>
    <w:rsid w:val="003C51BB"/>
    <w:rsid w:val="003D1DB4"/>
    <w:rsid w:val="003D2099"/>
    <w:rsid w:val="003D426B"/>
    <w:rsid w:val="003D4B69"/>
    <w:rsid w:val="003D5839"/>
    <w:rsid w:val="003D5B21"/>
    <w:rsid w:val="003D7ABB"/>
    <w:rsid w:val="003E0D1A"/>
    <w:rsid w:val="003E2347"/>
    <w:rsid w:val="003E461F"/>
    <w:rsid w:val="003E72A4"/>
    <w:rsid w:val="003E76D8"/>
    <w:rsid w:val="003F081C"/>
    <w:rsid w:val="003F193A"/>
    <w:rsid w:val="003F1E74"/>
    <w:rsid w:val="003F220F"/>
    <w:rsid w:val="003F3DF3"/>
    <w:rsid w:val="003F3E13"/>
    <w:rsid w:val="003F4F61"/>
    <w:rsid w:val="003F631E"/>
    <w:rsid w:val="004001DE"/>
    <w:rsid w:val="00400426"/>
    <w:rsid w:val="004011B0"/>
    <w:rsid w:val="00401368"/>
    <w:rsid w:val="00404978"/>
    <w:rsid w:val="00404CA6"/>
    <w:rsid w:val="0040574F"/>
    <w:rsid w:val="00410C29"/>
    <w:rsid w:val="00413323"/>
    <w:rsid w:val="0041332D"/>
    <w:rsid w:val="00413F67"/>
    <w:rsid w:val="00415887"/>
    <w:rsid w:val="00415B30"/>
    <w:rsid w:val="00417F8B"/>
    <w:rsid w:val="00421026"/>
    <w:rsid w:val="0042112E"/>
    <w:rsid w:val="004215B8"/>
    <w:rsid w:val="00426808"/>
    <w:rsid w:val="00430907"/>
    <w:rsid w:val="00431256"/>
    <w:rsid w:val="00431B9B"/>
    <w:rsid w:val="00431F4B"/>
    <w:rsid w:val="00432663"/>
    <w:rsid w:val="00433864"/>
    <w:rsid w:val="00434A08"/>
    <w:rsid w:val="004357D6"/>
    <w:rsid w:val="004377F9"/>
    <w:rsid w:val="00437B36"/>
    <w:rsid w:val="00437DD0"/>
    <w:rsid w:val="00440C86"/>
    <w:rsid w:val="0044375F"/>
    <w:rsid w:val="0044383B"/>
    <w:rsid w:val="00443B4B"/>
    <w:rsid w:val="00445B2F"/>
    <w:rsid w:val="00446515"/>
    <w:rsid w:val="004469CF"/>
    <w:rsid w:val="00447225"/>
    <w:rsid w:val="004477A2"/>
    <w:rsid w:val="004478D3"/>
    <w:rsid w:val="00447979"/>
    <w:rsid w:val="00450463"/>
    <w:rsid w:val="00452DD1"/>
    <w:rsid w:val="0045435A"/>
    <w:rsid w:val="004560C6"/>
    <w:rsid w:val="004563EC"/>
    <w:rsid w:val="00461496"/>
    <w:rsid w:val="00461B9D"/>
    <w:rsid w:val="00462080"/>
    <w:rsid w:val="00463D62"/>
    <w:rsid w:val="00464294"/>
    <w:rsid w:val="00464BCA"/>
    <w:rsid w:val="00465CEC"/>
    <w:rsid w:val="004677AA"/>
    <w:rsid w:val="00467937"/>
    <w:rsid w:val="00467E2A"/>
    <w:rsid w:val="00470346"/>
    <w:rsid w:val="004720D5"/>
    <w:rsid w:val="00472351"/>
    <w:rsid w:val="00475DE3"/>
    <w:rsid w:val="00476773"/>
    <w:rsid w:val="0048091F"/>
    <w:rsid w:val="00482159"/>
    <w:rsid w:val="0048518C"/>
    <w:rsid w:val="0048595C"/>
    <w:rsid w:val="0048606B"/>
    <w:rsid w:val="00487753"/>
    <w:rsid w:val="00491DA5"/>
    <w:rsid w:val="004955CA"/>
    <w:rsid w:val="00497B58"/>
    <w:rsid w:val="004A0299"/>
    <w:rsid w:val="004A0444"/>
    <w:rsid w:val="004A0861"/>
    <w:rsid w:val="004A1C83"/>
    <w:rsid w:val="004A2560"/>
    <w:rsid w:val="004A3778"/>
    <w:rsid w:val="004A3A29"/>
    <w:rsid w:val="004A45D7"/>
    <w:rsid w:val="004A550A"/>
    <w:rsid w:val="004A70C7"/>
    <w:rsid w:val="004A7160"/>
    <w:rsid w:val="004B1410"/>
    <w:rsid w:val="004B4430"/>
    <w:rsid w:val="004B5834"/>
    <w:rsid w:val="004C098C"/>
    <w:rsid w:val="004C2500"/>
    <w:rsid w:val="004C4AE9"/>
    <w:rsid w:val="004C4B9B"/>
    <w:rsid w:val="004C6611"/>
    <w:rsid w:val="004C7970"/>
    <w:rsid w:val="004D1281"/>
    <w:rsid w:val="004D2EA8"/>
    <w:rsid w:val="004D53D2"/>
    <w:rsid w:val="004D5A5F"/>
    <w:rsid w:val="004D70C4"/>
    <w:rsid w:val="004E0661"/>
    <w:rsid w:val="004E15F9"/>
    <w:rsid w:val="004E1893"/>
    <w:rsid w:val="004E247B"/>
    <w:rsid w:val="004E2F8F"/>
    <w:rsid w:val="004E417D"/>
    <w:rsid w:val="004E58F9"/>
    <w:rsid w:val="004F03C4"/>
    <w:rsid w:val="004F3BAF"/>
    <w:rsid w:val="004F7139"/>
    <w:rsid w:val="004F7E66"/>
    <w:rsid w:val="00501256"/>
    <w:rsid w:val="00501A57"/>
    <w:rsid w:val="005029A0"/>
    <w:rsid w:val="00503D9B"/>
    <w:rsid w:val="0050720A"/>
    <w:rsid w:val="00507B60"/>
    <w:rsid w:val="00511E65"/>
    <w:rsid w:val="00512DAA"/>
    <w:rsid w:val="00516ACA"/>
    <w:rsid w:val="00520DB5"/>
    <w:rsid w:val="00521C94"/>
    <w:rsid w:val="00522CC9"/>
    <w:rsid w:val="0052353D"/>
    <w:rsid w:val="00525A3B"/>
    <w:rsid w:val="00526D2B"/>
    <w:rsid w:val="0053013E"/>
    <w:rsid w:val="00530B4F"/>
    <w:rsid w:val="0053108E"/>
    <w:rsid w:val="005314AB"/>
    <w:rsid w:val="0053189E"/>
    <w:rsid w:val="00533DFB"/>
    <w:rsid w:val="00535A11"/>
    <w:rsid w:val="00536A41"/>
    <w:rsid w:val="00540351"/>
    <w:rsid w:val="0054122D"/>
    <w:rsid w:val="005414ED"/>
    <w:rsid w:val="0054461D"/>
    <w:rsid w:val="00545B6F"/>
    <w:rsid w:val="0055084A"/>
    <w:rsid w:val="0055168F"/>
    <w:rsid w:val="005518EF"/>
    <w:rsid w:val="005549D9"/>
    <w:rsid w:val="00555DA3"/>
    <w:rsid w:val="00555F2D"/>
    <w:rsid w:val="005615DA"/>
    <w:rsid w:val="00561A92"/>
    <w:rsid w:val="00564076"/>
    <w:rsid w:val="005673E6"/>
    <w:rsid w:val="00570A6E"/>
    <w:rsid w:val="00571672"/>
    <w:rsid w:val="005777A6"/>
    <w:rsid w:val="00581187"/>
    <w:rsid w:val="005826F1"/>
    <w:rsid w:val="00582778"/>
    <w:rsid w:val="005838D3"/>
    <w:rsid w:val="00584C05"/>
    <w:rsid w:val="00584E7D"/>
    <w:rsid w:val="00585F6C"/>
    <w:rsid w:val="00586C7D"/>
    <w:rsid w:val="005871A6"/>
    <w:rsid w:val="0058761F"/>
    <w:rsid w:val="005900EE"/>
    <w:rsid w:val="00590789"/>
    <w:rsid w:val="005928E4"/>
    <w:rsid w:val="00592D6F"/>
    <w:rsid w:val="00592E2D"/>
    <w:rsid w:val="00593618"/>
    <w:rsid w:val="00595194"/>
    <w:rsid w:val="00595F58"/>
    <w:rsid w:val="005979B2"/>
    <w:rsid w:val="00597AAF"/>
    <w:rsid w:val="005A01D1"/>
    <w:rsid w:val="005A33D3"/>
    <w:rsid w:val="005A3CFB"/>
    <w:rsid w:val="005A42F5"/>
    <w:rsid w:val="005A57A2"/>
    <w:rsid w:val="005A599D"/>
    <w:rsid w:val="005A646A"/>
    <w:rsid w:val="005B0430"/>
    <w:rsid w:val="005B068E"/>
    <w:rsid w:val="005B0DA0"/>
    <w:rsid w:val="005B1EF9"/>
    <w:rsid w:val="005B293D"/>
    <w:rsid w:val="005B30C8"/>
    <w:rsid w:val="005B3BC4"/>
    <w:rsid w:val="005B51EA"/>
    <w:rsid w:val="005B72CC"/>
    <w:rsid w:val="005C06C0"/>
    <w:rsid w:val="005C345F"/>
    <w:rsid w:val="005C4B89"/>
    <w:rsid w:val="005C58D3"/>
    <w:rsid w:val="005C60B5"/>
    <w:rsid w:val="005D1EC0"/>
    <w:rsid w:val="005D2905"/>
    <w:rsid w:val="005D3528"/>
    <w:rsid w:val="005D5163"/>
    <w:rsid w:val="005D54A3"/>
    <w:rsid w:val="005D5A9A"/>
    <w:rsid w:val="005E08C3"/>
    <w:rsid w:val="005E1FCB"/>
    <w:rsid w:val="005E2121"/>
    <w:rsid w:val="005E4CFE"/>
    <w:rsid w:val="005E76C9"/>
    <w:rsid w:val="005E7E8B"/>
    <w:rsid w:val="005F0045"/>
    <w:rsid w:val="005F1079"/>
    <w:rsid w:val="005F222B"/>
    <w:rsid w:val="005F3AD6"/>
    <w:rsid w:val="005F4036"/>
    <w:rsid w:val="005F51B4"/>
    <w:rsid w:val="005F56C0"/>
    <w:rsid w:val="005F5E82"/>
    <w:rsid w:val="005F6245"/>
    <w:rsid w:val="00601919"/>
    <w:rsid w:val="00605AEF"/>
    <w:rsid w:val="006113AA"/>
    <w:rsid w:val="00611C2F"/>
    <w:rsid w:val="0061207A"/>
    <w:rsid w:val="00612ABA"/>
    <w:rsid w:val="00612EE3"/>
    <w:rsid w:val="0061670D"/>
    <w:rsid w:val="00617C0C"/>
    <w:rsid w:val="00620461"/>
    <w:rsid w:val="00620687"/>
    <w:rsid w:val="006206A7"/>
    <w:rsid w:val="00620E13"/>
    <w:rsid w:val="00621BD3"/>
    <w:rsid w:val="006223B8"/>
    <w:rsid w:val="006243F6"/>
    <w:rsid w:val="00627292"/>
    <w:rsid w:val="006273FD"/>
    <w:rsid w:val="00630710"/>
    <w:rsid w:val="00630933"/>
    <w:rsid w:val="00631D5F"/>
    <w:rsid w:val="006345A1"/>
    <w:rsid w:val="00634D51"/>
    <w:rsid w:val="00635190"/>
    <w:rsid w:val="006355B7"/>
    <w:rsid w:val="00636054"/>
    <w:rsid w:val="00640B24"/>
    <w:rsid w:val="006416E2"/>
    <w:rsid w:val="00641E44"/>
    <w:rsid w:val="00642A3A"/>
    <w:rsid w:val="0064549A"/>
    <w:rsid w:val="0064586F"/>
    <w:rsid w:val="00650060"/>
    <w:rsid w:val="00652DF3"/>
    <w:rsid w:val="00654171"/>
    <w:rsid w:val="00656F04"/>
    <w:rsid w:val="00657A02"/>
    <w:rsid w:val="0066239F"/>
    <w:rsid w:val="006645A4"/>
    <w:rsid w:val="006649B7"/>
    <w:rsid w:val="006666AB"/>
    <w:rsid w:val="00667F14"/>
    <w:rsid w:val="006709BC"/>
    <w:rsid w:val="00670A57"/>
    <w:rsid w:val="0067269E"/>
    <w:rsid w:val="006727FF"/>
    <w:rsid w:val="00672998"/>
    <w:rsid w:val="00673CCC"/>
    <w:rsid w:val="00673FCB"/>
    <w:rsid w:val="0067651A"/>
    <w:rsid w:val="00676E0E"/>
    <w:rsid w:val="006775E7"/>
    <w:rsid w:val="00681BF2"/>
    <w:rsid w:val="00683644"/>
    <w:rsid w:val="00685254"/>
    <w:rsid w:val="006867C3"/>
    <w:rsid w:val="00687F8A"/>
    <w:rsid w:val="00690073"/>
    <w:rsid w:val="006918AF"/>
    <w:rsid w:val="006922B1"/>
    <w:rsid w:val="00692B3E"/>
    <w:rsid w:val="00692DAB"/>
    <w:rsid w:val="00695482"/>
    <w:rsid w:val="0069576F"/>
    <w:rsid w:val="00696648"/>
    <w:rsid w:val="00696AB3"/>
    <w:rsid w:val="006A0695"/>
    <w:rsid w:val="006A0A4C"/>
    <w:rsid w:val="006A276F"/>
    <w:rsid w:val="006A43D8"/>
    <w:rsid w:val="006A51AD"/>
    <w:rsid w:val="006A577A"/>
    <w:rsid w:val="006A7558"/>
    <w:rsid w:val="006B0341"/>
    <w:rsid w:val="006B12CD"/>
    <w:rsid w:val="006B2663"/>
    <w:rsid w:val="006B2D27"/>
    <w:rsid w:val="006B3BA0"/>
    <w:rsid w:val="006B51B2"/>
    <w:rsid w:val="006B5B51"/>
    <w:rsid w:val="006B5C90"/>
    <w:rsid w:val="006C13DE"/>
    <w:rsid w:val="006C1CB3"/>
    <w:rsid w:val="006C2F89"/>
    <w:rsid w:val="006C3D9E"/>
    <w:rsid w:val="006C5BFB"/>
    <w:rsid w:val="006C5ED6"/>
    <w:rsid w:val="006C61FA"/>
    <w:rsid w:val="006C6325"/>
    <w:rsid w:val="006C667E"/>
    <w:rsid w:val="006C7D51"/>
    <w:rsid w:val="006D029B"/>
    <w:rsid w:val="006D0C03"/>
    <w:rsid w:val="006D2954"/>
    <w:rsid w:val="006D2F7A"/>
    <w:rsid w:val="006D3892"/>
    <w:rsid w:val="006D6309"/>
    <w:rsid w:val="006D6739"/>
    <w:rsid w:val="006E1626"/>
    <w:rsid w:val="006E301B"/>
    <w:rsid w:val="006E3381"/>
    <w:rsid w:val="006E6693"/>
    <w:rsid w:val="006E6EB9"/>
    <w:rsid w:val="006F0F5C"/>
    <w:rsid w:val="006F1890"/>
    <w:rsid w:val="006F39C3"/>
    <w:rsid w:val="006F3E3C"/>
    <w:rsid w:val="006F490A"/>
    <w:rsid w:val="006F56E7"/>
    <w:rsid w:val="006F72F4"/>
    <w:rsid w:val="007030EF"/>
    <w:rsid w:val="0070328B"/>
    <w:rsid w:val="0070335D"/>
    <w:rsid w:val="00704D60"/>
    <w:rsid w:val="00705EEE"/>
    <w:rsid w:val="007066C9"/>
    <w:rsid w:val="00706791"/>
    <w:rsid w:val="007071D3"/>
    <w:rsid w:val="007105A9"/>
    <w:rsid w:val="007110A9"/>
    <w:rsid w:val="00713AF3"/>
    <w:rsid w:val="00715F84"/>
    <w:rsid w:val="007167A0"/>
    <w:rsid w:val="00720F51"/>
    <w:rsid w:val="007246F7"/>
    <w:rsid w:val="00724BC5"/>
    <w:rsid w:val="007260B4"/>
    <w:rsid w:val="00731BE5"/>
    <w:rsid w:val="007325A2"/>
    <w:rsid w:val="007325F4"/>
    <w:rsid w:val="00735770"/>
    <w:rsid w:val="00737F79"/>
    <w:rsid w:val="007436E8"/>
    <w:rsid w:val="007453E3"/>
    <w:rsid w:val="007458F5"/>
    <w:rsid w:val="007462F3"/>
    <w:rsid w:val="0074792C"/>
    <w:rsid w:val="0075035B"/>
    <w:rsid w:val="00750C35"/>
    <w:rsid w:val="00750EC5"/>
    <w:rsid w:val="007517F4"/>
    <w:rsid w:val="00751940"/>
    <w:rsid w:val="00751EB4"/>
    <w:rsid w:val="007523F5"/>
    <w:rsid w:val="00755B13"/>
    <w:rsid w:val="00757D83"/>
    <w:rsid w:val="00763DEB"/>
    <w:rsid w:val="007643C1"/>
    <w:rsid w:val="00764AED"/>
    <w:rsid w:val="00764FD5"/>
    <w:rsid w:val="00766193"/>
    <w:rsid w:val="00772A8A"/>
    <w:rsid w:val="007735D3"/>
    <w:rsid w:val="007738FD"/>
    <w:rsid w:val="00773E07"/>
    <w:rsid w:val="00774A11"/>
    <w:rsid w:val="0078059E"/>
    <w:rsid w:val="007816D0"/>
    <w:rsid w:val="007833AC"/>
    <w:rsid w:val="00783875"/>
    <w:rsid w:val="00784A48"/>
    <w:rsid w:val="00785264"/>
    <w:rsid w:val="007852A5"/>
    <w:rsid w:val="0078773F"/>
    <w:rsid w:val="00787DA0"/>
    <w:rsid w:val="00793AF0"/>
    <w:rsid w:val="00793D04"/>
    <w:rsid w:val="00794274"/>
    <w:rsid w:val="00794CCC"/>
    <w:rsid w:val="007A0094"/>
    <w:rsid w:val="007A03A5"/>
    <w:rsid w:val="007A05BE"/>
    <w:rsid w:val="007A118B"/>
    <w:rsid w:val="007A183E"/>
    <w:rsid w:val="007A5C9A"/>
    <w:rsid w:val="007A657D"/>
    <w:rsid w:val="007A7B47"/>
    <w:rsid w:val="007B0161"/>
    <w:rsid w:val="007B18CD"/>
    <w:rsid w:val="007B1AA2"/>
    <w:rsid w:val="007B4CEB"/>
    <w:rsid w:val="007B61E0"/>
    <w:rsid w:val="007B652D"/>
    <w:rsid w:val="007B6974"/>
    <w:rsid w:val="007B6BF3"/>
    <w:rsid w:val="007B735A"/>
    <w:rsid w:val="007C00D1"/>
    <w:rsid w:val="007C2D2E"/>
    <w:rsid w:val="007C4D43"/>
    <w:rsid w:val="007C50F6"/>
    <w:rsid w:val="007C7639"/>
    <w:rsid w:val="007C7729"/>
    <w:rsid w:val="007C7D6C"/>
    <w:rsid w:val="007C7F56"/>
    <w:rsid w:val="007D1975"/>
    <w:rsid w:val="007D1DC7"/>
    <w:rsid w:val="007D2411"/>
    <w:rsid w:val="007D4CAA"/>
    <w:rsid w:val="007D720E"/>
    <w:rsid w:val="007D7487"/>
    <w:rsid w:val="007E0CA9"/>
    <w:rsid w:val="007E1742"/>
    <w:rsid w:val="007E29F2"/>
    <w:rsid w:val="007E5BF0"/>
    <w:rsid w:val="007E6351"/>
    <w:rsid w:val="007E7506"/>
    <w:rsid w:val="007F0E1A"/>
    <w:rsid w:val="007F2210"/>
    <w:rsid w:val="007F34B7"/>
    <w:rsid w:val="007F3643"/>
    <w:rsid w:val="007F43D6"/>
    <w:rsid w:val="007F7E30"/>
    <w:rsid w:val="008012B3"/>
    <w:rsid w:val="00802D3C"/>
    <w:rsid w:val="00803A0B"/>
    <w:rsid w:val="00803ECB"/>
    <w:rsid w:val="008051B3"/>
    <w:rsid w:val="0080534B"/>
    <w:rsid w:val="008060DE"/>
    <w:rsid w:val="00806CE3"/>
    <w:rsid w:val="00807797"/>
    <w:rsid w:val="008103E4"/>
    <w:rsid w:val="008104F9"/>
    <w:rsid w:val="00811DFF"/>
    <w:rsid w:val="008137B1"/>
    <w:rsid w:val="00813A76"/>
    <w:rsid w:val="00813EC1"/>
    <w:rsid w:val="00814A3D"/>
    <w:rsid w:val="00814B88"/>
    <w:rsid w:val="00815707"/>
    <w:rsid w:val="00815A46"/>
    <w:rsid w:val="0081644D"/>
    <w:rsid w:val="0081673F"/>
    <w:rsid w:val="008172CB"/>
    <w:rsid w:val="00823D17"/>
    <w:rsid w:val="00827276"/>
    <w:rsid w:val="008309BA"/>
    <w:rsid w:val="00834264"/>
    <w:rsid w:val="00834BB2"/>
    <w:rsid w:val="0083543F"/>
    <w:rsid w:val="0083643F"/>
    <w:rsid w:val="008369F9"/>
    <w:rsid w:val="00840F46"/>
    <w:rsid w:val="00842DCE"/>
    <w:rsid w:val="00845BDD"/>
    <w:rsid w:val="00846AA8"/>
    <w:rsid w:val="008539DA"/>
    <w:rsid w:val="00855A03"/>
    <w:rsid w:val="00855A20"/>
    <w:rsid w:val="00855B6C"/>
    <w:rsid w:val="008571AE"/>
    <w:rsid w:val="00857343"/>
    <w:rsid w:val="00857CF7"/>
    <w:rsid w:val="00860680"/>
    <w:rsid w:val="008617BD"/>
    <w:rsid w:val="0086256E"/>
    <w:rsid w:val="00865238"/>
    <w:rsid w:val="00867C55"/>
    <w:rsid w:val="0087184D"/>
    <w:rsid w:val="008727BA"/>
    <w:rsid w:val="00872F26"/>
    <w:rsid w:val="0087322D"/>
    <w:rsid w:val="008744FB"/>
    <w:rsid w:val="00874B06"/>
    <w:rsid w:val="00876023"/>
    <w:rsid w:val="0087762F"/>
    <w:rsid w:val="0087794E"/>
    <w:rsid w:val="008811B8"/>
    <w:rsid w:val="00881D89"/>
    <w:rsid w:val="00882481"/>
    <w:rsid w:val="008824CB"/>
    <w:rsid w:val="008835A9"/>
    <w:rsid w:val="00884809"/>
    <w:rsid w:val="00885FBD"/>
    <w:rsid w:val="00886D7F"/>
    <w:rsid w:val="0089017A"/>
    <w:rsid w:val="008968A1"/>
    <w:rsid w:val="008A0058"/>
    <w:rsid w:val="008A26FB"/>
    <w:rsid w:val="008A5988"/>
    <w:rsid w:val="008A5ADB"/>
    <w:rsid w:val="008B0261"/>
    <w:rsid w:val="008B0266"/>
    <w:rsid w:val="008B140B"/>
    <w:rsid w:val="008B1F69"/>
    <w:rsid w:val="008B385F"/>
    <w:rsid w:val="008B3D87"/>
    <w:rsid w:val="008B3ECB"/>
    <w:rsid w:val="008B413A"/>
    <w:rsid w:val="008B4250"/>
    <w:rsid w:val="008B7B35"/>
    <w:rsid w:val="008B7BFE"/>
    <w:rsid w:val="008C0DFB"/>
    <w:rsid w:val="008C1BF5"/>
    <w:rsid w:val="008C1E1E"/>
    <w:rsid w:val="008C2CB4"/>
    <w:rsid w:val="008C5032"/>
    <w:rsid w:val="008C603B"/>
    <w:rsid w:val="008C67E7"/>
    <w:rsid w:val="008C7351"/>
    <w:rsid w:val="008C79F0"/>
    <w:rsid w:val="008D06DB"/>
    <w:rsid w:val="008D12BC"/>
    <w:rsid w:val="008D16AE"/>
    <w:rsid w:val="008D2A2F"/>
    <w:rsid w:val="008D3683"/>
    <w:rsid w:val="008D3CCE"/>
    <w:rsid w:val="008D4ABC"/>
    <w:rsid w:val="008D5081"/>
    <w:rsid w:val="008D5BB5"/>
    <w:rsid w:val="008D7823"/>
    <w:rsid w:val="008E0831"/>
    <w:rsid w:val="008E08BA"/>
    <w:rsid w:val="008E39B8"/>
    <w:rsid w:val="008E3DFE"/>
    <w:rsid w:val="008E4C61"/>
    <w:rsid w:val="008E7381"/>
    <w:rsid w:val="008E7DC8"/>
    <w:rsid w:val="008F0BF5"/>
    <w:rsid w:val="008F1D9F"/>
    <w:rsid w:val="008F203F"/>
    <w:rsid w:val="008F2CCE"/>
    <w:rsid w:val="008F6C92"/>
    <w:rsid w:val="008F6E8C"/>
    <w:rsid w:val="008F7063"/>
    <w:rsid w:val="008F7356"/>
    <w:rsid w:val="008F7B37"/>
    <w:rsid w:val="00906048"/>
    <w:rsid w:val="00906AAC"/>
    <w:rsid w:val="00910E1B"/>
    <w:rsid w:val="009115A0"/>
    <w:rsid w:val="009135B1"/>
    <w:rsid w:val="0091401D"/>
    <w:rsid w:val="009141AF"/>
    <w:rsid w:val="009151DD"/>
    <w:rsid w:val="009151E7"/>
    <w:rsid w:val="00915463"/>
    <w:rsid w:val="0091619F"/>
    <w:rsid w:val="00922701"/>
    <w:rsid w:val="0092322C"/>
    <w:rsid w:val="00923AF6"/>
    <w:rsid w:val="00923BA3"/>
    <w:rsid w:val="00924D72"/>
    <w:rsid w:val="00924DE6"/>
    <w:rsid w:val="00925ECB"/>
    <w:rsid w:val="00927437"/>
    <w:rsid w:val="009304CB"/>
    <w:rsid w:val="00931FFC"/>
    <w:rsid w:val="009336A6"/>
    <w:rsid w:val="00934138"/>
    <w:rsid w:val="00934182"/>
    <w:rsid w:val="009358D5"/>
    <w:rsid w:val="009428F9"/>
    <w:rsid w:val="00945161"/>
    <w:rsid w:val="0095099E"/>
    <w:rsid w:val="00953A97"/>
    <w:rsid w:val="00957E57"/>
    <w:rsid w:val="00960344"/>
    <w:rsid w:val="00960D35"/>
    <w:rsid w:val="00962751"/>
    <w:rsid w:val="009627CF"/>
    <w:rsid w:val="00962954"/>
    <w:rsid w:val="009629E8"/>
    <w:rsid w:val="00963561"/>
    <w:rsid w:val="009660B5"/>
    <w:rsid w:val="00967182"/>
    <w:rsid w:val="009710D0"/>
    <w:rsid w:val="009722A1"/>
    <w:rsid w:val="00972DA6"/>
    <w:rsid w:val="00974E7F"/>
    <w:rsid w:val="00976E8B"/>
    <w:rsid w:val="00977BF7"/>
    <w:rsid w:val="00981040"/>
    <w:rsid w:val="00981111"/>
    <w:rsid w:val="00982D1E"/>
    <w:rsid w:val="00984EBF"/>
    <w:rsid w:val="009852C4"/>
    <w:rsid w:val="00993109"/>
    <w:rsid w:val="0099363F"/>
    <w:rsid w:val="00993C5E"/>
    <w:rsid w:val="0099426D"/>
    <w:rsid w:val="00996049"/>
    <w:rsid w:val="009A11D2"/>
    <w:rsid w:val="009A1364"/>
    <w:rsid w:val="009A24CC"/>
    <w:rsid w:val="009A30C8"/>
    <w:rsid w:val="009A36A2"/>
    <w:rsid w:val="009A47F2"/>
    <w:rsid w:val="009A4EB2"/>
    <w:rsid w:val="009A76D4"/>
    <w:rsid w:val="009A7D47"/>
    <w:rsid w:val="009B4AE4"/>
    <w:rsid w:val="009C002D"/>
    <w:rsid w:val="009C0D4B"/>
    <w:rsid w:val="009C18AB"/>
    <w:rsid w:val="009C193E"/>
    <w:rsid w:val="009C544D"/>
    <w:rsid w:val="009C7144"/>
    <w:rsid w:val="009C778E"/>
    <w:rsid w:val="009D1E82"/>
    <w:rsid w:val="009D2102"/>
    <w:rsid w:val="009D29D3"/>
    <w:rsid w:val="009D31A1"/>
    <w:rsid w:val="009D32AB"/>
    <w:rsid w:val="009D5178"/>
    <w:rsid w:val="009D6CBE"/>
    <w:rsid w:val="009D6D77"/>
    <w:rsid w:val="009D6EA8"/>
    <w:rsid w:val="009D7BAD"/>
    <w:rsid w:val="009E0105"/>
    <w:rsid w:val="009E1BE9"/>
    <w:rsid w:val="009E2D89"/>
    <w:rsid w:val="009E510D"/>
    <w:rsid w:val="009E5128"/>
    <w:rsid w:val="009E67E6"/>
    <w:rsid w:val="009F2CFA"/>
    <w:rsid w:val="009F3A47"/>
    <w:rsid w:val="009F3E31"/>
    <w:rsid w:val="009F5FC2"/>
    <w:rsid w:val="009F7E30"/>
    <w:rsid w:val="00A00F90"/>
    <w:rsid w:val="00A0221F"/>
    <w:rsid w:val="00A034F1"/>
    <w:rsid w:val="00A04076"/>
    <w:rsid w:val="00A04AC1"/>
    <w:rsid w:val="00A05355"/>
    <w:rsid w:val="00A0582D"/>
    <w:rsid w:val="00A07AC9"/>
    <w:rsid w:val="00A115C4"/>
    <w:rsid w:val="00A133D0"/>
    <w:rsid w:val="00A14B26"/>
    <w:rsid w:val="00A159BA"/>
    <w:rsid w:val="00A1602B"/>
    <w:rsid w:val="00A1634A"/>
    <w:rsid w:val="00A224D6"/>
    <w:rsid w:val="00A2288C"/>
    <w:rsid w:val="00A22E7E"/>
    <w:rsid w:val="00A251A2"/>
    <w:rsid w:val="00A26D8D"/>
    <w:rsid w:val="00A27268"/>
    <w:rsid w:val="00A27EDA"/>
    <w:rsid w:val="00A300EA"/>
    <w:rsid w:val="00A30612"/>
    <w:rsid w:val="00A3061D"/>
    <w:rsid w:val="00A30CBD"/>
    <w:rsid w:val="00A32020"/>
    <w:rsid w:val="00A345F0"/>
    <w:rsid w:val="00A34600"/>
    <w:rsid w:val="00A35985"/>
    <w:rsid w:val="00A41AB1"/>
    <w:rsid w:val="00A41E37"/>
    <w:rsid w:val="00A423E4"/>
    <w:rsid w:val="00A42633"/>
    <w:rsid w:val="00A435F0"/>
    <w:rsid w:val="00A43AE1"/>
    <w:rsid w:val="00A45BF3"/>
    <w:rsid w:val="00A466E9"/>
    <w:rsid w:val="00A4725D"/>
    <w:rsid w:val="00A5171A"/>
    <w:rsid w:val="00A519D0"/>
    <w:rsid w:val="00A51A81"/>
    <w:rsid w:val="00A52BBD"/>
    <w:rsid w:val="00A5335B"/>
    <w:rsid w:val="00A54637"/>
    <w:rsid w:val="00A55D80"/>
    <w:rsid w:val="00A56822"/>
    <w:rsid w:val="00A56F37"/>
    <w:rsid w:val="00A634C9"/>
    <w:rsid w:val="00A63B38"/>
    <w:rsid w:val="00A653C4"/>
    <w:rsid w:val="00A740CA"/>
    <w:rsid w:val="00A74B41"/>
    <w:rsid w:val="00A74C7E"/>
    <w:rsid w:val="00A750F5"/>
    <w:rsid w:val="00A75F8A"/>
    <w:rsid w:val="00A836FE"/>
    <w:rsid w:val="00A8440A"/>
    <w:rsid w:val="00A8447E"/>
    <w:rsid w:val="00A84753"/>
    <w:rsid w:val="00A84827"/>
    <w:rsid w:val="00A84971"/>
    <w:rsid w:val="00A84F86"/>
    <w:rsid w:val="00A8504F"/>
    <w:rsid w:val="00A8507D"/>
    <w:rsid w:val="00A87568"/>
    <w:rsid w:val="00A87D74"/>
    <w:rsid w:val="00A87DB5"/>
    <w:rsid w:val="00A905F2"/>
    <w:rsid w:val="00A90885"/>
    <w:rsid w:val="00A910B0"/>
    <w:rsid w:val="00A93F31"/>
    <w:rsid w:val="00A94F63"/>
    <w:rsid w:val="00A965E4"/>
    <w:rsid w:val="00A96E88"/>
    <w:rsid w:val="00AA0B81"/>
    <w:rsid w:val="00AA0C0D"/>
    <w:rsid w:val="00AA1339"/>
    <w:rsid w:val="00AA1535"/>
    <w:rsid w:val="00AA1CE8"/>
    <w:rsid w:val="00AA3922"/>
    <w:rsid w:val="00AA4A52"/>
    <w:rsid w:val="00AA66AF"/>
    <w:rsid w:val="00AA75F3"/>
    <w:rsid w:val="00AB03D4"/>
    <w:rsid w:val="00AB0418"/>
    <w:rsid w:val="00AB095F"/>
    <w:rsid w:val="00AB14EF"/>
    <w:rsid w:val="00AB54B0"/>
    <w:rsid w:val="00AB59A5"/>
    <w:rsid w:val="00AB6316"/>
    <w:rsid w:val="00AC0C15"/>
    <w:rsid w:val="00AC0FA4"/>
    <w:rsid w:val="00AC3315"/>
    <w:rsid w:val="00AC3813"/>
    <w:rsid w:val="00AD11C5"/>
    <w:rsid w:val="00AD2746"/>
    <w:rsid w:val="00AD2E46"/>
    <w:rsid w:val="00AD3101"/>
    <w:rsid w:val="00AD3195"/>
    <w:rsid w:val="00AD31E3"/>
    <w:rsid w:val="00AD3CA6"/>
    <w:rsid w:val="00AD4413"/>
    <w:rsid w:val="00AD5CA5"/>
    <w:rsid w:val="00AD6089"/>
    <w:rsid w:val="00AD6A49"/>
    <w:rsid w:val="00AD7345"/>
    <w:rsid w:val="00AE2868"/>
    <w:rsid w:val="00AE2C08"/>
    <w:rsid w:val="00AE3679"/>
    <w:rsid w:val="00AE53D4"/>
    <w:rsid w:val="00AE5CC5"/>
    <w:rsid w:val="00AE6A63"/>
    <w:rsid w:val="00AE7437"/>
    <w:rsid w:val="00AF1CF9"/>
    <w:rsid w:val="00AF2091"/>
    <w:rsid w:val="00AF5BA4"/>
    <w:rsid w:val="00AF5EC9"/>
    <w:rsid w:val="00AF7949"/>
    <w:rsid w:val="00B00687"/>
    <w:rsid w:val="00B015CB"/>
    <w:rsid w:val="00B02C7B"/>
    <w:rsid w:val="00B03214"/>
    <w:rsid w:val="00B054AA"/>
    <w:rsid w:val="00B068A7"/>
    <w:rsid w:val="00B07F09"/>
    <w:rsid w:val="00B10017"/>
    <w:rsid w:val="00B100E2"/>
    <w:rsid w:val="00B11390"/>
    <w:rsid w:val="00B116EA"/>
    <w:rsid w:val="00B13CB7"/>
    <w:rsid w:val="00B1553C"/>
    <w:rsid w:val="00B1652B"/>
    <w:rsid w:val="00B1757D"/>
    <w:rsid w:val="00B2059B"/>
    <w:rsid w:val="00B219B4"/>
    <w:rsid w:val="00B21C05"/>
    <w:rsid w:val="00B23D9B"/>
    <w:rsid w:val="00B31143"/>
    <w:rsid w:val="00B31AC0"/>
    <w:rsid w:val="00B3215C"/>
    <w:rsid w:val="00B32B10"/>
    <w:rsid w:val="00B3380C"/>
    <w:rsid w:val="00B34D94"/>
    <w:rsid w:val="00B3536F"/>
    <w:rsid w:val="00B372F1"/>
    <w:rsid w:val="00B37A61"/>
    <w:rsid w:val="00B4218C"/>
    <w:rsid w:val="00B43B29"/>
    <w:rsid w:val="00B4654C"/>
    <w:rsid w:val="00B508D3"/>
    <w:rsid w:val="00B521EE"/>
    <w:rsid w:val="00B5306C"/>
    <w:rsid w:val="00B53CE1"/>
    <w:rsid w:val="00B56004"/>
    <w:rsid w:val="00B568A8"/>
    <w:rsid w:val="00B573B4"/>
    <w:rsid w:val="00B57597"/>
    <w:rsid w:val="00B57F54"/>
    <w:rsid w:val="00B60CD3"/>
    <w:rsid w:val="00B616ED"/>
    <w:rsid w:val="00B6274C"/>
    <w:rsid w:val="00B63189"/>
    <w:rsid w:val="00B638E1"/>
    <w:rsid w:val="00B63947"/>
    <w:rsid w:val="00B63E37"/>
    <w:rsid w:val="00B6448E"/>
    <w:rsid w:val="00B64F21"/>
    <w:rsid w:val="00B664E4"/>
    <w:rsid w:val="00B66D1A"/>
    <w:rsid w:val="00B67DA1"/>
    <w:rsid w:val="00B70E87"/>
    <w:rsid w:val="00B71182"/>
    <w:rsid w:val="00B72744"/>
    <w:rsid w:val="00B746C1"/>
    <w:rsid w:val="00B75AD1"/>
    <w:rsid w:val="00B7688E"/>
    <w:rsid w:val="00B77D25"/>
    <w:rsid w:val="00B81A54"/>
    <w:rsid w:val="00B84FA5"/>
    <w:rsid w:val="00B86166"/>
    <w:rsid w:val="00B866BD"/>
    <w:rsid w:val="00B93B3C"/>
    <w:rsid w:val="00BA2C71"/>
    <w:rsid w:val="00BA3A20"/>
    <w:rsid w:val="00BA3B4D"/>
    <w:rsid w:val="00BA4DE3"/>
    <w:rsid w:val="00BA53BF"/>
    <w:rsid w:val="00BA6E02"/>
    <w:rsid w:val="00BB195E"/>
    <w:rsid w:val="00BB42EB"/>
    <w:rsid w:val="00BB4A55"/>
    <w:rsid w:val="00BB7DB4"/>
    <w:rsid w:val="00BB7DEE"/>
    <w:rsid w:val="00BC093B"/>
    <w:rsid w:val="00BC129D"/>
    <w:rsid w:val="00BC2A7B"/>
    <w:rsid w:val="00BC2F40"/>
    <w:rsid w:val="00BC40E6"/>
    <w:rsid w:val="00BC5135"/>
    <w:rsid w:val="00BC5C23"/>
    <w:rsid w:val="00BC6B69"/>
    <w:rsid w:val="00BC723E"/>
    <w:rsid w:val="00BC75D2"/>
    <w:rsid w:val="00BC7D77"/>
    <w:rsid w:val="00BD085D"/>
    <w:rsid w:val="00BD48C6"/>
    <w:rsid w:val="00BD550F"/>
    <w:rsid w:val="00BD57BC"/>
    <w:rsid w:val="00BD618E"/>
    <w:rsid w:val="00BD6321"/>
    <w:rsid w:val="00BE0E99"/>
    <w:rsid w:val="00BE15EA"/>
    <w:rsid w:val="00BE38FB"/>
    <w:rsid w:val="00BE7774"/>
    <w:rsid w:val="00BF0C67"/>
    <w:rsid w:val="00BF122F"/>
    <w:rsid w:val="00BF1514"/>
    <w:rsid w:val="00BF1645"/>
    <w:rsid w:val="00BF183D"/>
    <w:rsid w:val="00BF1BA4"/>
    <w:rsid w:val="00BF1CA1"/>
    <w:rsid w:val="00BF4048"/>
    <w:rsid w:val="00BF4932"/>
    <w:rsid w:val="00BF62F3"/>
    <w:rsid w:val="00C00014"/>
    <w:rsid w:val="00C00078"/>
    <w:rsid w:val="00C04A6A"/>
    <w:rsid w:val="00C05102"/>
    <w:rsid w:val="00C052A5"/>
    <w:rsid w:val="00C06069"/>
    <w:rsid w:val="00C068D0"/>
    <w:rsid w:val="00C11AD9"/>
    <w:rsid w:val="00C14731"/>
    <w:rsid w:val="00C14930"/>
    <w:rsid w:val="00C14CF9"/>
    <w:rsid w:val="00C15D15"/>
    <w:rsid w:val="00C15DC7"/>
    <w:rsid w:val="00C2033F"/>
    <w:rsid w:val="00C2265C"/>
    <w:rsid w:val="00C22B71"/>
    <w:rsid w:val="00C23A0A"/>
    <w:rsid w:val="00C24B15"/>
    <w:rsid w:val="00C25058"/>
    <w:rsid w:val="00C269FC"/>
    <w:rsid w:val="00C26A5D"/>
    <w:rsid w:val="00C26DBE"/>
    <w:rsid w:val="00C26F73"/>
    <w:rsid w:val="00C308D1"/>
    <w:rsid w:val="00C315DE"/>
    <w:rsid w:val="00C328D9"/>
    <w:rsid w:val="00C33465"/>
    <w:rsid w:val="00C33E3C"/>
    <w:rsid w:val="00C34674"/>
    <w:rsid w:val="00C363B6"/>
    <w:rsid w:val="00C40970"/>
    <w:rsid w:val="00C43C53"/>
    <w:rsid w:val="00C473E7"/>
    <w:rsid w:val="00C50CD9"/>
    <w:rsid w:val="00C515D5"/>
    <w:rsid w:val="00C52BCF"/>
    <w:rsid w:val="00C56268"/>
    <w:rsid w:val="00C56F68"/>
    <w:rsid w:val="00C57254"/>
    <w:rsid w:val="00C604EE"/>
    <w:rsid w:val="00C609AF"/>
    <w:rsid w:val="00C62D2E"/>
    <w:rsid w:val="00C637B5"/>
    <w:rsid w:val="00C64B57"/>
    <w:rsid w:val="00C652C9"/>
    <w:rsid w:val="00C66CA2"/>
    <w:rsid w:val="00C70A7A"/>
    <w:rsid w:val="00C70CEA"/>
    <w:rsid w:val="00C70FE7"/>
    <w:rsid w:val="00C713F1"/>
    <w:rsid w:val="00C71DD9"/>
    <w:rsid w:val="00C72B99"/>
    <w:rsid w:val="00C7710E"/>
    <w:rsid w:val="00C77BBD"/>
    <w:rsid w:val="00C8570C"/>
    <w:rsid w:val="00C87BF2"/>
    <w:rsid w:val="00C87E57"/>
    <w:rsid w:val="00C90B43"/>
    <w:rsid w:val="00C90CBA"/>
    <w:rsid w:val="00C91A56"/>
    <w:rsid w:val="00C91DBD"/>
    <w:rsid w:val="00C93062"/>
    <w:rsid w:val="00C9393A"/>
    <w:rsid w:val="00C945BC"/>
    <w:rsid w:val="00C95C79"/>
    <w:rsid w:val="00C97935"/>
    <w:rsid w:val="00CA0234"/>
    <w:rsid w:val="00CA18C5"/>
    <w:rsid w:val="00CA1F4E"/>
    <w:rsid w:val="00CA242B"/>
    <w:rsid w:val="00CA2811"/>
    <w:rsid w:val="00CA55CB"/>
    <w:rsid w:val="00CA68D5"/>
    <w:rsid w:val="00CB2074"/>
    <w:rsid w:val="00CB4955"/>
    <w:rsid w:val="00CB5985"/>
    <w:rsid w:val="00CB6FC3"/>
    <w:rsid w:val="00CC1117"/>
    <w:rsid w:val="00CC30F4"/>
    <w:rsid w:val="00CC35A4"/>
    <w:rsid w:val="00CC514B"/>
    <w:rsid w:val="00CC5DC4"/>
    <w:rsid w:val="00CC629B"/>
    <w:rsid w:val="00CC6E81"/>
    <w:rsid w:val="00CC7CFA"/>
    <w:rsid w:val="00CD0C1C"/>
    <w:rsid w:val="00CD1575"/>
    <w:rsid w:val="00CD33E4"/>
    <w:rsid w:val="00CD39E6"/>
    <w:rsid w:val="00CD4AB2"/>
    <w:rsid w:val="00CD4DD4"/>
    <w:rsid w:val="00CD51CE"/>
    <w:rsid w:val="00CD590C"/>
    <w:rsid w:val="00CE0E91"/>
    <w:rsid w:val="00CE17A9"/>
    <w:rsid w:val="00CE3C2F"/>
    <w:rsid w:val="00CE3F09"/>
    <w:rsid w:val="00CE4420"/>
    <w:rsid w:val="00CE7352"/>
    <w:rsid w:val="00CF327E"/>
    <w:rsid w:val="00CF4548"/>
    <w:rsid w:val="00CF47E7"/>
    <w:rsid w:val="00CF7442"/>
    <w:rsid w:val="00CF7F8E"/>
    <w:rsid w:val="00D01842"/>
    <w:rsid w:val="00D02B32"/>
    <w:rsid w:val="00D03BC7"/>
    <w:rsid w:val="00D0416E"/>
    <w:rsid w:val="00D0572E"/>
    <w:rsid w:val="00D0619F"/>
    <w:rsid w:val="00D06737"/>
    <w:rsid w:val="00D10171"/>
    <w:rsid w:val="00D12998"/>
    <w:rsid w:val="00D13DD4"/>
    <w:rsid w:val="00D14C69"/>
    <w:rsid w:val="00D15394"/>
    <w:rsid w:val="00D15EDB"/>
    <w:rsid w:val="00D162C7"/>
    <w:rsid w:val="00D16608"/>
    <w:rsid w:val="00D212F4"/>
    <w:rsid w:val="00D229DE"/>
    <w:rsid w:val="00D24048"/>
    <w:rsid w:val="00D244AC"/>
    <w:rsid w:val="00D2507B"/>
    <w:rsid w:val="00D25416"/>
    <w:rsid w:val="00D26769"/>
    <w:rsid w:val="00D268FF"/>
    <w:rsid w:val="00D30ED3"/>
    <w:rsid w:val="00D3183D"/>
    <w:rsid w:val="00D347BB"/>
    <w:rsid w:val="00D35658"/>
    <w:rsid w:val="00D35CB3"/>
    <w:rsid w:val="00D43BED"/>
    <w:rsid w:val="00D45923"/>
    <w:rsid w:val="00D45E74"/>
    <w:rsid w:val="00D45F55"/>
    <w:rsid w:val="00D465FD"/>
    <w:rsid w:val="00D51349"/>
    <w:rsid w:val="00D51765"/>
    <w:rsid w:val="00D52A6E"/>
    <w:rsid w:val="00D533FC"/>
    <w:rsid w:val="00D56FDA"/>
    <w:rsid w:val="00D63C56"/>
    <w:rsid w:val="00D64A36"/>
    <w:rsid w:val="00D65F62"/>
    <w:rsid w:val="00D672DE"/>
    <w:rsid w:val="00D67CE4"/>
    <w:rsid w:val="00D71A2D"/>
    <w:rsid w:val="00D724B8"/>
    <w:rsid w:val="00D740C4"/>
    <w:rsid w:val="00D75ED2"/>
    <w:rsid w:val="00D80C6A"/>
    <w:rsid w:val="00D81163"/>
    <w:rsid w:val="00D844CF"/>
    <w:rsid w:val="00D8589F"/>
    <w:rsid w:val="00D87C8B"/>
    <w:rsid w:val="00D901F0"/>
    <w:rsid w:val="00D90375"/>
    <w:rsid w:val="00D9068C"/>
    <w:rsid w:val="00D95F07"/>
    <w:rsid w:val="00D972FD"/>
    <w:rsid w:val="00DA366B"/>
    <w:rsid w:val="00DA4209"/>
    <w:rsid w:val="00DA46C3"/>
    <w:rsid w:val="00DA49EA"/>
    <w:rsid w:val="00DA4DCD"/>
    <w:rsid w:val="00DA7774"/>
    <w:rsid w:val="00DA7895"/>
    <w:rsid w:val="00DB067A"/>
    <w:rsid w:val="00DB2A14"/>
    <w:rsid w:val="00DB2CAE"/>
    <w:rsid w:val="00DB3AAC"/>
    <w:rsid w:val="00DB3E69"/>
    <w:rsid w:val="00DB3EB9"/>
    <w:rsid w:val="00DB4D44"/>
    <w:rsid w:val="00DB5C8E"/>
    <w:rsid w:val="00DB5F27"/>
    <w:rsid w:val="00DB6AC9"/>
    <w:rsid w:val="00DC1B09"/>
    <w:rsid w:val="00DC1DF4"/>
    <w:rsid w:val="00DC315A"/>
    <w:rsid w:val="00DC4DEC"/>
    <w:rsid w:val="00DC5808"/>
    <w:rsid w:val="00DC7392"/>
    <w:rsid w:val="00DC7504"/>
    <w:rsid w:val="00DC7FBA"/>
    <w:rsid w:val="00DD0305"/>
    <w:rsid w:val="00DD1FA6"/>
    <w:rsid w:val="00DD42F5"/>
    <w:rsid w:val="00DD5086"/>
    <w:rsid w:val="00DD6DBC"/>
    <w:rsid w:val="00DE0EFF"/>
    <w:rsid w:val="00DE1667"/>
    <w:rsid w:val="00DE24F3"/>
    <w:rsid w:val="00DE3A5B"/>
    <w:rsid w:val="00DE40BB"/>
    <w:rsid w:val="00DE4B6C"/>
    <w:rsid w:val="00DE4E5A"/>
    <w:rsid w:val="00DE6772"/>
    <w:rsid w:val="00DF0005"/>
    <w:rsid w:val="00DF0081"/>
    <w:rsid w:val="00DF06B4"/>
    <w:rsid w:val="00DF1A2D"/>
    <w:rsid w:val="00DF1A88"/>
    <w:rsid w:val="00DF2D32"/>
    <w:rsid w:val="00DF493E"/>
    <w:rsid w:val="00E0100C"/>
    <w:rsid w:val="00E014ED"/>
    <w:rsid w:val="00E0172E"/>
    <w:rsid w:val="00E027CB"/>
    <w:rsid w:val="00E06076"/>
    <w:rsid w:val="00E069EE"/>
    <w:rsid w:val="00E0756E"/>
    <w:rsid w:val="00E0773A"/>
    <w:rsid w:val="00E0785C"/>
    <w:rsid w:val="00E1114C"/>
    <w:rsid w:val="00E123F7"/>
    <w:rsid w:val="00E14AB9"/>
    <w:rsid w:val="00E14C97"/>
    <w:rsid w:val="00E14F84"/>
    <w:rsid w:val="00E1667D"/>
    <w:rsid w:val="00E16BA0"/>
    <w:rsid w:val="00E16C50"/>
    <w:rsid w:val="00E23A11"/>
    <w:rsid w:val="00E263D5"/>
    <w:rsid w:val="00E27BAF"/>
    <w:rsid w:val="00E27FE1"/>
    <w:rsid w:val="00E30787"/>
    <w:rsid w:val="00E30D10"/>
    <w:rsid w:val="00E312B4"/>
    <w:rsid w:val="00E31BAC"/>
    <w:rsid w:val="00E32094"/>
    <w:rsid w:val="00E324E6"/>
    <w:rsid w:val="00E32F77"/>
    <w:rsid w:val="00E3380E"/>
    <w:rsid w:val="00E36705"/>
    <w:rsid w:val="00E3705F"/>
    <w:rsid w:val="00E37F67"/>
    <w:rsid w:val="00E42B0D"/>
    <w:rsid w:val="00E43E19"/>
    <w:rsid w:val="00E44D2F"/>
    <w:rsid w:val="00E45B60"/>
    <w:rsid w:val="00E45E7C"/>
    <w:rsid w:val="00E468EF"/>
    <w:rsid w:val="00E473AA"/>
    <w:rsid w:val="00E5045E"/>
    <w:rsid w:val="00E52BB3"/>
    <w:rsid w:val="00E52D3F"/>
    <w:rsid w:val="00E53509"/>
    <w:rsid w:val="00E53809"/>
    <w:rsid w:val="00E54233"/>
    <w:rsid w:val="00E54FDD"/>
    <w:rsid w:val="00E5674D"/>
    <w:rsid w:val="00E57D1D"/>
    <w:rsid w:val="00E612BA"/>
    <w:rsid w:val="00E66357"/>
    <w:rsid w:val="00E67D1B"/>
    <w:rsid w:val="00E700A0"/>
    <w:rsid w:val="00E7015F"/>
    <w:rsid w:val="00E70F57"/>
    <w:rsid w:val="00E7271C"/>
    <w:rsid w:val="00E73374"/>
    <w:rsid w:val="00E73DBA"/>
    <w:rsid w:val="00E73E95"/>
    <w:rsid w:val="00E7454B"/>
    <w:rsid w:val="00E74F41"/>
    <w:rsid w:val="00E7697C"/>
    <w:rsid w:val="00E76C55"/>
    <w:rsid w:val="00E77749"/>
    <w:rsid w:val="00E77F59"/>
    <w:rsid w:val="00E808E5"/>
    <w:rsid w:val="00E81329"/>
    <w:rsid w:val="00E82DCA"/>
    <w:rsid w:val="00E83F6A"/>
    <w:rsid w:val="00E85385"/>
    <w:rsid w:val="00E85696"/>
    <w:rsid w:val="00E85BD0"/>
    <w:rsid w:val="00E86877"/>
    <w:rsid w:val="00E8728E"/>
    <w:rsid w:val="00E8749E"/>
    <w:rsid w:val="00E912C0"/>
    <w:rsid w:val="00E91680"/>
    <w:rsid w:val="00E91D27"/>
    <w:rsid w:val="00E9237A"/>
    <w:rsid w:val="00E930E8"/>
    <w:rsid w:val="00E95D91"/>
    <w:rsid w:val="00EA2B9D"/>
    <w:rsid w:val="00EA48CB"/>
    <w:rsid w:val="00EA574B"/>
    <w:rsid w:val="00EA5DD7"/>
    <w:rsid w:val="00EB1D9B"/>
    <w:rsid w:val="00EB2E9B"/>
    <w:rsid w:val="00EB57D8"/>
    <w:rsid w:val="00EC06A5"/>
    <w:rsid w:val="00EC0D46"/>
    <w:rsid w:val="00EC1E16"/>
    <w:rsid w:val="00EC2659"/>
    <w:rsid w:val="00EC33AD"/>
    <w:rsid w:val="00EC3B00"/>
    <w:rsid w:val="00EC55FA"/>
    <w:rsid w:val="00EC569C"/>
    <w:rsid w:val="00EC70AC"/>
    <w:rsid w:val="00ED220E"/>
    <w:rsid w:val="00ED47B7"/>
    <w:rsid w:val="00ED4CC8"/>
    <w:rsid w:val="00ED5C67"/>
    <w:rsid w:val="00EE0E2F"/>
    <w:rsid w:val="00EE1E14"/>
    <w:rsid w:val="00EE352F"/>
    <w:rsid w:val="00EE4A35"/>
    <w:rsid w:val="00EE5251"/>
    <w:rsid w:val="00EE7D55"/>
    <w:rsid w:val="00EF00A1"/>
    <w:rsid w:val="00EF00CE"/>
    <w:rsid w:val="00EF0727"/>
    <w:rsid w:val="00EF0B53"/>
    <w:rsid w:val="00EF1E8E"/>
    <w:rsid w:val="00EF25AC"/>
    <w:rsid w:val="00EF3272"/>
    <w:rsid w:val="00EF3548"/>
    <w:rsid w:val="00EF47C1"/>
    <w:rsid w:val="00EF4D7E"/>
    <w:rsid w:val="00EF5548"/>
    <w:rsid w:val="00EF5A86"/>
    <w:rsid w:val="00EF65D5"/>
    <w:rsid w:val="00EF6C2C"/>
    <w:rsid w:val="00EF71F4"/>
    <w:rsid w:val="00EF75A1"/>
    <w:rsid w:val="00F012D3"/>
    <w:rsid w:val="00F022C6"/>
    <w:rsid w:val="00F05BCC"/>
    <w:rsid w:val="00F05D52"/>
    <w:rsid w:val="00F07325"/>
    <w:rsid w:val="00F07C55"/>
    <w:rsid w:val="00F1014B"/>
    <w:rsid w:val="00F11AA2"/>
    <w:rsid w:val="00F11E75"/>
    <w:rsid w:val="00F12679"/>
    <w:rsid w:val="00F145DF"/>
    <w:rsid w:val="00F16559"/>
    <w:rsid w:val="00F1711D"/>
    <w:rsid w:val="00F22D76"/>
    <w:rsid w:val="00F22E1C"/>
    <w:rsid w:val="00F238C7"/>
    <w:rsid w:val="00F247AD"/>
    <w:rsid w:val="00F268BA"/>
    <w:rsid w:val="00F27CF5"/>
    <w:rsid w:val="00F3306E"/>
    <w:rsid w:val="00F34DA7"/>
    <w:rsid w:val="00F375C9"/>
    <w:rsid w:val="00F4024B"/>
    <w:rsid w:val="00F42057"/>
    <w:rsid w:val="00F43522"/>
    <w:rsid w:val="00F445EC"/>
    <w:rsid w:val="00F46F5B"/>
    <w:rsid w:val="00F512E1"/>
    <w:rsid w:val="00F52BA3"/>
    <w:rsid w:val="00F54118"/>
    <w:rsid w:val="00F54D89"/>
    <w:rsid w:val="00F55BEF"/>
    <w:rsid w:val="00F56398"/>
    <w:rsid w:val="00F6165C"/>
    <w:rsid w:val="00F62042"/>
    <w:rsid w:val="00F628A8"/>
    <w:rsid w:val="00F62C0C"/>
    <w:rsid w:val="00F63A43"/>
    <w:rsid w:val="00F640CE"/>
    <w:rsid w:val="00F64CF5"/>
    <w:rsid w:val="00F7038B"/>
    <w:rsid w:val="00F738AA"/>
    <w:rsid w:val="00F74A20"/>
    <w:rsid w:val="00F75303"/>
    <w:rsid w:val="00F76435"/>
    <w:rsid w:val="00F80703"/>
    <w:rsid w:val="00F810EF"/>
    <w:rsid w:val="00F81A94"/>
    <w:rsid w:val="00F823D1"/>
    <w:rsid w:val="00F84472"/>
    <w:rsid w:val="00F84C57"/>
    <w:rsid w:val="00F85B31"/>
    <w:rsid w:val="00F86677"/>
    <w:rsid w:val="00F86768"/>
    <w:rsid w:val="00F86C0D"/>
    <w:rsid w:val="00F90BC8"/>
    <w:rsid w:val="00F91FC7"/>
    <w:rsid w:val="00F957FA"/>
    <w:rsid w:val="00F97191"/>
    <w:rsid w:val="00FA043C"/>
    <w:rsid w:val="00FA0F28"/>
    <w:rsid w:val="00FA38AC"/>
    <w:rsid w:val="00FA6005"/>
    <w:rsid w:val="00FA6119"/>
    <w:rsid w:val="00FA6980"/>
    <w:rsid w:val="00FB16EF"/>
    <w:rsid w:val="00FB3338"/>
    <w:rsid w:val="00FB3F63"/>
    <w:rsid w:val="00FB5BC8"/>
    <w:rsid w:val="00FB5CAF"/>
    <w:rsid w:val="00FB6606"/>
    <w:rsid w:val="00FC2887"/>
    <w:rsid w:val="00FC2D74"/>
    <w:rsid w:val="00FC30FF"/>
    <w:rsid w:val="00FC4079"/>
    <w:rsid w:val="00FD1D7F"/>
    <w:rsid w:val="00FD4BE7"/>
    <w:rsid w:val="00FD565B"/>
    <w:rsid w:val="00FD6B49"/>
    <w:rsid w:val="00FD7518"/>
    <w:rsid w:val="00FE008E"/>
    <w:rsid w:val="00FE0744"/>
    <w:rsid w:val="00FE18E8"/>
    <w:rsid w:val="00FE3561"/>
    <w:rsid w:val="00FE3697"/>
    <w:rsid w:val="00FE36D9"/>
    <w:rsid w:val="00FE3CFA"/>
    <w:rsid w:val="00FE544D"/>
    <w:rsid w:val="00FE581D"/>
    <w:rsid w:val="00FE5B20"/>
    <w:rsid w:val="00FE66AE"/>
    <w:rsid w:val="00FE7088"/>
    <w:rsid w:val="00FF117E"/>
    <w:rsid w:val="00FF1573"/>
    <w:rsid w:val="00FF250B"/>
    <w:rsid w:val="00FF30A2"/>
    <w:rsid w:val="00FF46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70D9B"/>
  <w15:chartTrackingRefBased/>
  <w15:docId w15:val="{2C652337-61C4-4283-BD0A-F912A93C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410"/>
    <w:pPr>
      <w:spacing w:after="160" w:line="259" w:lineRule="auto"/>
    </w:pPr>
    <w:rPr>
      <w:sz w:val="22"/>
      <w:szCs w:val="22"/>
      <w:lang w:eastAsia="en-US"/>
    </w:rPr>
  </w:style>
  <w:style w:type="paragraph" w:styleId="Heading1">
    <w:name w:val="heading 1"/>
    <w:basedOn w:val="Normal"/>
    <w:next w:val="Normal"/>
    <w:link w:val="Heading1Char"/>
    <w:uiPriority w:val="9"/>
    <w:qFormat/>
    <w:rsid w:val="00F268BA"/>
    <w:pPr>
      <w:keepNext/>
      <w:keepLines/>
      <w:tabs>
        <w:tab w:val="left" w:pos="2694"/>
      </w:tabs>
      <w:spacing w:before="120" w:after="120" w:line="240" w:lineRule="auto"/>
      <w:outlineLvl w:val="0"/>
    </w:pPr>
    <w:rPr>
      <w:rFonts w:ascii="Times New Roman" w:eastAsiaTheme="majorEastAsia" w:hAnsi="Times New Roman"/>
      <w:b/>
      <w:sz w:val="28"/>
      <w:szCs w:val="32"/>
    </w:rPr>
  </w:style>
  <w:style w:type="paragraph" w:styleId="Heading2">
    <w:name w:val="heading 2"/>
    <w:basedOn w:val="Normal"/>
    <w:next w:val="Normal"/>
    <w:link w:val="Heading2Char"/>
    <w:uiPriority w:val="9"/>
    <w:unhideWhenUsed/>
    <w:qFormat/>
    <w:rsid w:val="00316396"/>
    <w:pPr>
      <w:keepNext/>
      <w:keepLines/>
      <w:numPr>
        <w:ilvl w:val="1"/>
        <w:numId w:val="4"/>
      </w:numPr>
      <w:spacing w:before="40" w:after="0"/>
      <w:ind w:left="680" w:hanging="567"/>
      <w:outlineLvl w:val="1"/>
    </w:pPr>
    <w:rPr>
      <w:rFonts w:ascii="Times New Roman" w:eastAsiaTheme="majorEastAsia" w:hAnsi="Times New Roman"/>
      <w:b/>
      <w:sz w:val="26"/>
      <w:szCs w:val="26"/>
    </w:rPr>
  </w:style>
  <w:style w:type="paragraph" w:styleId="Heading3">
    <w:name w:val="heading 3"/>
    <w:basedOn w:val="Normal"/>
    <w:next w:val="Normal"/>
    <w:link w:val="Heading3Char"/>
    <w:uiPriority w:val="9"/>
    <w:unhideWhenUsed/>
    <w:qFormat/>
    <w:rsid w:val="00316396"/>
    <w:pPr>
      <w:keepNext/>
      <w:keepLines/>
      <w:numPr>
        <w:ilvl w:val="2"/>
        <w:numId w:val="4"/>
      </w:numPr>
      <w:spacing w:before="120" w:after="120" w:line="240" w:lineRule="auto"/>
      <w:ind w:left="680" w:hanging="680"/>
      <w:jc w:val="both"/>
      <w:outlineLvl w:val="2"/>
    </w:pPr>
    <w:rPr>
      <w:rFonts w:ascii="Times New Roman" w:eastAsiaTheme="majorEastAsia" w:hAnsi="Times New Roman"/>
      <w:sz w:val="24"/>
      <w:szCs w:val="24"/>
      <w:u w:val="single"/>
      <w:lang w:eastAsia="lv-LV"/>
    </w:rPr>
  </w:style>
  <w:style w:type="paragraph" w:styleId="Heading4">
    <w:name w:val="heading 4"/>
    <w:basedOn w:val="Normal"/>
    <w:next w:val="Normal"/>
    <w:link w:val="Heading4Char"/>
    <w:uiPriority w:val="9"/>
    <w:unhideWhenUsed/>
    <w:qFormat/>
    <w:rsid w:val="00316396"/>
    <w:pPr>
      <w:keepNext/>
      <w:keepLines/>
      <w:numPr>
        <w:ilvl w:val="3"/>
        <w:numId w:val="4"/>
      </w:numPr>
      <w:tabs>
        <w:tab w:val="left" w:pos="993"/>
      </w:tabs>
      <w:spacing w:before="120" w:after="120" w:line="240" w:lineRule="auto"/>
      <w:ind w:left="0" w:firstLine="0"/>
      <w:outlineLvl w:val="3"/>
    </w:pPr>
    <w:rPr>
      <w:rFonts w:ascii="Times New Roman" w:eastAsiaTheme="majorEastAsia"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BD0"/>
  </w:style>
  <w:style w:type="paragraph" w:styleId="Footer">
    <w:name w:val="footer"/>
    <w:basedOn w:val="Normal"/>
    <w:link w:val="FooterChar"/>
    <w:uiPriority w:val="99"/>
    <w:unhideWhenUsed/>
    <w:rsid w:val="00E85B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BD0"/>
  </w:style>
  <w:style w:type="character" w:styleId="CommentReference">
    <w:name w:val="annotation reference"/>
    <w:uiPriority w:val="99"/>
    <w:semiHidden/>
    <w:unhideWhenUsed/>
    <w:rsid w:val="00DA49EA"/>
    <w:rPr>
      <w:sz w:val="16"/>
      <w:szCs w:val="16"/>
    </w:rPr>
  </w:style>
  <w:style w:type="paragraph" w:styleId="CommentText">
    <w:name w:val="annotation text"/>
    <w:basedOn w:val="Normal"/>
    <w:link w:val="CommentTextChar"/>
    <w:uiPriority w:val="99"/>
    <w:unhideWhenUsed/>
    <w:rsid w:val="00DA49EA"/>
    <w:pPr>
      <w:spacing w:line="240" w:lineRule="auto"/>
    </w:pPr>
    <w:rPr>
      <w:sz w:val="20"/>
      <w:szCs w:val="20"/>
    </w:rPr>
  </w:style>
  <w:style w:type="character" w:customStyle="1" w:styleId="CommentTextChar">
    <w:name w:val="Comment Text Char"/>
    <w:link w:val="CommentText"/>
    <w:uiPriority w:val="99"/>
    <w:rsid w:val="00DA49EA"/>
    <w:rPr>
      <w:sz w:val="20"/>
      <w:szCs w:val="20"/>
    </w:rPr>
  </w:style>
  <w:style w:type="paragraph" w:styleId="CommentSubject">
    <w:name w:val="annotation subject"/>
    <w:basedOn w:val="CommentText"/>
    <w:next w:val="CommentText"/>
    <w:link w:val="CommentSubjectChar"/>
    <w:uiPriority w:val="99"/>
    <w:semiHidden/>
    <w:unhideWhenUsed/>
    <w:rsid w:val="00DA49EA"/>
    <w:rPr>
      <w:b/>
      <w:bCs/>
    </w:rPr>
  </w:style>
  <w:style w:type="character" w:customStyle="1" w:styleId="CommentSubjectChar">
    <w:name w:val="Comment Subject Char"/>
    <w:link w:val="CommentSubject"/>
    <w:uiPriority w:val="99"/>
    <w:semiHidden/>
    <w:rsid w:val="00DA49EA"/>
    <w:rPr>
      <w:b/>
      <w:bCs/>
      <w:sz w:val="20"/>
      <w:szCs w:val="20"/>
    </w:rPr>
  </w:style>
  <w:style w:type="paragraph" w:styleId="BalloonText">
    <w:name w:val="Balloon Text"/>
    <w:basedOn w:val="Normal"/>
    <w:link w:val="BalloonTextChar"/>
    <w:uiPriority w:val="99"/>
    <w:semiHidden/>
    <w:unhideWhenUsed/>
    <w:rsid w:val="00DA49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49EA"/>
    <w:rPr>
      <w:rFonts w:ascii="Segoe UI" w:hAnsi="Segoe UI" w:cs="Segoe UI"/>
      <w:sz w:val="18"/>
      <w:szCs w:val="18"/>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link w:val="FootnotesymbolCarZchn"/>
    <w:uiPriority w:val="99"/>
    <w:unhideWhenUsed/>
    <w:qFormat/>
    <w:rsid w:val="00FC4079"/>
    <w:rPr>
      <w:vertAlign w:val="superscript"/>
    </w:r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FC4079"/>
    <w:pPr>
      <w:spacing w:line="240" w:lineRule="exact"/>
      <w:jc w:val="both"/>
    </w:pPr>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1"/>
    <w:uiPriority w:val="99"/>
    <w:qFormat/>
    <w:rsid w:val="00A75F8A"/>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Fußnotentext Char Char1,Fußnotentext Char1 Char1 Char,Fußnotentext Char Char Char Char Char,Fußnotentext Char1 Char Char Char Char1,Fußnotentext Char1 Char Char Char Char Char,Fußn Char1,Fußnotentext Char Char Char Char Char Char Char"/>
    <w:uiPriority w:val="99"/>
    <w:qFormat/>
    <w:rsid w:val="00A75F8A"/>
    <w:rPr>
      <w:sz w:val="20"/>
      <w:szCs w:val="20"/>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link w:val="FootnoteText"/>
    <w:uiPriority w:val="99"/>
    <w:locked/>
    <w:rsid w:val="00A75F8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A75F8A"/>
    <w:pPr>
      <w:spacing w:line="240" w:lineRule="exact"/>
      <w:jc w:val="both"/>
      <w:textAlignment w:val="baseline"/>
    </w:pPr>
    <w:rPr>
      <w:vertAlign w:val="superscript"/>
      <w:lang w:eastAsia="lv-LV"/>
    </w:rPr>
  </w:style>
  <w:style w:type="character" w:styleId="Hyperlink">
    <w:name w:val="Hyperlink"/>
    <w:uiPriority w:val="99"/>
    <w:unhideWhenUsed/>
    <w:rsid w:val="00062FDA"/>
    <w:rPr>
      <w:color w:val="0563C1"/>
      <w:u w:val="single"/>
    </w:rPr>
  </w:style>
  <w:style w:type="character" w:styleId="FollowedHyperlink">
    <w:name w:val="FollowedHyperlink"/>
    <w:uiPriority w:val="99"/>
    <w:semiHidden/>
    <w:unhideWhenUsed/>
    <w:rsid w:val="007735D3"/>
    <w:rPr>
      <w:color w:val="954F72"/>
      <w:u w:val="single"/>
    </w:rPr>
  </w:style>
  <w:style w:type="table" w:styleId="TableGrid">
    <w:name w:val="Table Grid"/>
    <w:basedOn w:val="TableNormal"/>
    <w:uiPriority w:val="39"/>
    <w:rsid w:val="00C52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23A11"/>
    <w:pPr>
      <w:ind w:left="720"/>
      <w:contextualSpacing/>
    </w:pPr>
  </w:style>
  <w:style w:type="paragraph" w:styleId="BodyText">
    <w:name w:val="Body Text"/>
    <w:basedOn w:val="Normal"/>
    <w:link w:val="BodyTextChar"/>
    <w:semiHidden/>
    <w:unhideWhenUsed/>
    <w:rsid w:val="00280894"/>
    <w:pPr>
      <w:spacing w:after="0" w:line="240" w:lineRule="auto"/>
      <w:jc w:val="center"/>
    </w:pPr>
    <w:rPr>
      <w:rFonts w:ascii="Times New Roman" w:eastAsia="Times New Roman" w:hAnsi="Times New Roman"/>
      <w:b/>
      <w:bCs/>
      <w:sz w:val="28"/>
      <w:szCs w:val="28"/>
      <w:lang w:eastAsia="lv-LV"/>
    </w:rPr>
  </w:style>
  <w:style w:type="character" w:customStyle="1" w:styleId="BodyTextChar">
    <w:name w:val="Body Text Char"/>
    <w:link w:val="BodyText"/>
    <w:semiHidden/>
    <w:rsid w:val="00280894"/>
    <w:rPr>
      <w:rFonts w:ascii="Times New Roman" w:eastAsia="Times New Roman" w:hAnsi="Times New Roman" w:cs="Times New Roman"/>
      <w:b/>
      <w:bCs/>
      <w:sz w:val="28"/>
      <w:szCs w:val="28"/>
      <w:lang w:eastAsia="lv-LV"/>
    </w:rPr>
  </w:style>
  <w:style w:type="character" w:customStyle="1" w:styleId="spelle">
    <w:name w:val="spelle"/>
    <w:basedOn w:val="DefaultParagraphFont"/>
    <w:rsid w:val="009D29D3"/>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2B32F1"/>
    <w:rPr>
      <w:sz w:val="22"/>
      <w:szCs w:val="22"/>
      <w:lang w:eastAsia="en-US"/>
    </w:rPr>
  </w:style>
  <w:style w:type="paragraph" w:customStyle="1" w:styleId="Default">
    <w:name w:val="Default"/>
    <w:link w:val="DefaultChar"/>
    <w:rsid w:val="000A4FBB"/>
    <w:pPr>
      <w:autoSpaceDE w:val="0"/>
      <w:autoSpaceDN w:val="0"/>
      <w:adjustRightInd w:val="0"/>
    </w:pPr>
    <w:rPr>
      <w:rFonts w:ascii="Times New Roman" w:eastAsiaTheme="minorHAnsi" w:hAnsi="Times New Roman"/>
      <w:color w:val="000000"/>
      <w:sz w:val="24"/>
      <w:szCs w:val="24"/>
      <w:lang w:eastAsia="en-US"/>
    </w:rPr>
  </w:style>
  <w:style w:type="character" w:customStyle="1" w:styleId="DefaultChar">
    <w:name w:val="Default Char"/>
    <w:link w:val="Default"/>
    <w:rsid w:val="000A4FBB"/>
    <w:rPr>
      <w:rFonts w:ascii="Times New Roman" w:eastAsiaTheme="minorHAnsi" w:hAnsi="Times New Roman"/>
      <w:color w:val="000000"/>
      <w:sz w:val="24"/>
      <w:szCs w:val="24"/>
      <w:lang w:eastAsia="en-US"/>
    </w:rPr>
  </w:style>
  <w:style w:type="character" w:customStyle="1" w:styleId="normaltextrun">
    <w:name w:val="normaltextrun"/>
    <w:basedOn w:val="DefaultParagraphFont"/>
    <w:rsid w:val="00E44D2F"/>
  </w:style>
  <w:style w:type="paragraph" w:customStyle="1" w:styleId="paragraph">
    <w:name w:val="paragraph"/>
    <w:basedOn w:val="Normal"/>
    <w:rsid w:val="00E44D2F"/>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aliases w:val="Beschriftung Char"/>
    <w:basedOn w:val="Normal"/>
    <w:next w:val="Normal"/>
    <w:link w:val="CaptionChar"/>
    <w:uiPriority w:val="35"/>
    <w:unhideWhenUsed/>
    <w:qFormat/>
    <w:rsid w:val="00F54118"/>
    <w:pPr>
      <w:keepNext/>
      <w:spacing w:before="120" w:after="120" w:line="240" w:lineRule="auto"/>
      <w:jc w:val="center"/>
    </w:pPr>
    <w:rPr>
      <w:rFonts w:ascii="Times New Roman" w:eastAsiaTheme="majorEastAsia" w:hAnsi="Times New Roman"/>
      <w:b/>
      <w:iCs/>
      <w:sz w:val="20"/>
      <w:szCs w:val="20"/>
    </w:rPr>
  </w:style>
  <w:style w:type="character" w:customStyle="1" w:styleId="CaptionChar">
    <w:name w:val="Caption Char"/>
    <w:aliases w:val="Beschriftung Char Char"/>
    <w:link w:val="Caption"/>
    <w:uiPriority w:val="35"/>
    <w:rsid w:val="00F54118"/>
    <w:rPr>
      <w:rFonts w:ascii="Times New Roman" w:eastAsiaTheme="majorEastAsia" w:hAnsi="Times New Roman"/>
      <w:b/>
      <w:iCs/>
      <w:lang w:eastAsia="en-US"/>
    </w:rPr>
  </w:style>
  <w:style w:type="character" w:customStyle="1" w:styleId="Heading1Char">
    <w:name w:val="Heading 1 Char"/>
    <w:basedOn w:val="DefaultParagraphFont"/>
    <w:link w:val="Heading1"/>
    <w:uiPriority w:val="9"/>
    <w:rsid w:val="00316396"/>
    <w:rPr>
      <w:rFonts w:ascii="Times New Roman" w:eastAsiaTheme="majorEastAsia" w:hAnsi="Times New Roman"/>
      <w:b/>
      <w:sz w:val="28"/>
      <w:szCs w:val="32"/>
      <w:lang w:eastAsia="en-US"/>
    </w:rPr>
  </w:style>
  <w:style w:type="character" w:customStyle="1" w:styleId="Heading2Char">
    <w:name w:val="Heading 2 Char"/>
    <w:basedOn w:val="DefaultParagraphFont"/>
    <w:link w:val="Heading2"/>
    <w:uiPriority w:val="9"/>
    <w:rsid w:val="00316396"/>
    <w:rPr>
      <w:rFonts w:ascii="Times New Roman" w:eastAsiaTheme="majorEastAsia" w:hAnsi="Times New Roman"/>
      <w:b/>
      <w:sz w:val="26"/>
      <w:szCs w:val="26"/>
      <w:lang w:eastAsia="en-US"/>
    </w:rPr>
  </w:style>
  <w:style w:type="character" w:customStyle="1" w:styleId="Heading3Char">
    <w:name w:val="Heading 3 Char"/>
    <w:basedOn w:val="DefaultParagraphFont"/>
    <w:link w:val="Heading3"/>
    <w:uiPriority w:val="9"/>
    <w:rsid w:val="00316396"/>
    <w:rPr>
      <w:rFonts w:ascii="Times New Roman" w:eastAsiaTheme="majorEastAsia" w:hAnsi="Times New Roman"/>
      <w:sz w:val="24"/>
      <w:szCs w:val="24"/>
      <w:u w:val="single"/>
    </w:rPr>
  </w:style>
  <w:style w:type="character" w:customStyle="1" w:styleId="Heading4Char">
    <w:name w:val="Heading 4 Char"/>
    <w:basedOn w:val="DefaultParagraphFont"/>
    <w:link w:val="Heading4"/>
    <w:uiPriority w:val="9"/>
    <w:rsid w:val="00316396"/>
    <w:rPr>
      <w:rFonts w:ascii="Times New Roman" w:eastAsiaTheme="majorEastAsia" w:hAnsi="Times New Roman"/>
      <w:i/>
      <w:iCs/>
      <w:sz w:val="24"/>
      <w:szCs w:val="24"/>
      <w:lang w:eastAsia="en-US"/>
    </w:rPr>
  </w:style>
  <w:style w:type="character" w:customStyle="1" w:styleId="eop">
    <w:name w:val="eop"/>
    <w:rsid w:val="00884809"/>
  </w:style>
  <w:style w:type="paragraph" w:styleId="NormalWeb">
    <w:name w:val="Normal (Web)"/>
    <w:basedOn w:val="Normal"/>
    <w:uiPriority w:val="99"/>
    <w:unhideWhenUsed/>
    <w:rsid w:val="00CD4DD4"/>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CD4DD4"/>
    <w:rPr>
      <w:b/>
      <w:bCs/>
    </w:rPr>
  </w:style>
  <w:style w:type="character" w:customStyle="1" w:styleId="spellingerror">
    <w:name w:val="spellingerror"/>
    <w:basedOn w:val="DefaultParagraphFont"/>
    <w:rsid w:val="0087794E"/>
  </w:style>
  <w:style w:type="paragraph" w:customStyle="1" w:styleId="Nodaas">
    <w:name w:val="Nodaļas"/>
    <w:basedOn w:val="Normal"/>
    <w:link w:val="NodaasChar"/>
    <w:qFormat/>
    <w:rsid w:val="0048595C"/>
    <w:pPr>
      <w:spacing w:before="360" w:after="120" w:line="240" w:lineRule="auto"/>
    </w:pPr>
    <w:rPr>
      <w:rFonts w:ascii="Times New Roman" w:hAnsi="Times New Roman"/>
      <w:b/>
      <w:sz w:val="27"/>
      <w:szCs w:val="27"/>
      <w:u w:val="single"/>
    </w:rPr>
  </w:style>
  <w:style w:type="character" w:customStyle="1" w:styleId="NodaasChar">
    <w:name w:val="Nodaļas Char"/>
    <w:basedOn w:val="DefaultParagraphFont"/>
    <w:link w:val="Nodaas"/>
    <w:rsid w:val="0048595C"/>
    <w:rPr>
      <w:rFonts w:ascii="Times New Roman" w:hAnsi="Times New Roman"/>
      <w:b/>
      <w:sz w:val="27"/>
      <w:szCs w:val="27"/>
      <w:u w:val="single"/>
      <w:lang w:eastAsia="en-US"/>
    </w:rPr>
  </w:style>
  <w:style w:type="paragraph" w:styleId="TOC1">
    <w:name w:val="toc 1"/>
    <w:basedOn w:val="Normal"/>
    <w:next w:val="Normal"/>
    <w:autoRedefine/>
    <w:uiPriority w:val="39"/>
    <w:unhideWhenUsed/>
    <w:rsid w:val="00FE544D"/>
    <w:pPr>
      <w:tabs>
        <w:tab w:val="right" w:pos="9354"/>
      </w:tabs>
      <w:spacing w:after="100"/>
    </w:pPr>
  </w:style>
  <w:style w:type="paragraph" w:styleId="NoSpacing">
    <w:name w:val="No Spacing"/>
    <w:uiPriority w:val="1"/>
    <w:qFormat/>
    <w:rsid w:val="00144126"/>
    <w:rPr>
      <w:sz w:val="22"/>
      <w:szCs w:val="22"/>
      <w:lang w:eastAsia="en-US"/>
    </w:rPr>
  </w:style>
  <w:style w:type="numbering" w:customStyle="1" w:styleId="NoList1">
    <w:name w:val="No List1"/>
    <w:next w:val="NoList"/>
    <w:uiPriority w:val="99"/>
    <w:semiHidden/>
    <w:unhideWhenUsed/>
    <w:rsid w:val="008D3683"/>
  </w:style>
  <w:style w:type="paragraph" w:customStyle="1" w:styleId="tvhtml">
    <w:name w:val="tv_html"/>
    <w:basedOn w:val="Normal"/>
    <w:rsid w:val="008D3683"/>
    <w:pPr>
      <w:spacing w:before="100" w:beforeAutospacing="1" w:after="100" w:afterAutospacing="1" w:line="240" w:lineRule="auto"/>
      <w:jc w:val="both"/>
    </w:pPr>
    <w:rPr>
      <w:rFonts w:ascii="Times New Roman" w:eastAsia="Times New Roman" w:hAnsi="Times New Roman"/>
      <w:sz w:val="24"/>
      <w:szCs w:val="24"/>
      <w:lang w:eastAsia="lv-LV"/>
    </w:rPr>
  </w:style>
  <w:style w:type="paragraph" w:customStyle="1" w:styleId="tv213">
    <w:name w:val="tv213"/>
    <w:basedOn w:val="Normal"/>
    <w:rsid w:val="008D3683"/>
    <w:pPr>
      <w:spacing w:before="100" w:beforeAutospacing="1" w:after="100" w:afterAutospacing="1" w:line="240" w:lineRule="auto"/>
      <w:jc w:val="both"/>
    </w:pPr>
    <w:rPr>
      <w:rFonts w:ascii="Times New Roman" w:eastAsia="Times New Roman" w:hAnsi="Times New Roman"/>
      <w:sz w:val="24"/>
      <w:szCs w:val="24"/>
      <w:lang w:eastAsia="lv-LV"/>
    </w:rPr>
  </w:style>
  <w:style w:type="paragraph" w:customStyle="1" w:styleId="naisf">
    <w:name w:val="naisf"/>
    <w:basedOn w:val="Normal"/>
    <w:rsid w:val="008D3683"/>
    <w:pPr>
      <w:spacing w:before="75" w:after="75" w:line="240" w:lineRule="auto"/>
      <w:ind w:firstLine="375"/>
      <w:jc w:val="both"/>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8D3683"/>
    <w:rPr>
      <w:color w:val="808080"/>
      <w:shd w:val="clear" w:color="auto" w:fill="E6E6E6"/>
    </w:rPr>
  </w:style>
  <w:style w:type="table" w:customStyle="1" w:styleId="TableGrid1">
    <w:name w:val="Table Grid1"/>
    <w:basedOn w:val="TableNormal"/>
    <w:next w:val="TableGrid"/>
    <w:uiPriority w:val="39"/>
    <w:rsid w:val="008D36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3683"/>
  </w:style>
  <w:style w:type="paragraph" w:styleId="TOC2">
    <w:name w:val="toc 2"/>
    <w:basedOn w:val="Normal"/>
    <w:next w:val="Normal"/>
    <w:autoRedefine/>
    <w:uiPriority w:val="39"/>
    <w:unhideWhenUsed/>
    <w:rsid w:val="008D3683"/>
    <w:pPr>
      <w:tabs>
        <w:tab w:val="left" w:pos="851"/>
        <w:tab w:val="left" w:pos="1100"/>
        <w:tab w:val="right" w:leader="dot" w:pos="9344"/>
      </w:tabs>
      <w:spacing w:before="120" w:after="100" w:line="240" w:lineRule="auto"/>
      <w:jc w:val="both"/>
    </w:pPr>
    <w:rPr>
      <w:rFonts w:ascii="Times New Roman" w:eastAsiaTheme="minorHAnsi" w:hAnsi="Times New Roman"/>
      <w:sz w:val="28"/>
      <w:szCs w:val="28"/>
    </w:rPr>
  </w:style>
  <w:style w:type="paragraph" w:styleId="TOC3">
    <w:name w:val="toc 3"/>
    <w:basedOn w:val="Normal"/>
    <w:next w:val="Normal"/>
    <w:autoRedefine/>
    <w:uiPriority w:val="39"/>
    <w:unhideWhenUsed/>
    <w:rsid w:val="008D3683"/>
    <w:pPr>
      <w:spacing w:before="120" w:after="100" w:line="240" w:lineRule="auto"/>
      <w:ind w:left="560"/>
      <w:jc w:val="both"/>
    </w:pPr>
    <w:rPr>
      <w:rFonts w:ascii="Times New Roman" w:eastAsiaTheme="minorHAnsi" w:hAnsi="Times New Roman"/>
      <w:sz w:val="28"/>
      <w:szCs w:val="28"/>
    </w:rPr>
  </w:style>
  <w:style w:type="paragraph" w:styleId="Revision">
    <w:name w:val="Revision"/>
    <w:hidden/>
    <w:uiPriority w:val="99"/>
    <w:semiHidden/>
    <w:rsid w:val="008D3683"/>
    <w:rPr>
      <w:rFonts w:ascii="Times New Roman" w:eastAsiaTheme="minorHAnsi" w:hAnsi="Times New Roman"/>
      <w:sz w:val="28"/>
      <w:szCs w:val="28"/>
      <w:lang w:eastAsia="en-US"/>
    </w:rPr>
  </w:style>
  <w:style w:type="character" w:customStyle="1" w:styleId="UnresolvedMention2">
    <w:name w:val="Unresolved Mention2"/>
    <w:basedOn w:val="DefaultParagraphFont"/>
    <w:uiPriority w:val="99"/>
    <w:semiHidden/>
    <w:unhideWhenUsed/>
    <w:rsid w:val="008D3683"/>
    <w:rPr>
      <w:color w:val="605E5C"/>
      <w:shd w:val="clear" w:color="auto" w:fill="E1DFDD"/>
    </w:rPr>
  </w:style>
  <w:style w:type="character" w:styleId="UnresolvedMention">
    <w:name w:val="Unresolved Mention"/>
    <w:basedOn w:val="DefaultParagraphFont"/>
    <w:uiPriority w:val="99"/>
    <w:semiHidden/>
    <w:unhideWhenUsed/>
    <w:rsid w:val="008D3683"/>
    <w:rPr>
      <w:color w:val="605E5C"/>
      <w:shd w:val="clear" w:color="auto" w:fill="E1DFDD"/>
    </w:rPr>
  </w:style>
  <w:style w:type="paragraph" w:styleId="TOC4">
    <w:name w:val="toc 4"/>
    <w:basedOn w:val="Normal"/>
    <w:next w:val="Normal"/>
    <w:autoRedefine/>
    <w:uiPriority w:val="39"/>
    <w:unhideWhenUsed/>
    <w:rsid w:val="008D3683"/>
    <w:pPr>
      <w:spacing w:before="120" w:after="100" w:line="240" w:lineRule="auto"/>
      <w:ind w:left="840"/>
      <w:jc w:val="both"/>
    </w:pPr>
    <w:rPr>
      <w:rFonts w:ascii="Times New Roman" w:eastAsiaTheme="minorHAnsi" w:hAnsi="Times New Roman"/>
      <w:sz w:val="28"/>
      <w:szCs w:val="28"/>
    </w:rPr>
  </w:style>
  <w:style w:type="paragraph" w:styleId="TOC6">
    <w:name w:val="toc 6"/>
    <w:basedOn w:val="Normal"/>
    <w:next w:val="Normal"/>
    <w:autoRedefine/>
    <w:uiPriority w:val="39"/>
    <w:semiHidden/>
    <w:unhideWhenUsed/>
    <w:rsid w:val="00876023"/>
    <w:pPr>
      <w:spacing w:after="100"/>
      <w:ind w:left="1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7173">
      <w:bodyDiv w:val="1"/>
      <w:marLeft w:val="0"/>
      <w:marRight w:val="0"/>
      <w:marTop w:val="0"/>
      <w:marBottom w:val="0"/>
      <w:divBdr>
        <w:top w:val="none" w:sz="0" w:space="0" w:color="auto"/>
        <w:left w:val="none" w:sz="0" w:space="0" w:color="auto"/>
        <w:bottom w:val="none" w:sz="0" w:space="0" w:color="auto"/>
        <w:right w:val="none" w:sz="0" w:space="0" w:color="auto"/>
      </w:divBdr>
    </w:div>
    <w:div w:id="75322386">
      <w:bodyDiv w:val="1"/>
      <w:marLeft w:val="0"/>
      <w:marRight w:val="0"/>
      <w:marTop w:val="0"/>
      <w:marBottom w:val="0"/>
      <w:divBdr>
        <w:top w:val="none" w:sz="0" w:space="0" w:color="auto"/>
        <w:left w:val="none" w:sz="0" w:space="0" w:color="auto"/>
        <w:bottom w:val="none" w:sz="0" w:space="0" w:color="auto"/>
        <w:right w:val="none" w:sz="0" w:space="0" w:color="auto"/>
      </w:divBdr>
    </w:div>
    <w:div w:id="114252575">
      <w:bodyDiv w:val="1"/>
      <w:marLeft w:val="0"/>
      <w:marRight w:val="0"/>
      <w:marTop w:val="0"/>
      <w:marBottom w:val="0"/>
      <w:divBdr>
        <w:top w:val="none" w:sz="0" w:space="0" w:color="auto"/>
        <w:left w:val="none" w:sz="0" w:space="0" w:color="auto"/>
        <w:bottom w:val="none" w:sz="0" w:space="0" w:color="auto"/>
        <w:right w:val="none" w:sz="0" w:space="0" w:color="auto"/>
      </w:divBdr>
    </w:div>
    <w:div w:id="259683642">
      <w:bodyDiv w:val="1"/>
      <w:marLeft w:val="0"/>
      <w:marRight w:val="0"/>
      <w:marTop w:val="0"/>
      <w:marBottom w:val="0"/>
      <w:divBdr>
        <w:top w:val="none" w:sz="0" w:space="0" w:color="auto"/>
        <w:left w:val="none" w:sz="0" w:space="0" w:color="auto"/>
        <w:bottom w:val="none" w:sz="0" w:space="0" w:color="auto"/>
        <w:right w:val="none" w:sz="0" w:space="0" w:color="auto"/>
      </w:divBdr>
    </w:div>
    <w:div w:id="410201386">
      <w:bodyDiv w:val="1"/>
      <w:marLeft w:val="0"/>
      <w:marRight w:val="0"/>
      <w:marTop w:val="0"/>
      <w:marBottom w:val="0"/>
      <w:divBdr>
        <w:top w:val="none" w:sz="0" w:space="0" w:color="auto"/>
        <w:left w:val="none" w:sz="0" w:space="0" w:color="auto"/>
        <w:bottom w:val="none" w:sz="0" w:space="0" w:color="auto"/>
        <w:right w:val="none" w:sz="0" w:space="0" w:color="auto"/>
      </w:divBdr>
    </w:div>
    <w:div w:id="434445815">
      <w:bodyDiv w:val="1"/>
      <w:marLeft w:val="0"/>
      <w:marRight w:val="0"/>
      <w:marTop w:val="0"/>
      <w:marBottom w:val="0"/>
      <w:divBdr>
        <w:top w:val="none" w:sz="0" w:space="0" w:color="auto"/>
        <w:left w:val="none" w:sz="0" w:space="0" w:color="auto"/>
        <w:bottom w:val="none" w:sz="0" w:space="0" w:color="auto"/>
        <w:right w:val="none" w:sz="0" w:space="0" w:color="auto"/>
      </w:divBdr>
    </w:div>
    <w:div w:id="492650903">
      <w:bodyDiv w:val="1"/>
      <w:marLeft w:val="0"/>
      <w:marRight w:val="0"/>
      <w:marTop w:val="0"/>
      <w:marBottom w:val="0"/>
      <w:divBdr>
        <w:top w:val="none" w:sz="0" w:space="0" w:color="auto"/>
        <w:left w:val="none" w:sz="0" w:space="0" w:color="auto"/>
        <w:bottom w:val="none" w:sz="0" w:space="0" w:color="auto"/>
        <w:right w:val="none" w:sz="0" w:space="0" w:color="auto"/>
      </w:divBdr>
      <w:divsChild>
        <w:div w:id="567569312">
          <w:marLeft w:val="518"/>
          <w:marRight w:val="0"/>
          <w:marTop w:val="284"/>
          <w:marBottom w:val="0"/>
          <w:divBdr>
            <w:top w:val="none" w:sz="0" w:space="0" w:color="auto"/>
            <w:left w:val="none" w:sz="0" w:space="0" w:color="auto"/>
            <w:bottom w:val="none" w:sz="0" w:space="0" w:color="auto"/>
            <w:right w:val="none" w:sz="0" w:space="0" w:color="auto"/>
          </w:divBdr>
        </w:div>
        <w:div w:id="1253397415">
          <w:marLeft w:val="518"/>
          <w:marRight w:val="0"/>
          <w:marTop w:val="284"/>
          <w:marBottom w:val="0"/>
          <w:divBdr>
            <w:top w:val="none" w:sz="0" w:space="0" w:color="auto"/>
            <w:left w:val="none" w:sz="0" w:space="0" w:color="auto"/>
            <w:bottom w:val="none" w:sz="0" w:space="0" w:color="auto"/>
            <w:right w:val="none" w:sz="0" w:space="0" w:color="auto"/>
          </w:divBdr>
        </w:div>
        <w:div w:id="1367409451">
          <w:marLeft w:val="518"/>
          <w:marRight w:val="0"/>
          <w:marTop w:val="284"/>
          <w:marBottom w:val="0"/>
          <w:divBdr>
            <w:top w:val="none" w:sz="0" w:space="0" w:color="auto"/>
            <w:left w:val="none" w:sz="0" w:space="0" w:color="auto"/>
            <w:bottom w:val="none" w:sz="0" w:space="0" w:color="auto"/>
            <w:right w:val="none" w:sz="0" w:space="0" w:color="auto"/>
          </w:divBdr>
        </w:div>
        <w:div w:id="1106847819">
          <w:marLeft w:val="518"/>
          <w:marRight w:val="0"/>
          <w:marTop w:val="284"/>
          <w:marBottom w:val="0"/>
          <w:divBdr>
            <w:top w:val="none" w:sz="0" w:space="0" w:color="auto"/>
            <w:left w:val="none" w:sz="0" w:space="0" w:color="auto"/>
            <w:bottom w:val="none" w:sz="0" w:space="0" w:color="auto"/>
            <w:right w:val="none" w:sz="0" w:space="0" w:color="auto"/>
          </w:divBdr>
        </w:div>
        <w:div w:id="701829268">
          <w:marLeft w:val="518"/>
          <w:marRight w:val="0"/>
          <w:marTop w:val="284"/>
          <w:marBottom w:val="0"/>
          <w:divBdr>
            <w:top w:val="none" w:sz="0" w:space="0" w:color="auto"/>
            <w:left w:val="none" w:sz="0" w:space="0" w:color="auto"/>
            <w:bottom w:val="none" w:sz="0" w:space="0" w:color="auto"/>
            <w:right w:val="none" w:sz="0" w:space="0" w:color="auto"/>
          </w:divBdr>
        </w:div>
      </w:divsChild>
    </w:div>
    <w:div w:id="524712927">
      <w:bodyDiv w:val="1"/>
      <w:marLeft w:val="0"/>
      <w:marRight w:val="0"/>
      <w:marTop w:val="0"/>
      <w:marBottom w:val="0"/>
      <w:divBdr>
        <w:top w:val="none" w:sz="0" w:space="0" w:color="auto"/>
        <w:left w:val="none" w:sz="0" w:space="0" w:color="auto"/>
        <w:bottom w:val="none" w:sz="0" w:space="0" w:color="auto"/>
        <w:right w:val="none" w:sz="0" w:space="0" w:color="auto"/>
      </w:divBdr>
    </w:div>
    <w:div w:id="543255806">
      <w:bodyDiv w:val="1"/>
      <w:marLeft w:val="0"/>
      <w:marRight w:val="0"/>
      <w:marTop w:val="0"/>
      <w:marBottom w:val="0"/>
      <w:divBdr>
        <w:top w:val="none" w:sz="0" w:space="0" w:color="auto"/>
        <w:left w:val="none" w:sz="0" w:space="0" w:color="auto"/>
        <w:bottom w:val="none" w:sz="0" w:space="0" w:color="auto"/>
        <w:right w:val="none" w:sz="0" w:space="0" w:color="auto"/>
      </w:divBdr>
    </w:div>
    <w:div w:id="581261923">
      <w:bodyDiv w:val="1"/>
      <w:marLeft w:val="0"/>
      <w:marRight w:val="0"/>
      <w:marTop w:val="0"/>
      <w:marBottom w:val="0"/>
      <w:divBdr>
        <w:top w:val="none" w:sz="0" w:space="0" w:color="auto"/>
        <w:left w:val="none" w:sz="0" w:space="0" w:color="auto"/>
        <w:bottom w:val="none" w:sz="0" w:space="0" w:color="auto"/>
        <w:right w:val="none" w:sz="0" w:space="0" w:color="auto"/>
      </w:divBdr>
    </w:div>
    <w:div w:id="748504816">
      <w:bodyDiv w:val="1"/>
      <w:marLeft w:val="0"/>
      <w:marRight w:val="0"/>
      <w:marTop w:val="0"/>
      <w:marBottom w:val="0"/>
      <w:divBdr>
        <w:top w:val="none" w:sz="0" w:space="0" w:color="auto"/>
        <w:left w:val="none" w:sz="0" w:space="0" w:color="auto"/>
        <w:bottom w:val="none" w:sz="0" w:space="0" w:color="auto"/>
        <w:right w:val="none" w:sz="0" w:space="0" w:color="auto"/>
      </w:divBdr>
    </w:div>
    <w:div w:id="763116724">
      <w:bodyDiv w:val="1"/>
      <w:marLeft w:val="0"/>
      <w:marRight w:val="0"/>
      <w:marTop w:val="0"/>
      <w:marBottom w:val="0"/>
      <w:divBdr>
        <w:top w:val="none" w:sz="0" w:space="0" w:color="auto"/>
        <w:left w:val="none" w:sz="0" w:space="0" w:color="auto"/>
        <w:bottom w:val="none" w:sz="0" w:space="0" w:color="auto"/>
        <w:right w:val="none" w:sz="0" w:space="0" w:color="auto"/>
      </w:divBdr>
    </w:div>
    <w:div w:id="829053839">
      <w:bodyDiv w:val="1"/>
      <w:marLeft w:val="0"/>
      <w:marRight w:val="0"/>
      <w:marTop w:val="0"/>
      <w:marBottom w:val="0"/>
      <w:divBdr>
        <w:top w:val="none" w:sz="0" w:space="0" w:color="auto"/>
        <w:left w:val="none" w:sz="0" w:space="0" w:color="auto"/>
        <w:bottom w:val="none" w:sz="0" w:space="0" w:color="auto"/>
        <w:right w:val="none" w:sz="0" w:space="0" w:color="auto"/>
      </w:divBdr>
    </w:div>
    <w:div w:id="983966185">
      <w:bodyDiv w:val="1"/>
      <w:marLeft w:val="0"/>
      <w:marRight w:val="0"/>
      <w:marTop w:val="0"/>
      <w:marBottom w:val="0"/>
      <w:divBdr>
        <w:top w:val="none" w:sz="0" w:space="0" w:color="auto"/>
        <w:left w:val="none" w:sz="0" w:space="0" w:color="auto"/>
        <w:bottom w:val="none" w:sz="0" w:space="0" w:color="auto"/>
        <w:right w:val="none" w:sz="0" w:space="0" w:color="auto"/>
      </w:divBdr>
    </w:div>
    <w:div w:id="991369489">
      <w:bodyDiv w:val="1"/>
      <w:marLeft w:val="0"/>
      <w:marRight w:val="0"/>
      <w:marTop w:val="0"/>
      <w:marBottom w:val="0"/>
      <w:divBdr>
        <w:top w:val="none" w:sz="0" w:space="0" w:color="auto"/>
        <w:left w:val="none" w:sz="0" w:space="0" w:color="auto"/>
        <w:bottom w:val="none" w:sz="0" w:space="0" w:color="auto"/>
        <w:right w:val="none" w:sz="0" w:space="0" w:color="auto"/>
      </w:divBdr>
    </w:div>
    <w:div w:id="1089155665">
      <w:bodyDiv w:val="1"/>
      <w:marLeft w:val="0"/>
      <w:marRight w:val="0"/>
      <w:marTop w:val="0"/>
      <w:marBottom w:val="0"/>
      <w:divBdr>
        <w:top w:val="none" w:sz="0" w:space="0" w:color="auto"/>
        <w:left w:val="none" w:sz="0" w:space="0" w:color="auto"/>
        <w:bottom w:val="none" w:sz="0" w:space="0" w:color="auto"/>
        <w:right w:val="none" w:sz="0" w:space="0" w:color="auto"/>
      </w:divBdr>
      <w:divsChild>
        <w:div w:id="1983537611">
          <w:marLeft w:val="0"/>
          <w:marRight w:val="0"/>
          <w:marTop w:val="480"/>
          <w:marBottom w:val="240"/>
          <w:divBdr>
            <w:top w:val="none" w:sz="0" w:space="0" w:color="auto"/>
            <w:left w:val="none" w:sz="0" w:space="0" w:color="auto"/>
            <w:bottom w:val="none" w:sz="0" w:space="0" w:color="auto"/>
            <w:right w:val="none" w:sz="0" w:space="0" w:color="auto"/>
          </w:divBdr>
        </w:div>
        <w:div w:id="1625193209">
          <w:marLeft w:val="0"/>
          <w:marRight w:val="0"/>
          <w:marTop w:val="0"/>
          <w:marBottom w:val="567"/>
          <w:divBdr>
            <w:top w:val="none" w:sz="0" w:space="0" w:color="auto"/>
            <w:left w:val="none" w:sz="0" w:space="0" w:color="auto"/>
            <w:bottom w:val="none" w:sz="0" w:space="0" w:color="auto"/>
            <w:right w:val="none" w:sz="0" w:space="0" w:color="auto"/>
          </w:divBdr>
        </w:div>
      </w:divsChild>
    </w:div>
    <w:div w:id="1099524136">
      <w:bodyDiv w:val="1"/>
      <w:marLeft w:val="0"/>
      <w:marRight w:val="0"/>
      <w:marTop w:val="0"/>
      <w:marBottom w:val="0"/>
      <w:divBdr>
        <w:top w:val="none" w:sz="0" w:space="0" w:color="auto"/>
        <w:left w:val="none" w:sz="0" w:space="0" w:color="auto"/>
        <w:bottom w:val="none" w:sz="0" w:space="0" w:color="auto"/>
        <w:right w:val="none" w:sz="0" w:space="0" w:color="auto"/>
      </w:divBdr>
    </w:div>
    <w:div w:id="1118141752">
      <w:bodyDiv w:val="1"/>
      <w:marLeft w:val="0"/>
      <w:marRight w:val="0"/>
      <w:marTop w:val="0"/>
      <w:marBottom w:val="0"/>
      <w:divBdr>
        <w:top w:val="none" w:sz="0" w:space="0" w:color="auto"/>
        <w:left w:val="none" w:sz="0" w:space="0" w:color="auto"/>
        <w:bottom w:val="none" w:sz="0" w:space="0" w:color="auto"/>
        <w:right w:val="none" w:sz="0" w:space="0" w:color="auto"/>
      </w:divBdr>
    </w:div>
    <w:div w:id="1144589676">
      <w:bodyDiv w:val="1"/>
      <w:marLeft w:val="0"/>
      <w:marRight w:val="0"/>
      <w:marTop w:val="0"/>
      <w:marBottom w:val="0"/>
      <w:divBdr>
        <w:top w:val="none" w:sz="0" w:space="0" w:color="auto"/>
        <w:left w:val="none" w:sz="0" w:space="0" w:color="auto"/>
        <w:bottom w:val="none" w:sz="0" w:space="0" w:color="auto"/>
        <w:right w:val="none" w:sz="0" w:space="0" w:color="auto"/>
      </w:divBdr>
    </w:div>
    <w:div w:id="1304776114">
      <w:bodyDiv w:val="1"/>
      <w:marLeft w:val="0"/>
      <w:marRight w:val="0"/>
      <w:marTop w:val="0"/>
      <w:marBottom w:val="0"/>
      <w:divBdr>
        <w:top w:val="none" w:sz="0" w:space="0" w:color="auto"/>
        <w:left w:val="none" w:sz="0" w:space="0" w:color="auto"/>
        <w:bottom w:val="none" w:sz="0" w:space="0" w:color="auto"/>
        <w:right w:val="none" w:sz="0" w:space="0" w:color="auto"/>
      </w:divBdr>
      <w:divsChild>
        <w:div w:id="316691493">
          <w:marLeft w:val="0"/>
          <w:marRight w:val="0"/>
          <w:marTop w:val="480"/>
          <w:marBottom w:val="240"/>
          <w:divBdr>
            <w:top w:val="none" w:sz="0" w:space="0" w:color="auto"/>
            <w:left w:val="none" w:sz="0" w:space="0" w:color="auto"/>
            <w:bottom w:val="none" w:sz="0" w:space="0" w:color="auto"/>
            <w:right w:val="none" w:sz="0" w:space="0" w:color="auto"/>
          </w:divBdr>
        </w:div>
        <w:div w:id="578565202">
          <w:marLeft w:val="0"/>
          <w:marRight w:val="0"/>
          <w:marTop w:val="0"/>
          <w:marBottom w:val="567"/>
          <w:divBdr>
            <w:top w:val="none" w:sz="0" w:space="0" w:color="auto"/>
            <w:left w:val="none" w:sz="0" w:space="0" w:color="auto"/>
            <w:bottom w:val="none" w:sz="0" w:space="0" w:color="auto"/>
            <w:right w:val="none" w:sz="0" w:space="0" w:color="auto"/>
          </w:divBdr>
        </w:div>
      </w:divsChild>
    </w:div>
    <w:div w:id="1322540514">
      <w:bodyDiv w:val="1"/>
      <w:marLeft w:val="0"/>
      <w:marRight w:val="0"/>
      <w:marTop w:val="0"/>
      <w:marBottom w:val="0"/>
      <w:divBdr>
        <w:top w:val="none" w:sz="0" w:space="0" w:color="auto"/>
        <w:left w:val="none" w:sz="0" w:space="0" w:color="auto"/>
        <w:bottom w:val="none" w:sz="0" w:space="0" w:color="auto"/>
        <w:right w:val="none" w:sz="0" w:space="0" w:color="auto"/>
      </w:divBdr>
    </w:div>
    <w:div w:id="1360623576">
      <w:bodyDiv w:val="1"/>
      <w:marLeft w:val="0"/>
      <w:marRight w:val="0"/>
      <w:marTop w:val="0"/>
      <w:marBottom w:val="0"/>
      <w:divBdr>
        <w:top w:val="none" w:sz="0" w:space="0" w:color="auto"/>
        <w:left w:val="none" w:sz="0" w:space="0" w:color="auto"/>
        <w:bottom w:val="none" w:sz="0" w:space="0" w:color="auto"/>
        <w:right w:val="none" w:sz="0" w:space="0" w:color="auto"/>
      </w:divBdr>
    </w:div>
    <w:div w:id="1365129588">
      <w:bodyDiv w:val="1"/>
      <w:marLeft w:val="0"/>
      <w:marRight w:val="0"/>
      <w:marTop w:val="0"/>
      <w:marBottom w:val="0"/>
      <w:divBdr>
        <w:top w:val="none" w:sz="0" w:space="0" w:color="auto"/>
        <w:left w:val="none" w:sz="0" w:space="0" w:color="auto"/>
        <w:bottom w:val="none" w:sz="0" w:space="0" w:color="auto"/>
        <w:right w:val="none" w:sz="0" w:space="0" w:color="auto"/>
      </w:divBdr>
    </w:div>
    <w:div w:id="1481770862">
      <w:bodyDiv w:val="1"/>
      <w:marLeft w:val="0"/>
      <w:marRight w:val="0"/>
      <w:marTop w:val="0"/>
      <w:marBottom w:val="0"/>
      <w:divBdr>
        <w:top w:val="none" w:sz="0" w:space="0" w:color="auto"/>
        <w:left w:val="none" w:sz="0" w:space="0" w:color="auto"/>
        <w:bottom w:val="none" w:sz="0" w:space="0" w:color="auto"/>
        <w:right w:val="none" w:sz="0" w:space="0" w:color="auto"/>
      </w:divBdr>
    </w:div>
    <w:div w:id="1512529340">
      <w:bodyDiv w:val="1"/>
      <w:marLeft w:val="0"/>
      <w:marRight w:val="0"/>
      <w:marTop w:val="0"/>
      <w:marBottom w:val="0"/>
      <w:divBdr>
        <w:top w:val="none" w:sz="0" w:space="0" w:color="auto"/>
        <w:left w:val="none" w:sz="0" w:space="0" w:color="auto"/>
        <w:bottom w:val="none" w:sz="0" w:space="0" w:color="auto"/>
        <w:right w:val="none" w:sz="0" w:space="0" w:color="auto"/>
      </w:divBdr>
    </w:div>
    <w:div w:id="1546865054">
      <w:bodyDiv w:val="1"/>
      <w:marLeft w:val="0"/>
      <w:marRight w:val="0"/>
      <w:marTop w:val="0"/>
      <w:marBottom w:val="0"/>
      <w:divBdr>
        <w:top w:val="none" w:sz="0" w:space="0" w:color="auto"/>
        <w:left w:val="none" w:sz="0" w:space="0" w:color="auto"/>
        <w:bottom w:val="none" w:sz="0" w:space="0" w:color="auto"/>
        <w:right w:val="none" w:sz="0" w:space="0" w:color="auto"/>
      </w:divBdr>
    </w:div>
    <w:div w:id="1601716752">
      <w:bodyDiv w:val="1"/>
      <w:marLeft w:val="0"/>
      <w:marRight w:val="0"/>
      <w:marTop w:val="0"/>
      <w:marBottom w:val="0"/>
      <w:divBdr>
        <w:top w:val="none" w:sz="0" w:space="0" w:color="auto"/>
        <w:left w:val="none" w:sz="0" w:space="0" w:color="auto"/>
        <w:bottom w:val="none" w:sz="0" w:space="0" w:color="auto"/>
        <w:right w:val="none" w:sz="0" w:space="0" w:color="auto"/>
      </w:divBdr>
    </w:div>
    <w:div w:id="1735857383">
      <w:bodyDiv w:val="1"/>
      <w:marLeft w:val="0"/>
      <w:marRight w:val="0"/>
      <w:marTop w:val="0"/>
      <w:marBottom w:val="0"/>
      <w:divBdr>
        <w:top w:val="none" w:sz="0" w:space="0" w:color="auto"/>
        <w:left w:val="none" w:sz="0" w:space="0" w:color="auto"/>
        <w:bottom w:val="none" w:sz="0" w:space="0" w:color="auto"/>
        <w:right w:val="none" w:sz="0" w:space="0" w:color="auto"/>
      </w:divBdr>
    </w:div>
    <w:div w:id="1736275568">
      <w:bodyDiv w:val="1"/>
      <w:marLeft w:val="0"/>
      <w:marRight w:val="0"/>
      <w:marTop w:val="0"/>
      <w:marBottom w:val="0"/>
      <w:divBdr>
        <w:top w:val="none" w:sz="0" w:space="0" w:color="auto"/>
        <w:left w:val="none" w:sz="0" w:space="0" w:color="auto"/>
        <w:bottom w:val="none" w:sz="0" w:space="0" w:color="auto"/>
        <w:right w:val="none" w:sz="0" w:space="0" w:color="auto"/>
      </w:divBdr>
    </w:div>
    <w:div w:id="1766001965">
      <w:bodyDiv w:val="1"/>
      <w:marLeft w:val="0"/>
      <w:marRight w:val="0"/>
      <w:marTop w:val="0"/>
      <w:marBottom w:val="0"/>
      <w:divBdr>
        <w:top w:val="none" w:sz="0" w:space="0" w:color="auto"/>
        <w:left w:val="none" w:sz="0" w:space="0" w:color="auto"/>
        <w:bottom w:val="none" w:sz="0" w:space="0" w:color="auto"/>
        <w:right w:val="none" w:sz="0" w:space="0" w:color="auto"/>
      </w:divBdr>
    </w:div>
    <w:div w:id="1779981130">
      <w:bodyDiv w:val="1"/>
      <w:marLeft w:val="0"/>
      <w:marRight w:val="0"/>
      <w:marTop w:val="0"/>
      <w:marBottom w:val="0"/>
      <w:divBdr>
        <w:top w:val="none" w:sz="0" w:space="0" w:color="auto"/>
        <w:left w:val="none" w:sz="0" w:space="0" w:color="auto"/>
        <w:bottom w:val="none" w:sz="0" w:space="0" w:color="auto"/>
        <w:right w:val="none" w:sz="0" w:space="0" w:color="auto"/>
      </w:divBdr>
    </w:div>
    <w:div w:id="1816680898">
      <w:bodyDiv w:val="1"/>
      <w:marLeft w:val="0"/>
      <w:marRight w:val="0"/>
      <w:marTop w:val="0"/>
      <w:marBottom w:val="0"/>
      <w:divBdr>
        <w:top w:val="none" w:sz="0" w:space="0" w:color="auto"/>
        <w:left w:val="none" w:sz="0" w:space="0" w:color="auto"/>
        <w:bottom w:val="none" w:sz="0" w:space="0" w:color="auto"/>
        <w:right w:val="none" w:sz="0" w:space="0" w:color="auto"/>
      </w:divBdr>
    </w:div>
    <w:div w:id="1830754108">
      <w:bodyDiv w:val="1"/>
      <w:marLeft w:val="0"/>
      <w:marRight w:val="0"/>
      <w:marTop w:val="0"/>
      <w:marBottom w:val="0"/>
      <w:divBdr>
        <w:top w:val="none" w:sz="0" w:space="0" w:color="auto"/>
        <w:left w:val="none" w:sz="0" w:space="0" w:color="auto"/>
        <w:bottom w:val="none" w:sz="0" w:space="0" w:color="auto"/>
        <w:right w:val="none" w:sz="0" w:space="0" w:color="auto"/>
      </w:divBdr>
    </w:div>
    <w:div w:id="1856116708">
      <w:bodyDiv w:val="1"/>
      <w:marLeft w:val="0"/>
      <w:marRight w:val="0"/>
      <w:marTop w:val="0"/>
      <w:marBottom w:val="0"/>
      <w:divBdr>
        <w:top w:val="none" w:sz="0" w:space="0" w:color="auto"/>
        <w:left w:val="none" w:sz="0" w:space="0" w:color="auto"/>
        <w:bottom w:val="none" w:sz="0" w:space="0" w:color="auto"/>
        <w:right w:val="none" w:sz="0" w:space="0" w:color="auto"/>
      </w:divBdr>
    </w:div>
    <w:div w:id="1876382304">
      <w:bodyDiv w:val="1"/>
      <w:marLeft w:val="0"/>
      <w:marRight w:val="0"/>
      <w:marTop w:val="0"/>
      <w:marBottom w:val="0"/>
      <w:divBdr>
        <w:top w:val="none" w:sz="0" w:space="0" w:color="auto"/>
        <w:left w:val="none" w:sz="0" w:space="0" w:color="auto"/>
        <w:bottom w:val="none" w:sz="0" w:space="0" w:color="auto"/>
        <w:right w:val="none" w:sz="0" w:space="0" w:color="auto"/>
      </w:divBdr>
    </w:div>
    <w:div w:id="2010012671">
      <w:bodyDiv w:val="1"/>
      <w:marLeft w:val="0"/>
      <w:marRight w:val="0"/>
      <w:marTop w:val="0"/>
      <w:marBottom w:val="0"/>
      <w:divBdr>
        <w:top w:val="none" w:sz="0" w:space="0" w:color="auto"/>
        <w:left w:val="none" w:sz="0" w:space="0" w:color="auto"/>
        <w:bottom w:val="none" w:sz="0" w:space="0" w:color="auto"/>
        <w:right w:val="none" w:sz="0" w:space="0" w:color="auto"/>
      </w:divBdr>
    </w:div>
    <w:div w:id="2027244950">
      <w:bodyDiv w:val="1"/>
      <w:marLeft w:val="0"/>
      <w:marRight w:val="0"/>
      <w:marTop w:val="0"/>
      <w:marBottom w:val="0"/>
      <w:divBdr>
        <w:top w:val="none" w:sz="0" w:space="0" w:color="auto"/>
        <w:left w:val="none" w:sz="0" w:space="0" w:color="auto"/>
        <w:bottom w:val="none" w:sz="0" w:space="0" w:color="auto"/>
        <w:right w:val="none" w:sz="0" w:space="0" w:color="auto"/>
      </w:divBdr>
    </w:div>
    <w:div w:id="2062631910">
      <w:bodyDiv w:val="1"/>
      <w:marLeft w:val="0"/>
      <w:marRight w:val="0"/>
      <w:marTop w:val="0"/>
      <w:marBottom w:val="0"/>
      <w:divBdr>
        <w:top w:val="none" w:sz="0" w:space="0" w:color="auto"/>
        <w:left w:val="none" w:sz="0" w:space="0" w:color="auto"/>
        <w:bottom w:val="none" w:sz="0" w:space="0" w:color="auto"/>
        <w:right w:val="none" w:sz="0" w:space="0" w:color="auto"/>
      </w:divBdr>
    </w:div>
    <w:div w:id="2079789612">
      <w:bodyDiv w:val="1"/>
      <w:marLeft w:val="0"/>
      <w:marRight w:val="0"/>
      <w:marTop w:val="0"/>
      <w:marBottom w:val="0"/>
      <w:divBdr>
        <w:top w:val="none" w:sz="0" w:space="0" w:color="auto"/>
        <w:left w:val="none" w:sz="0" w:space="0" w:color="auto"/>
        <w:bottom w:val="none" w:sz="0" w:space="0" w:color="auto"/>
        <w:right w:val="none" w:sz="0" w:space="0" w:color="auto"/>
      </w:divBdr>
      <w:divsChild>
        <w:div w:id="1835610916">
          <w:marLeft w:val="0"/>
          <w:marRight w:val="0"/>
          <w:marTop w:val="480"/>
          <w:marBottom w:val="240"/>
          <w:divBdr>
            <w:top w:val="none" w:sz="0" w:space="0" w:color="auto"/>
            <w:left w:val="none" w:sz="0" w:space="0" w:color="auto"/>
            <w:bottom w:val="none" w:sz="0" w:space="0" w:color="auto"/>
            <w:right w:val="none" w:sz="0" w:space="0" w:color="auto"/>
          </w:divBdr>
        </w:div>
        <w:div w:id="2048675298">
          <w:marLeft w:val="0"/>
          <w:marRight w:val="0"/>
          <w:marTop w:val="0"/>
          <w:marBottom w:val="567"/>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49833-energetik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doc.php?id=49833" TargetMode="External"/><Relationship Id="rId1" Type="http://schemas.openxmlformats.org/officeDocument/2006/relationships/hyperlink" Target="http://titania.saeima.lv/LIVS13/saeimalivs13.nsf/0/308d906d892d9e85c225842c001e9c23/$FILE/Lp%207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F8DB5-405E-405B-816F-D7A31EB1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72825</Words>
  <Characters>41511</Characters>
  <Application>Microsoft Office Word</Application>
  <DocSecurity>0</DocSecurity>
  <Lines>345</Lines>
  <Paragraphs>228</Paragraphs>
  <ScaleCrop>false</ScaleCrop>
  <HeadingPairs>
    <vt:vector size="2" baseType="variant">
      <vt:variant>
        <vt:lpstr>Title</vt:lpstr>
      </vt:variant>
      <vt:variant>
        <vt:i4>1</vt:i4>
      </vt:variant>
    </vt:vector>
  </HeadingPairs>
  <TitlesOfParts>
    <vt:vector size="1" baseType="lpstr">
      <vt:lpstr>par Nacionālā enerģētikas un klimata plāna 2021.-2030.gadam projektu un tā iesniegšanu Eiropas Komisijā izvērtēšanai</vt:lpstr>
    </vt:vector>
  </TitlesOfParts>
  <Manager>Helena.Rimsa@em.gov.lv;Helena.Rimsa@em.gov.lv</Manager>
  <Company>Ekonomikas ministrija</Company>
  <LinksUpToDate>false</LinksUpToDate>
  <CharactersWithSpaces>114108</CharactersWithSpaces>
  <SharedDoc>false</SharedDoc>
  <HLinks>
    <vt:vector size="6" baseType="variant">
      <vt:variant>
        <vt:i4>2097271</vt:i4>
      </vt:variant>
      <vt:variant>
        <vt:i4>0</vt:i4>
      </vt:variant>
      <vt:variant>
        <vt:i4>0</vt:i4>
      </vt:variant>
      <vt:variant>
        <vt:i4>5</vt:i4>
      </vt:variant>
      <vt:variant>
        <vt:lpwstr>http://www.consilium.europa.eu/en/meetings/tte/2017/12/18/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Nacionālā enerģētikas un klimata plāna 2021.-2030.gadam projektu un tā iesniegšanu Eiropas Komisijā izvērtēšanai</dc:title>
  <dc:subject>Informatīvā ziņojuma projekts</dc:subject>
  <dc:creator>Līga Dreijalte</dc:creator>
  <cp:keywords/>
  <dc:description>H.Rimša, 67013244, Helena.Rimsa@em.gov.lv</dc:description>
  <cp:lastModifiedBy>Līga Dreijalte</cp:lastModifiedBy>
  <cp:revision>5</cp:revision>
  <cp:lastPrinted>2019-05-17T07:28:00Z</cp:lastPrinted>
  <dcterms:created xsi:type="dcterms:W3CDTF">2019-07-15T11:36:00Z</dcterms:created>
  <dcterms:modified xsi:type="dcterms:W3CDTF">2019-07-15T11:42:00Z</dcterms:modified>
  <cp:category>enerģētikas politika</cp:category>
</cp:coreProperties>
</file>