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18FD"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tbl>
      <w:tblPr>
        <w:tblW w:w="0" w:type="auto"/>
        <w:jc w:val="center"/>
        <w:tblLook w:val="00A0" w:firstRow="1" w:lastRow="0" w:firstColumn="1" w:lastColumn="0" w:noHBand="0" w:noVBand="0"/>
      </w:tblPr>
      <w:tblGrid>
        <w:gridCol w:w="11766"/>
      </w:tblGrid>
      <w:tr w:rsidR="007116C7" w:rsidRPr="00712B66" w14:paraId="25243335" w14:textId="77777777" w:rsidTr="00F70057">
        <w:trPr>
          <w:jc w:val="center"/>
        </w:trPr>
        <w:tc>
          <w:tcPr>
            <w:tcW w:w="11766" w:type="dxa"/>
            <w:tcBorders>
              <w:bottom w:val="single" w:sz="6" w:space="0" w:color="000000"/>
            </w:tcBorders>
          </w:tcPr>
          <w:p w14:paraId="561CACF6" w14:textId="6A98F507" w:rsidR="007116C7" w:rsidRPr="0060493C" w:rsidRDefault="00D35B60" w:rsidP="009A2665">
            <w:pPr>
              <w:ind w:firstLine="720"/>
              <w:jc w:val="center"/>
              <w:rPr>
                <w:b/>
                <w:sz w:val="28"/>
                <w:szCs w:val="28"/>
              </w:rPr>
            </w:pPr>
            <w:r w:rsidRPr="0060493C">
              <w:rPr>
                <w:b/>
                <w:sz w:val="28"/>
                <w:szCs w:val="28"/>
              </w:rPr>
              <w:t>Ministru kabineta noteikumu projekt</w:t>
            </w:r>
            <w:r w:rsidR="009A2665">
              <w:rPr>
                <w:b/>
                <w:sz w:val="28"/>
                <w:szCs w:val="28"/>
              </w:rPr>
              <w:t>s</w:t>
            </w:r>
            <w:r w:rsidRPr="0060493C">
              <w:rPr>
                <w:b/>
                <w:sz w:val="28"/>
                <w:szCs w:val="28"/>
              </w:rPr>
              <w:t xml:space="preserve"> “</w:t>
            </w:r>
            <w:r w:rsidR="006B4D2B" w:rsidRPr="006B4D2B">
              <w:rPr>
                <w:b/>
                <w:sz w:val="28"/>
                <w:szCs w:val="28"/>
              </w:rPr>
              <w:t>Grozījumi Ministru kabineta 2018. gada 25. septembra noteikumos Nr.597 “Transporta enerģijas aprites cikla siltumnīcefekta gāzu emisiju daudzuma un tā samazinājuma aprēķināšanas un ziņošanas kārtība”</w:t>
            </w:r>
            <w:r w:rsidRPr="0060493C">
              <w:rPr>
                <w:b/>
                <w:sz w:val="28"/>
                <w:szCs w:val="28"/>
              </w:rPr>
              <w:t>”</w:t>
            </w:r>
            <w:r w:rsidR="0060493C">
              <w:rPr>
                <w:b/>
                <w:sz w:val="28"/>
                <w:szCs w:val="28"/>
              </w:rPr>
              <w:t xml:space="preserve"> (VSS-</w:t>
            </w:r>
            <w:r w:rsidR="006B4D2B">
              <w:rPr>
                <w:b/>
                <w:sz w:val="28"/>
                <w:szCs w:val="28"/>
              </w:rPr>
              <w:t>357</w:t>
            </w:r>
            <w:r w:rsidR="0060493C">
              <w:rPr>
                <w:b/>
                <w:sz w:val="28"/>
                <w:szCs w:val="28"/>
              </w:rPr>
              <w:t>)</w:t>
            </w:r>
          </w:p>
        </w:tc>
      </w:tr>
    </w:tbl>
    <w:p w14:paraId="78CD49EC" w14:textId="77777777" w:rsidR="007116C7" w:rsidRPr="00322911" w:rsidRDefault="007116C7" w:rsidP="009623BC">
      <w:pPr>
        <w:pStyle w:val="naisc"/>
        <w:spacing w:before="0" w:after="0"/>
        <w:ind w:firstLine="1080"/>
        <w:rPr>
          <w:sz w:val="20"/>
          <w:szCs w:val="20"/>
        </w:rPr>
      </w:pPr>
      <w:r w:rsidRPr="00322911">
        <w:rPr>
          <w:sz w:val="20"/>
          <w:szCs w:val="20"/>
        </w:rPr>
        <w:t>(dokumenta veids un nosaukums)</w:t>
      </w:r>
    </w:p>
    <w:p w14:paraId="7699E27C" w14:textId="77777777" w:rsidR="007B4C0F" w:rsidRPr="00712B66" w:rsidRDefault="007B4C0F" w:rsidP="00DB7395">
      <w:pPr>
        <w:pStyle w:val="naisf"/>
        <w:spacing w:before="0" w:after="0"/>
        <w:ind w:firstLine="720"/>
      </w:pPr>
    </w:p>
    <w:p w14:paraId="0892A3B7"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2808"/>
        <w:gridCol w:w="3603"/>
        <w:gridCol w:w="3076"/>
        <w:gridCol w:w="2110"/>
        <w:gridCol w:w="2414"/>
      </w:tblGrid>
      <w:tr w:rsidR="005F4BFD" w:rsidRPr="00735808" w14:paraId="6240DB6F" w14:textId="77777777" w:rsidTr="00735808">
        <w:trPr>
          <w:jc w:val="center"/>
        </w:trPr>
        <w:tc>
          <w:tcPr>
            <w:tcW w:w="731" w:type="dxa"/>
            <w:vAlign w:val="center"/>
          </w:tcPr>
          <w:p w14:paraId="7C9F4FE9" w14:textId="77777777" w:rsidR="005F4BFD" w:rsidRPr="00735808" w:rsidRDefault="005F4BFD" w:rsidP="00735808">
            <w:pPr>
              <w:pStyle w:val="naisc"/>
              <w:spacing w:before="60" w:after="60"/>
              <w:rPr>
                <w:sz w:val="20"/>
                <w:szCs w:val="20"/>
              </w:rPr>
            </w:pPr>
            <w:r w:rsidRPr="00735808">
              <w:rPr>
                <w:sz w:val="20"/>
                <w:szCs w:val="20"/>
              </w:rPr>
              <w:t>Nr. p.k.</w:t>
            </w:r>
          </w:p>
        </w:tc>
        <w:tc>
          <w:tcPr>
            <w:tcW w:w="2808" w:type="dxa"/>
            <w:vAlign w:val="center"/>
          </w:tcPr>
          <w:p w14:paraId="06C992D6" w14:textId="77777777" w:rsidR="005F4BFD" w:rsidRPr="00735808" w:rsidRDefault="005F4BFD" w:rsidP="00735808">
            <w:pPr>
              <w:pStyle w:val="naisc"/>
              <w:spacing w:before="60" w:after="60"/>
              <w:ind w:firstLine="12"/>
              <w:rPr>
                <w:sz w:val="20"/>
                <w:szCs w:val="20"/>
              </w:rPr>
            </w:pPr>
            <w:r w:rsidRPr="00735808">
              <w:rPr>
                <w:sz w:val="20"/>
                <w:szCs w:val="20"/>
              </w:rPr>
              <w:t>Saskaņošanai nosūtītā projekta redakcija (konkrēta punkta (panta) redakcija)</w:t>
            </w:r>
          </w:p>
        </w:tc>
        <w:tc>
          <w:tcPr>
            <w:tcW w:w="3603" w:type="dxa"/>
            <w:vAlign w:val="center"/>
          </w:tcPr>
          <w:p w14:paraId="7E12D283" w14:textId="77777777" w:rsidR="005F4BFD" w:rsidRPr="00735808" w:rsidRDefault="005F4BFD" w:rsidP="00735808">
            <w:pPr>
              <w:pStyle w:val="naisc"/>
              <w:spacing w:before="60" w:after="60"/>
              <w:ind w:right="3"/>
              <w:rPr>
                <w:sz w:val="20"/>
                <w:szCs w:val="20"/>
              </w:rPr>
            </w:pPr>
            <w:r w:rsidRPr="00735808">
              <w:rPr>
                <w:sz w:val="20"/>
                <w:szCs w:val="20"/>
              </w:rPr>
              <w:t>Atzinumā norādītais ministrijas (citas institūcijas) iebildums</w:t>
            </w:r>
            <w:r w:rsidR="00184479" w:rsidRPr="00735808">
              <w:rPr>
                <w:sz w:val="20"/>
                <w:szCs w:val="20"/>
              </w:rPr>
              <w:t>,</w:t>
            </w:r>
            <w:r w:rsidR="000E5509" w:rsidRPr="00735808">
              <w:rPr>
                <w:sz w:val="20"/>
                <w:szCs w:val="20"/>
              </w:rPr>
              <w:t xml:space="preserve"> kā arī saskaņošanā papildus izteiktais iebildums</w:t>
            </w:r>
            <w:r w:rsidRPr="00735808">
              <w:rPr>
                <w:sz w:val="20"/>
                <w:szCs w:val="20"/>
              </w:rPr>
              <w:t xml:space="preserve"> par projekta konkrēto punktu (pantu)</w:t>
            </w:r>
          </w:p>
        </w:tc>
        <w:tc>
          <w:tcPr>
            <w:tcW w:w="3076" w:type="dxa"/>
            <w:vAlign w:val="center"/>
          </w:tcPr>
          <w:p w14:paraId="3322E354" w14:textId="77777777" w:rsidR="005F4BFD" w:rsidRPr="00735808" w:rsidRDefault="005F4BFD" w:rsidP="00735808">
            <w:pPr>
              <w:pStyle w:val="naisc"/>
              <w:spacing w:before="60" w:after="60"/>
              <w:ind w:firstLine="21"/>
              <w:rPr>
                <w:sz w:val="20"/>
                <w:szCs w:val="20"/>
              </w:rPr>
            </w:pPr>
            <w:r w:rsidRPr="00735808">
              <w:rPr>
                <w:sz w:val="20"/>
                <w:szCs w:val="20"/>
              </w:rPr>
              <w:t>Atbildīgās ministrijas pamatojums</w:t>
            </w:r>
            <w:r w:rsidR="009307F2" w:rsidRPr="00735808">
              <w:rPr>
                <w:sz w:val="20"/>
                <w:szCs w:val="20"/>
              </w:rPr>
              <w:t xml:space="preserve"> iebilduma noraidījumam</w:t>
            </w:r>
          </w:p>
        </w:tc>
        <w:tc>
          <w:tcPr>
            <w:tcW w:w="2110" w:type="dxa"/>
            <w:vAlign w:val="center"/>
          </w:tcPr>
          <w:p w14:paraId="5C77CB2E" w14:textId="77777777" w:rsidR="005F4BFD" w:rsidRPr="00735808" w:rsidRDefault="005F4BFD" w:rsidP="00735808">
            <w:pPr>
              <w:spacing w:before="60" w:after="60"/>
              <w:jc w:val="center"/>
              <w:rPr>
                <w:sz w:val="20"/>
                <w:szCs w:val="20"/>
              </w:rPr>
            </w:pPr>
            <w:r w:rsidRPr="00735808">
              <w:rPr>
                <w:sz w:val="20"/>
                <w:szCs w:val="20"/>
              </w:rPr>
              <w:t>Atzinuma sniedzēja uzturētais iebildums, ja tas atšķiras no atzinumā norādītā iebilduma pamatojuma</w:t>
            </w:r>
          </w:p>
        </w:tc>
        <w:tc>
          <w:tcPr>
            <w:tcW w:w="2414" w:type="dxa"/>
            <w:vAlign w:val="center"/>
          </w:tcPr>
          <w:p w14:paraId="7ABA905B" w14:textId="77777777" w:rsidR="005F4BFD" w:rsidRPr="00735808" w:rsidRDefault="005F4BFD" w:rsidP="00735808">
            <w:pPr>
              <w:spacing w:before="60" w:after="60"/>
              <w:jc w:val="center"/>
              <w:rPr>
                <w:sz w:val="20"/>
                <w:szCs w:val="20"/>
              </w:rPr>
            </w:pPr>
            <w:r w:rsidRPr="00735808">
              <w:rPr>
                <w:sz w:val="20"/>
                <w:szCs w:val="20"/>
              </w:rPr>
              <w:t>Projekta attiecīgā punkta (panta) galīgā redakcija</w:t>
            </w:r>
          </w:p>
        </w:tc>
      </w:tr>
      <w:tr w:rsidR="005F4BFD" w:rsidRPr="00735808" w14:paraId="6AFE9570" w14:textId="77777777" w:rsidTr="00735808">
        <w:trPr>
          <w:jc w:val="center"/>
        </w:trPr>
        <w:tc>
          <w:tcPr>
            <w:tcW w:w="731" w:type="dxa"/>
          </w:tcPr>
          <w:p w14:paraId="6D2F0C36" w14:textId="77777777" w:rsidR="005F4BFD" w:rsidRPr="00735808" w:rsidRDefault="008A36C9" w:rsidP="00735808">
            <w:pPr>
              <w:pStyle w:val="naisc"/>
              <w:spacing w:before="0" w:after="0"/>
              <w:rPr>
                <w:sz w:val="20"/>
                <w:szCs w:val="20"/>
              </w:rPr>
            </w:pPr>
            <w:r w:rsidRPr="00735808">
              <w:rPr>
                <w:sz w:val="20"/>
                <w:szCs w:val="20"/>
              </w:rPr>
              <w:t>1</w:t>
            </w:r>
          </w:p>
        </w:tc>
        <w:tc>
          <w:tcPr>
            <w:tcW w:w="2808" w:type="dxa"/>
          </w:tcPr>
          <w:p w14:paraId="40F45A1F" w14:textId="77777777" w:rsidR="005F4BFD" w:rsidRPr="00735808" w:rsidRDefault="008A36C9" w:rsidP="00735808">
            <w:pPr>
              <w:pStyle w:val="naisc"/>
              <w:spacing w:before="0" w:after="0"/>
              <w:ind w:firstLine="720"/>
              <w:rPr>
                <w:sz w:val="20"/>
                <w:szCs w:val="20"/>
              </w:rPr>
            </w:pPr>
            <w:r w:rsidRPr="00735808">
              <w:rPr>
                <w:sz w:val="20"/>
                <w:szCs w:val="20"/>
              </w:rPr>
              <w:t>2</w:t>
            </w:r>
          </w:p>
        </w:tc>
        <w:tc>
          <w:tcPr>
            <w:tcW w:w="3603" w:type="dxa"/>
          </w:tcPr>
          <w:p w14:paraId="79321D51" w14:textId="77777777" w:rsidR="005F4BFD" w:rsidRPr="00735808" w:rsidRDefault="008A36C9" w:rsidP="00735808">
            <w:pPr>
              <w:pStyle w:val="naisc"/>
              <w:spacing w:before="0" w:after="0"/>
              <w:ind w:firstLine="720"/>
              <w:rPr>
                <w:sz w:val="20"/>
                <w:szCs w:val="20"/>
              </w:rPr>
            </w:pPr>
            <w:r w:rsidRPr="00735808">
              <w:rPr>
                <w:sz w:val="20"/>
                <w:szCs w:val="20"/>
              </w:rPr>
              <w:t>3</w:t>
            </w:r>
          </w:p>
        </w:tc>
        <w:tc>
          <w:tcPr>
            <w:tcW w:w="3076" w:type="dxa"/>
          </w:tcPr>
          <w:p w14:paraId="129BA643" w14:textId="77777777" w:rsidR="005F4BFD" w:rsidRPr="00735808" w:rsidRDefault="008A36C9" w:rsidP="00735808">
            <w:pPr>
              <w:pStyle w:val="naisc"/>
              <w:spacing w:before="0" w:after="0"/>
              <w:ind w:firstLine="720"/>
              <w:rPr>
                <w:sz w:val="20"/>
                <w:szCs w:val="20"/>
              </w:rPr>
            </w:pPr>
            <w:r w:rsidRPr="00735808">
              <w:rPr>
                <w:sz w:val="20"/>
                <w:szCs w:val="20"/>
              </w:rPr>
              <w:t>4</w:t>
            </w:r>
          </w:p>
        </w:tc>
        <w:tc>
          <w:tcPr>
            <w:tcW w:w="2110" w:type="dxa"/>
          </w:tcPr>
          <w:p w14:paraId="7846194D" w14:textId="77777777" w:rsidR="005F4BFD" w:rsidRPr="00735808" w:rsidRDefault="008A36C9" w:rsidP="00735808">
            <w:pPr>
              <w:jc w:val="center"/>
              <w:rPr>
                <w:sz w:val="20"/>
                <w:szCs w:val="20"/>
              </w:rPr>
            </w:pPr>
            <w:r w:rsidRPr="00735808">
              <w:rPr>
                <w:sz w:val="20"/>
                <w:szCs w:val="20"/>
              </w:rPr>
              <w:t>5</w:t>
            </w:r>
          </w:p>
        </w:tc>
        <w:tc>
          <w:tcPr>
            <w:tcW w:w="2414" w:type="dxa"/>
          </w:tcPr>
          <w:p w14:paraId="34458B52" w14:textId="77777777" w:rsidR="005F4BFD" w:rsidRPr="00735808" w:rsidRDefault="008A36C9" w:rsidP="00735808">
            <w:pPr>
              <w:jc w:val="center"/>
              <w:rPr>
                <w:sz w:val="20"/>
                <w:szCs w:val="20"/>
              </w:rPr>
            </w:pPr>
            <w:r w:rsidRPr="00735808">
              <w:rPr>
                <w:sz w:val="20"/>
                <w:szCs w:val="20"/>
              </w:rPr>
              <w:t>6</w:t>
            </w:r>
          </w:p>
        </w:tc>
      </w:tr>
      <w:tr w:rsidR="004938A2" w:rsidRPr="007028DA" w14:paraId="63C2C51C" w14:textId="77777777" w:rsidTr="00735808">
        <w:trPr>
          <w:jc w:val="center"/>
        </w:trPr>
        <w:tc>
          <w:tcPr>
            <w:tcW w:w="731" w:type="dxa"/>
          </w:tcPr>
          <w:p w14:paraId="43B7E2EC" w14:textId="60C2E169" w:rsidR="004938A2" w:rsidRPr="007028DA" w:rsidRDefault="004938A2" w:rsidP="004938A2">
            <w:pPr>
              <w:pStyle w:val="naisc"/>
              <w:spacing w:before="60" w:after="60"/>
              <w:rPr>
                <w:b/>
              </w:rPr>
            </w:pPr>
          </w:p>
        </w:tc>
        <w:tc>
          <w:tcPr>
            <w:tcW w:w="2808" w:type="dxa"/>
          </w:tcPr>
          <w:p w14:paraId="00894DAE" w14:textId="1E8834CA" w:rsidR="004938A2" w:rsidRPr="007028DA" w:rsidRDefault="004938A2" w:rsidP="0056758E">
            <w:pPr>
              <w:pStyle w:val="naisf"/>
              <w:spacing w:before="0" w:after="0"/>
              <w:ind w:firstLine="0"/>
            </w:pPr>
          </w:p>
        </w:tc>
        <w:tc>
          <w:tcPr>
            <w:tcW w:w="3603" w:type="dxa"/>
          </w:tcPr>
          <w:p w14:paraId="2E75CCCD" w14:textId="3E214CB3" w:rsidR="004938A2" w:rsidRPr="007028DA" w:rsidRDefault="004938A2" w:rsidP="004938A2">
            <w:pPr>
              <w:widowControl w:val="0"/>
              <w:spacing w:before="60" w:after="60"/>
              <w:jc w:val="both"/>
            </w:pPr>
          </w:p>
        </w:tc>
        <w:tc>
          <w:tcPr>
            <w:tcW w:w="3076" w:type="dxa"/>
          </w:tcPr>
          <w:p w14:paraId="783E9DFA" w14:textId="2A09341F" w:rsidR="00F77CA8" w:rsidRPr="007028DA" w:rsidRDefault="00F77CA8" w:rsidP="00990D9A">
            <w:pPr>
              <w:rPr>
                <w:iCs/>
              </w:rPr>
            </w:pPr>
          </w:p>
        </w:tc>
        <w:tc>
          <w:tcPr>
            <w:tcW w:w="2110" w:type="dxa"/>
          </w:tcPr>
          <w:p w14:paraId="153F6C6F" w14:textId="4588BEB6" w:rsidR="00A61C77" w:rsidRPr="007028DA" w:rsidRDefault="00A61C77" w:rsidP="00A61C77">
            <w:pPr>
              <w:pStyle w:val="naisf"/>
              <w:spacing w:before="0" w:after="0"/>
              <w:ind w:firstLine="0"/>
            </w:pPr>
          </w:p>
        </w:tc>
        <w:tc>
          <w:tcPr>
            <w:tcW w:w="2414" w:type="dxa"/>
          </w:tcPr>
          <w:p w14:paraId="3D2F89B5" w14:textId="77777777" w:rsidR="004938A2" w:rsidRPr="007028DA" w:rsidRDefault="004938A2" w:rsidP="004938A2">
            <w:pPr>
              <w:shd w:val="clear" w:color="auto" w:fill="FFFFFF"/>
              <w:spacing w:before="60" w:after="60"/>
              <w:rPr>
                <w:color w:val="000000" w:themeColor="text1"/>
              </w:rPr>
            </w:pPr>
          </w:p>
        </w:tc>
      </w:tr>
    </w:tbl>
    <w:p w14:paraId="41D1C612" w14:textId="77777777" w:rsidR="007B4C0F" w:rsidRPr="006F17B3" w:rsidRDefault="007B4C0F" w:rsidP="007B4C0F">
      <w:pPr>
        <w:pStyle w:val="naisf"/>
        <w:spacing w:before="0" w:after="0"/>
        <w:ind w:firstLine="0"/>
        <w:rPr>
          <w:sz w:val="8"/>
          <w:szCs w:val="8"/>
        </w:rPr>
      </w:pPr>
    </w:p>
    <w:p w14:paraId="27A87236"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04325B03" w14:textId="77777777" w:rsidR="005D67F7" w:rsidRPr="006F17B3" w:rsidRDefault="005D67F7" w:rsidP="005D67F7">
      <w:pPr>
        <w:pStyle w:val="naisf"/>
        <w:spacing w:before="0" w:after="0"/>
        <w:ind w:firstLine="0"/>
        <w:rPr>
          <w:b/>
          <w:sz w:val="8"/>
          <w:szCs w:val="8"/>
        </w:rPr>
      </w:pPr>
    </w:p>
    <w:tbl>
      <w:tblPr>
        <w:tblW w:w="14283" w:type="dxa"/>
        <w:tblLook w:val="00A0" w:firstRow="1" w:lastRow="0" w:firstColumn="1" w:lastColumn="0" w:noHBand="0" w:noVBand="0"/>
      </w:tblPr>
      <w:tblGrid>
        <w:gridCol w:w="4395"/>
        <w:gridCol w:w="9888"/>
      </w:tblGrid>
      <w:tr w:rsidR="007B4C0F" w:rsidRPr="00712B66" w14:paraId="49980001" w14:textId="77777777" w:rsidTr="006F17B3">
        <w:tc>
          <w:tcPr>
            <w:tcW w:w="4395" w:type="dxa"/>
          </w:tcPr>
          <w:p w14:paraId="1ADA29F4" w14:textId="77777777" w:rsidR="007B4C0F" w:rsidRPr="00712B66" w:rsidRDefault="005D67F7" w:rsidP="0039066C">
            <w:pPr>
              <w:pStyle w:val="naisf"/>
              <w:spacing w:before="60" w:after="60"/>
              <w:ind w:firstLine="0"/>
            </w:pPr>
            <w:r w:rsidRPr="00712B66">
              <w:t>D</w:t>
            </w:r>
            <w:r w:rsidR="007B4C0F" w:rsidRPr="00712B66">
              <w:t>atums</w:t>
            </w:r>
          </w:p>
        </w:tc>
        <w:tc>
          <w:tcPr>
            <w:tcW w:w="9888" w:type="dxa"/>
            <w:tcBorders>
              <w:bottom w:val="single" w:sz="4" w:space="0" w:color="auto"/>
            </w:tcBorders>
          </w:tcPr>
          <w:p w14:paraId="776A8497" w14:textId="77777777" w:rsidR="002D2F8D" w:rsidRDefault="006B4D2B" w:rsidP="006B4D2B">
            <w:pPr>
              <w:pStyle w:val="NormalWeb"/>
              <w:spacing w:before="60" w:beforeAutospacing="0" w:after="60" w:afterAutospacing="0"/>
              <w:ind w:left="34"/>
            </w:pPr>
            <w:r>
              <w:t>25.04.2019</w:t>
            </w:r>
            <w:r w:rsidR="0064499E" w:rsidRPr="00CF22AB">
              <w:t>. i</w:t>
            </w:r>
            <w:r w:rsidR="0060493C" w:rsidRPr="00CF22AB">
              <w:t>zsludināts Valsts sekretāru sanāksmē (VSS-</w:t>
            </w:r>
            <w:r>
              <w:t>357</w:t>
            </w:r>
            <w:r w:rsidR="0060493C" w:rsidRPr="00CF22AB">
              <w:t>)</w:t>
            </w:r>
          </w:p>
          <w:p w14:paraId="7E89BC60" w14:textId="77777777" w:rsidR="005E3244" w:rsidRDefault="005E3244" w:rsidP="006B4D2B">
            <w:pPr>
              <w:pStyle w:val="NormalWeb"/>
              <w:spacing w:before="60" w:beforeAutospacing="0" w:after="60" w:afterAutospacing="0"/>
              <w:ind w:left="34"/>
            </w:pPr>
            <w:r>
              <w:t>20.05.2019. nosūtīts elektroniskai saskaņošanai</w:t>
            </w:r>
          </w:p>
          <w:p w14:paraId="4730396F" w14:textId="77777777" w:rsidR="003570A5" w:rsidRDefault="003570A5" w:rsidP="006B4D2B">
            <w:pPr>
              <w:pStyle w:val="NormalWeb"/>
              <w:spacing w:before="60" w:beforeAutospacing="0" w:after="60" w:afterAutospacing="0"/>
              <w:ind w:left="34"/>
            </w:pPr>
            <w:r>
              <w:t xml:space="preserve">07.06.2019. </w:t>
            </w:r>
            <w:proofErr w:type="spellStart"/>
            <w:r>
              <w:t>starpministriju</w:t>
            </w:r>
            <w:proofErr w:type="spellEnd"/>
            <w:r>
              <w:t xml:space="preserve"> saskaņošanas sanāksme</w:t>
            </w:r>
          </w:p>
          <w:p w14:paraId="0C418BAC" w14:textId="508A3302" w:rsidR="006F17B3" w:rsidRPr="00CF22AB" w:rsidRDefault="006F17B3" w:rsidP="006B4D2B">
            <w:pPr>
              <w:pStyle w:val="NormalWeb"/>
              <w:spacing w:before="60" w:beforeAutospacing="0" w:after="60" w:afterAutospacing="0"/>
              <w:ind w:left="34"/>
            </w:pPr>
            <w:r>
              <w:t>10.06.2019. atkārtota elektroniskā saskaņošana</w:t>
            </w:r>
          </w:p>
        </w:tc>
      </w:tr>
      <w:tr w:rsidR="007B4C0F" w:rsidRPr="00712B66" w14:paraId="716CBB76" w14:textId="77777777" w:rsidTr="006F17B3">
        <w:tc>
          <w:tcPr>
            <w:tcW w:w="4395" w:type="dxa"/>
          </w:tcPr>
          <w:p w14:paraId="6744FAE1" w14:textId="77777777" w:rsidR="007B4C0F" w:rsidRPr="00712B66" w:rsidRDefault="00365CC0" w:rsidP="0039066C">
            <w:pPr>
              <w:pStyle w:val="naiskr"/>
              <w:spacing w:before="60" w:after="60"/>
            </w:pPr>
            <w:r>
              <w:t>Saskaņošanas d</w:t>
            </w:r>
            <w:r w:rsidRPr="00712B66">
              <w:t>alībnieki</w:t>
            </w:r>
          </w:p>
        </w:tc>
        <w:tc>
          <w:tcPr>
            <w:tcW w:w="9888" w:type="dxa"/>
            <w:tcBorders>
              <w:bottom w:val="single" w:sz="4" w:space="0" w:color="auto"/>
            </w:tcBorders>
          </w:tcPr>
          <w:p w14:paraId="5C5985BE" w14:textId="79F30E22" w:rsidR="007B4C0F" w:rsidRPr="00CF22AB" w:rsidRDefault="00CF22AB" w:rsidP="0039066C">
            <w:pPr>
              <w:pStyle w:val="NormalWeb"/>
              <w:spacing w:before="60" w:beforeAutospacing="0" w:after="60" w:afterAutospacing="0"/>
            </w:pPr>
            <w:r w:rsidRPr="00CF22AB">
              <w:rPr>
                <w:color w:val="2A2A2A"/>
                <w:shd w:val="clear" w:color="auto" w:fill="FFFFFF"/>
              </w:rPr>
              <w:t>Tieslietu ministrija, Finanšu ministrija, Satiksmes ministrija, Vides aizsardzības un reģionālās attīstības ministrija, Zemkopības ministrija, Latvijas Darba devēju konfederācija, Degvielas tirgotāju un ražotāju savienība</w:t>
            </w:r>
            <w:r w:rsidR="00F70057">
              <w:rPr>
                <w:color w:val="2A2A2A"/>
                <w:shd w:val="clear" w:color="auto" w:fill="FFFFFF"/>
              </w:rPr>
              <w:t xml:space="preserve">, </w:t>
            </w:r>
            <w:r w:rsidRPr="00CF22AB">
              <w:rPr>
                <w:color w:val="2A2A2A"/>
                <w:shd w:val="clear" w:color="auto" w:fill="FFFFFF"/>
              </w:rPr>
              <w:t>Latvijas Degvielas tirgotāju asociācija</w:t>
            </w:r>
            <w:r w:rsidR="00F70057">
              <w:rPr>
                <w:color w:val="2A2A2A"/>
                <w:shd w:val="clear" w:color="auto" w:fill="FFFFFF"/>
              </w:rPr>
              <w:t xml:space="preserve">, </w:t>
            </w:r>
            <w:r w:rsidR="00F70057" w:rsidRPr="00F70057">
              <w:rPr>
                <w:color w:val="2A2A2A"/>
                <w:shd w:val="clear" w:color="auto" w:fill="FFFFFF"/>
              </w:rPr>
              <w:t>Latvijas Biodegvielu un bioenerģijas asociācija</w:t>
            </w:r>
            <w:r w:rsidR="00201045">
              <w:rPr>
                <w:color w:val="2A2A2A"/>
                <w:shd w:val="clear" w:color="auto" w:fill="FFFFFF"/>
              </w:rPr>
              <w:t xml:space="preserve">, </w:t>
            </w:r>
            <w:r w:rsidR="006B4D2B" w:rsidRPr="006B4D2B">
              <w:rPr>
                <w:color w:val="2A2A2A"/>
                <w:shd w:val="clear" w:color="auto" w:fill="FFFFFF"/>
              </w:rPr>
              <w:t>Latvijas Brīvo arodbiedrību savienība</w:t>
            </w:r>
          </w:p>
        </w:tc>
      </w:tr>
      <w:tr w:rsidR="0060493C" w:rsidRPr="00712B66" w14:paraId="28464C1F" w14:textId="77777777" w:rsidTr="006F17B3">
        <w:trPr>
          <w:trHeight w:val="285"/>
        </w:trPr>
        <w:tc>
          <w:tcPr>
            <w:tcW w:w="4395" w:type="dxa"/>
          </w:tcPr>
          <w:p w14:paraId="73609E37" w14:textId="77777777" w:rsidR="0060493C" w:rsidRPr="00712B66" w:rsidRDefault="0060493C" w:rsidP="0039066C">
            <w:pPr>
              <w:pStyle w:val="naiskr"/>
              <w:spacing w:before="60" w:after="60"/>
            </w:pPr>
            <w:r>
              <w:t>Saskaņošanas d</w:t>
            </w:r>
            <w:r w:rsidRPr="00712B66">
              <w:t xml:space="preserve">alībnieki izskatīja šādu ministriju </w:t>
            </w:r>
            <w:r>
              <w:t>(c</w:t>
            </w:r>
            <w:r w:rsidRPr="00712B66">
              <w:t>itu institūciju</w:t>
            </w:r>
            <w:r>
              <w:t>)</w:t>
            </w:r>
            <w:r w:rsidRPr="00712B66">
              <w:t xml:space="preserve"> iebildumus</w:t>
            </w:r>
          </w:p>
        </w:tc>
        <w:tc>
          <w:tcPr>
            <w:tcW w:w="9888" w:type="dxa"/>
            <w:tcBorders>
              <w:top w:val="single" w:sz="4" w:space="0" w:color="auto"/>
              <w:bottom w:val="single" w:sz="4" w:space="0" w:color="auto"/>
            </w:tcBorders>
          </w:tcPr>
          <w:p w14:paraId="6761A6BB" w14:textId="64EF11BA" w:rsidR="0060493C" w:rsidRPr="00CF22AB" w:rsidRDefault="0060493C" w:rsidP="00E71891">
            <w:pPr>
              <w:pStyle w:val="naiskr"/>
              <w:spacing w:before="60" w:after="60"/>
              <w:ind w:firstLine="12"/>
            </w:pPr>
            <w:r w:rsidRPr="00CF22AB">
              <w:t xml:space="preserve">Tieslietu ministrija, </w:t>
            </w:r>
            <w:r w:rsidR="006B4D2B">
              <w:t>Satiksmes ministrija</w:t>
            </w:r>
            <w:r w:rsidR="005E3244">
              <w:t>, Vides aizsardzības un reģionālās attīstības ministrija</w:t>
            </w:r>
          </w:p>
        </w:tc>
      </w:tr>
      <w:tr w:rsidR="007B4C0F" w:rsidRPr="00712B66" w14:paraId="2D3BB297" w14:textId="77777777" w:rsidTr="006F17B3">
        <w:tc>
          <w:tcPr>
            <w:tcW w:w="4395" w:type="dxa"/>
          </w:tcPr>
          <w:p w14:paraId="2BE3023A" w14:textId="77777777" w:rsidR="007B4C0F" w:rsidRPr="00712B66" w:rsidRDefault="007B4C0F" w:rsidP="0039066C">
            <w:pPr>
              <w:pStyle w:val="naiskr"/>
              <w:spacing w:before="60" w:after="60"/>
            </w:pPr>
            <w:r w:rsidRPr="00712B66">
              <w:t>Ministrijas (citas institūcijas), kuras nav ieradušās uz sanāksmi vai kuras nav atbildējušas uz uzaicinājumu piedalīties elektroniskajā saskaņošanā</w:t>
            </w:r>
          </w:p>
        </w:tc>
        <w:tc>
          <w:tcPr>
            <w:tcW w:w="9888" w:type="dxa"/>
            <w:tcBorders>
              <w:bottom w:val="single" w:sz="4" w:space="0" w:color="auto"/>
            </w:tcBorders>
          </w:tcPr>
          <w:p w14:paraId="3ED9310E" w14:textId="4DA33D58" w:rsidR="007B4C0F" w:rsidRPr="00712B66" w:rsidRDefault="007B4C0F" w:rsidP="0039066C">
            <w:pPr>
              <w:pStyle w:val="naiskr"/>
              <w:spacing w:before="60" w:after="60"/>
            </w:pPr>
          </w:p>
        </w:tc>
      </w:tr>
    </w:tbl>
    <w:p w14:paraId="663F0FCA" w14:textId="77777777" w:rsidR="00683081" w:rsidRPr="00712B66" w:rsidRDefault="00683081" w:rsidP="00683081">
      <w:pPr>
        <w:pStyle w:val="naisf"/>
        <w:spacing w:before="0" w:after="0"/>
        <w:ind w:firstLine="720"/>
      </w:pPr>
    </w:p>
    <w:p w14:paraId="1C4D966C" w14:textId="77777777" w:rsidR="00BF4DEC" w:rsidRDefault="00BF4DEC" w:rsidP="00184479">
      <w:pPr>
        <w:pStyle w:val="naisf"/>
        <w:spacing w:before="0" w:after="0"/>
        <w:ind w:firstLine="0"/>
        <w:jc w:val="center"/>
        <w:rPr>
          <w:b/>
        </w:rPr>
        <w:sectPr w:rsidR="00BF4DEC" w:rsidSect="00201045">
          <w:headerReference w:type="even" r:id="rId8"/>
          <w:headerReference w:type="default" r:id="rId9"/>
          <w:footerReference w:type="default" r:id="rId10"/>
          <w:headerReference w:type="first" r:id="rId11"/>
          <w:footerReference w:type="first" r:id="rId12"/>
          <w:pgSz w:w="16838" w:h="11906" w:orient="landscape" w:code="9"/>
          <w:pgMar w:top="1418" w:right="1134" w:bottom="1134" w:left="1701" w:header="567" w:footer="567" w:gutter="0"/>
          <w:cols w:space="708"/>
          <w:titlePg/>
          <w:docGrid w:linePitch="360"/>
        </w:sectPr>
      </w:pPr>
    </w:p>
    <w:p w14:paraId="67905F22" w14:textId="77777777" w:rsidR="007B4C0F" w:rsidRPr="00712B66" w:rsidRDefault="007B4C0F"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tbl>
      <w:tblPr>
        <w:tblW w:w="1499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7"/>
        <w:gridCol w:w="3041"/>
        <w:gridCol w:w="4047"/>
        <w:gridCol w:w="2976"/>
        <w:gridCol w:w="4291"/>
      </w:tblGrid>
      <w:tr w:rsidR="00134188" w:rsidRPr="0040253F" w14:paraId="455A96C7"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vAlign w:val="center"/>
          </w:tcPr>
          <w:p w14:paraId="289E9A82" w14:textId="77777777" w:rsidR="00134188" w:rsidRPr="0040253F" w:rsidRDefault="00134188" w:rsidP="0040253F">
            <w:pPr>
              <w:pStyle w:val="naisc"/>
              <w:spacing w:before="0" w:after="0"/>
              <w:rPr>
                <w:sz w:val="22"/>
                <w:szCs w:val="22"/>
              </w:rPr>
            </w:pPr>
            <w:r w:rsidRPr="0040253F">
              <w:rPr>
                <w:sz w:val="22"/>
                <w:szCs w:val="22"/>
              </w:rPr>
              <w:t>Nr. p.k.</w:t>
            </w:r>
          </w:p>
        </w:tc>
        <w:tc>
          <w:tcPr>
            <w:tcW w:w="3041" w:type="dxa"/>
            <w:tcBorders>
              <w:top w:val="single" w:sz="6" w:space="0" w:color="000000"/>
              <w:left w:val="single" w:sz="6" w:space="0" w:color="000000"/>
              <w:bottom w:val="single" w:sz="6" w:space="0" w:color="000000"/>
              <w:right w:val="single" w:sz="6" w:space="0" w:color="000000"/>
            </w:tcBorders>
            <w:vAlign w:val="center"/>
          </w:tcPr>
          <w:p w14:paraId="679A2A11" w14:textId="77777777" w:rsidR="00134188" w:rsidRPr="0040253F" w:rsidRDefault="00134188" w:rsidP="0040253F">
            <w:pPr>
              <w:pStyle w:val="naisc"/>
              <w:spacing w:before="0" w:after="0"/>
              <w:rPr>
                <w:sz w:val="22"/>
                <w:szCs w:val="22"/>
              </w:rPr>
            </w:pPr>
            <w:r w:rsidRPr="0040253F">
              <w:rPr>
                <w:sz w:val="22"/>
                <w:szCs w:val="22"/>
              </w:rPr>
              <w:t>Saskaņošanai nosūtītā projekta redakcija (konkrēta punkta (panta) redakcija)</w:t>
            </w:r>
          </w:p>
        </w:tc>
        <w:tc>
          <w:tcPr>
            <w:tcW w:w="4047" w:type="dxa"/>
            <w:tcBorders>
              <w:top w:val="single" w:sz="6" w:space="0" w:color="000000"/>
              <w:left w:val="single" w:sz="6" w:space="0" w:color="000000"/>
              <w:bottom w:val="single" w:sz="6" w:space="0" w:color="000000"/>
              <w:right w:val="single" w:sz="6" w:space="0" w:color="000000"/>
            </w:tcBorders>
            <w:vAlign w:val="center"/>
          </w:tcPr>
          <w:p w14:paraId="204CBAE6" w14:textId="77777777" w:rsidR="00134188" w:rsidRPr="0040253F" w:rsidRDefault="00134188" w:rsidP="0040253F">
            <w:pPr>
              <w:pStyle w:val="naisc"/>
              <w:spacing w:before="0" w:after="0"/>
              <w:rPr>
                <w:sz w:val="22"/>
                <w:szCs w:val="22"/>
              </w:rPr>
            </w:pPr>
            <w:r w:rsidRPr="0040253F">
              <w:rPr>
                <w:sz w:val="22"/>
                <w:szCs w:val="22"/>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3AAAD289" w14:textId="77777777" w:rsidR="00134188" w:rsidRPr="0040253F" w:rsidRDefault="00134188" w:rsidP="0040253F">
            <w:pPr>
              <w:pStyle w:val="naisc"/>
              <w:spacing w:before="0" w:after="0"/>
              <w:rPr>
                <w:sz w:val="22"/>
                <w:szCs w:val="22"/>
              </w:rPr>
            </w:pPr>
            <w:r w:rsidRPr="0040253F">
              <w:rPr>
                <w:sz w:val="22"/>
                <w:szCs w:val="22"/>
              </w:rPr>
              <w:t>Atbildīgās ministrijas norāde</w:t>
            </w:r>
            <w:r w:rsidR="006C1C48" w:rsidRPr="0040253F">
              <w:rPr>
                <w:sz w:val="22"/>
                <w:szCs w:val="22"/>
              </w:rPr>
              <w:t xml:space="preserve"> par to, ka </w:t>
            </w:r>
            <w:r w:rsidRPr="0040253F">
              <w:rPr>
                <w:sz w:val="22"/>
                <w:szCs w:val="22"/>
              </w:rPr>
              <w:t>iebildums ir ņemts vērā</w:t>
            </w:r>
            <w:r w:rsidR="006455E7" w:rsidRPr="0040253F">
              <w:rPr>
                <w:sz w:val="22"/>
                <w:szCs w:val="22"/>
              </w:rPr>
              <w:t>,</w:t>
            </w:r>
            <w:r w:rsidRPr="0040253F">
              <w:rPr>
                <w:sz w:val="22"/>
                <w:szCs w:val="22"/>
              </w:rPr>
              <w:t xml:space="preserve"> vai </w:t>
            </w:r>
            <w:r w:rsidR="006C1C48" w:rsidRPr="0040253F">
              <w:rPr>
                <w:sz w:val="22"/>
                <w:szCs w:val="22"/>
              </w:rPr>
              <w:t xml:space="preserve">informācija par saskaņošanā </w:t>
            </w:r>
            <w:r w:rsidR="00022B0F" w:rsidRPr="0040253F">
              <w:rPr>
                <w:sz w:val="22"/>
                <w:szCs w:val="22"/>
              </w:rPr>
              <w:t>panākto alternatīvo risinājumu</w:t>
            </w:r>
          </w:p>
        </w:tc>
        <w:tc>
          <w:tcPr>
            <w:tcW w:w="4291" w:type="dxa"/>
            <w:tcBorders>
              <w:top w:val="single" w:sz="4" w:space="0" w:color="auto"/>
              <w:left w:val="single" w:sz="4" w:space="0" w:color="auto"/>
              <w:bottom w:val="single" w:sz="4" w:space="0" w:color="auto"/>
            </w:tcBorders>
            <w:vAlign w:val="center"/>
          </w:tcPr>
          <w:p w14:paraId="465BA876" w14:textId="77777777" w:rsidR="00134188" w:rsidRPr="0040253F" w:rsidRDefault="00134188" w:rsidP="0040253F">
            <w:pPr>
              <w:jc w:val="center"/>
              <w:rPr>
                <w:sz w:val="22"/>
                <w:szCs w:val="22"/>
              </w:rPr>
            </w:pPr>
            <w:r w:rsidRPr="0040253F">
              <w:rPr>
                <w:sz w:val="22"/>
                <w:szCs w:val="22"/>
              </w:rPr>
              <w:t>Projekta attiecīgā punkta (panta) galīgā redakcija</w:t>
            </w:r>
          </w:p>
        </w:tc>
      </w:tr>
      <w:tr w:rsidR="00134188" w:rsidRPr="0040253F" w14:paraId="62D8066E"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tcPr>
          <w:p w14:paraId="3F5716F3" w14:textId="77777777" w:rsidR="00134188" w:rsidRPr="0040253F" w:rsidRDefault="003B71E0" w:rsidP="0040253F">
            <w:pPr>
              <w:pStyle w:val="naisc"/>
              <w:spacing w:before="0" w:after="0"/>
              <w:rPr>
                <w:sz w:val="20"/>
                <w:szCs w:val="20"/>
              </w:rPr>
            </w:pPr>
            <w:r w:rsidRPr="0040253F">
              <w:rPr>
                <w:sz w:val="20"/>
                <w:szCs w:val="20"/>
              </w:rPr>
              <w:t>1</w:t>
            </w:r>
          </w:p>
        </w:tc>
        <w:tc>
          <w:tcPr>
            <w:tcW w:w="3041" w:type="dxa"/>
            <w:tcBorders>
              <w:top w:val="single" w:sz="6" w:space="0" w:color="000000"/>
              <w:left w:val="single" w:sz="6" w:space="0" w:color="000000"/>
              <w:bottom w:val="single" w:sz="6" w:space="0" w:color="000000"/>
              <w:right w:val="single" w:sz="6" w:space="0" w:color="000000"/>
            </w:tcBorders>
          </w:tcPr>
          <w:p w14:paraId="0B184D22" w14:textId="77777777" w:rsidR="00134188" w:rsidRPr="0040253F" w:rsidRDefault="00F34AAB" w:rsidP="0040253F">
            <w:pPr>
              <w:pStyle w:val="naisc"/>
              <w:spacing w:before="0" w:after="0"/>
              <w:rPr>
                <w:sz w:val="20"/>
                <w:szCs w:val="20"/>
              </w:rPr>
            </w:pPr>
            <w:r w:rsidRPr="0040253F">
              <w:rPr>
                <w:sz w:val="20"/>
                <w:szCs w:val="20"/>
              </w:rPr>
              <w:t>2</w:t>
            </w:r>
          </w:p>
        </w:tc>
        <w:tc>
          <w:tcPr>
            <w:tcW w:w="4047" w:type="dxa"/>
            <w:tcBorders>
              <w:top w:val="single" w:sz="6" w:space="0" w:color="000000"/>
              <w:left w:val="single" w:sz="6" w:space="0" w:color="000000"/>
              <w:bottom w:val="single" w:sz="6" w:space="0" w:color="000000"/>
              <w:right w:val="single" w:sz="6" w:space="0" w:color="000000"/>
            </w:tcBorders>
          </w:tcPr>
          <w:p w14:paraId="3E53D78F" w14:textId="77777777" w:rsidR="00134188" w:rsidRPr="0040253F" w:rsidRDefault="003B71E0" w:rsidP="0040253F">
            <w:pPr>
              <w:pStyle w:val="naisc"/>
              <w:spacing w:before="0" w:after="0"/>
              <w:rPr>
                <w:sz w:val="20"/>
                <w:szCs w:val="20"/>
              </w:rPr>
            </w:pPr>
            <w:r w:rsidRPr="0040253F">
              <w:rPr>
                <w:sz w:val="20"/>
                <w:szCs w:val="20"/>
              </w:rPr>
              <w:t>3</w:t>
            </w:r>
          </w:p>
        </w:tc>
        <w:tc>
          <w:tcPr>
            <w:tcW w:w="2976" w:type="dxa"/>
            <w:tcBorders>
              <w:top w:val="single" w:sz="6" w:space="0" w:color="000000"/>
              <w:left w:val="single" w:sz="6" w:space="0" w:color="000000"/>
              <w:bottom w:val="single" w:sz="6" w:space="0" w:color="000000"/>
              <w:right w:val="single" w:sz="6" w:space="0" w:color="000000"/>
            </w:tcBorders>
          </w:tcPr>
          <w:p w14:paraId="31816A5B" w14:textId="77777777" w:rsidR="00134188" w:rsidRPr="0040253F" w:rsidRDefault="003B71E0" w:rsidP="0040253F">
            <w:pPr>
              <w:pStyle w:val="naisc"/>
              <w:spacing w:before="0" w:after="0"/>
              <w:rPr>
                <w:sz w:val="20"/>
                <w:szCs w:val="20"/>
              </w:rPr>
            </w:pPr>
            <w:r w:rsidRPr="0040253F">
              <w:rPr>
                <w:sz w:val="20"/>
                <w:szCs w:val="20"/>
              </w:rPr>
              <w:t>4</w:t>
            </w:r>
          </w:p>
        </w:tc>
        <w:tc>
          <w:tcPr>
            <w:tcW w:w="4291" w:type="dxa"/>
            <w:tcBorders>
              <w:top w:val="single" w:sz="4" w:space="0" w:color="auto"/>
              <w:left w:val="single" w:sz="4" w:space="0" w:color="auto"/>
              <w:bottom w:val="single" w:sz="4" w:space="0" w:color="auto"/>
            </w:tcBorders>
          </w:tcPr>
          <w:p w14:paraId="4CDA03FE" w14:textId="77777777" w:rsidR="00134188" w:rsidRPr="0040253F" w:rsidRDefault="003B71E0" w:rsidP="0040253F">
            <w:pPr>
              <w:jc w:val="center"/>
              <w:rPr>
                <w:sz w:val="20"/>
                <w:szCs w:val="20"/>
              </w:rPr>
            </w:pPr>
            <w:r w:rsidRPr="0040253F">
              <w:rPr>
                <w:sz w:val="20"/>
                <w:szCs w:val="20"/>
              </w:rPr>
              <w:t>5</w:t>
            </w:r>
          </w:p>
        </w:tc>
      </w:tr>
      <w:tr w:rsidR="00A61C77" w:rsidRPr="0040253F" w14:paraId="6EF31532" w14:textId="77777777" w:rsidTr="00661D7D">
        <w:trPr>
          <w:jc w:val="center"/>
        </w:trPr>
        <w:tc>
          <w:tcPr>
            <w:tcW w:w="637" w:type="dxa"/>
            <w:tcBorders>
              <w:top w:val="single" w:sz="6" w:space="0" w:color="000000"/>
              <w:left w:val="single" w:sz="6" w:space="0" w:color="000000"/>
              <w:right w:val="single" w:sz="6" w:space="0" w:color="000000"/>
            </w:tcBorders>
          </w:tcPr>
          <w:p w14:paraId="36552790" w14:textId="2FD0312F" w:rsidR="00A61C77" w:rsidRPr="0040253F" w:rsidRDefault="00A61C77" w:rsidP="0040253F">
            <w:pPr>
              <w:pStyle w:val="naisc"/>
              <w:spacing w:before="60" w:after="60"/>
              <w:rPr>
                <w:b/>
              </w:rPr>
            </w:pPr>
            <w:r w:rsidRPr="0040253F">
              <w:rPr>
                <w:b/>
              </w:rPr>
              <w:t>1</w:t>
            </w:r>
          </w:p>
        </w:tc>
        <w:tc>
          <w:tcPr>
            <w:tcW w:w="3041" w:type="dxa"/>
            <w:tcBorders>
              <w:top w:val="single" w:sz="6" w:space="0" w:color="000000"/>
              <w:left w:val="single" w:sz="6" w:space="0" w:color="000000"/>
              <w:right w:val="single" w:sz="6" w:space="0" w:color="000000"/>
            </w:tcBorders>
          </w:tcPr>
          <w:p w14:paraId="4D029291" w14:textId="77777777" w:rsidR="00A61C77" w:rsidRPr="0040253F" w:rsidRDefault="00A61C77" w:rsidP="0040253F">
            <w:pPr>
              <w:shd w:val="clear" w:color="auto" w:fill="FFFFFF"/>
              <w:spacing w:before="60" w:after="60"/>
              <w:rPr>
                <w:color w:val="000000" w:themeColor="text1"/>
              </w:rPr>
            </w:pPr>
            <w:r w:rsidRPr="0040253F">
              <w:rPr>
                <w:color w:val="000000" w:themeColor="text1"/>
              </w:rPr>
              <w:t>Noteikumu projekta 1.punkts:</w:t>
            </w:r>
          </w:p>
          <w:p w14:paraId="76BDB0CB" w14:textId="77777777" w:rsidR="00A61C77" w:rsidRPr="0040253F" w:rsidRDefault="00A61C77" w:rsidP="0040253F">
            <w:pPr>
              <w:pStyle w:val="naisf"/>
              <w:spacing w:before="60" w:after="60"/>
              <w:ind w:firstLine="0"/>
            </w:pPr>
            <w:r w:rsidRPr="0040253F">
              <w:rPr>
                <w:color w:val="000000" w:themeColor="text1"/>
              </w:rPr>
              <w:t xml:space="preserve">“1. </w:t>
            </w:r>
            <w:r w:rsidRPr="0040253F">
              <w:t>Izteikt 3. punktu šādā redakcijā:</w:t>
            </w:r>
          </w:p>
          <w:p w14:paraId="7BDB9D92" w14:textId="66346011" w:rsidR="00A61C77" w:rsidRPr="0040253F" w:rsidRDefault="00A61C77" w:rsidP="0040253F">
            <w:pPr>
              <w:shd w:val="clear" w:color="auto" w:fill="FFFFFF"/>
              <w:spacing w:before="60" w:after="60"/>
            </w:pPr>
            <w:r w:rsidRPr="0040253F">
              <w:t xml:space="preserve">“3. Šos noteikumus degvielas piegādātājs vai degvielas piegādātāju grupa (turpmāk – degvielas piegādātājs) piemēro degvielai, kas kā transporta enerģija tiek izmantota autotransportlīdzekļos ceļu satiksmē, autoceļiem neparedzētajā mobilajā tehnikā (tostarp dzelzceļa transportlīdzekļos, iekšzemes ūdensceļu kuģos, kas kuģo iekšējos ūdeņos un izņemot gaisa transportu), lauksaimniecības un mežsaimniecības traktortehnikā, atpūtas kuģos, kas kuģo iekšējos ūdeņos, kā arī elektroenerģijai, kas tiek piegādāta </w:t>
            </w:r>
            <w:proofErr w:type="spellStart"/>
            <w:r w:rsidRPr="0040253F">
              <w:lastRenderedPageBreak/>
              <w:t>elektrotransportlīdzekļiem</w:t>
            </w:r>
            <w:proofErr w:type="spellEnd"/>
            <w:r w:rsidRPr="0040253F">
              <w:t>.”.”</w:t>
            </w:r>
          </w:p>
        </w:tc>
        <w:tc>
          <w:tcPr>
            <w:tcW w:w="4047" w:type="dxa"/>
            <w:tcBorders>
              <w:top w:val="single" w:sz="6" w:space="0" w:color="000000"/>
              <w:left w:val="single" w:sz="6" w:space="0" w:color="000000"/>
              <w:bottom w:val="single" w:sz="6" w:space="0" w:color="000000"/>
              <w:right w:val="single" w:sz="6" w:space="0" w:color="000000"/>
            </w:tcBorders>
          </w:tcPr>
          <w:p w14:paraId="6DD9C948" w14:textId="77777777" w:rsidR="00A61C77" w:rsidRPr="0040253F" w:rsidRDefault="00A61C77" w:rsidP="0040253F">
            <w:pPr>
              <w:widowControl w:val="0"/>
              <w:spacing w:before="60" w:after="60"/>
              <w:jc w:val="center"/>
              <w:rPr>
                <w:b/>
              </w:rPr>
            </w:pPr>
            <w:r w:rsidRPr="0040253F">
              <w:rPr>
                <w:b/>
              </w:rPr>
              <w:lastRenderedPageBreak/>
              <w:t>Satiksmes ministrija</w:t>
            </w:r>
          </w:p>
          <w:p w14:paraId="3BD60314" w14:textId="77777777" w:rsidR="00A61C77" w:rsidRPr="0040253F" w:rsidRDefault="00A61C77" w:rsidP="0040253F">
            <w:pPr>
              <w:widowControl w:val="0"/>
              <w:spacing w:before="60" w:after="60"/>
              <w:jc w:val="center"/>
              <w:rPr>
                <w:b/>
              </w:rPr>
            </w:pPr>
            <w:r w:rsidRPr="0040253F">
              <w:rPr>
                <w:b/>
              </w:rPr>
              <w:t>(2019.gada 14.maijs)</w:t>
            </w:r>
          </w:p>
          <w:p w14:paraId="437C2FDF" w14:textId="77777777" w:rsidR="00A61C77" w:rsidRPr="0040253F" w:rsidRDefault="00A61C77" w:rsidP="0040253F">
            <w:pPr>
              <w:autoSpaceDE w:val="0"/>
              <w:autoSpaceDN w:val="0"/>
              <w:adjustRightInd w:val="0"/>
              <w:spacing w:before="60" w:after="60"/>
              <w:jc w:val="both"/>
            </w:pPr>
            <w:r w:rsidRPr="0040253F">
              <w:rPr>
                <w:b/>
              </w:rPr>
              <w:t>1.</w:t>
            </w:r>
            <w:r w:rsidRPr="0040253F">
              <w:t xml:space="preserve"> Noteikumu projekta 1.punktā ietvertais 3.punkts izteikts jaunā redakcijā, saskaņā ar kuru Ministru kabineta 2018.gada 25.septembra noteikumus Nr.597 “Transporta enerģijas aprites cikla siltumnīcefekta gāzu emisiju daudzuma un tā samazinājuma aprēķināšanas un ziņošanas kārtība” (turpmāk - Noteikumi) degvielas piegādātājs vai degvielu piegādātāju grupa piemēro degvielai, kas kā transporta enerģija tiek izmantota autotransportlīdzekļos ceļu satiksmē, autoceļiem neparedzētajā mobilajā tehnikā (tostarp dzelzceļa transportlīdzekļos, iekšzemes ūdensceļu kuģos, kas kuģo iekšējos ūdeņos un izņemot gaisa transportu), lauksaimniecības un mežsaimniecības traktortehnikā, atpūtas kuģos, kas kuģo iekšējos ūdeņos, kā arī elektroenerģijai, kas tiek piegādāta </w:t>
            </w:r>
            <w:proofErr w:type="spellStart"/>
            <w:r w:rsidRPr="0040253F">
              <w:t>elektrotransportlīdzekļiem</w:t>
            </w:r>
            <w:proofErr w:type="spellEnd"/>
            <w:r w:rsidRPr="0040253F">
              <w:t xml:space="preserve">. </w:t>
            </w:r>
          </w:p>
          <w:p w14:paraId="0E454DE3" w14:textId="77777777" w:rsidR="00A61C77" w:rsidRPr="0040253F" w:rsidRDefault="00A61C77" w:rsidP="0040253F">
            <w:pPr>
              <w:autoSpaceDE w:val="0"/>
              <w:autoSpaceDN w:val="0"/>
              <w:adjustRightInd w:val="0"/>
              <w:spacing w:before="60" w:after="60"/>
              <w:ind w:firstLine="720"/>
              <w:jc w:val="both"/>
              <w:rPr>
                <w:rFonts w:eastAsia="Calibri"/>
              </w:rPr>
            </w:pPr>
            <w:r w:rsidRPr="0040253F">
              <w:lastRenderedPageBreak/>
              <w:t xml:space="preserve">Lai arī Eiropas Savienības Padomes 2015.gada 20.aprīļa Direktīvā (ES) 2015/652, ar ko nosaka aprēķina metodes un ziņošanas prasības, ievērojot Eiropas Parlamenta un Padomes Direktīvu 98/70/EK, attiecībā uz benzīna un dīzeļdegvielu kvalitāti, (turpmāk – Direktīva 2015/652) nav ietverta jēdziena “iekšzemes ūdensceļu kuģis” definīcija, interpretējot Direktīvu 2015/652 sistēmiski ar citiem Eiropas Savienības tiesību aktiem vides aizsardzības jomā, ir secināms, ka “iekšzemes ūdensceļu kuģis” ir kuģis, kas ietilpst Eiropas Parlamenta un Padomes 2016.gada 14.septembra Direktīvas (ES) 2016/1629, ar ko nosaka tehniskās prasības attiecībā uz iekšzemes ūdensceļu kuģiem, groza Direktīvu 2009/100/EK un atceļ Direktīvu 2006/87/EK (turpmāk – Direktīva 2016/1629) darbības jomā (Eiropas Parlamenta un Padomes 2016.gada 14.septembra Regulas (ES) Nr.2016/1628 par prasībām attiecībā uz autoceļiem neparedzētas mobilās tehnikas </w:t>
            </w:r>
            <w:proofErr w:type="spellStart"/>
            <w:r w:rsidRPr="0040253F">
              <w:t>iekšdedzes</w:t>
            </w:r>
            <w:proofErr w:type="spellEnd"/>
            <w:r w:rsidRPr="0040253F">
              <w:t xml:space="preserve"> motoru gāzveida un </w:t>
            </w:r>
            <w:proofErr w:type="spellStart"/>
            <w:r w:rsidRPr="0040253F">
              <w:t>daļiņveida</w:t>
            </w:r>
            <w:proofErr w:type="spellEnd"/>
            <w:r w:rsidRPr="0040253F">
              <w:t xml:space="preserve"> piesārņotāju emisiju robežvērtībām un tipa apstiprināšanu, ar ko groza Regulas (ES) Nr.1024/2012 un (ES) Nr.167/2013 un groza un atceļ Direktīvu 97/68/EK, 3.panta 34.punkts). </w:t>
            </w:r>
          </w:p>
          <w:p w14:paraId="13C9C912" w14:textId="77777777" w:rsidR="00A61C77" w:rsidRPr="0040253F" w:rsidRDefault="00A61C77" w:rsidP="0040253F">
            <w:pPr>
              <w:autoSpaceDE w:val="0"/>
              <w:autoSpaceDN w:val="0"/>
              <w:adjustRightInd w:val="0"/>
              <w:spacing w:before="60" w:after="60"/>
              <w:ind w:firstLine="720"/>
              <w:jc w:val="both"/>
            </w:pPr>
            <w:r w:rsidRPr="0040253F">
              <w:lastRenderedPageBreak/>
              <w:t>Saskaņā ar Direktīvas 2016/1629 40.pantu Latvija neietilpst Direktīvas 2016/1629 darbības jomā. Tādējādi atzīstams, ka Latvijā nav iekšzemes ūdensceļu kuģu, kam būtu piemērojamas Direktīvā 2015/652 noteiktās prasības.</w:t>
            </w:r>
          </w:p>
          <w:p w14:paraId="3338D736" w14:textId="4E742FFA" w:rsidR="00A61C77" w:rsidRPr="0040253F" w:rsidRDefault="00A61C77" w:rsidP="0040253F">
            <w:pPr>
              <w:autoSpaceDE w:val="0"/>
              <w:autoSpaceDN w:val="0"/>
              <w:adjustRightInd w:val="0"/>
              <w:spacing w:before="60" w:after="60"/>
              <w:ind w:firstLine="720"/>
              <w:jc w:val="both"/>
              <w:rPr>
                <w:color w:val="FF0000"/>
              </w:rPr>
            </w:pPr>
            <w:r w:rsidRPr="0040253F">
              <w:t>Ņemot vērā minēto, lūdzam noteikumu projekta 1.punkta ietvertajā 3.punktā svītrot vārdus “iekšzemes ūdensceļu kuģos, kas kuģo iekšējos ūdeņos” un attiecīgi papildināt noteikumu projekta anotāciju.</w:t>
            </w:r>
            <w:r w:rsidRPr="0040253F">
              <w:rPr>
                <w:color w:val="FF0000"/>
              </w:rPr>
              <w:t xml:space="preserve"> </w:t>
            </w:r>
          </w:p>
        </w:tc>
        <w:tc>
          <w:tcPr>
            <w:tcW w:w="2976" w:type="dxa"/>
            <w:tcBorders>
              <w:top w:val="single" w:sz="6" w:space="0" w:color="000000"/>
              <w:left w:val="single" w:sz="6" w:space="0" w:color="000000"/>
              <w:right w:val="single" w:sz="6" w:space="0" w:color="000000"/>
            </w:tcBorders>
          </w:tcPr>
          <w:p w14:paraId="307B21D6" w14:textId="77777777" w:rsidR="00A61C77" w:rsidRPr="0040253F" w:rsidRDefault="00A61C77" w:rsidP="0040253F">
            <w:pPr>
              <w:spacing w:before="60" w:after="60"/>
              <w:jc w:val="center"/>
              <w:rPr>
                <w:b/>
                <w:iCs/>
              </w:rPr>
            </w:pPr>
            <w:r w:rsidRPr="0040253F">
              <w:rPr>
                <w:b/>
                <w:iCs/>
              </w:rPr>
              <w:lastRenderedPageBreak/>
              <w:t>Ņemts vērā</w:t>
            </w:r>
          </w:p>
          <w:p w14:paraId="26A4FF1F" w14:textId="3ACC591C" w:rsidR="00A61C77" w:rsidRPr="0040253F" w:rsidRDefault="00A61C77" w:rsidP="0040253F">
            <w:pPr>
              <w:spacing w:before="60" w:after="60"/>
              <w:jc w:val="center"/>
              <w:rPr>
                <w:b/>
                <w:iCs/>
              </w:rPr>
            </w:pPr>
          </w:p>
        </w:tc>
        <w:tc>
          <w:tcPr>
            <w:tcW w:w="4291" w:type="dxa"/>
            <w:tcBorders>
              <w:top w:val="single" w:sz="4" w:space="0" w:color="auto"/>
              <w:left w:val="single" w:sz="4" w:space="0" w:color="auto"/>
            </w:tcBorders>
          </w:tcPr>
          <w:p w14:paraId="6F2E4FB7" w14:textId="77777777" w:rsidR="00A61C77" w:rsidRPr="0040253F" w:rsidRDefault="00A61C77" w:rsidP="0040253F">
            <w:pPr>
              <w:pStyle w:val="naisf"/>
              <w:spacing w:before="60" w:after="60"/>
              <w:ind w:firstLine="0"/>
            </w:pPr>
            <w:r w:rsidRPr="0040253F">
              <w:t>Noteikumu projekta 1.punkts ir izteikts šādā redakcijā:</w:t>
            </w:r>
          </w:p>
          <w:p w14:paraId="58C42BD5" w14:textId="77777777" w:rsidR="000A1D74" w:rsidRPr="0040253F" w:rsidRDefault="0056758E" w:rsidP="0040253F">
            <w:pPr>
              <w:pStyle w:val="naisf"/>
              <w:spacing w:before="60" w:after="60"/>
              <w:ind w:firstLine="0"/>
            </w:pPr>
            <w:r w:rsidRPr="0040253F">
              <w:t>“</w:t>
            </w:r>
            <w:r w:rsidR="000A1D74" w:rsidRPr="0040253F">
              <w:t>1. Izteikt 3. punktu šādā redakcijā:</w:t>
            </w:r>
          </w:p>
          <w:p w14:paraId="78D273A7" w14:textId="201E1929" w:rsidR="000A1D74" w:rsidRPr="0040253F" w:rsidRDefault="000A1D74" w:rsidP="0040253F">
            <w:pPr>
              <w:pStyle w:val="naisf"/>
              <w:spacing w:before="60" w:after="60"/>
              <w:ind w:firstLine="0"/>
            </w:pPr>
            <w:r w:rsidRPr="0040253F">
              <w:t>“3. Šos noteikumus degvielas piegādātājs vai degvielas piegādātāju grupa (turpmāk – degvielas piegādātājs) piemēro degvielai, kas kā transporta enerģija tiek izmantota autotransportlīdzekļos ceļu satiksmē, autoceļiem neparedzētajā mobilajā tehnikā – dzelzceļa transportlīdzekļos; lauksaimniecības un mežsaimniecības traktortehnikā, normatīvajos aktos par atpūtas kuģu un ūdens motociklu būvniecību, atbilstības novērtēšanu un piedāvāšanu tirgū minēt</w:t>
            </w:r>
            <w:r w:rsidR="003570A5" w:rsidRPr="0040253F">
              <w:t>aj</w:t>
            </w:r>
            <w:r w:rsidRPr="0040253F">
              <w:t xml:space="preserve">os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noteikumus degvielas piegādātājs nepiemēro degvielai un biodegvielai, kas kā transporta enerģija tiek izmantota gaisa transportā”.</w:t>
            </w:r>
          </w:p>
          <w:p w14:paraId="1AA38566" w14:textId="01133425" w:rsidR="000A1D74" w:rsidRPr="0040253F" w:rsidRDefault="000A1D74" w:rsidP="0040253F">
            <w:pPr>
              <w:shd w:val="clear" w:color="auto" w:fill="FFFFFF"/>
              <w:spacing w:before="60" w:after="60"/>
            </w:pPr>
          </w:p>
          <w:p w14:paraId="22DC0D33" w14:textId="5AAF370B" w:rsidR="000A1D74" w:rsidRPr="0040253F" w:rsidRDefault="000A1D74" w:rsidP="0040253F">
            <w:pPr>
              <w:shd w:val="clear" w:color="auto" w:fill="FFFFFF"/>
              <w:spacing w:before="60" w:after="60"/>
            </w:pPr>
            <w:r w:rsidRPr="0040253F">
              <w:lastRenderedPageBreak/>
              <w:t>Anotācijas 1.sadaļas 2.punkts un V sadaļas 1.tabula ir attiecīgi papildināta.</w:t>
            </w:r>
          </w:p>
        </w:tc>
      </w:tr>
      <w:tr w:rsidR="000A1D74" w:rsidRPr="0040253F" w14:paraId="667C4488" w14:textId="77777777" w:rsidTr="005303FA">
        <w:trPr>
          <w:jc w:val="center"/>
        </w:trPr>
        <w:tc>
          <w:tcPr>
            <w:tcW w:w="637" w:type="dxa"/>
            <w:tcBorders>
              <w:top w:val="single" w:sz="6" w:space="0" w:color="000000"/>
              <w:left w:val="single" w:sz="6" w:space="0" w:color="000000"/>
              <w:bottom w:val="single" w:sz="6" w:space="0" w:color="000000"/>
              <w:right w:val="single" w:sz="6" w:space="0" w:color="000000"/>
            </w:tcBorders>
          </w:tcPr>
          <w:p w14:paraId="2FED6ADD" w14:textId="271E05C2" w:rsidR="000A1D74" w:rsidRPr="0040253F" w:rsidRDefault="000A1D74" w:rsidP="0040253F">
            <w:pPr>
              <w:pStyle w:val="naisc"/>
              <w:spacing w:before="60" w:after="60"/>
              <w:rPr>
                <w:b/>
              </w:rPr>
            </w:pPr>
            <w:r w:rsidRPr="0040253F">
              <w:rPr>
                <w:b/>
              </w:rPr>
              <w:lastRenderedPageBreak/>
              <w:t>2</w:t>
            </w:r>
          </w:p>
        </w:tc>
        <w:tc>
          <w:tcPr>
            <w:tcW w:w="3041" w:type="dxa"/>
            <w:tcBorders>
              <w:top w:val="single" w:sz="6" w:space="0" w:color="000000"/>
              <w:left w:val="single" w:sz="6" w:space="0" w:color="000000"/>
              <w:bottom w:val="single" w:sz="6" w:space="0" w:color="000000"/>
              <w:right w:val="single" w:sz="6" w:space="0" w:color="000000"/>
            </w:tcBorders>
          </w:tcPr>
          <w:p w14:paraId="50EF5F0D" w14:textId="77777777" w:rsidR="000A1D74" w:rsidRPr="0040253F" w:rsidRDefault="000A1D74" w:rsidP="0040253F">
            <w:pPr>
              <w:shd w:val="clear" w:color="auto" w:fill="FFFFFF"/>
              <w:spacing w:before="60" w:after="60"/>
              <w:rPr>
                <w:color w:val="000000" w:themeColor="text1"/>
              </w:rPr>
            </w:pPr>
            <w:r w:rsidRPr="0040253F">
              <w:rPr>
                <w:color w:val="000000" w:themeColor="text1"/>
              </w:rPr>
              <w:t>Noteikumu projekta 1.punkts:</w:t>
            </w:r>
          </w:p>
          <w:p w14:paraId="0A1E5F73" w14:textId="77777777" w:rsidR="000A1D74" w:rsidRPr="0040253F" w:rsidRDefault="000A1D74" w:rsidP="0040253F">
            <w:pPr>
              <w:pStyle w:val="naisf"/>
              <w:spacing w:before="60" w:after="60"/>
              <w:ind w:firstLine="0"/>
            </w:pPr>
            <w:r w:rsidRPr="0040253F">
              <w:rPr>
                <w:color w:val="000000" w:themeColor="text1"/>
              </w:rPr>
              <w:t xml:space="preserve">“1. </w:t>
            </w:r>
            <w:r w:rsidRPr="0040253F">
              <w:t>Izteikt 3. punktu šādā redakcijā:</w:t>
            </w:r>
          </w:p>
          <w:p w14:paraId="42297DB9" w14:textId="4A407D91" w:rsidR="000A1D74" w:rsidRPr="0040253F" w:rsidRDefault="000A1D74" w:rsidP="0040253F">
            <w:pPr>
              <w:pStyle w:val="naisf"/>
              <w:spacing w:before="60" w:after="60"/>
              <w:ind w:firstLine="0"/>
            </w:pPr>
            <w:r w:rsidRPr="0040253F">
              <w:t xml:space="preserve">“3. Šos noteikumus degvielas piegādātājs vai degvielas piegādātāju grupa (turpmāk – degvielas piegādātājs) piemēro degvielai, kas kā transporta enerģija tiek izmantota autotransportlīdzekļos ceļu satiksmē, autoceļiem neparedzētajā mobilajā tehnikā (tostarp dzelzceļa transportlīdzekļos, iekšzemes ūdensceļu kuģos, kas kuģo iekšējos ūdeņos un izņemot gaisa transportu), </w:t>
            </w:r>
            <w:r w:rsidRPr="0040253F">
              <w:lastRenderedPageBreak/>
              <w:t xml:space="preserve">lauksaimniecības un mežsaimniecības traktortehnikā, atpūtas kuģos, kas kuģo iekšējos ūdeņos, kā arī elektroenerģijai, kas tiek piegādāta </w:t>
            </w:r>
            <w:proofErr w:type="spellStart"/>
            <w:r w:rsidRPr="0040253F">
              <w:t>elektrotransportlīdzekļiem</w:t>
            </w:r>
            <w:proofErr w:type="spellEnd"/>
            <w:r w:rsidRPr="0040253F">
              <w:t>.”.”</w:t>
            </w:r>
          </w:p>
        </w:tc>
        <w:tc>
          <w:tcPr>
            <w:tcW w:w="4047" w:type="dxa"/>
            <w:tcBorders>
              <w:top w:val="single" w:sz="6" w:space="0" w:color="000000"/>
              <w:left w:val="single" w:sz="6" w:space="0" w:color="000000"/>
              <w:bottom w:val="single" w:sz="6" w:space="0" w:color="000000"/>
              <w:right w:val="single" w:sz="6" w:space="0" w:color="000000"/>
            </w:tcBorders>
          </w:tcPr>
          <w:p w14:paraId="11679B9A" w14:textId="77777777" w:rsidR="000A1D74" w:rsidRPr="0040253F" w:rsidRDefault="000A1D74" w:rsidP="0040253F">
            <w:pPr>
              <w:widowControl w:val="0"/>
              <w:spacing w:before="60" w:after="60"/>
              <w:jc w:val="center"/>
              <w:rPr>
                <w:b/>
              </w:rPr>
            </w:pPr>
            <w:r w:rsidRPr="0040253F">
              <w:rPr>
                <w:b/>
              </w:rPr>
              <w:lastRenderedPageBreak/>
              <w:t>Satiksmes ministrija</w:t>
            </w:r>
          </w:p>
          <w:p w14:paraId="4EC914B2" w14:textId="77777777" w:rsidR="000A1D74" w:rsidRPr="0040253F" w:rsidRDefault="000A1D74" w:rsidP="0040253F">
            <w:pPr>
              <w:widowControl w:val="0"/>
              <w:spacing w:before="60" w:after="60"/>
              <w:jc w:val="center"/>
              <w:rPr>
                <w:b/>
              </w:rPr>
            </w:pPr>
            <w:r w:rsidRPr="0040253F">
              <w:rPr>
                <w:b/>
              </w:rPr>
              <w:t>(2019.gada 14.maijs)</w:t>
            </w:r>
          </w:p>
          <w:p w14:paraId="132BE1E2" w14:textId="77777777" w:rsidR="000A1D74" w:rsidRPr="0040253F" w:rsidRDefault="000A1D74" w:rsidP="0040253F">
            <w:pPr>
              <w:autoSpaceDE w:val="0"/>
              <w:autoSpaceDN w:val="0"/>
              <w:adjustRightInd w:val="0"/>
              <w:spacing w:before="60" w:after="60"/>
              <w:jc w:val="both"/>
            </w:pPr>
            <w:r w:rsidRPr="0040253F">
              <w:rPr>
                <w:b/>
              </w:rPr>
              <w:t xml:space="preserve">3. </w:t>
            </w:r>
            <w:r w:rsidRPr="0040253F">
              <w:t xml:space="preserve">Noteikumu projekta 1.punktā ietvertajā 3.punktā ir noteikts, ka Noteikumi ir piemērojami degvielai, kas kā transporta enerģija tiek izmantota atpūtas kuģos, </w:t>
            </w:r>
            <w:r w:rsidRPr="0040253F">
              <w:rPr>
                <w:u w:val="single"/>
              </w:rPr>
              <w:t>kas kuģo iekšējos ūdeņos</w:t>
            </w:r>
            <w:r w:rsidRPr="0040253F">
              <w:t xml:space="preserve">. Šāds regulējums neatbilst Direktīvas 2015/652 1.panta 2.punktā noteiktajam, proti, Direktīva 2015/652 atsaucas uz atpūtas kuģiem, kad tie nekuģo jūrā, nevis uz atpūtas kuģiem, kas kuģo iekšējos ūdeņos. “Kuģis, kad tas nekuģo jūrā” tvēruma ziņā nav tas pats, kas “kuģis, kas kuģo iekšējos ūdeņos”. Pirmajā gadījumā aptverti ir tikai tie kuģi, kas kuģo ūdensteču (upju u.tml.) un ūdenstilpju (ezeru u.tml.) ūdeņos līdz valsts sauszemes robežai, </w:t>
            </w:r>
            <w:r w:rsidRPr="0040253F">
              <w:lastRenderedPageBreak/>
              <w:t>bet otrajā gadījumā aptverti ir arī tādi kuģi, kas kuģo jūrā, uz krasta pusi no bāzes līnijām. Šāds secinājums izriet no Apvienoto Nāciju Organizācijas Jūras tiesību konvencijas 8.panta 1.punktā un Latvijas Republikas valsts robežas likuma 1.panta 8.punktā ietvertajiem jēdziena “iekšējie ūdeņi” skaidrojumiem, kā arī no Ministru kabineta 2010.gada 17.augusta noteikumos Nr.779 “Noteikumi par bāzes līniju punktu koordinātām” noteiktajām Latvijas bāzes līnijām.</w:t>
            </w:r>
          </w:p>
          <w:p w14:paraId="4CC8E917" w14:textId="15856030" w:rsidR="000A1D74" w:rsidRPr="0040253F" w:rsidRDefault="000A1D74" w:rsidP="0040253F">
            <w:pPr>
              <w:widowControl w:val="0"/>
              <w:spacing w:before="60" w:after="60"/>
              <w:rPr>
                <w:b/>
              </w:rPr>
            </w:pPr>
            <w:r w:rsidRPr="0040253F">
              <w:t>Ņemot vērā minēto, lūdzam noteikumu projekta 1.punktā aizstāt vārdus “atpūtas kuģos, kas kuģo iekšējos ūdeņos” ar vārdiem “atpūtas kuģos, kad tie nekuģo jūrā”.</w:t>
            </w:r>
          </w:p>
        </w:tc>
        <w:tc>
          <w:tcPr>
            <w:tcW w:w="2976" w:type="dxa"/>
            <w:tcBorders>
              <w:top w:val="single" w:sz="6" w:space="0" w:color="000000"/>
              <w:left w:val="single" w:sz="6" w:space="0" w:color="000000"/>
              <w:bottom w:val="single" w:sz="6" w:space="0" w:color="000000"/>
              <w:right w:val="single" w:sz="6" w:space="0" w:color="000000"/>
            </w:tcBorders>
          </w:tcPr>
          <w:p w14:paraId="52A2EAC0" w14:textId="61297A79" w:rsidR="000A1D74" w:rsidRPr="0040253F" w:rsidRDefault="000A1D74" w:rsidP="0040253F">
            <w:pPr>
              <w:spacing w:before="60" w:after="60"/>
              <w:jc w:val="center"/>
              <w:rPr>
                <w:b/>
                <w:iCs/>
              </w:rPr>
            </w:pPr>
            <w:r w:rsidRPr="0040253F">
              <w:rPr>
                <w:b/>
                <w:iCs/>
              </w:rPr>
              <w:lastRenderedPageBreak/>
              <w:t>Ņemts vērā</w:t>
            </w:r>
          </w:p>
        </w:tc>
        <w:tc>
          <w:tcPr>
            <w:tcW w:w="4291" w:type="dxa"/>
            <w:tcBorders>
              <w:top w:val="single" w:sz="4" w:space="0" w:color="auto"/>
              <w:left w:val="single" w:sz="4" w:space="0" w:color="auto"/>
              <w:bottom w:val="single" w:sz="4" w:space="0" w:color="auto"/>
            </w:tcBorders>
          </w:tcPr>
          <w:p w14:paraId="1C6AA2AE" w14:textId="77777777" w:rsidR="000A1D74" w:rsidRPr="0040253F" w:rsidRDefault="000A1D74" w:rsidP="0040253F">
            <w:pPr>
              <w:pStyle w:val="naisf"/>
              <w:spacing w:before="60" w:after="60"/>
              <w:ind w:firstLine="0"/>
            </w:pPr>
            <w:r w:rsidRPr="0040253F">
              <w:t>Noteikumu projekta 1.punkts ir izteikts šādā redakcijā:</w:t>
            </w:r>
          </w:p>
          <w:p w14:paraId="41EFA3AF" w14:textId="77777777" w:rsidR="000A1D74" w:rsidRPr="0040253F" w:rsidRDefault="000A1D74" w:rsidP="0040253F">
            <w:pPr>
              <w:pStyle w:val="naisf"/>
              <w:spacing w:before="60" w:after="60"/>
              <w:ind w:firstLine="0"/>
            </w:pPr>
            <w:r w:rsidRPr="0040253F">
              <w:t>“1. Izteikt 3. punktu šādā redakcijā:</w:t>
            </w:r>
          </w:p>
          <w:p w14:paraId="21674C70" w14:textId="58AC128C" w:rsidR="000A1D74" w:rsidRPr="0040253F" w:rsidRDefault="000A1D74" w:rsidP="0040253F">
            <w:pPr>
              <w:pStyle w:val="naisf"/>
              <w:spacing w:before="60" w:after="60"/>
              <w:ind w:firstLine="0"/>
            </w:pPr>
            <w:r w:rsidRPr="0040253F">
              <w:t>“3. Šos noteikumus degvielas piegādātājs vai degvielas piegādātāju grupa (turpmāk – degvielas piegādātājs) piemēro degvielai, kas kā transporta enerģija tiek izmantota autotransportlīdzekļos ceļu satiksmē, autoceļiem neparedzētajā mobilajā tehnikā – dzelzceļa transportlīdzekļos; lauksaimniecības un mežsaimniecības traktortehnikā, normatīvajos aktos par atpūtas kuģu un ūdens motociklu būvniecību, atbilstības novērtēšanu un piedāvāšanu tirgū minēt</w:t>
            </w:r>
            <w:r w:rsidR="003570A5" w:rsidRPr="0040253F">
              <w:t>aj</w:t>
            </w:r>
            <w:r w:rsidRPr="0040253F">
              <w:t xml:space="preserve">os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w:t>
            </w:r>
            <w:r w:rsidRPr="0040253F">
              <w:lastRenderedPageBreak/>
              <w:t>noteikumus degvielas piegādātājs nepiemēro degvielai un biodegvielai, kas kā transporta enerģija tiek izmantota gaisa transportā”.</w:t>
            </w:r>
          </w:p>
          <w:p w14:paraId="12EC32B1" w14:textId="77777777" w:rsidR="000A1D74" w:rsidRPr="0040253F" w:rsidRDefault="000A1D74" w:rsidP="0040253F">
            <w:pPr>
              <w:shd w:val="clear" w:color="auto" w:fill="FFFFFF"/>
              <w:spacing w:before="60" w:after="60"/>
            </w:pPr>
          </w:p>
          <w:p w14:paraId="4F14A7F5" w14:textId="0A616727" w:rsidR="000A1D74" w:rsidRPr="0040253F" w:rsidRDefault="000A1D74" w:rsidP="0040253F">
            <w:pPr>
              <w:tabs>
                <w:tab w:val="left" w:pos="3195"/>
              </w:tabs>
              <w:spacing w:before="60" w:after="60"/>
            </w:pPr>
            <w:r w:rsidRPr="0040253F">
              <w:t>Anotācijas 1.sadaļas 2.punkts un V sadaļas 1.tabula ir attiecīgi papildināta.</w:t>
            </w:r>
          </w:p>
        </w:tc>
      </w:tr>
      <w:tr w:rsidR="000A1D74" w:rsidRPr="0040253F" w14:paraId="01C55934" w14:textId="77777777" w:rsidTr="005303FA">
        <w:trPr>
          <w:jc w:val="center"/>
        </w:trPr>
        <w:tc>
          <w:tcPr>
            <w:tcW w:w="637" w:type="dxa"/>
            <w:tcBorders>
              <w:top w:val="single" w:sz="6" w:space="0" w:color="000000"/>
              <w:left w:val="single" w:sz="6" w:space="0" w:color="000000"/>
              <w:bottom w:val="single" w:sz="6" w:space="0" w:color="000000"/>
              <w:right w:val="single" w:sz="6" w:space="0" w:color="000000"/>
            </w:tcBorders>
          </w:tcPr>
          <w:p w14:paraId="04FF98DC" w14:textId="4FAA2257" w:rsidR="000A1D74" w:rsidRPr="0040253F" w:rsidRDefault="007028DA" w:rsidP="0040253F">
            <w:pPr>
              <w:pStyle w:val="naisc"/>
              <w:spacing w:before="60" w:after="60"/>
              <w:rPr>
                <w:b/>
              </w:rPr>
            </w:pPr>
            <w:r w:rsidRPr="0040253F">
              <w:rPr>
                <w:b/>
              </w:rPr>
              <w:lastRenderedPageBreak/>
              <w:t>3</w:t>
            </w:r>
          </w:p>
        </w:tc>
        <w:tc>
          <w:tcPr>
            <w:tcW w:w="3041" w:type="dxa"/>
            <w:tcBorders>
              <w:top w:val="single" w:sz="6" w:space="0" w:color="000000"/>
              <w:left w:val="single" w:sz="6" w:space="0" w:color="000000"/>
              <w:bottom w:val="single" w:sz="6" w:space="0" w:color="000000"/>
              <w:right w:val="single" w:sz="6" w:space="0" w:color="000000"/>
            </w:tcBorders>
          </w:tcPr>
          <w:p w14:paraId="13D7834E" w14:textId="1B3612EA" w:rsidR="000A1D74" w:rsidRDefault="005B17CF" w:rsidP="0040253F">
            <w:pPr>
              <w:pStyle w:val="naisf"/>
              <w:spacing w:before="60" w:after="60"/>
              <w:ind w:firstLine="0"/>
            </w:pPr>
            <w:r>
              <w:t>Noteikumu projekta 1.punkts:</w:t>
            </w:r>
          </w:p>
          <w:p w14:paraId="6826CC3B" w14:textId="77777777" w:rsidR="005B17CF" w:rsidRPr="0040253F" w:rsidRDefault="005B17CF" w:rsidP="005B17CF">
            <w:pPr>
              <w:shd w:val="clear" w:color="auto" w:fill="FFFFFF"/>
              <w:spacing w:before="60" w:after="60"/>
              <w:rPr>
                <w:color w:val="000000" w:themeColor="text1"/>
              </w:rPr>
            </w:pPr>
            <w:r>
              <w:t>“</w:t>
            </w:r>
            <w:r w:rsidRPr="0040253F">
              <w:rPr>
                <w:color w:val="000000" w:themeColor="text1"/>
              </w:rPr>
              <w:t>Noteikumu projekta 1.punkts:</w:t>
            </w:r>
          </w:p>
          <w:p w14:paraId="3375DCBF" w14:textId="77777777" w:rsidR="005B17CF" w:rsidRPr="0040253F" w:rsidRDefault="005B17CF" w:rsidP="005B17CF">
            <w:pPr>
              <w:pStyle w:val="naisf"/>
              <w:spacing w:before="60" w:after="60"/>
              <w:ind w:firstLine="0"/>
            </w:pPr>
            <w:r w:rsidRPr="0040253F">
              <w:rPr>
                <w:color w:val="000000" w:themeColor="text1"/>
              </w:rPr>
              <w:t xml:space="preserve">“1. </w:t>
            </w:r>
            <w:r w:rsidRPr="0040253F">
              <w:t>Izteikt 3. punktu šādā redakcijā:</w:t>
            </w:r>
          </w:p>
          <w:p w14:paraId="5C97F348" w14:textId="4BA25D5C" w:rsidR="005B17CF" w:rsidRPr="0040253F" w:rsidRDefault="005B17CF" w:rsidP="005B17CF">
            <w:pPr>
              <w:pStyle w:val="naisf"/>
              <w:spacing w:before="60" w:after="60"/>
              <w:ind w:firstLine="0"/>
            </w:pPr>
            <w:r w:rsidRPr="0040253F">
              <w:t xml:space="preserve">“3. Šos noteikumus degvielas piegādātājs vai degvielas piegādātāju grupa (turpmāk – degvielas piegādātājs) piemēro degvielai, kas kā transporta enerģija tiek izmantota autotransportlīdzekļos ceļu </w:t>
            </w:r>
            <w:r w:rsidRPr="0040253F">
              <w:lastRenderedPageBreak/>
              <w:t xml:space="preserve">satiksmē, autoceļiem neparedzētajā mobilajā tehnikā (tostarp dzelzceļa transportlīdzekļos, iekšzemes ūdensceļu kuģos, kas kuģo iekšējos ūdeņos un izņemot gaisa transportu), lauksaimniecības un mežsaimniecības traktortehnikā, atpūtas kuģos, kas kuģo iekšējos ūdeņos, kā arī elektroenerģijai, kas tiek piegādāta </w:t>
            </w:r>
            <w:proofErr w:type="spellStart"/>
            <w:r w:rsidRPr="0040253F">
              <w:t>elektrotransportlīdzekļiem</w:t>
            </w:r>
            <w:proofErr w:type="spellEnd"/>
            <w:r w:rsidRPr="0040253F">
              <w:t>.”.”</w:t>
            </w:r>
          </w:p>
        </w:tc>
        <w:tc>
          <w:tcPr>
            <w:tcW w:w="4047" w:type="dxa"/>
            <w:tcBorders>
              <w:top w:val="single" w:sz="6" w:space="0" w:color="000000"/>
              <w:left w:val="single" w:sz="6" w:space="0" w:color="000000"/>
              <w:bottom w:val="single" w:sz="6" w:space="0" w:color="000000"/>
              <w:right w:val="single" w:sz="6" w:space="0" w:color="000000"/>
            </w:tcBorders>
          </w:tcPr>
          <w:p w14:paraId="0AFBCA9A" w14:textId="77777777" w:rsidR="000A1D74" w:rsidRPr="0040253F" w:rsidRDefault="000A1D74" w:rsidP="0040253F">
            <w:pPr>
              <w:widowControl w:val="0"/>
              <w:spacing w:before="60" w:after="60"/>
              <w:jc w:val="center"/>
              <w:rPr>
                <w:b/>
              </w:rPr>
            </w:pPr>
            <w:r w:rsidRPr="0040253F">
              <w:rPr>
                <w:b/>
              </w:rPr>
              <w:lastRenderedPageBreak/>
              <w:t>Satiksmes ministrija</w:t>
            </w:r>
          </w:p>
          <w:p w14:paraId="78983DF3" w14:textId="77777777" w:rsidR="000A1D74" w:rsidRPr="0040253F" w:rsidRDefault="000A1D74" w:rsidP="0040253F">
            <w:pPr>
              <w:widowControl w:val="0"/>
              <w:spacing w:before="60" w:after="60"/>
              <w:jc w:val="center"/>
              <w:rPr>
                <w:b/>
              </w:rPr>
            </w:pPr>
            <w:r w:rsidRPr="0040253F">
              <w:rPr>
                <w:b/>
              </w:rPr>
              <w:t>(2019.gada 14.maijs)</w:t>
            </w:r>
          </w:p>
          <w:p w14:paraId="038D9978" w14:textId="77777777" w:rsidR="000A1D74" w:rsidRPr="0040253F" w:rsidRDefault="000A1D74" w:rsidP="0040253F">
            <w:pPr>
              <w:autoSpaceDE w:val="0"/>
              <w:autoSpaceDN w:val="0"/>
              <w:adjustRightInd w:val="0"/>
              <w:spacing w:before="60" w:after="60"/>
              <w:jc w:val="both"/>
            </w:pPr>
            <w:r w:rsidRPr="0040253F">
              <w:rPr>
                <w:b/>
              </w:rPr>
              <w:t>2.</w:t>
            </w:r>
            <w:r w:rsidRPr="0040253F">
              <w:t xml:space="preserve"> Noteikumu projekta 1.punktā ietvertajā 3.punktā ir noteikts, ka Noteikumi ir piemērojami degvielai, kas kā transporta enerģija tiek izmantota </w:t>
            </w:r>
            <w:r w:rsidRPr="0040253F">
              <w:rPr>
                <w:u w:val="single"/>
              </w:rPr>
              <w:t>atpūtas kuģos</w:t>
            </w:r>
            <w:r w:rsidRPr="0040253F">
              <w:t xml:space="preserve">, kas kuģo iekšējos ūdeņos. Noteikumos un noteikumu projektā jēdziena “atpūtas kuģis” definīcija nav sniegta, līdz ar to nav skaidrs, kādiem kuģiem Noteikumi ir piemērojami. </w:t>
            </w:r>
          </w:p>
          <w:p w14:paraId="6A454112" w14:textId="77777777" w:rsidR="000A1D74" w:rsidRPr="0040253F" w:rsidRDefault="000A1D74" w:rsidP="0040253F">
            <w:pPr>
              <w:autoSpaceDE w:val="0"/>
              <w:autoSpaceDN w:val="0"/>
              <w:adjustRightInd w:val="0"/>
              <w:spacing w:before="60" w:after="60"/>
              <w:ind w:firstLine="720"/>
              <w:jc w:val="both"/>
            </w:pPr>
            <w:r w:rsidRPr="0040253F">
              <w:t xml:space="preserve">Jēdziena “atpūtas kuģis” definīcija nav sniegta arī Direktīvā </w:t>
            </w:r>
            <w:r w:rsidRPr="0040253F">
              <w:lastRenderedPageBreak/>
              <w:t>2015/652, tomēr, interpretējot Direktīvu 2015/652 sistēmiski ar citiem Eiropas Savienības tiesību aktiem vides aizsardzības jomā, ir secināms, ka “atpūtas kuģis” ir jebkura tipa kuģošanas līdzeklis (izņemot ūdens motociklu), kas paredzēts sportam un atpūtai un kura korpusa garums ir no 2,5 līdz 24 metriem, neatkarīgi no piedziņas veida (Eiropas Parlamenta un Padomes 2013.gada 20.novembra Direktīvas 2013/52/ES par atpūtas kuģiem un ūdens motocikliem un ar ko atceļ Direktīvu 94/25/EK, 3.panta 2.punkts). Atsauce uz minēto ar Direktīvu 2013/52/ES atcelto Direktīvu 94/25/EK ir ietverta Eiropas Parlamenta un Padomes 1998.gada 13.oktobra Direktīvas 98/70/EK, kas attiecas uz benzīna un dīzeļdegvielu kvalitāti un ar ko groza Padomes Direktīvu 93/12/EK, 2.panta 3.punktā.</w:t>
            </w:r>
          </w:p>
          <w:p w14:paraId="7DDE3D61" w14:textId="77777777" w:rsidR="000A1D74" w:rsidRPr="0040253F" w:rsidRDefault="000A1D74" w:rsidP="0040253F">
            <w:pPr>
              <w:autoSpaceDE w:val="0"/>
              <w:autoSpaceDN w:val="0"/>
              <w:adjustRightInd w:val="0"/>
              <w:spacing w:before="60" w:after="60"/>
              <w:ind w:firstLine="720"/>
              <w:jc w:val="both"/>
            </w:pPr>
            <w:r w:rsidRPr="0040253F">
              <w:t>Ņemot vērā minēto, lūdzam ar attiecīgu informāciju papildināt noteikumu projekta anotāciju un papildināt Noteikumus ar jaunu 2.5.apakšpunktu šādā redakcijā:</w:t>
            </w:r>
          </w:p>
          <w:p w14:paraId="4C5CF64F" w14:textId="51E5BD61" w:rsidR="000A1D74" w:rsidRPr="0040253F" w:rsidRDefault="000A1D74" w:rsidP="0040253F">
            <w:pPr>
              <w:autoSpaceDE w:val="0"/>
              <w:autoSpaceDN w:val="0"/>
              <w:adjustRightInd w:val="0"/>
              <w:spacing w:before="60" w:after="60"/>
              <w:rPr>
                <w:b/>
              </w:rPr>
            </w:pPr>
            <w:bookmarkStart w:id="0" w:name="_Hlk9182934"/>
            <w:r w:rsidRPr="0040253F">
              <w:t>“2.5. atpūtas kuģis – jebkura tipa kuģošanas līdzeklis (izņemot ūdens motociklu), kas paredzēts sportam un atpūtai un kura korpusa garums ir no 2,5 līdz 24 metriem, neatkarīgi no piedziņas veida.”</w:t>
            </w:r>
            <w:bookmarkEnd w:id="0"/>
          </w:p>
        </w:tc>
        <w:tc>
          <w:tcPr>
            <w:tcW w:w="2976" w:type="dxa"/>
            <w:tcBorders>
              <w:top w:val="single" w:sz="6" w:space="0" w:color="000000"/>
              <w:left w:val="single" w:sz="6" w:space="0" w:color="000000"/>
              <w:bottom w:val="single" w:sz="6" w:space="0" w:color="000000"/>
              <w:right w:val="single" w:sz="6" w:space="0" w:color="000000"/>
            </w:tcBorders>
          </w:tcPr>
          <w:p w14:paraId="256216C8" w14:textId="4001B778" w:rsidR="000A1D74" w:rsidRPr="0040253F" w:rsidRDefault="005B17CF" w:rsidP="0040253F">
            <w:pPr>
              <w:spacing w:before="60" w:after="60"/>
              <w:jc w:val="center"/>
              <w:rPr>
                <w:b/>
                <w:iCs/>
              </w:rPr>
            </w:pPr>
            <w:r w:rsidRPr="005B17CF">
              <w:rPr>
                <w:b/>
                <w:iCs/>
              </w:rPr>
              <w:lastRenderedPageBreak/>
              <w:t xml:space="preserve">panākta vienošanās </w:t>
            </w:r>
            <w:proofErr w:type="spellStart"/>
            <w:r w:rsidRPr="005B17CF">
              <w:rPr>
                <w:b/>
                <w:iCs/>
              </w:rPr>
              <w:t>starpministriju</w:t>
            </w:r>
            <w:proofErr w:type="spellEnd"/>
            <w:r w:rsidRPr="005B17CF">
              <w:rPr>
                <w:b/>
                <w:iCs/>
              </w:rPr>
              <w:t xml:space="preserve"> saskaņošanas laikā</w:t>
            </w:r>
          </w:p>
        </w:tc>
        <w:tc>
          <w:tcPr>
            <w:tcW w:w="4291" w:type="dxa"/>
            <w:tcBorders>
              <w:top w:val="single" w:sz="4" w:space="0" w:color="auto"/>
              <w:left w:val="single" w:sz="4" w:space="0" w:color="auto"/>
              <w:bottom w:val="single" w:sz="4" w:space="0" w:color="auto"/>
            </w:tcBorders>
          </w:tcPr>
          <w:p w14:paraId="5D703DB4" w14:textId="77777777" w:rsidR="000A1D74" w:rsidRPr="0040253F" w:rsidRDefault="000A1D74" w:rsidP="0040253F">
            <w:pPr>
              <w:pStyle w:val="naisf"/>
              <w:spacing w:before="60" w:after="60"/>
              <w:ind w:firstLine="0"/>
            </w:pPr>
            <w:r w:rsidRPr="0040253F">
              <w:t>Noteikumu projekta 1.punkts ir izteikts šādā redakcijā:</w:t>
            </w:r>
          </w:p>
          <w:p w14:paraId="35FC0B24" w14:textId="77777777" w:rsidR="000A1D74" w:rsidRPr="0040253F" w:rsidRDefault="000A1D74" w:rsidP="0040253F">
            <w:pPr>
              <w:pStyle w:val="naisf"/>
              <w:spacing w:before="60" w:after="60"/>
              <w:ind w:firstLine="0"/>
            </w:pPr>
            <w:r w:rsidRPr="0040253F">
              <w:t>“1. Izteikt 3. punktu šādā redakcijā:</w:t>
            </w:r>
          </w:p>
          <w:p w14:paraId="21443B5F" w14:textId="13D798FC" w:rsidR="000A1D74" w:rsidRPr="0040253F" w:rsidRDefault="000A1D74" w:rsidP="0040253F">
            <w:pPr>
              <w:pStyle w:val="naisf"/>
              <w:spacing w:before="60" w:after="60"/>
              <w:ind w:firstLine="0"/>
            </w:pPr>
            <w:r w:rsidRPr="0040253F">
              <w:t xml:space="preserve">“3. Šos noteikumus degvielas piegādātājs vai degvielas piegādātāju grupa (turpmāk – degvielas piegādātājs) piemēro degvielai, kas kā transporta enerģija tiek izmantota autotransportlīdzekļos ceļu satiksmē, autoceļiem neparedzētajā mobilajā tehnikā – dzelzceļa transportlīdzekļos; lauksaimniecības un mežsaimniecības traktortehnikā, normatīvajos aktos par atpūtas kuģu un ūdens motociklu būvniecību, atbilstības </w:t>
            </w:r>
            <w:r w:rsidRPr="0040253F">
              <w:lastRenderedPageBreak/>
              <w:t>novērtēšanu un piedāvāšanu tirgū minēt</w:t>
            </w:r>
            <w:r w:rsidR="003570A5" w:rsidRPr="0040253F">
              <w:t>aj</w:t>
            </w:r>
            <w:r w:rsidRPr="0040253F">
              <w:t xml:space="preserve">os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noteikumus degvielas piegādātājs nepiemēro degvielai un biodegvielai, kas kā transporta enerģija tiek izmantota gaisa transportā”.</w:t>
            </w:r>
          </w:p>
          <w:p w14:paraId="51A67670" w14:textId="77777777" w:rsidR="000A1D74" w:rsidRPr="0040253F" w:rsidRDefault="000A1D74" w:rsidP="0040253F">
            <w:pPr>
              <w:shd w:val="clear" w:color="auto" w:fill="FFFFFF"/>
              <w:spacing w:before="60" w:after="60"/>
            </w:pPr>
          </w:p>
          <w:p w14:paraId="3F10C794" w14:textId="2B287613" w:rsidR="000A1D74" w:rsidRPr="0040253F" w:rsidRDefault="000A1D74" w:rsidP="0040253F">
            <w:pPr>
              <w:tabs>
                <w:tab w:val="left" w:pos="3195"/>
              </w:tabs>
              <w:spacing w:before="60" w:after="60"/>
            </w:pPr>
            <w:r w:rsidRPr="0040253F">
              <w:t>Anotācijas 1.sadaļas 2.punkts ir attiecīgi papildināt</w:t>
            </w:r>
            <w:r w:rsidR="002B50AD" w:rsidRPr="0040253F">
              <w:t>s</w:t>
            </w:r>
            <w:r w:rsidRPr="0040253F">
              <w:t>.</w:t>
            </w:r>
          </w:p>
        </w:tc>
      </w:tr>
      <w:tr w:rsidR="002B50AD" w:rsidRPr="0040253F" w14:paraId="26DB5B6E" w14:textId="77777777" w:rsidTr="005303FA">
        <w:trPr>
          <w:jc w:val="center"/>
        </w:trPr>
        <w:tc>
          <w:tcPr>
            <w:tcW w:w="637" w:type="dxa"/>
            <w:tcBorders>
              <w:top w:val="single" w:sz="6" w:space="0" w:color="000000"/>
              <w:left w:val="single" w:sz="6" w:space="0" w:color="000000"/>
              <w:bottom w:val="single" w:sz="6" w:space="0" w:color="000000"/>
              <w:right w:val="single" w:sz="6" w:space="0" w:color="000000"/>
            </w:tcBorders>
          </w:tcPr>
          <w:p w14:paraId="1B040F46" w14:textId="52FFAEE7" w:rsidR="002B50AD" w:rsidRPr="0040253F" w:rsidRDefault="007028DA" w:rsidP="0040253F">
            <w:pPr>
              <w:pStyle w:val="naisc"/>
              <w:spacing w:before="60" w:after="60"/>
              <w:rPr>
                <w:b/>
              </w:rPr>
            </w:pPr>
            <w:r w:rsidRPr="0040253F">
              <w:rPr>
                <w:b/>
              </w:rPr>
              <w:lastRenderedPageBreak/>
              <w:t>4</w:t>
            </w:r>
          </w:p>
        </w:tc>
        <w:tc>
          <w:tcPr>
            <w:tcW w:w="3041" w:type="dxa"/>
            <w:tcBorders>
              <w:top w:val="single" w:sz="6" w:space="0" w:color="000000"/>
              <w:left w:val="single" w:sz="6" w:space="0" w:color="000000"/>
              <w:bottom w:val="single" w:sz="6" w:space="0" w:color="000000"/>
              <w:right w:val="single" w:sz="6" w:space="0" w:color="000000"/>
            </w:tcBorders>
          </w:tcPr>
          <w:p w14:paraId="59905DE5" w14:textId="77777777" w:rsidR="002B50AD" w:rsidRPr="0040253F" w:rsidRDefault="002B50AD" w:rsidP="0040253F">
            <w:pPr>
              <w:pStyle w:val="naisf"/>
              <w:spacing w:before="60" w:after="60"/>
              <w:ind w:firstLine="0"/>
            </w:pPr>
            <w:r w:rsidRPr="0040253F">
              <w:t>1. Papildināt noteikumus ar 2.5.apakšpunktu šādā redakcijā:</w:t>
            </w:r>
          </w:p>
          <w:p w14:paraId="126F0737" w14:textId="77777777" w:rsidR="002B50AD" w:rsidRPr="0040253F" w:rsidRDefault="002B50AD" w:rsidP="0040253F">
            <w:pPr>
              <w:pStyle w:val="naisf"/>
              <w:spacing w:before="60" w:after="60"/>
              <w:ind w:firstLine="0"/>
            </w:pPr>
            <w:r w:rsidRPr="0040253F">
              <w:t>“2.5. atpūtas kuģis – jebkura tipa kuģošanas līdzeklis (izņemot ūdens motociklu), kas paredzēts sportam un atpūtai un kura korpusa garums ir no 2,5 līdz 24 metriem, neatkarīgi no piedziņas veida.”.</w:t>
            </w:r>
          </w:p>
          <w:p w14:paraId="05CAB298" w14:textId="77777777" w:rsidR="002B50AD" w:rsidRPr="0040253F" w:rsidRDefault="002B50AD" w:rsidP="0040253F">
            <w:pPr>
              <w:tabs>
                <w:tab w:val="left" w:pos="3195"/>
              </w:tabs>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7D983697" w14:textId="77777777" w:rsidR="002B50AD" w:rsidRPr="0040253F" w:rsidRDefault="002B50AD" w:rsidP="0040253F">
            <w:pPr>
              <w:autoSpaceDE w:val="0"/>
              <w:autoSpaceDN w:val="0"/>
              <w:adjustRightInd w:val="0"/>
              <w:spacing w:before="60" w:after="60"/>
              <w:jc w:val="center"/>
              <w:rPr>
                <w:b/>
              </w:rPr>
            </w:pPr>
            <w:r w:rsidRPr="0040253F">
              <w:rPr>
                <w:b/>
              </w:rPr>
              <w:t>Tieslietu ministrija</w:t>
            </w:r>
          </w:p>
          <w:p w14:paraId="27C384DB" w14:textId="77777777" w:rsidR="002B50AD" w:rsidRPr="0040253F" w:rsidRDefault="002B50AD" w:rsidP="0040253F">
            <w:pPr>
              <w:autoSpaceDE w:val="0"/>
              <w:autoSpaceDN w:val="0"/>
              <w:adjustRightInd w:val="0"/>
              <w:spacing w:before="60" w:after="60"/>
              <w:jc w:val="center"/>
              <w:rPr>
                <w:b/>
              </w:rPr>
            </w:pPr>
            <w:r w:rsidRPr="0040253F">
              <w:rPr>
                <w:b/>
              </w:rPr>
              <w:t>(2019.gada 29.maijs)</w:t>
            </w:r>
          </w:p>
          <w:p w14:paraId="12CCA026" w14:textId="77777777" w:rsidR="002B50AD" w:rsidRPr="0040253F" w:rsidRDefault="002B50AD" w:rsidP="0040253F">
            <w:pPr>
              <w:spacing w:before="60" w:after="60"/>
              <w:rPr>
                <w:lang w:eastAsia="en-US"/>
              </w:rPr>
            </w:pPr>
            <w:r w:rsidRPr="0040253F">
              <w:rPr>
                <w:lang w:eastAsia="en-US"/>
              </w:rPr>
              <w:t>Lūdzam atkārtoti izvērtēt nepieciešamību iekļaut spēkā esošo noteikumu 2. punktā termina “atpūtas kuģis” skaidrojumu, ņemot vērā spēkā esošo noteikumu tvērumu un mērķi.</w:t>
            </w:r>
          </w:p>
          <w:p w14:paraId="4F289C6F" w14:textId="77777777" w:rsidR="002B50AD" w:rsidRPr="0040253F" w:rsidRDefault="002B50AD" w:rsidP="0040253F">
            <w:pPr>
              <w:spacing w:before="60" w:after="60"/>
              <w:rPr>
                <w:lang w:eastAsia="en-US"/>
              </w:rPr>
            </w:pPr>
            <w:r w:rsidRPr="0040253F">
              <w:rPr>
                <w:lang w:eastAsia="en-US"/>
              </w:rPr>
              <w:t xml:space="preserve">Vēršam uzmanību, ka projektā iekļautais termins un tā skaidrojums ir iekļauts arī Ministru kabineta 2016. gada 12. janvāra noteikumu Nr. 27 “Noteikumi par </w:t>
            </w:r>
            <w:bookmarkStart w:id="1" w:name="_Hlk10098709"/>
            <w:r w:rsidRPr="0040253F">
              <w:rPr>
                <w:lang w:eastAsia="en-US"/>
              </w:rPr>
              <w:t>atpūtas kuģu un ūdens motociklu būvniecību, atbilstības novērtēšanu un piedāvāšanu tirgū</w:t>
            </w:r>
            <w:bookmarkEnd w:id="1"/>
            <w:r w:rsidRPr="0040253F">
              <w:rPr>
                <w:lang w:eastAsia="en-US"/>
              </w:rPr>
              <w:t>” 2.1. apakšpunktā.</w:t>
            </w:r>
          </w:p>
          <w:p w14:paraId="640624DD" w14:textId="77777777" w:rsidR="002B50AD" w:rsidRPr="0040253F" w:rsidRDefault="002B50AD" w:rsidP="0040253F">
            <w:pPr>
              <w:spacing w:before="60" w:after="60"/>
              <w:rPr>
                <w:lang w:eastAsia="en-US"/>
              </w:rPr>
            </w:pPr>
          </w:p>
          <w:p w14:paraId="4C32339B" w14:textId="2A1EFAC1" w:rsidR="002B50AD" w:rsidRPr="0040253F" w:rsidRDefault="002B50AD" w:rsidP="0040253F">
            <w:pPr>
              <w:spacing w:before="60" w:after="60"/>
              <w:rPr>
                <w:lang w:eastAsia="en-US"/>
              </w:rPr>
            </w:pPr>
            <w:r w:rsidRPr="0040253F">
              <w:rPr>
                <w:lang w:eastAsia="en-US"/>
              </w:rPr>
              <w:t>Tādējādi lūdzam svītrot projekta 1. punktu un nepieciešamības gadījumā precizēt projekta 2. punktu, piemēram, papildinot to ar norādi uz normatīvajiem aktiem par atpūtas kuģu un ūdens motociklu būvniecību, atbilstības novērtēšanu un piedāvāšanu tirgū attiecībā uz jēdzienu “atpūtas kuģis”.</w:t>
            </w:r>
          </w:p>
        </w:tc>
        <w:tc>
          <w:tcPr>
            <w:tcW w:w="2976" w:type="dxa"/>
            <w:tcBorders>
              <w:top w:val="single" w:sz="6" w:space="0" w:color="000000"/>
              <w:left w:val="single" w:sz="6" w:space="0" w:color="000000"/>
              <w:bottom w:val="single" w:sz="6" w:space="0" w:color="000000"/>
              <w:right w:val="single" w:sz="6" w:space="0" w:color="000000"/>
            </w:tcBorders>
          </w:tcPr>
          <w:p w14:paraId="3CF2989A" w14:textId="6F593B68" w:rsidR="002B50AD" w:rsidRPr="0040253F" w:rsidRDefault="002B50AD" w:rsidP="0040253F">
            <w:pPr>
              <w:spacing w:before="60" w:after="60"/>
              <w:jc w:val="center"/>
              <w:rPr>
                <w:b/>
                <w:iCs/>
              </w:rPr>
            </w:pPr>
            <w:r w:rsidRPr="0040253F">
              <w:rPr>
                <w:b/>
                <w:iCs/>
              </w:rPr>
              <w:t>Ņemts vērā</w:t>
            </w:r>
          </w:p>
        </w:tc>
        <w:tc>
          <w:tcPr>
            <w:tcW w:w="4291" w:type="dxa"/>
            <w:tcBorders>
              <w:top w:val="single" w:sz="4" w:space="0" w:color="auto"/>
              <w:left w:val="single" w:sz="4" w:space="0" w:color="auto"/>
              <w:bottom w:val="single" w:sz="4" w:space="0" w:color="auto"/>
            </w:tcBorders>
          </w:tcPr>
          <w:p w14:paraId="6FF6ECA1" w14:textId="77777777" w:rsidR="002B50AD" w:rsidRPr="0040253F" w:rsidRDefault="002B50AD" w:rsidP="0040253F">
            <w:pPr>
              <w:pStyle w:val="naisf"/>
              <w:spacing w:before="60" w:after="60"/>
              <w:ind w:firstLine="0"/>
            </w:pPr>
            <w:r w:rsidRPr="0040253F">
              <w:t>Noteikumu projekta 1.punkts ir izteikts šādā redakcijā:</w:t>
            </w:r>
          </w:p>
          <w:p w14:paraId="6EE0C5E9" w14:textId="77777777" w:rsidR="002B50AD" w:rsidRPr="0040253F" w:rsidRDefault="002B50AD" w:rsidP="0040253F">
            <w:pPr>
              <w:pStyle w:val="naisf"/>
              <w:spacing w:before="60" w:after="60"/>
              <w:ind w:firstLine="0"/>
            </w:pPr>
            <w:r w:rsidRPr="0040253F">
              <w:t>“1. Izteikt 3. punktu šādā redakcijā:</w:t>
            </w:r>
          </w:p>
          <w:p w14:paraId="41D516E0" w14:textId="231AD8E1" w:rsidR="002B50AD" w:rsidRPr="0040253F" w:rsidRDefault="002B50AD" w:rsidP="0040253F">
            <w:pPr>
              <w:pStyle w:val="naisf"/>
              <w:spacing w:before="60" w:after="60"/>
              <w:ind w:firstLine="0"/>
            </w:pPr>
            <w:r w:rsidRPr="0040253F">
              <w:t>“3. Šos noteikumus degvielas piegādātājs vai degvielas piegādātāju grupa (turpmāk – degvielas piegādātājs) piemēro degvielai, kas kā transporta enerģija tiek izmantota autotransportlīdzekļos ceļu satiksmē, autoceļiem neparedzētajā mobilajā tehnikā – dzelzceļa transportlīdzekļos; lauksaimniecības un mežsaimniecības traktortehnikā, normatīvajos aktos par atpūtas kuģu un ūdens motociklu būvniecību, atbilstības novērtēšanu un piedāvāšanu tirgū minēt</w:t>
            </w:r>
            <w:r w:rsidR="003570A5" w:rsidRPr="0040253F">
              <w:t>aj</w:t>
            </w:r>
            <w:r w:rsidRPr="0040253F">
              <w:t xml:space="preserve">os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noteikumus degvielas piegādātājs nepiemēro degvielai un biodegvielai, kas kā transporta enerģija tiek izmantota gaisa transportā”.</w:t>
            </w:r>
          </w:p>
        </w:tc>
      </w:tr>
      <w:tr w:rsidR="007028DA" w:rsidRPr="0040253F" w14:paraId="090367DD" w14:textId="77777777" w:rsidTr="005303FA">
        <w:trPr>
          <w:jc w:val="center"/>
        </w:trPr>
        <w:tc>
          <w:tcPr>
            <w:tcW w:w="637" w:type="dxa"/>
            <w:tcBorders>
              <w:top w:val="single" w:sz="6" w:space="0" w:color="000000"/>
              <w:left w:val="single" w:sz="6" w:space="0" w:color="000000"/>
              <w:bottom w:val="single" w:sz="6" w:space="0" w:color="000000"/>
              <w:right w:val="single" w:sz="6" w:space="0" w:color="000000"/>
            </w:tcBorders>
          </w:tcPr>
          <w:p w14:paraId="60DC08E8" w14:textId="4B19112D" w:rsidR="007028DA" w:rsidRPr="0040253F" w:rsidRDefault="007028DA" w:rsidP="0040253F">
            <w:pPr>
              <w:pStyle w:val="naisc"/>
              <w:spacing w:before="60" w:after="60"/>
              <w:rPr>
                <w:b/>
              </w:rPr>
            </w:pPr>
            <w:r w:rsidRPr="0040253F">
              <w:rPr>
                <w:b/>
              </w:rPr>
              <w:t>5</w:t>
            </w:r>
          </w:p>
        </w:tc>
        <w:tc>
          <w:tcPr>
            <w:tcW w:w="3041" w:type="dxa"/>
            <w:tcBorders>
              <w:top w:val="single" w:sz="6" w:space="0" w:color="000000"/>
              <w:left w:val="single" w:sz="6" w:space="0" w:color="000000"/>
              <w:bottom w:val="single" w:sz="6" w:space="0" w:color="000000"/>
              <w:right w:val="single" w:sz="6" w:space="0" w:color="000000"/>
            </w:tcBorders>
          </w:tcPr>
          <w:p w14:paraId="227EABF2" w14:textId="77777777" w:rsidR="007028DA" w:rsidRPr="0040253F" w:rsidRDefault="007028DA" w:rsidP="0040253F">
            <w:pPr>
              <w:tabs>
                <w:tab w:val="left" w:pos="3195"/>
              </w:tabs>
              <w:spacing w:before="60" w:after="60"/>
            </w:pPr>
            <w:r w:rsidRPr="0040253F">
              <w:t>Noteikumu projekta 2.punkts:</w:t>
            </w:r>
          </w:p>
          <w:p w14:paraId="10BF8612" w14:textId="484F4C73" w:rsidR="007028DA" w:rsidRPr="0040253F" w:rsidRDefault="007028DA" w:rsidP="0040253F">
            <w:pPr>
              <w:pStyle w:val="naisf"/>
              <w:spacing w:before="60" w:after="60"/>
              <w:ind w:firstLine="0"/>
            </w:pPr>
            <w:r w:rsidRPr="0040253F">
              <w:t>“2. Izteikt 3. punktu šādā redakcijā:</w:t>
            </w:r>
          </w:p>
          <w:p w14:paraId="744E8824" w14:textId="1F40677A" w:rsidR="007028DA" w:rsidRPr="0040253F" w:rsidRDefault="007028DA" w:rsidP="0040253F">
            <w:pPr>
              <w:pStyle w:val="naisf"/>
              <w:spacing w:before="60" w:after="60"/>
              <w:ind w:firstLine="0"/>
            </w:pPr>
            <w:r w:rsidRPr="0040253F">
              <w:t xml:space="preserve">“3. Šos noteikumus degvielas piegādātājs vai degvielas </w:t>
            </w:r>
            <w:r w:rsidRPr="0040253F">
              <w:lastRenderedPageBreak/>
              <w:t xml:space="preserve">piegādātāju grupa (turpmāk – degvielas piegādātājs) piemēro degvielai, kas kā transporta enerģija tiek izmantota autotransportlīdzekļos ceļu satiksmē, autoceļiem neparedzētajā mobilajā tehnikā (tostarp dzelzceļa transportlīdzekļos un kuģos, kad tie nekuģo jūrā), lauksaimniecības un mežsaimniecības traktortehnikā,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noteikumus degvielas piegādātājs nepiemēro biodegvielai, kas kā transporta enerģija tiek izmantota gaisa transportā”.”</w:t>
            </w:r>
          </w:p>
        </w:tc>
        <w:tc>
          <w:tcPr>
            <w:tcW w:w="4047" w:type="dxa"/>
            <w:tcBorders>
              <w:top w:val="single" w:sz="6" w:space="0" w:color="000000"/>
              <w:left w:val="single" w:sz="6" w:space="0" w:color="000000"/>
              <w:bottom w:val="single" w:sz="6" w:space="0" w:color="000000"/>
              <w:right w:val="single" w:sz="6" w:space="0" w:color="000000"/>
            </w:tcBorders>
          </w:tcPr>
          <w:p w14:paraId="59523EC7" w14:textId="77777777" w:rsidR="007028DA" w:rsidRPr="0040253F" w:rsidRDefault="007028DA" w:rsidP="0040253F">
            <w:pPr>
              <w:autoSpaceDE w:val="0"/>
              <w:autoSpaceDN w:val="0"/>
              <w:adjustRightInd w:val="0"/>
              <w:spacing w:before="60" w:after="60"/>
              <w:jc w:val="center"/>
              <w:rPr>
                <w:b/>
              </w:rPr>
            </w:pPr>
            <w:r w:rsidRPr="0040253F">
              <w:rPr>
                <w:b/>
              </w:rPr>
              <w:lastRenderedPageBreak/>
              <w:t>Satiksmes ministrija</w:t>
            </w:r>
          </w:p>
          <w:p w14:paraId="433F429E" w14:textId="0285FFC1" w:rsidR="007028DA" w:rsidRPr="0040253F" w:rsidRDefault="007028DA" w:rsidP="0040253F">
            <w:pPr>
              <w:autoSpaceDE w:val="0"/>
              <w:autoSpaceDN w:val="0"/>
              <w:adjustRightInd w:val="0"/>
              <w:spacing w:before="60" w:after="60"/>
              <w:jc w:val="center"/>
              <w:rPr>
                <w:b/>
              </w:rPr>
            </w:pPr>
            <w:r w:rsidRPr="0040253F">
              <w:rPr>
                <w:b/>
              </w:rPr>
              <w:t>(2019.gada 28.maijs)</w:t>
            </w:r>
          </w:p>
          <w:p w14:paraId="03C9C172" w14:textId="65806822" w:rsidR="007028DA" w:rsidRPr="0040253F" w:rsidRDefault="007028DA" w:rsidP="0040253F">
            <w:pPr>
              <w:autoSpaceDE w:val="0"/>
              <w:autoSpaceDN w:val="0"/>
              <w:adjustRightInd w:val="0"/>
              <w:spacing w:before="60" w:after="60"/>
            </w:pPr>
            <w:r w:rsidRPr="0040253F">
              <w:t xml:space="preserve">Satiksmes ministrija 2019. gada 14. maija atzinuma Nr.03-03/69 1. punktā lūdza noteikumu projekta 1.punkta ietvertajā 3.punktā svītrot vārdus </w:t>
            </w:r>
            <w:r w:rsidRPr="0040253F">
              <w:lastRenderedPageBreak/>
              <w:t>“iekšzemes ūdensceļu kuģos, kas kuģo iekšējos ūdeņos” un attiecīgi papildināt noteikumu projekta anotāciju. Lai gan izziņā ir norādīts, ka iebildums ir ņemts vērā, tas ir ņemts vērā tikai daļēji – attiecīgie vārdi ir nevis svītroti, bet aizstāti ar vārdiem “kuģos, kad tie nekuģo jūrā”. Šāds termins “kuģi, kad tie nekuģo jūrā” aptver visa veida kuģus, bet tas nav korekti, jo pretējā gadījumā atpūtas kuģi nebūtu izdalīti atsevišķi.</w:t>
            </w:r>
          </w:p>
        </w:tc>
        <w:tc>
          <w:tcPr>
            <w:tcW w:w="2976" w:type="dxa"/>
            <w:tcBorders>
              <w:top w:val="single" w:sz="6" w:space="0" w:color="000000"/>
              <w:left w:val="single" w:sz="6" w:space="0" w:color="000000"/>
              <w:bottom w:val="single" w:sz="6" w:space="0" w:color="000000"/>
              <w:right w:val="single" w:sz="6" w:space="0" w:color="000000"/>
            </w:tcBorders>
          </w:tcPr>
          <w:p w14:paraId="3201D142" w14:textId="4B471843" w:rsidR="007028DA" w:rsidRPr="0040253F" w:rsidRDefault="007028DA" w:rsidP="0040253F">
            <w:pPr>
              <w:spacing w:before="60" w:after="60"/>
              <w:jc w:val="center"/>
              <w:rPr>
                <w:b/>
                <w:iCs/>
              </w:rPr>
            </w:pPr>
            <w:r w:rsidRPr="0040253F">
              <w:rPr>
                <w:b/>
                <w:iCs/>
              </w:rPr>
              <w:lastRenderedPageBreak/>
              <w:t>Ņemts vērā</w:t>
            </w:r>
          </w:p>
          <w:p w14:paraId="6E0EE956" w14:textId="017A95F7" w:rsidR="007028DA" w:rsidRPr="0040253F" w:rsidRDefault="007028DA" w:rsidP="0040253F">
            <w:pPr>
              <w:spacing w:before="60" w:after="60"/>
              <w:rPr>
                <w:iCs/>
              </w:rPr>
            </w:pPr>
          </w:p>
        </w:tc>
        <w:tc>
          <w:tcPr>
            <w:tcW w:w="4291" w:type="dxa"/>
            <w:tcBorders>
              <w:top w:val="single" w:sz="4" w:space="0" w:color="auto"/>
              <w:left w:val="single" w:sz="4" w:space="0" w:color="auto"/>
              <w:bottom w:val="single" w:sz="4" w:space="0" w:color="auto"/>
            </w:tcBorders>
          </w:tcPr>
          <w:p w14:paraId="4C7C2AE3" w14:textId="77777777" w:rsidR="007028DA" w:rsidRPr="0040253F" w:rsidRDefault="007028DA" w:rsidP="0040253F">
            <w:pPr>
              <w:pStyle w:val="naisf"/>
              <w:spacing w:before="60" w:after="60"/>
              <w:ind w:firstLine="0"/>
            </w:pPr>
            <w:r w:rsidRPr="0040253F">
              <w:t>Noteikumu projekta 1.punkts ir izteikts šādā redakcijā:</w:t>
            </w:r>
          </w:p>
          <w:p w14:paraId="52861FC7" w14:textId="77777777" w:rsidR="007028DA" w:rsidRPr="0040253F" w:rsidRDefault="007028DA" w:rsidP="0040253F">
            <w:pPr>
              <w:pStyle w:val="naisf"/>
              <w:spacing w:before="60" w:after="60"/>
              <w:ind w:firstLine="0"/>
            </w:pPr>
            <w:r w:rsidRPr="0040253F">
              <w:t>“1. Izteikt 3. punktu šādā redakcijā:</w:t>
            </w:r>
          </w:p>
          <w:p w14:paraId="4D1A678D" w14:textId="68B2E2E6" w:rsidR="007028DA" w:rsidRPr="0040253F" w:rsidRDefault="007028DA" w:rsidP="0040253F">
            <w:pPr>
              <w:pStyle w:val="naisf"/>
              <w:spacing w:before="60" w:after="60"/>
              <w:ind w:firstLine="0"/>
            </w:pPr>
            <w:r w:rsidRPr="0040253F">
              <w:t xml:space="preserve">“3. Šos noteikumus degvielas piegādātājs vai degvielas piegādātāju grupa (turpmāk – degvielas piegādātājs) piemēro </w:t>
            </w:r>
            <w:r w:rsidRPr="0040253F">
              <w:lastRenderedPageBreak/>
              <w:t>degvielai, kas kā transporta enerģija tiek izmantota autotransportlīdzekļos ceļu satiksmē, autoceļiem neparedzētajā mobilajā tehnikā – dzelzceļa transportlīdzekļos; lauksaimniecības un mežsaimniecības traktortehnikā, normatīvajos aktos par atpūtas kuģu un ūdens motociklu būvniecību, atbilstības novērtēšanu un piedāvāšanu tirgū minēt</w:t>
            </w:r>
            <w:r w:rsidR="003570A5" w:rsidRPr="0040253F">
              <w:t>aj</w:t>
            </w:r>
            <w:r w:rsidRPr="0040253F">
              <w:t xml:space="preserve">os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noteikumus degvielas piegādātājs nepiemēro degvielai un biodegvielai, kas kā transporta enerģija tiek izmantota gaisa transportā”.</w:t>
            </w:r>
          </w:p>
        </w:tc>
      </w:tr>
      <w:tr w:rsidR="007028DA" w:rsidRPr="0040253F" w14:paraId="350EB37C" w14:textId="77777777" w:rsidTr="005303FA">
        <w:trPr>
          <w:jc w:val="center"/>
        </w:trPr>
        <w:tc>
          <w:tcPr>
            <w:tcW w:w="637" w:type="dxa"/>
            <w:tcBorders>
              <w:top w:val="single" w:sz="6" w:space="0" w:color="000000"/>
              <w:left w:val="single" w:sz="6" w:space="0" w:color="000000"/>
              <w:bottom w:val="single" w:sz="6" w:space="0" w:color="000000"/>
              <w:right w:val="single" w:sz="6" w:space="0" w:color="000000"/>
            </w:tcBorders>
          </w:tcPr>
          <w:p w14:paraId="0534B3D2" w14:textId="03A9B555" w:rsidR="007028DA" w:rsidRPr="0040253F" w:rsidRDefault="007028DA" w:rsidP="0040253F">
            <w:pPr>
              <w:pStyle w:val="naisc"/>
              <w:spacing w:before="60" w:after="60"/>
              <w:rPr>
                <w:b/>
              </w:rPr>
            </w:pPr>
            <w:r w:rsidRPr="0040253F">
              <w:rPr>
                <w:b/>
              </w:rPr>
              <w:lastRenderedPageBreak/>
              <w:t>6</w:t>
            </w:r>
          </w:p>
        </w:tc>
        <w:tc>
          <w:tcPr>
            <w:tcW w:w="3041" w:type="dxa"/>
            <w:tcBorders>
              <w:top w:val="single" w:sz="6" w:space="0" w:color="000000"/>
              <w:left w:val="single" w:sz="6" w:space="0" w:color="000000"/>
              <w:bottom w:val="single" w:sz="6" w:space="0" w:color="000000"/>
              <w:right w:val="single" w:sz="6" w:space="0" w:color="000000"/>
            </w:tcBorders>
          </w:tcPr>
          <w:p w14:paraId="51E32EDE" w14:textId="77777777" w:rsidR="007028DA" w:rsidRPr="0040253F" w:rsidRDefault="007028DA" w:rsidP="0040253F">
            <w:pPr>
              <w:tabs>
                <w:tab w:val="left" w:pos="3195"/>
              </w:tabs>
              <w:spacing w:before="60" w:after="60"/>
            </w:pPr>
          </w:p>
        </w:tc>
        <w:tc>
          <w:tcPr>
            <w:tcW w:w="4047" w:type="dxa"/>
            <w:tcBorders>
              <w:top w:val="single" w:sz="6" w:space="0" w:color="000000"/>
              <w:left w:val="single" w:sz="6" w:space="0" w:color="000000"/>
              <w:bottom w:val="single" w:sz="6" w:space="0" w:color="000000"/>
              <w:right w:val="single" w:sz="6" w:space="0" w:color="000000"/>
            </w:tcBorders>
          </w:tcPr>
          <w:p w14:paraId="1389E19A" w14:textId="77777777" w:rsidR="007028DA" w:rsidRPr="0040253F" w:rsidRDefault="007028DA" w:rsidP="0040253F">
            <w:pPr>
              <w:autoSpaceDE w:val="0"/>
              <w:autoSpaceDN w:val="0"/>
              <w:adjustRightInd w:val="0"/>
              <w:spacing w:before="60" w:after="60"/>
              <w:jc w:val="center"/>
              <w:rPr>
                <w:b/>
              </w:rPr>
            </w:pPr>
            <w:r w:rsidRPr="0040253F">
              <w:rPr>
                <w:b/>
              </w:rPr>
              <w:t>Satiksmes ministrija</w:t>
            </w:r>
          </w:p>
          <w:p w14:paraId="2BA09A74" w14:textId="77777777" w:rsidR="007028DA" w:rsidRPr="0040253F" w:rsidRDefault="007028DA" w:rsidP="0040253F">
            <w:pPr>
              <w:autoSpaceDE w:val="0"/>
              <w:autoSpaceDN w:val="0"/>
              <w:adjustRightInd w:val="0"/>
              <w:spacing w:before="60" w:after="60"/>
              <w:jc w:val="center"/>
              <w:rPr>
                <w:b/>
              </w:rPr>
            </w:pPr>
            <w:r w:rsidRPr="0040253F">
              <w:rPr>
                <w:b/>
              </w:rPr>
              <w:t>(2019.gada 14.maijs)</w:t>
            </w:r>
          </w:p>
          <w:p w14:paraId="2611DD87" w14:textId="10086435" w:rsidR="007028DA" w:rsidRPr="0040253F" w:rsidRDefault="007028DA" w:rsidP="0040253F">
            <w:pPr>
              <w:autoSpaceDE w:val="0"/>
              <w:autoSpaceDN w:val="0"/>
              <w:adjustRightInd w:val="0"/>
              <w:spacing w:before="60" w:after="60"/>
              <w:jc w:val="both"/>
              <w:rPr>
                <w:rFonts w:eastAsia="Calibri"/>
              </w:rPr>
            </w:pPr>
            <w:r w:rsidRPr="0040253F">
              <w:t xml:space="preserve">4. Vienlaikus vēršam uzmanību, ka noteikumu projekta anotācijā nav norādīts pamatojums par Noteikumu 3.punkta papildināšanu ar jaunu transportlīdzekļa veidu – dzelzceļa </w:t>
            </w:r>
            <w:r w:rsidRPr="0040253F">
              <w:lastRenderedPageBreak/>
              <w:t>transportlīdzekļiem. Ņemot vērā minēto, lūdzam attiecīgi papildināt noteikumu projekta anotācijas I sadaļas 2.punktu.</w:t>
            </w:r>
          </w:p>
        </w:tc>
        <w:tc>
          <w:tcPr>
            <w:tcW w:w="2976" w:type="dxa"/>
            <w:tcBorders>
              <w:top w:val="single" w:sz="6" w:space="0" w:color="000000"/>
              <w:left w:val="single" w:sz="6" w:space="0" w:color="000000"/>
              <w:bottom w:val="single" w:sz="6" w:space="0" w:color="000000"/>
              <w:right w:val="single" w:sz="6" w:space="0" w:color="000000"/>
            </w:tcBorders>
          </w:tcPr>
          <w:p w14:paraId="166C4D53" w14:textId="31572E83" w:rsidR="007028DA" w:rsidRPr="0040253F" w:rsidRDefault="007028DA" w:rsidP="0040253F">
            <w:pPr>
              <w:spacing w:before="60" w:after="60"/>
              <w:jc w:val="center"/>
              <w:rPr>
                <w:b/>
                <w:iCs/>
              </w:rPr>
            </w:pPr>
            <w:r w:rsidRPr="0040253F">
              <w:rPr>
                <w:b/>
                <w:iCs/>
              </w:rPr>
              <w:lastRenderedPageBreak/>
              <w:t>Ņemts vērā</w:t>
            </w:r>
          </w:p>
        </w:tc>
        <w:tc>
          <w:tcPr>
            <w:tcW w:w="4291" w:type="dxa"/>
            <w:tcBorders>
              <w:top w:val="single" w:sz="4" w:space="0" w:color="auto"/>
              <w:left w:val="single" w:sz="4" w:space="0" w:color="auto"/>
              <w:bottom w:val="single" w:sz="4" w:space="0" w:color="auto"/>
            </w:tcBorders>
          </w:tcPr>
          <w:p w14:paraId="53DF355B" w14:textId="788CAB69" w:rsidR="007028DA" w:rsidRPr="0040253F" w:rsidRDefault="007028DA" w:rsidP="0040253F">
            <w:pPr>
              <w:tabs>
                <w:tab w:val="left" w:pos="3195"/>
              </w:tabs>
              <w:spacing w:before="60" w:after="60"/>
            </w:pPr>
            <w:r w:rsidRPr="0040253F">
              <w:t>Noteikumu projekta anotācijas I sadaļas 2.punkts un V sadaļas 1.tabula</w:t>
            </w:r>
          </w:p>
        </w:tc>
      </w:tr>
      <w:tr w:rsidR="007028DA" w:rsidRPr="0040253F" w14:paraId="2A4EFECF" w14:textId="77777777" w:rsidTr="00D373FE">
        <w:trPr>
          <w:jc w:val="center"/>
        </w:trPr>
        <w:tc>
          <w:tcPr>
            <w:tcW w:w="637" w:type="dxa"/>
            <w:tcBorders>
              <w:top w:val="single" w:sz="6" w:space="0" w:color="000000"/>
              <w:left w:val="single" w:sz="6" w:space="0" w:color="000000"/>
              <w:bottom w:val="single" w:sz="6" w:space="0" w:color="000000"/>
              <w:right w:val="single" w:sz="6" w:space="0" w:color="000000"/>
            </w:tcBorders>
          </w:tcPr>
          <w:p w14:paraId="4703DA1A" w14:textId="724525CB" w:rsidR="007028DA" w:rsidRPr="0040253F" w:rsidRDefault="007028DA" w:rsidP="0040253F">
            <w:pPr>
              <w:pStyle w:val="naisc"/>
              <w:spacing w:before="60" w:after="60"/>
              <w:rPr>
                <w:b/>
              </w:rPr>
            </w:pPr>
            <w:r w:rsidRPr="0040253F">
              <w:rPr>
                <w:b/>
              </w:rPr>
              <w:t>7</w:t>
            </w:r>
          </w:p>
        </w:tc>
        <w:tc>
          <w:tcPr>
            <w:tcW w:w="3041" w:type="dxa"/>
            <w:tcBorders>
              <w:top w:val="single" w:sz="6" w:space="0" w:color="000000"/>
              <w:left w:val="single" w:sz="6" w:space="0" w:color="000000"/>
              <w:bottom w:val="single" w:sz="6" w:space="0" w:color="000000"/>
              <w:right w:val="single" w:sz="6" w:space="0" w:color="000000"/>
            </w:tcBorders>
          </w:tcPr>
          <w:p w14:paraId="79D2E18C" w14:textId="77777777" w:rsidR="007028DA" w:rsidRPr="0040253F" w:rsidRDefault="007028DA" w:rsidP="0040253F">
            <w:pPr>
              <w:pStyle w:val="naisc"/>
              <w:spacing w:before="60" w:after="60"/>
              <w:jc w:val="both"/>
            </w:pPr>
          </w:p>
        </w:tc>
        <w:tc>
          <w:tcPr>
            <w:tcW w:w="4047" w:type="dxa"/>
            <w:tcBorders>
              <w:top w:val="single" w:sz="6" w:space="0" w:color="000000"/>
              <w:left w:val="single" w:sz="6" w:space="0" w:color="000000"/>
              <w:bottom w:val="single" w:sz="6" w:space="0" w:color="000000"/>
              <w:right w:val="single" w:sz="6" w:space="0" w:color="000000"/>
            </w:tcBorders>
          </w:tcPr>
          <w:p w14:paraId="3B9A03D0" w14:textId="77777777" w:rsidR="007028DA" w:rsidRPr="0040253F" w:rsidRDefault="007028DA" w:rsidP="0040253F">
            <w:pPr>
              <w:spacing w:before="60" w:after="60"/>
              <w:jc w:val="center"/>
              <w:rPr>
                <w:b/>
              </w:rPr>
            </w:pPr>
            <w:r w:rsidRPr="0040253F">
              <w:rPr>
                <w:b/>
              </w:rPr>
              <w:t>Tieslietu ministrija</w:t>
            </w:r>
          </w:p>
          <w:p w14:paraId="6ECD084E" w14:textId="77777777" w:rsidR="007028DA" w:rsidRPr="0040253F" w:rsidRDefault="007028DA" w:rsidP="0040253F">
            <w:pPr>
              <w:spacing w:before="60" w:after="60"/>
              <w:jc w:val="center"/>
              <w:rPr>
                <w:b/>
              </w:rPr>
            </w:pPr>
            <w:r w:rsidRPr="0040253F">
              <w:rPr>
                <w:b/>
              </w:rPr>
              <w:t>(2019.gada 13.maijs)</w:t>
            </w:r>
          </w:p>
          <w:p w14:paraId="4AC47818" w14:textId="60C795F5" w:rsidR="007028DA" w:rsidRPr="0040253F" w:rsidRDefault="007028DA" w:rsidP="0040253F">
            <w:pPr>
              <w:widowControl w:val="0"/>
              <w:tabs>
                <w:tab w:val="left" w:pos="709"/>
                <w:tab w:val="left" w:pos="993"/>
                <w:tab w:val="left" w:pos="1560"/>
              </w:tabs>
              <w:spacing w:before="60" w:after="60"/>
              <w:jc w:val="both"/>
              <w:rPr>
                <w:bCs/>
                <w:iCs/>
              </w:rPr>
            </w:pPr>
            <w:r w:rsidRPr="0040253F">
              <w:rPr>
                <w:bCs/>
                <w:iCs/>
              </w:rPr>
              <w:t>1. Projekta 1. punkts paredz izteikt spēkā esošo noteikumu 3. punktu šādā redakcijā:</w:t>
            </w:r>
            <w:r w:rsidRPr="0040253F">
              <w:t xml:space="preserve"> “</w:t>
            </w:r>
            <w:r w:rsidRPr="0040253F">
              <w:rPr>
                <w:bCs/>
                <w:iCs/>
              </w:rPr>
              <w:t xml:space="preserve">Šos noteikumus degvielas piegādātājs vai degvielas piegādātāju grupa (turpmāk – degvielas piegādātājs) piemēro degvielai, kas kā transporta enerģija tiek izmantota autotransportlīdzekļos ceļu satiksmē, autoceļiem neparedzētajā mobilajā tehnikā (tostarp dzelzceļa transportlīdzekļos, iekšzemes ūdensceļu kuģos, kas kuģo iekšējos ūdeņos </w:t>
            </w:r>
            <w:r w:rsidRPr="0040253F">
              <w:rPr>
                <w:bCs/>
                <w:iCs/>
                <w:u w:val="single"/>
              </w:rPr>
              <w:t>un izņemot gaisa transportu</w:t>
            </w:r>
            <w:r w:rsidRPr="0040253F">
              <w:rPr>
                <w:bCs/>
                <w:iCs/>
              </w:rPr>
              <w:t xml:space="preserve">), lauksaimniecības un mežsaimniecības traktortehnikā, atpūtas kuģos, kas kuģo iekšējos ūdeņos, kā arī elektroenerģijai, kas tiek piegādāta </w:t>
            </w:r>
            <w:proofErr w:type="spellStart"/>
            <w:r w:rsidRPr="0040253F">
              <w:rPr>
                <w:bCs/>
                <w:iCs/>
              </w:rPr>
              <w:t>elektrotransportlīdzekļiem</w:t>
            </w:r>
            <w:proofErr w:type="spellEnd"/>
            <w:r w:rsidRPr="0040253F">
              <w:rPr>
                <w:bCs/>
                <w:iCs/>
              </w:rPr>
              <w:t>.”</w:t>
            </w:r>
          </w:p>
          <w:p w14:paraId="6E400FF3" w14:textId="77777777" w:rsidR="007028DA" w:rsidRPr="0040253F" w:rsidRDefault="007028DA" w:rsidP="0040253F">
            <w:pPr>
              <w:tabs>
                <w:tab w:val="left" w:pos="709"/>
                <w:tab w:val="left" w:pos="993"/>
                <w:tab w:val="left" w:pos="1560"/>
              </w:tabs>
              <w:spacing w:before="60" w:after="60"/>
              <w:ind w:firstLine="709"/>
              <w:rPr>
                <w:bCs/>
                <w:iCs/>
              </w:rPr>
            </w:pPr>
            <w:r w:rsidRPr="0040253F">
              <w:rPr>
                <w:bCs/>
                <w:iCs/>
              </w:rPr>
              <w:t xml:space="preserve">Vēršam uzmanību, ka projekta anotācijas V sadaļas 1. tabulā norādīts, ka projekta 1. punktā ir ieviests Regulas 2018/1999 47. panta 1. punkts, kas izsaka Direktīvas 98/70/EK 7a. panta 1. punkta trešās daļas “a” apakšpunktu jaunā redakcijā. Savukārt projekta anotācijas I sadaļas 2. punkts </w:t>
            </w:r>
            <w:r w:rsidRPr="0040253F">
              <w:rPr>
                <w:bCs/>
                <w:iCs/>
              </w:rPr>
              <w:lastRenderedPageBreak/>
              <w:t xml:space="preserve">neietver skaidrojumu par projekta 1. punktā izteikto grozījumu spēkā esošo noteikumu 3. punktā saistību uz Direktīvas 98/70/EK prasību pārņemšanu. </w:t>
            </w:r>
          </w:p>
          <w:p w14:paraId="2AB0D850" w14:textId="77777777" w:rsidR="007028DA" w:rsidRPr="0040253F" w:rsidRDefault="007028DA" w:rsidP="0040253F">
            <w:pPr>
              <w:spacing w:before="60" w:after="60"/>
              <w:ind w:firstLine="709"/>
              <w:rPr>
                <w:bCs/>
                <w:iCs/>
              </w:rPr>
            </w:pPr>
            <w:r w:rsidRPr="0040253F">
              <w:rPr>
                <w:bCs/>
                <w:iCs/>
              </w:rPr>
              <w:t>Norādām, ka nav viennozīmīgi skaidrs, kādā veidā projekta 1. punktā tiek pārņemtas Direktīvas 98/70/EK 7a. panta 1. punkta trešās daļas “a” apakšpunkta prasības. Tādējādi lūdzam izvērtēt minētās Direktīvas 98/70/EK normas saistību ar projekta 1. punktu un nepieciešamības gadījumā precizēt projekta anotāciju.</w:t>
            </w:r>
          </w:p>
          <w:p w14:paraId="5D67326D" w14:textId="77777777" w:rsidR="007028DA" w:rsidRPr="0040253F" w:rsidRDefault="007028DA" w:rsidP="0040253F">
            <w:pPr>
              <w:spacing w:before="60" w:after="60"/>
              <w:ind w:firstLine="709"/>
              <w:rPr>
                <w:bCs/>
                <w:iCs/>
              </w:rPr>
            </w:pPr>
            <w:r w:rsidRPr="0040253F">
              <w:rPr>
                <w:bCs/>
                <w:iCs/>
              </w:rPr>
              <w:t>Turklāt vēršam arī uzmanību, ka spēkā esošo noteikumu 3. punktā ir pārņemts</w:t>
            </w:r>
            <w:r w:rsidRPr="0040253F">
              <w:t xml:space="preserve"> </w:t>
            </w:r>
            <w:r w:rsidRPr="0040253F">
              <w:rPr>
                <w:bCs/>
                <w:iCs/>
              </w:rPr>
              <w:t xml:space="preserve">Padomes 2015. gada 20. aprīļa Direktīvas (ES) 2015/652, ar ko nosaka aprēķina metodes un ziņošanas prasības, ievērojot Eiropas Parlamenta un Padomes Direktīvu 98/70/EK, attiecībā uz benzīna un dīzeļdegvielu kvalitāti (turpmāk - Direktīva 2015/652) 1. pants, kā arī Direktīvas 98/70/EK 7a. panta 1. punkta 1.rindkopa un 7a. panta 4. punkts. </w:t>
            </w:r>
          </w:p>
          <w:p w14:paraId="5B0676BB" w14:textId="77777777" w:rsidR="007028DA" w:rsidRPr="0040253F" w:rsidRDefault="007028DA" w:rsidP="0040253F">
            <w:pPr>
              <w:tabs>
                <w:tab w:val="left" w:pos="709"/>
                <w:tab w:val="left" w:pos="993"/>
                <w:tab w:val="left" w:pos="1560"/>
              </w:tabs>
              <w:spacing w:before="60" w:after="60"/>
              <w:rPr>
                <w:bCs/>
                <w:iCs/>
              </w:rPr>
            </w:pPr>
            <w:r w:rsidRPr="0040253F">
              <w:rPr>
                <w:bCs/>
                <w:iCs/>
              </w:rPr>
              <w:tab/>
              <w:t>Direktīvas</w:t>
            </w:r>
            <w:r w:rsidRPr="0040253F">
              <w:t xml:space="preserve"> </w:t>
            </w:r>
            <w:r w:rsidRPr="0040253F">
              <w:rPr>
                <w:bCs/>
                <w:iCs/>
              </w:rPr>
              <w:t xml:space="preserve">2015/652 1. panta 2. punkts noteic, ka “šo direktīvu piemēro degvielām, ar ko darbina autotransportlīdzekļus un </w:t>
            </w:r>
            <w:proofErr w:type="spellStart"/>
            <w:r w:rsidRPr="0040253F">
              <w:rPr>
                <w:bCs/>
                <w:iCs/>
              </w:rPr>
              <w:t>neautoceļu</w:t>
            </w:r>
            <w:proofErr w:type="spellEnd"/>
            <w:r w:rsidRPr="0040253F">
              <w:rPr>
                <w:bCs/>
                <w:iCs/>
              </w:rPr>
              <w:t xml:space="preserve"> tehniku (tostarp iekšzemes ūdensceļu kuģus, kad tie nekuģo jūrā), lauksaimniecības un mežsaimniecības </w:t>
            </w:r>
            <w:r w:rsidRPr="0040253F">
              <w:rPr>
                <w:bCs/>
                <w:iCs/>
              </w:rPr>
              <w:lastRenderedPageBreak/>
              <w:t>traktorus, kā arī atpūtas kuģus, kad tie nekuģo jūrā, un elektroenerģijai, ko izmanto autotransportlīdzekļos.” (Angļu valodas versijā: “</w:t>
            </w:r>
            <w:proofErr w:type="spellStart"/>
            <w:r w:rsidRPr="0040253F">
              <w:rPr>
                <w:bCs/>
                <w:i/>
                <w:iCs/>
              </w:rPr>
              <w:t>This</w:t>
            </w:r>
            <w:proofErr w:type="spellEnd"/>
            <w:r w:rsidRPr="0040253F">
              <w:rPr>
                <w:bCs/>
                <w:i/>
                <w:iCs/>
              </w:rPr>
              <w:t xml:space="preserve"> </w:t>
            </w:r>
            <w:proofErr w:type="spellStart"/>
            <w:r w:rsidRPr="0040253F">
              <w:rPr>
                <w:bCs/>
                <w:i/>
                <w:iCs/>
              </w:rPr>
              <w:t>Directive</w:t>
            </w:r>
            <w:proofErr w:type="spellEnd"/>
            <w:r w:rsidRPr="0040253F">
              <w:rPr>
                <w:bCs/>
                <w:i/>
                <w:iCs/>
              </w:rPr>
              <w:t xml:space="preserve"> applies to </w:t>
            </w:r>
            <w:proofErr w:type="spellStart"/>
            <w:r w:rsidRPr="0040253F">
              <w:rPr>
                <w:bCs/>
                <w:i/>
                <w:iCs/>
              </w:rPr>
              <w:t>fuels</w:t>
            </w:r>
            <w:proofErr w:type="spellEnd"/>
            <w:r w:rsidRPr="0040253F">
              <w:rPr>
                <w:bCs/>
                <w:i/>
                <w:iCs/>
              </w:rPr>
              <w:t xml:space="preserve"> </w:t>
            </w:r>
            <w:proofErr w:type="spellStart"/>
            <w:r w:rsidRPr="0040253F">
              <w:rPr>
                <w:bCs/>
                <w:i/>
                <w:iCs/>
              </w:rPr>
              <w:t>used</w:t>
            </w:r>
            <w:proofErr w:type="spellEnd"/>
            <w:r w:rsidRPr="0040253F">
              <w:rPr>
                <w:bCs/>
                <w:i/>
                <w:iCs/>
              </w:rPr>
              <w:t xml:space="preserve"> to </w:t>
            </w:r>
            <w:proofErr w:type="spellStart"/>
            <w:r w:rsidRPr="0040253F">
              <w:rPr>
                <w:bCs/>
                <w:i/>
                <w:iCs/>
              </w:rPr>
              <w:t>propel</w:t>
            </w:r>
            <w:proofErr w:type="spellEnd"/>
            <w:r w:rsidRPr="0040253F">
              <w:rPr>
                <w:bCs/>
                <w:i/>
                <w:iCs/>
              </w:rPr>
              <w:t xml:space="preserve"> </w:t>
            </w:r>
            <w:proofErr w:type="spellStart"/>
            <w:r w:rsidRPr="0040253F">
              <w:rPr>
                <w:bCs/>
                <w:i/>
                <w:iCs/>
              </w:rPr>
              <w:t>road</w:t>
            </w:r>
            <w:proofErr w:type="spellEnd"/>
            <w:r w:rsidRPr="0040253F">
              <w:rPr>
                <w:bCs/>
                <w:i/>
                <w:iCs/>
              </w:rPr>
              <w:t xml:space="preserve"> </w:t>
            </w:r>
            <w:proofErr w:type="spellStart"/>
            <w:r w:rsidRPr="0040253F">
              <w:rPr>
                <w:bCs/>
                <w:i/>
                <w:iCs/>
              </w:rPr>
              <w:t>vehicles</w:t>
            </w:r>
            <w:proofErr w:type="spellEnd"/>
            <w:r w:rsidRPr="0040253F">
              <w:rPr>
                <w:bCs/>
                <w:i/>
                <w:iCs/>
              </w:rPr>
              <w:t>, non-</w:t>
            </w:r>
            <w:proofErr w:type="spellStart"/>
            <w:r w:rsidRPr="0040253F">
              <w:rPr>
                <w:bCs/>
                <w:i/>
                <w:iCs/>
              </w:rPr>
              <w:t>road</w:t>
            </w:r>
            <w:proofErr w:type="spellEnd"/>
            <w:r w:rsidRPr="0040253F">
              <w:rPr>
                <w:bCs/>
                <w:i/>
                <w:iCs/>
              </w:rPr>
              <w:t xml:space="preserve"> </w:t>
            </w:r>
            <w:proofErr w:type="spellStart"/>
            <w:r w:rsidRPr="0040253F">
              <w:rPr>
                <w:bCs/>
                <w:i/>
                <w:iCs/>
              </w:rPr>
              <w:t>mobile</w:t>
            </w:r>
            <w:proofErr w:type="spellEnd"/>
            <w:r w:rsidRPr="0040253F">
              <w:rPr>
                <w:bCs/>
                <w:i/>
                <w:iCs/>
              </w:rPr>
              <w:t xml:space="preserve"> </w:t>
            </w:r>
            <w:proofErr w:type="spellStart"/>
            <w:r w:rsidRPr="0040253F">
              <w:rPr>
                <w:bCs/>
                <w:i/>
                <w:iCs/>
              </w:rPr>
              <w:t>machinery</w:t>
            </w:r>
            <w:proofErr w:type="spellEnd"/>
            <w:r w:rsidRPr="0040253F">
              <w:rPr>
                <w:bCs/>
                <w:i/>
                <w:iCs/>
              </w:rPr>
              <w:t xml:space="preserve"> (</w:t>
            </w:r>
            <w:proofErr w:type="spellStart"/>
            <w:r w:rsidRPr="0040253F">
              <w:rPr>
                <w:bCs/>
                <w:i/>
                <w:iCs/>
              </w:rPr>
              <w:t>including</w:t>
            </w:r>
            <w:proofErr w:type="spellEnd"/>
            <w:r w:rsidRPr="0040253F">
              <w:rPr>
                <w:bCs/>
                <w:i/>
                <w:iCs/>
              </w:rPr>
              <w:t xml:space="preserve"> </w:t>
            </w:r>
            <w:proofErr w:type="spellStart"/>
            <w:r w:rsidRPr="0040253F">
              <w:rPr>
                <w:bCs/>
                <w:i/>
                <w:iCs/>
              </w:rPr>
              <w:t>inland</w:t>
            </w:r>
            <w:proofErr w:type="spellEnd"/>
            <w:r w:rsidRPr="0040253F">
              <w:rPr>
                <w:bCs/>
                <w:i/>
                <w:iCs/>
              </w:rPr>
              <w:t xml:space="preserve"> </w:t>
            </w:r>
            <w:proofErr w:type="spellStart"/>
            <w:r w:rsidRPr="0040253F">
              <w:rPr>
                <w:bCs/>
                <w:i/>
                <w:iCs/>
              </w:rPr>
              <w:t>waterway</w:t>
            </w:r>
            <w:proofErr w:type="spellEnd"/>
            <w:r w:rsidRPr="0040253F">
              <w:rPr>
                <w:bCs/>
                <w:i/>
                <w:iCs/>
              </w:rPr>
              <w:t xml:space="preserve"> </w:t>
            </w:r>
            <w:proofErr w:type="spellStart"/>
            <w:r w:rsidRPr="0040253F">
              <w:rPr>
                <w:bCs/>
                <w:i/>
                <w:iCs/>
              </w:rPr>
              <w:t>vessels</w:t>
            </w:r>
            <w:proofErr w:type="spellEnd"/>
            <w:r w:rsidRPr="0040253F">
              <w:rPr>
                <w:bCs/>
                <w:i/>
                <w:iCs/>
              </w:rPr>
              <w:t xml:space="preserve"> </w:t>
            </w:r>
            <w:proofErr w:type="spellStart"/>
            <w:r w:rsidRPr="0040253F">
              <w:rPr>
                <w:bCs/>
                <w:i/>
                <w:iCs/>
              </w:rPr>
              <w:t>when</w:t>
            </w:r>
            <w:proofErr w:type="spellEnd"/>
            <w:r w:rsidRPr="0040253F">
              <w:rPr>
                <w:bCs/>
                <w:i/>
                <w:iCs/>
              </w:rPr>
              <w:t xml:space="preserve"> </w:t>
            </w:r>
            <w:proofErr w:type="spellStart"/>
            <w:r w:rsidRPr="0040253F">
              <w:rPr>
                <w:bCs/>
                <w:i/>
                <w:iCs/>
              </w:rPr>
              <w:t>not</w:t>
            </w:r>
            <w:proofErr w:type="spellEnd"/>
            <w:r w:rsidRPr="0040253F">
              <w:rPr>
                <w:bCs/>
                <w:i/>
                <w:iCs/>
              </w:rPr>
              <w:t xml:space="preserve"> </w:t>
            </w:r>
            <w:proofErr w:type="spellStart"/>
            <w:r w:rsidRPr="0040253F">
              <w:rPr>
                <w:bCs/>
                <w:i/>
                <w:iCs/>
              </w:rPr>
              <w:t>at</w:t>
            </w:r>
            <w:proofErr w:type="spellEnd"/>
            <w:r w:rsidRPr="0040253F">
              <w:rPr>
                <w:bCs/>
                <w:i/>
                <w:iCs/>
              </w:rPr>
              <w:t xml:space="preserve"> </w:t>
            </w:r>
            <w:proofErr w:type="spellStart"/>
            <w:r w:rsidRPr="0040253F">
              <w:rPr>
                <w:bCs/>
                <w:i/>
                <w:iCs/>
              </w:rPr>
              <w:t>sea</w:t>
            </w:r>
            <w:proofErr w:type="spellEnd"/>
            <w:r w:rsidRPr="0040253F">
              <w:rPr>
                <w:bCs/>
                <w:i/>
                <w:iCs/>
              </w:rPr>
              <w:t xml:space="preserve">), </w:t>
            </w:r>
            <w:proofErr w:type="spellStart"/>
            <w:r w:rsidRPr="0040253F">
              <w:rPr>
                <w:bCs/>
                <w:i/>
                <w:iCs/>
              </w:rPr>
              <w:t>agricultural</w:t>
            </w:r>
            <w:proofErr w:type="spellEnd"/>
            <w:r w:rsidRPr="0040253F">
              <w:rPr>
                <w:bCs/>
                <w:i/>
                <w:iCs/>
              </w:rPr>
              <w:t xml:space="preserve"> </w:t>
            </w:r>
            <w:proofErr w:type="spellStart"/>
            <w:r w:rsidRPr="0040253F">
              <w:rPr>
                <w:bCs/>
                <w:i/>
                <w:iCs/>
              </w:rPr>
              <w:t>and</w:t>
            </w:r>
            <w:proofErr w:type="spellEnd"/>
            <w:r w:rsidRPr="0040253F">
              <w:rPr>
                <w:bCs/>
                <w:i/>
                <w:iCs/>
              </w:rPr>
              <w:t xml:space="preserve"> </w:t>
            </w:r>
            <w:proofErr w:type="spellStart"/>
            <w:r w:rsidRPr="0040253F">
              <w:rPr>
                <w:bCs/>
                <w:i/>
                <w:iCs/>
              </w:rPr>
              <w:t>forestry</w:t>
            </w:r>
            <w:proofErr w:type="spellEnd"/>
            <w:r w:rsidRPr="0040253F">
              <w:rPr>
                <w:bCs/>
                <w:i/>
                <w:iCs/>
              </w:rPr>
              <w:t xml:space="preserve"> </w:t>
            </w:r>
            <w:proofErr w:type="spellStart"/>
            <w:r w:rsidRPr="0040253F">
              <w:rPr>
                <w:bCs/>
                <w:i/>
                <w:iCs/>
              </w:rPr>
              <w:t>tractors</w:t>
            </w:r>
            <w:proofErr w:type="spellEnd"/>
            <w:r w:rsidRPr="0040253F">
              <w:rPr>
                <w:bCs/>
                <w:i/>
                <w:iCs/>
              </w:rPr>
              <w:t xml:space="preserve">, </w:t>
            </w:r>
            <w:proofErr w:type="spellStart"/>
            <w:r w:rsidRPr="0040253F">
              <w:rPr>
                <w:bCs/>
                <w:i/>
                <w:iCs/>
              </w:rPr>
              <w:t>recreational</w:t>
            </w:r>
            <w:proofErr w:type="spellEnd"/>
            <w:r w:rsidRPr="0040253F">
              <w:rPr>
                <w:bCs/>
                <w:i/>
                <w:iCs/>
              </w:rPr>
              <w:t xml:space="preserve"> </w:t>
            </w:r>
            <w:proofErr w:type="spellStart"/>
            <w:r w:rsidRPr="0040253F">
              <w:rPr>
                <w:bCs/>
                <w:i/>
                <w:iCs/>
              </w:rPr>
              <w:t>craft</w:t>
            </w:r>
            <w:proofErr w:type="spellEnd"/>
            <w:r w:rsidRPr="0040253F">
              <w:rPr>
                <w:bCs/>
                <w:i/>
                <w:iCs/>
              </w:rPr>
              <w:t xml:space="preserve"> </w:t>
            </w:r>
            <w:proofErr w:type="spellStart"/>
            <w:r w:rsidRPr="0040253F">
              <w:rPr>
                <w:bCs/>
                <w:i/>
                <w:iCs/>
              </w:rPr>
              <w:t>when</w:t>
            </w:r>
            <w:proofErr w:type="spellEnd"/>
            <w:r w:rsidRPr="0040253F">
              <w:rPr>
                <w:bCs/>
                <w:i/>
                <w:iCs/>
              </w:rPr>
              <w:t xml:space="preserve"> </w:t>
            </w:r>
            <w:proofErr w:type="spellStart"/>
            <w:r w:rsidRPr="0040253F">
              <w:rPr>
                <w:bCs/>
                <w:i/>
                <w:iCs/>
              </w:rPr>
              <w:t>not</w:t>
            </w:r>
            <w:proofErr w:type="spellEnd"/>
            <w:r w:rsidRPr="0040253F">
              <w:rPr>
                <w:bCs/>
                <w:i/>
                <w:iCs/>
              </w:rPr>
              <w:t xml:space="preserve"> </w:t>
            </w:r>
            <w:proofErr w:type="spellStart"/>
            <w:r w:rsidRPr="0040253F">
              <w:rPr>
                <w:bCs/>
                <w:i/>
                <w:iCs/>
              </w:rPr>
              <w:t>at</w:t>
            </w:r>
            <w:proofErr w:type="spellEnd"/>
            <w:r w:rsidRPr="0040253F">
              <w:rPr>
                <w:bCs/>
                <w:i/>
                <w:iCs/>
              </w:rPr>
              <w:t xml:space="preserve"> </w:t>
            </w:r>
            <w:proofErr w:type="spellStart"/>
            <w:r w:rsidRPr="0040253F">
              <w:rPr>
                <w:bCs/>
                <w:i/>
                <w:iCs/>
              </w:rPr>
              <w:t>sea</w:t>
            </w:r>
            <w:proofErr w:type="spellEnd"/>
            <w:r w:rsidRPr="0040253F">
              <w:rPr>
                <w:bCs/>
                <w:i/>
                <w:iCs/>
              </w:rPr>
              <w:t xml:space="preserve"> </w:t>
            </w:r>
            <w:proofErr w:type="spellStart"/>
            <w:r w:rsidRPr="0040253F">
              <w:rPr>
                <w:bCs/>
                <w:i/>
                <w:iCs/>
              </w:rPr>
              <w:t>and</w:t>
            </w:r>
            <w:proofErr w:type="spellEnd"/>
            <w:r w:rsidRPr="0040253F">
              <w:rPr>
                <w:bCs/>
                <w:i/>
                <w:iCs/>
              </w:rPr>
              <w:t xml:space="preserve"> </w:t>
            </w:r>
            <w:proofErr w:type="spellStart"/>
            <w:r w:rsidRPr="0040253F">
              <w:rPr>
                <w:bCs/>
                <w:i/>
                <w:iCs/>
              </w:rPr>
              <w:t>electricity</w:t>
            </w:r>
            <w:proofErr w:type="spellEnd"/>
            <w:r w:rsidRPr="0040253F">
              <w:rPr>
                <w:bCs/>
                <w:i/>
                <w:iCs/>
              </w:rPr>
              <w:t xml:space="preserve"> </w:t>
            </w:r>
            <w:proofErr w:type="spellStart"/>
            <w:r w:rsidRPr="0040253F">
              <w:rPr>
                <w:bCs/>
                <w:i/>
                <w:iCs/>
              </w:rPr>
              <w:t>for</w:t>
            </w:r>
            <w:proofErr w:type="spellEnd"/>
            <w:r w:rsidRPr="0040253F">
              <w:rPr>
                <w:bCs/>
                <w:i/>
                <w:iCs/>
              </w:rPr>
              <w:t xml:space="preserve"> </w:t>
            </w:r>
            <w:proofErr w:type="spellStart"/>
            <w:r w:rsidRPr="0040253F">
              <w:rPr>
                <w:bCs/>
                <w:i/>
                <w:iCs/>
              </w:rPr>
              <w:t>use</w:t>
            </w:r>
            <w:proofErr w:type="spellEnd"/>
            <w:r w:rsidRPr="0040253F">
              <w:rPr>
                <w:bCs/>
                <w:i/>
                <w:iCs/>
              </w:rPr>
              <w:t xml:space="preserve"> </w:t>
            </w:r>
            <w:proofErr w:type="spellStart"/>
            <w:r w:rsidRPr="0040253F">
              <w:rPr>
                <w:bCs/>
                <w:i/>
                <w:iCs/>
              </w:rPr>
              <w:t>in</w:t>
            </w:r>
            <w:proofErr w:type="spellEnd"/>
            <w:r w:rsidRPr="0040253F">
              <w:rPr>
                <w:bCs/>
                <w:i/>
                <w:iCs/>
              </w:rPr>
              <w:t xml:space="preserve"> </w:t>
            </w:r>
            <w:proofErr w:type="spellStart"/>
            <w:r w:rsidRPr="0040253F">
              <w:rPr>
                <w:bCs/>
                <w:i/>
                <w:iCs/>
              </w:rPr>
              <w:t>road</w:t>
            </w:r>
            <w:proofErr w:type="spellEnd"/>
            <w:r w:rsidRPr="0040253F">
              <w:rPr>
                <w:bCs/>
                <w:i/>
                <w:iCs/>
              </w:rPr>
              <w:t xml:space="preserve"> </w:t>
            </w:r>
            <w:proofErr w:type="spellStart"/>
            <w:r w:rsidRPr="0040253F">
              <w:rPr>
                <w:bCs/>
                <w:i/>
                <w:iCs/>
              </w:rPr>
              <w:t>vehicles</w:t>
            </w:r>
            <w:proofErr w:type="spellEnd"/>
            <w:r w:rsidRPr="0040253F">
              <w:rPr>
                <w:bCs/>
                <w:iCs/>
              </w:rPr>
              <w:t xml:space="preserve">.”) </w:t>
            </w:r>
          </w:p>
          <w:p w14:paraId="2205DCCC" w14:textId="77777777" w:rsidR="007028DA" w:rsidRPr="0040253F" w:rsidRDefault="007028DA" w:rsidP="0040253F">
            <w:pPr>
              <w:tabs>
                <w:tab w:val="left" w:pos="709"/>
                <w:tab w:val="left" w:pos="993"/>
                <w:tab w:val="left" w:pos="1560"/>
              </w:tabs>
              <w:spacing w:before="60" w:after="60"/>
              <w:ind w:firstLine="709"/>
              <w:rPr>
                <w:bCs/>
                <w:iCs/>
              </w:rPr>
            </w:pPr>
            <w:r w:rsidRPr="0040253F">
              <w:rPr>
                <w:bCs/>
                <w:iCs/>
              </w:rPr>
              <w:t xml:space="preserve">Ņemot vērā, ka Direktīva 2015/652 viennozīmīgi skaidri neparedz gaisa transportu kā izņēmuma tehniku, uz kuru neattiecina Direktīvas 2015/652 prasības, lūdzam sniegt projekta anotācijā pamatojumu gaisa transporta kā izņēmuma iekļaušanai projekta 1. punktā un spēkā esošo noteikumu 3. punktā. </w:t>
            </w:r>
          </w:p>
          <w:p w14:paraId="55F4310F" w14:textId="77777777" w:rsidR="007028DA" w:rsidRPr="0040253F" w:rsidRDefault="007028DA" w:rsidP="0040253F">
            <w:pPr>
              <w:tabs>
                <w:tab w:val="left" w:pos="709"/>
                <w:tab w:val="left" w:pos="993"/>
                <w:tab w:val="left" w:pos="1560"/>
              </w:tabs>
              <w:spacing w:before="60" w:after="60"/>
              <w:ind w:firstLine="709"/>
              <w:rPr>
                <w:bCs/>
                <w:iCs/>
              </w:rPr>
            </w:pPr>
            <w:r w:rsidRPr="0040253F">
              <w:rPr>
                <w:bCs/>
                <w:iCs/>
              </w:rPr>
              <w:t xml:space="preserve">Vienlaikus lūdzam </w:t>
            </w:r>
            <w:r w:rsidRPr="0040253F">
              <w:rPr>
                <w:bCs/>
                <w:iCs/>
                <w:u w:val="single"/>
              </w:rPr>
              <w:t>izvērtēt nepieciešamību</w:t>
            </w:r>
            <w:r w:rsidRPr="0040253F">
              <w:rPr>
                <w:bCs/>
                <w:iCs/>
              </w:rPr>
              <w:t xml:space="preserve"> precizēt projekta 1. punktā izteikto 3. punktu pēc vārdiem “</w:t>
            </w:r>
            <w:proofErr w:type="spellStart"/>
            <w:r w:rsidRPr="0040253F">
              <w:rPr>
                <w:bCs/>
                <w:iCs/>
              </w:rPr>
              <w:t>elektrotransportlīdzekļiem</w:t>
            </w:r>
            <w:proofErr w:type="spellEnd"/>
            <w:r w:rsidRPr="0040253F">
              <w:rPr>
                <w:bCs/>
                <w:iCs/>
              </w:rPr>
              <w:t xml:space="preserve">”, norādot konkrētus elektrotransporta līdzekļu veidus gadījumā, ja 3. punkta prasības nav attiecināmas uz visiem </w:t>
            </w:r>
            <w:proofErr w:type="spellStart"/>
            <w:r w:rsidRPr="0040253F">
              <w:rPr>
                <w:bCs/>
                <w:iCs/>
              </w:rPr>
              <w:t>elektrotransportlīdzekļu</w:t>
            </w:r>
            <w:proofErr w:type="spellEnd"/>
            <w:r w:rsidRPr="0040253F">
              <w:rPr>
                <w:bCs/>
                <w:iCs/>
              </w:rPr>
              <w:t xml:space="preserve"> veidiem. </w:t>
            </w:r>
          </w:p>
          <w:p w14:paraId="2A23AA5A" w14:textId="6BFE4093" w:rsidR="007028DA" w:rsidRPr="0040253F" w:rsidRDefault="007028DA" w:rsidP="0040253F">
            <w:pPr>
              <w:tabs>
                <w:tab w:val="left" w:pos="709"/>
                <w:tab w:val="left" w:pos="993"/>
                <w:tab w:val="left" w:pos="1560"/>
              </w:tabs>
              <w:spacing w:before="60" w:after="60"/>
              <w:ind w:firstLine="709"/>
              <w:rPr>
                <w:bCs/>
                <w:iCs/>
              </w:rPr>
            </w:pPr>
            <w:r w:rsidRPr="0040253F">
              <w:rPr>
                <w:bCs/>
                <w:iCs/>
              </w:rPr>
              <w:t xml:space="preserve">Vienlaikus iesakām izvērtēt un precizēt projekta 1. punktā izteikto 3. punkta redakciju, izsakot to viennozīmīgi skaidri un svītrojot saikli </w:t>
            </w:r>
            <w:r w:rsidRPr="0040253F">
              <w:rPr>
                <w:bCs/>
                <w:iCs/>
              </w:rPr>
              <w:lastRenderedPageBreak/>
              <w:t>“un” pirms vārdiem “izņemot gaisa transportu”.</w:t>
            </w:r>
          </w:p>
        </w:tc>
        <w:tc>
          <w:tcPr>
            <w:tcW w:w="2976" w:type="dxa"/>
            <w:tcBorders>
              <w:top w:val="single" w:sz="6" w:space="0" w:color="000000"/>
              <w:left w:val="single" w:sz="6" w:space="0" w:color="000000"/>
              <w:bottom w:val="single" w:sz="6" w:space="0" w:color="000000"/>
              <w:right w:val="single" w:sz="6" w:space="0" w:color="000000"/>
            </w:tcBorders>
          </w:tcPr>
          <w:p w14:paraId="354B0727" w14:textId="15105085" w:rsidR="007028DA" w:rsidRPr="0040253F" w:rsidRDefault="007028DA" w:rsidP="0040253F">
            <w:pPr>
              <w:spacing w:before="60" w:after="60"/>
              <w:jc w:val="center"/>
              <w:rPr>
                <w:iCs/>
              </w:rPr>
            </w:pPr>
            <w:r w:rsidRPr="0040253F">
              <w:rPr>
                <w:b/>
                <w:iCs/>
              </w:rPr>
              <w:lastRenderedPageBreak/>
              <w:t>Ņemts vērā</w:t>
            </w:r>
          </w:p>
        </w:tc>
        <w:tc>
          <w:tcPr>
            <w:tcW w:w="4291" w:type="dxa"/>
            <w:tcBorders>
              <w:top w:val="single" w:sz="4" w:space="0" w:color="auto"/>
              <w:left w:val="single" w:sz="4" w:space="0" w:color="auto"/>
              <w:bottom w:val="single" w:sz="4" w:space="0" w:color="auto"/>
            </w:tcBorders>
          </w:tcPr>
          <w:p w14:paraId="1A5E2F73" w14:textId="7663DA10" w:rsidR="007028DA" w:rsidRPr="0040253F" w:rsidRDefault="007028DA" w:rsidP="0040253F">
            <w:pPr>
              <w:shd w:val="clear" w:color="auto" w:fill="FFFFFF"/>
              <w:spacing w:before="60" w:after="60"/>
            </w:pPr>
            <w:r w:rsidRPr="0040253F">
              <w:t>Noteikumu projekta anotācijas I sadaļas 2.punkts un V sadaļas 1.tabula</w:t>
            </w:r>
          </w:p>
        </w:tc>
      </w:tr>
      <w:tr w:rsidR="00B74239" w:rsidRPr="0040253F" w14:paraId="63849490" w14:textId="77777777" w:rsidTr="00803FB1">
        <w:trPr>
          <w:jc w:val="center"/>
        </w:trPr>
        <w:tc>
          <w:tcPr>
            <w:tcW w:w="637" w:type="dxa"/>
            <w:vMerge w:val="restart"/>
            <w:tcBorders>
              <w:top w:val="single" w:sz="6" w:space="0" w:color="000000"/>
              <w:left w:val="single" w:sz="6" w:space="0" w:color="000000"/>
              <w:right w:val="single" w:sz="6" w:space="0" w:color="000000"/>
            </w:tcBorders>
            <w:shd w:val="clear" w:color="auto" w:fill="auto"/>
          </w:tcPr>
          <w:p w14:paraId="4BF63C67" w14:textId="7E0B456A" w:rsidR="00B74239" w:rsidRPr="0040253F" w:rsidRDefault="00A87A3E" w:rsidP="0040253F">
            <w:pPr>
              <w:pStyle w:val="naisc"/>
              <w:spacing w:before="60" w:after="60"/>
              <w:rPr>
                <w:b/>
              </w:rPr>
            </w:pPr>
            <w:r>
              <w:rPr>
                <w:b/>
              </w:rPr>
              <w:lastRenderedPageBreak/>
              <w:t>8</w:t>
            </w:r>
          </w:p>
        </w:tc>
        <w:tc>
          <w:tcPr>
            <w:tcW w:w="3041" w:type="dxa"/>
            <w:vMerge w:val="restart"/>
            <w:tcBorders>
              <w:top w:val="single" w:sz="6" w:space="0" w:color="000000"/>
              <w:left w:val="single" w:sz="6" w:space="0" w:color="000000"/>
              <w:right w:val="single" w:sz="6" w:space="0" w:color="000000"/>
            </w:tcBorders>
            <w:shd w:val="clear" w:color="auto" w:fill="auto"/>
          </w:tcPr>
          <w:p w14:paraId="72974B45" w14:textId="77777777" w:rsidR="00B74239" w:rsidRPr="0040253F" w:rsidRDefault="00B74239" w:rsidP="0040253F">
            <w:pPr>
              <w:shd w:val="clear" w:color="auto" w:fill="FFFFFF"/>
              <w:spacing w:before="60" w:after="60"/>
              <w:rPr>
                <w:color w:val="000000" w:themeColor="text1"/>
              </w:rPr>
            </w:pPr>
            <w:r w:rsidRPr="0040253F">
              <w:rPr>
                <w:color w:val="000000" w:themeColor="text1"/>
              </w:rPr>
              <w:t>Noteikumu projekta 2.punkts:</w:t>
            </w:r>
          </w:p>
          <w:p w14:paraId="312F8111" w14:textId="77777777" w:rsidR="00B74239" w:rsidRPr="0040253F" w:rsidRDefault="00B74239" w:rsidP="0040253F">
            <w:pPr>
              <w:pStyle w:val="naisf"/>
              <w:spacing w:before="60" w:after="60"/>
              <w:ind w:firstLine="0"/>
            </w:pPr>
            <w:r w:rsidRPr="0040253F">
              <w:rPr>
                <w:color w:val="000000" w:themeColor="text1"/>
              </w:rPr>
              <w:t>“</w:t>
            </w:r>
            <w:r w:rsidRPr="0040253F">
              <w:t>2. Izteikt 3. punktu šādā redakcijā:</w:t>
            </w:r>
          </w:p>
          <w:p w14:paraId="40780C1E" w14:textId="06772B57" w:rsidR="00B74239" w:rsidRPr="0040253F" w:rsidRDefault="00B74239" w:rsidP="0040253F">
            <w:pPr>
              <w:pStyle w:val="ListParagraph"/>
              <w:shd w:val="clear" w:color="auto" w:fill="FFFFFF"/>
              <w:spacing w:before="60" w:after="60" w:line="240" w:lineRule="auto"/>
              <w:ind w:left="0"/>
              <w:contextualSpacing w:val="0"/>
              <w:rPr>
                <w:rFonts w:ascii="Times New Roman" w:hAnsi="Times New Roman"/>
                <w:color w:val="000000" w:themeColor="text1"/>
                <w:sz w:val="24"/>
                <w:szCs w:val="24"/>
                <w:lang w:eastAsia="lv-LV"/>
              </w:rPr>
            </w:pPr>
            <w:r w:rsidRPr="0040253F">
              <w:rPr>
                <w:rFonts w:ascii="Times New Roman" w:hAnsi="Times New Roman"/>
                <w:sz w:val="24"/>
                <w:szCs w:val="24"/>
              </w:rPr>
              <w:t xml:space="preserve">“3. Šos noteikumus degvielas piegādātājs vai degvielas piegādātāju grupa (turpmāk – degvielas piegādātājs) piemēro degvielai, kas kā transporta enerģija tiek izmantota autotransportlīdzekļos ceļu satiksmē, autoceļiem neparedzētajā mobilajā tehnikā (tostarp dzelzceļa transportlīdzekļos un kuģos, kad tie nekuģo jūrā), lauksaimniecības un mežsaimniecības traktortehnikā, atpūtas kuģos, kad tie nekuģo jūrā, kā arī elektroenerģijai, kas tiek piegādāta </w:t>
            </w:r>
            <w:proofErr w:type="spellStart"/>
            <w:r w:rsidRPr="0040253F">
              <w:rPr>
                <w:rFonts w:ascii="Times New Roman" w:hAnsi="Times New Roman"/>
                <w:sz w:val="24"/>
                <w:szCs w:val="24"/>
              </w:rPr>
              <w:t>elektrotransportlīdzekļiem</w:t>
            </w:r>
            <w:proofErr w:type="spellEnd"/>
            <w:r w:rsidRPr="0040253F">
              <w:rPr>
                <w:rFonts w:ascii="Times New Roman" w:hAnsi="Times New Roman"/>
                <w:sz w:val="24"/>
                <w:szCs w:val="24"/>
              </w:rPr>
              <w:t xml:space="preserve"> (izņemot elektriskajām lokomotīvēm). Šos noteikumus degvielas piegādātājs nepiemēro biodegvielai, kas kā </w:t>
            </w:r>
            <w:r w:rsidRPr="0040253F">
              <w:rPr>
                <w:rFonts w:ascii="Times New Roman" w:hAnsi="Times New Roman"/>
                <w:sz w:val="24"/>
                <w:szCs w:val="24"/>
              </w:rPr>
              <w:lastRenderedPageBreak/>
              <w:t>transporta enerģija tiek izmantota gaisa transportā”.”</w:t>
            </w: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24C66AFE" w14:textId="77777777" w:rsidR="00B74239" w:rsidRPr="0040253F" w:rsidRDefault="00B74239" w:rsidP="0040253F">
            <w:pPr>
              <w:autoSpaceDE w:val="0"/>
              <w:autoSpaceDN w:val="0"/>
              <w:adjustRightInd w:val="0"/>
              <w:spacing w:before="60" w:after="60"/>
              <w:jc w:val="center"/>
              <w:rPr>
                <w:b/>
              </w:rPr>
            </w:pPr>
            <w:r w:rsidRPr="0040253F">
              <w:rPr>
                <w:b/>
              </w:rPr>
              <w:lastRenderedPageBreak/>
              <w:t>Vides aizsardzības un reģionālās attīstības ministrija</w:t>
            </w:r>
          </w:p>
          <w:p w14:paraId="6B036990" w14:textId="77777777" w:rsidR="00B74239" w:rsidRPr="0040253F" w:rsidRDefault="00B74239" w:rsidP="0040253F">
            <w:pPr>
              <w:autoSpaceDE w:val="0"/>
              <w:autoSpaceDN w:val="0"/>
              <w:adjustRightInd w:val="0"/>
              <w:spacing w:before="60" w:after="60"/>
              <w:jc w:val="center"/>
              <w:rPr>
                <w:b/>
              </w:rPr>
            </w:pPr>
            <w:r w:rsidRPr="0040253F">
              <w:rPr>
                <w:b/>
              </w:rPr>
              <w:t>(2019.gada 29.maijs)</w:t>
            </w:r>
          </w:p>
          <w:p w14:paraId="5875A66D" w14:textId="7CF5AA9A" w:rsidR="00B74239" w:rsidRPr="0040253F" w:rsidRDefault="00B74239" w:rsidP="0040253F">
            <w:pPr>
              <w:widowControl w:val="0"/>
              <w:spacing w:before="60" w:after="60"/>
              <w:rPr>
                <w:b/>
              </w:rPr>
            </w:pPr>
            <w:r w:rsidRPr="0040253F">
              <w:t>Lūdzam iekļaut aviācijas biodegvielu MK 25.09.2018. noteikumu Nr.597 „Transporta enerģijas aprites cikla siltumnīcefekta gāzu emisiju daudzuma un tā samazinājuma aprēķināšanas un ziņošanas kārtība” tvērumā. Vēršam uzmanību, ka fosilo degvielu izmantošana aviācijā ir viens no emisiju avotiem un biodegvielas ir viens no risinājumiem to samazināšanā. Apzināmies, ka Latvijas gaisa kuģu operatori šobrīd aviācijas biodegvielu neizmanto, taču, ņemot vērā prasību pieaugošo stingrību (t.sk. prasības Eiropas Savienības Emisijas kvotu tirdzniecības sistēmā un CORSIA sistēmā, kā arī aizvien intensīvākās diskusijas par aviācijas degvielas aplikšanu ar oglekļa nodokli) pārskatāmā nākotnē to var nākties izmantot un Latvijas tiesību aktiem vajadzētu būt šo risinājumu atbalstošiem.</w:t>
            </w:r>
          </w:p>
        </w:tc>
        <w:tc>
          <w:tcPr>
            <w:tcW w:w="2976" w:type="dxa"/>
            <w:vMerge w:val="restart"/>
            <w:tcBorders>
              <w:top w:val="single" w:sz="6" w:space="0" w:color="000000"/>
              <w:left w:val="single" w:sz="6" w:space="0" w:color="000000"/>
              <w:right w:val="single" w:sz="6" w:space="0" w:color="000000"/>
            </w:tcBorders>
            <w:shd w:val="clear" w:color="auto" w:fill="auto"/>
          </w:tcPr>
          <w:p w14:paraId="779EC85C" w14:textId="3774FD2A" w:rsidR="00B74239" w:rsidRPr="0040253F" w:rsidRDefault="00B74239" w:rsidP="0040253F">
            <w:pPr>
              <w:spacing w:before="60" w:after="60"/>
              <w:jc w:val="center"/>
              <w:rPr>
                <w:b/>
                <w:iCs/>
              </w:rPr>
            </w:pPr>
            <w:r w:rsidRPr="0040253F">
              <w:rPr>
                <w:b/>
                <w:iCs/>
              </w:rPr>
              <w:t xml:space="preserve">vienošanās </w:t>
            </w:r>
            <w:proofErr w:type="spellStart"/>
            <w:r w:rsidRPr="0040253F">
              <w:rPr>
                <w:b/>
                <w:iCs/>
              </w:rPr>
              <w:t>starpministriju</w:t>
            </w:r>
            <w:proofErr w:type="spellEnd"/>
            <w:r w:rsidRPr="0040253F">
              <w:rPr>
                <w:b/>
                <w:iCs/>
              </w:rPr>
              <w:t xml:space="preserve"> saskaņošanas sanāksmē</w:t>
            </w:r>
          </w:p>
          <w:p w14:paraId="2179595A" w14:textId="77777777" w:rsidR="00B74239" w:rsidRPr="0040253F" w:rsidRDefault="00B74239" w:rsidP="0040253F">
            <w:pPr>
              <w:spacing w:before="60" w:after="60"/>
              <w:rPr>
                <w:lang w:eastAsia="en-US"/>
              </w:rPr>
            </w:pPr>
          </w:p>
          <w:p w14:paraId="4A2FCFD0" w14:textId="6E4FDF0A" w:rsidR="00B74239" w:rsidRPr="0040253F" w:rsidRDefault="00E65505" w:rsidP="0040253F">
            <w:pPr>
              <w:spacing w:before="60" w:after="60"/>
              <w:rPr>
                <w:lang w:eastAsia="en-US"/>
              </w:rPr>
            </w:pPr>
            <w:r w:rsidRPr="0040253F">
              <w:rPr>
                <w:b/>
                <w:lang w:eastAsia="en-US"/>
              </w:rPr>
              <w:t>1)</w:t>
            </w:r>
            <w:r w:rsidRPr="0040253F">
              <w:rPr>
                <w:lang w:eastAsia="en-US"/>
              </w:rPr>
              <w:t xml:space="preserve"> L</w:t>
            </w:r>
            <w:r w:rsidR="00B74239" w:rsidRPr="0040253F">
              <w:rPr>
                <w:lang w:eastAsia="en-US"/>
              </w:rPr>
              <w:t xml:space="preserve">ikumā “Par piesārņojumu” un Noteikumos Nr.597 iekļautie nosacījumi – mērķis transporta enerģijas aprites cikla siltumnīcefekta gāzu (SEG) emisiju samazināšanu, attiecas tikai uz un vienīgi līdz 2020.gada 31.decembrim, bet kopumā </w:t>
            </w:r>
            <w:r w:rsidR="008D5908" w:rsidRPr="0040253F">
              <w:rPr>
                <w:lang w:eastAsia="en-US"/>
              </w:rPr>
              <w:t>N</w:t>
            </w:r>
            <w:r w:rsidR="00B74239" w:rsidRPr="0040253F">
              <w:rPr>
                <w:lang w:eastAsia="en-US"/>
              </w:rPr>
              <w:t>oteikumi Nr.597 pēc būtības būs piemērojami tikai līdz 2021.gada 31.decembrim, kad Latvija iesniegs pēdējo ziņojumu par valstī nodrošināto transporta enerģijas aprites cikla SEG emisiju samazinājumu.</w:t>
            </w:r>
          </w:p>
          <w:p w14:paraId="4101B5C5" w14:textId="4806B276" w:rsidR="00E65505" w:rsidRPr="0040253F" w:rsidRDefault="00E65505" w:rsidP="0040253F">
            <w:pPr>
              <w:spacing w:before="60" w:after="60"/>
              <w:rPr>
                <w:u w:val="single"/>
                <w:lang w:eastAsia="en-US"/>
              </w:rPr>
            </w:pPr>
            <w:r w:rsidRPr="0040253F">
              <w:rPr>
                <w:u w:val="single"/>
                <w:lang w:eastAsia="en-US"/>
              </w:rPr>
              <w:t xml:space="preserve">Eiropas Komisija nav piedāvājusi pagarināt </w:t>
            </w:r>
            <w:r w:rsidR="00621DA8" w:rsidRPr="0040253F">
              <w:rPr>
                <w:u w:val="single"/>
                <w:lang w:eastAsia="en-US"/>
              </w:rPr>
              <w:t xml:space="preserve">pienākumu degvielas piegādātājiem samazināt visā transporta enerģijas aprites ciklā radīto SEG emisiju intensitātes apjomu, bet periodam pēc 2021.gada </w:t>
            </w:r>
            <w:r w:rsidR="00621DA8" w:rsidRPr="0040253F">
              <w:rPr>
                <w:u w:val="single"/>
                <w:lang w:eastAsia="en-US"/>
              </w:rPr>
              <w:lastRenderedPageBreak/>
              <w:t>transporta SEG emisiju samazinājums tiks risināts, nosakot pienākumu dalībvalstīm nodrošināt atjaunojamo energoresursu īpatsvara transportā mērķa sasniegšanu.</w:t>
            </w:r>
          </w:p>
          <w:p w14:paraId="5E17C5C2" w14:textId="651C5609" w:rsidR="00E65505" w:rsidRPr="0040253F" w:rsidRDefault="00E65505" w:rsidP="0040253F">
            <w:pPr>
              <w:spacing w:before="60" w:after="60"/>
              <w:rPr>
                <w:lang w:eastAsia="en-US"/>
              </w:rPr>
            </w:pPr>
          </w:p>
          <w:p w14:paraId="03949055" w14:textId="0974C2D5" w:rsidR="00621DA8" w:rsidRPr="0040253F" w:rsidRDefault="00621DA8" w:rsidP="0040253F">
            <w:pPr>
              <w:spacing w:before="60" w:after="60"/>
              <w:rPr>
                <w:lang w:eastAsia="en-US"/>
              </w:rPr>
            </w:pPr>
            <w:r w:rsidRPr="0040253F">
              <w:rPr>
                <w:b/>
                <w:lang w:eastAsia="en-US"/>
              </w:rPr>
              <w:t xml:space="preserve">2) </w:t>
            </w:r>
            <w:r w:rsidRPr="0040253F">
              <w:rPr>
                <w:lang w:eastAsia="en-US"/>
              </w:rPr>
              <w:t>Direktīvas Nr.98/70/EK 7.a panta 1.punkta 1.rindkopā ir noteikts, ka “</w:t>
            </w:r>
            <w:r w:rsidRPr="0040253F">
              <w:rPr>
                <w:b/>
                <w:lang w:eastAsia="en-US"/>
              </w:rPr>
              <w:t>dalībvalsts izraugās</w:t>
            </w:r>
            <w:r w:rsidRPr="0040253F">
              <w:rPr>
                <w:lang w:eastAsia="en-US"/>
              </w:rPr>
              <w:t xml:space="preserve"> piegādātāju vai piegādātājus, lai kontrolētu aprites cikla siltumnīcefekta gāzu emisiju uz vienu enerģijas vienību piegādātās degvielas vai enerģijas”. Latvija ir izvēlējusies šo pienākumu attiecināt uz Ministru kabineta noteikumu Nr.597 3.punktā minēto degvielu, un šobrīd spēkā esošais regulējums neparedz pienākumu degvielas piegādātājiem </w:t>
            </w:r>
            <w:r w:rsidR="008D5908" w:rsidRPr="0040253F">
              <w:rPr>
                <w:lang w:eastAsia="en-US"/>
              </w:rPr>
              <w:t>N</w:t>
            </w:r>
            <w:r w:rsidRPr="0040253F">
              <w:rPr>
                <w:lang w:eastAsia="en-US"/>
              </w:rPr>
              <w:t xml:space="preserve">oteikumu Nr.597 nosacījumus piemērot degvielai, kas tiek piegādātā gaisa transportā. Tāpēc, tā kā šis nosacījums jau ir spēkā Latvijas normatīvajos aktos – </w:t>
            </w:r>
            <w:r w:rsidR="008D5908" w:rsidRPr="0040253F">
              <w:rPr>
                <w:lang w:eastAsia="en-US"/>
              </w:rPr>
              <w:t>N</w:t>
            </w:r>
            <w:r w:rsidRPr="0040253F">
              <w:rPr>
                <w:lang w:eastAsia="en-US"/>
              </w:rPr>
              <w:t xml:space="preserve">oteikumu Nr.597 </w:t>
            </w:r>
            <w:r w:rsidRPr="0040253F">
              <w:rPr>
                <w:lang w:eastAsia="en-US"/>
              </w:rPr>
              <w:lastRenderedPageBreak/>
              <w:t>3.punkts, tad šobrīd nav plānots šo nosacījumu mainīt.</w:t>
            </w:r>
          </w:p>
          <w:p w14:paraId="282BEBFA" w14:textId="77777777" w:rsidR="00621DA8" w:rsidRPr="0040253F" w:rsidRDefault="00621DA8" w:rsidP="0040253F">
            <w:pPr>
              <w:spacing w:before="60" w:after="60"/>
              <w:rPr>
                <w:lang w:eastAsia="en-US"/>
              </w:rPr>
            </w:pPr>
            <w:r w:rsidRPr="0040253F">
              <w:rPr>
                <w:lang w:eastAsia="en-US"/>
              </w:rPr>
              <w:t>Tā kā šobrīd no Ministru kabineta noteikumu Nr.597 aptvēruma ir izslēgts gaisa transports, tad nav lietderīgi to attiecināt uz biodegvielu, kas tiek piegādāta izmantošanai aviācijā.</w:t>
            </w:r>
          </w:p>
          <w:p w14:paraId="0B1D7169" w14:textId="77777777" w:rsidR="00621DA8" w:rsidRPr="0040253F" w:rsidRDefault="00621DA8" w:rsidP="0040253F">
            <w:pPr>
              <w:spacing w:before="60" w:after="60"/>
              <w:rPr>
                <w:lang w:eastAsia="en-US"/>
              </w:rPr>
            </w:pPr>
          </w:p>
          <w:p w14:paraId="3F85F092" w14:textId="77777777" w:rsidR="00621DA8" w:rsidRPr="0040253F" w:rsidRDefault="00621DA8" w:rsidP="0040253F">
            <w:pPr>
              <w:spacing w:before="60" w:after="60"/>
              <w:rPr>
                <w:lang w:eastAsia="en-US"/>
              </w:rPr>
            </w:pPr>
            <w:r w:rsidRPr="0040253F">
              <w:rPr>
                <w:b/>
                <w:lang w:eastAsia="en-US"/>
              </w:rPr>
              <w:t xml:space="preserve">3) </w:t>
            </w:r>
            <w:r w:rsidR="00B74239" w:rsidRPr="0040253F">
              <w:rPr>
                <w:lang w:eastAsia="en-US"/>
              </w:rPr>
              <w:t>Ekonomikas ministrija nav saņēmusi informāciju, ka Latvijā kāds no degvielas piegādātājiem piegādā biodegvielu izmantošanai aviācijā (līgumi par degvielas piegādi 2020.gadam ir jau noslēgti vai tiek noslēgti šobrīd) un Ekonomikas ministrijai nav informācijas, ka aviācijai biodegviela tiks piegādāta</w:t>
            </w:r>
            <w:r w:rsidRPr="0040253F">
              <w:rPr>
                <w:lang w:eastAsia="en-US"/>
              </w:rPr>
              <w:t>.</w:t>
            </w:r>
          </w:p>
          <w:p w14:paraId="106AED47" w14:textId="7C007423" w:rsidR="00621DA8" w:rsidRPr="0040253F" w:rsidRDefault="00621DA8" w:rsidP="0040253F">
            <w:pPr>
              <w:spacing w:before="60" w:after="60"/>
              <w:rPr>
                <w:lang w:eastAsia="en-US"/>
              </w:rPr>
            </w:pPr>
            <w:r w:rsidRPr="0040253F">
              <w:rPr>
                <w:lang w:eastAsia="en-US"/>
              </w:rPr>
              <w:t xml:space="preserve">Šobrīd lidostas “Rīga” teritorijā izmantotajos transportlīdzekļos un tehnikā biodegviela netiek izmantota un netiek arī plānots tādu izmantot, tāpat arī neviens gaisa kuģu operatoros nav prasījis biodegvielas piegādi, kā arī </w:t>
            </w:r>
            <w:r w:rsidRPr="0040253F">
              <w:rPr>
                <w:lang w:eastAsia="en-US"/>
              </w:rPr>
              <w:lastRenderedPageBreak/>
              <w:t xml:space="preserve">nav izteicis vēlmi vai plānus biodegvielu izmantot. Saskaņā ar lidosta “Rīga” un Ekonomikas ministrijai pieejamo informāciju biodegvielu aviācijā plāno izmantot (no nākamā gada) tikai Oslo lidosta (nevienā Eiropas Savienības valstī aviācijā biodegviela netiek izmantota un nav arī informācijas par šādiem plāniem). </w:t>
            </w:r>
            <w:r w:rsidRPr="0040253F">
              <w:t>Savukārt no publiski pieejamās informācijas sākot no 2022.gada ilgtspējīgu biodegvielu varētu sākt izmantot Nīderlandes gaisa kuģu operatori.</w:t>
            </w:r>
          </w:p>
          <w:p w14:paraId="6A73818E" w14:textId="69F6E396" w:rsidR="00621DA8" w:rsidRPr="0040253F" w:rsidRDefault="00B74239" w:rsidP="0040253F">
            <w:pPr>
              <w:spacing w:before="60" w:after="60"/>
              <w:rPr>
                <w:lang w:eastAsia="en-US"/>
              </w:rPr>
            </w:pPr>
            <w:r w:rsidRPr="0040253F">
              <w:rPr>
                <w:lang w:eastAsia="en-US"/>
              </w:rPr>
              <w:t xml:space="preserve"> </w:t>
            </w:r>
          </w:p>
          <w:p w14:paraId="37AD7A5E" w14:textId="61BC1D4B" w:rsidR="00B74239" w:rsidRPr="0040253F" w:rsidRDefault="00621DA8" w:rsidP="0040253F">
            <w:pPr>
              <w:spacing w:before="60" w:after="60"/>
              <w:rPr>
                <w:lang w:eastAsia="en-US"/>
              </w:rPr>
            </w:pPr>
            <w:r w:rsidRPr="0040253F">
              <w:rPr>
                <w:b/>
                <w:lang w:eastAsia="en-US"/>
              </w:rPr>
              <w:t xml:space="preserve">4) </w:t>
            </w:r>
            <w:r w:rsidR="00B74239" w:rsidRPr="0040253F">
              <w:rPr>
                <w:lang w:eastAsia="en-US"/>
              </w:rPr>
              <w:t>Satversmes tiesa ir atzinusi: tiesiskās paļāvības princips paredz, ka indivīds var paļauties uz likumīgi izdotas tiesību normas pastāvību un nemainīgumu. Viņš droši var plānot savu nākotni saistībā ar tiesībām, ko šī norma piešķīrusi.</w:t>
            </w:r>
          </w:p>
          <w:p w14:paraId="153C3BD9" w14:textId="77777777" w:rsidR="00B74239" w:rsidRPr="0040253F" w:rsidRDefault="00B74239" w:rsidP="0040253F">
            <w:pPr>
              <w:spacing w:before="60" w:after="60"/>
              <w:rPr>
                <w:lang w:eastAsia="en-US"/>
              </w:rPr>
            </w:pPr>
          </w:p>
          <w:p w14:paraId="42D0A330" w14:textId="4BE82907" w:rsidR="00B74239" w:rsidRPr="0040253F" w:rsidRDefault="00621DA8" w:rsidP="0040253F">
            <w:pPr>
              <w:spacing w:before="60" w:after="60"/>
              <w:rPr>
                <w:lang w:eastAsia="en-US"/>
              </w:rPr>
            </w:pPr>
            <w:r w:rsidRPr="0040253F">
              <w:rPr>
                <w:b/>
                <w:lang w:eastAsia="en-US"/>
              </w:rPr>
              <w:t>5</w:t>
            </w:r>
            <w:r w:rsidR="00B74239" w:rsidRPr="0040253F">
              <w:rPr>
                <w:b/>
                <w:lang w:eastAsia="en-US"/>
              </w:rPr>
              <w:t xml:space="preserve">) </w:t>
            </w:r>
            <w:r w:rsidR="00B74239" w:rsidRPr="0040253F">
              <w:rPr>
                <w:lang w:eastAsia="en-US"/>
              </w:rPr>
              <w:t xml:space="preserve">Biodegvielas likumā biodegviela ir definēta kā </w:t>
            </w:r>
            <w:r w:rsidR="00B74239" w:rsidRPr="0040253F">
              <w:rPr>
                <w:lang w:eastAsia="en-US"/>
              </w:rPr>
              <w:lastRenderedPageBreak/>
              <w:t>“</w:t>
            </w:r>
            <w:proofErr w:type="spellStart"/>
            <w:r w:rsidR="00B74239" w:rsidRPr="0040253F">
              <w:rPr>
                <w:lang w:eastAsia="en-US"/>
              </w:rPr>
              <w:t>iekšdedzes</w:t>
            </w:r>
            <w:proofErr w:type="spellEnd"/>
            <w:r w:rsidR="00B74239" w:rsidRPr="0040253F">
              <w:rPr>
                <w:lang w:eastAsia="en-US"/>
              </w:rPr>
              <w:t xml:space="preserve"> motoros izmantojama šķidrā vai gāzveida degviela, ko iegūst no biomasas”. Savukārt aviācijā pārsvarā dominē lidmašīnas ar reaktīvajiem dzinējiem, bet </w:t>
            </w:r>
            <w:proofErr w:type="spellStart"/>
            <w:r w:rsidR="00B74239" w:rsidRPr="0040253F">
              <w:rPr>
                <w:lang w:eastAsia="en-US"/>
              </w:rPr>
              <w:t>iekšdedzes</w:t>
            </w:r>
            <w:proofErr w:type="spellEnd"/>
            <w:r w:rsidR="00B74239" w:rsidRPr="0040253F">
              <w:rPr>
                <w:lang w:eastAsia="en-US"/>
              </w:rPr>
              <w:t xml:space="preserve"> dzinējus izmanto tikai mazās lidmašīnas. Saskaņā ar Centrālās statistikas pārvaldes datiem laika periodā no 2008.gada tāds degvielas veids kā “auto un aviācijas benzīns” gaisa satiksmē sastāda tikai 0,1% no kopējā aviācijā izmantotās degvielas apjoma.</w:t>
            </w:r>
          </w:p>
          <w:p w14:paraId="59113A7C" w14:textId="77777777" w:rsidR="00B74239" w:rsidRPr="0040253F" w:rsidRDefault="00B74239" w:rsidP="0040253F">
            <w:pPr>
              <w:spacing w:before="60" w:after="60"/>
              <w:rPr>
                <w:lang w:eastAsia="en-US"/>
              </w:rPr>
            </w:pPr>
          </w:p>
          <w:p w14:paraId="2CCF69E7" w14:textId="77777777" w:rsidR="00B74239" w:rsidRPr="0040253F" w:rsidRDefault="00B74239" w:rsidP="0040253F">
            <w:pPr>
              <w:spacing w:before="60" w:after="60"/>
              <w:rPr>
                <w:lang w:eastAsia="en-US"/>
              </w:rPr>
            </w:pPr>
            <w:r w:rsidRPr="0040253F">
              <w:rPr>
                <w:lang w:eastAsia="en-US"/>
              </w:rPr>
              <w:t>Ņemot vērā iepriekšējos apsvērumus, kā arī lai būtiski tikai vienam gada nepalielinātu administratīvo slogu un arī lai vienu gadu pirms pienākuma (mērķa) izpildes tajā nesaprātīgi neiekļautu jaunus subjektus, uz kuru šo pienākumu attiecināt, tāpēc VARAM iebildums netiek ņemts vērā.</w:t>
            </w:r>
          </w:p>
          <w:p w14:paraId="695959B8" w14:textId="77777777" w:rsidR="00B74239" w:rsidRPr="0040253F" w:rsidRDefault="00B74239" w:rsidP="0040253F">
            <w:pPr>
              <w:spacing w:before="60" w:after="60"/>
              <w:rPr>
                <w:lang w:eastAsia="en-US"/>
              </w:rPr>
            </w:pPr>
          </w:p>
          <w:p w14:paraId="2DD23E82" w14:textId="744AF20E" w:rsidR="00B74239" w:rsidRPr="0040253F" w:rsidRDefault="00621DA8" w:rsidP="0040253F">
            <w:pPr>
              <w:spacing w:before="60" w:after="60"/>
              <w:rPr>
                <w:color w:val="000000"/>
                <w:shd w:val="clear" w:color="auto" w:fill="FFFFFF"/>
              </w:rPr>
            </w:pPr>
            <w:r w:rsidRPr="0040253F">
              <w:rPr>
                <w:b/>
                <w:lang w:eastAsia="en-US"/>
              </w:rPr>
              <w:lastRenderedPageBreak/>
              <w:t>6</w:t>
            </w:r>
            <w:r w:rsidR="00B74239" w:rsidRPr="0040253F">
              <w:rPr>
                <w:b/>
                <w:lang w:eastAsia="en-US"/>
              </w:rPr>
              <w:t>)</w:t>
            </w:r>
            <w:r w:rsidR="00B74239" w:rsidRPr="0040253F">
              <w:rPr>
                <w:lang w:eastAsia="en-US"/>
              </w:rPr>
              <w:t xml:space="preserve"> piekrītam, ka aviācijas sektorā </w:t>
            </w:r>
            <w:r w:rsidR="008253E3" w:rsidRPr="0040253F">
              <w:rPr>
                <w:lang w:eastAsia="en-US"/>
              </w:rPr>
              <w:t>arī ir jāveicina SEG emisiju samazināšan</w:t>
            </w:r>
            <w:r w:rsidRPr="0040253F">
              <w:rPr>
                <w:lang w:eastAsia="en-US"/>
              </w:rPr>
              <w:t xml:space="preserve">a, kas periodā pēc 2021.gada tiks nodrošināts ar </w:t>
            </w:r>
            <w:r w:rsidR="008253E3" w:rsidRPr="0040253F">
              <w:rPr>
                <w:lang w:eastAsia="en-US"/>
              </w:rPr>
              <w:t>atjaunojamo energoresursu izmanto</w:t>
            </w:r>
            <w:r w:rsidRPr="0040253F">
              <w:rPr>
                <w:lang w:eastAsia="en-US"/>
              </w:rPr>
              <w:t>juma palielināšanu</w:t>
            </w:r>
            <w:r w:rsidR="008253E3" w:rsidRPr="0040253F">
              <w:rPr>
                <w:lang w:eastAsia="en-US"/>
              </w:rPr>
              <w:t>. Periodā pēc 2021.gada transporta SEG emisiju samazināšanas nosacījumu galvenais īstenošanas pasākums saskaņā ar Eiropas Savienības tiesību aktiem ir atjaunojamo energoresursu izmantošanas mērķis transportā, kur dalībvalstij ir dota pilnīga brīvība noteikt subjektus, kurus iekļaut šī mērķa sasniegšanā – Direktīvas 2018/2001 25.panta 1.punkta 2.rindkopa – “</w:t>
            </w:r>
            <w:r w:rsidR="008253E3" w:rsidRPr="0040253F">
              <w:rPr>
                <w:color w:val="000000"/>
                <w:shd w:val="clear" w:color="auto" w:fill="FFFFFF"/>
              </w:rPr>
              <w:t>Nosakot šo pienākumu degvielas piegādātājiem, dalībvalstis var atbrīvot vai nodalīt dažādus degvielas piegādātājus un dažādus energonesējus, nodrošinot, ka tiek ņemtas vērā dažādu tehnoloģiju dažādās gatavības stadijas un izmaksas”.</w:t>
            </w:r>
          </w:p>
          <w:p w14:paraId="347E8109" w14:textId="61626F18" w:rsidR="008253E3" w:rsidRPr="0040253F" w:rsidRDefault="008253E3" w:rsidP="0040253F">
            <w:pPr>
              <w:spacing w:before="60" w:after="60"/>
              <w:rPr>
                <w:color w:val="000000"/>
                <w:shd w:val="clear" w:color="auto" w:fill="FFFFFF"/>
              </w:rPr>
            </w:pPr>
            <w:r w:rsidRPr="0040253F">
              <w:rPr>
                <w:color w:val="000000"/>
                <w:shd w:val="clear" w:color="auto" w:fill="FFFFFF"/>
              </w:rPr>
              <w:lastRenderedPageBreak/>
              <w:t>Direktīvas 2018/2001 nosacījumi tiks pārņemti ar Transporta enerģijas likumu un tam pakārtotajiem Ministru kabineta noteikumiem (piemēram Ministru kabineta noteikumi “Noteikumi par līdzdalības mehānismu degvielas piegādātājiem”). Minēto tiesību aktu (</w:t>
            </w:r>
            <w:r w:rsidR="00621DA8" w:rsidRPr="0040253F">
              <w:rPr>
                <w:color w:val="000000"/>
                <w:shd w:val="clear" w:color="auto" w:fill="FFFFFF"/>
              </w:rPr>
              <w:t xml:space="preserve">vai to </w:t>
            </w:r>
            <w:r w:rsidRPr="0040253F">
              <w:rPr>
                <w:color w:val="000000"/>
                <w:shd w:val="clear" w:color="auto" w:fill="FFFFFF"/>
              </w:rPr>
              <w:t xml:space="preserve">grozījumu) izstrādē tiks atkārtoti izvērtēta </w:t>
            </w:r>
            <w:r w:rsidR="00621DA8" w:rsidRPr="0040253F">
              <w:rPr>
                <w:color w:val="000000"/>
                <w:shd w:val="clear" w:color="auto" w:fill="FFFFFF"/>
              </w:rPr>
              <w:t>iespēja gaisa transportā izmantoto transporta enerģiju iekļaut pienākumos, kas attiecas uz no atjaunojamiem energoresursiem iegūtas enerģijas īpatsvara nodrošināšanā</w:t>
            </w:r>
            <w:r w:rsidRPr="0040253F">
              <w:rPr>
                <w:color w:val="000000"/>
                <w:shd w:val="clear" w:color="auto" w:fill="FFFFFF"/>
              </w:rPr>
              <w:t>.</w:t>
            </w:r>
          </w:p>
        </w:tc>
        <w:tc>
          <w:tcPr>
            <w:tcW w:w="4291" w:type="dxa"/>
            <w:vMerge w:val="restart"/>
            <w:tcBorders>
              <w:top w:val="single" w:sz="4" w:space="0" w:color="auto"/>
              <w:left w:val="single" w:sz="4" w:space="0" w:color="auto"/>
            </w:tcBorders>
            <w:shd w:val="clear" w:color="auto" w:fill="auto"/>
          </w:tcPr>
          <w:p w14:paraId="66D1211D" w14:textId="77777777" w:rsidR="00B74239" w:rsidRPr="0040253F" w:rsidRDefault="00B74239" w:rsidP="0040253F">
            <w:pPr>
              <w:pStyle w:val="naisf"/>
              <w:spacing w:before="60" w:after="60"/>
              <w:ind w:firstLine="0"/>
            </w:pPr>
            <w:r w:rsidRPr="0040253F">
              <w:rPr>
                <w:color w:val="000000" w:themeColor="text1"/>
              </w:rPr>
              <w:lastRenderedPageBreak/>
              <w:t>“</w:t>
            </w:r>
            <w:r w:rsidRPr="0040253F">
              <w:t>1. Izteikt 3. punktu šādā redakcijā:</w:t>
            </w:r>
          </w:p>
          <w:p w14:paraId="7FF04639" w14:textId="69A4B98D" w:rsidR="00B74239" w:rsidRPr="0040253F" w:rsidRDefault="00B74239" w:rsidP="0040253F">
            <w:pPr>
              <w:pStyle w:val="naisf"/>
              <w:spacing w:before="60" w:after="60"/>
              <w:ind w:firstLine="0"/>
            </w:pPr>
            <w:bookmarkStart w:id="2" w:name="_Hlk10014777"/>
            <w:r w:rsidRPr="0040253F">
              <w:t>“3. Šos noteikumus degvielas piegādātājs vai degvielas piegādātāju grupa (turpmāk – degvielas piegādātājs) piemēro degvielai, kas kā transporta enerģija tiek izmantota autotransportlīdzekļos ceļu satiksmē, autoceļiem neparedzētajā mobilajā tehnikā – dzelzceļa transportlīdzekļos; lauksaimniecības un mežsaimniecības traktortehnikā, normatīvajos aktos par atpūtas kuģu un ūdens motociklu būvniecību, atbilstības novērtēšanu un piedāvāšanu tirgū minēt</w:t>
            </w:r>
            <w:r w:rsidR="003570A5" w:rsidRPr="0040253F">
              <w:t>aj</w:t>
            </w:r>
            <w:r w:rsidRPr="0040253F">
              <w:t xml:space="preserve">os atpūtas kuģos, kad tie nekuģo jūrā, kā arī elektroenerģijai, kas tiek piegādāta </w:t>
            </w:r>
            <w:proofErr w:type="spellStart"/>
            <w:r w:rsidRPr="0040253F">
              <w:t>elektrotransportlīdzekļiem</w:t>
            </w:r>
            <w:proofErr w:type="spellEnd"/>
            <w:r w:rsidRPr="0040253F">
              <w:t xml:space="preserve"> (izņemot elektriskajām lokomotīvēm). Šos noteikumus degvielas piegādātājs nepiemēro degvielai un biodegvielai, kas kā transporta enerģija tiek izmantota gaisa transportā”.</w:t>
            </w:r>
            <w:bookmarkEnd w:id="2"/>
            <w:r w:rsidRPr="0040253F">
              <w:t>”</w:t>
            </w:r>
          </w:p>
          <w:p w14:paraId="3FC3001A" w14:textId="77777777" w:rsidR="00B74239" w:rsidRPr="0040253F" w:rsidRDefault="00B74239" w:rsidP="0040253F">
            <w:pPr>
              <w:pStyle w:val="naisf"/>
              <w:spacing w:before="60" w:after="60"/>
              <w:ind w:firstLine="709"/>
            </w:pPr>
          </w:p>
          <w:p w14:paraId="7428FD26" w14:textId="36E7C7FA" w:rsidR="00B74239" w:rsidRPr="0040253F" w:rsidRDefault="00B74239" w:rsidP="0040253F">
            <w:pPr>
              <w:pStyle w:val="ListParagraph"/>
              <w:shd w:val="clear" w:color="auto" w:fill="FFFFFF"/>
              <w:spacing w:before="60" w:after="60" w:line="240" w:lineRule="auto"/>
              <w:ind w:left="0"/>
              <w:contextualSpacing w:val="0"/>
              <w:rPr>
                <w:rFonts w:ascii="Times New Roman" w:hAnsi="Times New Roman"/>
                <w:sz w:val="24"/>
                <w:szCs w:val="24"/>
                <w:lang w:eastAsia="lv-LV"/>
              </w:rPr>
            </w:pPr>
            <w:r w:rsidRPr="0040253F">
              <w:rPr>
                <w:rFonts w:ascii="Times New Roman" w:hAnsi="Times New Roman"/>
                <w:sz w:val="24"/>
                <w:szCs w:val="24"/>
              </w:rPr>
              <w:t>Noteikumu projekta anotācijas V sadaļas 1.tabulas attiecīgās rindas ir papildinātas ar minēto pamatojumu.</w:t>
            </w:r>
          </w:p>
        </w:tc>
      </w:tr>
      <w:tr w:rsidR="00B74239" w:rsidRPr="0040253F" w14:paraId="3D2712E7" w14:textId="77777777" w:rsidTr="00803FB1">
        <w:trPr>
          <w:jc w:val="center"/>
        </w:trPr>
        <w:tc>
          <w:tcPr>
            <w:tcW w:w="637" w:type="dxa"/>
            <w:vMerge/>
            <w:tcBorders>
              <w:left w:val="single" w:sz="6" w:space="0" w:color="000000"/>
              <w:bottom w:val="single" w:sz="6" w:space="0" w:color="000000"/>
              <w:right w:val="single" w:sz="6" w:space="0" w:color="000000"/>
            </w:tcBorders>
            <w:shd w:val="clear" w:color="auto" w:fill="auto"/>
          </w:tcPr>
          <w:p w14:paraId="36A2AFE6" w14:textId="77777777" w:rsidR="00B74239" w:rsidRPr="0040253F" w:rsidRDefault="00B74239" w:rsidP="0040253F">
            <w:pPr>
              <w:pStyle w:val="naisc"/>
              <w:spacing w:before="60" w:after="60"/>
              <w:rPr>
                <w:b/>
              </w:rPr>
            </w:pPr>
          </w:p>
        </w:tc>
        <w:tc>
          <w:tcPr>
            <w:tcW w:w="3041" w:type="dxa"/>
            <w:vMerge/>
            <w:tcBorders>
              <w:left w:val="single" w:sz="6" w:space="0" w:color="000000"/>
              <w:bottom w:val="single" w:sz="6" w:space="0" w:color="000000"/>
              <w:right w:val="single" w:sz="6" w:space="0" w:color="000000"/>
            </w:tcBorders>
            <w:shd w:val="clear" w:color="auto" w:fill="auto"/>
          </w:tcPr>
          <w:p w14:paraId="1A42E5F8" w14:textId="77777777" w:rsidR="00B74239" w:rsidRPr="0040253F" w:rsidRDefault="00B74239" w:rsidP="0040253F">
            <w:pPr>
              <w:shd w:val="clear" w:color="auto" w:fill="FFFFFF"/>
              <w:spacing w:before="60" w:after="60"/>
              <w:rPr>
                <w:color w:val="000000" w:themeColor="text1"/>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43F454FA" w14:textId="77777777" w:rsidR="00B74239" w:rsidRPr="0040253F" w:rsidRDefault="00B74239" w:rsidP="0040253F">
            <w:pPr>
              <w:autoSpaceDE w:val="0"/>
              <w:autoSpaceDN w:val="0"/>
              <w:adjustRightInd w:val="0"/>
              <w:spacing w:before="60" w:after="60"/>
              <w:jc w:val="center"/>
              <w:rPr>
                <w:b/>
              </w:rPr>
            </w:pPr>
            <w:r w:rsidRPr="0040253F">
              <w:rPr>
                <w:b/>
              </w:rPr>
              <w:t>Vides aizsardzības un reģionālās attīstības ministrija</w:t>
            </w:r>
          </w:p>
          <w:p w14:paraId="205C0839" w14:textId="77777777" w:rsidR="00B74239" w:rsidRPr="0040253F" w:rsidRDefault="00B74239" w:rsidP="0040253F">
            <w:pPr>
              <w:autoSpaceDE w:val="0"/>
              <w:autoSpaceDN w:val="0"/>
              <w:adjustRightInd w:val="0"/>
              <w:spacing w:before="60" w:after="60"/>
              <w:jc w:val="center"/>
              <w:rPr>
                <w:b/>
              </w:rPr>
            </w:pPr>
            <w:r w:rsidRPr="0040253F">
              <w:rPr>
                <w:b/>
              </w:rPr>
              <w:t>(2019.gada 10.jūnijs)</w:t>
            </w:r>
          </w:p>
          <w:p w14:paraId="137D25A7" w14:textId="41187477" w:rsidR="00B74239" w:rsidRPr="0040253F" w:rsidRDefault="00B74239" w:rsidP="0040253F">
            <w:pPr>
              <w:spacing w:before="60" w:after="60"/>
            </w:pPr>
            <w:r w:rsidRPr="0040253F">
              <w:rPr>
                <w:rStyle w:val="c5"/>
                <w:color w:val="000000"/>
              </w:rPr>
              <w:lastRenderedPageBreak/>
              <w:t xml:space="preserve">Ņemot vērā 07.06.2019. </w:t>
            </w:r>
            <w:proofErr w:type="spellStart"/>
            <w:r w:rsidRPr="0040253F">
              <w:rPr>
                <w:rStyle w:val="c5"/>
                <w:color w:val="000000"/>
              </w:rPr>
              <w:t>starpministriju</w:t>
            </w:r>
            <w:proofErr w:type="spellEnd"/>
            <w:r w:rsidRPr="0040253F">
              <w:rPr>
                <w:rStyle w:val="c5"/>
                <w:color w:val="000000"/>
              </w:rPr>
              <w:t>/starpinstitūciju sanāksmē un 03.06.2019. izziņā minētos argumentus attiecībā uz nesaskaņoto jautājumu, Vides aizsardzības un reģionālās attīstības ministrija kompromisa vārdā var piekrist aviācijas biodegvielas neiekļaušanai MK 25.09.2018. noteikumu Nr.597 “Transporta enerģijas aprites cikla siltumnīcefekta gāzu emisiju daudzuma un tā samazinājuma aprēķināšanas un ziņošanas kārtība” tvērumā šobrīd, ja vien izziņā un šo MK noteikumu grozījumu anotācijā tiek skaidri atrunāts, ka pēc 2020.gada tiks izstrādāti jauni MK noteikumi, kuros tiks atkārtoti izvērtēta gaisa transporta iekļaušana transporta enerģijas aprites cikla siltumnīcefekta gāzu emisiju daudzuma aprēķināšanā un ziņošanā.</w:t>
            </w:r>
          </w:p>
        </w:tc>
        <w:tc>
          <w:tcPr>
            <w:tcW w:w="2976" w:type="dxa"/>
            <w:vMerge/>
            <w:tcBorders>
              <w:left w:val="single" w:sz="6" w:space="0" w:color="000000"/>
              <w:bottom w:val="single" w:sz="6" w:space="0" w:color="000000"/>
              <w:right w:val="single" w:sz="6" w:space="0" w:color="000000"/>
            </w:tcBorders>
            <w:shd w:val="clear" w:color="auto" w:fill="auto"/>
          </w:tcPr>
          <w:p w14:paraId="431A20E1" w14:textId="77777777" w:rsidR="00B74239" w:rsidRPr="0040253F" w:rsidRDefault="00B74239" w:rsidP="0040253F">
            <w:pPr>
              <w:spacing w:before="60" w:after="60"/>
              <w:jc w:val="center"/>
              <w:rPr>
                <w:b/>
                <w:iCs/>
              </w:rPr>
            </w:pPr>
          </w:p>
        </w:tc>
        <w:tc>
          <w:tcPr>
            <w:tcW w:w="4291" w:type="dxa"/>
            <w:vMerge/>
            <w:tcBorders>
              <w:left w:val="single" w:sz="4" w:space="0" w:color="auto"/>
              <w:bottom w:val="single" w:sz="4" w:space="0" w:color="auto"/>
            </w:tcBorders>
            <w:shd w:val="clear" w:color="auto" w:fill="auto"/>
          </w:tcPr>
          <w:p w14:paraId="5C6C2DD4" w14:textId="77777777" w:rsidR="00B74239" w:rsidRPr="0040253F" w:rsidRDefault="00B74239" w:rsidP="0040253F">
            <w:pPr>
              <w:pStyle w:val="naisf"/>
              <w:spacing w:before="60" w:after="60"/>
              <w:ind w:firstLine="0"/>
              <w:rPr>
                <w:color w:val="000000" w:themeColor="text1"/>
              </w:rPr>
            </w:pPr>
          </w:p>
        </w:tc>
      </w:tr>
      <w:tr w:rsidR="00B74239" w:rsidRPr="0040253F" w14:paraId="57211C9F" w14:textId="77777777" w:rsidTr="008D1CB7">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40CC5946" w14:textId="0183A44D" w:rsidR="00B74239" w:rsidRPr="0040253F" w:rsidRDefault="00A87A3E" w:rsidP="0040253F">
            <w:pPr>
              <w:pStyle w:val="naisc"/>
              <w:spacing w:before="60" w:after="60"/>
              <w:rPr>
                <w:b/>
              </w:rPr>
            </w:pPr>
            <w:r>
              <w:rPr>
                <w:b/>
              </w:rPr>
              <w:lastRenderedPageBreak/>
              <w:t>9</w:t>
            </w:r>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7A89BC9A" w14:textId="77777777" w:rsidR="00B74239" w:rsidRPr="0040253F" w:rsidRDefault="00B74239" w:rsidP="0040253F">
            <w:pPr>
              <w:pStyle w:val="ListParagraph"/>
              <w:shd w:val="clear" w:color="auto" w:fill="FFFFFF"/>
              <w:spacing w:before="60" w:after="60" w:line="240" w:lineRule="auto"/>
              <w:ind w:left="0"/>
              <w:contextualSpacing w:val="0"/>
              <w:rPr>
                <w:rFonts w:ascii="Times New Roman" w:hAnsi="Times New Roman"/>
                <w:color w:val="000000" w:themeColor="text1"/>
                <w:sz w:val="24"/>
                <w:szCs w:val="24"/>
                <w:lang w:eastAsia="lv-LV"/>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298F010C" w14:textId="77777777" w:rsidR="00B74239" w:rsidRPr="0040253F" w:rsidRDefault="00B74239" w:rsidP="0040253F">
            <w:pPr>
              <w:widowControl w:val="0"/>
              <w:spacing w:before="60" w:after="60"/>
              <w:jc w:val="center"/>
              <w:rPr>
                <w:b/>
              </w:rPr>
            </w:pPr>
            <w:r w:rsidRPr="0040253F">
              <w:rPr>
                <w:b/>
              </w:rPr>
              <w:t>Tieslietu ministrija</w:t>
            </w:r>
          </w:p>
          <w:p w14:paraId="7DC0210F" w14:textId="77777777" w:rsidR="00B74239" w:rsidRPr="0040253F" w:rsidRDefault="00B74239" w:rsidP="0040253F">
            <w:pPr>
              <w:widowControl w:val="0"/>
              <w:spacing w:before="60" w:after="60"/>
              <w:jc w:val="center"/>
              <w:rPr>
                <w:b/>
              </w:rPr>
            </w:pPr>
            <w:r w:rsidRPr="0040253F">
              <w:rPr>
                <w:b/>
              </w:rPr>
              <w:t>(2019.gada 13.maijs)</w:t>
            </w:r>
          </w:p>
          <w:p w14:paraId="5BAC381A" w14:textId="77777777" w:rsidR="00B74239" w:rsidRPr="0040253F" w:rsidRDefault="00B74239" w:rsidP="0040253F">
            <w:pPr>
              <w:widowControl w:val="0"/>
              <w:tabs>
                <w:tab w:val="left" w:pos="709"/>
                <w:tab w:val="left" w:pos="993"/>
                <w:tab w:val="left" w:pos="1560"/>
              </w:tabs>
              <w:spacing w:before="60" w:after="60"/>
              <w:jc w:val="both"/>
              <w:rPr>
                <w:bCs/>
                <w:iCs/>
              </w:rPr>
            </w:pPr>
            <w:r w:rsidRPr="0040253F">
              <w:rPr>
                <w:bCs/>
                <w:iCs/>
              </w:rPr>
              <w:t>2. Lūdzam izvērtēt, vai projekta 4. punktā ir pārņemtas Direktīvas 2015/652 III pielikuma 3. punkta “e” un “f” apakšpunkta prasības, nepieciešamības gadījumā precizējot projekta anotācijas V sadaļas 1. tabulu.</w:t>
            </w:r>
          </w:p>
          <w:p w14:paraId="1115488C" w14:textId="7363EDF1" w:rsidR="00B74239" w:rsidRPr="0040253F" w:rsidRDefault="00B74239" w:rsidP="0040253F">
            <w:pPr>
              <w:widowControl w:val="0"/>
              <w:tabs>
                <w:tab w:val="left" w:pos="709"/>
                <w:tab w:val="left" w:pos="993"/>
                <w:tab w:val="left" w:pos="1560"/>
              </w:tabs>
              <w:spacing w:before="60" w:after="60"/>
              <w:jc w:val="both"/>
              <w:rPr>
                <w:bCs/>
                <w:iCs/>
              </w:rPr>
            </w:pPr>
            <w:r w:rsidRPr="0040253F">
              <w:rPr>
                <w:bCs/>
                <w:iCs/>
              </w:rPr>
              <w:t xml:space="preserve">Vienlaikus iesakām papildināt projekta anotācijas V sadaļas 1. tabulas B aili ar atsauci uz projekta 5. punktu, kurā ir pārņemtas minētās Direktīvas 2015/652 </w:t>
            </w:r>
            <w:r w:rsidRPr="0040253F">
              <w:rPr>
                <w:bCs/>
                <w:iCs/>
              </w:rPr>
              <w:lastRenderedPageBreak/>
              <w:t xml:space="preserve">normas. </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788CEC36" w14:textId="4CDA866D" w:rsidR="00B74239" w:rsidRPr="0040253F" w:rsidRDefault="00B74239" w:rsidP="0040253F">
            <w:pPr>
              <w:spacing w:before="60" w:after="60"/>
              <w:jc w:val="center"/>
              <w:rPr>
                <w:b/>
                <w:iCs/>
              </w:rPr>
            </w:pPr>
            <w:r w:rsidRPr="0040253F">
              <w:rPr>
                <w:b/>
                <w:iCs/>
              </w:rPr>
              <w:lastRenderedPageBreak/>
              <w:t>Ņemts vērā</w:t>
            </w:r>
          </w:p>
        </w:tc>
        <w:tc>
          <w:tcPr>
            <w:tcW w:w="4291" w:type="dxa"/>
            <w:tcBorders>
              <w:top w:val="single" w:sz="4" w:space="0" w:color="auto"/>
              <w:left w:val="single" w:sz="4" w:space="0" w:color="auto"/>
              <w:bottom w:val="single" w:sz="4" w:space="0" w:color="auto"/>
            </w:tcBorders>
            <w:shd w:val="clear" w:color="auto" w:fill="auto"/>
          </w:tcPr>
          <w:p w14:paraId="514ECD26" w14:textId="1E7AD310" w:rsidR="00B74239" w:rsidRPr="0040253F" w:rsidRDefault="00B74239" w:rsidP="0040253F">
            <w:pPr>
              <w:pStyle w:val="ListParagraph"/>
              <w:shd w:val="clear" w:color="auto" w:fill="FFFFFF"/>
              <w:spacing w:before="60" w:after="60" w:line="240" w:lineRule="auto"/>
              <w:ind w:left="0"/>
              <w:contextualSpacing w:val="0"/>
              <w:rPr>
                <w:rFonts w:ascii="Times New Roman" w:hAnsi="Times New Roman"/>
                <w:sz w:val="24"/>
                <w:szCs w:val="24"/>
                <w:lang w:eastAsia="lv-LV"/>
              </w:rPr>
            </w:pPr>
            <w:r w:rsidRPr="0040253F">
              <w:rPr>
                <w:rFonts w:ascii="Times New Roman" w:hAnsi="Times New Roman"/>
                <w:sz w:val="24"/>
                <w:szCs w:val="24"/>
                <w:lang w:eastAsia="lv-LV"/>
              </w:rPr>
              <w:t>Noteikumu projekta anotācijas V sadaļas 1.tabula</w:t>
            </w:r>
          </w:p>
        </w:tc>
      </w:tr>
      <w:tr w:rsidR="00B74239" w:rsidRPr="0040253F" w14:paraId="417BBDC9" w14:textId="77777777" w:rsidTr="00F81666">
        <w:trPr>
          <w:jc w:val="center"/>
        </w:trPr>
        <w:tc>
          <w:tcPr>
            <w:tcW w:w="637" w:type="dxa"/>
            <w:tcBorders>
              <w:top w:val="single" w:sz="6" w:space="0" w:color="000000"/>
              <w:left w:val="single" w:sz="6" w:space="0" w:color="000000"/>
              <w:bottom w:val="single" w:sz="6" w:space="0" w:color="000000"/>
              <w:right w:val="single" w:sz="6" w:space="0" w:color="000000"/>
            </w:tcBorders>
            <w:shd w:val="clear" w:color="auto" w:fill="auto"/>
          </w:tcPr>
          <w:p w14:paraId="2C53D63B" w14:textId="6DE4867D" w:rsidR="00B74239" w:rsidRPr="0040253F" w:rsidRDefault="00A87A3E" w:rsidP="0040253F">
            <w:pPr>
              <w:pStyle w:val="naisc"/>
              <w:spacing w:before="60" w:after="60"/>
              <w:rPr>
                <w:b/>
              </w:rPr>
            </w:pPr>
            <w:r>
              <w:rPr>
                <w:b/>
              </w:rPr>
              <w:t>10</w:t>
            </w:r>
            <w:bookmarkStart w:id="3" w:name="_GoBack"/>
            <w:bookmarkEnd w:id="3"/>
          </w:p>
        </w:tc>
        <w:tc>
          <w:tcPr>
            <w:tcW w:w="3041" w:type="dxa"/>
            <w:tcBorders>
              <w:top w:val="single" w:sz="6" w:space="0" w:color="000000"/>
              <w:left w:val="single" w:sz="6" w:space="0" w:color="000000"/>
              <w:bottom w:val="single" w:sz="6" w:space="0" w:color="000000"/>
              <w:right w:val="single" w:sz="6" w:space="0" w:color="000000"/>
            </w:tcBorders>
            <w:shd w:val="clear" w:color="auto" w:fill="auto"/>
          </w:tcPr>
          <w:p w14:paraId="274E6070" w14:textId="77777777" w:rsidR="00B74239" w:rsidRPr="0040253F" w:rsidRDefault="00B74239" w:rsidP="0040253F">
            <w:pPr>
              <w:pStyle w:val="ListParagraph"/>
              <w:shd w:val="clear" w:color="auto" w:fill="FFFFFF"/>
              <w:spacing w:before="60" w:after="60" w:line="240" w:lineRule="auto"/>
              <w:ind w:left="0"/>
              <w:contextualSpacing w:val="0"/>
              <w:rPr>
                <w:rFonts w:ascii="Times New Roman" w:hAnsi="Times New Roman"/>
                <w:color w:val="000000" w:themeColor="text1"/>
                <w:sz w:val="24"/>
                <w:szCs w:val="24"/>
                <w:lang w:eastAsia="lv-LV"/>
              </w:rPr>
            </w:pPr>
          </w:p>
        </w:tc>
        <w:tc>
          <w:tcPr>
            <w:tcW w:w="4047" w:type="dxa"/>
            <w:tcBorders>
              <w:top w:val="single" w:sz="6" w:space="0" w:color="000000"/>
              <w:left w:val="single" w:sz="6" w:space="0" w:color="000000"/>
              <w:bottom w:val="single" w:sz="6" w:space="0" w:color="000000"/>
              <w:right w:val="single" w:sz="6" w:space="0" w:color="000000"/>
            </w:tcBorders>
            <w:shd w:val="clear" w:color="auto" w:fill="auto"/>
          </w:tcPr>
          <w:p w14:paraId="6F8C4E04" w14:textId="77777777" w:rsidR="00B74239" w:rsidRPr="0040253F" w:rsidRDefault="00B74239" w:rsidP="0040253F">
            <w:pPr>
              <w:widowControl w:val="0"/>
              <w:spacing w:before="60" w:after="60"/>
              <w:jc w:val="center"/>
              <w:rPr>
                <w:b/>
              </w:rPr>
            </w:pPr>
            <w:r w:rsidRPr="0040253F">
              <w:rPr>
                <w:b/>
              </w:rPr>
              <w:t>Tieslietu ministrija</w:t>
            </w:r>
          </w:p>
          <w:p w14:paraId="7499F592" w14:textId="77777777" w:rsidR="00B74239" w:rsidRPr="0040253F" w:rsidRDefault="00B74239" w:rsidP="0040253F">
            <w:pPr>
              <w:widowControl w:val="0"/>
              <w:spacing w:before="60" w:after="60"/>
              <w:jc w:val="center"/>
              <w:rPr>
                <w:b/>
              </w:rPr>
            </w:pPr>
            <w:r w:rsidRPr="0040253F">
              <w:rPr>
                <w:b/>
              </w:rPr>
              <w:t>(2019.gada 13.maijs)</w:t>
            </w:r>
          </w:p>
          <w:p w14:paraId="04D67BB6" w14:textId="26B92CF6" w:rsidR="00B74239" w:rsidRPr="0040253F" w:rsidRDefault="00B74239" w:rsidP="0040253F">
            <w:pPr>
              <w:spacing w:before="60" w:after="60"/>
            </w:pPr>
            <w:r w:rsidRPr="0040253F">
              <w:rPr>
                <w:bCs/>
                <w:iCs/>
              </w:rPr>
              <w:t>Lūdzam arī precizēt projekta anotācijas V sadaļas 1. tabulas B aili, papildinot to ar atsauci uz projekta 6. punktu, aiz atsauces uz projekta 5. punktu, kurā ir ieviests Regulas 2018/1999 56. panta 4. punkta “a” apakšpunkts. Vienlaikus lūdzam aizstāt minētās 1. tabulas B ailē atsauci uz projekta 6. punktu ar atsauci uz projekta 7. punktu, kurā ir ieviests Regulas 2018/1999 56. panta 4. punkta “b” apakšpunkts.</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14:paraId="3354B27C" w14:textId="310F0FCD" w:rsidR="00B74239" w:rsidRPr="0040253F" w:rsidRDefault="00B74239" w:rsidP="0040253F">
            <w:pPr>
              <w:spacing w:before="60" w:after="60"/>
              <w:jc w:val="center"/>
              <w:rPr>
                <w:iCs/>
              </w:rPr>
            </w:pPr>
            <w:r w:rsidRPr="0040253F">
              <w:rPr>
                <w:b/>
                <w:iCs/>
              </w:rPr>
              <w:t>Ņemts vērā</w:t>
            </w:r>
          </w:p>
        </w:tc>
        <w:tc>
          <w:tcPr>
            <w:tcW w:w="4291" w:type="dxa"/>
            <w:tcBorders>
              <w:top w:val="single" w:sz="4" w:space="0" w:color="auto"/>
              <w:left w:val="single" w:sz="4" w:space="0" w:color="auto"/>
              <w:bottom w:val="single" w:sz="4" w:space="0" w:color="auto"/>
            </w:tcBorders>
            <w:shd w:val="clear" w:color="auto" w:fill="auto"/>
          </w:tcPr>
          <w:p w14:paraId="53500FD2" w14:textId="29DDFC9F" w:rsidR="00B74239" w:rsidRPr="0040253F" w:rsidRDefault="00B74239" w:rsidP="0040253F">
            <w:pPr>
              <w:pStyle w:val="ListParagraph"/>
              <w:shd w:val="clear" w:color="auto" w:fill="FFFFFF"/>
              <w:spacing w:before="60" w:after="60" w:line="240" w:lineRule="auto"/>
              <w:ind w:left="0"/>
              <w:contextualSpacing w:val="0"/>
              <w:rPr>
                <w:rFonts w:ascii="Times New Roman" w:hAnsi="Times New Roman"/>
                <w:sz w:val="24"/>
                <w:szCs w:val="24"/>
                <w:lang w:eastAsia="lv-LV"/>
              </w:rPr>
            </w:pPr>
            <w:r w:rsidRPr="0040253F">
              <w:rPr>
                <w:rFonts w:ascii="Times New Roman" w:hAnsi="Times New Roman"/>
                <w:sz w:val="24"/>
                <w:szCs w:val="24"/>
                <w:lang w:eastAsia="lv-LV"/>
              </w:rPr>
              <w:t>Noteikumu projekta anotācijas V sadaļas 1.tabula</w:t>
            </w:r>
          </w:p>
        </w:tc>
      </w:tr>
    </w:tbl>
    <w:p w14:paraId="50C0116C" w14:textId="5B95A377" w:rsidR="00D473EB" w:rsidRPr="007028DA" w:rsidRDefault="00D473EB" w:rsidP="00D473EB">
      <w:pPr>
        <w:pStyle w:val="naisf"/>
        <w:spacing w:before="0" w:after="0"/>
        <w:ind w:firstLine="0"/>
        <w:jc w:val="left"/>
        <w:rPr>
          <w:sz w:val="8"/>
          <w:szCs w:val="8"/>
        </w:rPr>
      </w:pPr>
    </w:p>
    <w:tbl>
      <w:tblPr>
        <w:tblpPr w:leftFromText="180" w:rightFromText="180" w:vertAnchor="text" w:horzAnchor="margin" w:tblpY="127"/>
        <w:tblW w:w="14627" w:type="dxa"/>
        <w:tblLook w:val="00A0" w:firstRow="1" w:lastRow="0" w:firstColumn="1" w:lastColumn="0" w:noHBand="0" w:noVBand="0"/>
      </w:tblPr>
      <w:tblGrid>
        <w:gridCol w:w="14627"/>
      </w:tblGrid>
      <w:tr w:rsidR="007028DA" w:rsidRPr="007028DA" w14:paraId="21EAD875" w14:textId="77777777" w:rsidTr="007028DA">
        <w:trPr>
          <w:trHeight w:val="344"/>
        </w:trPr>
        <w:tc>
          <w:tcPr>
            <w:tcW w:w="14627" w:type="dxa"/>
            <w:tcBorders>
              <w:bottom w:val="single" w:sz="4" w:space="0" w:color="000000"/>
            </w:tcBorders>
            <w:vAlign w:val="bottom"/>
          </w:tcPr>
          <w:p w14:paraId="5D91154B" w14:textId="46D10410" w:rsidR="007028DA" w:rsidRPr="007028DA" w:rsidRDefault="007028DA" w:rsidP="007028DA">
            <w:pPr>
              <w:rPr>
                <w:sz w:val="20"/>
                <w:szCs w:val="20"/>
              </w:rPr>
            </w:pPr>
            <w:r>
              <w:rPr>
                <w:sz w:val="20"/>
                <w:szCs w:val="20"/>
              </w:rPr>
              <w:t>Helēna Rimša</w:t>
            </w:r>
          </w:p>
        </w:tc>
      </w:tr>
      <w:tr w:rsidR="00D473EB" w:rsidRPr="007028DA" w14:paraId="6D4EA151" w14:textId="77777777" w:rsidTr="007028DA">
        <w:trPr>
          <w:trHeight w:val="344"/>
        </w:trPr>
        <w:tc>
          <w:tcPr>
            <w:tcW w:w="14627" w:type="dxa"/>
            <w:tcBorders>
              <w:top w:val="single" w:sz="4" w:space="0" w:color="000000"/>
            </w:tcBorders>
          </w:tcPr>
          <w:p w14:paraId="736931A6" w14:textId="77777777" w:rsidR="00D473EB" w:rsidRPr="007028DA" w:rsidRDefault="00D473EB" w:rsidP="00A34D63">
            <w:pPr>
              <w:jc w:val="center"/>
              <w:rPr>
                <w:sz w:val="20"/>
                <w:szCs w:val="20"/>
              </w:rPr>
            </w:pPr>
            <w:r w:rsidRPr="007028DA">
              <w:rPr>
                <w:sz w:val="20"/>
                <w:szCs w:val="20"/>
              </w:rPr>
              <w:t>(par projektu atbildīgās amatpersonas vārds un uzvārds)</w:t>
            </w:r>
          </w:p>
          <w:p w14:paraId="25A2B035" w14:textId="77777777" w:rsidR="00D473EB" w:rsidRPr="007028DA" w:rsidRDefault="00D473EB" w:rsidP="00A34D63">
            <w:pPr>
              <w:jc w:val="center"/>
              <w:rPr>
                <w:sz w:val="20"/>
                <w:szCs w:val="20"/>
              </w:rPr>
            </w:pPr>
          </w:p>
        </w:tc>
      </w:tr>
      <w:tr w:rsidR="00D473EB" w:rsidRPr="007028DA" w14:paraId="290FE07B" w14:textId="77777777" w:rsidTr="00A34D63">
        <w:trPr>
          <w:trHeight w:val="94"/>
        </w:trPr>
        <w:tc>
          <w:tcPr>
            <w:tcW w:w="14627" w:type="dxa"/>
            <w:tcBorders>
              <w:bottom w:val="single" w:sz="4" w:space="0" w:color="000000"/>
            </w:tcBorders>
          </w:tcPr>
          <w:p w14:paraId="7C8F85E0" w14:textId="77777777" w:rsidR="00D473EB" w:rsidRPr="007028DA" w:rsidRDefault="00DC3A80" w:rsidP="00D473EB">
            <w:pPr>
              <w:rPr>
                <w:sz w:val="20"/>
                <w:szCs w:val="20"/>
              </w:rPr>
            </w:pPr>
            <w:r w:rsidRPr="007028DA">
              <w:rPr>
                <w:sz w:val="20"/>
                <w:szCs w:val="20"/>
              </w:rPr>
              <w:t xml:space="preserve">Ekonomikas ministrijas </w:t>
            </w:r>
            <w:r w:rsidR="00954136" w:rsidRPr="007028DA">
              <w:rPr>
                <w:sz w:val="20"/>
                <w:szCs w:val="20"/>
              </w:rPr>
              <w:t>Ilgtspējīgas enerģētikas politikas departament</w:t>
            </w:r>
            <w:r w:rsidRPr="007028DA">
              <w:rPr>
                <w:sz w:val="20"/>
                <w:szCs w:val="20"/>
              </w:rPr>
              <w:t>a vecākā eksperte</w:t>
            </w:r>
          </w:p>
        </w:tc>
      </w:tr>
      <w:tr w:rsidR="00D473EB" w:rsidRPr="007028DA" w14:paraId="2E500203" w14:textId="77777777" w:rsidTr="00A34D63">
        <w:trPr>
          <w:trHeight w:val="239"/>
        </w:trPr>
        <w:tc>
          <w:tcPr>
            <w:tcW w:w="14627" w:type="dxa"/>
            <w:tcBorders>
              <w:top w:val="single" w:sz="4" w:space="0" w:color="000000"/>
            </w:tcBorders>
          </w:tcPr>
          <w:p w14:paraId="61239D22" w14:textId="77777777" w:rsidR="00D473EB" w:rsidRPr="007028DA" w:rsidRDefault="00D473EB" w:rsidP="00A34D63">
            <w:pPr>
              <w:jc w:val="center"/>
              <w:rPr>
                <w:sz w:val="20"/>
                <w:szCs w:val="20"/>
              </w:rPr>
            </w:pPr>
            <w:r w:rsidRPr="007028DA">
              <w:rPr>
                <w:sz w:val="20"/>
                <w:szCs w:val="20"/>
              </w:rPr>
              <w:t>(amats)</w:t>
            </w:r>
          </w:p>
        </w:tc>
      </w:tr>
      <w:tr w:rsidR="00D473EB" w:rsidRPr="007028DA" w14:paraId="50AA9765" w14:textId="77777777" w:rsidTr="00A34D63">
        <w:trPr>
          <w:trHeight w:val="254"/>
        </w:trPr>
        <w:tc>
          <w:tcPr>
            <w:tcW w:w="14627" w:type="dxa"/>
            <w:tcBorders>
              <w:bottom w:val="single" w:sz="4" w:space="0" w:color="000000"/>
            </w:tcBorders>
          </w:tcPr>
          <w:p w14:paraId="4E69ECB4" w14:textId="77777777" w:rsidR="00D473EB" w:rsidRPr="007028DA" w:rsidRDefault="00DC3A80" w:rsidP="00A34D63">
            <w:pPr>
              <w:tabs>
                <w:tab w:val="left" w:pos="5207"/>
              </w:tabs>
              <w:rPr>
                <w:sz w:val="20"/>
                <w:szCs w:val="20"/>
              </w:rPr>
            </w:pPr>
            <w:r w:rsidRPr="007028DA">
              <w:rPr>
                <w:sz w:val="20"/>
                <w:szCs w:val="20"/>
              </w:rPr>
              <w:t>67013244</w:t>
            </w:r>
            <w:r w:rsidR="00D473EB" w:rsidRPr="007028DA">
              <w:rPr>
                <w:sz w:val="20"/>
                <w:szCs w:val="20"/>
              </w:rPr>
              <w:tab/>
            </w:r>
          </w:p>
        </w:tc>
      </w:tr>
      <w:tr w:rsidR="00D473EB" w:rsidRPr="007028DA" w14:paraId="0F7DA749" w14:textId="77777777" w:rsidTr="00A34D63">
        <w:trPr>
          <w:trHeight w:val="239"/>
        </w:trPr>
        <w:tc>
          <w:tcPr>
            <w:tcW w:w="14627" w:type="dxa"/>
            <w:tcBorders>
              <w:top w:val="single" w:sz="4" w:space="0" w:color="000000"/>
            </w:tcBorders>
          </w:tcPr>
          <w:p w14:paraId="3B7EEE02" w14:textId="77777777" w:rsidR="00D473EB" w:rsidRPr="007028DA" w:rsidRDefault="00D473EB" w:rsidP="00A34D63">
            <w:pPr>
              <w:jc w:val="center"/>
              <w:rPr>
                <w:sz w:val="20"/>
                <w:szCs w:val="20"/>
              </w:rPr>
            </w:pPr>
            <w:r w:rsidRPr="007028DA">
              <w:rPr>
                <w:sz w:val="20"/>
                <w:szCs w:val="20"/>
              </w:rPr>
              <w:t>(tālruņa un faksa numurs)</w:t>
            </w:r>
          </w:p>
        </w:tc>
      </w:tr>
      <w:tr w:rsidR="00D473EB" w:rsidRPr="007028DA" w14:paraId="7A8FAE15" w14:textId="77777777" w:rsidTr="00A34D63">
        <w:trPr>
          <w:trHeight w:val="254"/>
        </w:trPr>
        <w:tc>
          <w:tcPr>
            <w:tcW w:w="14627" w:type="dxa"/>
            <w:tcBorders>
              <w:bottom w:val="single" w:sz="4" w:space="0" w:color="000000"/>
            </w:tcBorders>
          </w:tcPr>
          <w:p w14:paraId="628745DA" w14:textId="77777777" w:rsidR="00D473EB" w:rsidRPr="007028DA" w:rsidRDefault="00D473EB" w:rsidP="00D473EB">
            <w:pPr>
              <w:rPr>
                <w:sz w:val="20"/>
                <w:szCs w:val="20"/>
              </w:rPr>
            </w:pPr>
            <w:r w:rsidRPr="007028DA">
              <w:rPr>
                <w:sz w:val="20"/>
                <w:szCs w:val="20"/>
              </w:rPr>
              <w:t xml:space="preserve"> </w:t>
            </w:r>
            <w:hyperlink r:id="rId13" w:history="1">
              <w:r w:rsidR="00954136" w:rsidRPr="007028DA">
                <w:rPr>
                  <w:rStyle w:val="Hyperlink"/>
                  <w:sz w:val="20"/>
                  <w:szCs w:val="20"/>
                </w:rPr>
                <w:t>Helena.Rimsa@em.gov.lv</w:t>
              </w:r>
            </w:hyperlink>
            <w:r w:rsidR="00954136" w:rsidRPr="007028DA">
              <w:rPr>
                <w:sz w:val="20"/>
                <w:szCs w:val="20"/>
              </w:rPr>
              <w:t xml:space="preserve"> </w:t>
            </w:r>
          </w:p>
        </w:tc>
      </w:tr>
      <w:tr w:rsidR="00D473EB" w:rsidRPr="007028DA" w14:paraId="7657C5EA" w14:textId="77777777" w:rsidTr="00A34D63">
        <w:trPr>
          <w:trHeight w:val="254"/>
        </w:trPr>
        <w:tc>
          <w:tcPr>
            <w:tcW w:w="14627" w:type="dxa"/>
            <w:tcBorders>
              <w:top w:val="single" w:sz="4" w:space="0" w:color="000000"/>
            </w:tcBorders>
          </w:tcPr>
          <w:p w14:paraId="75165F6D" w14:textId="77777777" w:rsidR="00D473EB" w:rsidRPr="007028DA" w:rsidRDefault="00D473EB" w:rsidP="00A34D63">
            <w:pPr>
              <w:jc w:val="center"/>
              <w:rPr>
                <w:sz w:val="20"/>
                <w:szCs w:val="20"/>
              </w:rPr>
            </w:pPr>
            <w:r w:rsidRPr="007028DA">
              <w:rPr>
                <w:sz w:val="20"/>
                <w:szCs w:val="20"/>
              </w:rPr>
              <w:t>(e-pasta adrese)</w:t>
            </w:r>
          </w:p>
        </w:tc>
      </w:tr>
    </w:tbl>
    <w:p w14:paraId="2050A2D0" w14:textId="77777777" w:rsidR="007116C7" w:rsidRDefault="007116C7" w:rsidP="00D473EB">
      <w:pPr>
        <w:pStyle w:val="naisf"/>
        <w:tabs>
          <w:tab w:val="left" w:pos="6840"/>
        </w:tabs>
        <w:spacing w:before="0" w:after="0"/>
        <w:ind w:firstLine="720"/>
        <w:rPr>
          <w:sz w:val="28"/>
          <w:szCs w:val="28"/>
        </w:rPr>
      </w:pPr>
    </w:p>
    <w:sectPr w:rsidR="007116C7" w:rsidSect="00DC3A80">
      <w:headerReference w:type="first" r:id="rId14"/>
      <w:pgSz w:w="16838" w:h="11906" w:orient="landscape" w:code="9"/>
      <w:pgMar w:top="1418" w:right="1134" w:bottom="1134"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F81B1" w14:textId="77777777" w:rsidR="00441A13" w:rsidRDefault="00441A13">
      <w:r>
        <w:separator/>
      </w:r>
    </w:p>
  </w:endnote>
  <w:endnote w:type="continuationSeparator" w:id="0">
    <w:p w14:paraId="29D8B39C" w14:textId="77777777" w:rsidR="00441A13" w:rsidRDefault="0044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9A811" w14:textId="7DB0A29D" w:rsidR="00441A13" w:rsidRPr="0064499E" w:rsidRDefault="00441A13"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324AB7">
      <w:rPr>
        <w:noProof/>
        <w:sz w:val="20"/>
        <w:szCs w:val="20"/>
      </w:rPr>
      <w:t>EMIzz_190619_Groz597.docx</w:t>
    </w:r>
    <w:r w:rsidRPr="0064499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F4B4" w14:textId="0AB53A15" w:rsidR="00441A13" w:rsidRPr="0064499E" w:rsidRDefault="00441A13" w:rsidP="0060493C">
    <w:pPr>
      <w:pStyle w:val="Footer"/>
      <w:rPr>
        <w:sz w:val="20"/>
        <w:szCs w:val="20"/>
      </w:rPr>
    </w:pPr>
    <w:r w:rsidRPr="0064499E">
      <w:rPr>
        <w:sz w:val="20"/>
        <w:szCs w:val="20"/>
      </w:rPr>
      <w:fldChar w:fldCharType="begin"/>
    </w:r>
    <w:r w:rsidRPr="0064499E">
      <w:rPr>
        <w:sz w:val="20"/>
        <w:szCs w:val="20"/>
      </w:rPr>
      <w:instrText xml:space="preserve"> FILENAME   \* MERGEFORMAT </w:instrText>
    </w:r>
    <w:r w:rsidRPr="0064499E">
      <w:rPr>
        <w:sz w:val="20"/>
        <w:szCs w:val="20"/>
      </w:rPr>
      <w:fldChar w:fldCharType="separate"/>
    </w:r>
    <w:r w:rsidR="006F17B3">
      <w:rPr>
        <w:noProof/>
        <w:sz w:val="20"/>
        <w:szCs w:val="20"/>
      </w:rPr>
      <w:t>EMIzz_190619_Groz597.docx</w:t>
    </w:r>
    <w:r w:rsidRPr="0064499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77899" w14:textId="77777777" w:rsidR="00441A13" w:rsidRDefault="00441A13">
      <w:r>
        <w:separator/>
      </w:r>
    </w:p>
  </w:footnote>
  <w:footnote w:type="continuationSeparator" w:id="0">
    <w:p w14:paraId="6D1A914C" w14:textId="77777777" w:rsidR="00441A13" w:rsidRDefault="0044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50476"/>
      <w:docPartObj>
        <w:docPartGallery w:val="Page Numbers (Top of Page)"/>
        <w:docPartUnique/>
      </w:docPartObj>
    </w:sdtPr>
    <w:sdtEndPr>
      <w:rPr>
        <w:noProof/>
      </w:rPr>
    </w:sdtEndPr>
    <w:sdtContent>
      <w:p w14:paraId="3C8FEBFF" w14:textId="77777777" w:rsidR="00441A13" w:rsidRDefault="00441A13">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85D5A31" w14:textId="77777777" w:rsidR="00441A13" w:rsidRDefault="00441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68900"/>
      <w:docPartObj>
        <w:docPartGallery w:val="Page Numbers (Top of Page)"/>
        <w:docPartUnique/>
      </w:docPartObj>
    </w:sdtPr>
    <w:sdtEndPr>
      <w:rPr>
        <w:noProof/>
        <w:sz w:val="4"/>
        <w:szCs w:val="4"/>
      </w:rPr>
    </w:sdtEndPr>
    <w:sdtContent>
      <w:p w14:paraId="0A66ACDE" w14:textId="77777777" w:rsidR="00441A13" w:rsidRDefault="00441A13" w:rsidP="00DC3A80">
        <w:pPr>
          <w:pStyle w:val="Header"/>
          <w:jc w:val="center"/>
          <w:rPr>
            <w:noProof/>
          </w:rPr>
        </w:pPr>
        <w:r>
          <w:fldChar w:fldCharType="begin"/>
        </w:r>
        <w:r>
          <w:instrText xml:space="preserve"> PAGE   \* MERGEFORMAT </w:instrText>
        </w:r>
        <w:r>
          <w:fldChar w:fldCharType="separate"/>
        </w:r>
        <w:r>
          <w:rPr>
            <w:noProof/>
          </w:rPr>
          <w:t>4</w:t>
        </w:r>
        <w:r>
          <w:rPr>
            <w:noProof/>
          </w:rPr>
          <w:fldChar w:fldCharType="end"/>
        </w:r>
      </w:p>
      <w:p w14:paraId="20027F24" w14:textId="77777777" w:rsidR="00441A13" w:rsidRPr="00DC3A80" w:rsidRDefault="00441A13" w:rsidP="00DC3A80">
        <w:pPr>
          <w:pStyle w:val="Header"/>
          <w:rPr>
            <w:noProof/>
            <w:sz w:val="4"/>
            <w:szCs w:val="4"/>
          </w:rPr>
        </w:pPr>
      </w:p>
      <w:p w14:paraId="1AD44E4A" w14:textId="77777777" w:rsidR="00441A13" w:rsidRPr="00BF4DEC" w:rsidRDefault="00A87A3E">
        <w:pPr>
          <w:pStyle w:val="Header"/>
          <w:jc w:val="center"/>
          <w:rPr>
            <w:sz w:val="4"/>
            <w:szCs w:val="4"/>
          </w:rPr>
        </w:pPr>
      </w:p>
    </w:sdtContent>
  </w:sdt>
  <w:p w14:paraId="5DCC27ED" w14:textId="77777777" w:rsidR="00441A13" w:rsidRPr="0008467A" w:rsidRDefault="00441A13" w:rsidP="0008467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A75D1" w14:textId="77777777" w:rsidR="00441A13" w:rsidRDefault="00441A13">
    <w:pPr>
      <w:pStyle w:val="Header"/>
      <w:jc w:val="center"/>
    </w:pPr>
  </w:p>
  <w:p w14:paraId="6286B3A8" w14:textId="77777777" w:rsidR="00441A13" w:rsidRDefault="00441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968900"/>
      <w:docPartObj>
        <w:docPartGallery w:val="Page Numbers (Top of Page)"/>
        <w:docPartUnique/>
      </w:docPartObj>
    </w:sdtPr>
    <w:sdtEndPr>
      <w:rPr>
        <w:noProof/>
      </w:rPr>
    </w:sdtEndPr>
    <w:sdtContent>
      <w:p w14:paraId="7C179CA8" w14:textId="77777777" w:rsidR="00441A13" w:rsidRDefault="00441A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E1E1DA" w14:textId="77777777" w:rsidR="00441A13" w:rsidRDefault="00441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B2"/>
    <w:multiLevelType w:val="hybridMultilevel"/>
    <w:tmpl w:val="6B4245BE"/>
    <w:lvl w:ilvl="0" w:tplc="0426000F">
      <w:start w:val="5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7945A12"/>
    <w:multiLevelType w:val="hybridMultilevel"/>
    <w:tmpl w:val="72E89964"/>
    <w:lvl w:ilvl="0" w:tplc="009A8020">
      <w:start w:val="1"/>
      <w:numFmt w:val="bullet"/>
      <w:lvlText w:val=""/>
      <w:lvlJc w:val="left"/>
      <w:pPr>
        <w:ind w:left="720" w:hanging="360"/>
      </w:pPr>
      <w:rPr>
        <w:rFonts w:ascii="Wingdings" w:hAnsi="Wingdings" w:hint="default"/>
      </w:rPr>
    </w:lvl>
    <w:lvl w:ilvl="1" w:tplc="CB88D23E" w:tentative="1">
      <w:start w:val="1"/>
      <w:numFmt w:val="bullet"/>
      <w:lvlText w:val="o"/>
      <w:lvlJc w:val="left"/>
      <w:pPr>
        <w:ind w:left="1440" w:hanging="360"/>
      </w:pPr>
      <w:rPr>
        <w:rFonts w:ascii="Courier New" w:hAnsi="Courier New" w:cs="Courier New" w:hint="default"/>
      </w:rPr>
    </w:lvl>
    <w:lvl w:ilvl="2" w:tplc="19DC577A" w:tentative="1">
      <w:start w:val="1"/>
      <w:numFmt w:val="bullet"/>
      <w:lvlText w:val=""/>
      <w:lvlJc w:val="left"/>
      <w:pPr>
        <w:ind w:left="2160" w:hanging="360"/>
      </w:pPr>
      <w:rPr>
        <w:rFonts w:ascii="Wingdings" w:hAnsi="Wingdings" w:hint="default"/>
      </w:rPr>
    </w:lvl>
    <w:lvl w:ilvl="3" w:tplc="3E7ECDAE" w:tentative="1">
      <w:start w:val="1"/>
      <w:numFmt w:val="bullet"/>
      <w:lvlText w:val=""/>
      <w:lvlJc w:val="left"/>
      <w:pPr>
        <w:ind w:left="2880" w:hanging="360"/>
      </w:pPr>
      <w:rPr>
        <w:rFonts w:ascii="Symbol" w:hAnsi="Symbol" w:hint="default"/>
      </w:rPr>
    </w:lvl>
    <w:lvl w:ilvl="4" w:tplc="00D068AE" w:tentative="1">
      <w:start w:val="1"/>
      <w:numFmt w:val="bullet"/>
      <w:lvlText w:val="o"/>
      <w:lvlJc w:val="left"/>
      <w:pPr>
        <w:ind w:left="3600" w:hanging="360"/>
      </w:pPr>
      <w:rPr>
        <w:rFonts w:ascii="Courier New" w:hAnsi="Courier New" w:cs="Courier New" w:hint="default"/>
      </w:rPr>
    </w:lvl>
    <w:lvl w:ilvl="5" w:tplc="7A36042A" w:tentative="1">
      <w:start w:val="1"/>
      <w:numFmt w:val="bullet"/>
      <w:lvlText w:val=""/>
      <w:lvlJc w:val="left"/>
      <w:pPr>
        <w:ind w:left="4320" w:hanging="360"/>
      </w:pPr>
      <w:rPr>
        <w:rFonts w:ascii="Wingdings" w:hAnsi="Wingdings" w:hint="default"/>
      </w:rPr>
    </w:lvl>
    <w:lvl w:ilvl="6" w:tplc="FCACDB2A" w:tentative="1">
      <w:start w:val="1"/>
      <w:numFmt w:val="bullet"/>
      <w:lvlText w:val=""/>
      <w:lvlJc w:val="left"/>
      <w:pPr>
        <w:ind w:left="5040" w:hanging="360"/>
      </w:pPr>
      <w:rPr>
        <w:rFonts w:ascii="Symbol" w:hAnsi="Symbol" w:hint="default"/>
      </w:rPr>
    </w:lvl>
    <w:lvl w:ilvl="7" w:tplc="8AFE9C0A" w:tentative="1">
      <w:start w:val="1"/>
      <w:numFmt w:val="bullet"/>
      <w:lvlText w:val="o"/>
      <w:lvlJc w:val="left"/>
      <w:pPr>
        <w:ind w:left="5760" w:hanging="360"/>
      </w:pPr>
      <w:rPr>
        <w:rFonts w:ascii="Courier New" w:hAnsi="Courier New" w:cs="Courier New" w:hint="default"/>
      </w:rPr>
    </w:lvl>
    <w:lvl w:ilvl="8" w:tplc="C1CEB3F0" w:tentative="1">
      <w:start w:val="1"/>
      <w:numFmt w:val="bullet"/>
      <w:lvlText w:val=""/>
      <w:lvlJc w:val="left"/>
      <w:pPr>
        <w:ind w:left="6480" w:hanging="360"/>
      </w:pPr>
      <w:rPr>
        <w:rFonts w:ascii="Wingdings" w:hAnsi="Wingdings" w:hint="default"/>
      </w:rPr>
    </w:lvl>
  </w:abstractNum>
  <w:abstractNum w:abstractNumId="2" w15:restartNumberingAfterBreak="0">
    <w:nsid w:val="29207B7D"/>
    <w:multiLevelType w:val="hybridMultilevel"/>
    <w:tmpl w:val="63508596"/>
    <w:lvl w:ilvl="0" w:tplc="80107E7E">
      <w:start w:val="1"/>
      <w:numFmt w:val="bullet"/>
      <w:lvlText w:val=""/>
      <w:lvlJc w:val="left"/>
      <w:pPr>
        <w:ind w:left="720" w:hanging="360"/>
      </w:pPr>
      <w:rPr>
        <w:rFonts w:ascii="Symbol" w:hAnsi="Symbol" w:hint="default"/>
      </w:rPr>
    </w:lvl>
    <w:lvl w:ilvl="1" w:tplc="22D837A2" w:tentative="1">
      <w:start w:val="1"/>
      <w:numFmt w:val="bullet"/>
      <w:lvlText w:val="o"/>
      <w:lvlJc w:val="left"/>
      <w:pPr>
        <w:ind w:left="1440" w:hanging="360"/>
      </w:pPr>
      <w:rPr>
        <w:rFonts w:ascii="Courier New" w:hAnsi="Courier New" w:cs="Courier New" w:hint="default"/>
      </w:rPr>
    </w:lvl>
    <w:lvl w:ilvl="2" w:tplc="C53E8D96" w:tentative="1">
      <w:start w:val="1"/>
      <w:numFmt w:val="bullet"/>
      <w:lvlText w:val=""/>
      <w:lvlJc w:val="left"/>
      <w:pPr>
        <w:ind w:left="2160" w:hanging="360"/>
      </w:pPr>
      <w:rPr>
        <w:rFonts w:ascii="Wingdings" w:hAnsi="Wingdings" w:hint="default"/>
      </w:rPr>
    </w:lvl>
    <w:lvl w:ilvl="3" w:tplc="571C3F3A" w:tentative="1">
      <w:start w:val="1"/>
      <w:numFmt w:val="bullet"/>
      <w:lvlText w:val=""/>
      <w:lvlJc w:val="left"/>
      <w:pPr>
        <w:ind w:left="2880" w:hanging="360"/>
      </w:pPr>
      <w:rPr>
        <w:rFonts w:ascii="Symbol" w:hAnsi="Symbol" w:hint="default"/>
      </w:rPr>
    </w:lvl>
    <w:lvl w:ilvl="4" w:tplc="0E3440C0" w:tentative="1">
      <w:start w:val="1"/>
      <w:numFmt w:val="bullet"/>
      <w:lvlText w:val="o"/>
      <w:lvlJc w:val="left"/>
      <w:pPr>
        <w:ind w:left="3600" w:hanging="360"/>
      </w:pPr>
      <w:rPr>
        <w:rFonts w:ascii="Courier New" w:hAnsi="Courier New" w:cs="Courier New" w:hint="default"/>
      </w:rPr>
    </w:lvl>
    <w:lvl w:ilvl="5" w:tplc="8ECC9BBA" w:tentative="1">
      <w:start w:val="1"/>
      <w:numFmt w:val="bullet"/>
      <w:lvlText w:val=""/>
      <w:lvlJc w:val="left"/>
      <w:pPr>
        <w:ind w:left="4320" w:hanging="360"/>
      </w:pPr>
      <w:rPr>
        <w:rFonts w:ascii="Wingdings" w:hAnsi="Wingdings" w:hint="default"/>
      </w:rPr>
    </w:lvl>
    <w:lvl w:ilvl="6" w:tplc="D4CE5A64" w:tentative="1">
      <w:start w:val="1"/>
      <w:numFmt w:val="bullet"/>
      <w:lvlText w:val=""/>
      <w:lvlJc w:val="left"/>
      <w:pPr>
        <w:ind w:left="5040" w:hanging="360"/>
      </w:pPr>
      <w:rPr>
        <w:rFonts w:ascii="Symbol" w:hAnsi="Symbol" w:hint="default"/>
      </w:rPr>
    </w:lvl>
    <w:lvl w:ilvl="7" w:tplc="2228CEB8" w:tentative="1">
      <w:start w:val="1"/>
      <w:numFmt w:val="bullet"/>
      <w:lvlText w:val="o"/>
      <w:lvlJc w:val="left"/>
      <w:pPr>
        <w:ind w:left="5760" w:hanging="360"/>
      </w:pPr>
      <w:rPr>
        <w:rFonts w:ascii="Courier New" w:hAnsi="Courier New" w:cs="Courier New" w:hint="default"/>
      </w:rPr>
    </w:lvl>
    <w:lvl w:ilvl="8" w:tplc="21E84A04" w:tentative="1">
      <w:start w:val="1"/>
      <w:numFmt w:val="bullet"/>
      <w:lvlText w:val=""/>
      <w:lvlJc w:val="left"/>
      <w:pPr>
        <w:ind w:left="6480" w:hanging="360"/>
      </w:pPr>
      <w:rPr>
        <w:rFonts w:ascii="Wingdings" w:hAnsi="Wingdings" w:hint="default"/>
      </w:rPr>
    </w:lvl>
  </w:abstractNum>
  <w:abstractNum w:abstractNumId="3" w15:restartNumberingAfterBreak="0">
    <w:nsid w:val="31AF41BD"/>
    <w:multiLevelType w:val="hybridMultilevel"/>
    <w:tmpl w:val="274C0EF8"/>
    <w:lvl w:ilvl="0" w:tplc="7F8ECB7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351A718B"/>
    <w:multiLevelType w:val="hybridMultilevel"/>
    <w:tmpl w:val="911694C6"/>
    <w:lvl w:ilvl="0" w:tplc="920EB35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A1C03C7"/>
    <w:multiLevelType w:val="hybridMultilevel"/>
    <w:tmpl w:val="96409392"/>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1">
    <w:nsid w:val="3D6B7501"/>
    <w:multiLevelType w:val="hybridMultilevel"/>
    <w:tmpl w:val="C980ECDE"/>
    <w:lvl w:ilvl="0" w:tplc="04B6FDF8">
      <w:start w:val="1"/>
      <w:numFmt w:val="lowerLetter"/>
      <w:lvlText w:val="%1)"/>
      <w:lvlJc w:val="left"/>
      <w:pPr>
        <w:ind w:left="720" w:hanging="360"/>
      </w:pPr>
      <w:rPr>
        <w:rFonts w:hint="default"/>
        <w:b/>
      </w:rPr>
    </w:lvl>
    <w:lvl w:ilvl="1" w:tplc="ABD211DC" w:tentative="1">
      <w:start w:val="1"/>
      <w:numFmt w:val="lowerLetter"/>
      <w:lvlText w:val="%2."/>
      <w:lvlJc w:val="left"/>
      <w:pPr>
        <w:ind w:left="1440" w:hanging="360"/>
      </w:pPr>
    </w:lvl>
    <w:lvl w:ilvl="2" w:tplc="609CDF6C" w:tentative="1">
      <w:start w:val="1"/>
      <w:numFmt w:val="lowerRoman"/>
      <w:lvlText w:val="%3."/>
      <w:lvlJc w:val="right"/>
      <w:pPr>
        <w:ind w:left="2160" w:hanging="180"/>
      </w:pPr>
    </w:lvl>
    <w:lvl w:ilvl="3" w:tplc="CBD64D36" w:tentative="1">
      <w:start w:val="1"/>
      <w:numFmt w:val="decimal"/>
      <w:lvlText w:val="%4."/>
      <w:lvlJc w:val="left"/>
      <w:pPr>
        <w:ind w:left="2880" w:hanging="360"/>
      </w:pPr>
    </w:lvl>
    <w:lvl w:ilvl="4" w:tplc="76F030C0" w:tentative="1">
      <w:start w:val="1"/>
      <w:numFmt w:val="lowerLetter"/>
      <w:lvlText w:val="%5."/>
      <w:lvlJc w:val="left"/>
      <w:pPr>
        <w:ind w:left="3600" w:hanging="360"/>
      </w:pPr>
    </w:lvl>
    <w:lvl w:ilvl="5" w:tplc="96329322" w:tentative="1">
      <w:start w:val="1"/>
      <w:numFmt w:val="lowerRoman"/>
      <w:lvlText w:val="%6."/>
      <w:lvlJc w:val="right"/>
      <w:pPr>
        <w:ind w:left="4320" w:hanging="180"/>
      </w:pPr>
    </w:lvl>
    <w:lvl w:ilvl="6" w:tplc="FB92D964" w:tentative="1">
      <w:start w:val="1"/>
      <w:numFmt w:val="decimal"/>
      <w:lvlText w:val="%7."/>
      <w:lvlJc w:val="left"/>
      <w:pPr>
        <w:ind w:left="5040" w:hanging="360"/>
      </w:pPr>
    </w:lvl>
    <w:lvl w:ilvl="7" w:tplc="83806F9E" w:tentative="1">
      <w:start w:val="1"/>
      <w:numFmt w:val="lowerLetter"/>
      <w:lvlText w:val="%8."/>
      <w:lvlJc w:val="left"/>
      <w:pPr>
        <w:ind w:left="5760" w:hanging="360"/>
      </w:pPr>
    </w:lvl>
    <w:lvl w:ilvl="8" w:tplc="943895FE" w:tentative="1">
      <w:start w:val="1"/>
      <w:numFmt w:val="lowerRoman"/>
      <w:lvlText w:val="%9."/>
      <w:lvlJc w:val="right"/>
      <w:pPr>
        <w:ind w:left="6480" w:hanging="180"/>
      </w:pPr>
    </w:lvl>
  </w:abstractNum>
  <w:abstractNum w:abstractNumId="7" w15:restartNumberingAfterBreak="0">
    <w:nsid w:val="3DEA0C1B"/>
    <w:multiLevelType w:val="hybridMultilevel"/>
    <w:tmpl w:val="EA323DDC"/>
    <w:lvl w:ilvl="0" w:tplc="A5FADD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1120BC"/>
    <w:multiLevelType w:val="hybridMultilevel"/>
    <w:tmpl w:val="F060521C"/>
    <w:lvl w:ilvl="0" w:tplc="E17E2F5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166036"/>
    <w:multiLevelType w:val="multilevel"/>
    <w:tmpl w:val="2F647DD4"/>
    <w:lvl w:ilvl="0">
      <w:start w:val="1"/>
      <w:numFmt w:val="decimal"/>
      <w:pStyle w:val="Punkts1Lmenis"/>
      <w:lvlText w:val="%1."/>
      <w:lvlJc w:val="left"/>
      <w:pPr>
        <w:tabs>
          <w:tab w:val="num" w:pos="1815"/>
        </w:tabs>
        <w:ind w:left="851" w:firstLine="0"/>
      </w:pPr>
      <w:rPr>
        <w:rFonts w:cs="Times New Roman" w:hint="default"/>
        <w:sz w:val="28"/>
        <w:szCs w:val="28"/>
      </w:rPr>
    </w:lvl>
    <w:lvl w:ilvl="1">
      <w:start w:val="1"/>
      <w:numFmt w:val="decimal"/>
      <w:pStyle w:val="Punkts2Lmenis"/>
      <w:isLgl/>
      <w:lvlText w:val="%1.%2."/>
      <w:lvlJc w:val="left"/>
      <w:pPr>
        <w:tabs>
          <w:tab w:val="num" w:pos="2468"/>
        </w:tabs>
        <w:ind w:left="1277" w:firstLine="0"/>
      </w:pPr>
      <w:rPr>
        <w:rFonts w:cs="Times New Roman" w:hint="default"/>
        <w:b w:val="0"/>
        <w:sz w:val="28"/>
        <w:szCs w:val="28"/>
      </w:rPr>
    </w:lvl>
    <w:lvl w:ilvl="2">
      <w:start w:val="1"/>
      <w:numFmt w:val="decimal"/>
      <w:pStyle w:val="Punkts3Lmenis"/>
      <w:lvlText w:val="%1.%2.%3."/>
      <w:lvlJc w:val="left"/>
      <w:pPr>
        <w:tabs>
          <w:tab w:val="num" w:pos="2184"/>
        </w:tabs>
        <w:ind w:left="709" w:firstLine="0"/>
      </w:pPr>
      <w:rPr>
        <w:rFonts w:cs="Times New Roman" w:hint="default"/>
        <w:b w:val="0"/>
        <w:sz w:val="28"/>
        <w:szCs w:val="28"/>
      </w:rPr>
    </w:lvl>
    <w:lvl w:ilvl="3">
      <w:start w:val="1"/>
      <w:numFmt w:val="none"/>
      <w:lvlText w:val="35.4.4.1."/>
      <w:lvlJc w:val="left"/>
      <w:pPr>
        <w:tabs>
          <w:tab w:val="num" w:pos="851"/>
        </w:tabs>
        <w:ind w:left="284" w:firstLine="0"/>
      </w:pPr>
      <w:rPr>
        <w:rFonts w:cs="Times New Roman" w:hint="default"/>
      </w:rPr>
    </w:lvl>
    <w:lvl w:ilvl="4">
      <w:start w:val="1"/>
      <w:numFmt w:val="lowerLetter"/>
      <w:lvlText w:val="%5."/>
      <w:lvlJc w:val="left"/>
      <w:pPr>
        <w:tabs>
          <w:tab w:val="num" w:pos="877"/>
        </w:tabs>
        <w:ind w:left="310" w:firstLine="0"/>
      </w:pPr>
      <w:rPr>
        <w:rFonts w:cs="Times New Roman" w:hint="default"/>
      </w:rPr>
    </w:lvl>
    <w:lvl w:ilvl="5">
      <w:start w:val="1"/>
      <w:numFmt w:val="lowerRoman"/>
      <w:lvlText w:val="%6."/>
      <w:lvlJc w:val="right"/>
      <w:pPr>
        <w:tabs>
          <w:tab w:val="num" w:pos="990"/>
        </w:tabs>
        <w:ind w:left="423" w:firstLine="0"/>
      </w:pPr>
      <w:rPr>
        <w:rFonts w:cs="Times New Roman" w:hint="default"/>
      </w:rPr>
    </w:lvl>
    <w:lvl w:ilvl="6">
      <w:start w:val="1"/>
      <w:numFmt w:val="decimal"/>
      <w:lvlText w:val="%7."/>
      <w:lvlJc w:val="left"/>
      <w:pPr>
        <w:tabs>
          <w:tab w:val="num" w:pos="1103"/>
        </w:tabs>
        <w:ind w:left="536" w:firstLine="0"/>
      </w:pPr>
      <w:rPr>
        <w:rFonts w:cs="Times New Roman" w:hint="default"/>
      </w:rPr>
    </w:lvl>
    <w:lvl w:ilvl="7">
      <w:start w:val="1"/>
      <w:numFmt w:val="lowerLetter"/>
      <w:lvlText w:val="%8."/>
      <w:lvlJc w:val="left"/>
      <w:pPr>
        <w:tabs>
          <w:tab w:val="num" w:pos="1216"/>
        </w:tabs>
        <w:ind w:left="649" w:firstLine="0"/>
      </w:pPr>
      <w:rPr>
        <w:rFonts w:cs="Times New Roman" w:hint="default"/>
      </w:rPr>
    </w:lvl>
    <w:lvl w:ilvl="8">
      <w:start w:val="1"/>
      <w:numFmt w:val="lowerRoman"/>
      <w:lvlText w:val="%9."/>
      <w:lvlJc w:val="right"/>
      <w:pPr>
        <w:tabs>
          <w:tab w:val="num" w:pos="1329"/>
        </w:tabs>
        <w:ind w:left="762" w:firstLine="0"/>
      </w:pPr>
      <w:rPr>
        <w:rFonts w:cs="Times New Roman" w:hint="default"/>
      </w:rPr>
    </w:lvl>
  </w:abstractNum>
  <w:abstractNum w:abstractNumId="10" w15:restartNumberingAfterBreak="0">
    <w:nsid w:val="478E4AB1"/>
    <w:multiLevelType w:val="hybridMultilevel"/>
    <w:tmpl w:val="57B40FDA"/>
    <w:lvl w:ilvl="0" w:tplc="6DA4A332">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1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C12724E"/>
    <w:multiLevelType w:val="hybridMultilevel"/>
    <w:tmpl w:val="C1BE437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1">
    <w:nsid w:val="67334BBC"/>
    <w:multiLevelType w:val="hybridMultilevel"/>
    <w:tmpl w:val="804EBC26"/>
    <w:lvl w:ilvl="0" w:tplc="35380CB8">
      <w:start w:val="1"/>
      <w:numFmt w:val="decimal"/>
      <w:lvlText w:val="%1."/>
      <w:lvlJc w:val="left"/>
      <w:pPr>
        <w:ind w:left="720" w:hanging="360"/>
      </w:pPr>
      <w:rPr>
        <w:rFonts w:hint="default"/>
      </w:rPr>
    </w:lvl>
    <w:lvl w:ilvl="1" w:tplc="70D4DF26" w:tentative="1">
      <w:start w:val="1"/>
      <w:numFmt w:val="lowerLetter"/>
      <w:lvlText w:val="%2."/>
      <w:lvlJc w:val="left"/>
      <w:pPr>
        <w:ind w:left="1440" w:hanging="360"/>
      </w:pPr>
    </w:lvl>
    <w:lvl w:ilvl="2" w:tplc="65A28234" w:tentative="1">
      <w:start w:val="1"/>
      <w:numFmt w:val="lowerRoman"/>
      <w:lvlText w:val="%3."/>
      <w:lvlJc w:val="right"/>
      <w:pPr>
        <w:ind w:left="2160" w:hanging="180"/>
      </w:pPr>
    </w:lvl>
    <w:lvl w:ilvl="3" w:tplc="65C22144" w:tentative="1">
      <w:start w:val="1"/>
      <w:numFmt w:val="decimal"/>
      <w:lvlText w:val="%4."/>
      <w:lvlJc w:val="left"/>
      <w:pPr>
        <w:ind w:left="2880" w:hanging="360"/>
      </w:pPr>
    </w:lvl>
    <w:lvl w:ilvl="4" w:tplc="76BA3740" w:tentative="1">
      <w:start w:val="1"/>
      <w:numFmt w:val="lowerLetter"/>
      <w:lvlText w:val="%5."/>
      <w:lvlJc w:val="left"/>
      <w:pPr>
        <w:ind w:left="3600" w:hanging="360"/>
      </w:pPr>
    </w:lvl>
    <w:lvl w:ilvl="5" w:tplc="1D4656D8" w:tentative="1">
      <w:start w:val="1"/>
      <w:numFmt w:val="lowerRoman"/>
      <w:lvlText w:val="%6."/>
      <w:lvlJc w:val="right"/>
      <w:pPr>
        <w:ind w:left="4320" w:hanging="180"/>
      </w:pPr>
    </w:lvl>
    <w:lvl w:ilvl="6" w:tplc="FED02B42" w:tentative="1">
      <w:start w:val="1"/>
      <w:numFmt w:val="decimal"/>
      <w:lvlText w:val="%7."/>
      <w:lvlJc w:val="left"/>
      <w:pPr>
        <w:ind w:left="5040" w:hanging="360"/>
      </w:pPr>
    </w:lvl>
    <w:lvl w:ilvl="7" w:tplc="C9A6943E" w:tentative="1">
      <w:start w:val="1"/>
      <w:numFmt w:val="lowerLetter"/>
      <w:lvlText w:val="%8."/>
      <w:lvlJc w:val="left"/>
      <w:pPr>
        <w:ind w:left="5760" w:hanging="360"/>
      </w:pPr>
    </w:lvl>
    <w:lvl w:ilvl="8" w:tplc="BC2EB992" w:tentative="1">
      <w:start w:val="1"/>
      <w:numFmt w:val="lowerRoman"/>
      <w:lvlText w:val="%9."/>
      <w:lvlJc w:val="right"/>
      <w:pPr>
        <w:ind w:left="6480" w:hanging="180"/>
      </w:pPr>
    </w:lvl>
  </w:abstractNum>
  <w:abstractNum w:abstractNumId="16" w15:restartNumberingAfterBreak="0">
    <w:nsid w:val="6BC947ED"/>
    <w:multiLevelType w:val="hybridMultilevel"/>
    <w:tmpl w:val="76B8D7DA"/>
    <w:lvl w:ilvl="0" w:tplc="E83009F6">
      <w:start w:val="1"/>
      <w:numFmt w:val="decimal"/>
      <w:lvlText w:val="%1."/>
      <w:lvlJc w:val="left"/>
      <w:pPr>
        <w:ind w:left="390" w:hanging="39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4B17A8"/>
    <w:multiLevelType w:val="hybridMultilevel"/>
    <w:tmpl w:val="41C6C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4"/>
  </w:num>
  <w:num w:numId="4">
    <w:abstractNumId w:val="12"/>
  </w:num>
  <w:num w:numId="5">
    <w:abstractNumId w:val="11"/>
  </w:num>
  <w:num w:numId="6">
    <w:abstractNumId w:val="2"/>
  </w:num>
  <w:num w:numId="7">
    <w:abstractNumId w:val="17"/>
  </w:num>
  <w:num w:numId="8">
    <w:abstractNumId w:val="7"/>
  </w:num>
  <w:num w:numId="9">
    <w:abstractNumId w:val="8"/>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3"/>
  </w:num>
  <w:num w:numId="15">
    <w:abstractNumId w:val="6"/>
  </w:num>
  <w:num w:numId="16">
    <w:abstractNumId w:val="16"/>
  </w:num>
  <w:num w:numId="17">
    <w:abstractNumId w:val="15"/>
  </w:num>
  <w:num w:numId="18">
    <w:abstractNumId w:val="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5F25"/>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17AE8"/>
    <w:rsid w:val="00017D5C"/>
    <w:rsid w:val="00020249"/>
    <w:rsid w:val="00022338"/>
    <w:rsid w:val="0002296A"/>
    <w:rsid w:val="00022B0F"/>
    <w:rsid w:val="00022B9A"/>
    <w:rsid w:val="00023FD6"/>
    <w:rsid w:val="0002416A"/>
    <w:rsid w:val="00024BE4"/>
    <w:rsid w:val="00024CCD"/>
    <w:rsid w:val="00024D20"/>
    <w:rsid w:val="000253DB"/>
    <w:rsid w:val="000278E7"/>
    <w:rsid w:val="00027A63"/>
    <w:rsid w:val="00027F9D"/>
    <w:rsid w:val="000307B5"/>
    <w:rsid w:val="00032457"/>
    <w:rsid w:val="00032BD4"/>
    <w:rsid w:val="0003413A"/>
    <w:rsid w:val="000349CA"/>
    <w:rsid w:val="0003557A"/>
    <w:rsid w:val="00035C06"/>
    <w:rsid w:val="000366DF"/>
    <w:rsid w:val="000376CD"/>
    <w:rsid w:val="00040A5C"/>
    <w:rsid w:val="00043005"/>
    <w:rsid w:val="0004345F"/>
    <w:rsid w:val="00043A64"/>
    <w:rsid w:val="00044026"/>
    <w:rsid w:val="00046075"/>
    <w:rsid w:val="00046CAD"/>
    <w:rsid w:val="00046F5C"/>
    <w:rsid w:val="00047385"/>
    <w:rsid w:val="00050554"/>
    <w:rsid w:val="00052EBE"/>
    <w:rsid w:val="00053706"/>
    <w:rsid w:val="00053817"/>
    <w:rsid w:val="00053E04"/>
    <w:rsid w:val="000579E6"/>
    <w:rsid w:val="00060E03"/>
    <w:rsid w:val="0006232B"/>
    <w:rsid w:val="00063935"/>
    <w:rsid w:val="000641CE"/>
    <w:rsid w:val="00064C88"/>
    <w:rsid w:val="00064DB7"/>
    <w:rsid w:val="00065271"/>
    <w:rsid w:val="00066176"/>
    <w:rsid w:val="0006618D"/>
    <w:rsid w:val="00066885"/>
    <w:rsid w:val="0006694E"/>
    <w:rsid w:val="00066A37"/>
    <w:rsid w:val="00066F05"/>
    <w:rsid w:val="00070BD5"/>
    <w:rsid w:val="00072628"/>
    <w:rsid w:val="000728ED"/>
    <w:rsid w:val="000733F5"/>
    <w:rsid w:val="000733FF"/>
    <w:rsid w:val="0007577A"/>
    <w:rsid w:val="000775D0"/>
    <w:rsid w:val="000816CE"/>
    <w:rsid w:val="00081B0F"/>
    <w:rsid w:val="0008283D"/>
    <w:rsid w:val="00083090"/>
    <w:rsid w:val="00083214"/>
    <w:rsid w:val="00083B8F"/>
    <w:rsid w:val="0008467A"/>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07BC"/>
    <w:rsid w:val="000A1A02"/>
    <w:rsid w:val="000A1D74"/>
    <w:rsid w:val="000A2F83"/>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6047"/>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7DD"/>
    <w:rsid w:val="000F1D56"/>
    <w:rsid w:val="000F2534"/>
    <w:rsid w:val="000F28D9"/>
    <w:rsid w:val="000F2D43"/>
    <w:rsid w:val="000F2F9A"/>
    <w:rsid w:val="000F3AA0"/>
    <w:rsid w:val="000F4AEB"/>
    <w:rsid w:val="000F4B40"/>
    <w:rsid w:val="000F4C3B"/>
    <w:rsid w:val="000F4E7B"/>
    <w:rsid w:val="000F57C3"/>
    <w:rsid w:val="000F5C37"/>
    <w:rsid w:val="000F5DF0"/>
    <w:rsid w:val="000F5FB1"/>
    <w:rsid w:val="000F6A0B"/>
    <w:rsid w:val="000F7695"/>
    <w:rsid w:val="000F7E61"/>
    <w:rsid w:val="001012E3"/>
    <w:rsid w:val="00101EEB"/>
    <w:rsid w:val="0010375A"/>
    <w:rsid w:val="00103879"/>
    <w:rsid w:val="001038ED"/>
    <w:rsid w:val="00103911"/>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025"/>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1B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67DE7"/>
    <w:rsid w:val="0017043B"/>
    <w:rsid w:val="00170636"/>
    <w:rsid w:val="001706A1"/>
    <w:rsid w:val="00170914"/>
    <w:rsid w:val="00170DF2"/>
    <w:rsid w:val="00174841"/>
    <w:rsid w:val="001760D7"/>
    <w:rsid w:val="001761FD"/>
    <w:rsid w:val="00177D61"/>
    <w:rsid w:val="00180125"/>
    <w:rsid w:val="001808CA"/>
    <w:rsid w:val="00180923"/>
    <w:rsid w:val="00180CE5"/>
    <w:rsid w:val="00181886"/>
    <w:rsid w:val="00181BAA"/>
    <w:rsid w:val="00181D2D"/>
    <w:rsid w:val="00181FA1"/>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59C2"/>
    <w:rsid w:val="001A5E4C"/>
    <w:rsid w:val="001A6ACB"/>
    <w:rsid w:val="001A7C72"/>
    <w:rsid w:val="001B084B"/>
    <w:rsid w:val="001B0CEC"/>
    <w:rsid w:val="001B0EC0"/>
    <w:rsid w:val="001B0FFC"/>
    <w:rsid w:val="001B1CF2"/>
    <w:rsid w:val="001B3CF8"/>
    <w:rsid w:val="001B4388"/>
    <w:rsid w:val="001B463E"/>
    <w:rsid w:val="001B49E0"/>
    <w:rsid w:val="001B5009"/>
    <w:rsid w:val="001B5066"/>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23A"/>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3EA5"/>
    <w:rsid w:val="001E4456"/>
    <w:rsid w:val="001E4DDC"/>
    <w:rsid w:val="001E774F"/>
    <w:rsid w:val="001E7C1D"/>
    <w:rsid w:val="001E7E13"/>
    <w:rsid w:val="001F073F"/>
    <w:rsid w:val="001F20D3"/>
    <w:rsid w:val="001F2C77"/>
    <w:rsid w:val="001F3009"/>
    <w:rsid w:val="001F3358"/>
    <w:rsid w:val="001F35CB"/>
    <w:rsid w:val="001F390F"/>
    <w:rsid w:val="001F5CD1"/>
    <w:rsid w:val="001F7257"/>
    <w:rsid w:val="001F7739"/>
    <w:rsid w:val="0020011B"/>
    <w:rsid w:val="00201045"/>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CF6"/>
    <w:rsid w:val="00217FF6"/>
    <w:rsid w:val="00221628"/>
    <w:rsid w:val="00222386"/>
    <w:rsid w:val="00222AB2"/>
    <w:rsid w:val="00222F51"/>
    <w:rsid w:val="00222F96"/>
    <w:rsid w:val="002230E1"/>
    <w:rsid w:val="00223361"/>
    <w:rsid w:val="00223807"/>
    <w:rsid w:val="002244BA"/>
    <w:rsid w:val="002247AA"/>
    <w:rsid w:val="00224DA7"/>
    <w:rsid w:val="002261CB"/>
    <w:rsid w:val="002268BF"/>
    <w:rsid w:val="00227BDE"/>
    <w:rsid w:val="00230045"/>
    <w:rsid w:val="0023014E"/>
    <w:rsid w:val="002308FA"/>
    <w:rsid w:val="0023132F"/>
    <w:rsid w:val="00231AA5"/>
    <w:rsid w:val="00232F90"/>
    <w:rsid w:val="0023339B"/>
    <w:rsid w:val="00234365"/>
    <w:rsid w:val="0023469C"/>
    <w:rsid w:val="00234C71"/>
    <w:rsid w:val="00235511"/>
    <w:rsid w:val="00235F46"/>
    <w:rsid w:val="002366E0"/>
    <w:rsid w:val="00236DE1"/>
    <w:rsid w:val="002372EE"/>
    <w:rsid w:val="002372FD"/>
    <w:rsid w:val="0023764D"/>
    <w:rsid w:val="0024063D"/>
    <w:rsid w:val="002415BC"/>
    <w:rsid w:val="00241C98"/>
    <w:rsid w:val="002434B2"/>
    <w:rsid w:val="00243E45"/>
    <w:rsid w:val="002442F4"/>
    <w:rsid w:val="002445EA"/>
    <w:rsid w:val="00244ECE"/>
    <w:rsid w:val="00244FC5"/>
    <w:rsid w:val="00245D1D"/>
    <w:rsid w:val="00250EDA"/>
    <w:rsid w:val="00251502"/>
    <w:rsid w:val="002518E8"/>
    <w:rsid w:val="00251C10"/>
    <w:rsid w:val="00252E1E"/>
    <w:rsid w:val="002538BA"/>
    <w:rsid w:val="0025469D"/>
    <w:rsid w:val="00254E1E"/>
    <w:rsid w:val="002552B1"/>
    <w:rsid w:val="00255D01"/>
    <w:rsid w:val="00256E55"/>
    <w:rsid w:val="00257E0E"/>
    <w:rsid w:val="00257FF4"/>
    <w:rsid w:val="00260FCB"/>
    <w:rsid w:val="002615F5"/>
    <w:rsid w:val="002616B9"/>
    <w:rsid w:val="0026217B"/>
    <w:rsid w:val="002629E4"/>
    <w:rsid w:val="00262C4F"/>
    <w:rsid w:val="00263FE3"/>
    <w:rsid w:val="00265593"/>
    <w:rsid w:val="002675EA"/>
    <w:rsid w:val="002676F7"/>
    <w:rsid w:val="00267BC5"/>
    <w:rsid w:val="00267CBE"/>
    <w:rsid w:val="00267E0B"/>
    <w:rsid w:val="00267EF5"/>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5A39"/>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0AD"/>
    <w:rsid w:val="002B538B"/>
    <w:rsid w:val="002B581B"/>
    <w:rsid w:val="002C2892"/>
    <w:rsid w:val="002C58AB"/>
    <w:rsid w:val="002C6D84"/>
    <w:rsid w:val="002C7D21"/>
    <w:rsid w:val="002D1564"/>
    <w:rsid w:val="002D1CA4"/>
    <w:rsid w:val="002D2C09"/>
    <w:rsid w:val="002D2C45"/>
    <w:rsid w:val="002D2F8D"/>
    <w:rsid w:val="002D3C51"/>
    <w:rsid w:val="002D472C"/>
    <w:rsid w:val="002D4969"/>
    <w:rsid w:val="002D4EE1"/>
    <w:rsid w:val="002D4F49"/>
    <w:rsid w:val="002D778E"/>
    <w:rsid w:val="002E04D7"/>
    <w:rsid w:val="002E06DD"/>
    <w:rsid w:val="002E171A"/>
    <w:rsid w:val="002E1D7D"/>
    <w:rsid w:val="002E2A24"/>
    <w:rsid w:val="002E2E68"/>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6CB"/>
    <w:rsid w:val="002F797A"/>
    <w:rsid w:val="00300483"/>
    <w:rsid w:val="00301C91"/>
    <w:rsid w:val="00303F2B"/>
    <w:rsid w:val="00304607"/>
    <w:rsid w:val="0030467A"/>
    <w:rsid w:val="00304BCF"/>
    <w:rsid w:val="00304D4E"/>
    <w:rsid w:val="00304FFD"/>
    <w:rsid w:val="00305608"/>
    <w:rsid w:val="00305B72"/>
    <w:rsid w:val="0030610A"/>
    <w:rsid w:val="00306627"/>
    <w:rsid w:val="003069DD"/>
    <w:rsid w:val="00306CAB"/>
    <w:rsid w:val="00310A44"/>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CB0"/>
    <w:rsid w:val="00316F0A"/>
    <w:rsid w:val="00317DC7"/>
    <w:rsid w:val="003200F9"/>
    <w:rsid w:val="00320F38"/>
    <w:rsid w:val="00321183"/>
    <w:rsid w:val="00321694"/>
    <w:rsid w:val="00321F0A"/>
    <w:rsid w:val="003223CE"/>
    <w:rsid w:val="00322911"/>
    <w:rsid w:val="00322A2D"/>
    <w:rsid w:val="00322E80"/>
    <w:rsid w:val="00324AB7"/>
    <w:rsid w:val="00324D5B"/>
    <w:rsid w:val="00325045"/>
    <w:rsid w:val="00325D91"/>
    <w:rsid w:val="003267B4"/>
    <w:rsid w:val="00331193"/>
    <w:rsid w:val="003333D4"/>
    <w:rsid w:val="00334951"/>
    <w:rsid w:val="00336411"/>
    <w:rsid w:val="0033678D"/>
    <w:rsid w:val="0033720D"/>
    <w:rsid w:val="003373E8"/>
    <w:rsid w:val="003411C7"/>
    <w:rsid w:val="00343E66"/>
    <w:rsid w:val="003443DD"/>
    <w:rsid w:val="00344D5A"/>
    <w:rsid w:val="00346EB6"/>
    <w:rsid w:val="00347EDB"/>
    <w:rsid w:val="0035003F"/>
    <w:rsid w:val="00350797"/>
    <w:rsid w:val="00351A85"/>
    <w:rsid w:val="003522E8"/>
    <w:rsid w:val="00353989"/>
    <w:rsid w:val="00355B7A"/>
    <w:rsid w:val="0035617C"/>
    <w:rsid w:val="00356E7E"/>
    <w:rsid w:val="00356EB8"/>
    <w:rsid w:val="003570A5"/>
    <w:rsid w:val="00357B83"/>
    <w:rsid w:val="003614A8"/>
    <w:rsid w:val="0036160E"/>
    <w:rsid w:val="00361FDF"/>
    <w:rsid w:val="00362610"/>
    <w:rsid w:val="00363830"/>
    <w:rsid w:val="00363D2D"/>
    <w:rsid w:val="003642AE"/>
    <w:rsid w:val="00364BB6"/>
    <w:rsid w:val="00364D6B"/>
    <w:rsid w:val="00365408"/>
    <w:rsid w:val="00365CC0"/>
    <w:rsid w:val="003668DF"/>
    <w:rsid w:val="00366E0F"/>
    <w:rsid w:val="00367688"/>
    <w:rsid w:val="003715A0"/>
    <w:rsid w:val="00372221"/>
    <w:rsid w:val="00372CF2"/>
    <w:rsid w:val="00374C7E"/>
    <w:rsid w:val="003770A6"/>
    <w:rsid w:val="00377353"/>
    <w:rsid w:val="0037736B"/>
    <w:rsid w:val="00377599"/>
    <w:rsid w:val="00381F57"/>
    <w:rsid w:val="0038216E"/>
    <w:rsid w:val="003822E5"/>
    <w:rsid w:val="003830B8"/>
    <w:rsid w:val="00383262"/>
    <w:rsid w:val="00390215"/>
    <w:rsid w:val="0039066C"/>
    <w:rsid w:val="00391385"/>
    <w:rsid w:val="0039153A"/>
    <w:rsid w:val="00394ABB"/>
    <w:rsid w:val="003A157A"/>
    <w:rsid w:val="003A283F"/>
    <w:rsid w:val="003A2A16"/>
    <w:rsid w:val="003A2FDD"/>
    <w:rsid w:val="003A3C43"/>
    <w:rsid w:val="003A5CCC"/>
    <w:rsid w:val="003A70FF"/>
    <w:rsid w:val="003A74D2"/>
    <w:rsid w:val="003A756B"/>
    <w:rsid w:val="003A7902"/>
    <w:rsid w:val="003A7C13"/>
    <w:rsid w:val="003B04E1"/>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6CF7"/>
    <w:rsid w:val="003C7847"/>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BFA"/>
    <w:rsid w:val="003E5FA8"/>
    <w:rsid w:val="003E6252"/>
    <w:rsid w:val="003F0328"/>
    <w:rsid w:val="003F1200"/>
    <w:rsid w:val="003F1421"/>
    <w:rsid w:val="003F1844"/>
    <w:rsid w:val="003F241E"/>
    <w:rsid w:val="003F28C0"/>
    <w:rsid w:val="003F52B2"/>
    <w:rsid w:val="003F6A93"/>
    <w:rsid w:val="003F716E"/>
    <w:rsid w:val="00400061"/>
    <w:rsid w:val="0040068A"/>
    <w:rsid w:val="00400813"/>
    <w:rsid w:val="004013AD"/>
    <w:rsid w:val="00402215"/>
    <w:rsid w:val="0040253F"/>
    <w:rsid w:val="00402AB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E3"/>
    <w:rsid w:val="00410C48"/>
    <w:rsid w:val="00413430"/>
    <w:rsid w:val="00413C2E"/>
    <w:rsid w:val="00415DCF"/>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1A13"/>
    <w:rsid w:val="00442E48"/>
    <w:rsid w:val="00443DCD"/>
    <w:rsid w:val="00443E7E"/>
    <w:rsid w:val="00444C06"/>
    <w:rsid w:val="004454DF"/>
    <w:rsid w:val="0044645B"/>
    <w:rsid w:val="00446804"/>
    <w:rsid w:val="004478D4"/>
    <w:rsid w:val="00450380"/>
    <w:rsid w:val="004505C6"/>
    <w:rsid w:val="00450603"/>
    <w:rsid w:val="004520CD"/>
    <w:rsid w:val="00452366"/>
    <w:rsid w:val="00452DF3"/>
    <w:rsid w:val="004534F5"/>
    <w:rsid w:val="004536FC"/>
    <w:rsid w:val="00453765"/>
    <w:rsid w:val="00454DF4"/>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501"/>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63A"/>
    <w:rsid w:val="004938A2"/>
    <w:rsid w:val="00494CC8"/>
    <w:rsid w:val="004955E7"/>
    <w:rsid w:val="0049589C"/>
    <w:rsid w:val="00495EF1"/>
    <w:rsid w:val="00496ED4"/>
    <w:rsid w:val="00497D4A"/>
    <w:rsid w:val="004A0441"/>
    <w:rsid w:val="004A0679"/>
    <w:rsid w:val="004A084C"/>
    <w:rsid w:val="004A15B3"/>
    <w:rsid w:val="004A1D01"/>
    <w:rsid w:val="004A22AE"/>
    <w:rsid w:val="004A2A54"/>
    <w:rsid w:val="004A2EF3"/>
    <w:rsid w:val="004A3B0D"/>
    <w:rsid w:val="004A52F5"/>
    <w:rsid w:val="004A5D3A"/>
    <w:rsid w:val="004A6897"/>
    <w:rsid w:val="004A692B"/>
    <w:rsid w:val="004A6EB6"/>
    <w:rsid w:val="004A794C"/>
    <w:rsid w:val="004B256D"/>
    <w:rsid w:val="004B2949"/>
    <w:rsid w:val="004B3EC7"/>
    <w:rsid w:val="004B5664"/>
    <w:rsid w:val="004C2107"/>
    <w:rsid w:val="004C5FC6"/>
    <w:rsid w:val="004C6435"/>
    <w:rsid w:val="004C649B"/>
    <w:rsid w:val="004C76DF"/>
    <w:rsid w:val="004C7B9C"/>
    <w:rsid w:val="004C7D55"/>
    <w:rsid w:val="004D089A"/>
    <w:rsid w:val="004D0D43"/>
    <w:rsid w:val="004D3184"/>
    <w:rsid w:val="004D3545"/>
    <w:rsid w:val="004D5030"/>
    <w:rsid w:val="004D5510"/>
    <w:rsid w:val="004D6045"/>
    <w:rsid w:val="004D6FD5"/>
    <w:rsid w:val="004D7546"/>
    <w:rsid w:val="004D7EC5"/>
    <w:rsid w:val="004E02B0"/>
    <w:rsid w:val="004E0B29"/>
    <w:rsid w:val="004E0E11"/>
    <w:rsid w:val="004E0F08"/>
    <w:rsid w:val="004E1546"/>
    <w:rsid w:val="004E1626"/>
    <w:rsid w:val="004E19DC"/>
    <w:rsid w:val="004E35E8"/>
    <w:rsid w:val="004E50F0"/>
    <w:rsid w:val="004E6A03"/>
    <w:rsid w:val="004F0070"/>
    <w:rsid w:val="004F0468"/>
    <w:rsid w:val="004F0C51"/>
    <w:rsid w:val="004F0C54"/>
    <w:rsid w:val="004F263C"/>
    <w:rsid w:val="004F289A"/>
    <w:rsid w:val="004F2BB1"/>
    <w:rsid w:val="004F2EC7"/>
    <w:rsid w:val="004F36F5"/>
    <w:rsid w:val="004F3774"/>
    <w:rsid w:val="004F3CE8"/>
    <w:rsid w:val="004F6BFB"/>
    <w:rsid w:val="004F74D4"/>
    <w:rsid w:val="004F7E4A"/>
    <w:rsid w:val="0050147C"/>
    <w:rsid w:val="0050182B"/>
    <w:rsid w:val="005021EC"/>
    <w:rsid w:val="00502579"/>
    <w:rsid w:val="005029F7"/>
    <w:rsid w:val="00503D4C"/>
    <w:rsid w:val="00504C0C"/>
    <w:rsid w:val="00504E48"/>
    <w:rsid w:val="005070FF"/>
    <w:rsid w:val="0050745F"/>
    <w:rsid w:val="00512BBC"/>
    <w:rsid w:val="00512D8D"/>
    <w:rsid w:val="005134FB"/>
    <w:rsid w:val="005135FD"/>
    <w:rsid w:val="0051366C"/>
    <w:rsid w:val="0051643B"/>
    <w:rsid w:val="0051684F"/>
    <w:rsid w:val="00516A92"/>
    <w:rsid w:val="00516B9F"/>
    <w:rsid w:val="00517693"/>
    <w:rsid w:val="005205AB"/>
    <w:rsid w:val="00521025"/>
    <w:rsid w:val="005225C1"/>
    <w:rsid w:val="00523298"/>
    <w:rsid w:val="00523378"/>
    <w:rsid w:val="0052550F"/>
    <w:rsid w:val="00526A97"/>
    <w:rsid w:val="00526C0F"/>
    <w:rsid w:val="0052702A"/>
    <w:rsid w:val="005276CF"/>
    <w:rsid w:val="00530397"/>
    <w:rsid w:val="00530F73"/>
    <w:rsid w:val="00533B8E"/>
    <w:rsid w:val="00535417"/>
    <w:rsid w:val="00535833"/>
    <w:rsid w:val="00536D28"/>
    <w:rsid w:val="005372C5"/>
    <w:rsid w:val="00537A26"/>
    <w:rsid w:val="00540E47"/>
    <w:rsid w:val="00543283"/>
    <w:rsid w:val="0054364C"/>
    <w:rsid w:val="00544F6E"/>
    <w:rsid w:val="00546747"/>
    <w:rsid w:val="00547510"/>
    <w:rsid w:val="00547ECC"/>
    <w:rsid w:val="00551D5A"/>
    <w:rsid w:val="00551EC3"/>
    <w:rsid w:val="0055212E"/>
    <w:rsid w:val="00554A44"/>
    <w:rsid w:val="00554C53"/>
    <w:rsid w:val="00554F18"/>
    <w:rsid w:val="00555220"/>
    <w:rsid w:val="005555F0"/>
    <w:rsid w:val="00555739"/>
    <w:rsid w:val="005568BA"/>
    <w:rsid w:val="00556E75"/>
    <w:rsid w:val="0056069A"/>
    <w:rsid w:val="00560C3B"/>
    <w:rsid w:val="00561EA1"/>
    <w:rsid w:val="00562799"/>
    <w:rsid w:val="00564804"/>
    <w:rsid w:val="00565598"/>
    <w:rsid w:val="00565B5A"/>
    <w:rsid w:val="0056758E"/>
    <w:rsid w:val="00567CAC"/>
    <w:rsid w:val="00567E8F"/>
    <w:rsid w:val="005702D6"/>
    <w:rsid w:val="00572588"/>
    <w:rsid w:val="00573A50"/>
    <w:rsid w:val="005746D2"/>
    <w:rsid w:val="00574E8A"/>
    <w:rsid w:val="00575D4F"/>
    <w:rsid w:val="00577775"/>
    <w:rsid w:val="0058121A"/>
    <w:rsid w:val="00581863"/>
    <w:rsid w:val="00581EA3"/>
    <w:rsid w:val="0058205A"/>
    <w:rsid w:val="0058260B"/>
    <w:rsid w:val="00584D1E"/>
    <w:rsid w:val="00585C33"/>
    <w:rsid w:val="00586795"/>
    <w:rsid w:val="00586B82"/>
    <w:rsid w:val="00587E13"/>
    <w:rsid w:val="005914A3"/>
    <w:rsid w:val="005933AA"/>
    <w:rsid w:val="005940AA"/>
    <w:rsid w:val="00594614"/>
    <w:rsid w:val="00594E10"/>
    <w:rsid w:val="00596306"/>
    <w:rsid w:val="00596487"/>
    <w:rsid w:val="005A0809"/>
    <w:rsid w:val="005A0B91"/>
    <w:rsid w:val="005A1494"/>
    <w:rsid w:val="005A3590"/>
    <w:rsid w:val="005A4A1C"/>
    <w:rsid w:val="005A5965"/>
    <w:rsid w:val="005A5BD8"/>
    <w:rsid w:val="005A6742"/>
    <w:rsid w:val="005A692A"/>
    <w:rsid w:val="005A6AB8"/>
    <w:rsid w:val="005B11C2"/>
    <w:rsid w:val="005B17CF"/>
    <w:rsid w:val="005B180A"/>
    <w:rsid w:val="005B1B9F"/>
    <w:rsid w:val="005B382C"/>
    <w:rsid w:val="005B3C11"/>
    <w:rsid w:val="005B40DA"/>
    <w:rsid w:val="005B4226"/>
    <w:rsid w:val="005B5AA4"/>
    <w:rsid w:val="005B656B"/>
    <w:rsid w:val="005B69EA"/>
    <w:rsid w:val="005B71B3"/>
    <w:rsid w:val="005B76A4"/>
    <w:rsid w:val="005C04A7"/>
    <w:rsid w:val="005C1607"/>
    <w:rsid w:val="005C17A4"/>
    <w:rsid w:val="005C23DD"/>
    <w:rsid w:val="005C27CC"/>
    <w:rsid w:val="005C370D"/>
    <w:rsid w:val="005C504E"/>
    <w:rsid w:val="005C6153"/>
    <w:rsid w:val="005C78B0"/>
    <w:rsid w:val="005C7B95"/>
    <w:rsid w:val="005D01EB"/>
    <w:rsid w:val="005D0220"/>
    <w:rsid w:val="005D0DFB"/>
    <w:rsid w:val="005D1112"/>
    <w:rsid w:val="005D237C"/>
    <w:rsid w:val="005D25E2"/>
    <w:rsid w:val="005D25FF"/>
    <w:rsid w:val="005D2632"/>
    <w:rsid w:val="005D38E0"/>
    <w:rsid w:val="005D3F32"/>
    <w:rsid w:val="005D4E3E"/>
    <w:rsid w:val="005D5080"/>
    <w:rsid w:val="005D67F7"/>
    <w:rsid w:val="005D7D7E"/>
    <w:rsid w:val="005E0B59"/>
    <w:rsid w:val="005E1105"/>
    <w:rsid w:val="005E162F"/>
    <w:rsid w:val="005E1B78"/>
    <w:rsid w:val="005E2C60"/>
    <w:rsid w:val="005E31F6"/>
    <w:rsid w:val="005E3244"/>
    <w:rsid w:val="005E3622"/>
    <w:rsid w:val="005E6046"/>
    <w:rsid w:val="005E60B3"/>
    <w:rsid w:val="005E676C"/>
    <w:rsid w:val="005E6CB9"/>
    <w:rsid w:val="005E7EDC"/>
    <w:rsid w:val="005E7F14"/>
    <w:rsid w:val="005F0154"/>
    <w:rsid w:val="005F0176"/>
    <w:rsid w:val="005F021D"/>
    <w:rsid w:val="005F1D60"/>
    <w:rsid w:val="005F1EAC"/>
    <w:rsid w:val="005F308F"/>
    <w:rsid w:val="005F4869"/>
    <w:rsid w:val="005F4BFD"/>
    <w:rsid w:val="005F5748"/>
    <w:rsid w:val="005F5834"/>
    <w:rsid w:val="005F5E11"/>
    <w:rsid w:val="006003E5"/>
    <w:rsid w:val="00600E63"/>
    <w:rsid w:val="00601561"/>
    <w:rsid w:val="00601E55"/>
    <w:rsid w:val="00602037"/>
    <w:rsid w:val="006026EC"/>
    <w:rsid w:val="006029DD"/>
    <w:rsid w:val="00602C6A"/>
    <w:rsid w:val="00603AF5"/>
    <w:rsid w:val="0060493C"/>
    <w:rsid w:val="0060539A"/>
    <w:rsid w:val="00606C66"/>
    <w:rsid w:val="00610145"/>
    <w:rsid w:val="00610D1F"/>
    <w:rsid w:val="006123C6"/>
    <w:rsid w:val="00612C02"/>
    <w:rsid w:val="00612CDD"/>
    <w:rsid w:val="0061562E"/>
    <w:rsid w:val="00616D41"/>
    <w:rsid w:val="00617292"/>
    <w:rsid w:val="006200A9"/>
    <w:rsid w:val="00621DA8"/>
    <w:rsid w:val="00622206"/>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62FD"/>
    <w:rsid w:val="006377AA"/>
    <w:rsid w:val="00637E18"/>
    <w:rsid w:val="0064032E"/>
    <w:rsid w:val="0064038D"/>
    <w:rsid w:val="00641A0B"/>
    <w:rsid w:val="00641D5A"/>
    <w:rsid w:val="00641E06"/>
    <w:rsid w:val="00643007"/>
    <w:rsid w:val="006431D0"/>
    <w:rsid w:val="006432C5"/>
    <w:rsid w:val="006436FA"/>
    <w:rsid w:val="00643852"/>
    <w:rsid w:val="00643C27"/>
    <w:rsid w:val="0064499E"/>
    <w:rsid w:val="006455E7"/>
    <w:rsid w:val="00645758"/>
    <w:rsid w:val="006461A1"/>
    <w:rsid w:val="00646769"/>
    <w:rsid w:val="00647422"/>
    <w:rsid w:val="00647E6B"/>
    <w:rsid w:val="00650E84"/>
    <w:rsid w:val="0065198B"/>
    <w:rsid w:val="006525AF"/>
    <w:rsid w:val="0065266A"/>
    <w:rsid w:val="00653F9C"/>
    <w:rsid w:val="00655470"/>
    <w:rsid w:val="00655632"/>
    <w:rsid w:val="00656FEE"/>
    <w:rsid w:val="0065758F"/>
    <w:rsid w:val="00660897"/>
    <w:rsid w:val="00661028"/>
    <w:rsid w:val="006617BD"/>
    <w:rsid w:val="0066194D"/>
    <w:rsid w:val="00664695"/>
    <w:rsid w:val="00664840"/>
    <w:rsid w:val="00664B44"/>
    <w:rsid w:val="006652BF"/>
    <w:rsid w:val="0066630C"/>
    <w:rsid w:val="00667BBD"/>
    <w:rsid w:val="00670D2E"/>
    <w:rsid w:val="00671149"/>
    <w:rsid w:val="00671615"/>
    <w:rsid w:val="00671741"/>
    <w:rsid w:val="00671766"/>
    <w:rsid w:val="00672914"/>
    <w:rsid w:val="006744C3"/>
    <w:rsid w:val="0067537F"/>
    <w:rsid w:val="00676410"/>
    <w:rsid w:val="00676AAA"/>
    <w:rsid w:val="00680509"/>
    <w:rsid w:val="006805CB"/>
    <w:rsid w:val="00681CC1"/>
    <w:rsid w:val="0068233B"/>
    <w:rsid w:val="00682E11"/>
    <w:rsid w:val="00683081"/>
    <w:rsid w:val="00684C95"/>
    <w:rsid w:val="006850D3"/>
    <w:rsid w:val="00685249"/>
    <w:rsid w:val="00685260"/>
    <w:rsid w:val="006856B9"/>
    <w:rsid w:val="00685BDE"/>
    <w:rsid w:val="00686085"/>
    <w:rsid w:val="00687C0D"/>
    <w:rsid w:val="0069070F"/>
    <w:rsid w:val="00691237"/>
    <w:rsid w:val="006920E6"/>
    <w:rsid w:val="00692555"/>
    <w:rsid w:val="006958BE"/>
    <w:rsid w:val="00696566"/>
    <w:rsid w:val="006966BA"/>
    <w:rsid w:val="0069722D"/>
    <w:rsid w:val="00697A80"/>
    <w:rsid w:val="00697FF5"/>
    <w:rsid w:val="006A0052"/>
    <w:rsid w:val="006A0A9E"/>
    <w:rsid w:val="006A1F1C"/>
    <w:rsid w:val="006A3836"/>
    <w:rsid w:val="006A3DD3"/>
    <w:rsid w:val="006A4610"/>
    <w:rsid w:val="006A4625"/>
    <w:rsid w:val="006A47AE"/>
    <w:rsid w:val="006A5B5E"/>
    <w:rsid w:val="006A67CB"/>
    <w:rsid w:val="006B0368"/>
    <w:rsid w:val="006B0F6E"/>
    <w:rsid w:val="006B1D7B"/>
    <w:rsid w:val="006B27D4"/>
    <w:rsid w:val="006B2C9C"/>
    <w:rsid w:val="006B48EB"/>
    <w:rsid w:val="006B4C00"/>
    <w:rsid w:val="006B4D2B"/>
    <w:rsid w:val="006B56FC"/>
    <w:rsid w:val="006B6DDA"/>
    <w:rsid w:val="006B73D9"/>
    <w:rsid w:val="006B7DF0"/>
    <w:rsid w:val="006B7E06"/>
    <w:rsid w:val="006B7E74"/>
    <w:rsid w:val="006C0D75"/>
    <w:rsid w:val="006C1BC0"/>
    <w:rsid w:val="006C1C48"/>
    <w:rsid w:val="006C3821"/>
    <w:rsid w:val="006C3C1D"/>
    <w:rsid w:val="006C41FF"/>
    <w:rsid w:val="006C5145"/>
    <w:rsid w:val="006C65A8"/>
    <w:rsid w:val="006C6798"/>
    <w:rsid w:val="006D05AD"/>
    <w:rsid w:val="006D0EC1"/>
    <w:rsid w:val="006D16F8"/>
    <w:rsid w:val="006D1813"/>
    <w:rsid w:val="006D24A9"/>
    <w:rsid w:val="006D2AF3"/>
    <w:rsid w:val="006D4D79"/>
    <w:rsid w:val="006D4FBD"/>
    <w:rsid w:val="006D5879"/>
    <w:rsid w:val="006D63FD"/>
    <w:rsid w:val="006D65B4"/>
    <w:rsid w:val="006D67ED"/>
    <w:rsid w:val="006D754A"/>
    <w:rsid w:val="006D7B9C"/>
    <w:rsid w:val="006E04C6"/>
    <w:rsid w:val="006E0A31"/>
    <w:rsid w:val="006E0A65"/>
    <w:rsid w:val="006E1B01"/>
    <w:rsid w:val="006E3E3D"/>
    <w:rsid w:val="006E4836"/>
    <w:rsid w:val="006E5DDD"/>
    <w:rsid w:val="006E6315"/>
    <w:rsid w:val="006E7811"/>
    <w:rsid w:val="006F04DA"/>
    <w:rsid w:val="006F0557"/>
    <w:rsid w:val="006F05CD"/>
    <w:rsid w:val="006F0EA3"/>
    <w:rsid w:val="006F17B3"/>
    <w:rsid w:val="006F1B5D"/>
    <w:rsid w:val="006F212B"/>
    <w:rsid w:val="006F37F7"/>
    <w:rsid w:val="006F4A61"/>
    <w:rsid w:val="006F4ADC"/>
    <w:rsid w:val="006F643D"/>
    <w:rsid w:val="006F675C"/>
    <w:rsid w:val="006F6D13"/>
    <w:rsid w:val="006F7759"/>
    <w:rsid w:val="006F7D95"/>
    <w:rsid w:val="00700D41"/>
    <w:rsid w:val="00701B21"/>
    <w:rsid w:val="00702384"/>
    <w:rsid w:val="007028DA"/>
    <w:rsid w:val="00704BAE"/>
    <w:rsid w:val="00705807"/>
    <w:rsid w:val="00705C74"/>
    <w:rsid w:val="00705C78"/>
    <w:rsid w:val="007060E1"/>
    <w:rsid w:val="00706824"/>
    <w:rsid w:val="00706B85"/>
    <w:rsid w:val="007071FC"/>
    <w:rsid w:val="00707C84"/>
    <w:rsid w:val="00710A59"/>
    <w:rsid w:val="00710FDE"/>
    <w:rsid w:val="00711028"/>
    <w:rsid w:val="007116C7"/>
    <w:rsid w:val="00711C5A"/>
    <w:rsid w:val="00712B66"/>
    <w:rsid w:val="00713C31"/>
    <w:rsid w:val="0071428D"/>
    <w:rsid w:val="007144C9"/>
    <w:rsid w:val="0071635C"/>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11F"/>
    <w:rsid w:val="00733469"/>
    <w:rsid w:val="007334ED"/>
    <w:rsid w:val="00733539"/>
    <w:rsid w:val="00735557"/>
    <w:rsid w:val="00735808"/>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245"/>
    <w:rsid w:val="00766D90"/>
    <w:rsid w:val="00767C19"/>
    <w:rsid w:val="00767D4E"/>
    <w:rsid w:val="00771067"/>
    <w:rsid w:val="007722ED"/>
    <w:rsid w:val="0077408B"/>
    <w:rsid w:val="00774AF6"/>
    <w:rsid w:val="00774EC8"/>
    <w:rsid w:val="00774F48"/>
    <w:rsid w:val="00776781"/>
    <w:rsid w:val="00776BD1"/>
    <w:rsid w:val="007776CC"/>
    <w:rsid w:val="00777CE9"/>
    <w:rsid w:val="00777E4E"/>
    <w:rsid w:val="00780D05"/>
    <w:rsid w:val="00783C7B"/>
    <w:rsid w:val="0078556C"/>
    <w:rsid w:val="007855C5"/>
    <w:rsid w:val="007856D3"/>
    <w:rsid w:val="00785ABD"/>
    <w:rsid w:val="007860C6"/>
    <w:rsid w:val="00786254"/>
    <w:rsid w:val="007864D0"/>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3826"/>
    <w:rsid w:val="007A4C96"/>
    <w:rsid w:val="007A51A6"/>
    <w:rsid w:val="007A523D"/>
    <w:rsid w:val="007A5629"/>
    <w:rsid w:val="007A56E5"/>
    <w:rsid w:val="007A60CA"/>
    <w:rsid w:val="007A6F0F"/>
    <w:rsid w:val="007A708C"/>
    <w:rsid w:val="007A75B5"/>
    <w:rsid w:val="007A7985"/>
    <w:rsid w:val="007A7ABE"/>
    <w:rsid w:val="007B03C5"/>
    <w:rsid w:val="007B2107"/>
    <w:rsid w:val="007B26E1"/>
    <w:rsid w:val="007B3045"/>
    <w:rsid w:val="007B4C0F"/>
    <w:rsid w:val="007B5E25"/>
    <w:rsid w:val="007B6E0E"/>
    <w:rsid w:val="007C16FE"/>
    <w:rsid w:val="007C27FB"/>
    <w:rsid w:val="007C2CBB"/>
    <w:rsid w:val="007C309C"/>
    <w:rsid w:val="007C4209"/>
    <w:rsid w:val="007C5EB9"/>
    <w:rsid w:val="007C7449"/>
    <w:rsid w:val="007C7EA5"/>
    <w:rsid w:val="007D1A95"/>
    <w:rsid w:val="007D2411"/>
    <w:rsid w:val="007D245E"/>
    <w:rsid w:val="007D3764"/>
    <w:rsid w:val="007D485A"/>
    <w:rsid w:val="007D54FF"/>
    <w:rsid w:val="007D57D4"/>
    <w:rsid w:val="007D6315"/>
    <w:rsid w:val="007D724A"/>
    <w:rsid w:val="007D75A3"/>
    <w:rsid w:val="007D7FFB"/>
    <w:rsid w:val="007E05D0"/>
    <w:rsid w:val="007E16E2"/>
    <w:rsid w:val="007E19FE"/>
    <w:rsid w:val="007E1AAC"/>
    <w:rsid w:val="007E3B9C"/>
    <w:rsid w:val="007E4A2F"/>
    <w:rsid w:val="007E5849"/>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2DD"/>
    <w:rsid w:val="00801404"/>
    <w:rsid w:val="008017AA"/>
    <w:rsid w:val="00801CBA"/>
    <w:rsid w:val="00801D92"/>
    <w:rsid w:val="00804BCF"/>
    <w:rsid w:val="00804FA4"/>
    <w:rsid w:val="00805275"/>
    <w:rsid w:val="00806A62"/>
    <w:rsid w:val="00806E55"/>
    <w:rsid w:val="008075CE"/>
    <w:rsid w:val="00810DBE"/>
    <w:rsid w:val="00812179"/>
    <w:rsid w:val="008124E2"/>
    <w:rsid w:val="00813928"/>
    <w:rsid w:val="00815321"/>
    <w:rsid w:val="008166DB"/>
    <w:rsid w:val="00816753"/>
    <w:rsid w:val="008173E0"/>
    <w:rsid w:val="008175C1"/>
    <w:rsid w:val="008200D4"/>
    <w:rsid w:val="00820370"/>
    <w:rsid w:val="00820CC6"/>
    <w:rsid w:val="008225FF"/>
    <w:rsid w:val="00822C41"/>
    <w:rsid w:val="00825043"/>
    <w:rsid w:val="00825267"/>
    <w:rsid w:val="008253E3"/>
    <w:rsid w:val="008264EC"/>
    <w:rsid w:val="0082687B"/>
    <w:rsid w:val="00827C0D"/>
    <w:rsid w:val="00830642"/>
    <w:rsid w:val="00831250"/>
    <w:rsid w:val="00831D8D"/>
    <w:rsid w:val="00832F28"/>
    <w:rsid w:val="008333B7"/>
    <w:rsid w:val="008336EC"/>
    <w:rsid w:val="008337B9"/>
    <w:rsid w:val="00833B4B"/>
    <w:rsid w:val="00834FD2"/>
    <w:rsid w:val="00835084"/>
    <w:rsid w:val="00835184"/>
    <w:rsid w:val="00835569"/>
    <w:rsid w:val="00835802"/>
    <w:rsid w:val="00836295"/>
    <w:rsid w:val="008370EE"/>
    <w:rsid w:val="0084093F"/>
    <w:rsid w:val="0084098A"/>
    <w:rsid w:val="00840C5A"/>
    <w:rsid w:val="00840DB0"/>
    <w:rsid w:val="00840EDE"/>
    <w:rsid w:val="008418A5"/>
    <w:rsid w:val="00843548"/>
    <w:rsid w:val="0084383C"/>
    <w:rsid w:val="00843CC0"/>
    <w:rsid w:val="00844ADD"/>
    <w:rsid w:val="0084534E"/>
    <w:rsid w:val="00846062"/>
    <w:rsid w:val="0084640E"/>
    <w:rsid w:val="008474C1"/>
    <w:rsid w:val="00847C1C"/>
    <w:rsid w:val="0085055E"/>
    <w:rsid w:val="00850C3B"/>
    <w:rsid w:val="00851605"/>
    <w:rsid w:val="00852CA0"/>
    <w:rsid w:val="00852D85"/>
    <w:rsid w:val="00852F6C"/>
    <w:rsid w:val="00852F81"/>
    <w:rsid w:val="0085465C"/>
    <w:rsid w:val="00854967"/>
    <w:rsid w:val="0085540B"/>
    <w:rsid w:val="00855511"/>
    <w:rsid w:val="0085582C"/>
    <w:rsid w:val="00855FD3"/>
    <w:rsid w:val="00857086"/>
    <w:rsid w:val="00857572"/>
    <w:rsid w:val="00860F4D"/>
    <w:rsid w:val="008611DE"/>
    <w:rsid w:val="00861375"/>
    <w:rsid w:val="0086172F"/>
    <w:rsid w:val="00861C56"/>
    <w:rsid w:val="00861F29"/>
    <w:rsid w:val="008620A2"/>
    <w:rsid w:val="00862741"/>
    <w:rsid w:val="00862BBD"/>
    <w:rsid w:val="00863C9F"/>
    <w:rsid w:val="008645D6"/>
    <w:rsid w:val="0086552B"/>
    <w:rsid w:val="008655A2"/>
    <w:rsid w:val="0086584F"/>
    <w:rsid w:val="008671C7"/>
    <w:rsid w:val="00867EB8"/>
    <w:rsid w:val="00867FCF"/>
    <w:rsid w:val="00870335"/>
    <w:rsid w:val="00870AA2"/>
    <w:rsid w:val="00872022"/>
    <w:rsid w:val="0087372A"/>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2E4B"/>
    <w:rsid w:val="00893166"/>
    <w:rsid w:val="0089318C"/>
    <w:rsid w:val="00894B61"/>
    <w:rsid w:val="00895255"/>
    <w:rsid w:val="00895DF1"/>
    <w:rsid w:val="00896645"/>
    <w:rsid w:val="008975D2"/>
    <w:rsid w:val="008A035B"/>
    <w:rsid w:val="008A0459"/>
    <w:rsid w:val="008A1183"/>
    <w:rsid w:val="008A1218"/>
    <w:rsid w:val="008A15B6"/>
    <w:rsid w:val="008A1A6E"/>
    <w:rsid w:val="008A202A"/>
    <w:rsid w:val="008A2BC1"/>
    <w:rsid w:val="008A36C9"/>
    <w:rsid w:val="008A5AF9"/>
    <w:rsid w:val="008B05B2"/>
    <w:rsid w:val="008B16DE"/>
    <w:rsid w:val="008B251F"/>
    <w:rsid w:val="008B2602"/>
    <w:rsid w:val="008B2727"/>
    <w:rsid w:val="008B316B"/>
    <w:rsid w:val="008B5059"/>
    <w:rsid w:val="008B56D4"/>
    <w:rsid w:val="008B5BF2"/>
    <w:rsid w:val="008B6934"/>
    <w:rsid w:val="008B6CF8"/>
    <w:rsid w:val="008B72F6"/>
    <w:rsid w:val="008C0BAD"/>
    <w:rsid w:val="008C119E"/>
    <w:rsid w:val="008C1E24"/>
    <w:rsid w:val="008C296B"/>
    <w:rsid w:val="008C2A46"/>
    <w:rsid w:val="008C2D3D"/>
    <w:rsid w:val="008C4278"/>
    <w:rsid w:val="008C520E"/>
    <w:rsid w:val="008C563B"/>
    <w:rsid w:val="008C567E"/>
    <w:rsid w:val="008C5DEE"/>
    <w:rsid w:val="008C6285"/>
    <w:rsid w:val="008C7182"/>
    <w:rsid w:val="008C7268"/>
    <w:rsid w:val="008C7CA5"/>
    <w:rsid w:val="008C7D9D"/>
    <w:rsid w:val="008D0416"/>
    <w:rsid w:val="008D13C6"/>
    <w:rsid w:val="008D1B04"/>
    <w:rsid w:val="008D1CB7"/>
    <w:rsid w:val="008D3235"/>
    <w:rsid w:val="008D33C8"/>
    <w:rsid w:val="008D3893"/>
    <w:rsid w:val="008D45CD"/>
    <w:rsid w:val="008D55F1"/>
    <w:rsid w:val="008D5908"/>
    <w:rsid w:val="008D5CD7"/>
    <w:rsid w:val="008D718E"/>
    <w:rsid w:val="008E09C5"/>
    <w:rsid w:val="008E0AA7"/>
    <w:rsid w:val="008E2355"/>
    <w:rsid w:val="008E3151"/>
    <w:rsid w:val="008E3386"/>
    <w:rsid w:val="008E5410"/>
    <w:rsid w:val="008E5A3F"/>
    <w:rsid w:val="008E6DF6"/>
    <w:rsid w:val="008E7209"/>
    <w:rsid w:val="008E7448"/>
    <w:rsid w:val="008F11BB"/>
    <w:rsid w:val="008F16FF"/>
    <w:rsid w:val="008F182F"/>
    <w:rsid w:val="008F1E95"/>
    <w:rsid w:val="008F2279"/>
    <w:rsid w:val="008F2304"/>
    <w:rsid w:val="008F57DD"/>
    <w:rsid w:val="008F5AEE"/>
    <w:rsid w:val="008F6BC0"/>
    <w:rsid w:val="008F6EAA"/>
    <w:rsid w:val="008F7800"/>
    <w:rsid w:val="008F7BCA"/>
    <w:rsid w:val="00900F4D"/>
    <w:rsid w:val="0090167B"/>
    <w:rsid w:val="00902696"/>
    <w:rsid w:val="00902D27"/>
    <w:rsid w:val="00902DEC"/>
    <w:rsid w:val="0090342E"/>
    <w:rsid w:val="00903D3A"/>
    <w:rsid w:val="009044B9"/>
    <w:rsid w:val="009047B1"/>
    <w:rsid w:val="00904C86"/>
    <w:rsid w:val="0090680D"/>
    <w:rsid w:val="0091045D"/>
    <w:rsid w:val="0091281A"/>
    <w:rsid w:val="00912B24"/>
    <w:rsid w:val="00913448"/>
    <w:rsid w:val="009138EA"/>
    <w:rsid w:val="009139B5"/>
    <w:rsid w:val="00914514"/>
    <w:rsid w:val="00914549"/>
    <w:rsid w:val="00914C08"/>
    <w:rsid w:val="00914F2F"/>
    <w:rsid w:val="00915136"/>
    <w:rsid w:val="00915981"/>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8F3"/>
    <w:rsid w:val="009302D4"/>
    <w:rsid w:val="009307F2"/>
    <w:rsid w:val="00930CEC"/>
    <w:rsid w:val="00930F4A"/>
    <w:rsid w:val="00930FF2"/>
    <w:rsid w:val="0093375E"/>
    <w:rsid w:val="00933BEF"/>
    <w:rsid w:val="0093787E"/>
    <w:rsid w:val="00940484"/>
    <w:rsid w:val="009412CC"/>
    <w:rsid w:val="00941600"/>
    <w:rsid w:val="0094388B"/>
    <w:rsid w:val="00943D09"/>
    <w:rsid w:val="00944826"/>
    <w:rsid w:val="009457A1"/>
    <w:rsid w:val="00947C5D"/>
    <w:rsid w:val="00947CA9"/>
    <w:rsid w:val="009501C4"/>
    <w:rsid w:val="00950478"/>
    <w:rsid w:val="00950888"/>
    <w:rsid w:val="00950AF9"/>
    <w:rsid w:val="00950B5F"/>
    <w:rsid w:val="00950D35"/>
    <w:rsid w:val="0095144C"/>
    <w:rsid w:val="0095165B"/>
    <w:rsid w:val="00951B17"/>
    <w:rsid w:val="00951B8D"/>
    <w:rsid w:val="009536A8"/>
    <w:rsid w:val="00954136"/>
    <w:rsid w:val="00954596"/>
    <w:rsid w:val="00955851"/>
    <w:rsid w:val="00956ED2"/>
    <w:rsid w:val="00957E23"/>
    <w:rsid w:val="00961487"/>
    <w:rsid w:val="00961BA7"/>
    <w:rsid w:val="00961CA0"/>
    <w:rsid w:val="00961F01"/>
    <w:rsid w:val="00962162"/>
    <w:rsid w:val="009623BC"/>
    <w:rsid w:val="009628BE"/>
    <w:rsid w:val="009631C8"/>
    <w:rsid w:val="009635FB"/>
    <w:rsid w:val="00963AE4"/>
    <w:rsid w:val="00963C14"/>
    <w:rsid w:val="009645CD"/>
    <w:rsid w:val="00964B8A"/>
    <w:rsid w:val="00964D84"/>
    <w:rsid w:val="00965940"/>
    <w:rsid w:val="00965A4E"/>
    <w:rsid w:val="00966B11"/>
    <w:rsid w:val="00966BE5"/>
    <w:rsid w:val="00966EB0"/>
    <w:rsid w:val="00971116"/>
    <w:rsid w:val="00972D77"/>
    <w:rsid w:val="00972E28"/>
    <w:rsid w:val="00973030"/>
    <w:rsid w:val="009733F3"/>
    <w:rsid w:val="00974252"/>
    <w:rsid w:val="009748E4"/>
    <w:rsid w:val="00975EC7"/>
    <w:rsid w:val="00976D65"/>
    <w:rsid w:val="00977CE6"/>
    <w:rsid w:val="0098077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F83"/>
    <w:rsid w:val="009906BF"/>
    <w:rsid w:val="00990D9A"/>
    <w:rsid w:val="009913F3"/>
    <w:rsid w:val="00991DA1"/>
    <w:rsid w:val="009927F1"/>
    <w:rsid w:val="009936C4"/>
    <w:rsid w:val="009948ED"/>
    <w:rsid w:val="00994D38"/>
    <w:rsid w:val="00995ADA"/>
    <w:rsid w:val="0099643A"/>
    <w:rsid w:val="00997959"/>
    <w:rsid w:val="009A0BAF"/>
    <w:rsid w:val="009A1431"/>
    <w:rsid w:val="009A153D"/>
    <w:rsid w:val="009A1634"/>
    <w:rsid w:val="009A2665"/>
    <w:rsid w:val="009A3A34"/>
    <w:rsid w:val="009A3FE2"/>
    <w:rsid w:val="009A400C"/>
    <w:rsid w:val="009A4742"/>
    <w:rsid w:val="009A4B2C"/>
    <w:rsid w:val="009A5592"/>
    <w:rsid w:val="009A59BA"/>
    <w:rsid w:val="009A6417"/>
    <w:rsid w:val="009A6636"/>
    <w:rsid w:val="009A6B13"/>
    <w:rsid w:val="009A6C28"/>
    <w:rsid w:val="009A7B29"/>
    <w:rsid w:val="009B01DF"/>
    <w:rsid w:val="009B020D"/>
    <w:rsid w:val="009B030D"/>
    <w:rsid w:val="009B072F"/>
    <w:rsid w:val="009B07A1"/>
    <w:rsid w:val="009B09CC"/>
    <w:rsid w:val="009B0AD5"/>
    <w:rsid w:val="009B0B04"/>
    <w:rsid w:val="009B173B"/>
    <w:rsid w:val="009B1A1A"/>
    <w:rsid w:val="009B2608"/>
    <w:rsid w:val="009B2A71"/>
    <w:rsid w:val="009B4027"/>
    <w:rsid w:val="009B4975"/>
    <w:rsid w:val="009B561F"/>
    <w:rsid w:val="009B5773"/>
    <w:rsid w:val="009B5D2D"/>
    <w:rsid w:val="009C058F"/>
    <w:rsid w:val="009C11F5"/>
    <w:rsid w:val="009C2B3E"/>
    <w:rsid w:val="009C2EA2"/>
    <w:rsid w:val="009C3721"/>
    <w:rsid w:val="009C4141"/>
    <w:rsid w:val="009C4B55"/>
    <w:rsid w:val="009C5FCC"/>
    <w:rsid w:val="009C61A2"/>
    <w:rsid w:val="009C6DF6"/>
    <w:rsid w:val="009C6E92"/>
    <w:rsid w:val="009D04F7"/>
    <w:rsid w:val="009D1589"/>
    <w:rsid w:val="009D2003"/>
    <w:rsid w:val="009D294C"/>
    <w:rsid w:val="009D38C2"/>
    <w:rsid w:val="009D417F"/>
    <w:rsid w:val="009D45E5"/>
    <w:rsid w:val="009D4B85"/>
    <w:rsid w:val="009D535B"/>
    <w:rsid w:val="009D630B"/>
    <w:rsid w:val="009D6CAA"/>
    <w:rsid w:val="009D6CF6"/>
    <w:rsid w:val="009D6E69"/>
    <w:rsid w:val="009E02DC"/>
    <w:rsid w:val="009E2040"/>
    <w:rsid w:val="009E49AE"/>
    <w:rsid w:val="009E49B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1BFC"/>
    <w:rsid w:val="00A12979"/>
    <w:rsid w:val="00A131A9"/>
    <w:rsid w:val="00A13EA0"/>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4D63"/>
    <w:rsid w:val="00A36C89"/>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00A"/>
    <w:rsid w:val="00A55921"/>
    <w:rsid w:val="00A560E3"/>
    <w:rsid w:val="00A5628F"/>
    <w:rsid w:val="00A564AF"/>
    <w:rsid w:val="00A566A8"/>
    <w:rsid w:val="00A56D0B"/>
    <w:rsid w:val="00A5775C"/>
    <w:rsid w:val="00A60E72"/>
    <w:rsid w:val="00A61C77"/>
    <w:rsid w:val="00A61F0C"/>
    <w:rsid w:val="00A61FF0"/>
    <w:rsid w:val="00A62580"/>
    <w:rsid w:val="00A63AC9"/>
    <w:rsid w:val="00A64502"/>
    <w:rsid w:val="00A64B5F"/>
    <w:rsid w:val="00A65EA0"/>
    <w:rsid w:val="00A66517"/>
    <w:rsid w:val="00A67B0E"/>
    <w:rsid w:val="00A718EF"/>
    <w:rsid w:val="00A72134"/>
    <w:rsid w:val="00A72393"/>
    <w:rsid w:val="00A726A8"/>
    <w:rsid w:val="00A72951"/>
    <w:rsid w:val="00A73505"/>
    <w:rsid w:val="00A75E02"/>
    <w:rsid w:val="00A76662"/>
    <w:rsid w:val="00A768C1"/>
    <w:rsid w:val="00A76E79"/>
    <w:rsid w:val="00A7771B"/>
    <w:rsid w:val="00A77B53"/>
    <w:rsid w:val="00A80FF4"/>
    <w:rsid w:val="00A811F1"/>
    <w:rsid w:val="00A82887"/>
    <w:rsid w:val="00A83010"/>
    <w:rsid w:val="00A83BF5"/>
    <w:rsid w:val="00A84CD1"/>
    <w:rsid w:val="00A85E2E"/>
    <w:rsid w:val="00A861F3"/>
    <w:rsid w:val="00A8728F"/>
    <w:rsid w:val="00A8756A"/>
    <w:rsid w:val="00A87641"/>
    <w:rsid w:val="00A87A3E"/>
    <w:rsid w:val="00A87F7D"/>
    <w:rsid w:val="00A90221"/>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66F"/>
    <w:rsid w:val="00AA6E05"/>
    <w:rsid w:val="00AB0262"/>
    <w:rsid w:val="00AB14A1"/>
    <w:rsid w:val="00AB202A"/>
    <w:rsid w:val="00AB3181"/>
    <w:rsid w:val="00AB44D4"/>
    <w:rsid w:val="00AB5555"/>
    <w:rsid w:val="00AB55AD"/>
    <w:rsid w:val="00AB5D1B"/>
    <w:rsid w:val="00AB6918"/>
    <w:rsid w:val="00AB6B40"/>
    <w:rsid w:val="00AB740A"/>
    <w:rsid w:val="00AB7508"/>
    <w:rsid w:val="00AC0C79"/>
    <w:rsid w:val="00AC1DA5"/>
    <w:rsid w:val="00AC216B"/>
    <w:rsid w:val="00AC26B1"/>
    <w:rsid w:val="00AC42B8"/>
    <w:rsid w:val="00AC45C5"/>
    <w:rsid w:val="00AC4791"/>
    <w:rsid w:val="00AC4BFE"/>
    <w:rsid w:val="00AC4FB6"/>
    <w:rsid w:val="00AC4FD1"/>
    <w:rsid w:val="00AC5159"/>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6F88"/>
    <w:rsid w:val="00AF0157"/>
    <w:rsid w:val="00AF2EC7"/>
    <w:rsid w:val="00AF3AC0"/>
    <w:rsid w:val="00AF4F4A"/>
    <w:rsid w:val="00B00C24"/>
    <w:rsid w:val="00B00F93"/>
    <w:rsid w:val="00B01BBE"/>
    <w:rsid w:val="00B028A8"/>
    <w:rsid w:val="00B03F92"/>
    <w:rsid w:val="00B055D8"/>
    <w:rsid w:val="00B06CD6"/>
    <w:rsid w:val="00B06EBC"/>
    <w:rsid w:val="00B10669"/>
    <w:rsid w:val="00B11D2D"/>
    <w:rsid w:val="00B123F0"/>
    <w:rsid w:val="00B12891"/>
    <w:rsid w:val="00B146C1"/>
    <w:rsid w:val="00B146E7"/>
    <w:rsid w:val="00B14F23"/>
    <w:rsid w:val="00B15196"/>
    <w:rsid w:val="00B156DF"/>
    <w:rsid w:val="00B15ABB"/>
    <w:rsid w:val="00B16973"/>
    <w:rsid w:val="00B2030C"/>
    <w:rsid w:val="00B2036A"/>
    <w:rsid w:val="00B21057"/>
    <w:rsid w:val="00B2202B"/>
    <w:rsid w:val="00B22DB7"/>
    <w:rsid w:val="00B23422"/>
    <w:rsid w:val="00B24948"/>
    <w:rsid w:val="00B24CBD"/>
    <w:rsid w:val="00B25AA0"/>
    <w:rsid w:val="00B25CA3"/>
    <w:rsid w:val="00B30028"/>
    <w:rsid w:val="00B31E8D"/>
    <w:rsid w:val="00B32B33"/>
    <w:rsid w:val="00B3313B"/>
    <w:rsid w:val="00B331E8"/>
    <w:rsid w:val="00B331EA"/>
    <w:rsid w:val="00B34732"/>
    <w:rsid w:val="00B353B8"/>
    <w:rsid w:val="00B35C56"/>
    <w:rsid w:val="00B36F17"/>
    <w:rsid w:val="00B372ED"/>
    <w:rsid w:val="00B40183"/>
    <w:rsid w:val="00B40603"/>
    <w:rsid w:val="00B40AF6"/>
    <w:rsid w:val="00B41071"/>
    <w:rsid w:val="00B41C06"/>
    <w:rsid w:val="00B425C0"/>
    <w:rsid w:val="00B42DB6"/>
    <w:rsid w:val="00B46957"/>
    <w:rsid w:val="00B47B54"/>
    <w:rsid w:val="00B50E99"/>
    <w:rsid w:val="00B51926"/>
    <w:rsid w:val="00B51F9A"/>
    <w:rsid w:val="00B54DA7"/>
    <w:rsid w:val="00B571D6"/>
    <w:rsid w:val="00B600C6"/>
    <w:rsid w:val="00B60167"/>
    <w:rsid w:val="00B60FC0"/>
    <w:rsid w:val="00B61665"/>
    <w:rsid w:val="00B63528"/>
    <w:rsid w:val="00B63DAF"/>
    <w:rsid w:val="00B63E98"/>
    <w:rsid w:val="00B65754"/>
    <w:rsid w:val="00B661AA"/>
    <w:rsid w:val="00B66242"/>
    <w:rsid w:val="00B670D3"/>
    <w:rsid w:val="00B67958"/>
    <w:rsid w:val="00B701D1"/>
    <w:rsid w:val="00B709B5"/>
    <w:rsid w:val="00B711F4"/>
    <w:rsid w:val="00B716BB"/>
    <w:rsid w:val="00B716FD"/>
    <w:rsid w:val="00B725EF"/>
    <w:rsid w:val="00B734C2"/>
    <w:rsid w:val="00B73BDA"/>
    <w:rsid w:val="00B74053"/>
    <w:rsid w:val="00B74239"/>
    <w:rsid w:val="00B765A0"/>
    <w:rsid w:val="00B76C02"/>
    <w:rsid w:val="00B77BD2"/>
    <w:rsid w:val="00B814CB"/>
    <w:rsid w:val="00B81B6A"/>
    <w:rsid w:val="00B820F4"/>
    <w:rsid w:val="00B835E0"/>
    <w:rsid w:val="00B8396D"/>
    <w:rsid w:val="00B90331"/>
    <w:rsid w:val="00B903ED"/>
    <w:rsid w:val="00B90B2D"/>
    <w:rsid w:val="00B935A1"/>
    <w:rsid w:val="00B9459B"/>
    <w:rsid w:val="00B95DAD"/>
    <w:rsid w:val="00B96C0C"/>
    <w:rsid w:val="00B9734D"/>
    <w:rsid w:val="00B97732"/>
    <w:rsid w:val="00BA1A51"/>
    <w:rsid w:val="00BA27F4"/>
    <w:rsid w:val="00BA2BE6"/>
    <w:rsid w:val="00BA2E40"/>
    <w:rsid w:val="00BA3CB7"/>
    <w:rsid w:val="00BA41DE"/>
    <w:rsid w:val="00BA4BE4"/>
    <w:rsid w:val="00BA4DF8"/>
    <w:rsid w:val="00BA556C"/>
    <w:rsid w:val="00BA6BF3"/>
    <w:rsid w:val="00BB0F31"/>
    <w:rsid w:val="00BB15AB"/>
    <w:rsid w:val="00BB189B"/>
    <w:rsid w:val="00BB1D21"/>
    <w:rsid w:val="00BB2E51"/>
    <w:rsid w:val="00BB4BEA"/>
    <w:rsid w:val="00BB4C1A"/>
    <w:rsid w:val="00BB50AB"/>
    <w:rsid w:val="00BB6664"/>
    <w:rsid w:val="00BC01FC"/>
    <w:rsid w:val="00BC0E83"/>
    <w:rsid w:val="00BC1F79"/>
    <w:rsid w:val="00BC2201"/>
    <w:rsid w:val="00BC3C7A"/>
    <w:rsid w:val="00BC6689"/>
    <w:rsid w:val="00BC7DC6"/>
    <w:rsid w:val="00BD1039"/>
    <w:rsid w:val="00BD13B5"/>
    <w:rsid w:val="00BD2EFC"/>
    <w:rsid w:val="00BD340E"/>
    <w:rsid w:val="00BD60AD"/>
    <w:rsid w:val="00BD6C02"/>
    <w:rsid w:val="00BD7E2D"/>
    <w:rsid w:val="00BE1244"/>
    <w:rsid w:val="00BE165D"/>
    <w:rsid w:val="00BE2394"/>
    <w:rsid w:val="00BE2702"/>
    <w:rsid w:val="00BE4326"/>
    <w:rsid w:val="00BE5F4F"/>
    <w:rsid w:val="00BE60DB"/>
    <w:rsid w:val="00BF0191"/>
    <w:rsid w:val="00BF13EC"/>
    <w:rsid w:val="00BF1904"/>
    <w:rsid w:val="00BF1C07"/>
    <w:rsid w:val="00BF3DEE"/>
    <w:rsid w:val="00BF4DEC"/>
    <w:rsid w:val="00BF54AC"/>
    <w:rsid w:val="00BF54BD"/>
    <w:rsid w:val="00BF595A"/>
    <w:rsid w:val="00BF6B8E"/>
    <w:rsid w:val="00C025A5"/>
    <w:rsid w:val="00C03C78"/>
    <w:rsid w:val="00C03D6B"/>
    <w:rsid w:val="00C04FD3"/>
    <w:rsid w:val="00C06226"/>
    <w:rsid w:val="00C0633D"/>
    <w:rsid w:val="00C065A2"/>
    <w:rsid w:val="00C07919"/>
    <w:rsid w:val="00C103F9"/>
    <w:rsid w:val="00C104AC"/>
    <w:rsid w:val="00C107AD"/>
    <w:rsid w:val="00C110E1"/>
    <w:rsid w:val="00C1198F"/>
    <w:rsid w:val="00C11FA1"/>
    <w:rsid w:val="00C12252"/>
    <w:rsid w:val="00C12E21"/>
    <w:rsid w:val="00C12E65"/>
    <w:rsid w:val="00C13C20"/>
    <w:rsid w:val="00C13F74"/>
    <w:rsid w:val="00C146D3"/>
    <w:rsid w:val="00C16BE0"/>
    <w:rsid w:val="00C21C39"/>
    <w:rsid w:val="00C222A5"/>
    <w:rsid w:val="00C2325C"/>
    <w:rsid w:val="00C239ED"/>
    <w:rsid w:val="00C24D9D"/>
    <w:rsid w:val="00C25CF3"/>
    <w:rsid w:val="00C263E9"/>
    <w:rsid w:val="00C2775A"/>
    <w:rsid w:val="00C3063A"/>
    <w:rsid w:val="00C30BAD"/>
    <w:rsid w:val="00C31E8F"/>
    <w:rsid w:val="00C335DA"/>
    <w:rsid w:val="00C33D3E"/>
    <w:rsid w:val="00C35E1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79F"/>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88E"/>
    <w:rsid w:val="00C7776C"/>
    <w:rsid w:val="00C8398D"/>
    <w:rsid w:val="00C84BC2"/>
    <w:rsid w:val="00C85139"/>
    <w:rsid w:val="00C85657"/>
    <w:rsid w:val="00C9022C"/>
    <w:rsid w:val="00C9135B"/>
    <w:rsid w:val="00C91C88"/>
    <w:rsid w:val="00C9250B"/>
    <w:rsid w:val="00C939C3"/>
    <w:rsid w:val="00C94228"/>
    <w:rsid w:val="00C96D56"/>
    <w:rsid w:val="00C977E6"/>
    <w:rsid w:val="00CA0020"/>
    <w:rsid w:val="00CA0828"/>
    <w:rsid w:val="00CA0B2E"/>
    <w:rsid w:val="00CA18CA"/>
    <w:rsid w:val="00CA2557"/>
    <w:rsid w:val="00CA4952"/>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EF0"/>
    <w:rsid w:val="00CC152E"/>
    <w:rsid w:val="00CC2493"/>
    <w:rsid w:val="00CC2CEB"/>
    <w:rsid w:val="00CC2D66"/>
    <w:rsid w:val="00CC3222"/>
    <w:rsid w:val="00CC35F1"/>
    <w:rsid w:val="00CC35FF"/>
    <w:rsid w:val="00CC49EE"/>
    <w:rsid w:val="00CC66C4"/>
    <w:rsid w:val="00CD0E6E"/>
    <w:rsid w:val="00CD23AE"/>
    <w:rsid w:val="00CD27DF"/>
    <w:rsid w:val="00CD2D8A"/>
    <w:rsid w:val="00CD3BAC"/>
    <w:rsid w:val="00CD3FF2"/>
    <w:rsid w:val="00CD4A65"/>
    <w:rsid w:val="00CD531F"/>
    <w:rsid w:val="00CD6FA3"/>
    <w:rsid w:val="00CE2184"/>
    <w:rsid w:val="00CE3B7F"/>
    <w:rsid w:val="00CE3FA2"/>
    <w:rsid w:val="00CE41A0"/>
    <w:rsid w:val="00CE4479"/>
    <w:rsid w:val="00CE4958"/>
    <w:rsid w:val="00CE68E2"/>
    <w:rsid w:val="00CE706E"/>
    <w:rsid w:val="00CE70B1"/>
    <w:rsid w:val="00CE7AE4"/>
    <w:rsid w:val="00CF050C"/>
    <w:rsid w:val="00CF0769"/>
    <w:rsid w:val="00CF0A4C"/>
    <w:rsid w:val="00CF150A"/>
    <w:rsid w:val="00CF2225"/>
    <w:rsid w:val="00CF22AB"/>
    <w:rsid w:val="00CF25E7"/>
    <w:rsid w:val="00CF3C77"/>
    <w:rsid w:val="00CF41EF"/>
    <w:rsid w:val="00CF45A2"/>
    <w:rsid w:val="00CF52E7"/>
    <w:rsid w:val="00CF5F5D"/>
    <w:rsid w:val="00CF64B5"/>
    <w:rsid w:val="00CF7853"/>
    <w:rsid w:val="00D004ED"/>
    <w:rsid w:val="00D0260F"/>
    <w:rsid w:val="00D03708"/>
    <w:rsid w:val="00D06776"/>
    <w:rsid w:val="00D06853"/>
    <w:rsid w:val="00D06E46"/>
    <w:rsid w:val="00D06F95"/>
    <w:rsid w:val="00D1158C"/>
    <w:rsid w:val="00D11600"/>
    <w:rsid w:val="00D119A2"/>
    <w:rsid w:val="00D12E31"/>
    <w:rsid w:val="00D137F9"/>
    <w:rsid w:val="00D13CF4"/>
    <w:rsid w:val="00D144C2"/>
    <w:rsid w:val="00D1458C"/>
    <w:rsid w:val="00D1620E"/>
    <w:rsid w:val="00D16867"/>
    <w:rsid w:val="00D16EEC"/>
    <w:rsid w:val="00D2047A"/>
    <w:rsid w:val="00D20631"/>
    <w:rsid w:val="00D207FC"/>
    <w:rsid w:val="00D2260B"/>
    <w:rsid w:val="00D2291D"/>
    <w:rsid w:val="00D22D49"/>
    <w:rsid w:val="00D23930"/>
    <w:rsid w:val="00D23A23"/>
    <w:rsid w:val="00D24D8A"/>
    <w:rsid w:val="00D24DA4"/>
    <w:rsid w:val="00D25235"/>
    <w:rsid w:val="00D25383"/>
    <w:rsid w:val="00D2552A"/>
    <w:rsid w:val="00D25670"/>
    <w:rsid w:val="00D301FF"/>
    <w:rsid w:val="00D3257F"/>
    <w:rsid w:val="00D33789"/>
    <w:rsid w:val="00D340E2"/>
    <w:rsid w:val="00D35B60"/>
    <w:rsid w:val="00D36887"/>
    <w:rsid w:val="00D36955"/>
    <w:rsid w:val="00D373FE"/>
    <w:rsid w:val="00D37563"/>
    <w:rsid w:val="00D379EB"/>
    <w:rsid w:val="00D37EBE"/>
    <w:rsid w:val="00D400B8"/>
    <w:rsid w:val="00D4022C"/>
    <w:rsid w:val="00D41023"/>
    <w:rsid w:val="00D41C6C"/>
    <w:rsid w:val="00D42465"/>
    <w:rsid w:val="00D42E5B"/>
    <w:rsid w:val="00D4308B"/>
    <w:rsid w:val="00D439D1"/>
    <w:rsid w:val="00D43C68"/>
    <w:rsid w:val="00D4411C"/>
    <w:rsid w:val="00D444B2"/>
    <w:rsid w:val="00D44BFE"/>
    <w:rsid w:val="00D453E4"/>
    <w:rsid w:val="00D47226"/>
    <w:rsid w:val="00D473EB"/>
    <w:rsid w:val="00D50B21"/>
    <w:rsid w:val="00D51349"/>
    <w:rsid w:val="00D527AF"/>
    <w:rsid w:val="00D529E1"/>
    <w:rsid w:val="00D534C2"/>
    <w:rsid w:val="00D5410F"/>
    <w:rsid w:val="00D5539F"/>
    <w:rsid w:val="00D564DF"/>
    <w:rsid w:val="00D576DD"/>
    <w:rsid w:val="00D57CB4"/>
    <w:rsid w:val="00D61477"/>
    <w:rsid w:val="00D619A5"/>
    <w:rsid w:val="00D619E2"/>
    <w:rsid w:val="00D62036"/>
    <w:rsid w:val="00D620CC"/>
    <w:rsid w:val="00D634B8"/>
    <w:rsid w:val="00D63EF3"/>
    <w:rsid w:val="00D64441"/>
    <w:rsid w:val="00D65497"/>
    <w:rsid w:val="00D654DA"/>
    <w:rsid w:val="00D65E94"/>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04B"/>
    <w:rsid w:val="00D86169"/>
    <w:rsid w:val="00D8676D"/>
    <w:rsid w:val="00D86C2A"/>
    <w:rsid w:val="00D8732E"/>
    <w:rsid w:val="00D91294"/>
    <w:rsid w:val="00D9186A"/>
    <w:rsid w:val="00D92D47"/>
    <w:rsid w:val="00D94213"/>
    <w:rsid w:val="00D94BEB"/>
    <w:rsid w:val="00D94EA5"/>
    <w:rsid w:val="00D9570C"/>
    <w:rsid w:val="00D95A63"/>
    <w:rsid w:val="00D95B84"/>
    <w:rsid w:val="00D95F32"/>
    <w:rsid w:val="00DA024A"/>
    <w:rsid w:val="00DA07EE"/>
    <w:rsid w:val="00DA0A58"/>
    <w:rsid w:val="00DA13BA"/>
    <w:rsid w:val="00DA1954"/>
    <w:rsid w:val="00DA1C85"/>
    <w:rsid w:val="00DA1CC9"/>
    <w:rsid w:val="00DA2E58"/>
    <w:rsid w:val="00DA328E"/>
    <w:rsid w:val="00DA3AA6"/>
    <w:rsid w:val="00DA46C1"/>
    <w:rsid w:val="00DA70DD"/>
    <w:rsid w:val="00DA7771"/>
    <w:rsid w:val="00DB088F"/>
    <w:rsid w:val="00DB0B4A"/>
    <w:rsid w:val="00DB1487"/>
    <w:rsid w:val="00DB19B4"/>
    <w:rsid w:val="00DB19F1"/>
    <w:rsid w:val="00DB26AE"/>
    <w:rsid w:val="00DB4411"/>
    <w:rsid w:val="00DB466D"/>
    <w:rsid w:val="00DB5FD0"/>
    <w:rsid w:val="00DB7395"/>
    <w:rsid w:val="00DB75C2"/>
    <w:rsid w:val="00DB7E2C"/>
    <w:rsid w:val="00DB7EF8"/>
    <w:rsid w:val="00DC0070"/>
    <w:rsid w:val="00DC027B"/>
    <w:rsid w:val="00DC094B"/>
    <w:rsid w:val="00DC0A64"/>
    <w:rsid w:val="00DC0FC4"/>
    <w:rsid w:val="00DC1B9A"/>
    <w:rsid w:val="00DC2344"/>
    <w:rsid w:val="00DC2E4F"/>
    <w:rsid w:val="00DC384C"/>
    <w:rsid w:val="00DC3A80"/>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28E"/>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8CC"/>
    <w:rsid w:val="00E200CF"/>
    <w:rsid w:val="00E24287"/>
    <w:rsid w:val="00E27986"/>
    <w:rsid w:val="00E31367"/>
    <w:rsid w:val="00E3181C"/>
    <w:rsid w:val="00E32EF3"/>
    <w:rsid w:val="00E33E21"/>
    <w:rsid w:val="00E34BC4"/>
    <w:rsid w:val="00E3540C"/>
    <w:rsid w:val="00E36187"/>
    <w:rsid w:val="00E36332"/>
    <w:rsid w:val="00E36C9B"/>
    <w:rsid w:val="00E37638"/>
    <w:rsid w:val="00E37BB2"/>
    <w:rsid w:val="00E37E9D"/>
    <w:rsid w:val="00E41B71"/>
    <w:rsid w:val="00E41F76"/>
    <w:rsid w:val="00E42569"/>
    <w:rsid w:val="00E434A0"/>
    <w:rsid w:val="00E44D30"/>
    <w:rsid w:val="00E4597F"/>
    <w:rsid w:val="00E46CB7"/>
    <w:rsid w:val="00E4723D"/>
    <w:rsid w:val="00E5077C"/>
    <w:rsid w:val="00E50EC8"/>
    <w:rsid w:val="00E5159B"/>
    <w:rsid w:val="00E515C6"/>
    <w:rsid w:val="00E51771"/>
    <w:rsid w:val="00E52E0D"/>
    <w:rsid w:val="00E52FE2"/>
    <w:rsid w:val="00E54629"/>
    <w:rsid w:val="00E54715"/>
    <w:rsid w:val="00E54D6B"/>
    <w:rsid w:val="00E54E6F"/>
    <w:rsid w:val="00E55338"/>
    <w:rsid w:val="00E569AF"/>
    <w:rsid w:val="00E5774E"/>
    <w:rsid w:val="00E57EEB"/>
    <w:rsid w:val="00E60318"/>
    <w:rsid w:val="00E60BA8"/>
    <w:rsid w:val="00E618A8"/>
    <w:rsid w:val="00E61E25"/>
    <w:rsid w:val="00E61E28"/>
    <w:rsid w:val="00E628E4"/>
    <w:rsid w:val="00E62F58"/>
    <w:rsid w:val="00E647F7"/>
    <w:rsid w:val="00E65505"/>
    <w:rsid w:val="00E65FF5"/>
    <w:rsid w:val="00E66857"/>
    <w:rsid w:val="00E67190"/>
    <w:rsid w:val="00E67556"/>
    <w:rsid w:val="00E71891"/>
    <w:rsid w:val="00E7252F"/>
    <w:rsid w:val="00E73FC2"/>
    <w:rsid w:val="00E74481"/>
    <w:rsid w:val="00E74517"/>
    <w:rsid w:val="00E755D7"/>
    <w:rsid w:val="00E7566D"/>
    <w:rsid w:val="00E76E91"/>
    <w:rsid w:val="00E77225"/>
    <w:rsid w:val="00E774B4"/>
    <w:rsid w:val="00E778F5"/>
    <w:rsid w:val="00E80E7C"/>
    <w:rsid w:val="00E81779"/>
    <w:rsid w:val="00E8205B"/>
    <w:rsid w:val="00E82444"/>
    <w:rsid w:val="00E8341C"/>
    <w:rsid w:val="00E8602B"/>
    <w:rsid w:val="00E86B5F"/>
    <w:rsid w:val="00E87D05"/>
    <w:rsid w:val="00E91F96"/>
    <w:rsid w:val="00E92E99"/>
    <w:rsid w:val="00E92FE5"/>
    <w:rsid w:val="00E968FD"/>
    <w:rsid w:val="00E96D55"/>
    <w:rsid w:val="00E97784"/>
    <w:rsid w:val="00E97993"/>
    <w:rsid w:val="00EA0D5D"/>
    <w:rsid w:val="00EA0ECF"/>
    <w:rsid w:val="00EA1192"/>
    <w:rsid w:val="00EA153F"/>
    <w:rsid w:val="00EA2788"/>
    <w:rsid w:val="00EA2C6E"/>
    <w:rsid w:val="00EA487C"/>
    <w:rsid w:val="00EA4964"/>
    <w:rsid w:val="00EA4F1A"/>
    <w:rsid w:val="00EA567C"/>
    <w:rsid w:val="00EB02DE"/>
    <w:rsid w:val="00EB0A07"/>
    <w:rsid w:val="00EB1B69"/>
    <w:rsid w:val="00EB1C78"/>
    <w:rsid w:val="00EB2886"/>
    <w:rsid w:val="00EB3B46"/>
    <w:rsid w:val="00EB4F08"/>
    <w:rsid w:val="00EC2E07"/>
    <w:rsid w:val="00EC43C7"/>
    <w:rsid w:val="00EC465D"/>
    <w:rsid w:val="00EC5C89"/>
    <w:rsid w:val="00EC66D2"/>
    <w:rsid w:val="00EC67E7"/>
    <w:rsid w:val="00ED0A1B"/>
    <w:rsid w:val="00ED21BC"/>
    <w:rsid w:val="00ED2FEC"/>
    <w:rsid w:val="00ED3F67"/>
    <w:rsid w:val="00ED440A"/>
    <w:rsid w:val="00ED4F83"/>
    <w:rsid w:val="00ED7971"/>
    <w:rsid w:val="00EE0748"/>
    <w:rsid w:val="00EE29A0"/>
    <w:rsid w:val="00EE2CEA"/>
    <w:rsid w:val="00EE3365"/>
    <w:rsid w:val="00EE48DF"/>
    <w:rsid w:val="00EE4AB3"/>
    <w:rsid w:val="00EE5A3D"/>
    <w:rsid w:val="00EE7405"/>
    <w:rsid w:val="00EF033E"/>
    <w:rsid w:val="00EF06EC"/>
    <w:rsid w:val="00EF14FF"/>
    <w:rsid w:val="00EF2BFE"/>
    <w:rsid w:val="00EF2D85"/>
    <w:rsid w:val="00EF402C"/>
    <w:rsid w:val="00EF45E0"/>
    <w:rsid w:val="00EF4E6F"/>
    <w:rsid w:val="00EF5C82"/>
    <w:rsid w:val="00EF7A15"/>
    <w:rsid w:val="00F00E67"/>
    <w:rsid w:val="00F01F8C"/>
    <w:rsid w:val="00F02F4C"/>
    <w:rsid w:val="00F035A6"/>
    <w:rsid w:val="00F04AD0"/>
    <w:rsid w:val="00F04CA5"/>
    <w:rsid w:val="00F10033"/>
    <w:rsid w:val="00F10848"/>
    <w:rsid w:val="00F10B68"/>
    <w:rsid w:val="00F1164C"/>
    <w:rsid w:val="00F11F55"/>
    <w:rsid w:val="00F12DEC"/>
    <w:rsid w:val="00F13151"/>
    <w:rsid w:val="00F14C07"/>
    <w:rsid w:val="00F1503B"/>
    <w:rsid w:val="00F15523"/>
    <w:rsid w:val="00F16391"/>
    <w:rsid w:val="00F17401"/>
    <w:rsid w:val="00F205C0"/>
    <w:rsid w:val="00F2062B"/>
    <w:rsid w:val="00F21A18"/>
    <w:rsid w:val="00F21E61"/>
    <w:rsid w:val="00F220EA"/>
    <w:rsid w:val="00F222CD"/>
    <w:rsid w:val="00F24EA4"/>
    <w:rsid w:val="00F24F37"/>
    <w:rsid w:val="00F25319"/>
    <w:rsid w:val="00F2625A"/>
    <w:rsid w:val="00F279EC"/>
    <w:rsid w:val="00F31A03"/>
    <w:rsid w:val="00F3283C"/>
    <w:rsid w:val="00F32D0F"/>
    <w:rsid w:val="00F343F0"/>
    <w:rsid w:val="00F34620"/>
    <w:rsid w:val="00F34AAB"/>
    <w:rsid w:val="00F34C4D"/>
    <w:rsid w:val="00F350CF"/>
    <w:rsid w:val="00F35582"/>
    <w:rsid w:val="00F37004"/>
    <w:rsid w:val="00F376A1"/>
    <w:rsid w:val="00F37B8E"/>
    <w:rsid w:val="00F40F88"/>
    <w:rsid w:val="00F41746"/>
    <w:rsid w:val="00F41E79"/>
    <w:rsid w:val="00F4315F"/>
    <w:rsid w:val="00F445F6"/>
    <w:rsid w:val="00F4512F"/>
    <w:rsid w:val="00F45763"/>
    <w:rsid w:val="00F45BCF"/>
    <w:rsid w:val="00F45BEA"/>
    <w:rsid w:val="00F45CFE"/>
    <w:rsid w:val="00F46877"/>
    <w:rsid w:val="00F47F3E"/>
    <w:rsid w:val="00F530E6"/>
    <w:rsid w:val="00F532C7"/>
    <w:rsid w:val="00F5428B"/>
    <w:rsid w:val="00F54EE5"/>
    <w:rsid w:val="00F55358"/>
    <w:rsid w:val="00F5603C"/>
    <w:rsid w:val="00F5605C"/>
    <w:rsid w:val="00F560E5"/>
    <w:rsid w:val="00F564B9"/>
    <w:rsid w:val="00F57909"/>
    <w:rsid w:val="00F612D6"/>
    <w:rsid w:val="00F63400"/>
    <w:rsid w:val="00F636C6"/>
    <w:rsid w:val="00F6433D"/>
    <w:rsid w:val="00F6573E"/>
    <w:rsid w:val="00F662EB"/>
    <w:rsid w:val="00F67606"/>
    <w:rsid w:val="00F70057"/>
    <w:rsid w:val="00F70327"/>
    <w:rsid w:val="00F70FEF"/>
    <w:rsid w:val="00F72FA8"/>
    <w:rsid w:val="00F75415"/>
    <w:rsid w:val="00F773F9"/>
    <w:rsid w:val="00F77CA8"/>
    <w:rsid w:val="00F8101C"/>
    <w:rsid w:val="00F81666"/>
    <w:rsid w:val="00F817B9"/>
    <w:rsid w:val="00F81CB7"/>
    <w:rsid w:val="00F82280"/>
    <w:rsid w:val="00F8235F"/>
    <w:rsid w:val="00F828D6"/>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21B9"/>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08D"/>
    <w:rsid w:val="00FD0130"/>
    <w:rsid w:val="00FD0373"/>
    <w:rsid w:val="00FD0582"/>
    <w:rsid w:val="00FD0C93"/>
    <w:rsid w:val="00FD1062"/>
    <w:rsid w:val="00FD2589"/>
    <w:rsid w:val="00FD4876"/>
    <w:rsid w:val="00FD52A3"/>
    <w:rsid w:val="00FD68D4"/>
    <w:rsid w:val="00FE00D9"/>
    <w:rsid w:val="00FE0D32"/>
    <w:rsid w:val="00FE1186"/>
    <w:rsid w:val="00FE177A"/>
    <w:rsid w:val="00FE240A"/>
    <w:rsid w:val="00FE299F"/>
    <w:rsid w:val="00FE3E3C"/>
    <w:rsid w:val="00FE43E7"/>
    <w:rsid w:val="00FE4B66"/>
    <w:rsid w:val="00FE4F6E"/>
    <w:rsid w:val="00FE583F"/>
    <w:rsid w:val="00FE5CC4"/>
    <w:rsid w:val="00FE6B13"/>
    <w:rsid w:val="00FE7575"/>
    <w:rsid w:val="00FF1070"/>
    <w:rsid w:val="00FF13E2"/>
    <w:rsid w:val="00FF2237"/>
    <w:rsid w:val="00FF2DFB"/>
    <w:rsid w:val="00FF4953"/>
    <w:rsid w:val="00FF5FA3"/>
    <w:rsid w:val="00FF5FCE"/>
    <w:rsid w:val="00FF6177"/>
    <w:rsid w:val="00FF6AD9"/>
    <w:rsid w:val="00FF6C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D772C86"/>
  <w15:docId w15:val="{FE077B15-EA81-45C1-AE0A-A5AD4C13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12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5D50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uiPriority w:val="99"/>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uiPriority w:val="99"/>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EA0ECF"/>
    <w:rPr>
      <w:rFonts w:ascii="Calibri" w:eastAsia="Calibri" w:hAnsi="Calibri"/>
      <w:sz w:val="20"/>
      <w:szCs w:val="20"/>
      <w:lang w:eastAsia="en-US"/>
    </w:rPr>
  </w:style>
  <w:style w:type="character" w:customStyle="1" w:styleId="FootnoteTextChar">
    <w:name w:val="Footnote Text Char"/>
    <w:link w:val="FootnoteText"/>
    <w:uiPriority w:val="99"/>
    <w:semiHidden/>
    <w:rsid w:val="00EA0ECF"/>
    <w:rPr>
      <w:rFonts w:ascii="Calibri" w:eastAsia="Calibri" w:hAnsi="Calibri"/>
      <w:lang w:eastAsia="en-US"/>
    </w:rPr>
  </w:style>
  <w:style w:type="character" w:styleId="FootnoteReference">
    <w:name w:val="footnote reference"/>
    <w:uiPriority w:val="99"/>
    <w:semiHidden/>
    <w:unhideWhenUsed/>
    <w:rsid w:val="00EA0ECF"/>
    <w:rPr>
      <w:vertAlign w:val="superscript"/>
    </w:rPr>
  </w:style>
  <w:style w:type="character" w:customStyle="1" w:styleId="ListParagraphChar">
    <w:name w:val="List Paragraph Char"/>
    <w:aliases w:val="2 Char"/>
    <w:link w:val="ListParagraph"/>
    <w:uiPriority w:val="34"/>
    <w:locked/>
    <w:rsid w:val="007E05D0"/>
    <w:rPr>
      <w:rFonts w:ascii="Calibri" w:hAnsi="Calibri"/>
      <w:sz w:val="22"/>
      <w:szCs w:val="22"/>
      <w:lang w:eastAsia="en-US"/>
    </w:rPr>
  </w:style>
  <w:style w:type="paragraph" w:customStyle="1" w:styleId="Punkts1Lmenis">
    <w:name w:val="Punkts 1.Līmenis"/>
    <w:basedOn w:val="Normal"/>
    <w:qFormat/>
    <w:rsid w:val="00064DB7"/>
    <w:pPr>
      <w:keepLines/>
      <w:numPr>
        <w:numId w:val="10"/>
      </w:numPr>
      <w:shd w:val="clear" w:color="auto" w:fill="FFFFFF"/>
      <w:spacing w:after="120"/>
      <w:jc w:val="both"/>
    </w:pPr>
    <w:rPr>
      <w:lang w:val="x-none" w:eastAsia="x-none"/>
    </w:rPr>
  </w:style>
  <w:style w:type="paragraph" w:customStyle="1" w:styleId="Punkts2Lmenis">
    <w:name w:val="Punkts 2.Līmenis"/>
    <w:basedOn w:val="Punkts1Lmenis"/>
    <w:qFormat/>
    <w:rsid w:val="00064DB7"/>
    <w:pPr>
      <w:numPr>
        <w:ilvl w:val="1"/>
      </w:numPr>
    </w:pPr>
  </w:style>
  <w:style w:type="paragraph" w:customStyle="1" w:styleId="Punkts3Lmenis">
    <w:name w:val="Punkts 3.Līmenis"/>
    <w:basedOn w:val="Punkts2Lmenis"/>
    <w:link w:val="Punkts3LmenisChar"/>
    <w:qFormat/>
    <w:rsid w:val="00064DB7"/>
    <w:pPr>
      <w:numPr>
        <w:ilvl w:val="2"/>
      </w:numPr>
    </w:pPr>
    <w:rPr>
      <w:lang w:eastAsia="en-US"/>
    </w:rPr>
  </w:style>
  <w:style w:type="character" w:customStyle="1" w:styleId="Punkts3LmenisChar">
    <w:name w:val="Punkts 3.Līmenis Char"/>
    <w:link w:val="Punkts3Lmenis"/>
    <w:locked/>
    <w:rsid w:val="00064DB7"/>
    <w:rPr>
      <w:sz w:val="24"/>
      <w:szCs w:val="24"/>
      <w:shd w:val="clear" w:color="auto" w:fill="FFFFFF"/>
      <w:lang w:val="x-none" w:eastAsia="en-US"/>
    </w:rPr>
  </w:style>
  <w:style w:type="paragraph" w:customStyle="1" w:styleId="norm">
    <w:name w:val="norm"/>
    <w:basedOn w:val="Normal"/>
    <w:rsid w:val="00A90221"/>
    <w:pPr>
      <w:spacing w:before="100" w:beforeAutospacing="1" w:after="100" w:afterAutospacing="1"/>
    </w:pPr>
  </w:style>
  <w:style w:type="character" w:customStyle="1" w:styleId="Heading3Char">
    <w:name w:val="Heading 3 Char"/>
    <w:basedOn w:val="DefaultParagraphFont"/>
    <w:link w:val="Heading3"/>
    <w:semiHidden/>
    <w:rsid w:val="005D5080"/>
    <w:rPr>
      <w:rFonts w:asciiTheme="majorHAnsi" w:eastAsiaTheme="majorEastAsia" w:hAnsiTheme="majorHAnsi" w:cstheme="majorBidi"/>
      <w:color w:val="243F60" w:themeColor="accent1" w:themeShade="7F"/>
      <w:sz w:val="24"/>
      <w:szCs w:val="24"/>
    </w:rPr>
  </w:style>
  <w:style w:type="character" w:customStyle="1" w:styleId="subscript">
    <w:name w:val="subscript"/>
    <w:basedOn w:val="DefaultParagraphFont"/>
    <w:rsid w:val="0024063D"/>
  </w:style>
  <w:style w:type="character" w:styleId="UnresolvedMention">
    <w:name w:val="Unresolved Mention"/>
    <w:basedOn w:val="DefaultParagraphFont"/>
    <w:uiPriority w:val="99"/>
    <w:semiHidden/>
    <w:unhideWhenUsed/>
    <w:rsid w:val="00954136"/>
    <w:rPr>
      <w:color w:val="808080"/>
      <w:shd w:val="clear" w:color="auto" w:fill="E6E6E6"/>
    </w:rPr>
  </w:style>
  <w:style w:type="paragraph" w:customStyle="1" w:styleId="Normal1">
    <w:name w:val="Normal1"/>
    <w:basedOn w:val="Normal"/>
    <w:rsid w:val="00063935"/>
    <w:pPr>
      <w:spacing w:before="100" w:beforeAutospacing="1" w:after="100" w:afterAutospacing="1"/>
    </w:pPr>
  </w:style>
  <w:style w:type="paragraph" w:customStyle="1" w:styleId="title-gr-seq-level-1">
    <w:name w:val="title-gr-seq-level-1"/>
    <w:basedOn w:val="Normal"/>
    <w:rsid w:val="009A6B13"/>
    <w:pPr>
      <w:spacing w:before="100" w:beforeAutospacing="1" w:after="100" w:afterAutospacing="1"/>
    </w:pPr>
  </w:style>
  <w:style w:type="character" w:customStyle="1" w:styleId="boldface">
    <w:name w:val="boldface"/>
    <w:basedOn w:val="DefaultParagraphFont"/>
    <w:rsid w:val="009A6B13"/>
  </w:style>
  <w:style w:type="character" w:customStyle="1" w:styleId="superscript">
    <w:name w:val="superscript"/>
    <w:basedOn w:val="DefaultParagraphFont"/>
    <w:rsid w:val="009A6B13"/>
  </w:style>
  <w:style w:type="character" w:customStyle="1" w:styleId="c5">
    <w:name w:val="c5"/>
    <w:basedOn w:val="DefaultParagraphFont"/>
    <w:rsid w:val="00B7423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449">
      <w:bodyDiv w:val="1"/>
      <w:marLeft w:val="0"/>
      <w:marRight w:val="0"/>
      <w:marTop w:val="0"/>
      <w:marBottom w:val="0"/>
      <w:divBdr>
        <w:top w:val="none" w:sz="0" w:space="0" w:color="auto"/>
        <w:left w:val="none" w:sz="0" w:space="0" w:color="auto"/>
        <w:bottom w:val="none" w:sz="0" w:space="0" w:color="auto"/>
        <w:right w:val="none" w:sz="0" w:space="0" w:color="auto"/>
      </w:divBdr>
    </w:div>
    <w:div w:id="6450861">
      <w:bodyDiv w:val="1"/>
      <w:marLeft w:val="0"/>
      <w:marRight w:val="0"/>
      <w:marTop w:val="0"/>
      <w:marBottom w:val="0"/>
      <w:divBdr>
        <w:top w:val="none" w:sz="0" w:space="0" w:color="auto"/>
        <w:left w:val="none" w:sz="0" w:space="0" w:color="auto"/>
        <w:bottom w:val="none" w:sz="0" w:space="0" w:color="auto"/>
        <w:right w:val="none" w:sz="0" w:space="0" w:color="auto"/>
      </w:divBdr>
    </w:div>
    <w:div w:id="48577443">
      <w:bodyDiv w:val="1"/>
      <w:marLeft w:val="0"/>
      <w:marRight w:val="0"/>
      <w:marTop w:val="0"/>
      <w:marBottom w:val="0"/>
      <w:divBdr>
        <w:top w:val="none" w:sz="0" w:space="0" w:color="auto"/>
        <w:left w:val="none" w:sz="0" w:space="0" w:color="auto"/>
        <w:bottom w:val="none" w:sz="0" w:space="0" w:color="auto"/>
        <w:right w:val="none" w:sz="0" w:space="0" w:color="auto"/>
      </w:divBdr>
    </w:div>
    <w:div w:id="84886092">
      <w:bodyDiv w:val="1"/>
      <w:marLeft w:val="0"/>
      <w:marRight w:val="0"/>
      <w:marTop w:val="0"/>
      <w:marBottom w:val="0"/>
      <w:divBdr>
        <w:top w:val="none" w:sz="0" w:space="0" w:color="auto"/>
        <w:left w:val="none" w:sz="0" w:space="0" w:color="auto"/>
        <w:bottom w:val="none" w:sz="0" w:space="0" w:color="auto"/>
        <w:right w:val="none" w:sz="0" w:space="0" w:color="auto"/>
      </w:divBdr>
    </w:div>
    <w:div w:id="130755277">
      <w:bodyDiv w:val="1"/>
      <w:marLeft w:val="0"/>
      <w:marRight w:val="0"/>
      <w:marTop w:val="0"/>
      <w:marBottom w:val="0"/>
      <w:divBdr>
        <w:top w:val="none" w:sz="0" w:space="0" w:color="auto"/>
        <w:left w:val="none" w:sz="0" w:space="0" w:color="auto"/>
        <w:bottom w:val="none" w:sz="0" w:space="0" w:color="auto"/>
        <w:right w:val="none" w:sz="0" w:space="0" w:color="auto"/>
      </w:divBdr>
    </w:div>
    <w:div w:id="194320305">
      <w:bodyDiv w:val="1"/>
      <w:marLeft w:val="0"/>
      <w:marRight w:val="0"/>
      <w:marTop w:val="0"/>
      <w:marBottom w:val="0"/>
      <w:divBdr>
        <w:top w:val="none" w:sz="0" w:space="0" w:color="auto"/>
        <w:left w:val="none" w:sz="0" w:space="0" w:color="auto"/>
        <w:bottom w:val="none" w:sz="0" w:space="0" w:color="auto"/>
        <w:right w:val="none" w:sz="0" w:space="0" w:color="auto"/>
      </w:divBdr>
    </w:div>
    <w:div w:id="277642407">
      <w:bodyDiv w:val="1"/>
      <w:marLeft w:val="0"/>
      <w:marRight w:val="0"/>
      <w:marTop w:val="0"/>
      <w:marBottom w:val="0"/>
      <w:divBdr>
        <w:top w:val="none" w:sz="0" w:space="0" w:color="auto"/>
        <w:left w:val="none" w:sz="0" w:space="0" w:color="auto"/>
        <w:bottom w:val="none" w:sz="0" w:space="0" w:color="auto"/>
        <w:right w:val="none" w:sz="0" w:space="0" w:color="auto"/>
      </w:divBdr>
    </w:div>
    <w:div w:id="39901551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7277411">
      <w:bodyDiv w:val="1"/>
      <w:marLeft w:val="0"/>
      <w:marRight w:val="0"/>
      <w:marTop w:val="0"/>
      <w:marBottom w:val="0"/>
      <w:divBdr>
        <w:top w:val="none" w:sz="0" w:space="0" w:color="auto"/>
        <w:left w:val="none" w:sz="0" w:space="0" w:color="auto"/>
        <w:bottom w:val="none" w:sz="0" w:space="0" w:color="auto"/>
        <w:right w:val="none" w:sz="0" w:space="0" w:color="auto"/>
      </w:divBdr>
    </w:div>
    <w:div w:id="528877536">
      <w:bodyDiv w:val="1"/>
      <w:marLeft w:val="0"/>
      <w:marRight w:val="0"/>
      <w:marTop w:val="0"/>
      <w:marBottom w:val="0"/>
      <w:divBdr>
        <w:top w:val="none" w:sz="0" w:space="0" w:color="auto"/>
        <w:left w:val="none" w:sz="0" w:space="0" w:color="auto"/>
        <w:bottom w:val="none" w:sz="0" w:space="0" w:color="auto"/>
        <w:right w:val="none" w:sz="0" w:space="0" w:color="auto"/>
      </w:divBdr>
    </w:div>
    <w:div w:id="550460297">
      <w:bodyDiv w:val="1"/>
      <w:marLeft w:val="0"/>
      <w:marRight w:val="0"/>
      <w:marTop w:val="0"/>
      <w:marBottom w:val="0"/>
      <w:divBdr>
        <w:top w:val="none" w:sz="0" w:space="0" w:color="auto"/>
        <w:left w:val="none" w:sz="0" w:space="0" w:color="auto"/>
        <w:bottom w:val="none" w:sz="0" w:space="0" w:color="auto"/>
        <w:right w:val="none" w:sz="0" w:space="0" w:color="auto"/>
      </w:divBdr>
    </w:div>
    <w:div w:id="597563857">
      <w:bodyDiv w:val="1"/>
      <w:marLeft w:val="0"/>
      <w:marRight w:val="0"/>
      <w:marTop w:val="0"/>
      <w:marBottom w:val="0"/>
      <w:divBdr>
        <w:top w:val="none" w:sz="0" w:space="0" w:color="auto"/>
        <w:left w:val="none" w:sz="0" w:space="0" w:color="auto"/>
        <w:bottom w:val="none" w:sz="0" w:space="0" w:color="auto"/>
        <w:right w:val="none" w:sz="0" w:space="0" w:color="auto"/>
      </w:divBdr>
    </w:div>
    <w:div w:id="61972857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71876624">
      <w:bodyDiv w:val="1"/>
      <w:marLeft w:val="0"/>
      <w:marRight w:val="0"/>
      <w:marTop w:val="0"/>
      <w:marBottom w:val="0"/>
      <w:divBdr>
        <w:top w:val="none" w:sz="0" w:space="0" w:color="auto"/>
        <w:left w:val="none" w:sz="0" w:space="0" w:color="auto"/>
        <w:bottom w:val="none" w:sz="0" w:space="0" w:color="auto"/>
        <w:right w:val="none" w:sz="0" w:space="0" w:color="auto"/>
      </w:divBdr>
    </w:div>
    <w:div w:id="719211623">
      <w:bodyDiv w:val="1"/>
      <w:marLeft w:val="0"/>
      <w:marRight w:val="0"/>
      <w:marTop w:val="0"/>
      <w:marBottom w:val="0"/>
      <w:divBdr>
        <w:top w:val="none" w:sz="0" w:space="0" w:color="auto"/>
        <w:left w:val="none" w:sz="0" w:space="0" w:color="auto"/>
        <w:bottom w:val="none" w:sz="0" w:space="0" w:color="auto"/>
        <w:right w:val="none" w:sz="0" w:space="0" w:color="auto"/>
      </w:divBdr>
    </w:div>
    <w:div w:id="814417911">
      <w:bodyDiv w:val="1"/>
      <w:marLeft w:val="0"/>
      <w:marRight w:val="0"/>
      <w:marTop w:val="0"/>
      <w:marBottom w:val="0"/>
      <w:divBdr>
        <w:top w:val="none" w:sz="0" w:space="0" w:color="auto"/>
        <w:left w:val="none" w:sz="0" w:space="0" w:color="auto"/>
        <w:bottom w:val="none" w:sz="0" w:space="0" w:color="auto"/>
        <w:right w:val="none" w:sz="0" w:space="0" w:color="auto"/>
      </w:divBdr>
    </w:div>
    <w:div w:id="903443970">
      <w:bodyDiv w:val="1"/>
      <w:marLeft w:val="0"/>
      <w:marRight w:val="0"/>
      <w:marTop w:val="0"/>
      <w:marBottom w:val="0"/>
      <w:divBdr>
        <w:top w:val="none" w:sz="0" w:space="0" w:color="auto"/>
        <w:left w:val="none" w:sz="0" w:space="0" w:color="auto"/>
        <w:bottom w:val="none" w:sz="0" w:space="0" w:color="auto"/>
        <w:right w:val="none" w:sz="0" w:space="0" w:color="auto"/>
      </w:divBdr>
    </w:div>
    <w:div w:id="937952785">
      <w:bodyDiv w:val="1"/>
      <w:marLeft w:val="0"/>
      <w:marRight w:val="0"/>
      <w:marTop w:val="0"/>
      <w:marBottom w:val="0"/>
      <w:divBdr>
        <w:top w:val="none" w:sz="0" w:space="0" w:color="auto"/>
        <w:left w:val="none" w:sz="0" w:space="0" w:color="auto"/>
        <w:bottom w:val="none" w:sz="0" w:space="0" w:color="auto"/>
        <w:right w:val="none" w:sz="0" w:space="0" w:color="auto"/>
      </w:divBdr>
    </w:div>
    <w:div w:id="982806547">
      <w:bodyDiv w:val="1"/>
      <w:marLeft w:val="0"/>
      <w:marRight w:val="0"/>
      <w:marTop w:val="0"/>
      <w:marBottom w:val="0"/>
      <w:divBdr>
        <w:top w:val="none" w:sz="0" w:space="0" w:color="auto"/>
        <w:left w:val="none" w:sz="0" w:space="0" w:color="auto"/>
        <w:bottom w:val="none" w:sz="0" w:space="0" w:color="auto"/>
        <w:right w:val="none" w:sz="0" w:space="0" w:color="auto"/>
      </w:divBdr>
    </w:div>
    <w:div w:id="998267531">
      <w:bodyDiv w:val="1"/>
      <w:marLeft w:val="0"/>
      <w:marRight w:val="0"/>
      <w:marTop w:val="0"/>
      <w:marBottom w:val="0"/>
      <w:divBdr>
        <w:top w:val="none" w:sz="0" w:space="0" w:color="auto"/>
        <w:left w:val="none" w:sz="0" w:space="0" w:color="auto"/>
        <w:bottom w:val="none" w:sz="0" w:space="0" w:color="auto"/>
        <w:right w:val="none" w:sz="0" w:space="0" w:color="auto"/>
      </w:divBdr>
    </w:div>
    <w:div w:id="1015233044">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06774169">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7837539">
      <w:bodyDiv w:val="1"/>
      <w:marLeft w:val="0"/>
      <w:marRight w:val="0"/>
      <w:marTop w:val="0"/>
      <w:marBottom w:val="0"/>
      <w:divBdr>
        <w:top w:val="none" w:sz="0" w:space="0" w:color="auto"/>
        <w:left w:val="none" w:sz="0" w:space="0" w:color="auto"/>
        <w:bottom w:val="none" w:sz="0" w:space="0" w:color="auto"/>
        <w:right w:val="none" w:sz="0" w:space="0" w:color="auto"/>
      </w:divBdr>
    </w:div>
    <w:div w:id="1223175610">
      <w:bodyDiv w:val="1"/>
      <w:marLeft w:val="0"/>
      <w:marRight w:val="0"/>
      <w:marTop w:val="0"/>
      <w:marBottom w:val="0"/>
      <w:divBdr>
        <w:top w:val="none" w:sz="0" w:space="0" w:color="auto"/>
        <w:left w:val="none" w:sz="0" w:space="0" w:color="auto"/>
        <w:bottom w:val="none" w:sz="0" w:space="0" w:color="auto"/>
        <w:right w:val="none" w:sz="0" w:space="0" w:color="auto"/>
      </w:divBdr>
    </w:div>
    <w:div w:id="1249926809">
      <w:bodyDiv w:val="1"/>
      <w:marLeft w:val="0"/>
      <w:marRight w:val="0"/>
      <w:marTop w:val="0"/>
      <w:marBottom w:val="0"/>
      <w:divBdr>
        <w:top w:val="none" w:sz="0" w:space="0" w:color="auto"/>
        <w:left w:val="none" w:sz="0" w:space="0" w:color="auto"/>
        <w:bottom w:val="none" w:sz="0" w:space="0" w:color="auto"/>
        <w:right w:val="none" w:sz="0" w:space="0" w:color="auto"/>
      </w:divBdr>
    </w:div>
    <w:div w:id="1262647514">
      <w:bodyDiv w:val="1"/>
      <w:marLeft w:val="0"/>
      <w:marRight w:val="0"/>
      <w:marTop w:val="0"/>
      <w:marBottom w:val="0"/>
      <w:divBdr>
        <w:top w:val="none" w:sz="0" w:space="0" w:color="auto"/>
        <w:left w:val="none" w:sz="0" w:space="0" w:color="auto"/>
        <w:bottom w:val="none" w:sz="0" w:space="0" w:color="auto"/>
        <w:right w:val="none" w:sz="0" w:space="0" w:color="auto"/>
      </w:divBdr>
    </w:div>
    <w:div w:id="1269773414">
      <w:bodyDiv w:val="1"/>
      <w:marLeft w:val="0"/>
      <w:marRight w:val="0"/>
      <w:marTop w:val="0"/>
      <w:marBottom w:val="0"/>
      <w:divBdr>
        <w:top w:val="none" w:sz="0" w:space="0" w:color="auto"/>
        <w:left w:val="none" w:sz="0" w:space="0" w:color="auto"/>
        <w:bottom w:val="none" w:sz="0" w:space="0" w:color="auto"/>
        <w:right w:val="none" w:sz="0" w:space="0" w:color="auto"/>
      </w:divBdr>
      <w:divsChild>
        <w:div w:id="1199970615">
          <w:marLeft w:val="480"/>
          <w:marRight w:val="0"/>
          <w:marTop w:val="0"/>
          <w:marBottom w:val="0"/>
          <w:divBdr>
            <w:top w:val="none" w:sz="0" w:space="0" w:color="auto"/>
            <w:left w:val="none" w:sz="0" w:space="0" w:color="auto"/>
            <w:bottom w:val="none" w:sz="0" w:space="0" w:color="auto"/>
            <w:right w:val="none" w:sz="0" w:space="0" w:color="auto"/>
          </w:divBdr>
        </w:div>
        <w:div w:id="1646739760">
          <w:marLeft w:val="480"/>
          <w:marRight w:val="0"/>
          <w:marTop w:val="0"/>
          <w:marBottom w:val="0"/>
          <w:divBdr>
            <w:top w:val="none" w:sz="0" w:space="0" w:color="auto"/>
            <w:left w:val="none" w:sz="0" w:space="0" w:color="auto"/>
            <w:bottom w:val="none" w:sz="0" w:space="0" w:color="auto"/>
            <w:right w:val="none" w:sz="0" w:space="0" w:color="auto"/>
          </w:divBdr>
        </w:div>
        <w:div w:id="1786775304">
          <w:marLeft w:val="48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53022843">
      <w:bodyDiv w:val="1"/>
      <w:marLeft w:val="0"/>
      <w:marRight w:val="0"/>
      <w:marTop w:val="0"/>
      <w:marBottom w:val="0"/>
      <w:divBdr>
        <w:top w:val="none" w:sz="0" w:space="0" w:color="auto"/>
        <w:left w:val="none" w:sz="0" w:space="0" w:color="auto"/>
        <w:bottom w:val="none" w:sz="0" w:space="0" w:color="auto"/>
        <w:right w:val="none" w:sz="0" w:space="0" w:color="auto"/>
      </w:divBdr>
    </w:div>
    <w:div w:id="1367559834">
      <w:bodyDiv w:val="1"/>
      <w:marLeft w:val="0"/>
      <w:marRight w:val="0"/>
      <w:marTop w:val="0"/>
      <w:marBottom w:val="0"/>
      <w:divBdr>
        <w:top w:val="none" w:sz="0" w:space="0" w:color="auto"/>
        <w:left w:val="none" w:sz="0" w:space="0" w:color="auto"/>
        <w:bottom w:val="none" w:sz="0" w:space="0" w:color="auto"/>
        <w:right w:val="none" w:sz="0" w:space="0" w:color="auto"/>
      </w:divBdr>
    </w:div>
    <w:div w:id="1382634141">
      <w:bodyDiv w:val="1"/>
      <w:marLeft w:val="0"/>
      <w:marRight w:val="0"/>
      <w:marTop w:val="0"/>
      <w:marBottom w:val="0"/>
      <w:divBdr>
        <w:top w:val="none" w:sz="0" w:space="0" w:color="auto"/>
        <w:left w:val="none" w:sz="0" w:space="0" w:color="auto"/>
        <w:bottom w:val="none" w:sz="0" w:space="0" w:color="auto"/>
        <w:right w:val="none" w:sz="0" w:space="0" w:color="auto"/>
      </w:divBdr>
    </w:div>
    <w:div w:id="1441994628">
      <w:bodyDiv w:val="1"/>
      <w:marLeft w:val="0"/>
      <w:marRight w:val="0"/>
      <w:marTop w:val="0"/>
      <w:marBottom w:val="0"/>
      <w:divBdr>
        <w:top w:val="none" w:sz="0" w:space="0" w:color="auto"/>
        <w:left w:val="none" w:sz="0" w:space="0" w:color="auto"/>
        <w:bottom w:val="none" w:sz="0" w:space="0" w:color="auto"/>
        <w:right w:val="none" w:sz="0" w:space="0" w:color="auto"/>
      </w:divBdr>
    </w:div>
    <w:div w:id="1466042430">
      <w:bodyDiv w:val="1"/>
      <w:marLeft w:val="0"/>
      <w:marRight w:val="0"/>
      <w:marTop w:val="0"/>
      <w:marBottom w:val="0"/>
      <w:divBdr>
        <w:top w:val="none" w:sz="0" w:space="0" w:color="auto"/>
        <w:left w:val="none" w:sz="0" w:space="0" w:color="auto"/>
        <w:bottom w:val="none" w:sz="0" w:space="0" w:color="auto"/>
        <w:right w:val="none" w:sz="0" w:space="0" w:color="auto"/>
      </w:divBdr>
    </w:div>
    <w:div w:id="1473937202">
      <w:bodyDiv w:val="1"/>
      <w:marLeft w:val="0"/>
      <w:marRight w:val="0"/>
      <w:marTop w:val="0"/>
      <w:marBottom w:val="0"/>
      <w:divBdr>
        <w:top w:val="none" w:sz="0" w:space="0" w:color="auto"/>
        <w:left w:val="none" w:sz="0" w:space="0" w:color="auto"/>
        <w:bottom w:val="none" w:sz="0" w:space="0" w:color="auto"/>
        <w:right w:val="none" w:sz="0" w:space="0" w:color="auto"/>
      </w:divBdr>
    </w:div>
    <w:div w:id="157057464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8056728">
      <w:bodyDiv w:val="1"/>
      <w:marLeft w:val="0"/>
      <w:marRight w:val="0"/>
      <w:marTop w:val="0"/>
      <w:marBottom w:val="0"/>
      <w:divBdr>
        <w:top w:val="none" w:sz="0" w:space="0" w:color="auto"/>
        <w:left w:val="none" w:sz="0" w:space="0" w:color="auto"/>
        <w:bottom w:val="none" w:sz="0" w:space="0" w:color="auto"/>
        <w:right w:val="none" w:sz="0" w:space="0" w:color="auto"/>
      </w:divBdr>
    </w:div>
    <w:div w:id="1599680410">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2977655">
      <w:bodyDiv w:val="1"/>
      <w:marLeft w:val="0"/>
      <w:marRight w:val="0"/>
      <w:marTop w:val="0"/>
      <w:marBottom w:val="0"/>
      <w:divBdr>
        <w:top w:val="none" w:sz="0" w:space="0" w:color="auto"/>
        <w:left w:val="none" w:sz="0" w:space="0" w:color="auto"/>
        <w:bottom w:val="none" w:sz="0" w:space="0" w:color="auto"/>
        <w:right w:val="none" w:sz="0" w:space="0" w:color="auto"/>
      </w:divBdr>
    </w:div>
    <w:div w:id="1761363665">
      <w:bodyDiv w:val="1"/>
      <w:marLeft w:val="0"/>
      <w:marRight w:val="0"/>
      <w:marTop w:val="0"/>
      <w:marBottom w:val="0"/>
      <w:divBdr>
        <w:top w:val="none" w:sz="0" w:space="0" w:color="auto"/>
        <w:left w:val="none" w:sz="0" w:space="0" w:color="auto"/>
        <w:bottom w:val="none" w:sz="0" w:space="0" w:color="auto"/>
        <w:right w:val="none" w:sz="0" w:space="0" w:color="auto"/>
      </w:divBdr>
    </w:div>
    <w:div w:id="1792089719">
      <w:bodyDiv w:val="1"/>
      <w:marLeft w:val="0"/>
      <w:marRight w:val="0"/>
      <w:marTop w:val="0"/>
      <w:marBottom w:val="0"/>
      <w:divBdr>
        <w:top w:val="none" w:sz="0" w:space="0" w:color="auto"/>
        <w:left w:val="none" w:sz="0" w:space="0" w:color="auto"/>
        <w:bottom w:val="none" w:sz="0" w:space="0" w:color="auto"/>
        <w:right w:val="none" w:sz="0" w:space="0" w:color="auto"/>
      </w:divBdr>
    </w:div>
    <w:div w:id="1801193903">
      <w:bodyDiv w:val="1"/>
      <w:marLeft w:val="0"/>
      <w:marRight w:val="0"/>
      <w:marTop w:val="0"/>
      <w:marBottom w:val="0"/>
      <w:divBdr>
        <w:top w:val="none" w:sz="0" w:space="0" w:color="auto"/>
        <w:left w:val="none" w:sz="0" w:space="0" w:color="auto"/>
        <w:bottom w:val="none" w:sz="0" w:space="0" w:color="auto"/>
        <w:right w:val="none" w:sz="0" w:space="0" w:color="auto"/>
      </w:divBdr>
    </w:div>
    <w:div w:id="1862477617">
      <w:bodyDiv w:val="1"/>
      <w:marLeft w:val="0"/>
      <w:marRight w:val="0"/>
      <w:marTop w:val="0"/>
      <w:marBottom w:val="0"/>
      <w:divBdr>
        <w:top w:val="none" w:sz="0" w:space="0" w:color="auto"/>
        <w:left w:val="none" w:sz="0" w:space="0" w:color="auto"/>
        <w:bottom w:val="none" w:sz="0" w:space="0" w:color="auto"/>
        <w:right w:val="none" w:sz="0" w:space="0" w:color="auto"/>
      </w:divBdr>
    </w:div>
    <w:div w:id="1891453324">
      <w:bodyDiv w:val="1"/>
      <w:marLeft w:val="0"/>
      <w:marRight w:val="0"/>
      <w:marTop w:val="0"/>
      <w:marBottom w:val="0"/>
      <w:divBdr>
        <w:top w:val="none" w:sz="0" w:space="0" w:color="auto"/>
        <w:left w:val="none" w:sz="0" w:space="0" w:color="auto"/>
        <w:bottom w:val="none" w:sz="0" w:space="0" w:color="auto"/>
        <w:right w:val="none" w:sz="0" w:space="0" w:color="auto"/>
      </w:divBdr>
    </w:div>
    <w:div w:id="1918245709">
      <w:bodyDiv w:val="1"/>
      <w:marLeft w:val="0"/>
      <w:marRight w:val="0"/>
      <w:marTop w:val="0"/>
      <w:marBottom w:val="0"/>
      <w:divBdr>
        <w:top w:val="none" w:sz="0" w:space="0" w:color="auto"/>
        <w:left w:val="none" w:sz="0" w:space="0" w:color="auto"/>
        <w:bottom w:val="none" w:sz="0" w:space="0" w:color="auto"/>
        <w:right w:val="none" w:sz="0" w:space="0" w:color="auto"/>
      </w:divBdr>
    </w:div>
    <w:div w:id="1964799284">
      <w:bodyDiv w:val="1"/>
      <w:marLeft w:val="0"/>
      <w:marRight w:val="0"/>
      <w:marTop w:val="0"/>
      <w:marBottom w:val="0"/>
      <w:divBdr>
        <w:top w:val="none" w:sz="0" w:space="0" w:color="auto"/>
        <w:left w:val="none" w:sz="0" w:space="0" w:color="auto"/>
        <w:bottom w:val="none" w:sz="0" w:space="0" w:color="auto"/>
        <w:right w:val="none" w:sz="0" w:space="0" w:color="auto"/>
      </w:divBdr>
    </w:div>
    <w:div w:id="1969821515">
      <w:bodyDiv w:val="1"/>
      <w:marLeft w:val="0"/>
      <w:marRight w:val="0"/>
      <w:marTop w:val="0"/>
      <w:marBottom w:val="0"/>
      <w:divBdr>
        <w:top w:val="none" w:sz="0" w:space="0" w:color="auto"/>
        <w:left w:val="none" w:sz="0" w:space="0" w:color="auto"/>
        <w:bottom w:val="none" w:sz="0" w:space="0" w:color="auto"/>
        <w:right w:val="none" w:sz="0" w:space="0" w:color="auto"/>
      </w:divBdr>
    </w:div>
    <w:div w:id="1988633427">
      <w:bodyDiv w:val="1"/>
      <w:marLeft w:val="0"/>
      <w:marRight w:val="0"/>
      <w:marTop w:val="0"/>
      <w:marBottom w:val="0"/>
      <w:divBdr>
        <w:top w:val="none" w:sz="0" w:space="0" w:color="auto"/>
        <w:left w:val="none" w:sz="0" w:space="0" w:color="auto"/>
        <w:bottom w:val="none" w:sz="0" w:space="0" w:color="auto"/>
        <w:right w:val="none" w:sz="0" w:space="0" w:color="auto"/>
      </w:divBdr>
    </w:div>
    <w:div w:id="2042171179">
      <w:bodyDiv w:val="1"/>
      <w:marLeft w:val="0"/>
      <w:marRight w:val="0"/>
      <w:marTop w:val="0"/>
      <w:marBottom w:val="0"/>
      <w:divBdr>
        <w:top w:val="none" w:sz="0" w:space="0" w:color="auto"/>
        <w:left w:val="none" w:sz="0" w:space="0" w:color="auto"/>
        <w:bottom w:val="none" w:sz="0" w:space="0" w:color="auto"/>
        <w:right w:val="none" w:sz="0" w:space="0" w:color="auto"/>
      </w:divBdr>
    </w:div>
    <w:div w:id="2126386834">
      <w:bodyDiv w:val="1"/>
      <w:marLeft w:val="0"/>
      <w:marRight w:val="0"/>
      <w:marTop w:val="0"/>
      <w:marBottom w:val="0"/>
      <w:divBdr>
        <w:top w:val="none" w:sz="0" w:space="0" w:color="auto"/>
        <w:left w:val="none" w:sz="0" w:space="0" w:color="auto"/>
        <w:bottom w:val="none" w:sz="0" w:space="0" w:color="auto"/>
        <w:right w:val="none" w:sz="0" w:space="0" w:color="auto"/>
      </w:divBdr>
    </w:div>
    <w:div w:id="21325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lena.Rimsa@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D29D5-649D-4342-89AA-38A938A9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3588</Words>
  <Characters>25823</Characters>
  <Application>Microsoft Office Word</Application>
  <DocSecurity>0</DocSecurity>
  <Lines>215</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“Transporta enerģijas aprites cikla siltumnīcefekta gāzu emisiju daudzuma un tā samazinājuma aprēķināšanas un ziņošanas kārtība”</vt:lpstr>
      <vt:lpstr>MK noteikumu projekts "Ministru kabineta kārtības rullis"</vt:lpstr>
    </vt:vector>
  </TitlesOfParts>
  <Manager>Helēna Rimša</Manager>
  <Company>Ekonomikas ministrija</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“Transporta enerģijas aprites cikla siltumnīcefekta gāzu emisiju daudzuma un tā samazinājuma aprēķināšanas un ziņošanas kārtība”</dc:title>
  <dc:subject>Izziņa par atzinumos iesniegtajiem iebildumiem</dc:subject>
  <dc:creator>Helēna Rimša</dc:creator>
  <dc:description>Rimša, 67013244, Helena.Rimsa@em.gov.lv</dc:description>
  <cp:lastModifiedBy>Helēna Rimša</cp:lastModifiedBy>
  <cp:revision>13</cp:revision>
  <cp:lastPrinted>2009-04-08T08:39:00Z</cp:lastPrinted>
  <dcterms:created xsi:type="dcterms:W3CDTF">2019-06-03T05:27:00Z</dcterms:created>
  <dcterms:modified xsi:type="dcterms:W3CDTF">2019-06-19T06:21:00Z</dcterms:modified>
</cp:coreProperties>
</file>