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E576" w14:textId="77777777" w:rsidR="00594984" w:rsidRPr="00594984" w:rsidRDefault="00594984" w:rsidP="00594984">
      <w:pPr>
        <w:pageBreakBefore/>
        <w:ind w:left="57" w:right="57"/>
        <w:jc w:val="center"/>
        <w:rPr>
          <w:rFonts w:eastAsia="Times New Roman" w:cs="Times New Roman"/>
          <w:bCs/>
          <w:sz w:val="24"/>
          <w:szCs w:val="24"/>
          <w:lang w:eastAsia="lv-LV"/>
        </w:rPr>
      </w:pPr>
      <w:bookmarkStart w:id="0" w:name="OLE_LINK1"/>
      <w:bookmarkStart w:id="1" w:name="OLE_LINK2"/>
      <w:r w:rsidRPr="00594984">
        <w:rPr>
          <w:rFonts w:eastAsia="Times New Roman" w:cs="Times New Roman"/>
          <w:bCs/>
          <w:sz w:val="24"/>
          <w:szCs w:val="24"/>
          <w:lang w:eastAsia="lv-LV"/>
        </w:rPr>
        <w:t>Izziņa par atzinumos sniegtajiem iebildumiem</w:t>
      </w:r>
      <w:bookmarkEnd w:id="0"/>
      <w:bookmarkEnd w:id="1"/>
    </w:p>
    <w:tbl>
      <w:tblPr>
        <w:tblW w:w="0" w:type="auto"/>
        <w:jc w:val="center"/>
        <w:tblLook w:val="00A0" w:firstRow="1" w:lastRow="0" w:firstColumn="1" w:lastColumn="0" w:noHBand="0" w:noVBand="0"/>
      </w:tblPr>
      <w:tblGrid>
        <w:gridCol w:w="13183"/>
      </w:tblGrid>
      <w:tr w:rsidR="00594984" w:rsidRPr="00594984" w14:paraId="14FC33D2" w14:textId="77777777" w:rsidTr="00DC77AE">
        <w:trPr>
          <w:trHeight w:val="345"/>
          <w:jc w:val="center"/>
        </w:trPr>
        <w:tc>
          <w:tcPr>
            <w:tcW w:w="13183" w:type="dxa"/>
            <w:tcBorders>
              <w:bottom w:val="single" w:sz="6" w:space="0" w:color="000000"/>
            </w:tcBorders>
          </w:tcPr>
          <w:p w14:paraId="7A0FA5FF" w14:textId="77777777" w:rsidR="00594984" w:rsidRPr="00594984" w:rsidRDefault="00594984" w:rsidP="00594984">
            <w:pPr>
              <w:shd w:val="clear" w:color="auto" w:fill="FFFFFF"/>
              <w:contextualSpacing/>
              <w:jc w:val="center"/>
              <w:rPr>
                <w:rFonts w:eastAsia="Times New Roman" w:cs="Times New Roman"/>
                <w:sz w:val="24"/>
                <w:szCs w:val="24"/>
              </w:rPr>
            </w:pPr>
            <w:r w:rsidRPr="00594984">
              <w:rPr>
                <w:rFonts w:eastAsia="Times New Roman" w:cs="Times New Roman"/>
                <w:sz w:val="24"/>
                <w:szCs w:val="24"/>
              </w:rPr>
              <w:t>Noteikumu projekts</w:t>
            </w:r>
          </w:p>
          <w:p w14:paraId="45602870" w14:textId="21A546D1" w:rsidR="00594984" w:rsidRPr="00594984" w:rsidRDefault="00794081" w:rsidP="00594984">
            <w:pPr>
              <w:shd w:val="clear" w:color="auto" w:fill="FFFFFF"/>
              <w:contextualSpacing/>
              <w:jc w:val="center"/>
              <w:rPr>
                <w:rFonts w:eastAsia="Times New Roman" w:cs="Times New Roman"/>
                <w:sz w:val="24"/>
                <w:szCs w:val="24"/>
                <w:lang w:eastAsia="lv-LV"/>
              </w:rPr>
            </w:pPr>
            <w:r w:rsidRPr="00794081">
              <w:rPr>
                <w:rFonts w:eastAsia="Times New Roman" w:cs="Times New Roman"/>
                <w:b/>
                <w:sz w:val="24"/>
                <w:szCs w:val="24"/>
              </w:rPr>
              <w:t>Ministru kabineta noteikumi par Latvijas būvnormatīvu LBN 002-19 “Ēku norobežojošo konstrukciju siltumtehnika”</w:t>
            </w:r>
          </w:p>
        </w:tc>
      </w:tr>
    </w:tbl>
    <w:p w14:paraId="2A5CBEAE"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(dokumenta veids un nosaukums)</w:t>
      </w:r>
    </w:p>
    <w:p w14:paraId="430BE650" w14:textId="77777777" w:rsidR="00594984" w:rsidRPr="00594984" w:rsidRDefault="00594984" w:rsidP="00594984">
      <w:pPr>
        <w:ind w:left="57" w:right="57"/>
        <w:contextualSpacing/>
        <w:rPr>
          <w:rFonts w:eastAsia="Times New Roman" w:cs="Times New Roman"/>
          <w:sz w:val="22"/>
          <w:lang w:eastAsia="lv-LV"/>
        </w:rPr>
      </w:pPr>
    </w:p>
    <w:p w14:paraId="3A8F6161" w14:textId="77777777" w:rsidR="00594984" w:rsidRPr="00594984" w:rsidRDefault="00594984" w:rsidP="00594984">
      <w:pPr>
        <w:ind w:left="57" w:right="57"/>
        <w:contextualSpacing/>
        <w:jc w:val="center"/>
        <w:rPr>
          <w:rFonts w:eastAsia="Times New Roman" w:cs="Times New Roman"/>
          <w:b/>
          <w:sz w:val="22"/>
          <w:lang w:eastAsia="lv-LV"/>
        </w:rPr>
      </w:pPr>
      <w:r w:rsidRPr="00594984">
        <w:rPr>
          <w:rFonts w:eastAsia="Times New Roman" w:cs="Times New Roman"/>
          <w:b/>
          <w:sz w:val="22"/>
          <w:lang w:eastAsia="lv-LV"/>
        </w:rPr>
        <w:t>I Jautājumi, par kuriem saskaņošanā vienošanās nav panākta</w:t>
      </w:r>
    </w:p>
    <w:tbl>
      <w:tblPr>
        <w:tblW w:w="15103" w:type="dxa"/>
        <w:tblCellSpacing w:w="1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3002"/>
        <w:gridCol w:w="4375"/>
        <w:gridCol w:w="3428"/>
        <w:gridCol w:w="3660"/>
      </w:tblGrid>
      <w:tr w:rsidR="003A376E" w:rsidRPr="00594984" w14:paraId="6603CB8A" w14:textId="77777777" w:rsidTr="00F53432">
        <w:trPr>
          <w:tblCellSpacing w:w="11" w:type="dxa"/>
        </w:trPr>
        <w:tc>
          <w:tcPr>
            <w:tcW w:w="605" w:type="dxa"/>
            <w:vAlign w:val="center"/>
          </w:tcPr>
          <w:p w14:paraId="7D534EBA" w14:textId="77777777" w:rsidR="003A376E" w:rsidRPr="00594984" w:rsidRDefault="003A376E" w:rsidP="00F53432">
            <w:pPr>
              <w:ind w:left="57" w:right="57"/>
              <w:contextualSpacing/>
              <w:rPr>
                <w:rFonts w:eastAsia="Times New Roman" w:cs="Times New Roman"/>
                <w:sz w:val="22"/>
                <w:lang w:eastAsia="lv-LV"/>
              </w:rPr>
            </w:pPr>
            <w:proofErr w:type="spellStart"/>
            <w:r w:rsidRPr="00594984">
              <w:rPr>
                <w:rFonts w:eastAsia="Times New Roman" w:cs="Times New Roman"/>
                <w:sz w:val="22"/>
                <w:lang w:eastAsia="lv-LV"/>
              </w:rPr>
              <w:t>Nr</w:t>
            </w:r>
            <w:proofErr w:type="spellEnd"/>
            <w:r w:rsidRPr="00594984">
              <w:rPr>
                <w:rFonts w:eastAsia="Times New Roman" w:cs="Times New Roman"/>
                <w:sz w:val="22"/>
                <w:lang w:eastAsia="lv-LV"/>
              </w:rPr>
              <w:t xml:space="preserve"> p.k.</w:t>
            </w:r>
          </w:p>
        </w:tc>
        <w:tc>
          <w:tcPr>
            <w:tcW w:w="2980" w:type="dxa"/>
            <w:vAlign w:val="center"/>
          </w:tcPr>
          <w:p w14:paraId="0000345A" w14:textId="77777777" w:rsidR="003A376E" w:rsidRPr="00594984" w:rsidRDefault="003A376E" w:rsidP="00F53432">
            <w:pPr>
              <w:ind w:left="57" w:right="57"/>
              <w:contextualSpacing/>
              <w:jc w:val="center"/>
              <w:rPr>
                <w:rFonts w:eastAsia="Times New Roman" w:cs="Times New Roman"/>
                <w:sz w:val="22"/>
                <w:lang w:eastAsia="lv-LV"/>
              </w:rPr>
            </w:pPr>
            <w:r w:rsidRPr="00594984">
              <w:rPr>
                <w:rFonts w:eastAsia="Times New Roman" w:cs="Times New Roman"/>
                <w:sz w:val="22"/>
                <w:lang w:eastAsia="lv-LV"/>
              </w:rPr>
              <w:t>Saskaņošanai nosūtītā projekta redakcija (konkrēta punkta (panta) redakcija)</w:t>
            </w:r>
          </w:p>
        </w:tc>
        <w:tc>
          <w:tcPr>
            <w:tcW w:w="4353" w:type="dxa"/>
            <w:vAlign w:val="center"/>
          </w:tcPr>
          <w:p w14:paraId="22E52110" w14:textId="77777777" w:rsidR="003A376E" w:rsidRPr="00594984" w:rsidRDefault="003A376E" w:rsidP="00F53432">
            <w:pPr>
              <w:ind w:left="57" w:right="57"/>
              <w:contextualSpacing/>
              <w:jc w:val="center"/>
              <w:rPr>
                <w:rFonts w:eastAsia="Times New Roman" w:cs="Times New Roman"/>
                <w:sz w:val="22"/>
                <w:lang w:eastAsia="lv-LV"/>
              </w:rPr>
            </w:pPr>
            <w:r w:rsidRPr="00594984">
              <w:rPr>
                <w:rFonts w:eastAsia="Times New Roman" w:cs="Times New Roman"/>
                <w:sz w:val="22"/>
                <w:lang w:eastAsia="lv-LV"/>
              </w:rPr>
              <w:t>Atzinumā norādītais ministrijas (citas institūcijas) iebildums, kā arī saskaņošanā papildus izteiktais iebildums par projekta konkrēto punktu (pantu)</w:t>
            </w:r>
          </w:p>
        </w:tc>
        <w:tc>
          <w:tcPr>
            <w:tcW w:w="3406" w:type="dxa"/>
            <w:vAlign w:val="center"/>
          </w:tcPr>
          <w:p w14:paraId="4B32176A" w14:textId="77777777" w:rsidR="003A376E" w:rsidRPr="00594984" w:rsidRDefault="003A376E" w:rsidP="00F53432">
            <w:pPr>
              <w:ind w:left="57" w:right="57"/>
              <w:contextualSpacing/>
              <w:jc w:val="both"/>
              <w:rPr>
                <w:rFonts w:eastAsia="Times New Roman" w:cs="Times New Roman"/>
                <w:sz w:val="22"/>
                <w:lang w:eastAsia="lv-LV"/>
              </w:rPr>
            </w:pPr>
            <w:r w:rsidRPr="00594984">
              <w:rPr>
                <w:rFonts w:eastAsia="Times New Roman" w:cs="Times New Roman"/>
                <w:sz w:val="22"/>
                <w:lang w:eastAsia="lv-LV"/>
              </w:rPr>
              <w:t>Atbildīgās ministrijas norāde par to, ka iebildums ir ņemts vērā, vai informācija par saskaņošanā panākto alternatīvo risinājumu</w:t>
            </w:r>
          </w:p>
        </w:tc>
        <w:tc>
          <w:tcPr>
            <w:tcW w:w="3627" w:type="dxa"/>
            <w:vAlign w:val="center"/>
          </w:tcPr>
          <w:p w14:paraId="5BB91266" w14:textId="77777777" w:rsidR="003A376E" w:rsidRPr="00594984" w:rsidRDefault="003A376E" w:rsidP="00F53432">
            <w:pPr>
              <w:ind w:left="57" w:right="57"/>
              <w:contextualSpacing/>
              <w:jc w:val="both"/>
              <w:rPr>
                <w:rFonts w:eastAsia="Times New Roman" w:cs="Times New Roman"/>
                <w:sz w:val="22"/>
                <w:lang w:eastAsia="lv-LV"/>
              </w:rPr>
            </w:pPr>
            <w:r w:rsidRPr="00594984">
              <w:rPr>
                <w:rFonts w:eastAsia="Times New Roman" w:cs="Times New Roman"/>
                <w:sz w:val="22"/>
                <w:lang w:eastAsia="lv-LV"/>
              </w:rPr>
              <w:t>Projekta attiecīgā punkta (panta) galīgā redakcija</w:t>
            </w:r>
          </w:p>
        </w:tc>
      </w:tr>
      <w:tr w:rsidR="003A376E" w:rsidRPr="00594984" w14:paraId="11C8F9CA" w14:textId="77777777" w:rsidTr="00F53432">
        <w:trPr>
          <w:trHeight w:val="318"/>
          <w:tblCellSpacing w:w="11" w:type="dxa"/>
        </w:trPr>
        <w:tc>
          <w:tcPr>
            <w:tcW w:w="605" w:type="dxa"/>
          </w:tcPr>
          <w:p w14:paraId="3AA449F8" w14:textId="3EF7CE0C" w:rsidR="003A376E" w:rsidRPr="00594984" w:rsidRDefault="003A376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1</w:t>
            </w:r>
          </w:p>
        </w:tc>
        <w:tc>
          <w:tcPr>
            <w:tcW w:w="2980" w:type="dxa"/>
          </w:tcPr>
          <w:p w14:paraId="4BB68AF5" w14:textId="77777777" w:rsidR="003A376E" w:rsidRPr="00594984" w:rsidRDefault="003A376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2</w:t>
            </w:r>
          </w:p>
        </w:tc>
        <w:tc>
          <w:tcPr>
            <w:tcW w:w="4353" w:type="dxa"/>
          </w:tcPr>
          <w:p w14:paraId="34FDA701" w14:textId="77777777" w:rsidR="003A376E" w:rsidRPr="00594984" w:rsidRDefault="003A376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3</w:t>
            </w:r>
          </w:p>
        </w:tc>
        <w:tc>
          <w:tcPr>
            <w:tcW w:w="3406" w:type="dxa"/>
          </w:tcPr>
          <w:p w14:paraId="01FCAE94" w14:textId="77777777" w:rsidR="003A376E" w:rsidRPr="00594984" w:rsidRDefault="003A376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4</w:t>
            </w:r>
          </w:p>
        </w:tc>
        <w:tc>
          <w:tcPr>
            <w:tcW w:w="3627" w:type="dxa"/>
          </w:tcPr>
          <w:p w14:paraId="55C215BE" w14:textId="77777777" w:rsidR="003A376E" w:rsidRPr="00594984" w:rsidRDefault="003A376E" w:rsidP="003A376E">
            <w:pPr>
              <w:ind w:left="57" w:right="57"/>
              <w:contextualSpacing/>
              <w:jc w:val="center"/>
              <w:rPr>
                <w:rFonts w:eastAsia="Times New Roman" w:cs="Times New Roman"/>
                <w:sz w:val="22"/>
                <w:lang w:eastAsia="lv-LV"/>
              </w:rPr>
            </w:pPr>
            <w:r w:rsidRPr="00594984">
              <w:rPr>
                <w:rFonts w:eastAsia="Times New Roman" w:cs="Times New Roman"/>
                <w:sz w:val="22"/>
                <w:lang w:eastAsia="lv-LV"/>
              </w:rPr>
              <w:t>5</w:t>
            </w:r>
          </w:p>
        </w:tc>
      </w:tr>
      <w:tr w:rsidR="003A376E" w:rsidRPr="00594984" w14:paraId="32BDFDFE" w14:textId="77777777" w:rsidTr="003A376E">
        <w:trPr>
          <w:trHeight w:val="318"/>
          <w:tblCellSpacing w:w="11" w:type="dxa"/>
        </w:trPr>
        <w:tc>
          <w:tcPr>
            <w:tcW w:w="15059" w:type="dxa"/>
            <w:gridSpan w:val="5"/>
          </w:tcPr>
          <w:p w14:paraId="31089EB9" w14:textId="4F1DA2B5" w:rsidR="003A376E" w:rsidRPr="003A376E" w:rsidRDefault="003A376E" w:rsidP="003A376E">
            <w:pPr>
              <w:ind w:left="57" w:right="57"/>
              <w:contextualSpacing/>
              <w:rPr>
                <w:rFonts w:eastAsia="Times New Roman" w:cs="Times New Roman"/>
                <w:b/>
                <w:sz w:val="22"/>
                <w:lang w:eastAsia="lv-LV"/>
              </w:rPr>
            </w:pPr>
            <w:r w:rsidRPr="003A376E">
              <w:rPr>
                <w:rFonts w:eastAsia="Times New Roman" w:cs="Times New Roman"/>
                <w:b/>
                <w:sz w:val="22"/>
                <w:lang w:eastAsia="lv-LV"/>
              </w:rPr>
              <w:t>Noteikumi</w:t>
            </w:r>
          </w:p>
        </w:tc>
      </w:tr>
      <w:tr w:rsidR="003A376E" w:rsidRPr="00594984" w14:paraId="7771F2B8" w14:textId="77777777" w:rsidTr="00F53432">
        <w:trPr>
          <w:trHeight w:val="318"/>
          <w:tblCellSpacing w:w="11" w:type="dxa"/>
        </w:trPr>
        <w:tc>
          <w:tcPr>
            <w:tcW w:w="605" w:type="dxa"/>
          </w:tcPr>
          <w:p w14:paraId="51862A4C" w14:textId="77777777" w:rsidR="003A376E" w:rsidRPr="00594984" w:rsidRDefault="003A376E" w:rsidP="00F53432">
            <w:pPr>
              <w:ind w:left="57" w:right="57"/>
              <w:contextualSpacing/>
              <w:rPr>
                <w:rFonts w:eastAsia="Times New Roman" w:cs="Times New Roman"/>
                <w:sz w:val="22"/>
                <w:lang w:eastAsia="lv-LV"/>
              </w:rPr>
            </w:pPr>
          </w:p>
        </w:tc>
        <w:tc>
          <w:tcPr>
            <w:tcW w:w="2980" w:type="dxa"/>
          </w:tcPr>
          <w:p w14:paraId="23118020" w14:textId="77777777" w:rsidR="003A376E" w:rsidRPr="00594984" w:rsidRDefault="003A376E" w:rsidP="00F53432">
            <w:pPr>
              <w:ind w:left="57" w:right="57"/>
              <w:contextualSpacing/>
              <w:jc w:val="center"/>
              <w:rPr>
                <w:rFonts w:eastAsia="Times New Roman" w:cs="Times New Roman"/>
                <w:sz w:val="22"/>
                <w:lang w:eastAsia="lv-LV"/>
              </w:rPr>
            </w:pPr>
          </w:p>
        </w:tc>
        <w:tc>
          <w:tcPr>
            <w:tcW w:w="4353" w:type="dxa"/>
          </w:tcPr>
          <w:p w14:paraId="716D0F48" w14:textId="77777777" w:rsidR="003A376E" w:rsidRPr="00594984" w:rsidRDefault="003A376E" w:rsidP="00F53432">
            <w:pPr>
              <w:ind w:left="57" w:right="57"/>
              <w:contextualSpacing/>
              <w:jc w:val="center"/>
              <w:rPr>
                <w:rFonts w:eastAsia="Times New Roman" w:cs="Times New Roman"/>
                <w:sz w:val="22"/>
                <w:lang w:eastAsia="lv-LV"/>
              </w:rPr>
            </w:pPr>
          </w:p>
        </w:tc>
        <w:tc>
          <w:tcPr>
            <w:tcW w:w="3406" w:type="dxa"/>
          </w:tcPr>
          <w:p w14:paraId="7FF03E2E" w14:textId="77777777" w:rsidR="003A376E" w:rsidRPr="00594984" w:rsidRDefault="003A376E" w:rsidP="00F53432">
            <w:pPr>
              <w:ind w:left="57" w:right="57"/>
              <w:contextualSpacing/>
              <w:jc w:val="both"/>
              <w:rPr>
                <w:rFonts w:eastAsia="Times New Roman" w:cs="Times New Roman"/>
                <w:sz w:val="22"/>
                <w:lang w:eastAsia="lv-LV"/>
              </w:rPr>
            </w:pPr>
          </w:p>
        </w:tc>
        <w:tc>
          <w:tcPr>
            <w:tcW w:w="3627" w:type="dxa"/>
          </w:tcPr>
          <w:p w14:paraId="3E8E62D2" w14:textId="77777777" w:rsidR="003A376E" w:rsidRPr="00594984" w:rsidRDefault="003A376E" w:rsidP="00F53432">
            <w:pPr>
              <w:ind w:left="57" w:right="57"/>
              <w:contextualSpacing/>
              <w:jc w:val="center"/>
              <w:rPr>
                <w:rFonts w:eastAsia="Times New Roman" w:cs="Times New Roman"/>
                <w:sz w:val="22"/>
                <w:lang w:eastAsia="lv-LV"/>
              </w:rPr>
            </w:pPr>
          </w:p>
        </w:tc>
      </w:tr>
    </w:tbl>
    <w:p w14:paraId="36C62DD8" w14:textId="77777777" w:rsidR="00594984" w:rsidRPr="00594984" w:rsidRDefault="00594984" w:rsidP="00594984">
      <w:pPr>
        <w:contextualSpacing/>
        <w:jc w:val="both"/>
        <w:outlineLvl w:val="0"/>
        <w:rPr>
          <w:rFonts w:eastAsia="Times New Roman" w:cs="Times New Roman"/>
          <w:sz w:val="22"/>
          <w:lang w:eastAsia="lv-LV"/>
        </w:rPr>
      </w:pPr>
      <w:r w:rsidRPr="00594984">
        <w:rPr>
          <w:rFonts w:eastAsia="Times New Roman" w:cs="Times New Roman"/>
          <w:sz w:val="22"/>
          <w:lang w:eastAsia="lv-LV"/>
        </w:rPr>
        <w:t xml:space="preserve">Informācija par  </w:t>
      </w:r>
      <w:proofErr w:type="spellStart"/>
      <w:r w:rsidRPr="00594984">
        <w:rPr>
          <w:rFonts w:eastAsia="Times New Roman" w:cs="Times New Roman"/>
          <w:sz w:val="22"/>
          <w:lang w:eastAsia="lv-LV"/>
        </w:rPr>
        <w:t>starpministriju</w:t>
      </w:r>
      <w:proofErr w:type="spellEnd"/>
      <w:r w:rsidRPr="00594984">
        <w:rPr>
          <w:rFonts w:eastAsia="Times New Roman" w:cs="Times New Roman"/>
          <w:sz w:val="22"/>
          <w:lang w:eastAsia="lv-LV"/>
        </w:rPr>
        <w:t xml:space="preserve"> (starpinstitūciju) sanāksmi:</w:t>
      </w:r>
    </w:p>
    <w:tbl>
      <w:tblPr>
        <w:tblW w:w="15559" w:type="dxa"/>
        <w:tblLook w:val="00A0" w:firstRow="1" w:lastRow="0" w:firstColumn="1" w:lastColumn="0" w:noHBand="0" w:noVBand="0"/>
      </w:tblPr>
      <w:tblGrid>
        <w:gridCol w:w="3936"/>
        <w:gridCol w:w="2772"/>
        <w:gridCol w:w="7859"/>
        <w:gridCol w:w="992"/>
      </w:tblGrid>
      <w:tr w:rsidR="00594984" w:rsidRPr="00594984" w14:paraId="02FB417F" w14:textId="77777777" w:rsidTr="00DC77AE">
        <w:trPr>
          <w:gridAfter w:val="1"/>
          <w:wAfter w:w="992" w:type="dxa"/>
        </w:trPr>
        <w:tc>
          <w:tcPr>
            <w:tcW w:w="3936" w:type="dxa"/>
          </w:tcPr>
          <w:p w14:paraId="6BD99A99" w14:textId="335E3A84" w:rsidR="00594984" w:rsidRPr="00594984" w:rsidRDefault="00594984" w:rsidP="00594984">
            <w:pPr>
              <w:contextualSpacing/>
              <w:jc w:val="both"/>
              <w:rPr>
                <w:rFonts w:eastAsia="Times New Roman" w:cs="Times New Roman"/>
                <w:sz w:val="22"/>
                <w:lang w:eastAsia="lv-LV"/>
              </w:rPr>
            </w:pPr>
            <w:r w:rsidRPr="00594984">
              <w:rPr>
                <w:rFonts w:eastAsia="Times New Roman" w:cs="Times New Roman"/>
                <w:sz w:val="22"/>
                <w:lang w:eastAsia="lv-LV"/>
              </w:rPr>
              <w:t xml:space="preserve">Datums  </w:t>
            </w:r>
            <w:r w:rsidR="00820823">
              <w:rPr>
                <w:rFonts w:eastAsia="Times New Roman" w:cs="Times New Roman"/>
                <w:sz w:val="22"/>
                <w:lang w:eastAsia="lv-LV"/>
              </w:rPr>
              <w:t>2</w:t>
            </w:r>
            <w:r w:rsidR="001A77EC">
              <w:rPr>
                <w:rFonts w:eastAsia="Times New Roman" w:cs="Times New Roman"/>
                <w:sz w:val="22"/>
                <w:lang w:eastAsia="lv-LV"/>
              </w:rPr>
              <w:t>7.05.2019.</w:t>
            </w:r>
          </w:p>
        </w:tc>
        <w:tc>
          <w:tcPr>
            <w:tcW w:w="10631" w:type="dxa"/>
            <w:gridSpan w:val="2"/>
          </w:tcPr>
          <w:p w14:paraId="160CC556" w14:textId="77777777" w:rsidR="00594984" w:rsidRPr="00594984" w:rsidRDefault="00594984" w:rsidP="00594984">
            <w:pPr>
              <w:ind w:left="33"/>
              <w:contextualSpacing/>
              <w:jc w:val="both"/>
              <w:rPr>
                <w:rFonts w:eastAsia="Times New Roman" w:cs="Times New Roman"/>
                <w:sz w:val="22"/>
                <w:lang w:eastAsia="lv-LV"/>
              </w:rPr>
            </w:pPr>
          </w:p>
        </w:tc>
      </w:tr>
      <w:tr w:rsidR="00594984" w:rsidRPr="00594984" w14:paraId="67509EF2" w14:textId="77777777" w:rsidTr="00DC77AE">
        <w:trPr>
          <w:gridAfter w:val="1"/>
          <w:wAfter w:w="992" w:type="dxa"/>
          <w:trHeight w:val="135"/>
        </w:trPr>
        <w:tc>
          <w:tcPr>
            <w:tcW w:w="3936" w:type="dxa"/>
          </w:tcPr>
          <w:p w14:paraId="7C0C6306" w14:textId="77777777" w:rsidR="00594984" w:rsidRPr="00594984" w:rsidRDefault="00594984" w:rsidP="00594984">
            <w:pPr>
              <w:contextualSpacing/>
              <w:jc w:val="both"/>
              <w:rPr>
                <w:rFonts w:eastAsia="Times New Roman" w:cs="Times New Roman"/>
                <w:sz w:val="22"/>
                <w:lang w:eastAsia="lv-LV"/>
              </w:rPr>
            </w:pPr>
          </w:p>
        </w:tc>
        <w:tc>
          <w:tcPr>
            <w:tcW w:w="10631" w:type="dxa"/>
            <w:gridSpan w:val="2"/>
          </w:tcPr>
          <w:p w14:paraId="023FDEBD" w14:textId="77777777" w:rsidR="00594984" w:rsidRPr="00594984" w:rsidRDefault="00594984" w:rsidP="00594984">
            <w:pPr>
              <w:contextualSpacing/>
              <w:rPr>
                <w:rFonts w:eastAsia="Times New Roman" w:cs="Times New Roman"/>
                <w:sz w:val="22"/>
                <w:lang w:eastAsia="lv-LV"/>
              </w:rPr>
            </w:pPr>
          </w:p>
        </w:tc>
      </w:tr>
      <w:tr w:rsidR="00594984" w:rsidRPr="00594984" w14:paraId="251044E5" w14:textId="77777777" w:rsidTr="00DC77AE">
        <w:trPr>
          <w:gridAfter w:val="1"/>
          <w:wAfter w:w="992" w:type="dxa"/>
          <w:trHeight w:val="135"/>
        </w:trPr>
        <w:tc>
          <w:tcPr>
            <w:tcW w:w="3936" w:type="dxa"/>
          </w:tcPr>
          <w:p w14:paraId="1AEEA327" w14:textId="77777777" w:rsidR="00594984" w:rsidRPr="00594984" w:rsidRDefault="00594984" w:rsidP="00594984">
            <w:pPr>
              <w:contextualSpacing/>
              <w:jc w:val="both"/>
              <w:rPr>
                <w:rFonts w:eastAsia="Times New Roman" w:cs="Times New Roman"/>
                <w:sz w:val="22"/>
                <w:lang w:eastAsia="lv-LV"/>
              </w:rPr>
            </w:pPr>
          </w:p>
        </w:tc>
        <w:tc>
          <w:tcPr>
            <w:tcW w:w="10631" w:type="dxa"/>
            <w:gridSpan w:val="2"/>
          </w:tcPr>
          <w:p w14:paraId="4FF5D59A" w14:textId="77777777" w:rsidR="00594984" w:rsidRPr="00594984" w:rsidRDefault="00594984" w:rsidP="00594984">
            <w:pPr>
              <w:contextualSpacing/>
              <w:rPr>
                <w:rFonts w:eastAsia="Times New Roman" w:cs="Times New Roman"/>
                <w:sz w:val="22"/>
                <w:lang w:eastAsia="lv-LV"/>
              </w:rPr>
            </w:pPr>
          </w:p>
        </w:tc>
      </w:tr>
      <w:tr w:rsidR="00594984" w:rsidRPr="00594984" w14:paraId="755D72D5" w14:textId="77777777" w:rsidTr="00DC77AE">
        <w:trPr>
          <w:gridAfter w:val="1"/>
          <w:wAfter w:w="992" w:type="dxa"/>
        </w:trPr>
        <w:tc>
          <w:tcPr>
            <w:tcW w:w="3936" w:type="dxa"/>
          </w:tcPr>
          <w:p w14:paraId="7C2FD7C2" w14:textId="77777777" w:rsidR="00594984" w:rsidRPr="00594984" w:rsidRDefault="00594984" w:rsidP="00594984">
            <w:pPr>
              <w:ind w:right="-108"/>
              <w:contextualSpacing/>
              <w:rPr>
                <w:rFonts w:eastAsia="Times New Roman" w:cs="Times New Roman"/>
                <w:sz w:val="22"/>
                <w:lang w:eastAsia="lv-LV"/>
              </w:rPr>
            </w:pPr>
            <w:r w:rsidRPr="00594984">
              <w:rPr>
                <w:rFonts w:eastAsia="Times New Roman" w:cs="Times New Roman"/>
                <w:sz w:val="22"/>
                <w:lang w:eastAsia="lv-LV"/>
              </w:rPr>
              <w:t xml:space="preserve">Saskaņošanas dalībnieki   </w:t>
            </w:r>
          </w:p>
        </w:tc>
        <w:tc>
          <w:tcPr>
            <w:tcW w:w="10631" w:type="dxa"/>
            <w:gridSpan w:val="2"/>
          </w:tcPr>
          <w:p w14:paraId="5275341F" w14:textId="3727BE43" w:rsidR="00594984" w:rsidRPr="00594984" w:rsidRDefault="00594984" w:rsidP="00160B22">
            <w:pPr>
              <w:jc w:val="both"/>
              <w:rPr>
                <w:rFonts w:eastAsia="Times New Roman" w:cs="Times New Roman"/>
                <w:b/>
                <w:bCs/>
                <w:sz w:val="22"/>
                <w:lang w:eastAsia="lv-LV"/>
              </w:rPr>
            </w:pPr>
            <w:r w:rsidRPr="00594984">
              <w:rPr>
                <w:rFonts w:eastAsia="Times New Roman" w:cs="Times New Roman"/>
                <w:b/>
                <w:bCs/>
                <w:sz w:val="22"/>
                <w:lang w:eastAsia="lv-LV"/>
              </w:rPr>
              <w:t>Tieslietu ministrija, Finanšu ministrij</w:t>
            </w:r>
            <w:r w:rsidR="00247EED">
              <w:rPr>
                <w:rFonts w:eastAsia="Times New Roman" w:cs="Times New Roman"/>
                <w:b/>
                <w:bCs/>
                <w:sz w:val="22"/>
                <w:lang w:eastAsia="lv-LV"/>
              </w:rPr>
              <w:t>a</w:t>
            </w:r>
            <w:r w:rsidRPr="00594984">
              <w:rPr>
                <w:rFonts w:eastAsia="Times New Roman" w:cs="Times New Roman"/>
                <w:b/>
                <w:bCs/>
                <w:sz w:val="22"/>
                <w:lang w:eastAsia="lv-LV"/>
              </w:rPr>
              <w:t xml:space="preserve">, Aizsardzības ministrija, </w:t>
            </w:r>
            <w:proofErr w:type="spellStart"/>
            <w:r>
              <w:rPr>
                <w:rFonts w:eastAsia="Times New Roman" w:cs="Times New Roman"/>
                <w:b/>
                <w:bCs/>
                <w:sz w:val="22"/>
                <w:lang w:eastAsia="lv-LV"/>
              </w:rPr>
              <w:t>Iekšlietu</w:t>
            </w:r>
            <w:proofErr w:type="spellEnd"/>
            <w:r>
              <w:rPr>
                <w:rFonts w:eastAsia="Times New Roman" w:cs="Times New Roman"/>
                <w:b/>
                <w:bCs/>
                <w:sz w:val="22"/>
                <w:lang w:eastAsia="lv-LV"/>
              </w:rPr>
              <w:t xml:space="preserve"> ministrija, </w:t>
            </w:r>
            <w:r w:rsidRPr="00594984">
              <w:rPr>
                <w:rFonts w:eastAsia="Times New Roman" w:cs="Times New Roman"/>
                <w:b/>
                <w:bCs/>
                <w:sz w:val="22"/>
                <w:lang w:eastAsia="lv-LV"/>
              </w:rPr>
              <w:t xml:space="preserve">Satiksmes ministrija, Vides aizsardzības un reģionālās attīstības ministrija, Latvijas Pašvaldību savienība un Latvijas Brīvo arodbiedrību savienība </w:t>
            </w:r>
          </w:p>
        </w:tc>
      </w:tr>
      <w:tr w:rsidR="00594984" w:rsidRPr="00594984" w14:paraId="317445B1" w14:textId="77777777" w:rsidTr="00DC77AE">
        <w:trPr>
          <w:gridAfter w:val="1"/>
          <w:wAfter w:w="992" w:type="dxa"/>
        </w:trPr>
        <w:tc>
          <w:tcPr>
            <w:tcW w:w="3936" w:type="dxa"/>
          </w:tcPr>
          <w:p w14:paraId="1D0B52F6" w14:textId="77777777" w:rsidR="00594984" w:rsidRPr="00594984" w:rsidRDefault="00594984" w:rsidP="00594984">
            <w:pPr>
              <w:contextualSpacing/>
              <w:rPr>
                <w:rFonts w:eastAsia="Times New Roman" w:cs="Times New Roman"/>
                <w:sz w:val="22"/>
                <w:lang w:eastAsia="lv-LV"/>
              </w:rPr>
            </w:pPr>
          </w:p>
        </w:tc>
        <w:tc>
          <w:tcPr>
            <w:tcW w:w="10631" w:type="dxa"/>
            <w:gridSpan w:val="2"/>
          </w:tcPr>
          <w:p w14:paraId="567A6B53" w14:textId="77777777" w:rsidR="00594984" w:rsidRPr="00594984" w:rsidRDefault="00594984" w:rsidP="00594984">
            <w:pPr>
              <w:ind w:left="33"/>
              <w:contextualSpacing/>
              <w:rPr>
                <w:rFonts w:eastAsia="Times New Roman" w:cs="Times New Roman"/>
                <w:sz w:val="22"/>
                <w:lang w:eastAsia="lv-LV"/>
              </w:rPr>
            </w:pPr>
          </w:p>
        </w:tc>
      </w:tr>
      <w:tr w:rsidR="00594984" w:rsidRPr="00594984" w14:paraId="2DFE7639" w14:textId="77777777" w:rsidTr="00DC77AE">
        <w:trPr>
          <w:gridAfter w:val="1"/>
          <w:wAfter w:w="992" w:type="dxa"/>
          <w:trHeight w:val="285"/>
        </w:trPr>
        <w:tc>
          <w:tcPr>
            <w:tcW w:w="6708" w:type="dxa"/>
            <w:gridSpan w:val="2"/>
          </w:tcPr>
          <w:p w14:paraId="54A2586A" w14:textId="506AAB78"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 xml:space="preserve">Saskaņošanas dalībnieki izskatīja šādu ministriju (citu institūciju) </w:t>
            </w:r>
            <w:r w:rsidR="00160B22">
              <w:rPr>
                <w:rFonts w:eastAsia="Times New Roman" w:cs="Times New Roman"/>
                <w:sz w:val="22"/>
                <w:lang w:eastAsia="lv-LV"/>
              </w:rPr>
              <w:t>i</w:t>
            </w:r>
            <w:r w:rsidRPr="00594984">
              <w:rPr>
                <w:rFonts w:eastAsia="Times New Roman" w:cs="Times New Roman"/>
                <w:sz w:val="22"/>
                <w:lang w:eastAsia="lv-LV"/>
              </w:rPr>
              <w:t>ebildumus</w:t>
            </w:r>
          </w:p>
        </w:tc>
        <w:tc>
          <w:tcPr>
            <w:tcW w:w="7859" w:type="dxa"/>
          </w:tcPr>
          <w:p w14:paraId="7326AE6D" w14:textId="77777777" w:rsidR="00594984" w:rsidRPr="00594984" w:rsidRDefault="00594984" w:rsidP="00594984">
            <w:pPr>
              <w:rPr>
                <w:rFonts w:eastAsia="Times New Roman" w:cs="Times New Roman"/>
                <w:b/>
                <w:sz w:val="22"/>
                <w:lang w:eastAsia="lv-LV"/>
              </w:rPr>
            </w:pPr>
          </w:p>
        </w:tc>
      </w:tr>
      <w:tr w:rsidR="00594984" w:rsidRPr="00594984" w14:paraId="71E81E85" w14:textId="77777777" w:rsidTr="00DC77AE">
        <w:trPr>
          <w:trHeight w:val="95"/>
        </w:trPr>
        <w:tc>
          <w:tcPr>
            <w:tcW w:w="6708" w:type="dxa"/>
            <w:gridSpan w:val="2"/>
          </w:tcPr>
          <w:p w14:paraId="160A2E78"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Ministrijas (citas institūcijas), kuras nav ieradušās uz sanāksmi vai kuras nav atbildējušas uz uzaicinājumu piedalīties elektroniskajā saskaņošanā</w:t>
            </w:r>
          </w:p>
          <w:p w14:paraId="1FA56931" w14:textId="77777777" w:rsidR="00594984" w:rsidRPr="00594984" w:rsidRDefault="00594984" w:rsidP="00594984">
            <w:pPr>
              <w:contextualSpacing/>
              <w:rPr>
                <w:rFonts w:eastAsia="Times New Roman" w:cs="Times New Roman"/>
                <w:sz w:val="22"/>
                <w:lang w:eastAsia="lv-LV"/>
              </w:rPr>
            </w:pPr>
          </w:p>
        </w:tc>
        <w:tc>
          <w:tcPr>
            <w:tcW w:w="8851" w:type="dxa"/>
            <w:gridSpan w:val="2"/>
          </w:tcPr>
          <w:p w14:paraId="27C14E1A" w14:textId="77777777" w:rsidR="00594984" w:rsidRPr="00594984" w:rsidRDefault="00594984" w:rsidP="00594984">
            <w:pPr>
              <w:ind w:left="33" w:right="-108"/>
              <w:contextualSpacing/>
              <w:rPr>
                <w:rFonts w:eastAsia="Times New Roman" w:cs="Times New Roman"/>
                <w:b/>
                <w:sz w:val="22"/>
                <w:lang w:eastAsia="lv-LV"/>
              </w:rPr>
            </w:pPr>
          </w:p>
          <w:p w14:paraId="3DDDF1FE" w14:textId="77777777" w:rsidR="00594984" w:rsidRPr="00594984" w:rsidRDefault="00594984" w:rsidP="00594984">
            <w:pPr>
              <w:ind w:left="33" w:right="-108"/>
              <w:contextualSpacing/>
              <w:rPr>
                <w:rFonts w:eastAsia="Times New Roman" w:cs="Times New Roman"/>
                <w:b/>
                <w:sz w:val="22"/>
                <w:lang w:eastAsia="lv-LV"/>
              </w:rPr>
            </w:pPr>
          </w:p>
          <w:p w14:paraId="0699801C" w14:textId="77777777" w:rsidR="00594984" w:rsidRPr="00594984" w:rsidRDefault="00594984" w:rsidP="00594984">
            <w:pPr>
              <w:ind w:left="33" w:right="-108"/>
              <w:contextualSpacing/>
              <w:rPr>
                <w:rFonts w:eastAsia="Times New Roman" w:cs="Times New Roman"/>
                <w:b/>
                <w:sz w:val="22"/>
                <w:lang w:eastAsia="lv-LV"/>
              </w:rPr>
            </w:pPr>
          </w:p>
          <w:p w14:paraId="49D455B0" w14:textId="77777777" w:rsidR="00594984" w:rsidRPr="00594984" w:rsidRDefault="00594984" w:rsidP="00594984">
            <w:pPr>
              <w:ind w:left="33" w:right="-108"/>
              <w:contextualSpacing/>
              <w:rPr>
                <w:rFonts w:eastAsia="Times New Roman" w:cs="Times New Roman"/>
                <w:sz w:val="22"/>
                <w:lang w:eastAsia="lv-LV"/>
              </w:rPr>
            </w:pPr>
          </w:p>
        </w:tc>
      </w:tr>
    </w:tbl>
    <w:p w14:paraId="70E7CF7F" w14:textId="77777777" w:rsidR="00594984" w:rsidRPr="00594984" w:rsidRDefault="00594984" w:rsidP="00594984">
      <w:pPr>
        <w:ind w:left="1080" w:right="57" w:firstLine="360"/>
        <w:contextualSpacing/>
        <w:jc w:val="center"/>
        <w:rPr>
          <w:rFonts w:eastAsia="Times New Roman" w:cs="Times New Roman"/>
          <w:b/>
          <w:sz w:val="22"/>
          <w:lang w:eastAsia="lv-LV"/>
        </w:rPr>
      </w:pPr>
      <w:r w:rsidRPr="00594984">
        <w:rPr>
          <w:rFonts w:eastAsia="Times New Roman" w:cs="Times New Roman"/>
          <w:b/>
          <w:sz w:val="22"/>
          <w:lang w:eastAsia="lv-LV"/>
        </w:rPr>
        <w:t>II Jautājumi, par kuriem saskaņošanā vienošanās ir panākta</w:t>
      </w:r>
    </w:p>
    <w:p w14:paraId="08102CA8" w14:textId="77777777" w:rsidR="00594984" w:rsidRPr="00594984" w:rsidRDefault="00594984" w:rsidP="00594984">
      <w:pPr>
        <w:ind w:left="1080" w:right="57"/>
        <w:contextualSpacing/>
        <w:jc w:val="center"/>
        <w:rPr>
          <w:rFonts w:eastAsia="Times New Roman" w:cs="Times New Roman"/>
          <w:b/>
          <w:sz w:val="22"/>
          <w:lang w:eastAsia="lv-LV"/>
        </w:rPr>
      </w:pPr>
    </w:p>
    <w:tbl>
      <w:tblPr>
        <w:tblW w:w="15103" w:type="dxa"/>
        <w:tblCellSpacing w:w="1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8"/>
        <w:gridCol w:w="3002"/>
        <w:gridCol w:w="1400"/>
        <w:gridCol w:w="2975"/>
        <w:gridCol w:w="3428"/>
        <w:gridCol w:w="3622"/>
        <w:gridCol w:w="38"/>
      </w:tblGrid>
      <w:tr w:rsidR="00594984" w:rsidRPr="00594984" w14:paraId="60EE48DA" w14:textId="77777777" w:rsidTr="00840622">
        <w:trPr>
          <w:tblCellSpacing w:w="11" w:type="dxa"/>
        </w:trPr>
        <w:tc>
          <w:tcPr>
            <w:tcW w:w="605" w:type="dxa"/>
            <w:vAlign w:val="center"/>
          </w:tcPr>
          <w:p w14:paraId="6F8DE3B3" w14:textId="77777777" w:rsidR="00594984" w:rsidRPr="00594984" w:rsidRDefault="00594984" w:rsidP="00594984">
            <w:pPr>
              <w:ind w:left="57" w:right="57"/>
              <w:contextualSpacing/>
              <w:rPr>
                <w:rFonts w:eastAsia="Times New Roman" w:cs="Times New Roman"/>
                <w:sz w:val="22"/>
                <w:lang w:eastAsia="lv-LV"/>
              </w:rPr>
            </w:pPr>
            <w:proofErr w:type="spellStart"/>
            <w:r w:rsidRPr="00594984">
              <w:rPr>
                <w:rFonts w:eastAsia="Times New Roman" w:cs="Times New Roman"/>
                <w:sz w:val="22"/>
                <w:lang w:eastAsia="lv-LV"/>
              </w:rPr>
              <w:t>Nr</w:t>
            </w:r>
            <w:proofErr w:type="spellEnd"/>
            <w:r w:rsidRPr="00594984">
              <w:rPr>
                <w:rFonts w:eastAsia="Times New Roman" w:cs="Times New Roman"/>
                <w:sz w:val="22"/>
                <w:lang w:eastAsia="lv-LV"/>
              </w:rPr>
              <w:t xml:space="preserve"> p.k.</w:t>
            </w:r>
          </w:p>
        </w:tc>
        <w:tc>
          <w:tcPr>
            <w:tcW w:w="2980" w:type="dxa"/>
            <w:vAlign w:val="center"/>
          </w:tcPr>
          <w:p w14:paraId="31652C7C"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Saskaņošanai nosūtītā projekta redakcija (konkrēta punkta (panta) redakcija)</w:t>
            </w:r>
          </w:p>
        </w:tc>
        <w:tc>
          <w:tcPr>
            <w:tcW w:w="4353" w:type="dxa"/>
            <w:gridSpan w:val="2"/>
            <w:vAlign w:val="center"/>
          </w:tcPr>
          <w:p w14:paraId="11685E9A"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Atzinumā norādītais ministrijas (citas institūcijas) iebildums, kā arī saskaņošanā papildus izteiktais iebildums par projekta konkrēto punktu (pantu)</w:t>
            </w:r>
          </w:p>
        </w:tc>
        <w:tc>
          <w:tcPr>
            <w:tcW w:w="3406" w:type="dxa"/>
            <w:vAlign w:val="center"/>
          </w:tcPr>
          <w:p w14:paraId="6C01ED58" w14:textId="77777777" w:rsidR="00594984" w:rsidRPr="00594984" w:rsidRDefault="00594984" w:rsidP="00840622">
            <w:pPr>
              <w:ind w:left="57" w:right="57"/>
              <w:contextualSpacing/>
              <w:jc w:val="both"/>
              <w:rPr>
                <w:rFonts w:eastAsia="Times New Roman" w:cs="Times New Roman"/>
                <w:sz w:val="22"/>
                <w:lang w:eastAsia="lv-LV"/>
              </w:rPr>
            </w:pPr>
            <w:r w:rsidRPr="00594984">
              <w:rPr>
                <w:rFonts w:eastAsia="Times New Roman" w:cs="Times New Roman"/>
                <w:sz w:val="22"/>
                <w:lang w:eastAsia="lv-LV"/>
              </w:rPr>
              <w:t>Atbildīgās ministrijas norāde par to, ka iebildums ir ņemts vērā, vai informācija par saskaņošanā panākto alternatīvo risinājumu</w:t>
            </w:r>
          </w:p>
        </w:tc>
        <w:tc>
          <w:tcPr>
            <w:tcW w:w="3627" w:type="dxa"/>
            <w:gridSpan w:val="2"/>
            <w:vAlign w:val="center"/>
          </w:tcPr>
          <w:p w14:paraId="20FB3A0A" w14:textId="77777777" w:rsidR="00594984" w:rsidRPr="00594984" w:rsidRDefault="00594984" w:rsidP="00840622">
            <w:pPr>
              <w:ind w:left="57" w:right="57"/>
              <w:contextualSpacing/>
              <w:jc w:val="both"/>
              <w:rPr>
                <w:rFonts w:eastAsia="Times New Roman" w:cs="Times New Roman"/>
                <w:sz w:val="22"/>
                <w:lang w:eastAsia="lv-LV"/>
              </w:rPr>
            </w:pPr>
            <w:r w:rsidRPr="00594984">
              <w:rPr>
                <w:rFonts w:eastAsia="Times New Roman" w:cs="Times New Roman"/>
                <w:sz w:val="22"/>
                <w:lang w:eastAsia="lv-LV"/>
              </w:rPr>
              <w:t>Projekta attiecīgā punkta (panta) galīgā redakcija</w:t>
            </w:r>
          </w:p>
        </w:tc>
      </w:tr>
      <w:tr w:rsidR="00594984" w:rsidRPr="00594984" w14:paraId="5964E37C" w14:textId="77777777" w:rsidTr="00840622">
        <w:trPr>
          <w:trHeight w:val="318"/>
          <w:tblCellSpacing w:w="11" w:type="dxa"/>
        </w:trPr>
        <w:tc>
          <w:tcPr>
            <w:tcW w:w="605" w:type="dxa"/>
          </w:tcPr>
          <w:p w14:paraId="306DCE61" w14:textId="77777777" w:rsidR="00594984" w:rsidRPr="00594984" w:rsidRDefault="00594984" w:rsidP="00594984">
            <w:pPr>
              <w:ind w:left="57" w:right="57"/>
              <w:contextualSpacing/>
              <w:rPr>
                <w:rFonts w:eastAsia="Times New Roman" w:cs="Times New Roman"/>
                <w:sz w:val="22"/>
                <w:lang w:eastAsia="lv-LV"/>
              </w:rPr>
            </w:pPr>
            <w:r w:rsidRPr="00594984">
              <w:rPr>
                <w:rFonts w:eastAsia="Times New Roman" w:cs="Times New Roman"/>
                <w:sz w:val="22"/>
                <w:lang w:eastAsia="lv-LV"/>
              </w:rPr>
              <w:t xml:space="preserve"> 1</w:t>
            </w:r>
          </w:p>
        </w:tc>
        <w:tc>
          <w:tcPr>
            <w:tcW w:w="2980" w:type="dxa"/>
          </w:tcPr>
          <w:p w14:paraId="7F932A63"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2</w:t>
            </w:r>
          </w:p>
        </w:tc>
        <w:tc>
          <w:tcPr>
            <w:tcW w:w="4353" w:type="dxa"/>
            <w:gridSpan w:val="2"/>
          </w:tcPr>
          <w:p w14:paraId="4BCE1F49" w14:textId="77777777" w:rsidR="00594984" w:rsidRPr="00594984" w:rsidRDefault="00594984" w:rsidP="00594984">
            <w:pPr>
              <w:ind w:left="57" w:right="57"/>
              <w:contextualSpacing/>
              <w:jc w:val="center"/>
              <w:rPr>
                <w:rFonts w:eastAsia="Times New Roman" w:cs="Times New Roman"/>
                <w:sz w:val="22"/>
                <w:lang w:eastAsia="lv-LV"/>
              </w:rPr>
            </w:pPr>
            <w:r w:rsidRPr="00594984">
              <w:rPr>
                <w:rFonts w:eastAsia="Times New Roman" w:cs="Times New Roman"/>
                <w:sz w:val="22"/>
                <w:lang w:eastAsia="lv-LV"/>
              </w:rPr>
              <w:t>3</w:t>
            </w:r>
          </w:p>
        </w:tc>
        <w:tc>
          <w:tcPr>
            <w:tcW w:w="3406" w:type="dxa"/>
          </w:tcPr>
          <w:p w14:paraId="3D930F28" w14:textId="77777777" w:rsidR="00594984" w:rsidRPr="00594984" w:rsidRDefault="00594984" w:rsidP="006603FC">
            <w:pPr>
              <w:ind w:left="57" w:right="57"/>
              <w:contextualSpacing/>
              <w:jc w:val="center"/>
              <w:rPr>
                <w:rFonts w:eastAsia="Times New Roman" w:cs="Times New Roman"/>
                <w:sz w:val="22"/>
                <w:lang w:eastAsia="lv-LV"/>
              </w:rPr>
            </w:pPr>
            <w:r w:rsidRPr="00594984">
              <w:rPr>
                <w:rFonts w:eastAsia="Times New Roman" w:cs="Times New Roman"/>
                <w:sz w:val="22"/>
                <w:lang w:eastAsia="lv-LV"/>
              </w:rPr>
              <w:t>4</w:t>
            </w:r>
          </w:p>
        </w:tc>
        <w:tc>
          <w:tcPr>
            <w:tcW w:w="3627" w:type="dxa"/>
            <w:gridSpan w:val="2"/>
          </w:tcPr>
          <w:p w14:paraId="4DB950FD" w14:textId="77777777" w:rsidR="00594984" w:rsidRPr="00594984" w:rsidRDefault="00594984" w:rsidP="00840622">
            <w:pPr>
              <w:ind w:left="57" w:right="57"/>
              <w:contextualSpacing/>
              <w:jc w:val="center"/>
              <w:rPr>
                <w:rFonts w:eastAsia="Times New Roman" w:cs="Times New Roman"/>
                <w:sz w:val="22"/>
                <w:lang w:eastAsia="lv-LV"/>
              </w:rPr>
            </w:pPr>
            <w:r w:rsidRPr="00594984">
              <w:rPr>
                <w:rFonts w:eastAsia="Times New Roman" w:cs="Times New Roman"/>
                <w:sz w:val="22"/>
                <w:lang w:eastAsia="lv-LV"/>
              </w:rPr>
              <w:t>5</w:t>
            </w:r>
          </w:p>
        </w:tc>
      </w:tr>
      <w:tr w:rsidR="00594984" w:rsidRPr="00594984" w14:paraId="28566BAA" w14:textId="77777777" w:rsidTr="00840622">
        <w:trPr>
          <w:trHeight w:val="318"/>
          <w:tblCellSpacing w:w="11" w:type="dxa"/>
        </w:trPr>
        <w:tc>
          <w:tcPr>
            <w:tcW w:w="15059" w:type="dxa"/>
            <w:gridSpan w:val="7"/>
          </w:tcPr>
          <w:p w14:paraId="0E77E344" w14:textId="77777777" w:rsidR="00594984" w:rsidRPr="00594984" w:rsidRDefault="00594984" w:rsidP="00840622">
            <w:pPr>
              <w:tabs>
                <w:tab w:val="left" w:pos="408"/>
              </w:tabs>
              <w:ind w:left="57" w:right="57"/>
              <w:contextualSpacing/>
              <w:jc w:val="both"/>
              <w:rPr>
                <w:rFonts w:eastAsia="Times New Roman" w:cs="Times New Roman"/>
                <w:b/>
                <w:sz w:val="22"/>
                <w:lang w:eastAsia="lv-LV"/>
              </w:rPr>
            </w:pPr>
            <w:r w:rsidRPr="00594984">
              <w:rPr>
                <w:rFonts w:eastAsia="Times New Roman" w:cs="Times New Roman"/>
                <w:sz w:val="22"/>
                <w:lang w:eastAsia="lv-LV"/>
              </w:rPr>
              <w:lastRenderedPageBreak/>
              <w:tab/>
            </w:r>
            <w:r w:rsidRPr="00594984">
              <w:rPr>
                <w:rFonts w:eastAsia="Times New Roman" w:cs="Times New Roman"/>
                <w:b/>
                <w:sz w:val="22"/>
                <w:lang w:eastAsia="lv-LV"/>
              </w:rPr>
              <w:t>Noteikumi</w:t>
            </w:r>
          </w:p>
        </w:tc>
      </w:tr>
      <w:tr w:rsidR="00594984" w:rsidRPr="00594984" w14:paraId="5E1F47BF" w14:textId="77777777" w:rsidTr="00840622">
        <w:trPr>
          <w:trHeight w:val="318"/>
          <w:tblCellSpacing w:w="11" w:type="dxa"/>
        </w:trPr>
        <w:tc>
          <w:tcPr>
            <w:tcW w:w="605" w:type="dxa"/>
          </w:tcPr>
          <w:p w14:paraId="166D28EF" w14:textId="77777777" w:rsidR="00594984" w:rsidRPr="00594984" w:rsidRDefault="00594984" w:rsidP="00594984">
            <w:pPr>
              <w:ind w:left="57" w:right="57"/>
              <w:contextualSpacing/>
              <w:rPr>
                <w:rFonts w:eastAsia="Times New Roman" w:cs="Times New Roman"/>
                <w:sz w:val="22"/>
                <w:lang w:eastAsia="lv-LV"/>
              </w:rPr>
            </w:pPr>
            <w:r w:rsidRPr="00594984">
              <w:rPr>
                <w:rFonts w:eastAsia="Times New Roman" w:cs="Times New Roman"/>
                <w:sz w:val="22"/>
                <w:lang w:eastAsia="lv-LV"/>
              </w:rPr>
              <w:t>1</w:t>
            </w:r>
          </w:p>
        </w:tc>
        <w:tc>
          <w:tcPr>
            <w:tcW w:w="2980" w:type="dxa"/>
          </w:tcPr>
          <w:p w14:paraId="74C819EF" w14:textId="2D10D709" w:rsidR="00594984" w:rsidRPr="00594984" w:rsidRDefault="00594984" w:rsidP="00594984">
            <w:pPr>
              <w:ind w:left="57" w:right="57"/>
              <w:contextualSpacing/>
              <w:jc w:val="both"/>
              <w:rPr>
                <w:rFonts w:eastAsia="Times New Roman" w:cs="Times New Roman"/>
                <w:sz w:val="22"/>
                <w:lang w:eastAsia="lv-LV"/>
              </w:rPr>
            </w:pPr>
          </w:p>
        </w:tc>
        <w:tc>
          <w:tcPr>
            <w:tcW w:w="4353" w:type="dxa"/>
            <w:gridSpan w:val="2"/>
          </w:tcPr>
          <w:p w14:paraId="3B97E01C" w14:textId="59CA3A83" w:rsidR="00594984" w:rsidRPr="00594984" w:rsidRDefault="00594984" w:rsidP="00594984">
            <w:pPr>
              <w:jc w:val="center"/>
              <w:rPr>
                <w:rFonts w:eastAsia="Times New Roman" w:cs="Times New Roman"/>
                <w:b/>
                <w:sz w:val="22"/>
                <w:u w:val="single"/>
                <w:lang w:eastAsia="lv-LV"/>
              </w:rPr>
            </w:pPr>
            <w:proofErr w:type="spellStart"/>
            <w:r>
              <w:rPr>
                <w:rFonts w:eastAsia="Times New Roman" w:cs="Times New Roman"/>
                <w:b/>
                <w:sz w:val="22"/>
                <w:u w:val="single"/>
                <w:lang w:eastAsia="lv-LV"/>
              </w:rPr>
              <w:t>Iekš</w:t>
            </w:r>
            <w:r w:rsidRPr="00594984">
              <w:rPr>
                <w:rFonts w:eastAsia="Times New Roman" w:cs="Times New Roman"/>
                <w:b/>
                <w:sz w:val="22"/>
                <w:u w:val="single"/>
                <w:lang w:eastAsia="lv-LV"/>
              </w:rPr>
              <w:t>lietu</w:t>
            </w:r>
            <w:proofErr w:type="spellEnd"/>
            <w:r w:rsidRPr="00594984">
              <w:rPr>
                <w:rFonts w:eastAsia="Times New Roman" w:cs="Times New Roman"/>
                <w:b/>
                <w:sz w:val="22"/>
                <w:u w:val="single"/>
                <w:lang w:eastAsia="lv-LV"/>
              </w:rPr>
              <w:t xml:space="preserve"> ministrija</w:t>
            </w:r>
          </w:p>
          <w:p w14:paraId="5E227E21" w14:textId="77777777" w:rsidR="00594984" w:rsidRPr="00594984" w:rsidRDefault="00594984" w:rsidP="00594984">
            <w:pPr>
              <w:tabs>
                <w:tab w:val="left" w:pos="0"/>
                <w:tab w:val="left" w:pos="8640"/>
                <w:tab w:val="left" w:pos="9180"/>
              </w:tabs>
              <w:jc w:val="both"/>
              <w:rPr>
                <w:rFonts w:eastAsiaTheme="minorEastAsia" w:cs="Times New Roman"/>
                <w:sz w:val="22"/>
                <w:lang w:eastAsia="lv-LV"/>
              </w:rPr>
            </w:pPr>
            <w:proofErr w:type="spellStart"/>
            <w:r w:rsidRPr="00594984">
              <w:rPr>
                <w:rFonts w:eastAsiaTheme="minorEastAsia" w:cs="Times New Roman"/>
                <w:sz w:val="22"/>
                <w:lang w:eastAsia="lv-LV"/>
              </w:rPr>
              <w:t>Iekšlietu</w:t>
            </w:r>
            <w:proofErr w:type="spellEnd"/>
            <w:r w:rsidRPr="00594984">
              <w:rPr>
                <w:rFonts w:eastAsiaTheme="minorEastAsia" w:cs="Times New Roman"/>
                <w:sz w:val="22"/>
                <w:lang w:eastAsia="lv-LV"/>
              </w:rPr>
              <w:t xml:space="preserve"> ministrija norāda, ka daļa no projekta normās iekļautajiem standartiem ir uzskatāmi par obligāti piemērojamiem standartiem, jo būvnormatīva piemērotājam nav paredzēta iespēja izmantot alternatīvas aprēķina metodes. Standartizācijas likuma 13.panta otrajā daļā noteikts, ka Ministru kabinets var noteikt obligāti piemērojamus Latvijas nacionālos standartus. Savukārt attiecīgā likuma 14.panta otrajā daļā noteikts, ka obligāti piemērojamiem Latvijas nacionālajiem standartiem ir jābūt tulkotiem valsts valodā. Vienlaikus konstatēts, ka šādi obligāti piemērojamie standarti nav tulkoti valsts valodā:</w:t>
            </w:r>
          </w:p>
          <w:p w14:paraId="6C4DA41C" w14:textId="453D0988" w:rsidR="00594984" w:rsidRPr="00594984" w:rsidRDefault="00594984" w:rsidP="00594984">
            <w:pPr>
              <w:tabs>
                <w:tab w:val="left" w:pos="0"/>
                <w:tab w:val="left" w:pos="8640"/>
                <w:tab w:val="left" w:pos="9180"/>
              </w:tabs>
              <w:jc w:val="both"/>
              <w:rPr>
                <w:rFonts w:eastAsiaTheme="minorEastAsia" w:cs="Times New Roman"/>
                <w:sz w:val="22"/>
                <w:lang w:eastAsia="lv-LV"/>
              </w:rPr>
            </w:pPr>
            <w:r w:rsidRPr="00594984">
              <w:rPr>
                <w:rFonts w:eastAsiaTheme="minorEastAsia" w:cs="Times New Roman"/>
                <w:sz w:val="22"/>
                <w:lang w:eastAsia="lv-LV"/>
              </w:rPr>
              <w:t>1.</w:t>
            </w:r>
            <w:r>
              <w:rPr>
                <w:rFonts w:eastAsiaTheme="minorEastAsia" w:cs="Times New Roman"/>
                <w:sz w:val="22"/>
                <w:lang w:eastAsia="lv-LV"/>
              </w:rPr>
              <w:t> </w:t>
            </w:r>
            <w:r w:rsidRPr="00594984">
              <w:rPr>
                <w:rFonts w:eastAsiaTheme="minorEastAsia" w:cs="Times New Roman"/>
                <w:sz w:val="22"/>
                <w:lang w:eastAsia="lv-LV"/>
              </w:rPr>
              <w:t xml:space="preserve">Būvdetaļas un būvelementi.  </w:t>
            </w:r>
            <w:proofErr w:type="spellStart"/>
            <w:r w:rsidRPr="00594984">
              <w:rPr>
                <w:rFonts w:eastAsiaTheme="minorEastAsia" w:cs="Times New Roman"/>
                <w:sz w:val="22"/>
                <w:lang w:eastAsia="lv-LV"/>
              </w:rPr>
              <w:t>Siltumpretestība</w:t>
            </w:r>
            <w:proofErr w:type="spellEnd"/>
            <w:r w:rsidRPr="00594984">
              <w:rPr>
                <w:rFonts w:eastAsiaTheme="minorEastAsia" w:cs="Times New Roman"/>
                <w:sz w:val="22"/>
                <w:lang w:eastAsia="lv-LV"/>
              </w:rPr>
              <w:t xml:space="preserve"> un </w:t>
            </w:r>
            <w:proofErr w:type="spellStart"/>
            <w:r w:rsidRPr="00594984">
              <w:rPr>
                <w:rFonts w:eastAsiaTheme="minorEastAsia" w:cs="Times New Roman"/>
                <w:sz w:val="22"/>
                <w:lang w:eastAsia="lv-LV"/>
              </w:rPr>
              <w:t>siltumcaurlaidība</w:t>
            </w:r>
            <w:proofErr w:type="spellEnd"/>
            <w:r w:rsidRPr="00594984">
              <w:rPr>
                <w:rFonts w:eastAsiaTheme="minorEastAsia" w:cs="Times New Roman"/>
                <w:sz w:val="22"/>
                <w:lang w:eastAsia="lv-LV"/>
              </w:rPr>
              <w:t>. Aprēķinu metodes ISO 6946:2017;</w:t>
            </w:r>
          </w:p>
          <w:p w14:paraId="799DA421" w14:textId="09FFD11A" w:rsidR="00594984" w:rsidRPr="00594984" w:rsidRDefault="00594984" w:rsidP="00594984">
            <w:pPr>
              <w:tabs>
                <w:tab w:val="left" w:pos="0"/>
                <w:tab w:val="left" w:pos="8640"/>
                <w:tab w:val="left" w:pos="9180"/>
              </w:tabs>
              <w:jc w:val="both"/>
              <w:rPr>
                <w:rFonts w:eastAsiaTheme="minorEastAsia" w:cs="Times New Roman"/>
                <w:sz w:val="22"/>
                <w:lang w:eastAsia="lv-LV"/>
              </w:rPr>
            </w:pPr>
            <w:r w:rsidRPr="00594984">
              <w:rPr>
                <w:rFonts w:eastAsiaTheme="minorEastAsia" w:cs="Times New Roman"/>
                <w:sz w:val="22"/>
                <w:lang w:eastAsia="lv-LV"/>
              </w:rPr>
              <w:t>2.</w:t>
            </w:r>
            <w:r>
              <w:rPr>
                <w:rFonts w:eastAsiaTheme="minorEastAsia" w:cs="Times New Roman"/>
                <w:sz w:val="22"/>
                <w:lang w:eastAsia="lv-LV"/>
              </w:rPr>
              <w:t> </w:t>
            </w:r>
            <w:r w:rsidRPr="00594984">
              <w:rPr>
                <w:rFonts w:eastAsiaTheme="minorEastAsia" w:cs="Times New Roman"/>
                <w:sz w:val="22"/>
                <w:lang w:eastAsia="lv-LV"/>
              </w:rPr>
              <w:t xml:space="preserve">Ēku </w:t>
            </w:r>
            <w:proofErr w:type="spellStart"/>
            <w:r w:rsidRPr="00594984">
              <w:rPr>
                <w:rFonts w:eastAsiaTheme="minorEastAsia" w:cs="Times New Roman"/>
                <w:sz w:val="22"/>
                <w:lang w:eastAsia="lv-LV"/>
              </w:rPr>
              <w:t>siltumtehniskās</w:t>
            </w:r>
            <w:proofErr w:type="spellEnd"/>
            <w:r w:rsidRPr="00594984">
              <w:rPr>
                <w:rFonts w:eastAsiaTheme="minorEastAsia" w:cs="Times New Roman"/>
                <w:sz w:val="22"/>
                <w:lang w:eastAsia="lv-LV"/>
              </w:rPr>
              <w:t xml:space="preserve"> īpašības. Siltuma zudumi caur zemi. Aprēķina metodes ISO 13370:2017;</w:t>
            </w:r>
          </w:p>
          <w:p w14:paraId="2FAE7DCD" w14:textId="0FBB4035" w:rsidR="00594984" w:rsidRPr="00594984" w:rsidRDefault="00594984" w:rsidP="00594984">
            <w:pPr>
              <w:tabs>
                <w:tab w:val="left" w:pos="0"/>
                <w:tab w:val="left" w:pos="8640"/>
                <w:tab w:val="left" w:pos="9180"/>
              </w:tabs>
              <w:jc w:val="both"/>
              <w:rPr>
                <w:rFonts w:eastAsiaTheme="minorEastAsia" w:cs="Times New Roman"/>
                <w:sz w:val="22"/>
                <w:lang w:eastAsia="lv-LV"/>
              </w:rPr>
            </w:pPr>
            <w:r w:rsidRPr="00594984">
              <w:rPr>
                <w:rFonts w:eastAsiaTheme="minorEastAsia" w:cs="Times New Roman"/>
                <w:sz w:val="22"/>
                <w:lang w:eastAsia="lv-LV"/>
              </w:rPr>
              <w:t>3.</w:t>
            </w:r>
            <w:r>
              <w:rPr>
                <w:rFonts w:eastAsiaTheme="minorEastAsia" w:cs="Times New Roman"/>
                <w:sz w:val="22"/>
                <w:lang w:eastAsia="lv-LV"/>
              </w:rPr>
              <w:t> </w:t>
            </w:r>
            <w:r w:rsidRPr="00594984">
              <w:rPr>
                <w:rFonts w:eastAsiaTheme="minorEastAsia" w:cs="Times New Roman"/>
                <w:sz w:val="22"/>
                <w:lang w:eastAsia="lv-LV"/>
              </w:rPr>
              <w:t xml:space="preserve">Logu, durvju un slēģu </w:t>
            </w:r>
            <w:proofErr w:type="spellStart"/>
            <w:r w:rsidRPr="00594984">
              <w:rPr>
                <w:rFonts w:eastAsiaTheme="minorEastAsia" w:cs="Times New Roman"/>
                <w:sz w:val="22"/>
                <w:lang w:eastAsia="lv-LV"/>
              </w:rPr>
              <w:t>siltumefektivitāte</w:t>
            </w:r>
            <w:proofErr w:type="spellEnd"/>
            <w:r w:rsidRPr="00594984">
              <w:rPr>
                <w:rFonts w:eastAsiaTheme="minorEastAsia" w:cs="Times New Roman"/>
                <w:sz w:val="22"/>
                <w:lang w:eastAsia="lv-LV"/>
              </w:rPr>
              <w:t>. Siltuma caurlaidības aprēķini. 1.daļa: Vispārīgi ISO 10077-1:2017 un LVS EN ISO 10077-2:2017;</w:t>
            </w:r>
          </w:p>
          <w:p w14:paraId="541CE608" w14:textId="5BA73BB2" w:rsidR="00594984" w:rsidRPr="00594984" w:rsidRDefault="00594984" w:rsidP="00594984">
            <w:pPr>
              <w:tabs>
                <w:tab w:val="left" w:pos="0"/>
                <w:tab w:val="left" w:pos="8640"/>
                <w:tab w:val="left" w:pos="9180"/>
              </w:tabs>
              <w:jc w:val="both"/>
              <w:rPr>
                <w:rFonts w:eastAsiaTheme="minorEastAsia" w:cs="Times New Roman"/>
                <w:sz w:val="22"/>
                <w:lang w:eastAsia="lv-LV"/>
              </w:rPr>
            </w:pPr>
            <w:r w:rsidRPr="00594984">
              <w:rPr>
                <w:rFonts w:eastAsiaTheme="minorEastAsia" w:cs="Times New Roman"/>
                <w:sz w:val="22"/>
                <w:lang w:eastAsia="lv-LV"/>
              </w:rPr>
              <w:t>4.</w:t>
            </w:r>
            <w:r>
              <w:rPr>
                <w:rFonts w:eastAsiaTheme="minorEastAsia" w:cs="Times New Roman"/>
                <w:sz w:val="22"/>
                <w:lang w:eastAsia="lv-LV"/>
              </w:rPr>
              <w:t> </w:t>
            </w:r>
            <w:r w:rsidRPr="00594984">
              <w:rPr>
                <w:rFonts w:eastAsiaTheme="minorEastAsia" w:cs="Times New Roman"/>
                <w:sz w:val="22"/>
                <w:lang w:eastAsia="lv-LV"/>
              </w:rPr>
              <w:t xml:space="preserve">Logu, durvju un slēģu </w:t>
            </w:r>
            <w:proofErr w:type="spellStart"/>
            <w:r w:rsidRPr="00594984">
              <w:rPr>
                <w:rFonts w:eastAsiaTheme="minorEastAsia" w:cs="Times New Roman"/>
                <w:sz w:val="22"/>
                <w:lang w:eastAsia="lv-LV"/>
              </w:rPr>
              <w:t>siltumefektivitāte</w:t>
            </w:r>
            <w:proofErr w:type="spellEnd"/>
            <w:r w:rsidRPr="00594984">
              <w:rPr>
                <w:rFonts w:eastAsiaTheme="minorEastAsia" w:cs="Times New Roman"/>
                <w:sz w:val="22"/>
                <w:lang w:eastAsia="lv-LV"/>
              </w:rPr>
              <w:t>. Siltuma caurlaidības aprēķini. 2.daļa: Skaitliskā metode rāmjiem ISO 10077-2:2017;</w:t>
            </w:r>
          </w:p>
          <w:p w14:paraId="73B1A276" w14:textId="7D79DBAF" w:rsidR="00594984" w:rsidRPr="00594984" w:rsidRDefault="00594984" w:rsidP="00594984">
            <w:pPr>
              <w:tabs>
                <w:tab w:val="left" w:pos="0"/>
                <w:tab w:val="left" w:pos="8640"/>
                <w:tab w:val="left" w:pos="9180"/>
              </w:tabs>
              <w:jc w:val="both"/>
              <w:rPr>
                <w:rFonts w:eastAsiaTheme="minorEastAsia" w:cs="Times New Roman"/>
                <w:sz w:val="22"/>
                <w:lang w:eastAsia="lv-LV"/>
              </w:rPr>
            </w:pPr>
            <w:r>
              <w:rPr>
                <w:rFonts w:eastAsiaTheme="minorEastAsia" w:cs="Times New Roman"/>
                <w:sz w:val="22"/>
                <w:lang w:eastAsia="lv-LV"/>
              </w:rPr>
              <w:t>5. </w:t>
            </w:r>
            <w:r w:rsidRPr="00594984">
              <w:rPr>
                <w:rFonts w:eastAsiaTheme="minorEastAsia" w:cs="Times New Roman"/>
                <w:sz w:val="22"/>
                <w:lang w:eastAsia="lv-LV"/>
              </w:rPr>
              <w:t>Termiskie tilti būvkonstrukcijās. Siltuma plūsmas un virsmas temperatūras. Detalizēti aprēķini ISO 10211:2017.</w:t>
            </w:r>
          </w:p>
          <w:p w14:paraId="4C7D566E" w14:textId="00B275BE" w:rsidR="00594984" w:rsidRPr="00594984" w:rsidRDefault="00594984" w:rsidP="00594984">
            <w:pPr>
              <w:tabs>
                <w:tab w:val="left" w:pos="0"/>
                <w:tab w:val="left" w:pos="8640"/>
                <w:tab w:val="left" w:pos="9180"/>
              </w:tabs>
              <w:jc w:val="both"/>
              <w:rPr>
                <w:rFonts w:eastAsia="Times New Roman" w:cs="Times New Roman"/>
                <w:b/>
                <w:sz w:val="22"/>
                <w:u w:val="single"/>
                <w:lang w:eastAsia="lv-LV"/>
              </w:rPr>
            </w:pPr>
            <w:r w:rsidRPr="00594984">
              <w:rPr>
                <w:rFonts w:eastAsiaTheme="minorEastAsia" w:cs="Times New Roman"/>
                <w:sz w:val="22"/>
                <w:lang w:eastAsia="lv-LV"/>
              </w:rPr>
              <w:t xml:space="preserve">Tādējādi, </w:t>
            </w:r>
            <w:proofErr w:type="spellStart"/>
            <w:r w:rsidRPr="00594984">
              <w:rPr>
                <w:rFonts w:eastAsiaTheme="minorEastAsia" w:cs="Times New Roman"/>
                <w:sz w:val="22"/>
                <w:lang w:eastAsia="lv-LV"/>
              </w:rPr>
              <w:t>Iekšlietu</w:t>
            </w:r>
            <w:proofErr w:type="spellEnd"/>
            <w:r w:rsidRPr="00594984">
              <w:rPr>
                <w:rFonts w:eastAsiaTheme="minorEastAsia" w:cs="Times New Roman"/>
                <w:sz w:val="22"/>
                <w:lang w:eastAsia="lv-LV"/>
              </w:rPr>
              <w:t xml:space="preserve"> ministrijas ieskatā, nav ievērotas Standartizācijas likuma 14.panta otrajā daļā noteiktās prasības, kas var radīt sarežģījumus būvnormatīva piemērošanas </w:t>
            </w:r>
            <w:r w:rsidRPr="00594984">
              <w:rPr>
                <w:rFonts w:eastAsiaTheme="minorEastAsia" w:cs="Times New Roman"/>
                <w:sz w:val="22"/>
                <w:lang w:eastAsia="lv-LV"/>
              </w:rPr>
              <w:lastRenderedPageBreak/>
              <w:t>procesā. Ievērojot minēto, lūdzam papildināt projekta sākotnējās ietekmes novērtējuma ziņojumu (anotāciju), skaidrojot, vai fakts, ka obligāti piemērojamās prasības nav tulkotas valsts valodā, nav pretrunā Standartizācijas likumā noteiktajam un neradīs šķēršļus to piemērošanā.</w:t>
            </w:r>
          </w:p>
        </w:tc>
        <w:tc>
          <w:tcPr>
            <w:tcW w:w="3406" w:type="dxa"/>
          </w:tcPr>
          <w:p w14:paraId="7F69A601" w14:textId="67C6C5A2" w:rsidR="00594984" w:rsidRPr="00594984" w:rsidRDefault="00594984" w:rsidP="00840622">
            <w:pPr>
              <w:spacing w:before="75" w:after="75"/>
              <w:ind w:left="57" w:right="57"/>
              <w:contextualSpacing/>
              <w:jc w:val="center"/>
              <w:rPr>
                <w:rFonts w:eastAsia="Times New Roman" w:cs="Times New Roman"/>
                <w:b/>
                <w:sz w:val="22"/>
                <w:u w:val="single"/>
                <w:lang w:eastAsia="lv-LV"/>
              </w:rPr>
            </w:pPr>
            <w:r w:rsidRPr="00594984">
              <w:rPr>
                <w:rFonts w:eastAsia="Times New Roman" w:cs="Times New Roman"/>
                <w:b/>
                <w:sz w:val="22"/>
                <w:u w:val="single"/>
                <w:lang w:eastAsia="lv-LV"/>
              </w:rPr>
              <w:lastRenderedPageBreak/>
              <w:t>Ņemts vērā</w:t>
            </w:r>
            <w:r w:rsidR="002127E5">
              <w:rPr>
                <w:rFonts w:eastAsia="Times New Roman" w:cs="Times New Roman"/>
                <w:b/>
                <w:sz w:val="22"/>
                <w:u w:val="single"/>
                <w:lang w:eastAsia="lv-LV"/>
              </w:rPr>
              <w:t>.</w:t>
            </w:r>
          </w:p>
          <w:p w14:paraId="131271B9" w14:textId="779BB2BA" w:rsidR="00594984" w:rsidRPr="00594984" w:rsidRDefault="00794081" w:rsidP="00840622">
            <w:pPr>
              <w:ind w:left="57" w:right="57"/>
              <w:contextualSpacing/>
              <w:jc w:val="both"/>
              <w:rPr>
                <w:rFonts w:eastAsia="Times New Roman" w:cs="Times New Roman"/>
                <w:sz w:val="22"/>
                <w:lang w:eastAsia="lv-LV"/>
              </w:rPr>
            </w:pPr>
            <w:r>
              <w:rPr>
                <w:rFonts w:eastAsia="Times New Roman" w:cs="Times New Roman"/>
                <w:sz w:val="22"/>
                <w:lang w:eastAsia="lv-LV"/>
              </w:rPr>
              <w:t xml:space="preserve">Šie standarti ir nodoti tulkošanai steidzamības kārtā un </w:t>
            </w:r>
            <w:r w:rsidRPr="00794081">
              <w:rPr>
                <w:rFonts w:eastAsia="Times New Roman" w:cs="Times New Roman"/>
                <w:sz w:val="22"/>
                <w:lang w:eastAsia="lv-LV"/>
              </w:rPr>
              <w:t>Ministru kabineta noteikumi par Latvijas būvnormatīvu LBN 002-19 “Ēku norobežojošo konstrukciju siltumtehnika”</w:t>
            </w:r>
            <w:r>
              <w:rPr>
                <w:rFonts w:eastAsia="Times New Roman" w:cs="Times New Roman"/>
                <w:sz w:val="22"/>
                <w:lang w:eastAsia="lv-LV"/>
              </w:rPr>
              <w:t xml:space="preserve"> stāsies spēkā tad, kad būs iztulkoti šie obligāti piemērojamie standarti</w:t>
            </w:r>
            <w:r w:rsidR="00BE261C">
              <w:rPr>
                <w:rFonts w:eastAsia="Times New Roman" w:cs="Times New Roman"/>
                <w:sz w:val="22"/>
                <w:lang w:eastAsia="lv-LV"/>
              </w:rPr>
              <w:t>, ar 2020.gada 1.janvāri</w:t>
            </w:r>
            <w:r>
              <w:rPr>
                <w:rFonts w:eastAsia="Times New Roman" w:cs="Times New Roman"/>
                <w:sz w:val="22"/>
                <w:lang w:eastAsia="lv-LV"/>
              </w:rPr>
              <w:t xml:space="preserve"> </w:t>
            </w:r>
          </w:p>
        </w:tc>
        <w:tc>
          <w:tcPr>
            <w:tcW w:w="3627" w:type="dxa"/>
            <w:gridSpan w:val="2"/>
          </w:tcPr>
          <w:p w14:paraId="45A17556" w14:textId="46EDD4FD" w:rsidR="00594984" w:rsidRPr="00594984" w:rsidRDefault="00594984" w:rsidP="00840622">
            <w:pPr>
              <w:ind w:left="-55" w:right="57"/>
              <w:contextualSpacing/>
              <w:jc w:val="both"/>
              <w:rPr>
                <w:rFonts w:eastAsia="Times New Roman" w:cs="Times New Roman"/>
                <w:sz w:val="22"/>
                <w:lang w:eastAsia="lv-LV"/>
              </w:rPr>
            </w:pPr>
            <w:r w:rsidRPr="00594984">
              <w:rPr>
                <w:rFonts w:eastAsia="Times New Roman" w:cs="Times New Roman"/>
                <w:sz w:val="22"/>
                <w:lang w:eastAsia="lv-LV"/>
              </w:rPr>
              <w:t xml:space="preserve"> </w:t>
            </w:r>
          </w:p>
        </w:tc>
      </w:tr>
      <w:tr w:rsidR="0016277D" w:rsidRPr="00594984" w14:paraId="0317BF1C" w14:textId="77777777" w:rsidTr="00840622">
        <w:trPr>
          <w:trHeight w:val="318"/>
          <w:tblCellSpacing w:w="11" w:type="dxa"/>
        </w:trPr>
        <w:tc>
          <w:tcPr>
            <w:tcW w:w="605" w:type="dxa"/>
          </w:tcPr>
          <w:p w14:paraId="6ADD3440" w14:textId="332B180C" w:rsidR="0016277D" w:rsidRPr="00594984" w:rsidRDefault="00BE261C" w:rsidP="00594984">
            <w:pPr>
              <w:ind w:left="57" w:right="57"/>
              <w:contextualSpacing/>
              <w:rPr>
                <w:rFonts w:eastAsia="Times New Roman" w:cs="Times New Roman"/>
                <w:sz w:val="22"/>
                <w:lang w:eastAsia="lv-LV"/>
              </w:rPr>
            </w:pPr>
            <w:r>
              <w:rPr>
                <w:rFonts w:eastAsia="Times New Roman" w:cs="Times New Roman"/>
                <w:sz w:val="22"/>
                <w:lang w:eastAsia="lv-LV"/>
              </w:rPr>
              <w:t>2.</w:t>
            </w:r>
          </w:p>
        </w:tc>
        <w:tc>
          <w:tcPr>
            <w:tcW w:w="2980" w:type="dxa"/>
          </w:tcPr>
          <w:p w14:paraId="1F9A58BC" w14:textId="44F0633C" w:rsidR="00E513BF" w:rsidRPr="00E513BF" w:rsidRDefault="00E513BF" w:rsidP="00E513BF">
            <w:pPr>
              <w:ind w:left="57" w:right="57"/>
              <w:contextualSpacing/>
              <w:jc w:val="both"/>
              <w:rPr>
                <w:rFonts w:eastAsia="Times New Roman" w:cs="Times New Roman"/>
                <w:sz w:val="22"/>
                <w:lang w:eastAsia="lv-LV"/>
              </w:rPr>
            </w:pPr>
            <w:r w:rsidRPr="00E513BF">
              <w:rPr>
                <w:rFonts w:eastAsia="Times New Roman" w:cs="Times New Roman"/>
                <w:sz w:val="22"/>
                <w:lang w:eastAsia="lv-LV"/>
              </w:rPr>
              <w:t>Izdoti saskaņā ar Būvniecības likuma 5.</w:t>
            </w:r>
            <w:r>
              <w:rPr>
                <w:rFonts w:eastAsia="Times New Roman" w:cs="Times New Roman"/>
                <w:sz w:val="22"/>
                <w:lang w:eastAsia="lv-LV"/>
              </w:rPr>
              <w:t> </w:t>
            </w:r>
            <w:r w:rsidRPr="00E513BF">
              <w:rPr>
                <w:rFonts w:eastAsia="Times New Roman" w:cs="Times New Roman"/>
                <w:sz w:val="22"/>
                <w:lang w:eastAsia="lv-LV"/>
              </w:rPr>
              <w:t>panta pirmās daļas 3.</w:t>
            </w:r>
            <w:r>
              <w:rPr>
                <w:rFonts w:eastAsia="Times New Roman" w:cs="Times New Roman"/>
                <w:sz w:val="22"/>
                <w:lang w:eastAsia="lv-LV"/>
              </w:rPr>
              <w:t> </w:t>
            </w:r>
            <w:r w:rsidRPr="00E513BF">
              <w:rPr>
                <w:rFonts w:eastAsia="Times New Roman" w:cs="Times New Roman"/>
                <w:sz w:val="22"/>
                <w:lang w:eastAsia="lv-LV"/>
              </w:rPr>
              <w:t xml:space="preserve">punktu un Ēku energoefektivitātes likuma </w:t>
            </w:r>
          </w:p>
          <w:p w14:paraId="432A784E" w14:textId="7F4AE807" w:rsidR="0016277D" w:rsidRPr="00594984" w:rsidRDefault="00E513BF" w:rsidP="00E513BF">
            <w:pPr>
              <w:ind w:left="57" w:right="57"/>
              <w:contextualSpacing/>
              <w:jc w:val="both"/>
              <w:rPr>
                <w:rFonts w:eastAsia="Times New Roman" w:cs="Times New Roman"/>
                <w:sz w:val="22"/>
                <w:lang w:eastAsia="lv-LV"/>
              </w:rPr>
            </w:pPr>
            <w:r w:rsidRPr="00E513BF">
              <w:rPr>
                <w:rFonts w:eastAsia="Times New Roman" w:cs="Times New Roman"/>
                <w:sz w:val="22"/>
                <w:lang w:eastAsia="lv-LV"/>
              </w:rPr>
              <w:t>4. panta otro un trešo daļu</w:t>
            </w:r>
          </w:p>
        </w:tc>
        <w:tc>
          <w:tcPr>
            <w:tcW w:w="4353" w:type="dxa"/>
            <w:gridSpan w:val="2"/>
          </w:tcPr>
          <w:p w14:paraId="5E443A86" w14:textId="77777777" w:rsidR="00794081" w:rsidRPr="00794081" w:rsidRDefault="00794081" w:rsidP="00794081">
            <w:pPr>
              <w:ind w:hanging="51"/>
              <w:jc w:val="center"/>
              <w:rPr>
                <w:rFonts w:eastAsiaTheme="minorEastAsia" w:cs="Times New Roman"/>
                <w:b/>
                <w:sz w:val="22"/>
                <w:u w:val="single"/>
                <w:lang w:eastAsia="lv-LV"/>
              </w:rPr>
            </w:pPr>
            <w:r w:rsidRPr="00794081">
              <w:rPr>
                <w:rFonts w:eastAsiaTheme="minorEastAsia" w:cs="Times New Roman"/>
                <w:b/>
                <w:sz w:val="22"/>
                <w:u w:val="single"/>
                <w:lang w:eastAsia="lv-LV"/>
              </w:rPr>
              <w:t>Tieslietu ministrija</w:t>
            </w:r>
          </w:p>
          <w:p w14:paraId="410B4CD8" w14:textId="26491F58" w:rsidR="0016277D" w:rsidRPr="0082785F" w:rsidRDefault="0016277D" w:rsidP="00C732B2">
            <w:pPr>
              <w:ind w:hanging="51"/>
              <w:jc w:val="both"/>
              <w:rPr>
                <w:rFonts w:eastAsiaTheme="minorEastAsia" w:cs="Times New Roman"/>
                <w:sz w:val="22"/>
                <w:lang w:eastAsia="lv-LV"/>
              </w:rPr>
            </w:pPr>
            <w:r w:rsidRPr="0082785F">
              <w:rPr>
                <w:rFonts w:eastAsiaTheme="minorEastAsia" w:cs="Times New Roman"/>
                <w:sz w:val="22"/>
                <w:lang w:eastAsia="lv-LV"/>
              </w:rPr>
              <w:t>1. Projektu paredzēts izdot saskaņā ar Būvniecības likuma 5. panta pirmās daļas 3. punktu un Ēku energoefektivitātes likuma 4. panta otro un trešo daļu.</w:t>
            </w:r>
          </w:p>
          <w:p w14:paraId="698FD2BC" w14:textId="77777777" w:rsidR="0016277D" w:rsidRPr="0082785F" w:rsidRDefault="0016277D" w:rsidP="00C732B2">
            <w:pPr>
              <w:jc w:val="both"/>
              <w:rPr>
                <w:rFonts w:eastAsiaTheme="minorEastAsia" w:cs="Times New Roman"/>
                <w:sz w:val="22"/>
                <w:lang w:eastAsia="lv-LV"/>
              </w:rPr>
            </w:pPr>
            <w:r w:rsidRPr="0082785F">
              <w:rPr>
                <w:rFonts w:eastAsiaTheme="minorEastAsia" w:cs="Times New Roman"/>
                <w:sz w:val="22"/>
                <w:lang w:eastAsia="lv-LV"/>
              </w:rPr>
              <w:t>Ēku energoefektivitātes likuma 4. panta otrā daļa noteic: "Energoefektivitātes minimālās prasības projektējamām ēkām attiecībā uz to ārējo norobežojošo konstrukciju būvelementu siltuma caurlaidību un inženiertehniskajām sistēmām, kā arī ēkas energoefektivitātes pieļaujamo līmeni nosaka citi normatīvie akti." Savukārt šā panta trešās daļas pirmajā teikumā ir norādīts, ka "energoefektivitātes minimālās prasības pārbūvējamām vai atjaunojamām ēkām attiecībā uz to ārējo norobežojošo konstrukciju būvelementu siltuma caurlaidību un inženiertehniskajām sistēmām, kā arī ēkas energoefektivitātes pieļaujamo līmeni nosaka citi normatīvie akti". Tādējādi projektā vārdi "nosaka citi normatīvie akti" tiek uzskatīti kā pilnvarojums Ministru kabinetam.</w:t>
            </w:r>
          </w:p>
          <w:p w14:paraId="4F562852" w14:textId="7979B4D5" w:rsidR="0016277D" w:rsidRPr="0082785F" w:rsidRDefault="0016277D" w:rsidP="00C732B2">
            <w:pPr>
              <w:jc w:val="both"/>
              <w:rPr>
                <w:rFonts w:eastAsiaTheme="minorEastAsia" w:cs="Times New Roman"/>
                <w:sz w:val="22"/>
                <w:lang w:eastAsia="lv-LV"/>
              </w:rPr>
            </w:pPr>
            <w:r w:rsidRPr="0082785F">
              <w:rPr>
                <w:rFonts w:eastAsiaTheme="minorEastAsia" w:cs="Times New Roman"/>
                <w:sz w:val="22"/>
                <w:lang w:eastAsia="lv-LV"/>
              </w:rPr>
              <w:t xml:space="preserve">Pilnvarojumā norāda subjektu (institūciju), kas tiesīgs izdot normatīvo aktu, kā arī ietver izdodamā normatīvā akta satura galvenos virzienus (Normatīvo aktu projektu izstrādes rokasgrāmata, </w:t>
            </w:r>
            <w:hyperlink r:id="rId7" w:history="1">
              <w:r w:rsidRPr="0082785F">
                <w:rPr>
                  <w:rFonts w:eastAsiaTheme="minorEastAsia" w:cs="Times New Roman"/>
                  <w:sz w:val="22"/>
                  <w:lang w:eastAsia="lv-LV"/>
                </w:rPr>
                <w:t>https://tai.mk.gov.lv/book/1/chapter/97</w:t>
              </w:r>
            </w:hyperlink>
            <w:r w:rsidRPr="0082785F">
              <w:rPr>
                <w:rFonts w:eastAsiaTheme="minorEastAsia" w:cs="Times New Roman"/>
                <w:sz w:val="22"/>
                <w:lang w:eastAsia="lv-LV"/>
              </w:rPr>
              <w:t xml:space="preserve">). Ēku energoefektivitātes likuma 4. panta otrā un </w:t>
            </w:r>
            <w:r w:rsidRPr="0082785F">
              <w:rPr>
                <w:rFonts w:eastAsiaTheme="minorEastAsia" w:cs="Times New Roman"/>
                <w:sz w:val="22"/>
                <w:lang w:eastAsia="lv-LV"/>
              </w:rPr>
              <w:lastRenderedPageBreak/>
              <w:t>trešā daļa turpretī līdzinās ļoti vispārīgai atsaucei uz citiem normatīvajiem aktiem vai arī norāda likuma darbības jomu, taču to nekādā gadījumā nevar uztvert kā pilnvarojumu Ministru kabinetam. Līdz ar to norādē uz noteikumu izdošanas tiesisko pamatu svītrojama norāde uz Ēku energoefektivitātes likuma 4. panta otro un trešo daļu.</w:t>
            </w:r>
          </w:p>
        </w:tc>
        <w:tc>
          <w:tcPr>
            <w:tcW w:w="3406" w:type="dxa"/>
          </w:tcPr>
          <w:p w14:paraId="48C387E8" w14:textId="77777777" w:rsidR="00051B5A" w:rsidRDefault="00051B5A" w:rsidP="00840622">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lastRenderedPageBreak/>
              <w:t>Ņemts vērā.</w:t>
            </w:r>
          </w:p>
          <w:p w14:paraId="37559F6A" w14:textId="396500F7" w:rsidR="0016277D" w:rsidRPr="00594984" w:rsidRDefault="00051B5A" w:rsidP="002127E5">
            <w:pPr>
              <w:spacing w:before="75" w:after="75"/>
              <w:ind w:left="-25" w:right="57"/>
              <w:contextualSpacing/>
              <w:jc w:val="both"/>
              <w:rPr>
                <w:rFonts w:eastAsia="Times New Roman" w:cs="Times New Roman"/>
                <w:b/>
                <w:sz w:val="22"/>
                <w:u w:val="single"/>
                <w:lang w:eastAsia="lv-LV"/>
              </w:rPr>
            </w:pPr>
            <w:r>
              <w:rPr>
                <w:rFonts w:eastAsia="Times New Roman" w:cs="Times New Roman"/>
                <w:sz w:val="22"/>
                <w:lang w:eastAsia="lv-LV"/>
              </w:rPr>
              <w:t>N</w:t>
            </w:r>
            <w:r w:rsidRPr="00051B5A">
              <w:rPr>
                <w:rFonts w:eastAsia="Times New Roman" w:cs="Times New Roman"/>
                <w:sz w:val="22"/>
                <w:lang w:eastAsia="lv-LV"/>
              </w:rPr>
              <w:t xml:space="preserve">orādē uz noteikumu izdošanas tiesisko pamatu svītrojama norāde </w:t>
            </w:r>
            <w:r>
              <w:rPr>
                <w:rFonts w:eastAsia="Times New Roman" w:cs="Times New Roman"/>
                <w:sz w:val="22"/>
                <w:lang w:eastAsia="lv-LV"/>
              </w:rPr>
              <w:t xml:space="preserve">“un </w:t>
            </w:r>
            <w:r w:rsidRPr="00051B5A">
              <w:rPr>
                <w:rFonts w:eastAsia="Times New Roman" w:cs="Times New Roman"/>
                <w:sz w:val="22"/>
                <w:lang w:eastAsia="lv-LV"/>
              </w:rPr>
              <w:t>Ēku energoefektivitātes likuma 4. panta otro un trešo daļu</w:t>
            </w:r>
            <w:r w:rsidR="00C50979">
              <w:rPr>
                <w:rFonts w:eastAsia="Times New Roman" w:cs="Times New Roman"/>
                <w:sz w:val="22"/>
                <w:lang w:eastAsia="lv-LV"/>
              </w:rPr>
              <w:t>”</w:t>
            </w:r>
          </w:p>
        </w:tc>
        <w:tc>
          <w:tcPr>
            <w:tcW w:w="3627" w:type="dxa"/>
            <w:gridSpan w:val="2"/>
          </w:tcPr>
          <w:p w14:paraId="292B026C" w14:textId="77777777" w:rsidR="00E513BF" w:rsidRPr="00E513BF" w:rsidRDefault="00E513BF"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 xml:space="preserve">Izdoti saskaņā ar Būvniecības likuma </w:t>
            </w:r>
          </w:p>
          <w:p w14:paraId="7208AC98" w14:textId="7766BA11" w:rsidR="00E513BF" w:rsidRPr="00594984" w:rsidRDefault="00E513BF"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 xml:space="preserve">5. panta pirmās daļas 3. punktu </w:t>
            </w:r>
          </w:p>
          <w:p w14:paraId="6AD1863D" w14:textId="3800A5E2" w:rsidR="0016277D" w:rsidRPr="00594984" w:rsidRDefault="0016277D" w:rsidP="00840622">
            <w:pPr>
              <w:ind w:left="-55" w:right="57"/>
              <w:contextualSpacing/>
              <w:jc w:val="both"/>
              <w:rPr>
                <w:rFonts w:eastAsia="Times New Roman" w:cs="Times New Roman"/>
                <w:sz w:val="22"/>
                <w:lang w:eastAsia="lv-LV"/>
              </w:rPr>
            </w:pPr>
          </w:p>
        </w:tc>
      </w:tr>
      <w:tr w:rsidR="0016277D" w:rsidRPr="00594984" w14:paraId="1BA00AB9" w14:textId="77777777" w:rsidTr="00840622">
        <w:trPr>
          <w:trHeight w:val="318"/>
          <w:tblCellSpacing w:w="11" w:type="dxa"/>
        </w:trPr>
        <w:tc>
          <w:tcPr>
            <w:tcW w:w="605" w:type="dxa"/>
          </w:tcPr>
          <w:p w14:paraId="0ADAF225" w14:textId="00B5866C" w:rsidR="0016277D" w:rsidRPr="00594984" w:rsidRDefault="00BE261C" w:rsidP="00594984">
            <w:pPr>
              <w:ind w:left="57" w:right="57"/>
              <w:contextualSpacing/>
              <w:rPr>
                <w:rFonts w:eastAsia="Times New Roman" w:cs="Times New Roman"/>
                <w:sz w:val="22"/>
                <w:lang w:eastAsia="lv-LV"/>
              </w:rPr>
            </w:pPr>
            <w:r>
              <w:rPr>
                <w:rFonts w:eastAsia="Times New Roman" w:cs="Times New Roman"/>
                <w:sz w:val="22"/>
                <w:lang w:eastAsia="lv-LV"/>
              </w:rPr>
              <w:t>3.</w:t>
            </w:r>
          </w:p>
        </w:tc>
        <w:tc>
          <w:tcPr>
            <w:tcW w:w="2980" w:type="dxa"/>
          </w:tcPr>
          <w:p w14:paraId="28DF7958" w14:textId="77777777" w:rsidR="0016277D" w:rsidRDefault="00C50979" w:rsidP="00594984">
            <w:pPr>
              <w:ind w:left="57" w:right="57"/>
              <w:contextualSpacing/>
              <w:jc w:val="both"/>
              <w:rPr>
                <w:rFonts w:eastAsia="Times New Roman" w:cs="Times New Roman"/>
                <w:sz w:val="22"/>
                <w:lang w:eastAsia="lv-LV"/>
              </w:rPr>
            </w:pPr>
            <w:r>
              <w:rPr>
                <w:rFonts w:eastAsia="Times New Roman" w:cs="Times New Roman"/>
                <w:sz w:val="22"/>
                <w:lang w:eastAsia="lv-LV"/>
              </w:rPr>
              <w:t xml:space="preserve">3. </w:t>
            </w:r>
            <w:r w:rsidR="007E7DD2">
              <w:rPr>
                <w:rFonts w:eastAsia="Times New Roman" w:cs="Times New Roman"/>
                <w:sz w:val="22"/>
                <w:lang w:eastAsia="lv-LV"/>
              </w:rPr>
              <w:t xml:space="preserve">[..] </w:t>
            </w:r>
            <w:r w:rsidRPr="00C50979">
              <w:rPr>
                <w:rFonts w:eastAsia="Times New Roman" w:cs="Times New Roman"/>
                <w:sz w:val="22"/>
                <w:lang w:eastAsia="lv-LV"/>
              </w:rPr>
              <w:t xml:space="preserve">Būvniecības ieceres dokumentācijā paredzot ēkā izmantojamos būvelementus, novērtē to siltuma inerci un izvēlas piemērotāko nesošo un </w:t>
            </w:r>
            <w:proofErr w:type="spellStart"/>
            <w:r w:rsidRPr="00C50979">
              <w:rPr>
                <w:rFonts w:eastAsia="Times New Roman" w:cs="Times New Roman"/>
                <w:sz w:val="22"/>
                <w:lang w:eastAsia="lv-LV"/>
              </w:rPr>
              <w:t>siltumizolējošo</w:t>
            </w:r>
            <w:proofErr w:type="spellEnd"/>
            <w:r w:rsidRPr="00C50979">
              <w:rPr>
                <w:rFonts w:eastAsia="Times New Roman" w:cs="Times New Roman"/>
                <w:sz w:val="22"/>
                <w:lang w:eastAsia="lv-LV"/>
              </w:rPr>
              <w:t xml:space="preserve"> slāņu kombināciju.</w:t>
            </w:r>
            <w:r>
              <w:rPr>
                <w:rFonts w:eastAsia="Times New Roman" w:cs="Times New Roman"/>
                <w:sz w:val="22"/>
                <w:lang w:eastAsia="lv-LV"/>
              </w:rPr>
              <w:t>”</w:t>
            </w:r>
          </w:p>
          <w:p w14:paraId="284FA493" w14:textId="77777777" w:rsidR="0049788E" w:rsidRDefault="0049788E" w:rsidP="00594984">
            <w:pPr>
              <w:ind w:left="57" w:right="57"/>
              <w:contextualSpacing/>
              <w:jc w:val="both"/>
              <w:rPr>
                <w:rFonts w:eastAsia="Times New Roman" w:cs="Times New Roman"/>
                <w:sz w:val="22"/>
                <w:lang w:eastAsia="lv-LV"/>
              </w:rPr>
            </w:pPr>
          </w:p>
          <w:p w14:paraId="2E83DEA5" w14:textId="77777777" w:rsidR="0049788E" w:rsidRDefault="0049788E" w:rsidP="00594984">
            <w:pPr>
              <w:ind w:left="57" w:right="57"/>
              <w:contextualSpacing/>
              <w:jc w:val="both"/>
              <w:rPr>
                <w:rFonts w:eastAsia="Times New Roman" w:cs="Times New Roman"/>
                <w:sz w:val="22"/>
                <w:lang w:eastAsia="lv-LV"/>
              </w:rPr>
            </w:pPr>
            <w:r w:rsidRPr="0049788E">
              <w:rPr>
                <w:rFonts w:eastAsia="Times New Roman" w:cs="Times New Roman"/>
                <w:sz w:val="22"/>
                <w:lang w:eastAsia="lv-LV"/>
              </w:rPr>
              <w:t>18. Šī būvnormatīva 17. punktā minētās prasības izpildes tehnisko risinājumu norāda būvniecības ieceres dokumentācijā.</w:t>
            </w:r>
          </w:p>
          <w:p w14:paraId="0A2A2C56" w14:textId="77777777" w:rsidR="0049788E" w:rsidRDefault="0049788E" w:rsidP="00594984">
            <w:pPr>
              <w:ind w:left="57" w:right="57"/>
              <w:contextualSpacing/>
              <w:jc w:val="both"/>
              <w:rPr>
                <w:rFonts w:eastAsia="Times New Roman" w:cs="Times New Roman"/>
                <w:sz w:val="22"/>
                <w:lang w:eastAsia="lv-LV"/>
              </w:rPr>
            </w:pPr>
          </w:p>
          <w:p w14:paraId="0DD4D238" w14:textId="77777777" w:rsidR="0049788E" w:rsidRDefault="0049788E" w:rsidP="00594984">
            <w:pPr>
              <w:ind w:left="57" w:right="57"/>
              <w:contextualSpacing/>
              <w:jc w:val="both"/>
              <w:rPr>
                <w:rFonts w:eastAsia="Times New Roman" w:cs="Times New Roman"/>
                <w:sz w:val="22"/>
                <w:lang w:eastAsia="lv-LV"/>
              </w:rPr>
            </w:pPr>
            <w:r w:rsidRPr="0049788E">
              <w:rPr>
                <w:rFonts w:eastAsia="Times New Roman" w:cs="Times New Roman"/>
                <w:sz w:val="22"/>
                <w:lang w:eastAsia="lv-LV"/>
              </w:rPr>
              <w:t>25. Šī būvnormatīva 24. punktā minētās prasības izpildes tehnisko risinājumu būvelementam, tā savienojumiem un montāžas šuvēm norāda būvniecības ieceres dokumentācijā.</w:t>
            </w:r>
          </w:p>
          <w:p w14:paraId="3EDDCA61" w14:textId="77777777" w:rsidR="0049788E" w:rsidRDefault="0049788E" w:rsidP="00594984">
            <w:pPr>
              <w:ind w:left="57" w:right="57"/>
              <w:contextualSpacing/>
              <w:jc w:val="both"/>
              <w:rPr>
                <w:rFonts w:eastAsia="Times New Roman" w:cs="Times New Roman"/>
                <w:sz w:val="22"/>
                <w:lang w:eastAsia="lv-LV"/>
              </w:rPr>
            </w:pPr>
          </w:p>
          <w:p w14:paraId="0525CFC1" w14:textId="77777777" w:rsidR="0049788E" w:rsidRDefault="0049788E" w:rsidP="00594984">
            <w:pPr>
              <w:ind w:left="57" w:right="57"/>
              <w:contextualSpacing/>
              <w:jc w:val="both"/>
              <w:rPr>
                <w:rFonts w:eastAsia="Times New Roman" w:cs="Times New Roman"/>
                <w:sz w:val="22"/>
                <w:lang w:eastAsia="lv-LV"/>
              </w:rPr>
            </w:pPr>
            <w:r w:rsidRPr="0049788E">
              <w:rPr>
                <w:rFonts w:eastAsia="Times New Roman" w:cs="Times New Roman"/>
                <w:sz w:val="22"/>
                <w:lang w:eastAsia="lv-LV"/>
              </w:rPr>
              <w:t xml:space="preserve">31. Šī būvnormatīva 28. un 30. punktā minētās prasības izpildes tehnisko risinājumu būvelementam, tā savienojumiem un montāžas šuvēm norāda, būvniecības </w:t>
            </w:r>
            <w:r w:rsidRPr="0049788E">
              <w:rPr>
                <w:rFonts w:eastAsia="Times New Roman" w:cs="Times New Roman"/>
                <w:sz w:val="22"/>
                <w:lang w:eastAsia="lv-LV"/>
              </w:rPr>
              <w:lastRenderedPageBreak/>
              <w:t>ieceres dokumentācijā tādā apjomā un saturā, lai varētu novērtēt atbilstību izvirzītajām prasībām.</w:t>
            </w:r>
          </w:p>
          <w:p w14:paraId="0D3C1293" w14:textId="77777777" w:rsidR="0049788E" w:rsidRDefault="0049788E" w:rsidP="00594984">
            <w:pPr>
              <w:ind w:left="57" w:right="57"/>
              <w:contextualSpacing/>
              <w:jc w:val="both"/>
              <w:rPr>
                <w:rFonts w:eastAsia="Times New Roman" w:cs="Times New Roman"/>
                <w:sz w:val="22"/>
                <w:lang w:eastAsia="lv-LV"/>
              </w:rPr>
            </w:pPr>
          </w:p>
          <w:p w14:paraId="264589F0" w14:textId="77777777" w:rsidR="0049788E" w:rsidRDefault="0049788E" w:rsidP="002127E5">
            <w:pPr>
              <w:ind w:left="57" w:right="57"/>
              <w:contextualSpacing/>
              <w:jc w:val="both"/>
              <w:rPr>
                <w:rFonts w:eastAsia="Times New Roman" w:cs="Times New Roman"/>
                <w:sz w:val="22"/>
                <w:lang w:eastAsia="lv-LV"/>
              </w:rPr>
            </w:pPr>
            <w:r w:rsidRPr="0049788E">
              <w:rPr>
                <w:rFonts w:eastAsia="Times New Roman" w:cs="Times New Roman"/>
                <w:sz w:val="22"/>
                <w:lang w:eastAsia="lv-LV"/>
              </w:rPr>
              <w:t>46.</w:t>
            </w:r>
            <w:r w:rsidR="002127E5">
              <w:rPr>
                <w:rFonts w:eastAsia="Times New Roman" w:cs="Times New Roman"/>
                <w:sz w:val="22"/>
                <w:lang w:eastAsia="lv-LV"/>
              </w:rPr>
              <w:t> </w:t>
            </w:r>
            <w:r w:rsidRPr="0049788E">
              <w:rPr>
                <w:rFonts w:eastAsia="Times New Roman" w:cs="Times New Roman"/>
                <w:sz w:val="22"/>
                <w:lang w:eastAsia="lv-LV"/>
              </w:rPr>
              <w:t xml:space="preserve">Būvelementa siltumizolācijas materiāla aprēķina </w:t>
            </w:r>
            <w:proofErr w:type="spellStart"/>
            <w:r w:rsidRPr="0049788E">
              <w:rPr>
                <w:rFonts w:eastAsia="Times New Roman" w:cs="Times New Roman"/>
                <w:sz w:val="22"/>
                <w:lang w:eastAsia="lv-LV"/>
              </w:rPr>
              <w:t>siltumvadītspēju</w:t>
            </w:r>
            <w:proofErr w:type="spellEnd"/>
            <w:r w:rsidRPr="0049788E">
              <w:rPr>
                <w:rFonts w:eastAsia="Times New Roman" w:cs="Times New Roman"/>
                <w:sz w:val="22"/>
                <w:lang w:eastAsia="lv-LV"/>
              </w:rPr>
              <w:t>, kas noteikta saskaņā ar šo būvnormatīvu, norāda būvniecības ieceres dokumentācijas specifikācijā.</w:t>
            </w:r>
          </w:p>
          <w:p w14:paraId="50A22959" w14:textId="77777777" w:rsidR="004D5883" w:rsidRDefault="004D5883" w:rsidP="002127E5">
            <w:pPr>
              <w:ind w:left="57" w:right="57"/>
              <w:contextualSpacing/>
              <w:jc w:val="both"/>
              <w:rPr>
                <w:rFonts w:eastAsia="Times New Roman" w:cs="Times New Roman"/>
                <w:sz w:val="22"/>
                <w:lang w:eastAsia="lv-LV"/>
              </w:rPr>
            </w:pPr>
          </w:p>
          <w:p w14:paraId="78192786" w14:textId="77777777" w:rsidR="004D5883" w:rsidRDefault="004D5883" w:rsidP="004D5883">
            <w:pPr>
              <w:ind w:left="-55" w:right="57"/>
              <w:contextualSpacing/>
              <w:jc w:val="both"/>
              <w:rPr>
                <w:rFonts w:eastAsia="Times New Roman" w:cs="Times New Roman"/>
                <w:sz w:val="22"/>
                <w:lang w:eastAsia="lv-LV"/>
              </w:rPr>
            </w:pPr>
            <w:r>
              <w:rPr>
                <w:rFonts w:eastAsia="Times New Roman" w:cs="Times New Roman"/>
                <w:sz w:val="22"/>
                <w:lang w:eastAsia="lv-LV"/>
              </w:rPr>
              <w:t xml:space="preserve">3. [..] </w:t>
            </w:r>
            <w:r w:rsidRPr="00C50979">
              <w:rPr>
                <w:rFonts w:eastAsia="Times New Roman" w:cs="Times New Roman"/>
                <w:sz w:val="22"/>
                <w:lang w:eastAsia="lv-LV"/>
              </w:rPr>
              <w:t>Būvniecības ieceres dokumentācijā paredz</w:t>
            </w:r>
            <w:r>
              <w:rPr>
                <w:rFonts w:eastAsia="Times New Roman" w:cs="Times New Roman"/>
                <w:sz w:val="22"/>
                <w:lang w:eastAsia="lv-LV"/>
              </w:rPr>
              <w:t>ētiem</w:t>
            </w:r>
            <w:r w:rsidRPr="00C50979">
              <w:rPr>
                <w:rFonts w:eastAsia="Times New Roman" w:cs="Times New Roman"/>
                <w:sz w:val="22"/>
                <w:lang w:eastAsia="lv-LV"/>
              </w:rPr>
              <w:t xml:space="preserve"> būv</w:t>
            </w:r>
            <w:r>
              <w:rPr>
                <w:rFonts w:eastAsia="Times New Roman" w:cs="Times New Roman"/>
                <w:sz w:val="22"/>
                <w:lang w:eastAsia="lv-LV"/>
              </w:rPr>
              <w:t xml:space="preserve">es </w:t>
            </w:r>
            <w:r w:rsidRPr="00C50979">
              <w:rPr>
                <w:rFonts w:eastAsia="Times New Roman" w:cs="Times New Roman"/>
                <w:sz w:val="22"/>
                <w:lang w:eastAsia="lv-LV"/>
              </w:rPr>
              <w:t>element</w:t>
            </w:r>
            <w:r>
              <w:rPr>
                <w:rFonts w:eastAsia="Times New Roman" w:cs="Times New Roman"/>
                <w:sz w:val="22"/>
                <w:lang w:eastAsia="lv-LV"/>
              </w:rPr>
              <w:t>iem</w:t>
            </w:r>
            <w:r w:rsidRPr="00C50979">
              <w:rPr>
                <w:rFonts w:eastAsia="Times New Roman" w:cs="Times New Roman"/>
                <w:sz w:val="22"/>
                <w:lang w:eastAsia="lv-LV"/>
              </w:rPr>
              <w:t xml:space="preserve"> novērtē to siltuma inerci un izvēlas piemērotāko nesošo un </w:t>
            </w:r>
            <w:proofErr w:type="spellStart"/>
            <w:r w:rsidRPr="00C50979">
              <w:rPr>
                <w:rFonts w:eastAsia="Times New Roman" w:cs="Times New Roman"/>
                <w:sz w:val="22"/>
                <w:lang w:eastAsia="lv-LV"/>
              </w:rPr>
              <w:t>siltumizolējošo</w:t>
            </w:r>
            <w:proofErr w:type="spellEnd"/>
            <w:r w:rsidRPr="00C50979">
              <w:rPr>
                <w:rFonts w:eastAsia="Times New Roman" w:cs="Times New Roman"/>
                <w:sz w:val="22"/>
                <w:lang w:eastAsia="lv-LV"/>
              </w:rPr>
              <w:t xml:space="preserve"> slāņu kombināciju.”</w:t>
            </w:r>
          </w:p>
          <w:p w14:paraId="52FB92AF" w14:textId="77777777" w:rsidR="004D5883" w:rsidRDefault="004D5883" w:rsidP="002127E5">
            <w:pPr>
              <w:ind w:left="57" w:right="57"/>
              <w:contextualSpacing/>
              <w:jc w:val="both"/>
              <w:rPr>
                <w:rFonts w:eastAsia="Times New Roman" w:cs="Times New Roman"/>
                <w:sz w:val="22"/>
                <w:lang w:eastAsia="lv-LV"/>
              </w:rPr>
            </w:pPr>
          </w:p>
          <w:p w14:paraId="183735FE" w14:textId="0184AC16" w:rsidR="004D5883" w:rsidRPr="002C4696" w:rsidRDefault="004D5883" w:rsidP="004D5883">
            <w:pPr>
              <w:jc w:val="both"/>
              <w:rPr>
                <w:rFonts w:eastAsia="Times New Roman" w:cs="Times New Roman"/>
                <w:sz w:val="22"/>
                <w:lang w:eastAsia="lv-LV"/>
              </w:rPr>
            </w:pPr>
            <w:r w:rsidRPr="002C4696">
              <w:rPr>
                <w:rFonts w:eastAsia="Times New Roman" w:cs="Times New Roman"/>
                <w:sz w:val="22"/>
                <w:lang w:eastAsia="lv-LV"/>
              </w:rPr>
              <w:t>17. Šā būvnormatīva 16. punktā minētās prasības izpildes tehnisko risinājumu norāda būvniecības ieceres dokumentācijā.</w:t>
            </w:r>
          </w:p>
          <w:p w14:paraId="59CA874E" w14:textId="49B5A7D5" w:rsidR="001D1067" w:rsidRPr="002C4696" w:rsidRDefault="001D1067" w:rsidP="004D5883">
            <w:pPr>
              <w:jc w:val="both"/>
              <w:rPr>
                <w:rFonts w:eastAsia="Times New Roman" w:cs="Times New Roman"/>
                <w:sz w:val="22"/>
                <w:lang w:eastAsia="lv-LV"/>
              </w:rPr>
            </w:pPr>
          </w:p>
          <w:p w14:paraId="3650B132" w14:textId="77777777" w:rsidR="001D1067" w:rsidRPr="001D1067" w:rsidRDefault="001D1067" w:rsidP="001D1067">
            <w:pPr>
              <w:jc w:val="both"/>
              <w:rPr>
                <w:rFonts w:eastAsia="Times New Roman" w:cs="Times New Roman"/>
                <w:sz w:val="22"/>
                <w:lang w:eastAsia="lv-LV"/>
              </w:rPr>
            </w:pPr>
            <w:r w:rsidRPr="002C4696">
              <w:rPr>
                <w:rFonts w:eastAsia="Times New Roman" w:cs="Times New Roman"/>
                <w:sz w:val="22"/>
                <w:lang w:eastAsia="lv-LV"/>
              </w:rPr>
              <w:t>24. Šā būvnormatīva 23. punktā minētās prasības izpildes tehnisko risinājumu būves elementam, tā savienojumiem un montāžas šuvēm norāda būvniecības ieceres dokumentācijā.</w:t>
            </w:r>
            <w:r w:rsidRPr="001D1067">
              <w:rPr>
                <w:rFonts w:eastAsia="Times New Roman" w:cs="Times New Roman"/>
                <w:sz w:val="22"/>
                <w:lang w:eastAsia="lv-LV"/>
              </w:rPr>
              <w:t xml:space="preserve"> </w:t>
            </w:r>
          </w:p>
          <w:p w14:paraId="58F47C48" w14:textId="1201F11E" w:rsidR="001D1067" w:rsidRDefault="001D1067" w:rsidP="004D5883">
            <w:pPr>
              <w:jc w:val="both"/>
              <w:rPr>
                <w:rFonts w:eastAsia="Times New Roman" w:cs="Times New Roman"/>
                <w:sz w:val="22"/>
                <w:lang w:eastAsia="lv-LV"/>
              </w:rPr>
            </w:pPr>
          </w:p>
          <w:p w14:paraId="6F8BB841" w14:textId="16D328F0" w:rsidR="001D1067" w:rsidRPr="004D5883" w:rsidRDefault="001D1067" w:rsidP="004D5883">
            <w:pPr>
              <w:jc w:val="both"/>
              <w:rPr>
                <w:rFonts w:eastAsia="Times New Roman" w:cs="Times New Roman"/>
                <w:sz w:val="22"/>
                <w:lang w:eastAsia="lv-LV"/>
              </w:rPr>
            </w:pPr>
            <w:r w:rsidRPr="001D1067">
              <w:rPr>
                <w:rFonts w:eastAsia="Times New Roman" w:cs="Times New Roman"/>
                <w:sz w:val="22"/>
                <w:lang w:eastAsia="lv-LV"/>
              </w:rPr>
              <w:lastRenderedPageBreak/>
              <w:t>28. Izstrādājot būvniecības ieceres dokumentus un veicot būvdarbus, būves elementu projektē un izbūvē tā, lai:</w:t>
            </w:r>
          </w:p>
          <w:p w14:paraId="205B5920" w14:textId="555EE24E" w:rsidR="001D1067" w:rsidRDefault="001D1067" w:rsidP="001D1067">
            <w:pPr>
              <w:ind w:left="57" w:right="57"/>
              <w:contextualSpacing/>
              <w:jc w:val="both"/>
              <w:rPr>
                <w:rFonts w:eastAsia="Times New Roman" w:cs="Times New Roman"/>
                <w:sz w:val="22"/>
                <w:lang w:eastAsia="lv-LV"/>
              </w:rPr>
            </w:pPr>
            <w:r w:rsidRPr="001D1067">
              <w:rPr>
                <w:rFonts w:eastAsia="Times New Roman" w:cs="Times New Roman"/>
                <w:sz w:val="22"/>
                <w:lang w:eastAsia="lv-LV"/>
              </w:rPr>
              <w:t xml:space="preserve">29. Šī būvnormatīva 26. un 28. punktā minētās prasības izpildes tehnisko risinājumu būves elementam, tā savienojumiem un montāžas šuvēm norāda, būvniecības ieceres dokumentācijā tādā apjomā un saturā, lai varētu novērtēt atbilstību izvirzītajām prasībām. </w:t>
            </w:r>
          </w:p>
          <w:p w14:paraId="519C579A" w14:textId="77777777" w:rsidR="001D1067" w:rsidRDefault="001D1067" w:rsidP="001D1067">
            <w:pPr>
              <w:ind w:left="57" w:right="57"/>
              <w:contextualSpacing/>
              <w:jc w:val="both"/>
              <w:rPr>
                <w:rFonts w:eastAsia="Times New Roman" w:cs="Times New Roman"/>
                <w:sz w:val="22"/>
                <w:lang w:eastAsia="lv-LV"/>
              </w:rPr>
            </w:pPr>
          </w:p>
          <w:p w14:paraId="49298BA6" w14:textId="7875932F" w:rsidR="001D1067" w:rsidRPr="001D1067" w:rsidRDefault="001D1067" w:rsidP="001D1067">
            <w:pPr>
              <w:ind w:left="57" w:right="57"/>
              <w:contextualSpacing/>
              <w:jc w:val="both"/>
              <w:rPr>
                <w:rFonts w:eastAsia="Times New Roman" w:cs="Times New Roman"/>
                <w:sz w:val="22"/>
                <w:lang w:eastAsia="lv-LV"/>
              </w:rPr>
            </w:pPr>
            <w:r w:rsidRPr="002C4696">
              <w:rPr>
                <w:rFonts w:eastAsia="Times New Roman" w:cs="Times New Roman"/>
                <w:sz w:val="22"/>
                <w:lang w:eastAsia="lv-LV"/>
              </w:rPr>
              <w:t xml:space="preserve">44. Būves elementa siltumizolācijas materiāla aprēķina </w:t>
            </w:r>
            <w:proofErr w:type="spellStart"/>
            <w:r w:rsidRPr="002C4696">
              <w:rPr>
                <w:rFonts w:eastAsia="Times New Roman" w:cs="Times New Roman"/>
                <w:sz w:val="22"/>
                <w:lang w:eastAsia="lv-LV"/>
              </w:rPr>
              <w:t>siltumvadītspēju</w:t>
            </w:r>
            <w:proofErr w:type="spellEnd"/>
            <w:r w:rsidRPr="002C4696">
              <w:rPr>
                <w:rFonts w:eastAsia="Times New Roman" w:cs="Times New Roman"/>
                <w:sz w:val="22"/>
                <w:lang w:eastAsia="lv-LV"/>
              </w:rPr>
              <w:t>, kas noteikta saskaņā ar šo būvnormatīvu, norāda būvniecības ieceres dokumentācijas specifikācijā.</w:t>
            </w:r>
          </w:p>
          <w:p w14:paraId="341C9FC1" w14:textId="77777777" w:rsidR="001D1067" w:rsidRPr="001D1067" w:rsidRDefault="001D1067" w:rsidP="001D1067">
            <w:pPr>
              <w:ind w:left="57" w:right="57"/>
              <w:contextualSpacing/>
              <w:jc w:val="both"/>
              <w:rPr>
                <w:rFonts w:eastAsia="Times New Roman" w:cs="Times New Roman"/>
                <w:sz w:val="22"/>
                <w:lang w:eastAsia="lv-LV"/>
              </w:rPr>
            </w:pPr>
          </w:p>
          <w:p w14:paraId="0C8829F8" w14:textId="2179A6AA" w:rsidR="004D5883" w:rsidRPr="00594984" w:rsidRDefault="004D5883" w:rsidP="002127E5">
            <w:pPr>
              <w:ind w:left="57" w:right="57"/>
              <w:contextualSpacing/>
              <w:jc w:val="both"/>
              <w:rPr>
                <w:rFonts w:eastAsia="Times New Roman" w:cs="Times New Roman"/>
                <w:sz w:val="22"/>
                <w:lang w:eastAsia="lv-LV"/>
              </w:rPr>
            </w:pPr>
          </w:p>
        </w:tc>
        <w:tc>
          <w:tcPr>
            <w:tcW w:w="4353" w:type="dxa"/>
            <w:gridSpan w:val="2"/>
          </w:tcPr>
          <w:p w14:paraId="6DF6E2F9" w14:textId="77777777" w:rsidR="00794081" w:rsidRPr="00794081" w:rsidRDefault="00794081" w:rsidP="00794081">
            <w:pPr>
              <w:ind w:hanging="51"/>
              <w:jc w:val="center"/>
              <w:rPr>
                <w:rFonts w:eastAsiaTheme="minorEastAsia" w:cs="Times New Roman"/>
                <w:b/>
                <w:sz w:val="22"/>
                <w:u w:val="single"/>
                <w:lang w:eastAsia="lv-LV"/>
              </w:rPr>
            </w:pPr>
            <w:r w:rsidRPr="00794081">
              <w:rPr>
                <w:rFonts w:eastAsiaTheme="minorEastAsia" w:cs="Times New Roman"/>
                <w:b/>
                <w:sz w:val="22"/>
                <w:u w:val="single"/>
                <w:lang w:eastAsia="lv-LV"/>
              </w:rPr>
              <w:lastRenderedPageBreak/>
              <w:t>Tieslietu ministrija</w:t>
            </w:r>
          </w:p>
          <w:p w14:paraId="1917829C" w14:textId="77777777" w:rsidR="0016277D" w:rsidRPr="0082785F" w:rsidRDefault="0016277D" w:rsidP="00C732B2">
            <w:pPr>
              <w:widowControl w:val="0"/>
              <w:jc w:val="both"/>
              <w:rPr>
                <w:rFonts w:eastAsiaTheme="minorEastAsia" w:cs="Times New Roman"/>
                <w:sz w:val="22"/>
                <w:lang w:eastAsia="lv-LV"/>
              </w:rPr>
            </w:pPr>
            <w:r w:rsidRPr="0082785F">
              <w:rPr>
                <w:rFonts w:eastAsiaTheme="minorEastAsia" w:cs="Times New Roman"/>
                <w:sz w:val="22"/>
                <w:lang w:eastAsia="lv-LV"/>
              </w:rPr>
              <w:t xml:space="preserve">2. Saskaņā ar Būvniecības likuma 5. panta pirmās daļas 3. punktu Ministru kabinets izdod būvnormatīvus, kuros nosaka tehniskās prasības attiecībā uz būvēm un to elementiem un vides pieejamības prasības attiecībā uz būvēm. Tādējādi būvnormatīvos var ietvert tikai attiecīgas tehniskās prasības un vides pieejamības prasības. </w:t>
            </w:r>
          </w:p>
          <w:p w14:paraId="0A56D4CB" w14:textId="77777777" w:rsidR="0016277D" w:rsidRDefault="0016277D" w:rsidP="00C732B2">
            <w:pPr>
              <w:widowControl w:val="0"/>
              <w:jc w:val="both"/>
              <w:rPr>
                <w:rFonts w:eastAsiaTheme="minorEastAsia" w:cs="Times New Roman"/>
                <w:sz w:val="22"/>
                <w:lang w:eastAsia="lv-LV"/>
              </w:rPr>
            </w:pPr>
            <w:r w:rsidRPr="0082785F">
              <w:rPr>
                <w:rFonts w:eastAsiaTheme="minorEastAsia" w:cs="Times New Roman"/>
                <w:sz w:val="22"/>
                <w:lang w:eastAsia="lv-LV"/>
              </w:rPr>
              <w:t xml:space="preserve">Latvijas būvnormatīva LBN 002-19 "Ēku norobežojošo konstrukciju siltumtehnika" (turpmāk – būvnormatīvs) 3. punktā paredzēts: "Būvniecības ieceres dokumentācijā paredzot ēkā izmantojamos būvelementus, novērtē to siltuma inerci un izvēlas piemērotāko nesošo un </w:t>
            </w:r>
            <w:proofErr w:type="spellStart"/>
            <w:r w:rsidRPr="0082785F">
              <w:rPr>
                <w:rFonts w:eastAsiaTheme="minorEastAsia" w:cs="Times New Roman"/>
                <w:sz w:val="22"/>
                <w:lang w:eastAsia="lv-LV"/>
              </w:rPr>
              <w:t>siltumizolējošo</w:t>
            </w:r>
            <w:proofErr w:type="spellEnd"/>
            <w:r w:rsidRPr="0082785F">
              <w:rPr>
                <w:rFonts w:eastAsiaTheme="minorEastAsia" w:cs="Times New Roman"/>
                <w:sz w:val="22"/>
                <w:lang w:eastAsia="lv-LV"/>
              </w:rPr>
              <w:t xml:space="preserve"> slāņu kombināciju." Lūdzam precizēt šo punktu, ievērojot, ka būvnormatīvs nevar noteikt būvniecības procesam nepieciešamo dokumentu saturu. Saskaņā ar Būvniecības likuma 5. panta pirmās daļas 2. punktu tas ir speciālajos būvnoteikumos regulējams jautājums. Līdzīga rakstura regulējums paredzēts arī, piemēram, būvnormatīva 18., 25., 31. un 46. punktā.</w:t>
            </w:r>
          </w:p>
          <w:p w14:paraId="12799E25" w14:textId="77777777" w:rsidR="006603FC" w:rsidRDefault="006603FC" w:rsidP="00C732B2">
            <w:pPr>
              <w:widowControl w:val="0"/>
              <w:jc w:val="both"/>
              <w:rPr>
                <w:rFonts w:eastAsiaTheme="minorEastAsia" w:cs="Times New Roman"/>
                <w:b/>
                <w:color w:val="000000" w:themeColor="text1"/>
                <w:sz w:val="22"/>
                <w:u w:val="single"/>
                <w:lang w:eastAsia="lv-LV"/>
              </w:rPr>
            </w:pPr>
          </w:p>
          <w:p w14:paraId="5419122E" w14:textId="77777777" w:rsidR="006603FC" w:rsidRDefault="006603FC" w:rsidP="00C732B2">
            <w:pPr>
              <w:widowControl w:val="0"/>
              <w:jc w:val="both"/>
              <w:rPr>
                <w:rFonts w:eastAsiaTheme="minorEastAsia" w:cs="Times New Roman"/>
                <w:b/>
                <w:color w:val="000000" w:themeColor="text1"/>
                <w:sz w:val="22"/>
                <w:u w:val="single"/>
                <w:lang w:eastAsia="lv-LV"/>
              </w:rPr>
            </w:pPr>
          </w:p>
          <w:p w14:paraId="57475D39" w14:textId="77777777" w:rsidR="006603FC" w:rsidRDefault="006603FC" w:rsidP="00C732B2">
            <w:pPr>
              <w:widowControl w:val="0"/>
              <w:jc w:val="both"/>
              <w:rPr>
                <w:rFonts w:eastAsiaTheme="minorEastAsia" w:cs="Times New Roman"/>
                <w:b/>
                <w:color w:val="000000" w:themeColor="text1"/>
                <w:sz w:val="22"/>
                <w:u w:val="single"/>
                <w:lang w:eastAsia="lv-LV"/>
              </w:rPr>
            </w:pPr>
          </w:p>
          <w:p w14:paraId="37FD2AB4" w14:textId="77777777" w:rsidR="006603FC" w:rsidRDefault="006603FC" w:rsidP="00C732B2">
            <w:pPr>
              <w:widowControl w:val="0"/>
              <w:jc w:val="both"/>
              <w:rPr>
                <w:rFonts w:eastAsiaTheme="minorEastAsia" w:cs="Times New Roman"/>
                <w:b/>
                <w:color w:val="000000" w:themeColor="text1"/>
                <w:sz w:val="22"/>
                <w:u w:val="single"/>
                <w:lang w:eastAsia="lv-LV"/>
              </w:rPr>
            </w:pPr>
          </w:p>
          <w:p w14:paraId="174AF73A" w14:textId="77777777" w:rsidR="006603FC" w:rsidRDefault="006603FC" w:rsidP="00C732B2">
            <w:pPr>
              <w:widowControl w:val="0"/>
              <w:jc w:val="both"/>
              <w:rPr>
                <w:rFonts w:eastAsiaTheme="minorEastAsia" w:cs="Times New Roman"/>
                <w:b/>
                <w:color w:val="000000" w:themeColor="text1"/>
                <w:sz w:val="22"/>
                <w:u w:val="single"/>
                <w:lang w:eastAsia="lv-LV"/>
              </w:rPr>
            </w:pPr>
          </w:p>
          <w:p w14:paraId="0BB67B5C" w14:textId="77777777" w:rsidR="006603FC" w:rsidRDefault="006603FC" w:rsidP="00C732B2">
            <w:pPr>
              <w:widowControl w:val="0"/>
              <w:jc w:val="both"/>
              <w:rPr>
                <w:rFonts w:eastAsiaTheme="minorEastAsia" w:cs="Times New Roman"/>
                <w:b/>
                <w:color w:val="000000" w:themeColor="text1"/>
                <w:sz w:val="22"/>
                <w:u w:val="single"/>
                <w:lang w:eastAsia="lv-LV"/>
              </w:rPr>
            </w:pPr>
          </w:p>
          <w:p w14:paraId="139F18F8" w14:textId="77777777" w:rsidR="006603FC" w:rsidRDefault="006603FC" w:rsidP="00C732B2">
            <w:pPr>
              <w:widowControl w:val="0"/>
              <w:jc w:val="both"/>
              <w:rPr>
                <w:rFonts w:eastAsiaTheme="minorEastAsia" w:cs="Times New Roman"/>
                <w:b/>
                <w:color w:val="000000" w:themeColor="text1"/>
                <w:sz w:val="22"/>
                <w:u w:val="single"/>
                <w:lang w:eastAsia="lv-LV"/>
              </w:rPr>
            </w:pPr>
          </w:p>
          <w:p w14:paraId="297BBF05" w14:textId="77777777" w:rsidR="006603FC" w:rsidRDefault="006603FC" w:rsidP="00C732B2">
            <w:pPr>
              <w:widowControl w:val="0"/>
              <w:jc w:val="both"/>
              <w:rPr>
                <w:rFonts w:eastAsiaTheme="minorEastAsia" w:cs="Times New Roman"/>
                <w:b/>
                <w:color w:val="000000" w:themeColor="text1"/>
                <w:sz w:val="22"/>
                <w:u w:val="single"/>
                <w:lang w:eastAsia="lv-LV"/>
              </w:rPr>
            </w:pPr>
          </w:p>
          <w:p w14:paraId="61D357E5" w14:textId="77777777" w:rsidR="006603FC" w:rsidRDefault="006603FC" w:rsidP="00C732B2">
            <w:pPr>
              <w:widowControl w:val="0"/>
              <w:jc w:val="both"/>
              <w:rPr>
                <w:rFonts w:eastAsiaTheme="minorEastAsia" w:cs="Times New Roman"/>
                <w:b/>
                <w:color w:val="000000" w:themeColor="text1"/>
                <w:sz w:val="22"/>
                <w:u w:val="single"/>
                <w:lang w:eastAsia="lv-LV"/>
              </w:rPr>
            </w:pPr>
          </w:p>
          <w:p w14:paraId="3A6C7633" w14:textId="77777777" w:rsidR="006603FC" w:rsidRDefault="006603FC" w:rsidP="00C732B2">
            <w:pPr>
              <w:widowControl w:val="0"/>
              <w:jc w:val="both"/>
              <w:rPr>
                <w:rFonts w:eastAsiaTheme="minorEastAsia" w:cs="Times New Roman"/>
                <w:b/>
                <w:color w:val="000000" w:themeColor="text1"/>
                <w:sz w:val="22"/>
                <w:u w:val="single"/>
                <w:lang w:eastAsia="lv-LV"/>
              </w:rPr>
            </w:pPr>
          </w:p>
          <w:p w14:paraId="78819413" w14:textId="77777777" w:rsidR="006603FC" w:rsidRDefault="006603FC" w:rsidP="00C732B2">
            <w:pPr>
              <w:widowControl w:val="0"/>
              <w:jc w:val="both"/>
              <w:rPr>
                <w:rFonts w:eastAsiaTheme="minorEastAsia" w:cs="Times New Roman"/>
                <w:b/>
                <w:color w:val="000000" w:themeColor="text1"/>
                <w:sz w:val="22"/>
                <w:u w:val="single"/>
                <w:lang w:eastAsia="lv-LV"/>
              </w:rPr>
            </w:pPr>
          </w:p>
          <w:p w14:paraId="7F34D91A" w14:textId="77777777" w:rsidR="006603FC" w:rsidRDefault="006603FC" w:rsidP="00C732B2">
            <w:pPr>
              <w:widowControl w:val="0"/>
              <w:jc w:val="both"/>
              <w:rPr>
                <w:rFonts w:eastAsiaTheme="minorEastAsia" w:cs="Times New Roman"/>
                <w:b/>
                <w:color w:val="000000" w:themeColor="text1"/>
                <w:sz w:val="22"/>
                <w:u w:val="single"/>
                <w:lang w:eastAsia="lv-LV"/>
              </w:rPr>
            </w:pPr>
          </w:p>
          <w:p w14:paraId="3DF76442" w14:textId="77777777" w:rsidR="006603FC" w:rsidRDefault="006603FC" w:rsidP="00C732B2">
            <w:pPr>
              <w:widowControl w:val="0"/>
              <w:jc w:val="both"/>
              <w:rPr>
                <w:rFonts w:eastAsiaTheme="minorEastAsia" w:cs="Times New Roman"/>
                <w:b/>
                <w:color w:val="000000" w:themeColor="text1"/>
                <w:sz w:val="22"/>
                <w:u w:val="single"/>
                <w:lang w:eastAsia="lv-LV"/>
              </w:rPr>
            </w:pPr>
          </w:p>
          <w:p w14:paraId="3772146C" w14:textId="77777777" w:rsidR="006603FC" w:rsidRDefault="006603FC" w:rsidP="00C732B2">
            <w:pPr>
              <w:widowControl w:val="0"/>
              <w:jc w:val="both"/>
              <w:rPr>
                <w:rFonts w:eastAsiaTheme="minorEastAsia" w:cs="Times New Roman"/>
                <w:b/>
                <w:color w:val="000000" w:themeColor="text1"/>
                <w:sz w:val="22"/>
                <w:u w:val="single"/>
                <w:lang w:eastAsia="lv-LV"/>
              </w:rPr>
            </w:pPr>
          </w:p>
          <w:p w14:paraId="6FCF1483" w14:textId="77777777" w:rsidR="006603FC" w:rsidRDefault="006603FC" w:rsidP="00C732B2">
            <w:pPr>
              <w:widowControl w:val="0"/>
              <w:jc w:val="both"/>
              <w:rPr>
                <w:rFonts w:eastAsiaTheme="minorEastAsia" w:cs="Times New Roman"/>
                <w:b/>
                <w:color w:val="000000" w:themeColor="text1"/>
                <w:sz w:val="22"/>
                <w:u w:val="single"/>
                <w:lang w:eastAsia="lv-LV"/>
              </w:rPr>
            </w:pPr>
          </w:p>
          <w:p w14:paraId="659F8A8F" w14:textId="77777777" w:rsidR="006603FC" w:rsidRDefault="006603FC" w:rsidP="00C732B2">
            <w:pPr>
              <w:widowControl w:val="0"/>
              <w:jc w:val="both"/>
              <w:rPr>
                <w:rFonts w:eastAsiaTheme="minorEastAsia" w:cs="Times New Roman"/>
                <w:b/>
                <w:color w:val="000000" w:themeColor="text1"/>
                <w:sz w:val="22"/>
                <w:u w:val="single"/>
                <w:lang w:eastAsia="lv-LV"/>
              </w:rPr>
            </w:pPr>
          </w:p>
          <w:p w14:paraId="7E7DCA47" w14:textId="7652E81D" w:rsidR="006603FC" w:rsidRPr="006603FC" w:rsidRDefault="006603FC" w:rsidP="00C732B2">
            <w:pPr>
              <w:widowControl w:val="0"/>
              <w:jc w:val="both"/>
              <w:rPr>
                <w:rFonts w:eastAsiaTheme="minorEastAsia" w:cs="Times New Roman"/>
                <w:b/>
                <w:color w:val="000000" w:themeColor="text1"/>
                <w:sz w:val="22"/>
                <w:u w:val="single"/>
                <w:lang w:eastAsia="lv-LV"/>
              </w:rPr>
            </w:pPr>
            <w:r w:rsidRPr="006603FC">
              <w:rPr>
                <w:rFonts w:eastAsiaTheme="minorEastAsia" w:cs="Times New Roman"/>
                <w:b/>
                <w:color w:val="000000" w:themeColor="text1"/>
                <w:sz w:val="22"/>
                <w:u w:val="single"/>
                <w:lang w:eastAsia="lv-LV"/>
              </w:rPr>
              <w:t>2019.gada 13.maijā:</w:t>
            </w:r>
          </w:p>
          <w:p w14:paraId="41AD4E49" w14:textId="0701CF9B" w:rsidR="006603FC" w:rsidRPr="006603FC" w:rsidRDefault="006603FC" w:rsidP="006603FC">
            <w:pPr>
              <w:widowControl w:val="0"/>
              <w:jc w:val="both"/>
              <w:rPr>
                <w:rFonts w:eastAsiaTheme="minorEastAsia" w:cs="Times New Roman"/>
                <w:color w:val="000000" w:themeColor="text1"/>
                <w:sz w:val="22"/>
                <w:lang w:eastAsia="lv-LV"/>
              </w:rPr>
            </w:pPr>
            <w:r w:rsidRPr="006603FC">
              <w:rPr>
                <w:rFonts w:eastAsiaTheme="minorEastAsia" w:cs="Times New Roman"/>
                <w:color w:val="000000" w:themeColor="text1"/>
                <w:sz w:val="22"/>
                <w:lang w:eastAsia="lv-LV"/>
              </w:rPr>
              <w:t>1.</w:t>
            </w:r>
            <w:r w:rsidRPr="006603FC">
              <w:t xml:space="preserve"> </w:t>
            </w:r>
            <w:r w:rsidRPr="006603FC">
              <w:rPr>
                <w:rFonts w:eastAsiaTheme="minorEastAsia" w:cs="Times New Roman"/>
                <w:color w:val="000000" w:themeColor="text1"/>
                <w:sz w:val="22"/>
                <w:lang w:eastAsia="lv-LV"/>
              </w:rPr>
              <w:t>Saskaņā ar Būvniecības likuma 5. panta pirmās daļas 3. punktu Ministru kabinets izdod būvnormatīvus, kuros nosaka tehniskās prasības attiecībā uz būvēm un to elementiem un vides pieejamības prasības attiecībā uz būvēm. Tādējādi būvnormatīvos var ietvert tikai attiecīgas tehniskās prasības un vides pieejamības prasības. Savukārt būvniecības procesam nepieciešamos dokumentus un to saturu Ministru kabinets var noteikt speciālajos būvnoteikumos (Būvniecības likuma 5. panta pirmās daļas 2. punkts). Līdz ar to Latvijas būvnormatīvā LBN 002-19 "Ēku norobežojošo konstrukciju siltumtehnika" (turpmāk – būvnormatīvs) tiešā vai netiešā veidā nav regulējums būvniecības procesā nepieciešamo dokumentu saturs.</w:t>
            </w:r>
          </w:p>
          <w:p w14:paraId="5EBECF3B" w14:textId="30A13078" w:rsidR="006603FC" w:rsidRPr="006603FC" w:rsidRDefault="006603FC" w:rsidP="006603FC">
            <w:pPr>
              <w:widowControl w:val="0"/>
              <w:jc w:val="both"/>
              <w:rPr>
                <w:rFonts w:eastAsiaTheme="minorEastAsia" w:cs="Times New Roman"/>
                <w:b/>
                <w:sz w:val="22"/>
                <w:lang w:eastAsia="lv-LV"/>
              </w:rPr>
            </w:pPr>
            <w:r w:rsidRPr="006603FC">
              <w:rPr>
                <w:rFonts w:eastAsiaTheme="minorEastAsia" w:cs="Times New Roman"/>
                <w:color w:val="000000" w:themeColor="text1"/>
                <w:sz w:val="22"/>
                <w:lang w:eastAsia="lv-LV"/>
              </w:rPr>
              <w:t>Ievērojot minēto, lūdzam precizēt būvnormatīvu (piemēram, būvnormatīva 3., 17., 24., 28., 29. un 44. punkts).</w:t>
            </w:r>
          </w:p>
        </w:tc>
        <w:tc>
          <w:tcPr>
            <w:tcW w:w="3406" w:type="dxa"/>
          </w:tcPr>
          <w:p w14:paraId="1199F224" w14:textId="6F128B7C" w:rsidR="0016277D" w:rsidRDefault="00C50979" w:rsidP="009B33E0">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lastRenderedPageBreak/>
              <w:t>Ņemts vērā</w:t>
            </w:r>
            <w:r w:rsidR="002127E5">
              <w:rPr>
                <w:rFonts w:eastAsia="Times New Roman" w:cs="Times New Roman"/>
                <w:b/>
                <w:sz w:val="22"/>
                <w:u w:val="single"/>
                <w:lang w:eastAsia="lv-LV"/>
              </w:rPr>
              <w:t>.</w:t>
            </w:r>
          </w:p>
          <w:p w14:paraId="4FCDCFF4" w14:textId="01C39F08" w:rsidR="00C50979" w:rsidRDefault="00C50979" w:rsidP="003A376E">
            <w:pPr>
              <w:spacing w:before="75" w:after="75"/>
              <w:ind w:left="57" w:right="57"/>
              <w:contextualSpacing/>
              <w:jc w:val="both"/>
              <w:rPr>
                <w:rFonts w:eastAsia="Times New Roman" w:cs="Times New Roman"/>
                <w:sz w:val="22"/>
                <w:lang w:eastAsia="lv-LV"/>
              </w:rPr>
            </w:pPr>
            <w:r>
              <w:rPr>
                <w:rFonts w:eastAsia="Times New Roman" w:cs="Times New Roman"/>
                <w:sz w:val="22"/>
                <w:lang w:eastAsia="lv-LV"/>
              </w:rPr>
              <w:t>Precizēt</w:t>
            </w:r>
            <w:r w:rsidR="00C3560A">
              <w:rPr>
                <w:rFonts w:eastAsia="Times New Roman" w:cs="Times New Roman"/>
                <w:sz w:val="22"/>
                <w:lang w:eastAsia="lv-LV"/>
              </w:rPr>
              <w:t xml:space="preserve">i </w:t>
            </w:r>
            <w:r>
              <w:rPr>
                <w:rFonts w:eastAsia="Times New Roman" w:cs="Times New Roman"/>
                <w:sz w:val="22"/>
                <w:lang w:eastAsia="lv-LV"/>
              </w:rPr>
              <w:t>3.</w:t>
            </w:r>
            <w:r w:rsidR="00C3560A">
              <w:rPr>
                <w:rFonts w:eastAsia="Times New Roman" w:cs="Times New Roman"/>
                <w:sz w:val="22"/>
                <w:lang w:eastAsia="lv-LV"/>
              </w:rPr>
              <w:t>, 17., 24., 29., un 44.</w:t>
            </w:r>
            <w:r>
              <w:rPr>
                <w:rFonts w:eastAsia="Times New Roman" w:cs="Times New Roman"/>
                <w:sz w:val="22"/>
                <w:lang w:eastAsia="lv-LV"/>
              </w:rPr>
              <w:t>punkt</w:t>
            </w:r>
            <w:r w:rsidR="00C3560A">
              <w:rPr>
                <w:rFonts w:eastAsia="Times New Roman" w:cs="Times New Roman"/>
                <w:sz w:val="22"/>
                <w:lang w:eastAsia="lv-LV"/>
              </w:rPr>
              <w:t>i.</w:t>
            </w:r>
          </w:p>
          <w:p w14:paraId="498A01E0" w14:textId="6419F95F" w:rsidR="00E72E12" w:rsidRPr="00E72E12" w:rsidRDefault="00E72E12" w:rsidP="003A376E">
            <w:pPr>
              <w:spacing w:before="75" w:after="75"/>
              <w:ind w:left="57" w:right="57"/>
              <w:contextualSpacing/>
              <w:jc w:val="both"/>
              <w:rPr>
                <w:rFonts w:eastAsia="Times New Roman" w:cs="Times New Roman"/>
                <w:sz w:val="22"/>
                <w:lang w:eastAsia="lv-LV"/>
              </w:rPr>
            </w:pPr>
            <w:r w:rsidRPr="00E72E12">
              <w:rPr>
                <w:rFonts w:eastAsia="Times New Roman" w:cs="Times New Roman"/>
                <w:sz w:val="22"/>
                <w:lang w:eastAsia="lv-LV"/>
              </w:rPr>
              <w:t>Ministru kabineta 2014.gada 19.august</w:t>
            </w:r>
            <w:r>
              <w:rPr>
                <w:rFonts w:eastAsia="Times New Roman" w:cs="Times New Roman"/>
                <w:sz w:val="22"/>
                <w:lang w:eastAsia="lv-LV"/>
              </w:rPr>
              <w:t>a</w:t>
            </w:r>
            <w:r w:rsidRPr="00E72E12">
              <w:rPr>
                <w:rFonts w:eastAsia="Times New Roman" w:cs="Times New Roman"/>
                <w:sz w:val="22"/>
                <w:lang w:eastAsia="lv-LV"/>
              </w:rPr>
              <w:t xml:space="preserve"> noteikum</w:t>
            </w:r>
            <w:r>
              <w:rPr>
                <w:rFonts w:eastAsia="Times New Roman" w:cs="Times New Roman"/>
                <w:sz w:val="22"/>
                <w:lang w:eastAsia="lv-LV"/>
              </w:rPr>
              <w:t>u</w:t>
            </w:r>
            <w:r w:rsidRPr="00E72E12">
              <w:rPr>
                <w:rFonts w:eastAsia="Times New Roman" w:cs="Times New Roman"/>
                <w:sz w:val="22"/>
                <w:lang w:eastAsia="lv-LV"/>
              </w:rPr>
              <w:t xml:space="preserve"> Nr.500</w:t>
            </w:r>
          </w:p>
          <w:p w14:paraId="5590743E" w14:textId="77777777" w:rsidR="00E72E12" w:rsidRDefault="00E72E12" w:rsidP="003A376E">
            <w:pPr>
              <w:spacing w:before="75" w:after="75"/>
              <w:ind w:right="57"/>
              <w:contextualSpacing/>
              <w:jc w:val="both"/>
              <w:rPr>
                <w:rFonts w:eastAsia="Times New Roman" w:cs="Times New Roman"/>
                <w:sz w:val="22"/>
                <w:lang w:eastAsia="lv-LV"/>
              </w:rPr>
            </w:pPr>
            <w:r>
              <w:rPr>
                <w:rFonts w:eastAsia="Times New Roman" w:cs="Times New Roman"/>
                <w:sz w:val="22"/>
                <w:lang w:eastAsia="lv-LV"/>
              </w:rPr>
              <w:t>“</w:t>
            </w:r>
            <w:r w:rsidRPr="00E72E12">
              <w:rPr>
                <w:rFonts w:eastAsia="Times New Roman" w:cs="Times New Roman"/>
                <w:sz w:val="22"/>
                <w:lang w:eastAsia="lv-LV"/>
              </w:rPr>
              <w:t>Vispārīgie būvnoteikumi</w:t>
            </w:r>
            <w:r>
              <w:rPr>
                <w:rFonts w:eastAsia="Times New Roman" w:cs="Times New Roman"/>
                <w:sz w:val="22"/>
                <w:lang w:eastAsia="lv-LV"/>
              </w:rPr>
              <w:t xml:space="preserve">” </w:t>
            </w:r>
            <w:r w:rsidRPr="00E72E12">
              <w:rPr>
                <w:rFonts w:eastAsia="Times New Roman" w:cs="Times New Roman"/>
                <w:sz w:val="22"/>
                <w:lang w:eastAsia="lv-LV"/>
              </w:rPr>
              <w:t>2.10.</w:t>
            </w:r>
            <w:r>
              <w:rPr>
                <w:rFonts w:eastAsia="Times New Roman" w:cs="Times New Roman"/>
                <w:sz w:val="22"/>
                <w:lang w:eastAsia="lv-LV"/>
              </w:rPr>
              <w:t>apakšpunktā ir noteikts</w:t>
            </w:r>
            <w:r w:rsidRPr="00E72E12">
              <w:rPr>
                <w:rFonts w:eastAsia="Times New Roman" w:cs="Times New Roman"/>
                <w:sz w:val="22"/>
                <w:lang w:eastAsia="lv-LV"/>
              </w:rPr>
              <w:t xml:space="preserve"> </w:t>
            </w:r>
            <w:r w:rsidR="006A796D">
              <w:rPr>
                <w:rFonts w:eastAsia="Times New Roman" w:cs="Times New Roman"/>
                <w:sz w:val="22"/>
                <w:lang w:eastAsia="lv-LV"/>
              </w:rPr>
              <w:t>termins “</w:t>
            </w:r>
            <w:r w:rsidRPr="00E72E12">
              <w:rPr>
                <w:rFonts w:eastAsia="Times New Roman" w:cs="Times New Roman"/>
                <w:sz w:val="22"/>
                <w:lang w:eastAsia="lv-LV"/>
              </w:rPr>
              <w:t>būvniecības ieceres dokumentācija</w:t>
            </w:r>
            <w:r w:rsidR="006A796D">
              <w:rPr>
                <w:rFonts w:eastAsia="Times New Roman" w:cs="Times New Roman"/>
                <w:sz w:val="22"/>
                <w:lang w:eastAsia="lv-LV"/>
              </w:rPr>
              <w:t>”</w:t>
            </w:r>
            <w:r w:rsidR="00F11175">
              <w:rPr>
                <w:rFonts w:eastAsia="Times New Roman" w:cs="Times New Roman"/>
                <w:sz w:val="22"/>
                <w:lang w:eastAsia="lv-LV"/>
              </w:rPr>
              <w:t>.</w:t>
            </w:r>
            <w:r w:rsidR="00C3560A">
              <w:rPr>
                <w:rFonts w:eastAsia="Times New Roman" w:cs="Times New Roman"/>
                <w:sz w:val="22"/>
                <w:lang w:eastAsia="lv-LV"/>
              </w:rPr>
              <w:t xml:space="preserve"> Iepriekš minētajos punktos netiek noteikts būvniecības procesam nepieciešamo dokumentu saturs</w:t>
            </w:r>
            <w:r w:rsidR="004433D3">
              <w:rPr>
                <w:rFonts w:eastAsia="Times New Roman" w:cs="Times New Roman"/>
                <w:sz w:val="22"/>
                <w:lang w:eastAsia="lv-LV"/>
              </w:rPr>
              <w:t>.</w:t>
            </w:r>
          </w:p>
          <w:p w14:paraId="1FABD9FF" w14:textId="77777777" w:rsidR="006603FC" w:rsidRDefault="006603FC" w:rsidP="003A376E">
            <w:pPr>
              <w:spacing w:before="75" w:after="75"/>
              <w:ind w:right="57"/>
              <w:contextualSpacing/>
              <w:jc w:val="both"/>
              <w:rPr>
                <w:rFonts w:eastAsia="Times New Roman" w:cs="Times New Roman"/>
                <w:sz w:val="22"/>
                <w:lang w:eastAsia="lv-LV"/>
              </w:rPr>
            </w:pPr>
          </w:p>
          <w:p w14:paraId="32AD47D5" w14:textId="77777777" w:rsidR="006603FC" w:rsidRDefault="006603FC" w:rsidP="003A376E">
            <w:pPr>
              <w:spacing w:before="75" w:after="75"/>
              <w:ind w:right="57"/>
              <w:contextualSpacing/>
              <w:jc w:val="both"/>
              <w:rPr>
                <w:rFonts w:eastAsia="Times New Roman" w:cs="Times New Roman"/>
                <w:sz w:val="22"/>
                <w:lang w:eastAsia="lv-LV"/>
              </w:rPr>
            </w:pPr>
          </w:p>
          <w:p w14:paraId="4FBB29C4" w14:textId="77777777" w:rsidR="006603FC" w:rsidRDefault="006603FC" w:rsidP="003A376E">
            <w:pPr>
              <w:spacing w:before="75" w:after="75"/>
              <w:ind w:right="57"/>
              <w:contextualSpacing/>
              <w:jc w:val="both"/>
              <w:rPr>
                <w:rFonts w:eastAsia="Times New Roman" w:cs="Times New Roman"/>
                <w:sz w:val="22"/>
                <w:lang w:eastAsia="lv-LV"/>
              </w:rPr>
            </w:pPr>
          </w:p>
          <w:p w14:paraId="1CABB6D1" w14:textId="77777777" w:rsidR="006603FC" w:rsidRDefault="006603FC" w:rsidP="003A376E">
            <w:pPr>
              <w:spacing w:before="75" w:after="75"/>
              <w:ind w:right="57"/>
              <w:contextualSpacing/>
              <w:jc w:val="both"/>
              <w:rPr>
                <w:rFonts w:eastAsia="Times New Roman" w:cs="Times New Roman"/>
                <w:sz w:val="22"/>
                <w:lang w:eastAsia="lv-LV"/>
              </w:rPr>
            </w:pPr>
          </w:p>
          <w:p w14:paraId="16BA0490" w14:textId="77777777" w:rsidR="006603FC" w:rsidRDefault="006603FC" w:rsidP="003A376E">
            <w:pPr>
              <w:spacing w:before="75" w:after="75"/>
              <w:ind w:right="57"/>
              <w:contextualSpacing/>
              <w:jc w:val="both"/>
              <w:rPr>
                <w:rFonts w:eastAsia="Times New Roman" w:cs="Times New Roman"/>
                <w:sz w:val="22"/>
                <w:lang w:eastAsia="lv-LV"/>
              </w:rPr>
            </w:pPr>
          </w:p>
          <w:p w14:paraId="3A93CA3C" w14:textId="77777777" w:rsidR="006603FC" w:rsidRDefault="006603FC" w:rsidP="003A376E">
            <w:pPr>
              <w:spacing w:before="75" w:after="75"/>
              <w:ind w:right="57"/>
              <w:contextualSpacing/>
              <w:jc w:val="both"/>
              <w:rPr>
                <w:rFonts w:eastAsia="Times New Roman" w:cs="Times New Roman"/>
                <w:sz w:val="22"/>
                <w:lang w:eastAsia="lv-LV"/>
              </w:rPr>
            </w:pPr>
          </w:p>
          <w:p w14:paraId="7D839267" w14:textId="77777777" w:rsidR="006603FC" w:rsidRDefault="006603FC" w:rsidP="003A376E">
            <w:pPr>
              <w:spacing w:before="75" w:after="75"/>
              <w:ind w:right="57"/>
              <w:contextualSpacing/>
              <w:jc w:val="both"/>
              <w:rPr>
                <w:rFonts w:eastAsia="Times New Roman" w:cs="Times New Roman"/>
                <w:sz w:val="22"/>
                <w:lang w:eastAsia="lv-LV"/>
              </w:rPr>
            </w:pPr>
          </w:p>
          <w:p w14:paraId="4BFEC401" w14:textId="77777777" w:rsidR="006603FC" w:rsidRDefault="006603FC" w:rsidP="003A376E">
            <w:pPr>
              <w:spacing w:before="75" w:after="75"/>
              <w:ind w:right="57"/>
              <w:contextualSpacing/>
              <w:jc w:val="both"/>
              <w:rPr>
                <w:rFonts w:eastAsia="Times New Roman" w:cs="Times New Roman"/>
                <w:sz w:val="22"/>
                <w:lang w:eastAsia="lv-LV"/>
              </w:rPr>
            </w:pPr>
          </w:p>
          <w:p w14:paraId="5D49C0E0" w14:textId="77777777" w:rsidR="006603FC" w:rsidRDefault="006603FC" w:rsidP="003A376E">
            <w:pPr>
              <w:spacing w:before="75" w:after="75"/>
              <w:ind w:right="57"/>
              <w:contextualSpacing/>
              <w:jc w:val="both"/>
              <w:rPr>
                <w:rFonts w:eastAsia="Times New Roman" w:cs="Times New Roman"/>
                <w:sz w:val="22"/>
                <w:lang w:eastAsia="lv-LV"/>
              </w:rPr>
            </w:pPr>
          </w:p>
          <w:p w14:paraId="5455A24B" w14:textId="77777777" w:rsidR="006603FC" w:rsidRDefault="006603FC" w:rsidP="003A376E">
            <w:pPr>
              <w:spacing w:before="75" w:after="75"/>
              <w:ind w:right="57"/>
              <w:contextualSpacing/>
              <w:jc w:val="both"/>
              <w:rPr>
                <w:rFonts w:eastAsia="Times New Roman" w:cs="Times New Roman"/>
                <w:sz w:val="22"/>
                <w:lang w:eastAsia="lv-LV"/>
              </w:rPr>
            </w:pPr>
          </w:p>
          <w:p w14:paraId="54E56118" w14:textId="77777777" w:rsidR="006603FC" w:rsidRDefault="006603FC" w:rsidP="003A376E">
            <w:pPr>
              <w:spacing w:before="75" w:after="75"/>
              <w:ind w:right="57"/>
              <w:contextualSpacing/>
              <w:jc w:val="both"/>
              <w:rPr>
                <w:rFonts w:eastAsia="Times New Roman" w:cs="Times New Roman"/>
                <w:sz w:val="22"/>
                <w:lang w:eastAsia="lv-LV"/>
              </w:rPr>
            </w:pPr>
          </w:p>
          <w:p w14:paraId="40F75009" w14:textId="77777777" w:rsidR="006603FC" w:rsidRDefault="006603FC" w:rsidP="003A376E">
            <w:pPr>
              <w:spacing w:before="75" w:after="75"/>
              <w:ind w:right="57"/>
              <w:contextualSpacing/>
              <w:jc w:val="both"/>
              <w:rPr>
                <w:rFonts w:eastAsia="Times New Roman" w:cs="Times New Roman"/>
                <w:sz w:val="22"/>
                <w:lang w:eastAsia="lv-LV"/>
              </w:rPr>
            </w:pPr>
          </w:p>
          <w:p w14:paraId="52236530" w14:textId="77777777" w:rsidR="006603FC" w:rsidRDefault="006603FC" w:rsidP="003A376E">
            <w:pPr>
              <w:spacing w:before="75" w:after="75"/>
              <w:ind w:right="57"/>
              <w:contextualSpacing/>
              <w:jc w:val="both"/>
              <w:rPr>
                <w:rFonts w:eastAsia="Times New Roman" w:cs="Times New Roman"/>
                <w:sz w:val="22"/>
                <w:lang w:eastAsia="lv-LV"/>
              </w:rPr>
            </w:pPr>
          </w:p>
          <w:p w14:paraId="68BB1AAA" w14:textId="77777777" w:rsidR="006603FC" w:rsidRDefault="006603FC" w:rsidP="003A376E">
            <w:pPr>
              <w:spacing w:before="75" w:after="75"/>
              <w:ind w:right="57"/>
              <w:contextualSpacing/>
              <w:jc w:val="both"/>
              <w:rPr>
                <w:rFonts w:eastAsia="Times New Roman" w:cs="Times New Roman"/>
                <w:sz w:val="22"/>
                <w:lang w:eastAsia="lv-LV"/>
              </w:rPr>
            </w:pPr>
          </w:p>
          <w:p w14:paraId="6FDC5DD0" w14:textId="77777777" w:rsidR="006603FC" w:rsidRDefault="006603FC" w:rsidP="003A376E">
            <w:pPr>
              <w:spacing w:before="75" w:after="75"/>
              <w:ind w:right="57"/>
              <w:contextualSpacing/>
              <w:jc w:val="both"/>
              <w:rPr>
                <w:rFonts w:eastAsia="Times New Roman" w:cs="Times New Roman"/>
                <w:sz w:val="22"/>
                <w:lang w:eastAsia="lv-LV"/>
              </w:rPr>
            </w:pPr>
          </w:p>
          <w:p w14:paraId="70CFCEBD" w14:textId="77777777" w:rsidR="006603FC" w:rsidRDefault="006603FC" w:rsidP="003A376E">
            <w:pPr>
              <w:spacing w:before="75" w:after="75"/>
              <w:ind w:right="57"/>
              <w:contextualSpacing/>
              <w:jc w:val="both"/>
              <w:rPr>
                <w:rFonts w:eastAsia="Times New Roman" w:cs="Times New Roman"/>
                <w:sz w:val="22"/>
                <w:lang w:eastAsia="lv-LV"/>
              </w:rPr>
            </w:pPr>
          </w:p>
          <w:p w14:paraId="4BB276FF" w14:textId="77777777" w:rsidR="006603FC" w:rsidRDefault="006603FC" w:rsidP="003A376E">
            <w:pPr>
              <w:spacing w:before="75" w:after="75"/>
              <w:ind w:right="57"/>
              <w:contextualSpacing/>
              <w:jc w:val="both"/>
              <w:rPr>
                <w:rFonts w:eastAsia="Times New Roman" w:cs="Times New Roman"/>
                <w:sz w:val="22"/>
                <w:lang w:eastAsia="lv-LV"/>
              </w:rPr>
            </w:pPr>
          </w:p>
          <w:p w14:paraId="4D147B4D" w14:textId="77777777" w:rsidR="006603FC" w:rsidRDefault="006603FC" w:rsidP="003A376E">
            <w:pPr>
              <w:spacing w:before="75" w:after="75"/>
              <w:ind w:right="57"/>
              <w:contextualSpacing/>
              <w:jc w:val="both"/>
              <w:rPr>
                <w:rFonts w:eastAsia="Times New Roman" w:cs="Times New Roman"/>
                <w:sz w:val="22"/>
                <w:lang w:eastAsia="lv-LV"/>
              </w:rPr>
            </w:pPr>
          </w:p>
          <w:p w14:paraId="7978546C" w14:textId="77777777" w:rsidR="006603FC" w:rsidRDefault="006603FC" w:rsidP="003A376E">
            <w:pPr>
              <w:spacing w:before="75" w:after="75"/>
              <w:ind w:right="57"/>
              <w:contextualSpacing/>
              <w:jc w:val="both"/>
              <w:rPr>
                <w:rFonts w:eastAsia="Times New Roman" w:cs="Times New Roman"/>
                <w:sz w:val="22"/>
                <w:lang w:eastAsia="lv-LV"/>
              </w:rPr>
            </w:pPr>
          </w:p>
          <w:p w14:paraId="2ADF250F" w14:textId="77777777" w:rsidR="006603FC" w:rsidRDefault="006603FC" w:rsidP="003A376E">
            <w:pPr>
              <w:spacing w:before="75" w:after="75"/>
              <w:ind w:right="57"/>
              <w:contextualSpacing/>
              <w:jc w:val="both"/>
              <w:rPr>
                <w:rFonts w:eastAsia="Times New Roman" w:cs="Times New Roman"/>
                <w:sz w:val="22"/>
                <w:lang w:eastAsia="lv-LV"/>
              </w:rPr>
            </w:pPr>
          </w:p>
          <w:p w14:paraId="2B14E101" w14:textId="77777777" w:rsidR="006603FC" w:rsidRDefault="006603FC" w:rsidP="003A376E">
            <w:pPr>
              <w:spacing w:before="75" w:after="75"/>
              <w:ind w:right="57"/>
              <w:contextualSpacing/>
              <w:jc w:val="both"/>
              <w:rPr>
                <w:rFonts w:eastAsia="Times New Roman" w:cs="Times New Roman"/>
                <w:sz w:val="22"/>
                <w:lang w:eastAsia="lv-LV"/>
              </w:rPr>
            </w:pPr>
          </w:p>
          <w:p w14:paraId="74C8D9AE" w14:textId="77777777" w:rsidR="006603FC" w:rsidRDefault="006603FC" w:rsidP="003A376E">
            <w:pPr>
              <w:spacing w:before="75" w:after="75"/>
              <w:ind w:right="57"/>
              <w:contextualSpacing/>
              <w:jc w:val="both"/>
              <w:rPr>
                <w:rFonts w:eastAsia="Times New Roman" w:cs="Times New Roman"/>
                <w:sz w:val="22"/>
                <w:lang w:eastAsia="lv-LV"/>
              </w:rPr>
            </w:pPr>
          </w:p>
          <w:p w14:paraId="21E34C0E" w14:textId="77777777" w:rsidR="006603FC" w:rsidRDefault="006603FC" w:rsidP="003A376E">
            <w:pPr>
              <w:spacing w:before="75" w:after="75"/>
              <w:ind w:right="57"/>
              <w:contextualSpacing/>
              <w:jc w:val="both"/>
              <w:rPr>
                <w:rFonts w:eastAsia="Times New Roman" w:cs="Times New Roman"/>
                <w:sz w:val="22"/>
                <w:lang w:eastAsia="lv-LV"/>
              </w:rPr>
            </w:pPr>
          </w:p>
          <w:p w14:paraId="404ECEA2" w14:textId="77777777" w:rsidR="006603FC" w:rsidRDefault="006603FC" w:rsidP="003A376E">
            <w:pPr>
              <w:spacing w:before="75" w:after="75"/>
              <w:ind w:right="57"/>
              <w:contextualSpacing/>
              <w:jc w:val="both"/>
              <w:rPr>
                <w:rFonts w:eastAsia="Times New Roman" w:cs="Times New Roman"/>
                <w:sz w:val="22"/>
                <w:lang w:eastAsia="lv-LV"/>
              </w:rPr>
            </w:pPr>
          </w:p>
          <w:p w14:paraId="559F3566" w14:textId="77777777" w:rsidR="006603FC" w:rsidRDefault="006603FC" w:rsidP="003A376E">
            <w:pPr>
              <w:spacing w:before="75" w:after="75"/>
              <w:ind w:right="57"/>
              <w:contextualSpacing/>
              <w:jc w:val="both"/>
              <w:rPr>
                <w:rFonts w:eastAsia="Times New Roman" w:cs="Times New Roman"/>
                <w:sz w:val="22"/>
                <w:lang w:eastAsia="lv-LV"/>
              </w:rPr>
            </w:pPr>
          </w:p>
          <w:p w14:paraId="711C33C8" w14:textId="77777777" w:rsidR="006603FC" w:rsidRDefault="006603FC" w:rsidP="003A376E">
            <w:pPr>
              <w:spacing w:before="75" w:after="75"/>
              <w:ind w:right="57"/>
              <w:contextualSpacing/>
              <w:jc w:val="both"/>
              <w:rPr>
                <w:rFonts w:eastAsia="Times New Roman" w:cs="Times New Roman"/>
                <w:sz w:val="22"/>
                <w:lang w:eastAsia="lv-LV"/>
              </w:rPr>
            </w:pPr>
          </w:p>
          <w:p w14:paraId="080BD09B" w14:textId="77777777" w:rsidR="006603FC" w:rsidRDefault="006603FC" w:rsidP="003A376E">
            <w:pPr>
              <w:spacing w:before="75" w:after="75"/>
              <w:ind w:right="57"/>
              <w:contextualSpacing/>
              <w:jc w:val="both"/>
              <w:rPr>
                <w:rFonts w:eastAsia="Times New Roman" w:cs="Times New Roman"/>
                <w:sz w:val="22"/>
                <w:lang w:eastAsia="lv-LV"/>
              </w:rPr>
            </w:pPr>
          </w:p>
          <w:p w14:paraId="0810E49D" w14:textId="77777777" w:rsidR="006603FC" w:rsidRDefault="006603FC" w:rsidP="003A376E">
            <w:pPr>
              <w:spacing w:before="75" w:after="75"/>
              <w:ind w:right="57"/>
              <w:contextualSpacing/>
              <w:jc w:val="both"/>
              <w:rPr>
                <w:rFonts w:eastAsia="Times New Roman" w:cs="Times New Roman"/>
                <w:sz w:val="22"/>
                <w:lang w:eastAsia="lv-LV"/>
              </w:rPr>
            </w:pPr>
          </w:p>
          <w:p w14:paraId="443CC994" w14:textId="77777777" w:rsidR="006603FC" w:rsidRDefault="006603FC" w:rsidP="003A376E">
            <w:pPr>
              <w:spacing w:before="75" w:after="75"/>
              <w:ind w:right="57"/>
              <w:contextualSpacing/>
              <w:jc w:val="both"/>
              <w:rPr>
                <w:rFonts w:eastAsia="Times New Roman" w:cs="Times New Roman"/>
                <w:sz w:val="22"/>
                <w:lang w:eastAsia="lv-LV"/>
              </w:rPr>
            </w:pPr>
          </w:p>
          <w:p w14:paraId="6B0DFFF1" w14:textId="08D15920" w:rsidR="006603FC" w:rsidRDefault="002C4696" w:rsidP="006603FC">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t>Ņ</w:t>
            </w:r>
            <w:r w:rsidR="006603FC">
              <w:rPr>
                <w:rFonts w:eastAsia="Times New Roman" w:cs="Times New Roman"/>
                <w:b/>
                <w:sz w:val="22"/>
                <w:u w:val="single"/>
                <w:lang w:eastAsia="lv-LV"/>
              </w:rPr>
              <w:t>emts vērā.</w:t>
            </w:r>
          </w:p>
          <w:p w14:paraId="687BE7F8" w14:textId="292E895A" w:rsidR="00973D57" w:rsidRPr="002C4696" w:rsidRDefault="002C4696" w:rsidP="006603FC">
            <w:pPr>
              <w:spacing w:before="75" w:after="75"/>
              <w:ind w:left="57" w:right="57"/>
              <w:contextualSpacing/>
              <w:jc w:val="center"/>
              <w:rPr>
                <w:rFonts w:eastAsia="Times New Roman" w:cs="Times New Roman"/>
                <w:sz w:val="22"/>
                <w:lang w:eastAsia="lv-LV"/>
              </w:rPr>
            </w:pPr>
            <w:r w:rsidRPr="002C4696">
              <w:rPr>
                <w:rFonts w:eastAsia="Times New Roman" w:cs="Times New Roman"/>
                <w:sz w:val="22"/>
                <w:lang w:eastAsia="lv-LV"/>
              </w:rPr>
              <w:t>Precizēti 3., 23., 27., 28. un 43. punkt</w:t>
            </w:r>
            <w:r>
              <w:rPr>
                <w:rFonts w:eastAsia="Times New Roman" w:cs="Times New Roman"/>
                <w:sz w:val="22"/>
                <w:lang w:eastAsia="lv-LV"/>
              </w:rPr>
              <w:t>i, svītrots 17.punkts, līdz ar to mainīta numerācija.</w:t>
            </w:r>
          </w:p>
          <w:p w14:paraId="16BE3A7C" w14:textId="1AD664DE" w:rsidR="00F448D8" w:rsidRDefault="00F448D8" w:rsidP="006603FC">
            <w:pPr>
              <w:spacing w:before="75" w:after="75"/>
              <w:ind w:left="57" w:right="57"/>
              <w:contextualSpacing/>
              <w:jc w:val="center"/>
              <w:rPr>
                <w:rFonts w:eastAsia="Times New Roman" w:cs="Times New Roman"/>
                <w:b/>
                <w:sz w:val="22"/>
                <w:u w:val="single"/>
                <w:lang w:eastAsia="lv-LV"/>
              </w:rPr>
            </w:pPr>
          </w:p>
          <w:p w14:paraId="2DE84682" w14:textId="77777777" w:rsidR="00F448D8" w:rsidRDefault="00F448D8" w:rsidP="00F448D8">
            <w:pPr>
              <w:spacing w:before="75" w:after="75"/>
              <w:ind w:left="57" w:right="57"/>
              <w:contextualSpacing/>
              <w:rPr>
                <w:rFonts w:eastAsia="Times New Roman" w:cs="Times New Roman"/>
                <w:b/>
                <w:sz w:val="22"/>
                <w:u w:val="single"/>
                <w:lang w:eastAsia="lv-LV"/>
              </w:rPr>
            </w:pPr>
          </w:p>
          <w:p w14:paraId="5920F6DB" w14:textId="0B1F20DF" w:rsidR="006603FC" w:rsidRPr="00C50979" w:rsidRDefault="006603FC" w:rsidP="003A376E">
            <w:pPr>
              <w:spacing w:before="75" w:after="75"/>
              <w:ind w:right="57"/>
              <w:contextualSpacing/>
              <w:jc w:val="both"/>
              <w:rPr>
                <w:rFonts w:eastAsia="Times New Roman" w:cs="Times New Roman"/>
                <w:sz w:val="22"/>
                <w:lang w:eastAsia="lv-LV"/>
              </w:rPr>
            </w:pPr>
          </w:p>
        </w:tc>
        <w:tc>
          <w:tcPr>
            <w:tcW w:w="3627" w:type="dxa"/>
            <w:gridSpan w:val="2"/>
          </w:tcPr>
          <w:p w14:paraId="56C1CACA" w14:textId="77777777" w:rsidR="0016277D" w:rsidRDefault="00C50979" w:rsidP="00840622">
            <w:pPr>
              <w:ind w:left="-55" w:right="57"/>
              <w:contextualSpacing/>
              <w:jc w:val="both"/>
              <w:rPr>
                <w:rFonts w:eastAsia="Times New Roman" w:cs="Times New Roman"/>
                <w:sz w:val="22"/>
                <w:lang w:eastAsia="lv-LV"/>
              </w:rPr>
            </w:pPr>
            <w:r>
              <w:rPr>
                <w:rFonts w:eastAsia="Times New Roman" w:cs="Times New Roman"/>
                <w:sz w:val="22"/>
                <w:lang w:eastAsia="lv-LV"/>
              </w:rPr>
              <w:lastRenderedPageBreak/>
              <w:t>3. </w:t>
            </w:r>
            <w:r w:rsidR="007E7DD2">
              <w:rPr>
                <w:rFonts w:eastAsia="Times New Roman" w:cs="Times New Roman"/>
                <w:sz w:val="22"/>
                <w:lang w:eastAsia="lv-LV"/>
              </w:rPr>
              <w:t xml:space="preserve">[..] </w:t>
            </w:r>
            <w:r w:rsidRPr="00C50979">
              <w:rPr>
                <w:rFonts w:eastAsia="Times New Roman" w:cs="Times New Roman"/>
                <w:sz w:val="22"/>
                <w:lang w:eastAsia="lv-LV"/>
              </w:rPr>
              <w:t>Būvniecības ieceres dokumentācijā paredz</w:t>
            </w:r>
            <w:r>
              <w:rPr>
                <w:rFonts w:eastAsia="Times New Roman" w:cs="Times New Roman"/>
                <w:sz w:val="22"/>
                <w:lang w:eastAsia="lv-LV"/>
              </w:rPr>
              <w:t>ētiem</w:t>
            </w:r>
            <w:r w:rsidRPr="00C50979">
              <w:rPr>
                <w:rFonts w:eastAsia="Times New Roman" w:cs="Times New Roman"/>
                <w:sz w:val="22"/>
                <w:lang w:eastAsia="lv-LV"/>
              </w:rPr>
              <w:t xml:space="preserve"> būv</w:t>
            </w:r>
            <w:r>
              <w:rPr>
                <w:rFonts w:eastAsia="Times New Roman" w:cs="Times New Roman"/>
                <w:sz w:val="22"/>
                <w:lang w:eastAsia="lv-LV"/>
              </w:rPr>
              <w:t xml:space="preserve">es </w:t>
            </w:r>
            <w:r w:rsidRPr="00C50979">
              <w:rPr>
                <w:rFonts w:eastAsia="Times New Roman" w:cs="Times New Roman"/>
                <w:sz w:val="22"/>
                <w:lang w:eastAsia="lv-LV"/>
              </w:rPr>
              <w:t>element</w:t>
            </w:r>
            <w:r>
              <w:rPr>
                <w:rFonts w:eastAsia="Times New Roman" w:cs="Times New Roman"/>
                <w:sz w:val="22"/>
                <w:lang w:eastAsia="lv-LV"/>
              </w:rPr>
              <w:t>iem</w:t>
            </w:r>
            <w:r w:rsidRPr="00C50979">
              <w:rPr>
                <w:rFonts w:eastAsia="Times New Roman" w:cs="Times New Roman"/>
                <w:sz w:val="22"/>
                <w:lang w:eastAsia="lv-LV"/>
              </w:rPr>
              <w:t xml:space="preserve"> novērtē to siltuma inerci un izvēlas piemērotāko nesošo un </w:t>
            </w:r>
            <w:proofErr w:type="spellStart"/>
            <w:r w:rsidRPr="00C50979">
              <w:rPr>
                <w:rFonts w:eastAsia="Times New Roman" w:cs="Times New Roman"/>
                <w:sz w:val="22"/>
                <w:lang w:eastAsia="lv-LV"/>
              </w:rPr>
              <w:t>siltumizolējošo</w:t>
            </w:r>
            <w:proofErr w:type="spellEnd"/>
            <w:r w:rsidRPr="00C50979">
              <w:rPr>
                <w:rFonts w:eastAsia="Times New Roman" w:cs="Times New Roman"/>
                <w:sz w:val="22"/>
                <w:lang w:eastAsia="lv-LV"/>
              </w:rPr>
              <w:t xml:space="preserve"> slāņu kombināciju.”</w:t>
            </w:r>
          </w:p>
          <w:p w14:paraId="46B198BB" w14:textId="77777777" w:rsidR="003A376E" w:rsidRDefault="003A376E" w:rsidP="00840622">
            <w:pPr>
              <w:ind w:left="-55" w:right="57"/>
              <w:contextualSpacing/>
              <w:jc w:val="both"/>
              <w:rPr>
                <w:rFonts w:eastAsia="Times New Roman" w:cs="Times New Roman"/>
                <w:sz w:val="22"/>
                <w:lang w:eastAsia="lv-LV"/>
              </w:rPr>
            </w:pPr>
          </w:p>
          <w:p w14:paraId="7530B541" w14:textId="34071AA7" w:rsidR="003A376E" w:rsidRDefault="003A376E" w:rsidP="00840622">
            <w:pPr>
              <w:ind w:left="-55" w:right="57"/>
              <w:contextualSpacing/>
              <w:jc w:val="both"/>
              <w:rPr>
                <w:rFonts w:eastAsia="Times New Roman" w:cs="Times New Roman"/>
                <w:sz w:val="22"/>
                <w:lang w:eastAsia="lv-LV"/>
              </w:rPr>
            </w:pPr>
            <w:r w:rsidRPr="003A376E">
              <w:rPr>
                <w:rFonts w:eastAsia="Times New Roman" w:cs="Times New Roman"/>
                <w:sz w:val="22"/>
                <w:lang w:eastAsia="lv-LV"/>
              </w:rPr>
              <w:t>17.</w:t>
            </w:r>
            <w:r>
              <w:rPr>
                <w:rFonts w:eastAsia="Times New Roman" w:cs="Times New Roman"/>
                <w:sz w:val="22"/>
                <w:lang w:eastAsia="lv-LV"/>
              </w:rPr>
              <w:t> </w:t>
            </w:r>
            <w:r w:rsidRPr="003A376E">
              <w:rPr>
                <w:rFonts w:eastAsia="Times New Roman" w:cs="Times New Roman"/>
                <w:sz w:val="22"/>
                <w:lang w:eastAsia="lv-LV"/>
              </w:rPr>
              <w:t>Šī būvnormatīva 16.</w:t>
            </w:r>
            <w:r>
              <w:rPr>
                <w:rFonts w:eastAsia="Times New Roman" w:cs="Times New Roman"/>
                <w:sz w:val="22"/>
                <w:lang w:eastAsia="lv-LV"/>
              </w:rPr>
              <w:t> </w:t>
            </w:r>
            <w:r w:rsidRPr="003A376E">
              <w:rPr>
                <w:rFonts w:eastAsia="Times New Roman" w:cs="Times New Roman"/>
                <w:sz w:val="22"/>
                <w:lang w:eastAsia="lv-LV"/>
              </w:rPr>
              <w:t>punktā minētās prasības izpildes tehnisko risinājumu norāda būvniecības ieceres dokumentācijā.</w:t>
            </w:r>
          </w:p>
          <w:p w14:paraId="54F499EA" w14:textId="77777777" w:rsidR="003A376E" w:rsidRDefault="003A376E" w:rsidP="00840622">
            <w:pPr>
              <w:ind w:left="-55" w:right="57"/>
              <w:contextualSpacing/>
              <w:jc w:val="both"/>
              <w:rPr>
                <w:rFonts w:eastAsia="Times New Roman" w:cs="Times New Roman"/>
                <w:sz w:val="22"/>
                <w:lang w:eastAsia="lv-LV"/>
              </w:rPr>
            </w:pPr>
          </w:p>
          <w:p w14:paraId="6DF93D22" w14:textId="617E49FE" w:rsidR="003A376E" w:rsidRDefault="003A376E" w:rsidP="00840622">
            <w:pPr>
              <w:ind w:left="-55" w:right="57"/>
              <w:contextualSpacing/>
              <w:jc w:val="both"/>
              <w:rPr>
                <w:rFonts w:eastAsia="Times New Roman" w:cs="Times New Roman"/>
                <w:sz w:val="22"/>
                <w:lang w:eastAsia="lv-LV"/>
              </w:rPr>
            </w:pPr>
            <w:r w:rsidRPr="003A376E">
              <w:rPr>
                <w:rFonts w:eastAsia="Times New Roman" w:cs="Times New Roman"/>
                <w:sz w:val="22"/>
                <w:lang w:eastAsia="lv-LV"/>
              </w:rPr>
              <w:t>24.</w:t>
            </w:r>
            <w:r>
              <w:rPr>
                <w:rFonts w:eastAsia="Times New Roman" w:cs="Times New Roman"/>
                <w:sz w:val="22"/>
                <w:lang w:eastAsia="lv-LV"/>
              </w:rPr>
              <w:t> </w:t>
            </w:r>
            <w:r w:rsidRPr="003A376E">
              <w:rPr>
                <w:rFonts w:eastAsia="Times New Roman" w:cs="Times New Roman"/>
                <w:sz w:val="22"/>
                <w:lang w:eastAsia="lv-LV"/>
              </w:rPr>
              <w:t>Šī būvnormatīva 23.</w:t>
            </w:r>
            <w:r>
              <w:rPr>
                <w:rFonts w:eastAsia="Times New Roman" w:cs="Times New Roman"/>
                <w:sz w:val="22"/>
                <w:lang w:eastAsia="lv-LV"/>
              </w:rPr>
              <w:t> </w:t>
            </w:r>
            <w:r w:rsidRPr="003A376E">
              <w:rPr>
                <w:rFonts w:eastAsia="Times New Roman" w:cs="Times New Roman"/>
                <w:sz w:val="22"/>
                <w:lang w:eastAsia="lv-LV"/>
              </w:rPr>
              <w:t>punktā minētās prasības izpildes tehnisko risinājumu būves elementam, tā savienojumiem un montāžas šuvēm norāda būvniecības ieceres dokumentācijā.</w:t>
            </w:r>
          </w:p>
          <w:p w14:paraId="44E97F99" w14:textId="4CD0E0C1" w:rsidR="003A376E" w:rsidRDefault="003A376E" w:rsidP="00840622">
            <w:pPr>
              <w:ind w:left="-55" w:right="57"/>
              <w:contextualSpacing/>
              <w:jc w:val="both"/>
              <w:rPr>
                <w:rFonts w:eastAsia="Times New Roman" w:cs="Times New Roman"/>
                <w:sz w:val="22"/>
                <w:lang w:eastAsia="lv-LV"/>
              </w:rPr>
            </w:pPr>
          </w:p>
          <w:p w14:paraId="044B3398" w14:textId="50181B57" w:rsidR="003A376E" w:rsidRDefault="003A376E" w:rsidP="00840622">
            <w:pPr>
              <w:ind w:left="-55" w:right="57"/>
              <w:contextualSpacing/>
              <w:jc w:val="both"/>
              <w:rPr>
                <w:rFonts w:eastAsia="Times New Roman" w:cs="Times New Roman"/>
                <w:sz w:val="22"/>
                <w:lang w:eastAsia="lv-LV"/>
              </w:rPr>
            </w:pPr>
            <w:r w:rsidRPr="003A376E">
              <w:rPr>
                <w:rFonts w:eastAsia="Times New Roman" w:cs="Times New Roman"/>
                <w:sz w:val="22"/>
                <w:lang w:eastAsia="lv-LV"/>
              </w:rPr>
              <w:t>29. Šī būvnormatīva 26. un 28. punktā minētās prasības izpildes tehnisko risinājumu būves elementam, tā savienojumiem un montāžas šuvēm norāda, būvniecības ieceres dokumentācijā tādā apjomā un saturā, lai varētu novērtēt atbilstību izvirzītajām prasībām.</w:t>
            </w:r>
          </w:p>
          <w:p w14:paraId="47DDBF08" w14:textId="20F67B5D" w:rsidR="003A376E" w:rsidRDefault="003A376E" w:rsidP="00840622">
            <w:pPr>
              <w:ind w:left="-55" w:right="57"/>
              <w:contextualSpacing/>
              <w:jc w:val="both"/>
              <w:rPr>
                <w:rFonts w:eastAsia="Times New Roman" w:cs="Times New Roman"/>
                <w:sz w:val="22"/>
                <w:lang w:eastAsia="lv-LV"/>
              </w:rPr>
            </w:pPr>
          </w:p>
          <w:p w14:paraId="2AE75004" w14:textId="1670BA81" w:rsidR="003A376E" w:rsidRDefault="003A376E" w:rsidP="00840622">
            <w:pPr>
              <w:ind w:left="-55" w:right="57"/>
              <w:contextualSpacing/>
              <w:jc w:val="both"/>
              <w:rPr>
                <w:rFonts w:eastAsia="Times New Roman" w:cs="Times New Roman"/>
                <w:sz w:val="22"/>
                <w:lang w:eastAsia="lv-LV"/>
              </w:rPr>
            </w:pPr>
            <w:r w:rsidRPr="003A376E">
              <w:rPr>
                <w:rFonts w:eastAsia="Times New Roman" w:cs="Times New Roman"/>
                <w:sz w:val="22"/>
                <w:lang w:eastAsia="lv-LV"/>
              </w:rPr>
              <w:lastRenderedPageBreak/>
              <w:t>44.</w:t>
            </w:r>
            <w:r>
              <w:rPr>
                <w:rFonts w:eastAsia="Times New Roman" w:cs="Times New Roman"/>
                <w:sz w:val="22"/>
                <w:lang w:eastAsia="lv-LV"/>
              </w:rPr>
              <w:t> </w:t>
            </w:r>
            <w:r w:rsidRPr="003A376E">
              <w:rPr>
                <w:rFonts w:eastAsia="Times New Roman" w:cs="Times New Roman"/>
                <w:sz w:val="22"/>
                <w:lang w:eastAsia="lv-LV"/>
              </w:rPr>
              <w:t xml:space="preserve">Būves elementa siltumizolācijas materiāla aprēķina </w:t>
            </w:r>
            <w:proofErr w:type="spellStart"/>
            <w:r w:rsidRPr="003A376E">
              <w:rPr>
                <w:rFonts w:eastAsia="Times New Roman" w:cs="Times New Roman"/>
                <w:sz w:val="22"/>
                <w:lang w:eastAsia="lv-LV"/>
              </w:rPr>
              <w:t>siltumvadītspēju</w:t>
            </w:r>
            <w:proofErr w:type="spellEnd"/>
            <w:r w:rsidRPr="003A376E">
              <w:rPr>
                <w:rFonts w:eastAsia="Times New Roman" w:cs="Times New Roman"/>
                <w:sz w:val="22"/>
                <w:lang w:eastAsia="lv-LV"/>
              </w:rPr>
              <w:t>, kas noteikta saskaņā ar šo būvnormatīvu, norāda būvniecības ieceres dokumentācijas specifikācijā.</w:t>
            </w:r>
          </w:p>
          <w:p w14:paraId="7DAFB529" w14:textId="58C5DEFA" w:rsidR="006603FC" w:rsidRDefault="006603FC" w:rsidP="00840622">
            <w:pPr>
              <w:ind w:left="-55" w:right="57"/>
              <w:contextualSpacing/>
              <w:jc w:val="both"/>
              <w:rPr>
                <w:rFonts w:eastAsia="Times New Roman" w:cs="Times New Roman"/>
                <w:sz w:val="22"/>
                <w:lang w:eastAsia="lv-LV"/>
              </w:rPr>
            </w:pPr>
          </w:p>
          <w:p w14:paraId="3A080B0A" w14:textId="619C5FE3" w:rsidR="006603FC" w:rsidRDefault="006603FC" w:rsidP="00840622">
            <w:pPr>
              <w:ind w:left="-55" w:right="57"/>
              <w:contextualSpacing/>
              <w:jc w:val="both"/>
              <w:rPr>
                <w:rFonts w:eastAsia="Times New Roman" w:cs="Times New Roman"/>
                <w:sz w:val="22"/>
                <w:lang w:eastAsia="lv-LV"/>
              </w:rPr>
            </w:pPr>
          </w:p>
          <w:p w14:paraId="47177ED3" w14:textId="6B694C0D" w:rsidR="006603FC" w:rsidRDefault="006603FC" w:rsidP="00840622">
            <w:pPr>
              <w:ind w:left="-55" w:right="57"/>
              <w:contextualSpacing/>
              <w:jc w:val="both"/>
              <w:rPr>
                <w:rFonts w:eastAsia="Times New Roman" w:cs="Times New Roman"/>
                <w:sz w:val="22"/>
                <w:lang w:eastAsia="lv-LV"/>
              </w:rPr>
            </w:pPr>
          </w:p>
          <w:p w14:paraId="4197820A" w14:textId="6C648216" w:rsidR="006603FC" w:rsidRDefault="006603FC" w:rsidP="00840622">
            <w:pPr>
              <w:ind w:left="-55" w:right="57"/>
              <w:contextualSpacing/>
              <w:jc w:val="both"/>
              <w:rPr>
                <w:rFonts w:eastAsia="Times New Roman" w:cs="Times New Roman"/>
                <w:sz w:val="22"/>
                <w:lang w:eastAsia="lv-LV"/>
              </w:rPr>
            </w:pPr>
          </w:p>
          <w:p w14:paraId="66DF78A1" w14:textId="2623B565" w:rsidR="006603FC" w:rsidRDefault="006603FC" w:rsidP="00840622">
            <w:pPr>
              <w:ind w:left="-55" w:right="57"/>
              <w:contextualSpacing/>
              <w:jc w:val="both"/>
              <w:rPr>
                <w:rFonts w:eastAsia="Times New Roman" w:cs="Times New Roman"/>
                <w:sz w:val="22"/>
                <w:lang w:eastAsia="lv-LV"/>
              </w:rPr>
            </w:pPr>
          </w:p>
          <w:p w14:paraId="42F2B5AA" w14:textId="743009A8" w:rsidR="006603FC" w:rsidRDefault="006603FC" w:rsidP="00840622">
            <w:pPr>
              <w:ind w:left="-55" w:right="57"/>
              <w:contextualSpacing/>
              <w:jc w:val="both"/>
              <w:rPr>
                <w:rFonts w:eastAsia="Times New Roman" w:cs="Times New Roman"/>
                <w:sz w:val="22"/>
                <w:lang w:eastAsia="lv-LV"/>
              </w:rPr>
            </w:pPr>
          </w:p>
          <w:p w14:paraId="71EF5622" w14:textId="05C849F8" w:rsidR="006603FC" w:rsidRDefault="006603FC" w:rsidP="00840622">
            <w:pPr>
              <w:ind w:left="-55" w:right="57"/>
              <w:contextualSpacing/>
              <w:jc w:val="both"/>
              <w:rPr>
                <w:rFonts w:eastAsia="Times New Roman" w:cs="Times New Roman"/>
                <w:sz w:val="22"/>
                <w:lang w:eastAsia="lv-LV"/>
              </w:rPr>
            </w:pPr>
          </w:p>
          <w:p w14:paraId="6FCA6D0F" w14:textId="43C6BA9B" w:rsidR="006603FC" w:rsidRDefault="006603FC" w:rsidP="00840622">
            <w:pPr>
              <w:ind w:left="-55" w:right="57"/>
              <w:contextualSpacing/>
              <w:jc w:val="both"/>
              <w:rPr>
                <w:rFonts w:eastAsia="Times New Roman" w:cs="Times New Roman"/>
                <w:sz w:val="22"/>
                <w:lang w:eastAsia="lv-LV"/>
              </w:rPr>
            </w:pPr>
          </w:p>
          <w:p w14:paraId="39F1A45A" w14:textId="063AD496" w:rsidR="006603FC" w:rsidRDefault="006603FC" w:rsidP="00840622">
            <w:pPr>
              <w:ind w:left="-55" w:right="57"/>
              <w:contextualSpacing/>
              <w:jc w:val="both"/>
              <w:rPr>
                <w:rFonts w:eastAsia="Times New Roman" w:cs="Times New Roman"/>
                <w:sz w:val="22"/>
                <w:lang w:eastAsia="lv-LV"/>
              </w:rPr>
            </w:pPr>
          </w:p>
          <w:p w14:paraId="54E390AF" w14:textId="4DE0C5F3" w:rsidR="001D1067" w:rsidRDefault="006603FC" w:rsidP="004D5883">
            <w:pPr>
              <w:ind w:right="57"/>
              <w:contextualSpacing/>
              <w:jc w:val="both"/>
              <w:rPr>
                <w:rFonts w:eastAsia="Times New Roman" w:cs="Times New Roman"/>
                <w:sz w:val="22"/>
                <w:lang w:eastAsia="lv-LV"/>
              </w:rPr>
            </w:pPr>
            <w:r>
              <w:rPr>
                <w:rFonts w:eastAsia="Times New Roman" w:cs="Times New Roman"/>
                <w:sz w:val="22"/>
                <w:lang w:eastAsia="lv-LV"/>
              </w:rPr>
              <w:t>3. </w:t>
            </w:r>
            <w:r w:rsidR="004D5883">
              <w:rPr>
                <w:rFonts w:eastAsia="Times New Roman" w:cs="Times New Roman"/>
                <w:sz w:val="22"/>
                <w:lang w:eastAsia="lv-LV"/>
              </w:rPr>
              <w:t>[..]</w:t>
            </w:r>
            <w:r w:rsidR="00C9209F">
              <w:rPr>
                <w:rFonts w:eastAsia="Times New Roman" w:cs="Times New Roman"/>
                <w:sz w:val="22"/>
                <w:lang w:eastAsia="lv-LV"/>
              </w:rPr>
              <w:t xml:space="preserve"> </w:t>
            </w:r>
            <w:r w:rsidR="00C9209F" w:rsidRPr="00C9209F">
              <w:rPr>
                <w:rFonts w:eastAsia="Times New Roman" w:cs="Times New Roman"/>
                <w:sz w:val="22"/>
                <w:lang w:eastAsia="lv-LV"/>
              </w:rPr>
              <w:t xml:space="preserve">Būves elementiem novērtē siltuma inerci un izvēlas piemērotāko nesošo un </w:t>
            </w:r>
            <w:proofErr w:type="spellStart"/>
            <w:r w:rsidR="00C9209F" w:rsidRPr="00C9209F">
              <w:rPr>
                <w:rFonts w:eastAsia="Times New Roman" w:cs="Times New Roman"/>
                <w:sz w:val="22"/>
                <w:lang w:eastAsia="lv-LV"/>
              </w:rPr>
              <w:t>siltumizolējošo</w:t>
            </w:r>
            <w:proofErr w:type="spellEnd"/>
            <w:r w:rsidR="00C9209F" w:rsidRPr="00C9209F">
              <w:rPr>
                <w:rFonts w:eastAsia="Times New Roman" w:cs="Times New Roman"/>
                <w:sz w:val="22"/>
                <w:lang w:eastAsia="lv-LV"/>
              </w:rPr>
              <w:t xml:space="preserve"> slāņu kombināciju.</w:t>
            </w:r>
          </w:p>
          <w:p w14:paraId="4316DCE9" w14:textId="77777777" w:rsidR="00C9209F" w:rsidRDefault="00C9209F" w:rsidP="004D5883">
            <w:pPr>
              <w:ind w:right="57"/>
              <w:contextualSpacing/>
              <w:jc w:val="both"/>
              <w:rPr>
                <w:rFonts w:eastAsia="Times New Roman" w:cs="Times New Roman"/>
                <w:sz w:val="22"/>
                <w:lang w:eastAsia="lv-LV"/>
              </w:rPr>
            </w:pPr>
          </w:p>
          <w:p w14:paraId="22F7A879" w14:textId="77777777" w:rsidR="002C4696" w:rsidRDefault="002C4696" w:rsidP="001D1067">
            <w:pPr>
              <w:ind w:right="57"/>
              <w:contextualSpacing/>
              <w:jc w:val="both"/>
              <w:rPr>
                <w:rFonts w:eastAsia="Times New Roman" w:cs="Times New Roman"/>
                <w:sz w:val="22"/>
                <w:lang w:eastAsia="lv-LV"/>
              </w:rPr>
            </w:pPr>
            <w:r w:rsidRPr="002C4696">
              <w:rPr>
                <w:rFonts w:eastAsia="Times New Roman" w:cs="Times New Roman"/>
                <w:sz w:val="22"/>
                <w:lang w:eastAsia="lv-LV"/>
              </w:rPr>
              <w:t>23. Šā būvnormatīva 22. punktā minētās prasības ņem vērā arī attiecībā uz būves elementa savienojumiem un montāžas šuvēm.</w:t>
            </w:r>
          </w:p>
          <w:p w14:paraId="14411FCF" w14:textId="1BBFAA5E" w:rsidR="001D1067" w:rsidRDefault="002C4696" w:rsidP="001D1067">
            <w:pPr>
              <w:ind w:right="57"/>
              <w:contextualSpacing/>
              <w:jc w:val="both"/>
              <w:rPr>
                <w:rFonts w:eastAsia="Times New Roman" w:cs="Times New Roman"/>
                <w:sz w:val="22"/>
                <w:lang w:eastAsia="lv-LV"/>
              </w:rPr>
            </w:pPr>
            <w:r w:rsidRPr="002C4696">
              <w:rPr>
                <w:rFonts w:eastAsia="Times New Roman" w:cs="Times New Roman"/>
                <w:sz w:val="22"/>
                <w:lang w:eastAsia="lv-LV"/>
              </w:rPr>
              <w:t xml:space="preserve"> </w:t>
            </w:r>
          </w:p>
          <w:p w14:paraId="4F53475A" w14:textId="7782E064" w:rsidR="001D1067" w:rsidRDefault="001D1067" w:rsidP="001D1067">
            <w:pPr>
              <w:ind w:right="57"/>
              <w:contextualSpacing/>
              <w:jc w:val="both"/>
              <w:rPr>
                <w:rFonts w:eastAsia="Times New Roman" w:cs="Times New Roman"/>
                <w:sz w:val="22"/>
                <w:lang w:eastAsia="lv-LV"/>
              </w:rPr>
            </w:pPr>
            <w:r w:rsidRPr="001D1067">
              <w:rPr>
                <w:rFonts w:eastAsia="Times New Roman" w:cs="Times New Roman"/>
                <w:sz w:val="22"/>
                <w:lang w:eastAsia="lv-LV"/>
              </w:rPr>
              <w:t>2</w:t>
            </w:r>
            <w:r w:rsidR="002C4696">
              <w:rPr>
                <w:rFonts w:eastAsia="Times New Roman" w:cs="Times New Roman"/>
                <w:sz w:val="22"/>
                <w:lang w:eastAsia="lv-LV"/>
              </w:rPr>
              <w:t>7</w:t>
            </w:r>
            <w:r w:rsidRPr="001D1067">
              <w:rPr>
                <w:rFonts w:eastAsia="Times New Roman" w:cs="Times New Roman"/>
                <w:sz w:val="22"/>
                <w:lang w:eastAsia="lv-LV"/>
              </w:rPr>
              <w:t xml:space="preserve">. Būves elementu projektē un izbūvē tā, lai: </w:t>
            </w:r>
            <w:r w:rsidR="002C4696">
              <w:rPr>
                <w:rFonts w:eastAsia="Times New Roman" w:cs="Times New Roman"/>
                <w:sz w:val="22"/>
                <w:lang w:eastAsia="lv-LV"/>
              </w:rPr>
              <w:t>[..]</w:t>
            </w:r>
          </w:p>
          <w:p w14:paraId="2705678D" w14:textId="156248C5" w:rsidR="001D1067" w:rsidRDefault="001D1067" w:rsidP="001D1067">
            <w:pPr>
              <w:ind w:right="57"/>
              <w:contextualSpacing/>
              <w:jc w:val="both"/>
              <w:rPr>
                <w:rFonts w:eastAsia="Times New Roman" w:cs="Times New Roman"/>
                <w:sz w:val="22"/>
                <w:lang w:eastAsia="lv-LV"/>
              </w:rPr>
            </w:pPr>
          </w:p>
          <w:p w14:paraId="5DAAA920" w14:textId="77777777" w:rsidR="002C4696" w:rsidRPr="002C4696" w:rsidRDefault="002C4696" w:rsidP="002C4696">
            <w:pPr>
              <w:ind w:right="57"/>
              <w:contextualSpacing/>
              <w:jc w:val="both"/>
              <w:rPr>
                <w:rFonts w:eastAsia="Times New Roman" w:cs="Times New Roman"/>
                <w:sz w:val="22"/>
                <w:lang w:eastAsia="lv-LV"/>
              </w:rPr>
            </w:pPr>
            <w:r w:rsidRPr="002C4696">
              <w:rPr>
                <w:rFonts w:eastAsia="Times New Roman" w:cs="Times New Roman"/>
                <w:sz w:val="22"/>
                <w:lang w:eastAsia="lv-LV"/>
              </w:rPr>
              <w:t xml:space="preserve">28. Šā būvnormatīva 25. vai 27. punktā minētās prasības izpildes tehnisko risinājumu būves elementam, tā savienojumiem un montāžas šuvēm norāda tādā apjomā un saturā, lai varētu novērtēt atbilstību noteiktajām prasībām. </w:t>
            </w:r>
          </w:p>
          <w:p w14:paraId="0987565C" w14:textId="2808AED6" w:rsidR="001D1067" w:rsidRDefault="001D1067" w:rsidP="001D1067">
            <w:pPr>
              <w:ind w:right="57"/>
              <w:contextualSpacing/>
              <w:jc w:val="both"/>
              <w:rPr>
                <w:rFonts w:eastAsia="Times New Roman" w:cs="Times New Roman"/>
                <w:sz w:val="22"/>
                <w:lang w:eastAsia="lv-LV"/>
              </w:rPr>
            </w:pPr>
          </w:p>
          <w:p w14:paraId="3F9B9942" w14:textId="3A20C812" w:rsidR="001D1067" w:rsidRDefault="002C4696" w:rsidP="004D5883">
            <w:pPr>
              <w:ind w:right="57"/>
              <w:contextualSpacing/>
              <w:jc w:val="both"/>
              <w:rPr>
                <w:rFonts w:eastAsia="Times New Roman" w:cs="Times New Roman"/>
                <w:sz w:val="22"/>
                <w:lang w:eastAsia="lv-LV"/>
              </w:rPr>
            </w:pPr>
            <w:r w:rsidRPr="002C4696">
              <w:rPr>
                <w:rFonts w:eastAsia="Times New Roman" w:cs="Times New Roman"/>
                <w:sz w:val="22"/>
                <w:lang w:eastAsia="lv-LV"/>
              </w:rPr>
              <w:lastRenderedPageBreak/>
              <w:t>43.</w:t>
            </w:r>
            <w:r>
              <w:rPr>
                <w:rFonts w:eastAsia="Times New Roman" w:cs="Times New Roman"/>
                <w:sz w:val="22"/>
                <w:lang w:eastAsia="lv-LV"/>
              </w:rPr>
              <w:t> </w:t>
            </w:r>
            <w:r w:rsidR="008069C6" w:rsidRPr="008069C6">
              <w:rPr>
                <w:rFonts w:eastAsia="Times New Roman" w:cs="Times New Roman"/>
                <w:sz w:val="22"/>
                <w:lang w:eastAsia="lv-LV"/>
              </w:rPr>
              <w:t xml:space="preserve">Būves elementa siltumizolācijas materiāla aprēķina </w:t>
            </w:r>
            <w:proofErr w:type="spellStart"/>
            <w:r w:rsidR="008069C6" w:rsidRPr="008069C6">
              <w:rPr>
                <w:rFonts w:eastAsia="Times New Roman" w:cs="Times New Roman"/>
                <w:sz w:val="22"/>
                <w:lang w:eastAsia="lv-LV"/>
              </w:rPr>
              <w:t>siltumvadītspēju</w:t>
            </w:r>
            <w:proofErr w:type="spellEnd"/>
            <w:r w:rsidR="008069C6" w:rsidRPr="008069C6">
              <w:rPr>
                <w:rFonts w:eastAsia="Times New Roman" w:cs="Times New Roman"/>
                <w:sz w:val="22"/>
                <w:lang w:eastAsia="lv-LV"/>
              </w:rPr>
              <w:t>, kas norādāma būvniecības ieceres dokumentācijā, nosaka saskaņā ar šā būvnormatīva 42. punktu.</w:t>
            </w:r>
          </w:p>
          <w:p w14:paraId="60AB0307" w14:textId="1AB22755" w:rsidR="001D1067" w:rsidRPr="00594984" w:rsidRDefault="001D1067" w:rsidP="004D5883">
            <w:pPr>
              <w:ind w:right="57"/>
              <w:contextualSpacing/>
              <w:jc w:val="both"/>
              <w:rPr>
                <w:rFonts w:eastAsia="Times New Roman" w:cs="Times New Roman"/>
                <w:sz w:val="22"/>
                <w:lang w:eastAsia="lv-LV"/>
              </w:rPr>
            </w:pPr>
          </w:p>
        </w:tc>
      </w:tr>
      <w:tr w:rsidR="0016277D" w:rsidRPr="00594984" w14:paraId="2EBE062B" w14:textId="77777777" w:rsidTr="00840622">
        <w:trPr>
          <w:trHeight w:val="318"/>
          <w:tblCellSpacing w:w="11" w:type="dxa"/>
        </w:trPr>
        <w:tc>
          <w:tcPr>
            <w:tcW w:w="605" w:type="dxa"/>
          </w:tcPr>
          <w:p w14:paraId="07496478" w14:textId="47A12A94" w:rsidR="0016277D" w:rsidRPr="00594984" w:rsidRDefault="00BE261C" w:rsidP="00594984">
            <w:pPr>
              <w:ind w:left="57" w:right="57"/>
              <w:contextualSpacing/>
              <w:rPr>
                <w:rFonts w:eastAsia="Times New Roman" w:cs="Times New Roman"/>
                <w:sz w:val="22"/>
                <w:lang w:eastAsia="lv-LV"/>
              </w:rPr>
            </w:pPr>
            <w:r>
              <w:rPr>
                <w:rFonts w:eastAsia="Times New Roman" w:cs="Times New Roman"/>
                <w:sz w:val="22"/>
                <w:lang w:eastAsia="lv-LV"/>
              </w:rPr>
              <w:lastRenderedPageBreak/>
              <w:t>4.</w:t>
            </w:r>
          </w:p>
        </w:tc>
        <w:tc>
          <w:tcPr>
            <w:tcW w:w="2980" w:type="dxa"/>
          </w:tcPr>
          <w:p w14:paraId="25A00133" w14:textId="52F18689" w:rsidR="0016277D" w:rsidRPr="00594984" w:rsidRDefault="00E72E12" w:rsidP="00594984">
            <w:pPr>
              <w:ind w:left="57" w:right="57"/>
              <w:contextualSpacing/>
              <w:jc w:val="both"/>
              <w:rPr>
                <w:rFonts w:eastAsia="Times New Roman" w:cs="Times New Roman"/>
                <w:sz w:val="22"/>
                <w:lang w:eastAsia="lv-LV"/>
              </w:rPr>
            </w:pPr>
            <w:r w:rsidRPr="00E72E12">
              <w:rPr>
                <w:rFonts w:eastAsia="Times New Roman" w:cs="Times New Roman"/>
                <w:sz w:val="22"/>
                <w:lang w:eastAsia="lv-LV"/>
              </w:rPr>
              <w:t>7. Arhitektūras pieminekļa atjaunošanā Nacionālā kultūras mantojuma pārvalde var atļaut atkāpes no šī būvnormatīva prasībām, ja attiecīgo prasību izpilde apdraud kultūras pieminekļa saglabāšanu vai pazeminās tā kultūrvēsturiskā vērtība.</w:t>
            </w:r>
          </w:p>
        </w:tc>
        <w:tc>
          <w:tcPr>
            <w:tcW w:w="4353" w:type="dxa"/>
            <w:gridSpan w:val="2"/>
          </w:tcPr>
          <w:p w14:paraId="6C5D4D8E" w14:textId="77777777" w:rsidR="00794081" w:rsidRPr="00794081" w:rsidRDefault="00794081" w:rsidP="00794081">
            <w:pPr>
              <w:ind w:hanging="51"/>
              <w:jc w:val="center"/>
              <w:rPr>
                <w:rFonts w:eastAsiaTheme="minorEastAsia" w:cs="Times New Roman"/>
                <w:b/>
                <w:sz w:val="22"/>
                <w:u w:val="single"/>
                <w:lang w:eastAsia="lv-LV"/>
              </w:rPr>
            </w:pPr>
            <w:r w:rsidRPr="00794081">
              <w:rPr>
                <w:rFonts w:eastAsiaTheme="minorEastAsia" w:cs="Times New Roman"/>
                <w:b/>
                <w:sz w:val="22"/>
                <w:u w:val="single"/>
                <w:lang w:eastAsia="lv-LV"/>
              </w:rPr>
              <w:t>Tieslietu ministrija</w:t>
            </w:r>
          </w:p>
          <w:p w14:paraId="07A949EF" w14:textId="159C4EBA" w:rsidR="0016277D" w:rsidRPr="0082785F" w:rsidRDefault="0016277D" w:rsidP="00C732B2">
            <w:pPr>
              <w:widowControl w:val="0"/>
              <w:jc w:val="both"/>
              <w:rPr>
                <w:rFonts w:eastAsiaTheme="minorEastAsia" w:cs="Times New Roman"/>
                <w:sz w:val="22"/>
                <w:lang w:eastAsia="lv-LV"/>
              </w:rPr>
            </w:pPr>
            <w:r w:rsidRPr="0082785F">
              <w:rPr>
                <w:rFonts w:eastAsiaTheme="minorEastAsia" w:cs="Times New Roman"/>
                <w:sz w:val="22"/>
                <w:lang w:eastAsia="lv-LV"/>
              </w:rPr>
              <w:t>3.</w:t>
            </w:r>
            <w:r w:rsidR="00C732B2">
              <w:rPr>
                <w:rFonts w:eastAsiaTheme="minorEastAsia" w:cs="Times New Roman"/>
                <w:sz w:val="22"/>
                <w:lang w:eastAsia="lv-LV"/>
              </w:rPr>
              <w:t> </w:t>
            </w:r>
            <w:r w:rsidRPr="0082785F">
              <w:rPr>
                <w:rFonts w:eastAsiaTheme="minorEastAsia" w:cs="Times New Roman"/>
                <w:sz w:val="22"/>
                <w:lang w:eastAsia="lv-LV"/>
              </w:rPr>
              <w:t>Būvnormatīva 7.</w:t>
            </w:r>
            <w:r w:rsidR="0031529A">
              <w:rPr>
                <w:rFonts w:eastAsiaTheme="minorEastAsia" w:cs="Times New Roman"/>
                <w:sz w:val="22"/>
                <w:lang w:eastAsia="lv-LV"/>
              </w:rPr>
              <w:t> </w:t>
            </w:r>
            <w:r w:rsidRPr="0082785F">
              <w:rPr>
                <w:rFonts w:eastAsiaTheme="minorEastAsia" w:cs="Times New Roman"/>
                <w:sz w:val="22"/>
                <w:lang w:eastAsia="lv-LV"/>
              </w:rPr>
              <w:t>punktā paredzēts: "Arhitektūras pieminekļa atjaunošanā Nacionālā kultūras mantojuma pārvalde var atļaut atkāpes no šī būvnormatīva prasībām, ja attiecīgo prasību izpilde apdraud kultūras pieminekļa saglabāšanu vai pazeminās tā kultūrvēsturiskā vērtība." Lūdzam izvērtēt un nepieciešamības gadījumā precizēt būvnormatīva 7.</w:t>
            </w:r>
            <w:r w:rsidR="0031529A">
              <w:rPr>
                <w:rFonts w:eastAsiaTheme="minorEastAsia" w:cs="Times New Roman"/>
                <w:sz w:val="22"/>
                <w:lang w:eastAsia="lv-LV"/>
              </w:rPr>
              <w:t> </w:t>
            </w:r>
            <w:r w:rsidRPr="0082785F">
              <w:rPr>
                <w:rFonts w:eastAsiaTheme="minorEastAsia" w:cs="Times New Roman"/>
                <w:sz w:val="22"/>
                <w:lang w:eastAsia="lv-LV"/>
              </w:rPr>
              <w:t>punktu, ievērojot turpmāk minētos apsvērumus.</w:t>
            </w:r>
          </w:p>
          <w:p w14:paraId="048606FB" w14:textId="77777777" w:rsidR="0016277D" w:rsidRPr="0082785F" w:rsidRDefault="0016277D" w:rsidP="00C732B2">
            <w:pPr>
              <w:widowControl w:val="0"/>
              <w:jc w:val="both"/>
              <w:rPr>
                <w:rFonts w:eastAsiaTheme="minorEastAsia" w:cs="Times New Roman"/>
                <w:sz w:val="22"/>
                <w:lang w:eastAsia="lv-LV"/>
              </w:rPr>
            </w:pPr>
            <w:r w:rsidRPr="0082785F">
              <w:rPr>
                <w:rFonts w:eastAsiaTheme="minorEastAsia" w:cs="Times New Roman"/>
                <w:sz w:val="22"/>
                <w:lang w:eastAsia="lv-LV"/>
              </w:rPr>
              <w:t xml:space="preserve">3.1. Šajā punktā izmantots termins </w:t>
            </w:r>
            <w:r w:rsidRPr="0082785F">
              <w:rPr>
                <w:rFonts w:eastAsiaTheme="minorEastAsia" w:cs="Times New Roman"/>
                <w:sz w:val="22"/>
                <w:lang w:eastAsia="lv-LV"/>
              </w:rPr>
              <w:lastRenderedPageBreak/>
              <w:t>"arhitektūras piemineklis", kā arī termins "kultūras piemineklis". Ja šie termini attiecas uz vienu un to pašu jēdzienu, lūdzam izmantot tikai vienu terminu, ievērojot normatīvajos aktos kultūras pieminekļu jomā lietoto terminoloģiju.</w:t>
            </w:r>
          </w:p>
          <w:p w14:paraId="24C684A8" w14:textId="29748AD1" w:rsidR="0016277D" w:rsidRPr="0082785F" w:rsidRDefault="0016277D" w:rsidP="00C732B2">
            <w:pPr>
              <w:widowControl w:val="0"/>
              <w:jc w:val="both"/>
              <w:rPr>
                <w:rFonts w:eastAsiaTheme="minorEastAsia" w:cs="Times New Roman"/>
                <w:sz w:val="22"/>
                <w:lang w:eastAsia="lv-LV"/>
              </w:rPr>
            </w:pPr>
            <w:r w:rsidRPr="0082785F">
              <w:rPr>
                <w:rFonts w:eastAsiaTheme="minorEastAsia" w:cs="Times New Roman"/>
                <w:sz w:val="22"/>
                <w:lang w:eastAsia="lv-LV"/>
              </w:rPr>
              <w:t>3.2. Būvnormatīva 5.</w:t>
            </w:r>
            <w:r w:rsidR="0031529A">
              <w:rPr>
                <w:rFonts w:eastAsiaTheme="minorEastAsia" w:cs="Times New Roman"/>
                <w:sz w:val="22"/>
                <w:lang w:eastAsia="lv-LV"/>
              </w:rPr>
              <w:t> </w:t>
            </w:r>
            <w:r w:rsidRPr="0082785F">
              <w:rPr>
                <w:rFonts w:eastAsiaTheme="minorEastAsia" w:cs="Times New Roman"/>
                <w:sz w:val="22"/>
                <w:lang w:eastAsia="lv-LV"/>
              </w:rPr>
              <w:t>punktā minētajā Ēku energoefektivitātes likuma 3. panta otrās daļas 2.</w:t>
            </w:r>
            <w:r w:rsidR="0031529A">
              <w:rPr>
                <w:rFonts w:eastAsiaTheme="minorEastAsia" w:cs="Times New Roman"/>
                <w:sz w:val="22"/>
                <w:lang w:eastAsia="lv-LV"/>
              </w:rPr>
              <w:t> </w:t>
            </w:r>
            <w:r w:rsidRPr="0082785F">
              <w:rPr>
                <w:rFonts w:eastAsiaTheme="minorEastAsia" w:cs="Times New Roman"/>
                <w:sz w:val="22"/>
                <w:lang w:eastAsia="lv-LV"/>
              </w:rPr>
              <w:t>punktā noteikts, ka šā likuma prasības nepiemēro ēkām, kuras ir kultūras pieminekļi vai kurās atrodas kultūras pieminekļi, kā arī kultūras pieminekļu teritorijās esošām ēkām, ja likuma prasību izpilde apdraud šo kultūras pieminekļu saglabāšanu vai pazemina to kultūrvēsturisko vērtību. Līdz ar to būvnormatīvs vispār nebūtu piemērojams šādām ēkām.</w:t>
            </w:r>
          </w:p>
          <w:p w14:paraId="065ABE73" w14:textId="3987F5CA" w:rsidR="0016277D" w:rsidRPr="0082785F" w:rsidRDefault="0016277D" w:rsidP="00C732B2">
            <w:pPr>
              <w:widowControl w:val="0"/>
              <w:jc w:val="both"/>
              <w:rPr>
                <w:rFonts w:eastAsiaTheme="minorEastAsia" w:cs="Times New Roman"/>
                <w:sz w:val="22"/>
                <w:lang w:eastAsia="lv-LV"/>
              </w:rPr>
            </w:pPr>
            <w:r w:rsidRPr="0082785F">
              <w:rPr>
                <w:rFonts w:eastAsiaTheme="minorEastAsia" w:cs="Times New Roman"/>
                <w:sz w:val="22"/>
                <w:lang w:eastAsia="lv-LV"/>
              </w:rPr>
              <w:t>3.3. Ārējā normatīvajā aktā var piešķirt iestādei rīcības brīvību, taču ir rūpīgi jāizvērtē, ciktāl šāda rīcības brīvība ir pieļaujama. Būvnormatīva 7. punktā ir paredzēts kritērijs "ja attiecīgo prasību izpilde apdraud kultūras pieminekļu saglabāšanu vai pazeminās tā kultūrvēsturiskā vērtība". Tomēr pastāv jautājums, vai šādas atkāpes būtu pieļaujamas no jebkurām būvnormatīvā minētajām prasībām (piemēram, vai ir jāievēro būvnormatīva 32.</w:t>
            </w:r>
            <w:r w:rsidR="0031529A">
              <w:rPr>
                <w:rFonts w:eastAsiaTheme="minorEastAsia" w:cs="Times New Roman"/>
                <w:sz w:val="22"/>
                <w:lang w:eastAsia="lv-LV"/>
              </w:rPr>
              <w:t> </w:t>
            </w:r>
            <w:r w:rsidRPr="0082785F">
              <w:rPr>
                <w:rFonts w:eastAsiaTheme="minorEastAsia" w:cs="Times New Roman"/>
                <w:sz w:val="22"/>
                <w:lang w:eastAsia="lv-LV"/>
              </w:rPr>
              <w:t xml:space="preserve">punktā paredzētais regulējums). Tas neatbilst arī būvnormatīva 1. punktā paredzētajam, ka atkāpes pieļaujamas tikai citos normatīvajos aktos noteiktajos gadījumos un ir pienākums ievērot noteiktās prasības par ēku energoefektivitāti un </w:t>
            </w:r>
            <w:proofErr w:type="spellStart"/>
            <w:r w:rsidRPr="0082785F">
              <w:rPr>
                <w:rFonts w:eastAsiaTheme="minorEastAsia" w:cs="Times New Roman"/>
                <w:sz w:val="22"/>
                <w:lang w:eastAsia="lv-LV"/>
              </w:rPr>
              <w:t>būvfizikāli</w:t>
            </w:r>
            <w:proofErr w:type="spellEnd"/>
            <w:r w:rsidRPr="0082785F">
              <w:rPr>
                <w:rFonts w:eastAsiaTheme="minorEastAsia" w:cs="Times New Roman"/>
                <w:sz w:val="22"/>
                <w:lang w:eastAsia="lv-LV"/>
              </w:rPr>
              <w:t xml:space="preserve"> drošiem risinājumiem (piemēram, vai būvnormatīva 7.</w:t>
            </w:r>
            <w:r w:rsidR="0031529A">
              <w:rPr>
                <w:rFonts w:eastAsiaTheme="minorEastAsia" w:cs="Times New Roman"/>
                <w:sz w:val="22"/>
                <w:lang w:eastAsia="lv-LV"/>
              </w:rPr>
              <w:t> </w:t>
            </w:r>
            <w:r w:rsidRPr="0082785F">
              <w:rPr>
                <w:rFonts w:eastAsiaTheme="minorEastAsia" w:cs="Times New Roman"/>
                <w:sz w:val="22"/>
                <w:lang w:eastAsia="lv-LV"/>
              </w:rPr>
              <w:t xml:space="preserve">punktā paredzētajā gadījumā droši risinājumi nebūtu izmantojams </w:t>
            </w:r>
            <w:r w:rsidRPr="0082785F">
              <w:rPr>
                <w:rFonts w:eastAsiaTheme="minorEastAsia" w:cs="Times New Roman"/>
                <w:sz w:val="22"/>
                <w:lang w:eastAsia="lv-LV"/>
              </w:rPr>
              <w:lastRenderedPageBreak/>
              <w:t>kā kritērijs). Jebkurā gadījumā, paredzot šādu rīcības brīvību, plašus izņēmumus no regulējuma, nepieciešams skaidrojums projekta anotācijā, raksturojot pieļaujamās rīcības brīvības robežas.</w:t>
            </w:r>
          </w:p>
        </w:tc>
        <w:tc>
          <w:tcPr>
            <w:tcW w:w="3406" w:type="dxa"/>
          </w:tcPr>
          <w:p w14:paraId="461BE3BB" w14:textId="5C98DAE6" w:rsidR="0016277D" w:rsidRDefault="00E72E12" w:rsidP="008C6931">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lastRenderedPageBreak/>
              <w:t>Ņemts vērā</w:t>
            </w:r>
            <w:r w:rsidR="002127E5">
              <w:rPr>
                <w:rFonts w:eastAsia="Times New Roman" w:cs="Times New Roman"/>
                <w:b/>
                <w:sz w:val="22"/>
                <w:u w:val="single"/>
                <w:lang w:eastAsia="lv-LV"/>
              </w:rPr>
              <w:t>.</w:t>
            </w:r>
          </w:p>
          <w:p w14:paraId="6248E8BD" w14:textId="62E8E7F3" w:rsidR="00E72E12" w:rsidRPr="00E72E12" w:rsidRDefault="00E72E12" w:rsidP="00840622">
            <w:pPr>
              <w:spacing w:before="75" w:after="75"/>
              <w:ind w:left="57" w:right="57"/>
              <w:contextualSpacing/>
              <w:jc w:val="both"/>
              <w:rPr>
                <w:rFonts w:eastAsia="Times New Roman" w:cs="Times New Roman"/>
                <w:sz w:val="22"/>
                <w:lang w:eastAsia="lv-LV"/>
              </w:rPr>
            </w:pPr>
            <w:r>
              <w:rPr>
                <w:rFonts w:eastAsia="Times New Roman" w:cs="Times New Roman"/>
                <w:sz w:val="22"/>
                <w:lang w:eastAsia="lv-LV"/>
              </w:rPr>
              <w:t>Svītrots 7.punkts, jo b</w:t>
            </w:r>
            <w:r w:rsidRPr="00E72E12">
              <w:rPr>
                <w:rFonts w:eastAsia="Times New Roman" w:cs="Times New Roman"/>
                <w:sz w:val="22"/>
                <w:lang w:eastAsia="lv-LV"/>
              </w:rPr>
              <w:t>ūvnormatīvu tehniskās prasības un atkāpes no tām</w:t>
            </w:r>
            <w:r>
              <w:rPr>
                <w:rFonts w:eastAsia="Times New Roman" w:cs="Times New Roman"/>
                <w:sz w:val="22"/>
                <w:lang w:eastAsia="lv-LV"/>
              </w:rPr>
              <w:t xml:space="preserve"> noteiktas Būvniecības likuma 9.</w:t>
            </w:r>
            <w:r w:rsidRPr="00E72E12">
              <w:rPr>
                <w:rFonts w:eastAsia="Times New Roman" w:cs="Times New Roman"/>
                <w:sz w:val="22"/>
                <w:vertAlign w:val="superscript"/>
                <w:lang w:eastAsia="lv-LV"/>
              </w:rPr>
              <w:t>1</w:t>
            </w:r>
            <w:r>
              <w:rPr>
                <w:rFonts w:eastAsia="Times New Roman" w:cs="Times New Roman"/>
                <w:sz w:val="22"/>
                <w:vertAlign w:val="superscript"/>
                <w:lang w:eastAsia="lv-LV"/>
              </w:rPr>
              <w:t xml:space="preserve"> </w:t>
            </w:r>
            <w:r>
              <w:rPr>
                <w:rFonts w:eastAsia="Times New Roman" w:cs="Times New Roman"/>
                <w:sz w:val="22"/>
                <w:lang w:eastAsia="lv-LV"/>
              </w:rPr>
              <w:t>pantā.</w:t>
            </w:r>
          </w:p>
        </w:tc>
        <w:tc>
          <w:tcPr>
            <w:tcW w:w="3627" w:type="dxa"/>
            <w:gridSpan w:val="2"/>
          </w:tcPr>
          <w:p w14:paraId="221585E2" w14:textId="77777777" w:rsidR="0016277D" w:rsidRPr="00594984" w:rsidRDefault="0016277D" w:rsidP="00840622">
            <w:pPr>
              <w:ind w:left="-55" w:right="57"/>
              <w:contextualSpacing/>
              <w:jc w:val="both"/>
              <w:rPr>
                <w:rFonts w:eastAsia="Times New Roman" w:cs="Times New Roman"/>
                <w:sz w:val="22"/>
                <w:lang w:eastAsia="lv-LV"/>
              </w:rPr>
            </w:pPr>
          </w:p>
        </w:tc>
      </w:tr>
      <w:tr w:rsidR="001D0DEA" w:rsidRPr="00594984" w14:paraId="5E1BDF47" w14:textId="77777777" w:rsidTr="00840622">
        <w:trPr>
          <w:trHeight w:val="318"/>
          <w:tblCellSpacing w:w="11" w:type="dxa"/>
        </w:trPr>
        <w:tc>
          <w:tcPr>
            <w:tcW w:w="605" w:type="dxa"/>
          </w:tcPr>
          <w:p w14:paraId="18C5DDA2" w14:textId="4AFC7347" w:rsidR="001D0DEA" w:rsidRPr="00594984" w:rsidRDefault="001D0DEA" w:rsidP="004517C2">
            <w:pPr>
              <w:ind w:left="57" w:right="57"/>
              <w:contextualSpacing/>
              <w:rPr>
                <w:rFonts w:eastAsia="Times New Roman" w:cs="Times New Roman"/>
                <w:sz w:val="22"/>
                <w:lang w:eastAsia="lv-LV"/>
              </w:rPr>
            </w:pPr>
            <w:r>
              <w:rPr>
                <w:rFonts w:eastAsia="Times New Roman" w:cs="Times New Roman"/>
                <w:sz w:val="22"/>
                <w:lang w:eastAsia="lv-LV"/>
              </w:rPr>
              <w:lastRenderedPageBreak/>
              <w:t>5.</w:t>
            </w:r>
          </w:p>
        </w:tc>
        <w:tc>
          <w:tcPr>
            <w:tcW w:w="2980" w:type="dxa"/>
          </w:tcPr>
          <w:p w14:paraId="315E32EB" w14:textId="4950182C" w:rsidR="001D0DEA" w:rsidRDefault="001D0DEA" w:rsidP="004517C2">
            <w:pPr>
              <w:ind w:left="57" w:right="57"/>
              <w:contextualSpacing/>
              <w:jc w:val="both"/>
              <w:rPr>
                <w:rFonts w:eastAsia="Times New Roman" w:cs="Times New Roman"/>
                <w:sz w:val="22"/>
                <w:lang w:eastAsia="lv-LV"/>
              </w:rPr>
            </w:pPr>
            <w:r>
              <w:rPr>
                <w:rFonts w:eastAsia="Times New Roman" w:cs="Times New Roman"/>
                <w:sz w:val="22"/>
                <w:lang w:eastAsia="lv-LV"/>
              </w:rPr>
              <w:t>7</w:t>
            </w:r>
            <w:r w:rsidRPr="0031529A">
              <w:rPr>
                <w:rFonts w:eastAsia="Times New Roman" w:cs="Times New Roman"/>
                <w:sz w:val="22"/>
                <w:lang w:eastAsia="lv-LV"/>
              </w:rPr>
              <w:t>.</w:t>
            </w:r>
            <w:r>
              <w:rPr>
                <w:rFonts w:eastAsia="Times New Roman" w:cs="Times New Roman"/>
                <w:sz w:val="22"/>
                <w:lang w:eastAsia="lv-LV"/>
              </w:rPr>
              <w:t> </w:t>
            </w:r>
            <w:r w:rsidR="00F448D8">
              <w:rPr>
                <w:rFonts w:eastAsia="Times New Roman" w:cs="Times New Roman"/>
                <w:sz w:val="22"/>
                <w:lang w:eastAsia="lv-LV"/>
              </w:rPr>
              <w:t>[..]</w:t>
            </w:r>
            <w:r w:rsidRPr="0031529A">
              <w:rPr>
                <w:rFonts w:eastAsia="Times New Roman" w:cs="Times New Roman"/>
                <w:sz w:val="22"/>
                <w:lang w:eastAsia="lv-LV"/>
              </w:rPr>
              <w:t xml:space="preserve"> Alternatīva aprēķina metodiku pielietošana ir atļauta, gadījumos, kad tās tehniskais izpildījuma rezultāts nav sliktāks par to, kas ir noteikts standartā, proti, ļauj izpildīt normatīvos uzdotās būtiskās prasības.</w:t>
            </w:r>
          </w:p>
          <w:p w14:paraId="3555CD50" w14:textId="77777777" w:rsidR="001F1874" w:rsidRDefault="001F1874" w:rsidP="004517C2">
            <w:pPr>
              <w:ind w:left="57" w:right="57"/>
              <w:contextualSpacing/>
              <w:jc w:val="both"/>
              <w:rPr>
                <w:rFonts w:eastAsia="Times New Roman" w:cs="Times New Roman"/>
                <w:sz w:val="22"/>
                <w:lang w:eastAsia="lv-LV"/>
              </w:rPr>
            </w:pPr>
          </w:p>
          <w:p w14:paraId="4EDE2085" w14:textId="77777777" w:rsidR="001F1874" w:rsidRDefault="001F1874" w:rsidP="004517C2">
            <w:pPr>
              <w:ind w:left="57" w:right="57"/>
              <w:contextualSpacing/>
              <w:jc w:val="both"/>
              <w:rPr>
                <w:rFonts w:eastAsia="Times New Roman" w:cs="Times New Roman"/>
                <w:sz w:val="22"/>
                <w:lang w:eastAsia="lv-LV"/>
              </w:rPr>
            </w:pPr>
          </w:p>
          <w:p w14:paraId="1F3F465C" w14:textId="77777777" w:rsidR="001F1874" w:rsidRDefault="001F1874" w:rsidP="004517C2">
            <w:pPr>
              <w:ind w:left="57" w:right="57"/>
              <w:contextualSpacing/>
              <w:jc w:val="both"/>
              <w:rPr>
                <w:rFonts w:eastAsia="Times New Roman" w:cs="Times New Roman"/>
                <w:sz w:val="22"/>
                <w:lang w:eastAsia="lv-LV"/>
              </w:rPr>
            </w:pPr>
          </w:p>
          <w:p w14:paraId="5C83C05D" w14:textId="77777777" w:rsidR="001F1874" w:rsidRDefault="001F1874" w:rsidP="004517C2">
            <w:pPr>
              <w:ind w:left="57" w:right="57"/>
              <w:contextualSpacing/>
              <w:jc w:val="both"/>
              <w:rPr>
                <w:rFonts w:eastAsia="Times New Roman" w:cs="Times New Roman"/>
                <w:sz w:val="22"/>
                <w:lang w:eastAsia="lv-LV"/>
              </w:rPr>
            </w:pPr>
          </w:p>
          <w:p w14:paraId="15B3D321" w14:textId="77777777" w:rsidR="001F1874" w:rsidRDefault="001F1874" w:rsidP="004517C2">
            <w:pPr>
              <w:ind w:left="57" w:right="57"/>
              <w:contextualSpacing/>
              <w:jc w:val="both"/>
              <w:rPr>
                <w:rFonts w:eastAsia="Times New Roman" w:cs="Times New Roman"/>
                <w:sz w:val="22"/>
                <w:lang w:eastAsia="lv-LV"/>
              </w:rPr>
            </w:pPr>
          </w:p>
          <w:p w14:paraId="488A4813" w14:textId="77777777" w:rsidR="001F1874" w:rsidRDefault="001F1874" w:rsidP="004517C2">
            <w:pPr>
              <w:ind w:left="57" w:right="57"/>
              <w:contextualSpacing/>
              <w:jc w:val="both"/>
              <w:rPr>
                <w:rFonts w:eastAsia="Times New Roman" w:cs="Times New Roman"/>
                <w:sz w:val="22"/>
                <w:lang w:eastAsia="lv-LV"/>
              </w:rPr>
            </w:pPr>
          </w:p>
          <w:p w14:paraId="09A729D1" w14:textId="77777777" w:rsidR="001F1874" w:rsidRDefault="001F1874" w:rsidP="004517C2">
            <w:pPr>
              <w:ind w:left="57" w:right="57"/>
              <w:contextualSpacing/>
              <w:jc w:val="both"/>
              <w:rPr>
                <w:rFonts w:eastAsia="Times New Roman" w:cs="Times New Roman"/>
                <w:sz w:val="22"/>
                <w:lang w:eastAsia="lv-LV"/>
              </w:rPr>
            </w:pPr>
          </w:p>
          <w:p w14:paraId="191CAEEB" w14:textId="77777777" w:rsidR="001F1874" w:rsidRDefault="001F1874" w:rsidP="004517C2">
            <w:pPr>
              <w:ind w:left="57" w:right="57"/>
              <w:contextualSpacing/>
              <w:jc w:val="both"/>
              <w:rPr>
                <w:rFonts w:eastAsia="Times New Roman" w:cs="Times New Roman"/>
                <w:sz w:val="22"/>
                <w:lang w:eastAsia="lv-LV"/>
              </w:rPr>
            </w:pPr>
          </w:p>
          <w:p w14:paraId="4FA4E6FC" w14:textId="77777777" w:rsidR="001F1874" w:rsidRDefault="001F1874" w:rsidP="004517C2">
            <w:pPr>
              <w:ind w:left="57" w:right="57"/>
              <w:contextualSpacing/>
              <w:jc w:val="both"/>
              <w:rPr>
                <w:rFonts w:eastAsia="Times New Roman" w:cs="Times New Roman"/>
                <w:sz w:val="22"/>
                <w:lang w:eastAsia="lv-LV"/>
              </w:rPr>
            </w:pPr>
          </w:p>
          <w:p w14:paraId="60A8BFE9" w14:textId="77777777" w:rsidR="001F1874" w:rsidRDefault="001F1874" w:rsidP="004517C2">
            <w:pPr>
              <w:ind w:left="57" w:right="57"/>
              <w:contextualSpacing/>
              <w:jc w:val="both"/>
              <w:rPr>
                <w:rFonts w:eastAsia="Times New Roman" w:cs="Times New Roman"/>
                <w:sz w:val="22"/>
                <w:lang w:eastAsia="lv-LV"/>
              </w:rPr>
            </w:pPr>
          </w:p>
          <w:p w14:paraId="52BE1F53" w14:textId="77777777" w:rsidR="00F448D8" w:rsidRDefault="00F448D8" w:rsidP="001F1874">
            <w:pPr>
              <w:ind w:right="57"/>
              <w:contextualSpacing/>
              <w:jc w:val="both"/>
              <w:rPr>
                <w:rFonts w:eastAsia="Times New Roman" w:cs="Times New Roman"/>
                <w:sz w:val="22"/>
                <w:lang w:eastAsia="lv-LV"/>
              </w:rPr>
            </w:pPr>
          </w:p>
          <w:p w14:paraId="2BDFE13D" w14:textId="77777777" w:rsidR="00F448D8" w:rsidRDefault="00F448D8" w:rsidP="001F1874">
            <w:pPr>
              <w:ind w:right="57"/>
              <w:contextualSpacing/>
              <w:jc w:val="both"/>
              <w:rPr>
                <w:rFonts w:eastAsia="Times New Roman" w:cs="Times New Roman"/>
                <w:sz w:val="22"/>
                <w:lang w:eastAsia="lv-LV"/>
              </w:rPr>
            </w:pPr>
          </w:p>
          <w:p w14:paraId="4BB1F993" w14:textId="77777777" w:rsidR="00F448D8" w:rsidRDefault="00F448D8" w:rsidP="001F1874">
            <w:pPr>
              <w:ind w:right="57"/>
              <w:contextualSpacing/>
              <w:jc w:val="both"/>
              <w:rPr>
                <w:rFonts w:eastAsia="Times New Roman" w:cs="Times New Roman"/>
                <w:sz w:val="22"/>
                <w:lang w:eastAsia="lv-LV"/>
              </w:rPr>
            </w:pPr>
          </w:p>
          <w:p w14:paraId="402F0962" w14:textId="77777777" w:rsidR="00F448D8" w:rsidRDefault="00F448D8" w:rsidP="001F1874">
            <w:pPr>
              <w:ind w:right="57"/>
              <w:contextualSpacing/>
              <w:jc w:val="both"/>
              <w:rPr>
                <w:rFonts w:eastAsia="Times New Roman" w:cs="Times New Roman"/>
                <w:sz w:val="22"/>
                <w:lang w:eastAsia="lv-LV"/>
              </w:rPr>
            </w:pPr>
          </w:p>
          <w:p w14:paraId="602A152B" w14:textId="77777777" w:rsidR="00F448D8" w:rsidRDefault="00F448D8" w:rsidP="001F1874">
            <w:pPr>
              <w:ind w:right="57"/>
              <w:contextualSpacing/>
              <w:jc w:val="both"/>
              <w:rPr>
                <w:rFonts w:eastAsia="Times New Roman" w:cs="Times New Roman"/>
                <w:sz w:val="22"/>
                <w:lang w:eastAsia="lv-LV"/>
              </w:rPr>
            </w:pPr>
          </w:p>
          <w:p w14:paraId="1F5C0101" w14:textId="77777777" w:rsidR="00F448D8" w:rsidRPr="00F448D8" w:rsidRDefault="001F1874" w:rsidP="00F448D8">
            <w:pPr>
              <w:ind w:right="57"/>
              <w:contextualSpacing/>
              <w:jc w:val="both"/>
              <w:rPr>
                <w:rFonts w:eastAsia="Times New Roman" w:cs="Times New Roman"/>
                <w:sz w:val="22"/>
                <w:lang w:eastAsia="lv-LV"/>
              </w:rPr>
            </w:pPr>
            <w:r w:rsidRPr="001F1874">
              <w:rPr>
                <w:rFonts w:eastAsia="Times New Roman" w:cs="Times New Roman"/>
                <w:sz w:val="22"/>
                <w:lang w:eastAsia="lv-LV"/>
              </w:rPr>
              <w:t xml:space="preserve">7. </w:t>
            </w:r>
            <w:r w:rsidR="00F448D8">
              <w:rPr>
                <w:rFonts w:eastAsia="Times New Roman" w:cs="Times New Roman"/>
                <w:sz w:val="22"/>
                <w:lang w:eastAsia="lv-LV"/>
              </w:rPr>
              <w:t>[..]</w:t>
            </w:r>
            <w:r w:rsidRPr="001F1874">
              <w:rPr>
                <w:rFonts w:eastAsia="Times New Roman" w:cs="Times New Roman"/>
                <w:sz w:val="22"/>
                <w:lang w:eastAsia="lv-LV"/>
              </w:rPr>
              <w:t xml:space="preserve"> Alternatīva aprēķina metodiku pielietošana ir atļauta, gadījumos, kad tās tehniskais izpildījuma rezultāts nav sliktāks par to, kas ir noteikts standartā  un </w:t>
            </w:r>
            <w:r w:rsidR="00F448D8" w:rsidRPr="00F448D8">
              <w:rPr>
                <w:rFonts w:eastAsia="Times New Roman" w:cs="Times New Roman"/>
                <w:sz w:val="22"/>
                <w:lang w:eastAsia="lv-LV"/>
              </w:rPr>
              <w:t xml:space="preserve">ļauj izpildīt Būvniecības </w:t>
            </w:r>
            <w:r w:rsidR="00F448D8" w:rsidRPr="00F448D8">
              <w:rPr>
                <w:rFonts w:eastAsia="Times New Roman" w:cs="Times New Roman"/>
                <w:sz w:val="22"/>
                <w:lang w:eastAsia="lv-LV"/>
              </w:rPr>
              <w:lastRenderedPageBreak/>
              <w:t>likumā noteiktās būvei izvirzāmās būtiskās prasības.</w:t>
            </w:r>
          </w:p>
          <w:p w14:paraId="79D44A24" w14:textId="232CDA97" w:rsidR="001F1874" w:rsidRPr="00594984" w:rsidRDefault="001F1874" w:rsidP="001F1874">
            <w:pPr>
              <w:ind w:right="57"/>
              <w:contextualSpacing/>
              <w:jc w:val="both"/>
              <w:rPr>
                <w:rFonts w:eastAsia="Times New Roman" w:cs="Times New Roman"/>
                <w:sz w:val="22"/>
                <w:lang w:eastAsia="lv-LV"/>
              </w:rPr>
            </w:pPr>
          </w:p>
        </w:tc>
        <w:tc>
          <w:tcPr>
            <w:tcW w:w="4353" w:type="dxa"/>
            <w:gridSpan w:val="2"/>
          </w:tcPr>
          <w:p w14:paraId="602D536B" w14:textId="77777777" w:rsidR="001D0DEA" w:rsidRPr="00794081" w:rsidRDefault="001D0DEA" w:rsidP="004517C2">
            <w:pPr>
              <w:ind w:hanging="51"/>
              <w:jc w:val="center"/>
              <w:rPr>
                <w:rFonts w:eastAsiaTheme="minorEastAsia" w:cs="Times New Roman"/>
                <w:b/>
                <w:sz w:val="22"/>
                <w:u w:val="single"/>
                <w:lang w:eastAsia="lv-LV"/>
              </w:rPr>
            </w:pPr>
            <w:r w:rsidRPr="00794081">
              <w:rPr>
                <w:rFonts w:eastAsiaTheme="minorEastAsia" w:cs="Times New Roman"/>
                <w:b/>
                <w:sz w:val="22"/>
                <w:u w:val="single"/>
                <w:lang w:eastAsia="lv-LV"/>
              </w:rPr>
              <w:lastRenderedPageBreak/>
              <w:t>Tieslietu ministrija</w:t>
            </w:r>
          </w:p>
          <w:p w14:paraId="1F4426B8" w14:textId="77777777" w:rsidR="001D0DEA" w:rsidRDefault="001D0DEA" w:rsidP="004517C2">
            <w:pPr>
              <w:jc w:val="both"/>
              <w:rPr>
                <w:rFonts w:eastAsiaTheme="minorEastAsia" w:cs="Times New Roman"/>
                <w:sz w:val="22"/>
                <w:lang w:eastAsia="lv-LV"/>
              </w:rPr>
            </w:pPr>
            <w:r w:rsidRPr="00051B5A">
              <w:rPr>
                <w:rFonts w:eastAsiaTheme="minorEastAsia" w:cs="Times New Roman"/>
                <w:sz w:val="22"/>
                <w:lang w:eastAsia="lv-LV"/>
              </w:rPr>
              <w:t xml:space="preserve">4. Projekta 8.punktā paredzēts: "Veicot būvelementu </w:t>
            </w:r>
            <w:proofErr w:type="spellStart"/>
            <w:r w:rsidRPr="00051B5A">
              <w:rPr>
                <w:rFonts w:eastAsiaTheme="minorEastAsia" w:cs="Times New Roman"/>
                <w:sz w:val="22"/>
                <w:lang w:eastAsia="lv-LV"/>
              </w:rPr>
              <w:t>siltumtehnisko</w:t>
            </w:r>
            <w:proofErr w:type="spellEnd"/>
            <w:r w:rsidRPr="00051B5A">
              <w:rPr>
                <w:rFonts w:eastAsiaTheme="minorEastAsia" w:cs="Times New Roman"/>
                <w:sz w:val="22"/>
                <w:lang w:eastAsia="lv-LV"/>
              </w:rPr>
              <w:t xml:space="preserve"> aprēķinu un projektēšanu, piemēro būvnormatīvā minētos standartus. Alternatīva aprēķina metodiku pielietošana ir atļauta, gadījumos, kad tās tehniskais izpildījuma rezultāts nav sliktāks par to, kas ir noteikts standartā, proti, ļauj izpildīt normatīvos uzdotās būtiskās prasības." Lūdzam precizēt vārdkopu "ļauj izpildīt normatīvos uzdotās būtiskās prasības". Šajā gadījumā nav saprotams, kas ir apzīmēts ar vārdu "normatīvi", kuros tad ir noteiktas būtiskas prasības (piemēram, būvnormatīvi, standarti). Vienlaikus lūdzam projekta anotācijā ietvert skaidrojumu, kāpēc projektā nav iekļauts Ministru kabineta 2015. gada 30. jūnija noteikumu Nr.339 "Noteikumi par Latvijas būvnormatīvu LBN 002-15 "Ēku norobežojošo konstrukciju siltumtehnika"" 2. un 3. punkta regulējums</w:t>
            </w:r>
            <w:r>
              <w:rPr>
                <w:rFonts w:eastAsiaTheme="minorEastAsia" w:cs="Times New Roman"/>
                <w:sz w:val="22"/>
                <w:lang w:eastAsia="lv-LV"/>
              </w:rPr>
              <w:t>.</w:t>
            </w:r>
          </w:p>
          <w:p w14:paraId="2C54C0F1" w14:textId="77777777" w:rsidR="001F1874" w:rsidRDefault="001F1874" w:rsidP="004517C2">
            <w:pPr>
              <w:jc w:val="both"/>
              <w:rPr>
                <w:rFonts w:eastAsiaTheme="minorEastAsia" w:cs="Times New Roman"/>
                <w:sz w:val="22"/>
                <w:lang w:eastAsia="lv-LV"/>
              </w:rPr>
            </w:pPr>
          </w:p>
          <w:p w14:paraId="09AB47E8" w14:textId="77777777" w:rsidR="001F1874" w:rsidRDefault="001F1874" w:rsidP="004517C2">
            <w:pPr>
              <w:jc w:val="both"/>
              <w:rPr>
                <w:rFonts w:eastAsiaTheme="minorEastAsia" w:cs="Times New Roman"/>
                <w:b/>
                <w:sz w:val="22"/>
                <w:u w:val="single"/>
                <w:lang w:eastAsia="lv-LV"/>
              </w:rPr>
            </w:pPr>
            <w:r w:rsidRPr="001F1874">
              <w:rPr>
                <w:rFonts w:eastAsiaTheme="minorEastAsia" w:cs="Times New Roman"/>
                <w:b/>
                <w:sz w:val="22"/>
                <w:u w:val="single"/>
                <w:lang w:eastAsia="lv-LV"/>
              </w:rPr>
              <w:t>2019.gada 13.maijā:</w:t>
            </w:r>
          </w:p>
          <w:p w14:paraId="570C2F75" w14:textId="77777777" w:rsidR="001F1874" w:rsidRPr="001F1874" w:rsidRDefault="001F1874" w:rsidP="001F1874">
            <w:pPr>
              <w:ind w:firstLine="720"/>
              <w:jc w:val="both"/>
              <w:rPr>
                <w:rFonts w:eastAsiaTheme="minorEastAsia" w:cs="Times New Roman"/>
                <w:sz w:val="22"/>
                <w:lang w:eastAsia="lv-LV"/>
              </w:rPr>
            </w:pPr>
            <w:r w:rsidRPr="001F1874">
              <w:rPr>
                <w:rFonts w:eastAsiaTheme="minorEastAsia" w:cs="Times New Roman"/>
                <w:sz w:val="22"/>
                <w:lang w:eastAsia="lv-LV"/>
              </w:rPr>
              <w:t xml:space="preserve">2. Būvnormatīva 7. punktā paredzēts: "Veicot būves elementu </w:t>
            </w:r>
            <w:proofErr w:type="spellStart"/>
            <w:r w:rsidRPr="001F1874">
              <w:rPr>
                <w:rFonts w:eastAsiaTheme="minorEastAsia" w:cs="Times New Roman"/>
                <w:sz w:val="22"/>
                <w:lang w:eastAsia="lv-LV"/>
              </w:rPr>
              <w:t>siltumtehnisko</w:t>
            </w:r>
            <w:proofErr w:type="spellEnd"/>
            <w:r w:rsidRPr="001F1874">
              <w:rPr>
                <w:rFonts w:eastAsiaTheme="minorEastAsia" w:cs="Times New Roman"/>
                <w:sz w:val="22"/>
                <w:lang w:eastAsia="lv-LV"/>
              </w:rPr>
              <w:t xml:space="preserve"> aprēķinu un projektēšanu, piemēro būvnormatīvā minētos standartus. Alternatīva aprēķina metodiku pielietošana ir atļauta, gadījumos, kad tās tehniskais izpildījuma rezultāts nav sliktāks par to, kas ir noteikts </w:t>
            </w:r>
            <w:r w:rsidRPr="001F1874">
              <w:rPr>
                <w:rFonts w:eastAsiaTheme="minorEastAsia" w:cs="Times New Roman"/>
                <w:sz w:val="22"/>
                <w:lang w:eastAsia="lv-LV"/>
              </w:rPr>
              <w:lastRenderedPageBreak/>
              <w:t>standartā, proti, ļauj izpildīt normatīvos uzdotās būtiskās prasības."</w:t>
            </w:r>
          </w:p>
          <w:p w14:paraId="09859305" w14:textId="77777777" w:rsidR="001F1874" w:rsidRPr="001F1874" w:rsidRDefault="001F1874" w:rsidP="001F1874">
            <w:pPr>
              <w:ind w:firstLine="720"/>
              <w:jc w:val="both"/>
              <w:rPr>
                <w:rFonts w:eastAsiaTheme="minorEastAsia" w:cs="Times New Roman"/>
                <w:sz w:val="22"/>
                <w:lang w:eastAsia="lv-LV"/>
              </w:rPr>
            </w:pPr>
            <w:r w:rsidRPr="001F1874">
              <w:rPr>
                <w:rFonts w:eastAsiaTheme="minorEastAsia" w:cs="Times New Roman"/>
                <w:sz w:val="22"/>
                <w:lang w:eastAsia="lv-LV"/>
              </w:rPr>
              <w:t>Nav skaidrs vārdkopas "ļauj izpildīt normatīvos uzdotās būtiskās prasības" paredzētais saturs. Ja šajā gadījumā domātas Būvniecības likuma 9. pantā minētās būtiskās būvei izvirzāmās prasības, tad izmantojama tieši šāda vārdiskā izteiksme, ietverot arī atsauci uz Būvniecības likumu.</w:t>
            </w:r>
          </w:p>
          <w:p w14:paraId="45E611F4" w14:textId="34C1CB91" w:rsidR="001F1874" w:rsidRPr="001F1874" w:rsidRDefault="001F1874" w:rsidP="004517C2">
            <w:pPr>
              <w:jc w:val="both"/>
              <w:rPr>
                <w:rFonts w:eastAsia="Times New Roman" w:cs="Times New Roman"/>
                <w:b/>
                <w:sz w:val="24"/>
                <w:szCs w:val="24"/>
                <w:u w:val="single"/>
                <w:lang w:eastAsia="lv-LV"/>
              </w:rPr>
            </w:pPr>
          </w:p>
        </w:tc>
        <w:tc>
          <w:tcPr>
            <w:tcW w:w="3406" w:type="dxa"/>
          </w:tcPr>
          <w:p w14:paraId="264B8E91" w14:textId="357DFD66" w:rsidR="001D0DEA" w:rsidRDefault="001D0DEA" w:rsidP="008C6931">
            <w:pPr>
              <w:spacing w:before="75" w:after="75"/>
              <w:ind w:left="57" w:right="57"/>
              <w:contextualSpacing/>
              <w:jc w:val="center"/>
              <w:rPr>
                <w:rFonts w:eastAsia="Times New Roman" w:cs="Times New Roman"/>
                <w:b/>
                <w:sz w:val="22"/>
                <w:u w:val="single"/>
                <w:lang w:eastAsia="lv-LV"/>
              </w:rPr>
            </w:pPr>
            <w:r>
              <w:rPr>
                <w:rFonts w:eastAsia="Times New Roman" w:cs="Times New Roman"/>
                <w:b/>
                <w:sz w:val="22"/>
                <w:u w:val="single"/>
                <w:lang w:eastAsia="lv-LV"/>
              </w:rPr>
              <w:lastRenderedPageBreak/>
              <w:t>Ņemts vērā</w:t>
            </w:r>
            <w:r w:rsidR="002127E5">
              <w:rPr>
                <w:rFonts w:eastAsia="Times New Roman" w:cs="Times New Roman"/>
                <w:b/>
                <w:sz w:val="22"/>
                <w:u w:val="single"/>
                <w:lang w:eastAsia="lv-LV"/>
              </w:rPr>
              <w:t>.</w:t>
            </w:r>
          </w:p>
          <w:p w14:paraId="3BA90ABF" w14:textId="77777777" w:rsidR="001D0DEA" w:rsidRDefault="001D0DEA" w:rsidP="008C6931">
            <w:pPr>
              <w:spacing w:before="75" w:after="75"/>
              <w:ind w:right="57"/>
              <w:contextualSpacing/>
              <w:jc w:val="both"/>
              <w:rPr>
                <w:rFonts w:eastAsia="Times New Roman" w:cs="Times New Roman"/>
                <w:sz w:val="22"/>
                <w:lang w:eastAsia="lv-LV"/>
              </w:rPr>
            </w:pPr>
            <w:r>
              <w:rPr>
                <w:rFonts w:eastAsia="Times New Roman" w:cs="Times New Roman"/>
                <w:sz w:val="22"/>
                <w:lang w:eastAsia="lv-LV"/>
              </w:rPr>
              <w:t xml:space="preserve">Būvniecības likuma </w:t>
            </w:r>
            <w:r w:rsidRPr="0031529A">
              <w:rPr>
                <w:rFonts w:eastAsia="Times New Roman" w:cs="Times New Roman"/>
                <w:sz w:val="22"/>
                <w:lang w:eastAsia="lv-LV"/>
              </w:rPr>
              <w:t>9. pant</w:t>
            </w:r>
            <w:r>
              <w:rPr>
                <w:rFonts w:eastAsia="Times New Roman" w:cs="Times New Roman"/>
                <w:sz w:val="22"/>
                <w:lang w:eastAsia="lv-LV"/>
              </w:rPr>
              <w:t>ā ir noteiktas b</w:t>
            </w:r>
            <w:r w:rsidRPr="0031529A">
              <w:rPr>
                <w:rFonts w:eastAsia="Times New Roman" w:cs="Times New Roman"/>
                <w:sz w:val="22"/>
                <w:lang w:eastAsia="lv-LV"/>
              </w:rPr>
              <w:t>ūtiskās būvei izvirzāmās prasības</w:t>
            </w:r>
            <w:r>
              <w:rPr>
                <w:rFonts w:eastAsia="Times New Roman" w:cs="Times New Roman"/>
                <w:sz w:val="22"/>
                <w:lang w:eastAsia="lv-LV"/>
              </w:rPr>
              <w:t>, papildināta anotācija.</w:t>
            </w:r>
          </w:p>
          <w:p w14:paraId="5F0E1275" w14:textId="77777777" w:rsidR="001D0DEA" w:rsidRPr="00E513BF" w:rsidRDefault="001D0DEA" w:rsidP="00840622">
            <w:pPr>
              <w:ind w:left="-55" w:right="57"/>
              <w:contextualSpacing/>
              <w:jc w:val="both"/>
              <w:rPr>
                <w:rFonts w:eastAsia="Times New Roman" w:cs="Times New Roman"/>
                <w:sz w:val="22"/>
                <w:lang w:eastAsia="lv-LV"/>
              </w:rPr>
            </w:pPr>
            <w:r>
              <w:rPr>
                <w:rFonts w:eastAsia="Times New Roman" w:cs="Times New Roman"/>
                <w:sz w:val="22"/>
                <w:lang w:eastAsia="lv-LV"/>
              </w:rPr>
              <w:t xml:space="preserve">Būvniecības likuma </w:t>
            </w:r>
            <w:r w:rsidRPr="00E513BF">
              <w:rPr>
                <w:rFonts w:eastAsia="Times New Roman" w:cs="Times New Roman"/>
                <w:sz w:val="22"/>
                <w:lang w:eastAsia="lv-LV"/>
              </w:rPr>
              <w:t>9. pants</w:t>
            </w:r>
            <w:r>
              <w:rPr>
                <w:rFonts w:eastAsia="Times New Roman" w:cs="Times New Roman"/>
                <w:sz w:val="22"/>
                <w:lang w:eastAsia="lv-LV"/>
              </w:rPr>
              <w:t xml:space="preserve"> nosaka b</w:t>
            </w:r>
            <w:r w:rsidRPr="00E513BF">
              <w:rPr>
                <w:rFonts w:eastAsia="Times New Roman" w:cs="Times New Roman"/>
                <w:sz w:val="22"/>
                <w:lang w:eastAsia="lv-LV"/>
              </w:rPr>
              <w:t>ūtiskās būvei izvirzāmās prasības</w:t>
            </w:r>
            <w:r>
              <w:rPr>
                <w:rFonts w:eastAsia="Times New Roman" w:cs="Times New Roman"/>
                <w:sz w:val="22"/>
                <w:lang w:eastAsia="lv-LV"/>
              </w:rPr>
              <w:t>, jo b</w:t>
            </w:r>
            <w:r w:rsidRPr="00E513BF">
              <w:rPr>
                <w:rFonts w:eastAsia="Times New Roman" w:cs="Times New Roman"/>
                <w:sz w:val="22"/>
                <w:lang w:eastAsia="lv-LV"/>
              </w:rPr>
              <w:t>ūve projektējama, būvējama un ekspluatējama atbilstoši tās lietošanas veidam, turklāt tā, lai nodrošinātu tās atbilstību šādām būtiskām prasībām:</w:t>
            </w:r>
          </w:p>
          <w:p w14:paraId="39E700E0" w14:textId="77777777" w:rsidR="001D0DEA" w:rsidRPr="00E513BF"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1) mehāniskā stiprība un stabilitāte;</w:t>
            </w:r>
          </w:p>
          <w:p w14:paraId="6E195A34" w14:textId="77777777" w:rsidR="001D0DEA" w:rsidRPr="00E513BF"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2) ugunsdrošība;</w:t>
            </w:r>
          </w:p>
          <w:p w14:paraId="5DA66C02" w14:textId="77777777" w:rsidR="001D0DEA" w:rsidRPr="00E513BF"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3)</w:t>
            </w:r>
            <w:r>
              <w:rPr>
                <w:rFonts w:eastAsia="Times New Roman" w:cs="Times New Roman"/>
                <w:sz w:val="22"/>
                <w:lang w:eastAsia="lv-LV"/>
              </w:rPr>
              <w:t> </w:t>
            </w:r>
            <w:r w:rsidRPr="00E513BF">
              <w:rPr>
                <w:rFonts w:eastAsia="Times New Roman" w:cs="Times New Roman"/>
                <w:sz w:val="22"/>
                <w:lang w:eastAsia="lv-LV"/>
              </w:rPr>
              <w:t>vides aizsardzība un higiēna, tai skaitā nekaitīgums;</w:t>
            </w:r>
          </w:p>
          <w:p w14:paraId="548A70F3" w14:textId="77777777" w:rsidR="001D0DEA" w:rsidRPr="00E513BF"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4)</w:t>
            </w:r>
            <w:r>
              <w:rPr>
                <w:rFonts w:eastAsia="Times New Roman" w:cs="Times New Roman"/>
                <w:sz w:val="22"/>
                <w:lang w:eastAsia="lv-LV"/>
              </w:rPr>
              <w:t> </w:t>
            </w:r>
            <w:r w:rsidRPr="00E513BF">
              <w:rPr>
                <w:rFonts w:eastAsia="Times New Roman" w:cs="Times New Roman"/>
                <w:sz w:val="22"/>
                <w:lang w:eastAsia="lv-LV"/>
              </w:rPr>
              <w:t>lietošanas drošība un vides pieejamība;</w:t>
            </w:r>
          </w:p>
          <w:p w14:paraId="5E1C0D84" w14:textId="77777777" w:rsidR="001D0DEA" w:rsidRPr="00E513BF"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5)</w:t>
            </w:r>
            <w:r>
              <w:rPr>
                <w:rFonts w:eastAsia="Times New Roman" w:cs="Times New Roman"/>
                <w:sz w:val="22"/>
                <w:lang w:eastAsia="lv-LV"/>
              </w:rPr>
              <w:t> </w:t>
            </w:r>
            <w:r w:rsidRPr="00E513BF">
              <w:rPr>
                <w:rFonts w:eastAsia="Times New Roman" w:cs="Times New Roman"/>
                <w:sz w:val="22"/>
                <w:lang w:eastAsia="lv-LV"/>
              </w:rPr>
              <w:t>akustika (aizsardzība pret trokšņiem);</w:t>
            </w:r>
          </w:p>
          <w:p w14:paraId="753F68BA" w14:textId="77777777" w:rsidR="001D0DEA"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6) energoefektivitāte;</w:t>
            </w:r>
          </w:p>
          <w:p w14:paraId="1E78253F" w14:textId="77777777" w:rsidR="001D0DEA" w:rsidRDefault="001D0DEA" w:rsidP="00840622">
            <w:pPr>
              <w:ind w:left="-55" w:right="57"/>
              <w:contextualSpacing/>
              <w:jc w:val="both"/>
              <w:rPr>
                <w:rFonts w:eastAsia="Times New Roman" w:cs="Times New Roman"/>
                <w:sz w:val="22"/>
                <w:lang w:eastAsia="lv-LV"/>
              </w:rPr>
            </w:pPr>
            <w:r w:rsidRPr="00E513BF">
              <w:rPr>
                <w:rFonts w:eastAsia="Times New Roman" w:cs="Times New Roman"/>
                <w:sz w:val="22"/>
                <w:lang w:eastAsia="lv-LV"/>
              </w:rPr>
              <w:t>7)</w:t>
            </w:r>
            <w:r>
              <w:rPr>
                <w:rFonts w:eastAsia="Times New Roman" w:cs="Times New Roman"/>
                <w:sz w:val="22"/>
                <w:lang w:eastAsia="lv-LV"/>
              </w:rPr>
              <w:t> </w:t>
            </w:r>
            <w:r w:rsidRPr="00E513BF">
              <w:rPr>
                <w:rFonts w:eastAsia="Times New Roman" w:cs="Times New Roman"/>
                <w:sz w:val="22"/>
                <w:lang w:eastAsia="lv-LV"/>
              </w:rPr>
              <w:t>ilgtspējīga dabas resursu izmantošana.</w:t>
            </w:r>
          </w:p>
          <w:p w14:paraId="68E9CF8E" w14:textId="77777777" w:rsidR="001D0DEA" w:rsidRDefault="001D0DEA" w:rsidP="00840622">
            <w:pPr>
              <w:ind w:left="-55" w:right="57"/>
              <w:contextualSpacing/>
              <w:jc w:val="both"/>
              <w:rPr>
                <w:rFonts w:eastAsia="Times New Roman" w:cs="Times New Roman"/>
                <w:sz w:val="22"/>
                <w:lang w:eastAsia="lv-LV"/>
              </w:rPr>
            </w:pPr>
          </w:p>
          <w:p w14:paraId="2854EC21" w14:textId="77777777" w:rsidR="00F448D8" w:rsidRDefault="00F448D8" w:rsidP="00F448D8">
            <w:pPr>
              <w:ind w:left="-55" w:right="57"/>
              <w:contextualSpacing/>
              <w:jc w:val="center"/>
              <w:rPr>
                <w:rFonts w:eastAsia="Times New Roman" w:cs="Times New Roman"/>
                <w:b/>
                <w:sz w:val="22"/>
                <w:u w:val="single"/>
                <w:lang w:eastAsia="lv-LV"/>
              </w:rPr>
            </w:pPr>
            <w:r w:rsidRPr="00F448D8">
              <w:rPr>
                <w:rFonts w:eastAsia="Times New Roman" w:cs="Times New Roman"/>
                <w:b/>
                <w:sz w:val="22"/>
                <w:u w:val="single"/>
                <w:lang w:eastAsia="lv-LV"/>
              </w:rPr>
              <w:t>Ņemts vērā.</w:t>
            </w:r>
          </w:p>
          <w:p w14:paraId="1CA1975E" w14:textId="1024A08B" w:rsidR="00F448D8" w:rsidRPr="00F448D8" w:rsidRDefault="00F448D8" w:rsidP="00F448D8">
            <w:pPr>
              <w:ind w:left="-55" w:right="57"/>
              <w:contextualSpacing/>
              <w:jc w:val="center"/>
              <w:rPr>
                <w:rFonts w:eastAsia="Times New Roman" w:cs="Times New Roman"/>
                <w:sz w:val="22"/>
                <w:lang w:eastAsia="lv-LV"/>
              </w:rPr>
            </w:pPr>
            <w:r w:rsidRPr="00F448D8">
              <w:rPr>
                <w:rFonts w:eastAsia="Times New Roman" w:cs="Times New Roman"/>
                <w:sz w:val="22"/>
                <w:lang w:eastAsia="lv-LV"/>
              </w:rPr>
              <w:t>Precizēta punkta redakcija</w:t>
            </w:r>
            <w:r>
              <w:rPr>
                <w:rFonts w:eastAsia="Times New Roman" w:cs="Times New Roman"/>
                <w:sz w:val="22"/>
                <w:lang w:eastAsia="lv-LV"/>
              </w:rPr>
              <w:t>.</w:t>
            </w:r>
          </w:p>
        </w:tc>
        <w:tc>
          <w:tcPr>
            <w:tcW w:w="3627" w:type="dxa"/>
            <w:gridSpan w:val="2"/>
          </w:tcPr>
          <w:p w14:paraId="56CCFE45" w14:textId="77777777" w:rsidR="001D0DEA" w:rsidRDefault="001D0DEA" w:rsidP="00840622">
            <w:pPr>
              <w:ind w:left="-55" w:right="57"/>
              <w:contextualSpacing/>
              <w:jc w:val="both"/>
              <w:rPr>
                <w:rFonts w:eastAsia="Times New Roman" w:cs="Times New Roman"/>
                <w:sz w:val="22"/>
                <w:lang w:eastAsia="lv-LV"/>
              </w:rPr>
            </w:pPr>
            <w:r>
              <w:rPr>
                <w:rFonts w:eastAsia="Times New Roman" w:cs="Times New Roman"/>
                <w:sz w:val="22"/>
                <w:lang w:eastAsia="lv-LV"/>
              </w:rPr>
              <w:t>7</w:t>
            </w:r>
            <w:r w:rsidR="003A376E">
              <w:rPr>
                <w:rFonts w:eastAsia="Times New Roman" w:cs="Times New Roman"/>
                <w:sz w:val="22"/>
                <w:lang w:eastAsia="lv-LV"/>
              </w:rPr>
              <w:t>.</w:t>
            </w:r>
            <w:r w:rsidR="000067E8">
              <w:rPr>
                <w:rFonts w:eastAsia="Times New Roman" w:cs="Times New Roman"/>
                <w:sz w:val="22"/>
                <w:lang w:eastAsia="lv-LV"/>
              </w:rPr>
              <w:t xml:space="preserve"> [..] </w:t>
            </w:r>
            <w:r w:rsidRPr="0083193A">
              <w:rPr>
                <w:rFonts w:eastAsia="Times New Roman" w:cs="Times New Roman"/>
                <w:sz w:val="22"/>
                <w:lang w:eastAsia="lv-LV"/>
              </w:rPr>
              <w:t xml:space="preserve">Alternatīva aprēķina metodiku pielietošana ir atļauta, gadījumos, kad tās tehniskais izpildījuma rezultāts nav sliktāks par to, kas ir noteikts standartā, </w:t>
            </w:r>
            <w:r w:rsidR="00C3560A">
              <w:rPr>
                <w:rFonts w:eastAsia="Times New Roman" w:cs="Times New Roman"/>
                <w:sz w:val="22"/>
                <w:lang w:eastAsia="lv-LV"/>
              </w:rPr>
              <w:t xml:space="preserve">un </w:t>
            </w:r>
            <w:r w:rsidRPr="0083193A">
              <w:rPr>
                <w:rFonts w:eastAsia="Times New Roman" w:cs="Times New Roman"/>
                <w:sz w:val="22"/>
                <w:lang w:eastAsia="lv-LV"/>
              </w:rPr>
              <w:t xml:space="preserve">ļauj izpildīt </w:t>
            </w:r>
            <w:r>
              <w:rPr>
                <w:rFonts w:eastAsia="Times New Roman" w:cs="Times New Roman"/>
                <w:sz w:val="22"/>
                <w:lang w:eastAsia="lv-LV"/>
              </w:rPr>
              <w:t>Būvniecības likumā noteiktās būvei izvirzāmās</w:t>
            </w:r>
            <w:r w:rsidRPr="0083193A">
              <w:rPr>
                <w:rFonts w:eastAsia="Times New Roman" w:cs="Times New Roman"/>
                <w:sz w:val="22"/>
                <w:lang w:eastAsia="lv-LV"/>
              </w:rPr>
              <w:t xml:space="preserve"> būtiskās prasības.</w:t>
            </w:r>
          </w:p>
          <w:p w14:paraId="63AE5A08" w14:textId="77777777" w:rsidR="001F1874" w:rsidRDefault="001F1874" w:rsidP="00840622">
            <w:pPr>
              <w:ind w:left="-55" w:right="57"/>
              <w:contextualSpacing/>
              <w:jc w:val="both"/>
              <w:rPr>
                <w:rFonts w:eastAsia="Times New Roman" w:cs="Times New Roman"/>
                <w:sz w:val="22"/>
                <w:lang w:eastAsia="lv-LV"/>
              </w:rPr>
            </w:pPr>
          </w:p>
          <w:p w14:paraId="2799149A" w14:textId="77777777" w:rsidR="001F1874" w:rsidRDefault="001F1874" w:rsidP="00840622">
            <w:pPr>
              <w:ind w:left="-55" w:right="57"/>
              <w:contextualSpacing/>
              <w:jc w:val="both"/>
              <w:rPr>
                <w:rFonts w:eastAsia="Times New Roman" w:cs="Times New Roman"/>
                <w:sz w:val="22"/>
                <w:lang w:eastAsia="lv-LV"/>
              </w:rPr>
            </w:pPr>
          </w:p>
          <w:p w14:paraId="530D212F" w14:textId="77777777" w:rsidR="001F1874" w:rsidRDefault="001F1874" w:rsidP="00840622">
            <w:pPr>
              <w:ind w:left="-55" w:right="57"/>
              <w:contextualSpacing/>
              <w:jc w:val="both"/>
              <w:rPr>
                <w:rFonts w:eastAsia="Times New Roman" w:cs="Times New Roman"/>
                <w:sz w:val="22"/>
                <w:lang w:eastAsia="lv-LV"/>
              </w:rPr>
            </w:pPr>
          </w:p>
          <w:p w14:paraId="6A49C70D" w14:textId="77777777" w:rsidR="001F1874" w:rsidRDefault="001F1874" w:rsidP="00840622">
            <w:pPr>
              <w:ind w:left="-55" w:right="57"/>
              <w:contextualSpacing/>
              <w:jc w:val="both"/>
              <w:rPr>
                <w:rFonts w:eastAsia="Times New Roman" w:cs="Times New Roman"/>
                <w:sz w:val="22"/>
                <w:lang w:eastAsia="lv-LV"/>
              </w:rPr>
            </w:pPr>
          </w:p>
          <w:p w14:paraId="0746999E" w14:textId="77777777" w:rsidR="001F1874" w:rsidRDefault="001F1874" w:rsidP="00840622">
            <w:pPr>
              <w:ind w:left="-55" w:right="57"/>
              <w:contextualSpacing/>
              <w:jc w:val="both"/>
              <w:rPr>
                <w:rFonts w:eastAsia="Times New Roman" w:cs="Times New Roman"/>
                <w:sz w:val="22"/>
                <w:lang w:eastAsia="lv-LV"/>
              </w:rPr>
            </w:pPr>
          </w:p>
          <w:p w14:paraId="59420CF8" w14:textId="77777777" w:rsidR="001F1874" w:rsidRDefault="001F1874" w:rsidP="00840622">
            <w:pPr>
              <w:ind w:left="-55" w:right="57"/>
              <w:contextualSpacing/>
              <w:jc w:val="both"/>
              <w:rPr>
                <w:rFonts w:eastAsia="Times New Roman" w:cs="Times New Roman"/>
                <w:sz w:val="22"/>
                <w:lang w:eastAsia="lv-LV"/>
              </w:rPr>
            </w:pPr>
          </w:p>
          <w:p w14:paraId="36D26AFC" w14:textId="77777777" w:rsidR="001F1874" w:rsidRDefault="001F1874" w:rsidP="00840622">
            <w:pPr>
              <w:ind w:left="-55" w:right="57"/>
              <w:contextualSpacing/>
              <w:jc w:val="both"/>
              <w:rPr>
                <w:rFonts w:eastAsia="Times New Roman" w:cs="Times New Roman"/>
                <w:sz w:val="22"/>
                <w:lang w:eastAsia="lv-LV"/>
              </w:rPr>
            </w:pPr>
          </w:p>
          <w:p w14:paraId="79130CD5" w14:textId="77777777" w:rsidR="001F1874" w:rsidRDefault="001F1874" w:rsidP="00840622">
            <w:pPr>
              <w:ind w:left="-55" w:right="57"/>
              <w:contextualSpacing/>
              <w:jc w:val="both"/>
              <w:rPr>
                <w:rFonts w:eastAsia="Times New Roman" w:cs="Times New Roman"/>
                <w:sz w:val="22"/>
                <w:lang w:eastAsia="lv-LV"/>
              </w:rPr>
            </w:pPr>
          </w:p>
          <w:p w14:paraId="3815DD16" w14:textId="77777777" w:rsidR="001F1874" w:rsidRDefault="001F1874" w:rsidP="00840622">
            <w:pPr>
              <w:ind w:left="-55" w:right="57"/>
              <w:contextualSpacing/>
              <w:jc w:val="both"/>
              <w:rPr>
                <w:rFonts w:eastAsia="Times New Roman" w:cs="Times New Roman"/>
                <w:sz w:val="22"/>
                <w:lang w:eastAsia="lv-LV"/>
              </w:rPr>
            </w:pPr>
          </w:p>
          <w:p w14:paraId="66FB261E" w14:textId="77777777" w:rsidR="001F1874" w:rsidRDefault="001F1874" w:rsidP="00840622">
            <w:pPr>
              <w:ind w:left="-55" w:right="57"/>
              <w:contextualSpacing/>
              <w:jc w:val="both"/>
              <w:rPr>
                <w:rFonts w:eastAsia="Times New Roman" w:cs="Times New Roman"/>
                <w:sz w:val="22"/>
                <w:lang w:eastAsia="lv-LV"/>
              </w:rPr>
            </w:pPr>
          </w:p>
          <w:p w14:paraId="252F220A" w14:textId="77777777" w:rsidR="001F1874" w:rsidRDefault="001F1874" w:rsidP="00840622">
            <w:pPr>
              <w:ind w:left="-55" w:right="57"/>
              <w:contextualSpacing/>
              <w:jc w:val="both"/>
              <w:rPr>
                <w:rFonts w:eastAsia="Times New Roman" w:cs="Times New Roman"/>
                <w:sz w:val="22"/>
                <w:lang w:eastAsia="lv-LV"/>
              </w:rPr>
            </w:pPr>
          </w:p>
          <w:p w14:paraId="69821ED7" w14:textId="77777777" w:rsidR="001F1874" w:rsidRDefault="001F1874" w:rsidP="00840622">
            <w:pPr>
              <w:ind w:left="-55" w:right="57"/>
              <w:contextualSpacing/>
              <w:jc w:val="both"/>
              <w:rPr>
                <w:rFonts w:eastAsia="Times New Roman" w:cs="Times New Roman"/>
                <w:sz w:val="22"/>
                <w:lang w:eastAsia="lv-LV"/>
              </w:rPr>
            </w:pPr>
          </w:p>
          <w:p w14:paraId="49070103" w14:textId="77777777" w:rsidR="001F1874" w:rsidRDefault="001F1874" w:rsidP="00840622">
            <w:pPr>
              <w:ind w:left="-55" w:right="57"/>
              <w:contextualSpacing/>
              <w:jc w:val="both"/>
              <w:rPr>
                <w:rFonts w:eastAsia="Times New Roman" w:cs="Times New Roman"/>
                <w:sz w:val="22"/>
                <w:lang w:eastAsia="lv-LV"/>
              </w:rPr>
            </w:pPr>
          </w:p>
          <w:p w14:paraId="0FD34E3E" w14:textId="77777777" w:rsidR="00F448D8" w:rsidRDefault="00F448D8" w:rsidP="00840622">
            <w:pPr>
              <w:ind w:left="-55" w:right="57"/>
              <w:contextualSpacing/>
              <w:jc w:val="both"/>
              <w:rPr>
                <w:rFonts w:eastAsia="Times New Roman" w:cs="Times New Roman"/>
                <w:sz w:val="22"/>
                <w:lang w:eastAsia="lv-LV"/>
              </w:rPr>
            </w:pPr>
          </w:p>
          <w:p w14:paraId="584A327E" w14:textId="77777777" w:rsidR="00F448D8" w:rsidRDefault="00F448D8" w:rsidP="00840622">
            <w:pPr>
              <w:ind w:left="-55" w:right="57"/>
              <w:contextualSpacing/>
              <w:jc w:val="both"/>
              <w:rPr>
                <w:rFonts w:eastAsia="Times New Roman" w:cs="Times New Roman"/>
                <w:sz w:val="22"/>
                <w:lang w:eastAsia="lv-LV"/>
              </w:rPr>
            </w:pPr>
          </w:p>
          <w:p w14:paraId="170516C1" w14:textId="77777777" w:rsidR="00F448D8" w:rsidRDefault="00F448D8" w:rsidP="00840622">
            <w:pPr>
              <w:ind w:left="-55" w:right="57"/>
              <w:contextualSpacing/>
              <w:jc w:val="both"/>
              <w:rPr>
                <w:rFonts w:eastAsia="Times New Roman" w:cs="Times New Roman"/>
                <w:sz w:val="22"/>
                <w:lang w:eastAsia="lv-LV"/>
              </w:rPr>
            </w:pPr>
          </w:p>
          <w:p w14:paraId="7E38A4EC" w14:textId="155827DD" w:rsidR="001F1874" w:rsidRPr="00594984" w:rsidRDefault="001F1874" w:rsidP="00840622">
            <w:pPr>
              <w:ind w:left="-55" w:right="57"/>
              <w:contextualSpacing/>
              <w:jc w:val="both"/>
              <w:rPr>
                <w:rFonts w:eastAsia="Times New Roman" w:cs="Times New Roman"/>
                <w:sz w:val="22"/>
                <w:lang w:eastAsia="lv-LV"/>
              </w:rPr>
            </w:pPr>
            <w:r w:rsidRPr="001F1874">
              <w:rPr>
                <w:rFonts w:eastAsia="Times New Roman" w:cs="Times New Roman"/>
                <w:sz w:val="22"/>
                <w:lang w:eastAsia="lv-LV"/>
              </w:rPr>
              <w:t>7.</w:t>
            </w:r>
            <w:r>
              <w:rPr>
                <w:rFonts w:eastAsia="Times New Roman" w:cs="Times New Roman"/>
                <w:sz w:val="22"/>
                <w:lang w:eastAsia="lv-LV"/>
              </w:rPr>
              <w:t> </w:t>
            </w:r>
            <w:r w:rsidR="00F448D8">
              <w:rPr>
                <w:rFonts w:eastAsia="Times New Roman" w:cs="Times New Roman"/>
                <w:sz w:val="22"/>
                <w:lang w:eastAsia="lv-LV"/>
              </w:rPr>
              <w:t xml:space="preserve">[..] </w:t>
            </w:r>
            <w:r w:rsidRPr="001F1874">
              <w:rPr>
                <w:rFonts w:eastAsia="Times New Roman" w:cs="Times New Roman"/>
                <w:sz w:val="22"/>
                <w:lang w:eastAsia="lv-LV"/>
              </w:rPr>
              <w:t xml:space="preserve">Alternatīva aprēķina metodiku pielietošana ir atļauta, gadījumos, kad tās tehniskais izpildījuma rezultāts nav sliktāks par to, kas ir noteikts standartā  un nodrošina atbilstību </w:t>
            </w:r>
            <w:r w:rsidR="007051B9">
              <w:rPr>
                <w:rFonts w:eastAsia="Times New Roman" w:cs="Times New Roman"/>
                <w:sz w:val="22"/>
                <w:lang w:eastAsia="lv-LV"/>
              </w:rPr>
              <w:t xml:space="preserve">Būvniecības likumā noteiktām </w:t>
            </w:r>
            <w:r w:rsidRPr="001F1874">
              <w:rPr>
                <w:rFonts w:eastAsia="Times New Roman" w:cs="Times New Roman"/>
                <w:sz w:val="22"/>
                <w:lang w:eastAsia="lv-LV"/>
              </w:rPr>
              <w:t>būtiskām būvei izvirzāmām prasībām.</w:t>
            </w:r>
          </w:p>
        </w:tc>
      </w:tr>
      <w:tr w:rsidR="002F5507" w:rsidRPr="00594984" w14:paraId="7DDAC99A" w14:textId="77777777" w:rsidTr="00840622">
        <w:trPr>
          <w:trHeight w:val="318"/>
          <w:tblCellSpacing w:w="11" w:type="dxa"/>
        </w:trPr>
        <w:tc>
          <w:tcPr>
            <w:tcW w:w="15059" w:type="dxa"/>
            <w:gridSpan w:val="7"/>
          </w:tcPr>
          <w:p w14:paraId="744E608C" w14:textId="46EAFFB0" w:rsidR="002F5507" w:rsidRPr="00594984" w:rsidRDefault="002F5507" w:rsidP="00840622">
            <w:pPr>
              <w:tabs>
                <w:tab w:val="left" w:pos="408"/>
              </w:tabs>
              <w:ind w:left="57" w:right="57"/>
              <w:contextualSpacing/>
              <w:jc w:val="both"/>
              <w:rPr>
                <w:rFonts w:eastAsia="Times New Roman" w:cs="Times New Roman"/>
                <w:b/>
                <w:sz w:val="22"/>
                <w:lang w:eastAsia="lv-LV"/>
              </w:rPr>
            </w:pPr>
            <w:r w:rsidRPr="00594984">
              <w:rPr>
                <w:rFonts w:eastAsia="Times New Roman" w:cs="Times New Roman"/>
                <w:sz w:val="22"/>
                <w:lang w:eastAsia="lv-LV"/>
              </w:rPr>
              <w:tab/>
            </w:r>
            <w:r>
              <w:rPr>
                <w:rFonts w:eastAsia="Times New Roman" w:cs="Times New Roman"/>
                <w:b/>
                <w:sz w:val="22"/>
                <w:lang w:eastAsia="lv-LV"/>
              </w:rPr>
              <w:t>Anotācija</w:t>
            </w:r>
          </w:p>
        </w:tc>
      </w:tr>
      <w:tr w:rsidR="002F5507" w:rsidRPr="00594984" w14:paraId="13ABDACC" w14:textId="77777777" w:rsidTr="00840622">
        <w:trPr>
          <w:trHeight w:val="318"/>
          <w:tblCellSpacing w:w="11" w:type="dxa"/>
        </w:trPr>
        <w:tc>
          <w:tcPr>
            <w:tcW w:w="605" w:type="dxa"/>
          </w:tcPr>
          <w:p w14:paraId="571F5B53" w14:textId="068FC308" w:rsidR="002F5507" w:rsidRPr="00594984" w:rsidRDefault="002F5507" w:rsidP="00594984">
            <w:pPr>
              <w:ind w:left="57" w:right="57"/>
              <w:contextualSpacing/>
              <w:rPr>
                <w:rFonts w:eastAsia="Times New Roman" w:cs="Times New Roman"/>
                <w:sz w:val="22"/>
                <w:lang w:eastAsia="lv-LV"/>
              </w:rPr>
            </w:pPr>
            <w:r>
              <w:rPr>
                <w:rFonts w:eastAsia="Times New Roman" w:cs="Times New Roman"/>
                <w:sz w:val="22"/>
                <w:lang w:eastAsia="lv-LV"/>
              </w:rPr>
              <w:t>1.</w:t>
            </w:r>
          </w:p>
        </w:tc>
        <w:tc>
          <w:tcPr>
            <w:tcW w:w="2980" w:type="dxa"/>
          </w:tcPr>
          <w:p w14:paraId="68FF57B7" w14:textId="77777777" w:rsidR="002F5507" w:rsidRPr="00594984" w:rsidRDefault="002F5507" w:rsidP="00594984">
            <w:pPr>
              <w:ind w:left="57" w:right="57"/>
              <w:contextualSpacing/>
              <w:jc w:val="both"/>
              <w:rPr>
                <w:rFonts w:eastAsia="Times New Roman" w:cs="Times New Roman"/>
                <w:sz w:val="22"/>
                <w:lang w:eastAsia="lv-LV"/>
              </w:rPr>
            </w:pPr>
          </w:p>
        </w:tc>
        <w:tc>
          <w:tcPr>
            <w:tcW w:w="4353" w:type="dxa"/>
            <w:gridSpan w:val="2"/>
          </w:tcPr>
          <w:p w14:paraId="2747EB13" w14:textId="77777777" w:rsidR="002F5507" w:rsidRDefault="002F5507" w:rsidP="002F5507">
            <w:pPr>
              <w:jc w:val="center"/>
              <w:rPr>
                <w:rFonts w:eastAsiaTheme="minorEastAsia" w:cs="Times New Roman"/>
                <w:b/>
                <w:sz w:val="22"/>
                <w:u w:val="single"/>
                <w:lang w:eastAsia="lv-LV"/>
              </w:rPr>
            </w:pPr>
            <w:r w:rsidRPr="00594984">
              <w:rPr>
                <w:rFonts w:eastAsiaTheme="minorEastAsia" w:cs="Times New Roman"/>
                <w:b/>
                <w:sz w:val="22"/>
                <w:u w:val="single"/>
                <w:lang w:eastAsia="lv-LV"/>
              </w:rPr>
              <w:t>V</w:t>
            </w:r>
            <w:r>
              <w:rPr>
                <w:rFonts w:eastAsiaTheme="minorEastAsia" w:cs="Times New Roman"/>
                <w:b/>
                <w:sz w:val="22"/>
                <w:u w:val="single"/>
                <w:lang w:eastAsia="lv-LV"/>
              </w:rPr>
              <w:t>alsts kanceleja</w:t>
            </w:r>
          </w:p>
          <w:p w14:paraId="0D1205E8" w14:textId="77777777" w:rsidR="002F5507" w:rsidRPr="00594984" w:rsidRDefault="002F5507" w:rsidP="002F5507">
            <w:pPr>
              <w:jc w:val="both"/>
              <w:rPr>
                <w:rFonts w:eastAsiaTheme="minorEastAsia" w:cs="Times New Roman"/>
                <w:sz w:val="22"/>
                <w:lang w:eastAsia="lv-LV"/>
              </w:rPr>
            </w:pPr>
            <w:r w:rsidRPr="00594984">
              <w:rPr>
                <w:rFonts w:eastAsiaTheme="minorEastAsia" w:cs="Times New Roman"/>
                <w:sz w:val="22"/>
                <w:lang w:eastAsia="lv-LV"/>
              </w:rPr>
              <w:t>Valsts kancelejas Valsts pārvaldes politikas departaments ir iepazinies ar noteikumu projektu "Noteikumi par Latvijas būvnormatīvu LBN 002-19 "Ēku norobežojošo konstrukciju siltumtehnika"" un sākotnējās ietekmes novērtējuma ziņojumu (anotāciju).</w:t>
            </w:r>
          </w:p>
          <w:p w14:paraId="26D4FC25" w14:textId="07794C22" w:rsidR="002F5507" w:rsidRDefault="002F5507" w:rsidP="002F5507">
            <w:pPr>
              <w:jc w:val="both"/>
              <w:rPr>
                <w:rFonts w:eastAsia="Times New Roman" w:cs="Times New Roman"/>
                <w:b/>
                <w:sz w:val="22"/>
                <w:u w:val="single"/>
                <w:lang w:eastAsia="lv-LV"/>
              </w:rPr>
            </w:pPr>
            <w:r w:rsidRPr="00594984">
              <w:rPr>
                <w:rFonts w:eastAsiaTheme="minorEastAsia" w:cs="Times New Roman"/>
                <w:sz w:val="22"/>
                <w:lang w:eastAsia="lv-LV"/>
              </w:rPr>
              <w:t>Izvērtējot sākotnējās ietekmes novērtējuma ziņojumu (anotāciju), Valsts kanceleja konstatēja, ka anotācijas IV. sadaļā "Sabiedrības līdzdalība un komunikācijas aktivitātes" nav norādīta informācija par normatīvā akta projekta publicēšanu Ekonomikas ministrijas tīmekļa vietnē. Tādējādi nav ievērots Ministru kabineta 2009. gada 15. decembra instrukcijas Nr.19 "Tiesību akta projekta sākotnējās ietekmes izvērtēšanas kārtība" 61.3. punktā norādītais, proti, nav norādīta informācija par normatīvā akta projekta publicēšanas datumu ministrijas tīmekļvietnē, kā arī tīmekļvietnes adrese.</w:t>
            </w:r>
          </w:p>
        </w:tc>
        <w:tc>
          <w:tcPr>
            <w:tcW w:w="3406" w:type="dxa"/>
          </w:tcPr>
          <w:p w14:paraId="0F56FD42" w14:textId="64A74A36" w:rsidR="002F5507" w:rsidRDefault="002F5507" w:rsidP="00D830C6">
            <w:pPr>
              <w:spacing w:before="75" w:after="75"/>
              <w:ind w:left="57" w:right="57"/>
              <w:contextualSpacing/>
              <w:jc w:val="center"/>
              <w:rPr>
                <w:rFonts w:eastAsia="Times New Roman" w:cs="Times New Roman"/>
                <w:b/>
                <w:sz w:val="22"/>
                <w:u w:val="single"/>
                <w:lang w:eastAsia="lv-LV"/>
              </w:rPr>
            </w:pPr>
            <w:r w:rsidRPr="002F5507">
              <w:rPr>
                <w:rFonts w:eastAsia="Times New Roman" w:cs="Times New Roman"/>
                <w:b/>
                <w:sz w:val="22"/>
                <w:u w:val="single"/>
                <w:lang w:eastAsia="lv-LV"/>
              </w:rPr>
              <w:t>Ņemts vērā</w:t>
            </w:r>
            <w:r w:rsidR="002127E5">
              <w:rPr>
                <w:rFonts w:eastAsia="Times New Roman" w:cs="Times New Roman"/>
                <w:b/>
                <w:sz w:val="22"/>
                <w:u w:val="single"/>
                <w:lang w:eastAsia="lv-LV"/>
              </w:rPr>
              <w:t>.</w:t>
            </w:r>
          </w:p>
          <w:p w14:paraId="53D9EA29" w14:textId="3D6EF484" w:rsidR="00AF489B" w:rsidRPr="00AF489B" w:rsidRDefault="00AF489B" w:rsidP="00840622">
            <w:pPr>
              <w:spacing w:before="75" w:after="75"/>
              <w:ind w:left="57" w:right="57"/>
              <w:contextualSpacing/>
              <w:jc w:val="both"/>
              <w:rPr>
                <w:rFonts w:eastAsia="Times New Roman" w:cs="Times New Roman"/>
                <w:sz w:val="22"/>
                <w:lang w:eastAsia="lv-LV"/>
              </w:rPr>
            </w:pPr>
            <w:r w:rsidRPr="00AF489B">
              <w:rPr>
                <w:rFonts w:eastAsia="Times New Roman" w:cs="Times New Roman"/>
                <w:sz w:val="22"/>
                <w:lang w:eastAsia="lv-LV"/>
              </w:rPr>
              <w:t>Precizēts anotācijas VI sadaļas 1.punkts</w:t>
            </w:r>
            <w:r w:rsidR="003A376E">
              <w:rPr>
                <w:rFonts w:eastAsia="Times New Roman" w:cs="Times New Roman"/>
                <w:sz w:val="22"/>
                <w:lang w:eastAsia="lv-LV"/>
              </w:rPr>
              <w:t>. Vienlaikus norādām, ka sabiedrības līdzdalības ietvaros sabiedrības iebildumi vai priekšlikumi nav saņemti.</w:t>
            </w:r>
          </w:p>
        </w:tc>
        <w:tc>
          <w:tcPr>
            <w:tcW w:w="3627" w:type="dxa"/>
            <w:gridSpan w:val="2"/>
          </w:tcPr>
          <w:p w14:paraId="4FE837EB" w14:textId="07BB19FE" w:rsidR="002F5507" w:rsidRPr="0082785F" w:rsidRDefault="002F5507" w:rsidP="00840622">
            <w:pPr>
              <w:jc w:val="both"/>
              <w:rPr>
                <w:rFonts w:eastAsiaTheme="minorEastAsia" w:cs="Times New Roman"/>
                <w:sz w:val="22"/>
                <w:lang w:eastAsia="lv-LV"/>
              </w:rPr>
            </w:pPr>
            <w:r w:rsidRPr="0082785F">
              <w:rPr>
                <w:rFonts w:eastAsiaTheme="minorEastAsia" w:cs="Times New Roman"/>
                <w:sz w:val="22"/>
                <w:lang w:eastAsia="lv-LV"/>
              </w:rPr>
              <w:t>Noteikumu projekts tika saskaņots ar “Latvijas Siltuma, gāzes un ūdens tehnoloģijas inženieru savienību” Standartizācijas tehnisko komiteju, kā arī izskatīts Latvijas Būvniecības padomes sēdē 2018.gada 17.decembrī. Saskaņā ar Ministru kabineta 2009.gada 25.augusta noteikumu Nr.970 “Sabiedrības līdzdalības kārtība attīstības plānošanas procesā” 5.punktu ir nodrošināta atbilstoša sabiedrības līdzdalība laika periodā no 2019. gada 4. marta līdz 2019. gada 18. martam. https://em.gov.lv/lv/par_ministriju/sabiedribas_lidzdaliba/diskusiju_dokumenti/buvniecibas_politika/</w:t>
            </w:r>
          </w:p>
          <w:p w14:paraId="69F9151D" w14:textId="1AB62384" w:rsidR="002F5507" w:rsidRPr="00594984" w:rsidRDefault="002F5507" w:rsidP="00840622">
            <w:pPr>
              <w:ind w:left="-55" w:right="57"/>
              <w:contextualSpacing/>
              <w:jc w:val="both"/>
              <w:rPr>
                <w:rFonts w:eastAsia="Times New Roman" w:cs="Times New Roman"/>
                <w:sz w:val="22"/>
                <w:lang w:eastAsia="lv-LV"/>
              </w:rPr>
            </w:pPr>
            <w:r w:rsidRPr="002F5507">
              <w:rPr>
                <w:rFonts w:eastAsia="Times New Roman" w:cs="Times New Roman"/>
                <w:sz w:val="22"/>
                <w:lang w:eastAsia="lv-LV"/>
              </w:rPr>
              <w:t>Tā kā noteikumu projekts ir izsludināts Valsts sekretāra sanāksmē, tas pieejams Ministru kabineta mājās lapā tīmekļa vietnē.</w:t>
            </w:r>
          </w:p>
        </w:tc>
      </w:tr>
      <w:tr w:rsidR="00594984" w:rsidRPr="00594984" w14:paraId="1FCEA6B8" w14:textId="77777777" w:rsidTr="00840622">
        <w:trPr>
          <w:trHeight w:val="318"/>
          <w:tblCellSpacing w:w="11" w:type="dxa"/>
        </w:trPr>
        <w:tc>
          <w:tcPr>
            <w:tcW w:w="605" w:type="dxa"/>
          </w:tcPr>
          <w:p w14:paraId="71104C9D" w14:textId="3C53620C" w:rsidR="00594984" w:rsidRPr="00594984" w:rsidRDefault="00BE261C" w:rsidP="00594984">
            <w:pPr>
              <w:ind w:left="57" w:right="57"/>
              <w:contextualSpacing/>
              <w:rPr>
                <w:rFonts w:eastAsia="Times New Roman" w:cs="Times New Roman"/>
                <w:sz w:val="22"/>
                <w:lang w:eastAsia="lv-LV"/>
              </w:rPr>
            </w:pPr>
            <w:r>
              <w:rPr>
                <w:rFonts w:eastAsia="Times New Roman" w:cs="Times New Roman"/>
                <w:sz w:val="22"/>
                <w:lang w:eastAsia="lv-LV"/>
              </w:rPr>
              <w:t>2.</w:t>
            </w:r>
          </w:p>
        </w:tc>
        <w:tc>
          <w:tcPr>
            <w:tcW w:w="2980" w:type="dxa"/>
          </w:tcPr>
          <w:p w14:paraId="19582843" w14:textId="77777777" w:rsidR="00594984" w:rsidRPr="00594984" w:rsidRDefault="00594984" w:rsidP="00594984">
            <w:pPr>
              <w:ind w:left="57" w:right="57"/>
              <w:contextualSpacing/>
              <w:jc w:val="both"/>
              <w:rPr>
                <w:rFonts w:eastAsia="Times New Roman" w:cs="Times New Roman"/>
                <w:sz w:val="22"/>
                <w:lang w:eastAsia="lv-LV"/>
              </w:rPr>
            </w:pPr>
          </w:p>
        </w:tc>
        <w:tc>
          <w:tcPr>
            <w:tcW w:w="4353" w:type="dxa"/>
            <w:gridSpan w:val="2"/>
          </w:tcPr>
          <w:p w14:paraId="44BDEBF9" w14:textId="77777777" w:rsidR="00197F22" w:rsidRPr="00197F22" w:rsidRDefault="00197F22" w:rsidP="00197F22">
            <w:pPr>
              <w:jc w:val="center"/>
              <w:rPr>
                <w:rFonts w:eastAsiaTheme="minorEastAsia" w:cs="Times New Roman"/>
                <w:b/>
                <w:sz w:val="22"/>
                <w:u w:val="single"/>
                <w:lang w:eastAsia="lv-LV"/>
              </w:rPr>
            </w:pPr>
            <w:r w:rsidRPr="00197F22">
              <w:rPr>
                <w:rFonts w:eastAsiaTheme="minorEastAsia" w:cs="Times New Roman"/>
                <w:b/>
                <w:sz w:val="22"/>
                <w:u w:val="single"/>
                <w:lang w:eastAsia="lv-LV"/>
              </w:rPr>
              <w:t>Tieslietu ministrija</w:t>
            </w:r>
          </w:p>
          <w:p w14:paraId="2602B730" w14:textId="22CE30EC" w:rsidR="00594984" w:rsidRPr="00594984" w:rsidRDefault="0016277D" w:rsidP="00594984">
            <w:pPr>
              <w:jc w:val="both"/>
              <w:rPr>
                <w:rFonts w:eastAsiaTheme="minorEastAsia" w:cs="Times New Roman"/>
                <w:sz w:val="22"/>
                <w:lang w:eastAsia="lv-LV"/>
              </w:rPr>
            </w:pPr>
            <w:r w:rsidRPr="0016277D">
              <w:rPr>
                <w:rFonts w:eastAsiaTheme="minorEastAsia" w:cs="Times New Roman"/>
                <w:sz w:val="22"/>
                <w:lang w:eastAsia="lv-LV"/>
              </w:rPr>
              <w:t xml:space="preserve">5. Lūdzam precizēt projekta anotācijas IV sadaļu. Saskaņā ar Ministru kabineta 2009. gada 15. decembra instrukcijas Nr. 19 "Tiesību </w:t>
            </w:r>
            <w:r w:rsidRPr="0016277D">
              <w:rPr>
                <w:rFonts w:eastAsiaTheme="minorEastAsia" w:cs="Times New Roman"/>
                <w:sz w:val="22"/>
                <w:lang w:eastAsia="lv-LV"/>
              </w:rPr>
              <w:lastRenderedPageBreak/>
              <w:t>akta projekta sākotnējās ietekmes izvērtēšanas kārtība" 54.2. apakšpunktu projekta anotācijas IV sadaļas 1. punktā norāda citus spēkā esošus (vai jau apstiprinātus) tiesību aktus, kuros jāizdara grozījumi vai kuri jāatzīst par spēku zaudējušiem (atceltiem) saistībā ar projektu, kā arī skaidro šādu izmaiņu nepieciešamību. No projekta anotācijas nav saprotams, kāda rīcība nepieciešama ar minētajiem Ministru kabineta noteikumiem un kāpēc attiecīgas izmaiņas ir nepieciešamas.</w:t>
            </w:r>
          </w:p>
        </w:tc>
        <w:tc>
          <w:tcPr>
            <w:tcW w:w="3406" w:type="dxa"/>
          </w:tcPr>
          <w:p w14:paraId="7E5091F1" w14:textId="00D6E6CB" w:rsidR="00594984" w:rsidRPr="00247EED" w:rsidRDefault="00AF489B" w:rsidP="00D830C6">
            <w:pPr>
              <w:spacing w:before="75" w:after="75"/>
              <w:ind w:left="57" w:right="57"/>
              <w:contextualSpacing/>
              <w:jc w:val="center"/>
              <w:rPr>
                <w:rFonts w:eastAsia="Times New Roman" w:cs="Times New Roman"/>
                <w:b/>
                <w:sz w:val="22"/>
                <w:u w:val="single"/>
                <w:lang w:eastAsia="lv-LV"/>
              </w:rPr>
            </w:pPr>
            <w:r w:rsidRPr="00247EED">
              <w:rPr>
                <w:rFonts w:eastAsia="Times New Roman" w:cs="Times New Roman"/>
                <w:b/>
                <w:sz w:val="22"/>
                <w:u w:val="single"/>
                <w:lang w:eastAsia="lv-LV"/>
              </w:rPr>
              <w:lastRenderedPageBreak/>
              <w:t>Ņemts vērā</w:t>
            </w:r>
            <w:r w:rsidR="002127E5">
              <w:rPr>
                <w:rFonts w:eastAsia="Times New Roman" w:cs="Times New Roman"/>
                <w:b/>
                <w:sz w:val="22"/>
                <w:u w:val="single"/>
                <w:lang w:eastAsia="lv-LV"/>
              </w:rPr>
              <w:t>.</w:t>
            </w:r>
          </w:p>
        </w:tc>
        <w:tc>
          <w:tcPr>
            <w:tcW w:w="3627" w:type="dxa"/>
            <w:gridSpan w:val="2"/>
          </w:tcPr>
          <w:p w14:paraId="73FBD95C" w14:textId="452BC6D3" w:rsidR="00594984" w:rsidRPr="00594984" w:rsidRDefault="00A60052" w:rsidP="00840622">
            <w:pPr>
              <w:ind w:left="57" w:right="57"/>
              <w:contextualSpacing/>
              <w:jc w:val="both"/>
              <w:rPr>
                <w:rFonts w:eastAsia="Times New Roman" w:cs="Times New Roman"/>
                <w:sz w:val="22"/>
                <w:lang w:eastAsia="lv-LV"/>
              </w:rPr>
            </w:pPr>
            <w:r>
              <w:rPr>
                <w:rFonts w:eastAsia="Times New Roman" w:cs="Times New Roman"/>
                <w:sz w:val="22"/>
                <w:lang w:eastAsia="lv-LV"/>
              </w:rPr>
              <w:t xml:space="preserve">Paralēli tiek veikti </w:t>
            </w:r>
            <w:r w:rsidR="00AF489B" w:rsidRPr="00AF489B">
              <w:rPr>
                <w:rFonts w:eastAsia="Times New Roman" w:cs="Times New Roman"/>
                <w:sz w:val="22"/>
                <w:lang w:eastAsia="lv-LV"/>
              </w:rPr>
              <w:t xml:space="preserve">grozījumi Ministru kabineta 2013. gada 9. jūlija noteikumiem Nr. 383 “Noteikumi par ēku </w:t>
            </w:r>
            <w:proofErr w:type="spellStart"/>
            <w:r w:rsidR="00AF489B" w:rsidRPr="00AF489B">
              <w:rPr>
                <w:rFonts w:eastAsia="Times New Roman" w:cs="Times New Roman"/>
                <w:sz w:val="22"/>
                <w:lang w:eastAsia="lv-LV"/>
              </w:rPr>
              <w:t>energosertifikāciju</w:t>
            </w:r>
            <w:proofErr w:type="spellEnd"/>
            <w:r w:rsidR="00AF489B" w:rsidRPr="00AF489B">
              <w:rPr>
                <w:rFonts w:eastAsia="Times New Roman" w:cs="Times New Roman"/>
                <w:sz w:val="22"/>
                <w:lang w:eastAsia="lv-LV"/>
              </w:rPr>
              <w:t xml:space="preserve">”,  svītrojot </w:t>
            </w:r>
            <w:r w:rsidR="00AF489B" w:rsidRPr="00AF489B">
              <w:rPr>
                <w:rFonts w:eastAsia="Times New Roman" w:cs="Times New Roman"/>
                <w:sz w:val="22"/>
                <w:lang w:eastAsia="lv-LV"/>
              </w:rPr>
              <w:lastRenderedPageBreak/>
              <w:t>15</w:t>
            </w:r>
            <w:r w:rsidR="00AF489B" w:rsidRPr="00AF489B">
              <w:rPr>
                <w:rFonts w:eastAsia="Times New Roman" w:cs="Times New Roman"/>
                <w:sz w:val="22"/>
                <w:vertAlign w:val="superscript"/>
                <w:lang w:eastAsia="lv-LV"/>
              </w:rPr>
              <w:t>1</w:t>
            </w:r>
            <w:r>
              <w:rPr>
                <w:rFonts w:eastAsia="Times New Roman" w:cs="Times New Roman"/>
                <w:sz w:val="22"/>
                <w:lang w:eastAsia="lv-LV"/>
              </w:rPr>
              <w:t>.,</w:t>
            </w:r>
            <w:r w:rsidR="00AF489B" w:rsidRPr="00AF489B">
              <w:rPr>
                <w:rFonts w:eastAsia="Times New Roman" w:cs="Times New Roman"/>
                <w:sz w:val="22"/>
                <w:lang w:eastAsia="lv-LV"/>
              </w:rPr>
              <w:t xml:space="preserve"> 15</w:t>
            </w:r>
            <w:r w:rsidR="00AF489B" w:rsidRPr="00AF489B">
              <w:rPr>
                <w:rFonts w:eastAsia="Times New Roman" w:cs="Times New Roman"/>
                <w:sz w:val="22"/>
                <w:vertAlign w:val="superscript"/>
                <w:lang w:eastAsia="lv-LV"/>
              </w:rPr>
              <w:t>2</w:t>
            </w:r>
            <w:r>
              <w:rPr>
                <w:rFonts w:eastAsia="Times New Roman" w:cs="Times New Roman"/>
                <w:sz w:val="22"/>
                <w:lang w:eastAsia="lv-LV"/>
              </w:rPr>
              <w:t>.,</w:t>
            </w:r>
            <w:r w:rsidR="00AF489B" w:rsidRPr="00AF489B">
              <w:rPr>
                <w:rFonts w:eastAsia="Times New Roman" w:cs="Times New Roman"/>
                <w:sz w:val="22"/>
                <w:lang w:eastAsia="lv-LV"/>
              </w:rPr>
              <w:t xml:space="preserve"> 15</w:t>
            </w:r>
            <w:r w:rsidR="00AF489B" w:rsidRPr="00AF489B">
              <w:rPr>
                <w:rFonts w:eastAsia="Times New Roman" w:cs="Times New Roman"/>
                <w:sz w:val="22"/>
                <w:vertAlign w:val="superscript"/>
                <w:lang w:eastAsia="lv-LV"/>
              </w:rPr>
              <w:t>3</w:t>
            </w:r>
            <w:r>
              <w:rPr>
                <w:rFonts w:eastAsia="Times New Roman" w:cs="Times New Roman"/>
                <w:sz w:val="22"/>
                <w:lang w:eastAsia="lv-LV"/>
              </w:rPr>
              <w:t>.,</w:t>
            </w:r>
            <w:r w:rsidR="00AF489B" w:rsidRPr="00AF489B">
              <w:rPr>
                <w:rFonts w:eastAsia="Times New Roman" w:cs="Times New Roman"/>
                <w:sz w:val="22"/>
                <w:lang w:eastAsia="lv-LV"/>
              </w:rPr>
              <w:t xml:space="preserve"> 15</w:t>
            </w:r>
            <w:r w:rsidR="00AF489B" w:rsidRPr="00AF489B">
              <w:rPr>
                <w:rFonts w:eastAsia="Times New Roman" w:cs="Times New Roman"/>
                <w:sz w:val="22"/>
                <w:vertAlign w:val="superscript"/>
                <w:lang w:eastAsia="lv-LV"/>
              </w:rPr>
              <w:t>4</w:t>
            </w:r>
            <w:r>
              <w:rPr>
                <w:rFonts w:eastAsia="Times New Roman" w:cs="Times New Roman"/>
                <w:sz w:val="22"/>
                <w:lang w:eastAsia="lv-LV"/>
              </w:rPr>
              <w:t>.</w:t>
            </w:r>
            <w:r w:rsidR="00AF489B" w:rsidRPr="00AF489B">
              <w:rPr>
                <w:rFonts w:eastAsia="Times New Roman" w:cs="Times New Roman"/>
                <w:sz w:val="22"/>
                <w:lang w:eastAsia="lv-LV"/>
              </w:rPr>
              <w:t xml:space="preserve"> apakšpunktus  un 5. pielikumu, jo tie pārcelti  uz š</w:t>
            </w:r>
            <w:r w:rsidR="00AB606C">
              <w:rPr>
                <w:rFonts w:eastAsia="Times New Roman" w:cs="Times New Roman"/>
                <w:sz w:val="22"/>
                <w:lang w:eastAsia="lv-LV"/>
              </w:rPr>
              <w:t>ī</w:t>
            </w:r>
            <w:r w:rsidR="00AF489B" w:rsidRPr="00AF489B">
              <w:rPr>
                <w:rFonts w:eastAsia="Times New Roman" w:cs="Times New Roman"/>
                <w:sz w:val="22"/>
                <w:lang w:eastAsia="lv-LV"/>
              </w:rPr>
              <w:t xml:space="preserve"> būvnormatīv</w:t>
            </w:r>
            <w:r w:rsidR="00AB606C">
              <w:rPr>
                <w:rFonts w:eastAsia="Times New Roman" w:cs="Times New Roman"/>
                <w:sz w:val="22"/>
                <w:lang w:eastAsia="lv-LV"/>
              </w:rPr>
              <w:t>a spēkā stāšanos</w:t>
            </w:r>
            <w:r w:rsidR="00AF489B" w:rsidRPr="00AF489B">
              <w:rPr>
                <w:rFonts w:eastAsia="Times New Roman" w:cs="Times New Roman"/>
                <w:sz w:val="22"/>
                <w:lang w:eastAsia="lv-LV"/>
              </w:rPr>
              <w:t>.</w:t>
            </w:r>
            <w:r>
              <w:rPr>
                <w:rFonts w:eastAsia="Times New Roman" w:cs="Times New Roman"/>
                <w:sz w:val="22"/>
                <w:lang w:eastAsia="lv-LV"/>
              </w:rPr>
              <w:t xml:space="preserve"> Abu šo normatīvo aktu spēkā stāšanās laiks būs 2020.gada 1.janvāris.</w:t>
            </w:r>
          </w:p>
        </w:tc>
      </w:tr>
      <w:tr w:rsidR="00594984" w:rsidRPr="00594984" w14:paraId="61A92454" w14:textId="77777777" w:rsidTr="006453D3">
        <w:tblPrEx>
          <w:tblCellSpacing w:w="0" w:type="nil"/>
        </w:tblPrEx>
        <w:trPr>
          <w:gridAfter w:val="1"/>
          <w:wAfter w:w="5" w:type="dxa"/>
        </w:trPr>
        <w:tc>
          <w:tcPr>
            <w:tcW w:w="5007" w:type="dxa"/>
            <w:gridSpan w:val="3"/>
            <w:tcBorders>
              <w:top w:val="nil"/>
              <w:left w:val="nil"/>
              <w:bottom w:val="nil"/>
              <w:right w:val="nil"/>
            </w:tcBorders>
          </w:tcPr>
          <w:p w14:paraId="574E6BE5" w14:textId="77777777" w:rsidR="006453D3" w:rsidRDefault="006453D3" w:rsidP="00594984">
            <w:pPr>
              <w:contextualSpacing/>
              <w:rPr>
                <w:rFonts w:eastAsia="Times New Roman" w:cs="Times New Roman"/>
                <w:sz w:val="22"/>
                <w:lang w:eastAsia="lv-LV"/>
              </w:rPr>
            </w:pPr>
          </w:p>
          <w:p w14:paraId="13C611DF" w14:textId="39143552"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Atbildīgā amatpersona</w:t>
            </w:r>
          </w:p>
          <w:p w14:paraId="30A84A97" w14:textId="77777777" w:rsidR="00594984" w:rsidRPr="00594984" w:rsidRDefault="00594984" w:rsidP="00594984">
            <w:pPr>
              <w:contextualSpacing/>
              <w:rPr>
                <w:rFonts w:eastAsia="Times New Roman" w:cs="Times New Roman"/>
                <w:sz w:val="22"/>
                <w:lang w:eastAsia="lv-LV"/>
              </w:rPr>
            </w:pPr>
          </w:p>
        </w:tc>
        <w:tc>
          <w:tcPr>
            <w:tcW w:w="10003" w:type="dxa"/>
            <w:gridSpan w:val="3"/>
            <w:tcBorders>
              <w:top w:val="nil"/>
              <w:left w:val="nil"/>
              <w:bottom w:val="nil"/>
              <w:right w:val="nil"/>
            </w:tcBorders>
          </w:tcPr>
          <w:p w14:paraId="43424DA2" w14:textId="77777777" w:rsidR="00594984" w:rsidRPr="00594984" w:rsidRDefault="00594984" w:rsidP="00840622">
            <w:pPr>
              <w:contextualSpacing/>
              <w:jc w:val="both"/>
              <w:rPr>
                <w:rFonts w:eastAsia="Times New Roman" w:cs="Times New Roman"/>
                <w:sz w:val="22"/>
                <w:lang w:eastAsia="lv-LV"/>
              </w:rPr>
            </w:pPr>
            <w:r w:rsidRPr="00594984">
              <w:rPr>
                <w:rFonts w:eastAsia="Times New Roman" w:cs="Times New Roman"/>
                <w:sz w:val="22"/>
                <w:lang w:eastAsia="lv-LV"/>
              </w:rPr>
              <w:t>  </w:t>
            </w:r>
          </w:p>
        </w:tc>
      </w:tr>
      <w:tr w:rsidR="00594984" w:rsidRPr="00594984" w14:paraId="27C480DA" w14:textId="77777777" w:rsidTr="006453D3">
        <w:tblPrEx>
          <w:tblCellSpacing w:w="0" w:type="nil"/>
        </w:tblPrEx>
        <w:trPr>
          <w:gridAfter w:val="1"/>
          <w:wAfter w:w="5" w:type="dxa"/>
        </w:trPr>
        <w:tc>
          <w:tcPr>
            <w:tcW w:w="5007" w:type="dxa"/>
            <w:gridSpan w:val="3"/>
            <w:tcBorders>
              <w:top w:val="nil"/>
              <w:left w:val="nil"/>
              <w:bottom w:val="nil"/>
              <w:right w:val="nil"/>
            </w:tcBorders>
          </w:tcPr>
          <w:p w14:paraId="30E39A9C" w14:textId="77777777" w:rsidR="00594984" w:rsidRPr="00594984" w:rsidRDefault="00594984" w:rsidP="00594984">
            <w:pPr>
              <w:contextualSpacing/>
              <w:rPr>
                <w:rFonts w:eastAsia="Times New Roman" w:cs="Times New Roman"/>
                <w:sz w:val="22"/>
                <w:lang w:eastAsia="lv-LV"/>
              </w:rPr>
            </w:pPr>
          </w:p>
        </w:tc>
        <w:tc>
          <w:tcPr>
            <w:tcW w:w="10003" w:type="dxa"/>
            <w:gridSpan w:val="3"/>
            <w:tcBorders>
              <w:top w:val="nil"/>
              <w:left w:val="nil"/>
              <w:bottom w:val="nil"/>
              <w:right w:val="nil"/>
            </w:tcBorders>
          </w:tcPr>
          <w:p w14:paraId="26AF2253" w14:textId="77777777" w:rsidR="00594984" w:rsidRPr="00594984" w:rsidRDefault="00594984" w:rsidP="00840622">
            <w:pPr>
              <w:contextualSpacing/>
              <w:jc w:val="both"/>
              <w:rPr>
                <w:rFonts w:eastAsia="Times New Roman" w:cs="Times New Roman"/>
                <w:sz w:val="22"/>
                <w:lang w:eastAsia="lv-LV"/>
              </w:rPr>
            </w:pPr>
            <w:r w:rsidRPr="00594984">
              <w:rPr>
                <w:rFonts w:eastAsia="Times New Roman" w:cs="Times New Roman"/>
                <w:sz w:val="22"/>
                <w:lang w:eastAsia="lv-LV"/>
              </w:rPr>
              <w:t>(paraksts)</w:t>
            </w:r>
          </w:p>
        </w:tc>
      </w:tr>
    </w:tbl>
    <w:p w14:paraId="388FF59A" w14:textId="77777777" w:rsidR="00594984" w:rsidRPr="00594984" w:rsidRDefault="00594984" w:rsidP="00594984">
      <w:pPr>
        <w:ind w:left="1440" w:firstLine="720"/>
        <w:contextualSpacing/>
        <w:rPr>
          <w:rFonts w:eastAsia="Times New Roman" w:cs="Times New Roman"/>
          <w:sz w:val="22"/>
          <w:lang w:eastAsia="lv-LV"/>
        </w:rPr>
      </w:pPr>
      <w:r w:rsidRPr="00594984">
        <w:rPr>
          <w:rFonts w:eastAsia="Times New Roman" w:cs="Times New Roman"/>
          <w:sz w:val="22"/>
          <w:lang w:eastAsia="lv-LV"/>
        </w:rPr>
        <w:t>Olga Feldmane</w:t>
      </w:r>
    </w:p>
    <w:tbl>
      <w:tblPr>
        <w:tblW w:w="0" w:type="auto"/>
        <w:tblLook w:val="00A0" w:firstRow="1" w:lastRow="0" w:firstColumn="1" w:lastColumn="0" w:noHBand="0" w:noVBand="0"/>
      </w:tblPr>
      <w:tblGrid>
        <w:gridCol w:w="8268"/>
      </w:tblGrid>
      <w:tr w:rsidR="00594984" w:rsidRPr="00594984" w14:paraId="44ADF077" w14:textId="77777777" w:rsidTr="00DC77AE">
        <w:tc>
          <w:tcPr>
            <w:tcW w:w="8268" w:type="dxa"/>
            <w:tcBorders>
              <w:top w:val="single" w:sz="4" w:space="0" w:color="000000"/>
            </w:tcBorders>
          </w:tcPr>
          <w:p w14:paraId="05CDD696"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(par projektu atbildīgās amatpersonas vārds un uzvārds)</w:t>
            </w:r>
          </w:p>
        </w:tc>
      </w:tr>
      <w:tr w:rsidR="00594984" w:rsidRPr="00594984" w14:paraId="6821BC08" w14:textId="77777777" w:rsidTr="00DC77AE">
        <w:tc>
          <w:tcPr>
            <w:tcW w:w="8268" w:type="dxa"/>
            <w:tcBorders>
              <w:bottom w:val="single" w:sz="4" w:space="0" w:color="000000"/>
            </w:tcBorders>
          </w:tcPr>
          <w:p w14:paraId="5FEED301"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Būvniecības politikas departamenta direktore</w:t>
            </w:r>
          </w:p>
        </w:tc>
      </w:tr>
      <w:tr w:rsidR="00594984" w:rsidRPr="00594984" w14:paraId="74F5364E" w14:textId="77777777" w:rsidTr="00DC77AE">
        <w:tc>
          <w:tcPr>
            <w:tcW w:w="8268" w:type="dxa"/>
            <w:tcBorders>
              <w:top w:val="single" w:sz="4" w:space="0" w:color="000000"/>
            </w:tcBorders>
          </w:tcPr>
          <w:p w14:paraId="7137639B"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(amats)</w:t>
            </w:r>
          </w:p>
        </w:tc>
      </w:tr>
      <w:tr w:rsidR="00594984" w:rsidRPr="00594984" w14:paraId="41407CAD" w14:textId="77777777" w:rsidTr="00DC77AE">
        <w:tc>
          <w:tcPr>
            <w:tcW w:w="8268" w:type="dxa"/>
            <w:tcBorders>
              <w:bottom w:val="single" w:sz="4" w:space="0" w:color="000000"/>
            </w:tcBorders>
          </w:tcPr>
          <w:p w14:paraId="7E31380E" w14:textId="2F2327C1"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67013257</w:t>
            </w:r>
          </w:p>
        </w:tc>
      </w:tr>
      <w:tr w:rsidR="00594984" w:rsidRPr="00594984" w14:paraId="1718E13B" w14:textId="77777777" w:rsidTr="00DC77AE">
        <w:tc>
          <w:tcPr>
            <w:tcW w:w="8268" w:type="dxa"/>
            <w:tcBorders>
              <w:top w:val="single" w:sz="4" w:space="0" w:color="000000"/>
            </w:tcBorders>
          </w:tcPr>
          <w:p w14:paraId="61FBE1F8"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(tālruņa un faksa numurs)</w:t>
            </w:r>
          </w:p>
        </w:tc>
      </w:tr>
      <w:tr w:rsidR="00594984" w:rsidRPr="00594984" w14:paraId="0491C268" w14:textId="77777777" w:rsidTr="00DC77AE">
        <w:tc>
          <w:tcPr>
            <w:tcW w:w="8268" w:type="dxa"/>
            <w:tcBorders>
              <w:bottom w:val="single" w:sz="4" w:space="0" w:color="000000"/>
            </w:tcBorders>
          </w:tcPr>
          <w:p w14:paraId="30854AC2" w14:textId="77777777" w:rsidR="00594984" w:rsidRPr="00594984" w:rsidRDefault="00594984" w:rsidP="00594984">
            <w:pPr>
              <w:contextualSpacing/>
              <w:rPr>
                <w:rFonts w:eastAsia="Times New Roman" w:cs="Times New Roman"/>
                <w:sz w:val="22"/>
                <w:lang w:eastAsia="lv-LV"/>
              </w:rPr>
            </w:pPr>
            <w:r w:rsidRPr="00594984">
              <w:rPr>
                <w:rFonts w:eastAsia="Times New Roman" w:cs="Times New Roman"/>
                <w:sz w:val="22"/>
                <w:lang w:eastAsia="lv-LV"/>
              </w:rPr>
              <w:t>Olga.Feldmane@em.gov.lv</w:t>
            </w:r>
          </w:p>
        </w:tc>
      </w:tr>
      <w:tr w:rsidR="00594984" w:rsidRPr="00594984" w14:paraId="175492DC" w14:textId="77777777" w:rsidTr="00DC77AE">
        <w:tc>
          <w:tcPr>
            <w:tcW w:w="8268" w:type="dxa"/>
            <w:tcBorders>
              <w:top w:val="single" w:sz="4" w:space="0" w:color="000000"/>
            </w:tcBorders>
          </w:tcPr>
          <w:p w14:paraId="66DBBFA9" w14:textId="77777777" w:rsidR="00594984" w:rsidRPr="00594984" w:rsidRDefault="00594984" w:rsidP="00594984">
            <w:pPr>
              <w:contextualSpacing/>
              <w:jc w:val="center"/>
              <w:rPr>
                <w:rFonts w:eastAsia="Times New Roman" w:cs="Times New Roman"/>
                <w:sz w:val="22"/>
                <w:lang w:eastAsia="lv-LV"/>
              </w:rPr>
            </w:pPr>
            <w:r w:rsidRPr="00594984">
              <w:rPr>
                <w:rFonts w:eastAsia="Times New Roman" w:cs="Times New Roman"/>
                <w:sz w:val="22"/>
                <w:lang w:eastAsia="lv-LV"/>
              </w:rPr>
              <w:t>(e-pasta adrese)</w:t>
            </w:r>
          </w:p>
        </w:tc>
      </w:tr>
    </w:tbl>
    <w:p w14:paraId="2292BAF2" w14:textId="77777777" w:rsidR="00594984" w:rsidRPr="00594984" w:rsidRDefault="00594984" w:rsidP="00594984">
      <w:pPr>
        <w:tabs>
          <w:tab w:val="left" w:pos="0"/>
        </w:tabs>
        <w:ind w:right="57"/>
        <w:contextualSpacing/>
        <w:jc w:val="both"/>
        <w:rPr>
          <w:rFonts w:eastAsia="Times New Roman" w:cs="Times New Roman"/>
          <w:sz w:val="20"/>
          <w:szCs w:val="20"/>
          <w:lang w:eastAsia="lv-LV"/>
        </w:rPr>
      </w:pPr>
    </w:p>
    <w:p w14:paraId="721A9227" w14:textId="77777777" w:rsidR="00594984" w:rsidRPr="00594984" w:rsidRDefault="00594984" w:rsidP="00594984">
      <w:pPr>
        <w:contextualSpacing/>
        <w:rPr>
          <w:rFonts w:eastAsia="Times New Roman" w:cs="Times New Roman"/>
          <w:sz w:val="20"/>
          <w:szCs w:val="20"/>
          <w:lang w:eastAsia="lv-LV"/>
        </w:rPr>
      </w:pPr>
      <w:bookmarkStart w:id="2" w:name="OLE_LINK3"/>
      <w:bookmarkStart w:id="3" w:name="OLE_LINK4"/>
    </w:p>
    <w:p w14:paraId="0065E3E0" w14:textId="77777777" w:rsidR="00594984" w:rsidRPr="00594984" w:rsidRDefault="00594984" w:rsidP="00594984">
      <w:pPr>
        <w:contextualSpacing/>
        <w:rPr>
          <w:rFonts w:eastAsia="Times New Roman" w:cs="Times New Roman"/>
          <w:sz w:val="20"/>
          <w:szCs w:val="20"/>
          <w:lang w:eastAsia="lv-LV"/>
        </w:rPr>
      </w:pPr>
    </w:p>
    <w:p w14:paraId="5FE3A5AC" w14:textId="77777777" w:rsidR="00594984" w:rsidRPr="00594984" w:rsidRDefault="00594984" w:rsidP="00594984">
      <w:pPr>
        <w:contextualSpacing/>
        <w:rPr>
          <w:rFonts w:eastAsia="Times New Roman" w:cs="Times New Roman"/>
          <w:sz w:val="20"/>
          <w:szCs w:val="20"/>
          <w:lang w:eastAsia="lv-LV"/>
        </w:rPr>
      </w:pPr>
    </w:p>
    <w:p w14:paraId="3B579226" w14:textId="77777777" w:rsidR="00594984" w:rsidRPr="00594984" w:rsidRDefault="00594984" w:rsidP="00594984">
      <w:pPr>
        <w:contextualSpacing/>
        <w:rPr>
          <w:rFonts w:eastAsia="Times New Roman" w:cs="Times New Roman"/>
          <w:sz w:val="20"/>
          <w:szCs w:val="20"/>
          <w:lang w:eastAsia="lv-LV"/>
        </w:rPr>
      </w:pPr>
    </w:p>
    <w:p w14:paraId="298E9BCA" w14:textId="77777777" w:rsidR="00594984" w:rsidRPr="00594984" w:rsidRDefault="00594984" w:rsidP="00594984">
      <w:pPr>
        <w:contextualSpacing/>
        <w:rPr>
          <w:rFonts w:eastAsia="Times New Roman" w:cs="Times New Roman"/>
          <w:sz w:val="20"/>
          <w:szCs w:val="20"/>
          <w:lang w:eastAsia="lv-LV"/>
        </w:rPr>
      </w:pPr>
    </w:p>
    <w:p w14:paraId="5EFB6202" w14:textId="77777777" w:rsidR="00594984" w:rsidRPr="00594984" w:rsidRDefault="00594984" w:rsidP="00594984">
      <w:pPr>
        <w:contextualSpacing/>
        <w:rPr>
          <w:rFonts w:eastAsia="Times New Roman" w:cs="Times New Roman"/>
          <w:sz w:val="20"/>
          <w:szCs w:val="20"/>
          <w:lang w:eastAsia="lv-LV"/>
        </w:rPr>
      </w:pPr>
    </w:p>
    <w:bookmarkEnd w:id="2"/>
    <w:bookmarkEnd w:id="3"/>
    <w:p w14:paraId="0A96D9D1" w14:textId="77777777" w:rsidR="00594984" w:rsidRPr="00594984" w:rsidRDefault="00594984" w:rsidP="00594984">
      <w:pPr>
        <w:rPr>
          <w:rFonts w:eastAsia="Times New Roman" w:cs="Times New Roman"/>
          <w:sz w:val="20"/>
          <w:szCs w:val="20"/>
          <w:lang w:eastAsia="lv-LV"/>
        </w:rPr>
      </w:pPr>
      <w:r w:rsidRPr="00594984">
        <w:rPr>
          <w:rFonts w:eastAsia="Times New Roman" w:cs="Times New Roman"/>
          <w:sz w:val="20"/>
          <w:szCs w:val="20"/>
          <w:lang w:eastAsia="lv-LV"/>
        </w:rPr>
        <w:t>Vīksna, 67013140</w:t>
      </w:r>
    </w:p>
    <w:p w14:paraId="1E2B6182" w14:textId="48DFAC87" w:rsidR="00325BB1" w:rsidRDefault="00594984">
      <w:r w:rsidRPr="00594984">
        <w:rPr>
          <w:rFonts w:eastAsia="Times New Roman" w:cs="Times New Roman"/>
          <w:sz w:val="20"/>
          <w:szCs w:val="20"/>
          <w:lang w:eastAsia="lv-LV"/>
        </w:rPr>
        <w:t>Marija.Viksna@em.gov.lv</w:t>
      </w:r>
    </w:p>
    <w:sectPr w:rsidR="00325BB1" w:rsidSect="0059498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276"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BA145" w14:textId="77777777" w:rsidR="001E29DE" w:rsidRDefault="001E29DE" w:rsidP="00594984">
      <w:r>
        <w:separator/>
      </w:r>
    </w:p>
  </w:endnote>
  <w:endnote w:type="continuationSeparator" w:id="0">
    <w:p w14:paraId="6FCE0B97" w14:textId="77777777" w:rsidR="001E29DE" w:rsidRDefault="001E29DE" w:rsidP="00594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3D928" w14:textId="77777777" w:rsidR="00676DF2" w:rsidRDefault="00676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E296" w14:textId="230FBB73" w:rsidR="00820823" w:rsidRPr="00820823" w:rsidRDefault="00820823">
    <w:pPr>
      <w:pStyle w:val="Footer"/>
      <w:rPr>
        <w:sz w:val="20"/>
        <w:szCs w:val="20"/>
      </w:rPr>
    </w:pPr>
    <w:r w:rsidRPr="00820823">
      <w:rPr>
        <w:sz w:val="20"/>
        <w:szCs w:val="20"/>
      </w:rPr>
      <w:t>EMizz_270519_LBN002</w:t>
    </w:r>
    <w:r w:rsidR="00676DF2">
      <w:rPr>
        <w:sz w:val="20"/>
        <w:szCs w:val="20"/>
      </w:rPr>
      <w:t>_</w:t>
    </w:r>
    <w:r w:rsidRPr="00820823">
      <w:rPr>
        <w:sz w:val="20"/>
        <w:szCs w:val="20"/>
      </w:rPr>
      <w:t>19</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A361" w14:textId="77777777" w:rsidR="00676DF2" w:rsidRDefault="00676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5793B" w14:textId="77777777" w:rsidR="001E29DE" w:rsidRDefault="001E29DE" w:rsidP="00594984">
      <w:r>
        <w:separator/>
      </w:r>
    </w:p>
  </w:footnote>
  <w:footnote w:type="continuationSeparator" w:id="0">
    <w:p w14:paraId="09EBCEE1" w14:textId="77777777" w:rsidR="001E29DE" w:rsidRDefault="001E29DE" w:rsidP="00594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7BB8" w14:textId="77777777" w:rsidR="00676DF2" w:rsidRDefault="00676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92973"/>
      <w:docPartObj>
        <w:docPartGallery w:val="Page Numbers (Top of Page)"/>
        <w:docPartUnique/>
      </w:docPartObj>
    </w:sdtPr>
    <w:sdtEndPr>
      <w:rPr>
        <w:noProof/>
      </w:rPr>
    </w:sdtEndPr>
    <w:sdtContent>
      <w:p w14:paraId="69B6EB53" w14:textId="16E577F9" w:rsidR="00DA7DE8" w:rsidRDefault="00DA7DE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5C37FCB" w14:textId="77777777" w:rsidR="00820823" w:rsidRDefault="00820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C9D8E" w14:textId="77777777" w:rsidR="00676DF2" w:rsidRDefault="00676D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984"/>
    <w:rsid w:val="000067E8"/>
    <w:rsid w:val="00051B5A"/>
    <w:rsid w:val="00076A86"/>
    <w:rsid w:val="000E3987"/>
    <w:rsid w:val="00160B22"/>
    <w:rsid w:val="0016277D"/>
    <w:rsid w:val="00197F22"/>
    <w:rsid w:val="001A77EC"/>
    <w:rsid w:val="001D0DEA"/>
    <w:rsid w:val="001D1067"/>
    <w:rsid w:val="001E29DE"/>
    <w:rsid w:val="001F1874"/>
    <w:rsid w:val="002127E5"/>
    <w:rsid w:val="0022735F"/>
    <w:rsid w:val="00247EED"/>
    <w:rsid w:val="002C4696"/>
    <w:rsid w:val="002E2081"/>
    <w:rsid w:val="002F5507"/>
    <w:rsid w:val="0031529A"/>
    <w:rsid w:val="00325BB1"/>
    <w:rsid w:val="003622A6"/>
    <w:rsid w:val="00394FDA"/>
    <w:rsid w:val="003A376E"/>
    <w:rsid w:val="004433D3"/>
    <w:rsid w:val="0049788E"/>
    <w:rsid w:val="004B04F0"/>
    <w:rsid w:val="004B7CFE"/>
    <w:rsid w:val="004C3DC5"/>
    <w:rsid w:val="004D5883"/>
    <w:rsid w:val="0050521F"/>
    <w:rsid w:val="0055477B"/>
    <w:rsid w:val="00582C3C"/>
    <w:rsid w:val="00590BA4"/>
    <w:rsid w:val="00594984"/>
    <w:rsid w:val="00624C3A"/>
    <w:rsid w:val="006453D3"/>
    <w:rsid w:val="006603FC"/>
    <w:rsid w:val="00676DF2"/>
    <w:rsid w:val="00695C87"/>
    <w:rsid w:val="006A796D"/>
    <w:rsid w:val="006E40C7"/>
    <w:rsid w:val="007051B9"/>
    <w:rsid w:val="00742F5E"/>
    <w:rsid w:val="00794081"/>
    <w:rsid w:val="007E4E40"/>
    <w:rsid w:val="007E7DD2"/>
    <w:rsid w:val="008069C6"/>
    <w:rsid w:val="00820823"/>
    <w:rsid w:val="0082785F"/>
    <w:rsid w:val="0083193A"/>
    <w:rsid w:val="00840622"/>
    <w:rsid w:val="0085414E"/>
    <w:rsid w:val="00873252"/>
    <w:rsid w:val="008C1C39"/>
    <w:rsid w:val="008C2037"/>
    <w:rsid w:val="008C6931"/>
    <w:rsid w:val="008F7CA9"/>
    <w:rsid w:val="00960C19"/>
    <w:rsid w:val="00973D57"/>
    <w:rsid w:val="009902CB"/>
    <w:rsid w:val="009B33E0"/>
    <w:rsid w:val="00A15226"/>
    <w:rsid w:val="00A22121"/>
    <w:rsid w:val="00A2222F"/>
    <w:rsid w:val="00A37B7D"/>
    <w:rsid w:val="00A4334F"/>
    <w:rsid w:val="00A456E5"/>
    <w:rsid w:val="00A60052"/>
    <w:rsid w:val="00AA0514"/>
    <w:rsid w:val="00AB606C"/>
    <w:rsid w:val="00AC0F18"/>
    <w:rsid w:val="00AD21E3"/>
    <w:rsid w:val="00AF489B"/>
    <w:rsid w:val="00B27CF8"/>
    <w:rsid w:val="00B874B7"/>
    <w:rsid w:val="00B955B4"/>
    <w:rsid w:val="00BA1951"/>
    <w:rsid w:val="00BA298D"/>
    <w:rsid w:val="00BD4D72"/>
    <w:rsid w:val="00BE261C"/>
    <w:rsid w:val="00C02F9B"/>
    <w:rsid w:val="00C3560A"/>
    <w:rsid w:val="00C503E6"/>
    <w:rsid w:val="00C50979"/>
    <w:rsid w:val="00C732B2"/>
    <w:rsid w:val="00C9209F"/>
    <w:rsid w:val="00CB17C9"/>
    <w:rsid w:val="00CD1BD9"/>
    <w:rsid w:val="00D55D45"/>
    <w:rsid w:val="00D830C6"/>
    <w:rsid w:val="00DA7DE8"/>
    <w:rsid w:val="00E01640"/>
    <w:rsid w:val="00E073B0"/>
    <w:rsid w:val="00E26288"/>
    <w:rsid w:val="00E46FEF"/>
    <w:rsid w:val="00E513BF"/>
    <w:rsid w:val="00E72E12"/>
    <w:rsid w:val="00E75E4E"/>
    <w:rsid w:val="00F06739"/>
    <w:rsid w:val="00F11175"/>
    <w:rsid w:val="00F31948"/>
    <w:rsid w:val="00F448D8"/>
    <w:rsid w:val="00FA6CCD"/>
    <w:rsid w:val="00FD673D"/>
    <w:rsid w:val="00FF6E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EE62F"/>
  <w15:chartTrackingRefBased/>
  <w15:docId w15:val="{7BCEA8D5-7053-4348-9BDD-46BA9E440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984"/>
    <w:rPr>
      <w:color w:val="0000FF"/>
      <w:u w:val="single"/>
    </w:rPr>
  </w:style>
  <w:style w:type="paragraph" w:styleId="FootnoteText">
    <w:name w:val="footnote text"/>
    <w:basedOn w:val="Normal"/>
    <w:link w:val="FootnoteTextChar"/>
    <w:uiPriority w:val="99"/>
    <w:unhideWhenUsed/>
    <w:rsid w:val="00594984"/>
    <w:rPr>
      <w:rFonts w:ascii="Calibri" w:hAnsi="Calibri" w:cs="Times New Roman"/>
      <w:sz w:val="20"/>
      <w:szCs w:val="20"/>
    </w:rPr>
  </w:style>
  <w:style w:type="character" w:customStyle="1" w:styleId="FootnoteTextChar">
    <w:name w:val="Footnote Text Char"/>
    <w:basedOn w:val="DefaultParagraphFont"/>
    <w:link w:val="FootnoteText"/>
    <w:uiPriority w:val="99"/>
    <w:rsid w:val="00594984"/>
    <w:rPr>
      <w:rFonts w:ascii="Calibri" w:hAnsi="Calibri" w:cs="Times New Roman"/>
      <w:sz w:val="20"/>
      <w:szCs w:val="20"/>
    </w:rPr>
  </w:style>
  <w:style w:type="character" w:styleId="FootnoteReference">
    <w:name w:val="footnote reference"/>
    <w:basedOn w:val="DefaultParagraphFont"/>
    <w:uiPriority w:val="99"/>
    <w:unhideWhenUsed/>
    <w:rsid w:val="00594984"/>
    <w:rPr>
      <w:vertAlign w:val="superscript"/>
    </w:rPr>
  </w:style>
  <w:style w:type="paragraph" w:styleId="ListParagraph">
    <w:name w:val="List Paragraph"/>
    <w:basedOn w:val="Normal"/>
    <w:uiPriority w:val="34"/>
    <w:qFormat/>
    <w:rsid w:val="00A456E5"/>
    <w:pPr>
      <w:ind w:left="720"/>
      <w:contextualSpacing/>
    </w:pPr>
  </w:style>
  <w:style w:type="paragraph" w:styleId="Header">
    <w:name w:val="header"/>
    <w:basedOn w:val="Normal"/>
    <w:link w:val="HeaderChar"/>
    <w:uiPriority w:val="99"/>
    <w:unhideWhenUsed/>
    <w:rsid w:val="00820823"/>
    <w:pPr>
      <w:tabs>
        <w:tab w:val="center" w:pos="4153"/>
        <w:tab w:val="right" w:pos="8306"/>
      </w:tabs>
    </w:pPr>
  </w:style>
  <w:style w:type="character" w:customStyle="1" w:styleId="HeaderChar">
    <w:name w:val="Header Char"/>
    <w:basedOn w:val="DefaultParagraphFont"/>
    <w:link w:val="Header"/>
    <w:uiPriority w:val="99"/>
    <w:rsid w:val="00820823"/>
  </w:style>
  <w:style w:type="paragraph" w:styleId="Footer">
    <w:name w:val="footer"/>
    <w:basedOn w:val="Normal"/>
    <w:link w:val="FooterChar"/>
    <w:uiPriority w:val="99"/>
    <w:unhideWhenUsed/>
    <w:rsid w:val="00820823"/>
    <w:pPr>
      <w:tabs>
        <w:tab w:val="center" w:pos="4153"/>
        <w:tab w:val="right" w:pos="8306"/>
      </w:tabs>
    </w:pPr>
  </w:style>
  <w:style w:type="character" w:customStyle="1" w:styleId="FooterChar">
    <w:name w:val="Footer Char"/>
    <w:basedOn w:val="DefaultParagraphFont"/>
    <w:link w:val="Footer"/>
    <w:uiPriority w:val="99"/>
    <w:rsid w:val="00820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8761">
      <w:bodyDiv w:val="1"/>
      <w:marLeft w:val="0"/>
      <w:marRight w:val="0"/>
      <w:marTop w:val="0"/>
      <w:marBottom w:val="0"/>
      <w:divBdr>
        <w:top w:val="none" w:sz="0" w:space="0" w:color="auto"/>
        <w:left w:val="none" w:sz="0" w:space="0" w:color="auto"/>
        <w:bottom w:val="none" w:sz="0" w:space="0" w:color="auto"/>
        <w:right w:val="none" w:sz="0" w:space="0" w:color="auto"/>
      </w:divBdr>
    </w:div>
    <w:div w:id="1085608661">
      <w:bodyDiv w:val="1"/>
      <w:marLeft w:val="0"/>
      <w:marRight w:val="0"/>
      <w:marTop w:val="0"/>
      <w:marBottom w:val="0"/>
      <w:divBdr>
        <w:top w:val="none" w:sz="0" w:space="0" w:color="auto"/>
        <w:left w:val="none" w:sz="0" w:space="0" w:color="auto"/>
        <w:bottom w:val="none" w:sz="0" w:space="0" w:color="auto"/>
        <w:right w:val="none" w:sz="0" w:space="0" w:color="auto"/>
      </w:divBdr>
    </w:div>
    <w:div w:id="1211841268">
      <w:bodyDiv w:val="1"/>
      <w:marLeft w:val="0"/>
      <w:marRight w:val="0"/>
      <w:marTop w:val="0"/>
      <w:marBottom w:val="0"/>
      <w:divBdr>
        <w:top w:val="none" w:sz="0" w:space="0" w:color="auto"/>
        <w:left w:val="none" w:sz="0" w:space="0" w:color="auto"/>
        <w:bottom w:val="none" w:sz="0" w:space="0" w:color="auto"/>
        <w:right w:val="none" w:sz="0" w:space="0" w:color="auto"/>
      </w:divBdr>
    </w:div>
    <w:div w:id="1487011945">
      <w:bodyDiv w:val="1"/>
      <w:marLeft w:val="0"/>
      <w:marRight w:val="0"/>
      <w:marTop w:val="0"/>
      <w:marBottom w:val="0"/>
      <w:divBdr>
        <w:top w:val="none" w:sz="0" w:space="0" w:color="auto"/>
        <w:left w:val="none" w:sz="0" w:space="0" w:color="auto"/>
        <w:bottom w:val="none" w:sz="0" w:space="0" w:color="auto"/>
        <w:right w:val="none" w:sz="0" w:space="0" w:color="auto"/>
      </w:divBdr>
    </w:div>
    <w:div w:id="185873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ai.mk.gov.lv/book/1/chapter/9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FA16-5BA6-47E0-B091-D8DDA598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12771</Words>
  <Characters>7280</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Marija Vīksna</cp:lastModifiedBy>
  <cp:revision>6</cp:revision>
  <dcterms:created xsi:type="dcterms:W3CDTF">2019-05-21T05:51:00Z</dcterms:created>
  <dcterms:modified xsi:type="dcterms:W3CDTF">2019-05-28T05:51:00Z</dcterms:modified>
</cp:coreProperties>
</file>