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AEEC9" w14:textId="173493E2" w:rsidR="00CB5868" w:rsidRDefault="00571D01" w:rsidP="00CB5868">
      <w:pPr>
        <w:pStyle w:val="Heading3"/>
        <w:spacing w:before="0"/>
        <w:jc w:val="center"/>
        <w:rPr>
          <w:rFonts w:ascii="Times New Roman" w:eastAsia="Times New Roman" w:hAnsi="Times New Roman" w:cs="Times New Roman"/>
          <w:b/>
          <w:bCs/>
          <w:color w:val="auto"/>
          <w:sz w:val="26"/>
          <w:szCs w:val="26"/>
          <w:lang w:eastAsia="lv-LV"/>
        </w:rPr>
      </w:pPr>
      <w:bookmarkStart w:id="0" w:name="OLE_LINK1"/>
      <w:bookmarkStart w:id="1" w:name="OLE_LINK2"/>
      <w:bookmarkStart w:id="2" w:name="OLE_LINK5"/>
      <w:bookmarkStart w:id="3" w:name="_GoBack"/>
      <w:bookmarkEnd w:id="3"/>
      <w:r w:rsidRPr="00337160">
        <w:rPr>
          <w:rFonts w:ascii="Times New Roman" w:eastAsia="Times New Roman" w:hAnsi="Times New Roman" w:cs="Times New Roman"/>
          <w:b/>
          <w:bCs/>
          <w:color w:val="auto"/>
          <w:sz w:val="26"/>
          <w:szCs w:val="26"/>
        </w:rPr>
        <w:t xml:space="preserve">Ministru kabineta noteikumu projekta </w:t>
      </w:r>
      <w:r w:rsidR="00382755" w:rsidRPr="00337160">
        <w:rPr>
          <w:rFonts w:ascii="Times New Roman" w:hAnsi="Times New Roman" w:cs="Times New Roman"/>
          <w:b/>
          <w:color w:val="auto"/>
          <w:sz w:val="26"/>
          <w:szCs w:val="26"/>
        </w:rPr>
        <w:t>„</w:t>
      </w:r>
      <w:r w:rsidR="00337160" w:rsidRPr="00337160">
        <w:rPr>
          <w:rFonts w:ascii="Times New Roman" w:eastAsia="Times New Roman" w:hAnsi="Times New Roman" w:cs="Times New Roman"/>
          <w:b/>
          <w:bCs/>
          <w:color w:val="auto"/>
          <w:sz w:val="26"/>
          <w:szCs w:val="26"/>
        </w:rPr>
        <w:t>Grozījumi Ministru kabineta 2016. gada</w:t>
      </w:r>
      <w:r w:rsidR="00337160">
        <w:rPr>
          <w:rFonts w:ascii="Times New Roman" w:eastAsia="Times New Roman" w:hAnsi="Times New Roman" w:cs="Times New Roman"/>
          <w:b/>
          <w:bCs/>
          <w:color w:val="auto"/>
          <w:sz w:val="26"/>
          <w:szCs w:val="26"/>
        </w:rPr>
        <w:t xml:space="preserve"> 20.</w:t>
      </w:r>
      <w:r w:rsidR="00234D12">
        <w:rPr>
          <w:rFonts w:ascii="Times New Roman" w:eastAsia="Times New Roman" w:hAnsi="Times New Roman" w:cs="Times New Roman"/>
          <w:b/>
          <w:bCs/>
          <w:color w:val="auto"/>
          <w:sz w:val="26"/>
          <w:szCs w:val="26"/>
        </w:rPr>
        <w:t xml:space="preserve"> </w:t>
      </w:r>
      <w:r w:rsidR="00337160">
        <w:rPr>
          <w:rFonts w:ascii="Times New Roman" w:eastAsia="Times New Roman" w:hAnsi="Times New Roman" w:cs="Times New Roman"/>
          <w:b/>
          <w:bCs/>
          <w:color w:val="auto"/>
          <w:sz w:val="26"/>
          <w:szCs w:val="26"/>
        </w:rPr>
        <w:t>decembra noteikumos Nr.</w:t>
      </w:r>
      <w:r w:rsidR="00337160" w:rsidRPr="00337160">
        <w:rPr>
          <w:rFonts w:ascii="Times New Roman" w:eastAsia="Times New Roman" w:hAnsi="Times New Roman" w:cs="Times New Roman"/>
          <w:b/>
          <w:bCs/>
          <w:color w:val="auto"/>
          <w:sz w:val="26"/>
          <w:szCs w:val="26"/>
        </w:rPr>
        <w:t>861 “Zudumu apmēru noteikšanas kārtība muitas uzraudzībā esošajām nefasētajām precēm”</w:t>
      </w:r>
      <w:bookmarkEnd w:id="0"/>
      <w:bookmarkEnd w:id="1"/>
      <w:bookmarkEnd w:id="2"/>
      <w:r w:rsidR="00EF51B1" w:rsidRPr="00337160">
        <w:rPr>
          <w:rFonts w:ascii="Times New Roman" w:eastAsia="Times New Roman" w:hAnsi="Times New Roman" w:cs="Times New Roman"/>
          <w:b/>
          <w:bCs/>
          <w:color w:val="auto"/>
          <w:sz w:val="26"/>
          <w:szCs w:val="26"/>
        </w:rPr>
        <w:t xml:space="preserve"> </w:t>
      </w:r>
      <w:r w:rsidRPr="00337160">
        <w:rPr>
          <w:rFonts w:ascii="Times New Roman" w:eastAsia="Times New Roman" w:hAnsi="Times New Roman" w:cs="Times New Roman"/>
          <w:b/>
          <w:bCs/>
          <w:color w:val="auto"/>
          <w:sz w:val="26"/>
          <w:szCs w:val="26"/>
          <w:lang w:eastAsia="lv-LV"/>
        </w:rPr>
        <w:t>sākotnējā</w:t>
      </w:r>
      <w:r w:rsidR="00EF51B1" w:rsidRPr="00337160">
        <w:rPr>
          <w:rFonts w:ascii="Times New Roman" w:eastAsia="Times New Roman" w:hAnsi="Times New Roman" w:cs="Times New Roman"/>
          <w:b/>
          <w:bCs/>
          <w:color w:val="auto"/>
          <w:sz w:val="26"/>
          <w:szCs w:val="26"/>
          <w:lang w:eastAsia="lv-LV"/>
        </w:rPr>
        <w:t xml:space="preserve">s ietekmes novērtējuma ziņojums </w:t>
      </w:r>
      <w:r w:rsidRPr="00337160">
        <w:rPr>
          <w:rFonts w:ascii="Times New Roman" w:eastAsia="Times New Roman" w:hAnsi="Times New Roman" w:cs="Times New Roman"/>
          <w:b/>
          <w:bCs/>
          <w:color w:val="auto"/>
          <w:sz w:val="26"/>
          <w:szCs w:val="26"/>
          <w:lang w:eastAsia="lv-LV"/>
        </w:rPr>
        <w:t>(anotācija)</w:t>
      </w:r>
    </w:p>
    <w:p w14:paraId="7A2571D1" w14:textId="49035043" w:rsidR="00CB5868" w:rsidRPr="00CB5868" w:rsidRDefault="00CB5868" w:rsidP="00CB5868">
      <w:pPr>
        <w:pStyle w:val="Heading3"/>
        <w:spacing w:before="0"/>
        <w:jc w:val="center"/>
        <w:rPr>
          <w:lang w:eastAsia="lv-LV"/>
        </w:rPr>
      </w:pPr>
      <w:r w:rsidRPr="00CB5868">
        <w:rPr>
          <w:lang w:eastAsia="lv-LV"/>
        </w:rPr>
        <w:t xml:space="preserve"> </w:t>
      </w: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3"/>
        <w:gridCol w:w="5757"/>
      </w:tblGrid>
      <w:tr w:rsidR="00CB5868" w:rsidRPr="000B79B2" w14:paraId="112B8302" w14:textId="77777777" w:rsidTr="00603DC1">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1A424FC" w14:textId="77777777" w:rsidR="00CB5868" w:rsidRPr="00993C84" w:rsidRDefault="00CB5868" w:rsidP="006B149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CB5868" w:rsidRPr="000B79B2" w14:paraId="2F695922" w14:textId="77777777" w:rsidTr="00603DC1">
        <w:tc>
          <w:tcPr>
            <w:tcW w:w="1967" w:type="pct"/>
            <w:tcBorders>
              <w:top w:val="outset" w:sz="6" w:space="0" w:color="414142"/>
              <w:left w:val="outset" w:sz="6" w:space="0" w:color="414142"/>
              <w:bottom w:val="outset" w:sz="6" w:space="0" w:color="414142"/>
              <w:right w:val="outset" w:sz="6" w:space="0" w:color="414142"/>
            </w:tcBorders>
            <w:hideMark/>
          </w:tcPr>
          <w:p w14:paraId="4D4DA4B1" w14:textId="77777777" w:rsidR="00CB5868" w:rsidRPr="00993C84" w:rsidRDefault="00CB5868" w:rsidP="006B1491">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Mērķis, risinājums un projekta spēkā stāšanās laiks (500 zīmes bez atstarpēm)</w:t>
            </w:r>
          </w:p>
        </w:tc>
        <w:tc>
          <w:tcPr>
            <w:tcW w:w="3033" w:type="pct"/>
            <w:tcBorders>
              <w:top w:val="outset" w:sz="6" w:space="0" w:color="414142"/>
              <w:left w:val="outset" w:sz="6" w:space="0" w:color="414142"/>
              <w:bottom w:val="outset" w:sz="6" w:space="0" w:color="414142"/>
              <w:right w:val="outset" w:sz="6" w:space="0" w:color="414142"/>
            </w:tcBorders>
            <w:hideMark/>
          </w:tcPr>
          <w:p w14:paraId="55017DFA" w14:textId="4424C7A3" w:rsidR="008E4474" w:rsidRDefault="00CB5868" w:rsidP="008E4474">
            <w:pPr>
              <w:pStyle w:val="Normalt1"/>
              <w:ind w:right="110" w:firstLine="444"/>
              <w:rPr>
                <w:kern w:val="1"/>
                <w:sz w:val="24"/>
                <w:szCs w:val="24"/>
                <w:lang w:val="lv-LV"/>
              </w:rPr>
            </w:pPr>
            <w:r w:rsidRPr="008E4474">
              <w:rPr>
                <w:sz w:val="24"/>
                <w:szCs w:val="24"/>
                <w:lang w:val="lv-LV"/>
              </w:rPr>
              <w:t>Ministru kabinetā noteikumu projekts “Grozījumi Ministru kabineta 2016.gada 20.decembra noteikumos Nr.861 “Zudumu apmēru noteikšanas kārtība muitas uzraudzībā esošajām nefasētajām precēm””</w:t>
            </w:r>
            <w:r w:rsidR="008E4474">
              <w:rPr>
                <w:sz w:val="24"/>
                <w:szCs w:val="24"/>
                <w:lang w:val="lv-LV"/>
              </w:rPr>
              <w:t xml:space="preserve"> </w:t>
            </w:r>
            <w:r w:rsidR="008E4474" w:rsidRPr="008E4474">
              <w:rPr>
                <w:sz w:val="24"/>
                <w:szCs w:val="24"/>
                <w:lang w:val="lv-LV"/>
              </w:rPr>
              <w:t xml:space="preserve">paredz </w:t>
            </w:r>
            <w:r w:rsidR="008E4474">
              <w:rPr>
                <w:sz w:val="24"/>
                <w:szCs w:val="24"/>
                <w:lang w:val="lv-LV"/>
              </w:rPr>
              <w:t xml:space="preserve">Kombinētās nomenklatūras 26., 28., 29. un 72.nodaļā atsevišķi klasificētām precēm noteikt zudumu apmērus, lai kontrolējošām iestādēm un </w:t>
            </w:r>
            <w:r w:rsidR="008E4474">
              <w:rPr>
                <w:kern w:val="1"/>
                <w:sz w:val="24"/>
                <w:szCs w:val="24"/>
                <w:lang w:val="lv-LV"/>
              </w:rPr>
              <w:t>k</w:t>
            </w:r>
            <w:r w:rsidR="008E4474" w:rsidRPr="008E4474">
              <w:rPr>
                <w:kern w:val="1"/>
                <w:sz w:val="24"/>
                <w:szCs w:val="24"/>
                <w:lang w:val="lv-LV"/>
              </w:rPr>
              <w:t>omersantiem, kas pārvieto un uzglabā nefasētas beramās preces muitas noliktavās, brīvajās zonās  un preču</w:t>
            </w:r>
            <w:r w:rsidR="006720C9">
              <w:rPr>
                <w:kern w:val="1"/>
                <w:sz w:val="24"/>
                <w:szCs w:val="24"/>
                <w:lang w:val="lv-LV"/>
              </w:rPr>
              <w:t xml:space="preserve"> pagaidu uzglabāšanas vietās būtu skaidri un nepārprotami</w:t>
            </w:r>
            <w:r w:rsidR="008E4474" w:rsidRPr="008E4474">
              <w:rPr>
                <w:kern w:val="1"/>
                <w:sz w:val="24"/>
                <w:szCs w:val="24"/>
                <w:lang w:val="lv-LV"/>
              </w:rPr>
              <w:t xml:space="preserve"> nosacījumi zudumu apmēru piemērošanā.</w:t>
            </w:r>
          </w:p>
          <w:p w14:paraId="182031EB" w14:textId="77777777" w:rsidR="00BC3163" w:rsidRDefault="008E4474" w:rsidP="008E4474">
            <w:pPr>
              <w:pStyle w:val="Normalt1"/>
              <w:ind w:right="110" w:firstLine="444"/>
              <w:rPr>
                <w:sz w:val="24"/>
                <w:szCs w:val="24"/>
                <w:lang w:val="lv-LV"/>
              </w:rPr>
            </w:pPr>
            <w:r>
              <w:rPr>
                <w:sz w:val="24"/>
                <w:szCs w:val="24"/>
                <w:lang w:val="lv-LV"/>
              </w:rPr>
              <w:t xml:space="preserve">Kombinētās nomenklatūras 26., 28., 29. un 72.nodaļā atsevišķi klasificētām </w:t>
            </w:r>
            <w:r w:rsidR="00F904EB">
              <w:rPr>
                <w:sz w:val="24"/>
                <w:szCs w:val="24"/>
                <w:lang w:val="lv-LV"/>
              </w:rPr>
              <w:t>precēm zuduma apmēri tiks noteikti ņemot vērā Eiropas Savienības dalībvalstu pieredzi.</w:t>
            </w:r>
          </w:p>
          <w:p w14:paraId="36B3EBC9" w14:textId="713CD68B" w:rsidR="00CB5868" w:rsidRPr="008E4474" w:rsidRDefault="00BC3163" w:rsidP="008E4474">
            <w:pPr>
              <w:pStyle w:val="Normalt1"/>
              <w:ind w:right="110" w:firstLine="444"/>
              <w:rPr>
                <w:color w:val="7030A0"/>
                <w:sz w:val="24"/>
                <w:szCs w:val="24"/>
                <w:lang w:val="lv-LV"/>
              </w:rPr>
            </w:pPr>
            <w:r w:rsidRPr="00BC3163">
              <w:rPr>
                <w:bCs/>
                <w:sz w:val="24"/>
                <w:szCs w:val="24"/>
                <w:lang w:val="lv-LV"/>
              </w:rPr>
              <w:t xml:space="preserve">Ministru kabineta noteikumu projekts </w:t>
            </w:r>
            <w:r w:rsidRPr="00BC3163">
              <w:rPr>
                <w:iCs/>
                <w:sz w:val="24"/>
                <w:szCs w:val="24"/>
                <w:lang w:val="lv-LV"/>
              </w:rPr>
              <w:t xml:space="preserve">stāsies spēkā vispārējā kārtībā pēc noteikumu pieņemšanas Ministru kabinetā. </w:t>
            </w:r>
            <w:r w:rsidR="008E4474" w:rsidRPr="008E4474">
              <w:rPr>
                <w:vanish/>
                <w:sz w:val="24"/>
                <w:szCs w:val="24"/>
                <w:lang w:val="lv-LV"/>
              </w:rPr>
              <w:t xml:space="preserve"> </w:t>
            </w:r>
            <w:r w:rsidR="00CB5868" w:rsidRPr="008E4474">
              <w:rPr>
                <w:vanish/>
                <w:sz w:val="24"/>
                <w:szCs w:val="24"/>
                <w:lang w:val="lv-LV"/>
              </w:rPr>
              <w:t>2</w:t>
            </w:r>
            <w:bookmarkStart w:id="4" w:name="p2"/>
            <w:bookmarkStart w:id="5" w:name="p-640126"/>
            <w:bookmarkEnd w:id="4"/>
            <w:bookmarkEnd w:id="5"/>
          </w:p>
        </w:tc>
      </w:tr>
    </w:tbl>
    <w:p w14:paraId="7008ABFF" w14:textId="77777777" w:rsidR="00CB5868" w:rsidRDefault="00CB5868"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711"/>
      </w:tblGrid>
      <w:tr w:rsidR="00571D01" w:rsidRPr="000B79B2" w14:paraId="76C9BB82" w14:textId="77777777" w:rsidTr="00652D3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BF73C9" w14:textId="77777777" w:rsidR="00571D01" w:rsidRPr="006B517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71D01" w:rsidRPr="000B79B2" w14:paraId="41959D59" w14:textId="77777777" w:rsidTr="00C2209B">
        <w:tc>
          <w:tcPr>
            <w:tcW w:w="338" w:type="pct"/>
            <w:tcBorders>
              <w:top w:val="outset" w:sz="6" w:space="0" w:color="414142"/>
              <w:left w:val="outset" w:sz="6" w:space="0" w:color="414142"/>
              <w:bottom w:val="outset" w:sz="6" w:space="0" w:color="414142"/>
              <w:right w:val="outset" w:sz="6" w:space="0" w:color="414142"/>
            </w:tcBorders>
            <w:hideMark/>
          </w:tcPr>
          <w:p w14:paraId="342B7418" w14:textId="77777777" w:rsidR="00571D01" w:rsidRPr="00ED38F0" w:rsidRDefault="00571D01" w:rsidP="006E60D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53" w:type="pct"/>
            <w:tcBorders>
              <w:top w:val="outset" w:sz="6" w:space="0" w:color="414142"/>
              <w:left w:val="outset" w:sz="6" w:space="0" w:color="414142"/>
              <w:bottom w:val="outset" w:sz="6" w:space="0" w:color="414142"/>
              <w:right w:val="outset" w:sz="6" w:space="0" w:color="414142"/>
            </w:tcBorders>
            <w:hideMark/>
          </w:tcPr>
          <w:p w14:paraId="02119EF4" w14:textId="77777777"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3009" w:type="pct"/>
            <w:tcBorders>
              <w:top w:val="outset" w:sz="6" w:space="0" w:color="414142"/>
              <w:left w:val="outset" w:sz="6" w:space="0" w:color="414142"/>
              <w:bottom w:val="outset" w:sz="6" w:space="0" w:color="414142"/>
              <w:right w:val="outset" w:sz="6" w:space="0" w:color="414142"/>
            </w:tcBorders>
            <w:hideMark/>
          </w:tcPr>
          <w:p w14:paraId="4F747411" w14:textId="60172704" w:rsidR="00853D3D" w:rsidRPr="00225C49" w:rsidRDefault="00BF7687" w:rsidP="008E12F5">
            <w:pPr>
              <w:spacing w:after="0" w:line="240" w:lineRule="auto"/>
              <w:ind w:right="110" w:firstLine="444"/>
              <w:jc w:val="both"/>
              <w:rPr>
                <w:rFonts w:ascii="Times New Roman" w:hAnsi="Times New Roman" w:cs="Times New Roman"/>
                <w:sz w:val="24"/>
                <w:szCs w:val="24"/>
              </w:rPr>
            </w:pPr>
            <w:r w:rsidRPr="00BF7687">
              <w:rPr>
                <w:rFonts w:ascii="Times New Roman" w:hAnsi="Times New Roman" w:cs="Times New Roman"/>
                <w:sz w:val="24"/>
                <w:szCs w:val="24"/>
              </w:rPr>
              <w:t xml:space="preserve">Ministru kabineta 2018.gada 28.augusta sēdē tika izskatīts </w:t>
            </w:r>
            <w:r>
              <w:rPr>
                <w:rFonts w:ascii="Times New Roman" w:hAnsi="Times New Roman" w:cs="Times New Roman"/>
                <w:sz w:val="24"/>
                <w:szCs w:val="24"/>
              </w:rPr>
              <w:t xml:space="preserve">un pieņemts </w:t>
            </w:r>
            <w:r w:rsidRPr="00BF7687">
              <w:rPr>
                <w:rFonts w:ascii="Times New Roman" w:hAnsi="Times New Roman" w:cs="Times New Roman"/>
                <w:sz w:val="24"/>
                <w:szCs w:val="24"/>
              </w:rPr>
              <w:t xml:space="preserve">Satiksmes ministrijas sadarbībā </w:t>
            </w:r>
            <w:r>
              <w:rPr>
                <w:rFonts w:ascii="Times New Roman" w:hAnsi="Times New Roman" w:cs="Times New Roman"/>
                <w:sz w:val="24"/>
                <w:szCs w:val="24"/>
              </w:rPr>
              <w:t xml:space="preserve">ar Finanšu ministriju </w:t>
            </w:r>
            <w:r w:rsidRPr="00BF7687">
              <w:rPr>
                <w:rFonts w:ascii="Times New Roman" w:hAnsi="Times New Roman" w:cs="Times New Roman"/>
                <w:sz w:val="24"/>
                <w:szCs w:val="24"/>
              </w:rPr>
              <w:t>sagatavotais informatīvais ziņojums “Par zudumu apmēru noteikšanas kārtību muitas uzraudzībā esošajām nefasētajām precēm”</w:t>
            </w:r>
            <w:r w:rsidR="001B083C">
              <w:rPr>
                <w:rFonts w:ascii="Times New Roman" w:hAnsi="Times New Roman" w:cs="Times New Roman"/>
                <w:sz w:val="24"/>
                <w:szCs w:val="24"/>
              </w:rPr>
              <w:t xml:space="preserve"> (turpmāk – informatīvais ziņojums)</w:t>
            </w:r>
            <w:r w:rsidRPr="00BF7687">
              <w:rPr>
                <w:rFonts w:ascii="Times New Roman" w:hAnsi="Times New Roman" w:cs="Times New Roman"/>
                <w:sz w:val="24"/>
                <w:szCs w:val="24"/>
              </w:rPr>
              <w:t>. Minētās Ministru kabineta sēdes protokola Nr.40 28.§ 2.punkts nosaka</w:t>
            </w:r>
            <w:r>
              <w:rPr>
                <w:rFonts w:ascii="Times New Roman" w:hAnsi="Times New Roman" w:cs="Times New Roman"/>
                <w:sz w:val="24"/>
                <w:szCs w:val="24"/>
              </w:rPr>
              <w:t>,</w:t>
            </w:r>
            <w:r w:rsidRPr="00BF7687">
              <w:rPr>
                <w:rFonts w:ascii="Times New Roman" w:hAnsi="Times New Roman" w:cs="Times New Roman"/>
                <w:sz w:val="24"/>
                <w:szCs w:val="24"/>
              </w:rPr>
              <w:t xml:space="preserve"> ņemot vērā informatīvajā ziņojumā sniegto informāciju un piedāvāto risinājumu, Finanšu ministrijai līdz 2019.gada 1.jūlijam iesniegt izskatīšanai Ministru kabinetā noteikumu projektu “Grozījumi Ministru kabineta 2016.gada 20.decembra noteikumos Nr.861 “Zudumu apmēru noteikšanas kārtība muitas uzraudzībā</w:t>
            </w:r>
            <w:r>
              <w:rPr>
                <w:rFonts w:ascii="Times New Roman" w:hAnsi="Times New Roman" w:cs="Times New Roman"/>
                <w:sz w:val="24"/>
                <w:szCs w:val="24"/>
              </w:rPr>
              <w:t xml:space="preserve"> </w:t>
            </w:r>
            <w:r w:rsidRPr="00BF7687">
              <w:rPr>
                <w:rFonts w:ascii="Times New Roman" w:hAnsi="Times New Roman" w:cs="Times New Roman"/>
                <w:sz w:val="24"/>
                <w:szCs w:val="24"/>
              </w:rPr>
              <w:t>esošajām nefasētajām precēm””</w:t>
            </w:r>
            <w:r w:rsidR="009448D0">
              <w:rPr>
                <w:rFonts w:ascii="Times New Roman" w:hAnsi="Times New Roman" w:cs="Times New Roman"/>
                <w:sz w:val="24"/>
                <w:szCs w:val="24"/>
              </w:rPr>
              <w:t xml:space="preserve"> (turpmāk – Ministru kabineta noteikumu projekts)</w:t>
            </w:r>
            <w:r w:rsidRPr="00BF7687">
              <w:rPr>
                <w:rFonts w:ascii="Times New Roman" w:hAnsi="Times New Roman" w:cs="Times New Roman"/>
                <w:sz w:val="24"/>
                <w:szCs w:val="24"/>
              </w:rPr>
              <w:t>.</w:t>
            </w:r>
          </w:p>
        </w:tc>
      </w:tr>
      <w:tr w:rsidR="00571D01" w:rsidRPr="000B79B2" w14:paraId="2D4D8884" w14:textId="77777777" w:rsidTr="00C2209B">
        <w:tc>
          <w:tcPr>
            <w:tcW w:w="338" w:type="pct"/>
            <w:tcBorders>
              <w:top w:val="outset" w:sz="6" w:space="0" w:color="414142"/>
              <w:left w:val="outset" w:sz="6" w:space="0" w:color="414142"/>
              <w:bottom w:val="outset" w:sz="6" w:space="0" w:color="414142"/>
              <w:right w:val="outset" w:sz="6" w:space="0" w:color="414142"/>
            </w:tcBorders>
            <w:hideMark/>
          </w:tcPr>
          <w:p w14:paraId="23C22BC3" w14:textId="77777777" w:rsidR="00571D01"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p w14:paraId="6B1595CE" w14:textId="77777777" w:rsidR="00571D01" w:rsidRPr="009F2884" w:rsidRDefault="00571D01" w:rsidP="006E60D4">
            <w:pPr>
              <w:rPr>
                <w:rFonts w:ascii="Times New Roman" w:eastAsia="Times New Roman" w:hAnsi="Times New Roman" w:cs="Times New Roman"/>
                <w:sz w:val="24"/>
                <w:szCs w:val="24"/>
                <w:lang w:eastAsia="lv-LV"/>
              </w:rPr>
            </w:pPr>
          </w:p>
          <w:p w14:paraId="3620E1FE" w14:textId="77777777" w:rsidR="00571D01" w:rsidRPr="009F2884" w:rsidRDefault="00571D01" w:rsidP="006E60D4">
            <w:pPr>
              <w:rPr>
                <w:rFonts w:ascii="Times New Roman" w:eastAsia="Times New Roman" w:hAnsi="Times New Roman" w:cs="Times New Roman"/>
                <w:sz w:val="24"/>
                <w:szCs w:val="24"/>
                <w:lang w:eastAsia="lv-LV"/>
              </w:rPr>
            </w:pPr>
          </w:p>
          <w:p w14:paraId="268AA551" w14:textId="77777777" w:rsidR="00571D01" w:rsidRPr="009F2884" w:rsidRDefault="00571D01" w:rsidP="006E60D4">
            <w:pPr>
              <w:rPr>
                <w:rFonts w:ascii="Times New Roman" w:eastAsia="Times New Roman" w:hAnsi="Times New Roman" w:cs="Times New Roman"/>
                <w:sz w:val="24"/>
                <w:szCs w:val="24"/>
                <w:lang w:eastAsia="lv-LV"/>
              </w:rPr>
            </w:pPr>
          </w:p>
          <w:p w14:paraId="2FF4D850" w14:textId="77777777" w:rsidR="00571D01" w:rsidRPr="009F2884" w:rsidRDefault="00571D01" w:rsidP="006E60D4">
            <w:pPr>
              <w:rPr>
                <w:rFonts w:ascii="Times New Roman" w:eastAsia="Times New Roman" w:hAnsi="Times New Roman" w:cs="Times New Roman"/>
                <w:sz w:val="24"/>
                <w:szCs w:val="24"/>
                <w:lang w:eastAsia="lv-LV"/>
              </w:rPr>
            </w:pPr>
          </w:p>
          <w:p w14:paraId="5F1B3E44" w14:textId="77777777" w:rsidR="00571D01" w:rsidRPr="009F2884" w:rsidRDefault="00571D01" w:rsidP="006E60D4">
            <w:pPr>
              <w:rPr>
                <w:rFonts w:ascii="Times New Roman" w:eastAsia="Times New Roman" w:hAnsi="Times New Roman" w:cs="Times New Roman"/>
                <w:sz w:val="24"/>
                <w:szCs w:val="24"/>
                <w:lang w:eastAsia="lv-LV"/>
              </w:rPr>
            </w:pPr>
          </w:p>
          <w:p w14:paraId="3330A24D" w14:textId="77777777" w:rsidR="00571D01" w:rsidRPr="009F2884" w:rsidRDefault="00571D01" w:rsidP="006E60D4">
            <w:pPr>
              <w:rPr>
                <w:rFonts w:ascii="Times New Roman" w:eastAsia="Times New Roman" w:hAnsi="Times New Roman" w:cs="Times New Roman"/>
                <w:sz w:val="24"/>
                <w:szCs w:val="24"/>
                <w:lang w:eastAsia="lv-LV"/>
              </w:rPr>
            </w:pPr>
          </w:p>
          <w:p w14:paraId="6BCF3784" w14:textId="77777777" w:rsidR="00571D01" w:rsidRPr="009F2884" w:rsidRDefault="00571D01" w:rsidP="006E60D4">
            <w:pPr>
              <w:rPr>
                <w:rFonts w:ascii="Times New Roman" w:eastAsia="Times New Roman" w:hAnsi="Times New Roman" w:cs="Times New Roman"/>
                <w:sz w:val="24"/>
                <w:szCs w:val="24"/>
                <w:lang w:eastAsia="lv-LV"/>
              </w:rPr>
            </w:pPr>
          </w:p>
          <w:p w14:paraId="0791B11A" w14:textId="77777777" w:rsidR="00571D01" w:rsidRPr="009F2884" w:rsidRDefault="00571D01" w:rsidP="006E60D4">
            <w:pPr>
              <w:rPr>
                <w:rFonts w:ascii="Times New Roman" w:eastAsia="Times New Roman" w:hAnsi="Times New Roman" w:cs="Times New Roman"/>
                <w:sz w:val="24"/>
                <w:szCs w:val="24"/>
                <w:lang w:eastAsia="lv-LV"/>
              </w:rPr>
            </w:pPr>
          </w:p>
        </w:tc>
        <w:tc>
          <w:tcPr>
            <w:tcW w:w="1653" w:type="pct"/>
            <w:tcBorders>
              <w:top w:val="outset" w:sz="6" w:space="0" w:color="414142"/>
              <w:left w:val="outset" w:sz="6" w:space="0" w:color="414142"/>
              <w:bottom w:val="outset" w:sz="6" w:space="0" w:color="414142"/>
              <w:right w:val="outset" w:sz="6" w:space="0" w:color="414142"/>
            </w:tcBorders>
            <w:hideMark/>
          </w:tcPr>
          <w:p w14:paraId="7B43E684" w14:textId="77777777"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lastRenderedPageBreak/>
              <w:t xml:space="preserve">Pašreizējā situācija un problēmas, kuru risināšanai tiesību akta projekts izstrādāts, </w:t>
            </w:r>
            <w:r w:rsidRPr="006B5174">
              <w:rPr>
                <w:rFonts w:ascii="Times New Roman" w:eastAsia="Times New Roman" w:hAnsi="Times New Roman" w:cs="Times New Roman"/>
                <w:sz w:val="24"/>
                <w:szCs w:val="24"/>
                <w:lang w:eastAsia="lv-LV"/>
              </w:rPr>
              <w:lastRenderedPageBreak/>
              <w:t>tiesiskā regulējuma mērķis un būtība</w:t>
            </w:r>
          </w:p>
        </w:tc>
        <w:tc>
          <w:tcPr>
            <w:tcW w:w="3009" w:type="pct"/>
            <w:tcBorders>
              <w:top w:val="outset" w:sz="6" w:space="0" w:color="414142"/>
              <w:left w:val="outset" w:sz="6" w:space="0" w:color="414142"/>
              <w:bottom w:val="outset" w:sz="6" w:space="0" w:color="414142"/>
              <w:right w:val="outset" w:sz="6" w:space="0" w:color="414142"/>
            </w:tcBorders>
          </w:tcPr>
          <w:p w14:paraId="04A49E86" w14:textId="2C451B25" w:rsidR="00327D76" w:rsidRPr="0075461A" w:rsidRDefault="00532823" w:rsidP="0075461A">
            <w:pPr>
              <w:pStyle w:val="Normalt1"/>
              <w:ind w:right="110" w:firstLine="444"/>
              <w:rPr>
                <w:sz w:val="24"/>
                <w:szCs w:val="24"/>
                <w:lang w:val="lv-LV"/>
              </w:rPr>
            </w:pPr>
            <w:r w:rsidRPr="0075461A">
              <w:rPr>
                <w:sz w:val="24"/>
                <w:szCs w:val="24"/>
                <w:lang w:val="lv-LV"/>
              </w:rPr>
              <w:lastRenderedPageBreak/>
              <w:t>Šobrīd Ministru kabineta 2016.gada 20.decembra noteikumos Nr.861 “Zudumu apmēru noteikšanas kārtība muitas uzraudzībā esošajām nefasētajām precēm”</w:t>
            </w:r>
            <w:r w:rsidR="00327D76" w:rsidRPr="0075461A">
              <w:rPr>
                <w:sz w:val="24"/>
                <w:szCs w:val="24"/>
                <w:lang w:val="lv-LV"/>
              </w:rPr>
              <w:t xml:space="preserve"> </w:t>
            </w:r>
            <w:r w:rsidR="00327D76" w:rsidRPr="0075461A">
              <w:rPr>
                <w:sz w:val="24"/>
                <w:szCs w:val="24"/>
                <w:lang w:val="lv-LV"/>
              </w:rPr>
              <w:lastRenderedPageBreak/>
              <w:t>(turpmāk - Ministru kabineta 2016.gada 20.decembra noteikumi Nr.861</w:t>
            </w:r>
            <w:r w:rsidR="00EB728C" w:rsidRPr="0075461A">
              <w:rPr>
                <w:sz w:val="24"/>
                <w:szCs w:val="24"/>
                <w:lang w:val="lv-LV"/>
              </w:rPr>
              <w:t xml:space="preserve">) </w:t>
            </w:r>
            <w:r w:rsidR="00BF7687" w:rsidRPr="0075461A">
              <w:rPr>
                <w:sz w:val="24"/>
                <w:szCs w:val="24"/>
                <w:lang w:val="lv-LV"/>
              </w:rPr>
              <w:t xml:space="preserve">2.11.apakšpunktā Kombinētās nomenklatūras (KN) 26.nodaļā minētām precēm (dzelzs rūdas, pelni, izdedži, sārņi un citas), 2.13.apakšpunktā KN 28.nodaļā minētām precēm (alumīnija oksīds, hlors, fosfors, sērs un citas), 2.14.apakšpunktā KN 29.nodaļā minētām precēm (benzols, </w:t>
            </w:r>
            <w:proofErr w:type="spellStart"/>
            <w:r w:rsidR="00BF7687" w:rsidRPr="0075461A">
              <w:rPr>
                <w:sz w:val="24"/>
                <w:szCs w:val="24"/>
                <w:lang w:val="lv-LV"/>
              </w:rPr>
              <w:t>ksilols</w:t>
            </w:r>
            <w:proofErr w:type="spellEnd"/>
            <w:r w:rsidR="00BF7687" w:rsidRPr="0075461A">
              <w:rPr>
                <w:sz w:val="24"/>
                <w:szCs w:val="24"/>
                <w:lang w:val="lv-LV"/>
              </w:rPr>
              <w:t>, metanols u</w:t>
            </w:r>
            <w:r w:rsidR="001B083C" w:rsidRPr="0075461A">
              <w:rPr>
                <w:sz w:val="24"/>
                <w:szCs w:val="24"/>
                <w:lang w:val="lv-LV"/>
              </w:rPr>
              <w:t xml:space="preserve">n citas) un 2.20.apakšpunktā KN </w:t>
            </w:r>
            <w:r w:rsidR="00BF7687" w:rsidRPr="0075461A">
              <w:rPr>
                <w:sz w:val="24"/>
                <w:szCs w:val="24"/>
                <w:lang w:val="lv-LV"/>
              </w:rPr>
              <w:t xml:space="preserve">72.nodaļā minētām precēm (pārstrādes čuguns, ferosakausējumi, dzelzs vai tērauda izstrādājumi, dzelzs atkritumi, lūžņi un citas) nav noteiktas pieļaujamās zudumu normas. </w:t>
            </w:r>
            <w:r w:rsidRPr="0075461A">
              <w:rPr>
                <w:sz w:val="24"/>
                <w:szCs w:val="24"/>
                <w:lang w:val="lv-LV"/>
              </w:rPr>
              <w:t xml:space="preserve">Līdz ar to ir izveidojusies situācija, ka atsauces uz KN minētajās nodaļas noteiktām precēm ir ietvertas </w:t>
            </w:r>
            <w:r w:rsidR="00327D76" w:rsidRPr="0075461A">
              <w:rPr>
                <w:sz w:val="24"/>
                <w:szCs w:val="24"/>
                <w:lang w:val="lv-LV"/>
              </w:rPr>
              <w:t xml:space="preserve">Ministru kabineta 2016.gada 20.decembra noteikumu Nr.861 2.punktā, bet zudumu normas tām nav noteiktas. Šāda situācija ir izveidojusies, jo </w:t>
            </w:r>
            <w:r w:rsidR="001B083C" w:rsidRPr="0075461A">
              <w:rPr>
                <w:sz w:val="24"/>
                <w:szCs w:val="24"/>
                <w:lang w:val="lv-LV"/>
              </w:rPr>
              <w:t>Latvijā vēsturiski</w:t>
            </w:r>
            <w:r w:rsidR="00327D76" w:rsidRPr="0075461A">
              <w:rPr>
                <w:sz w:val="24"/>
                <w:szCs w:val="24"/>
                <w:lang w:val="lv-LV"/>
              </w:rPr>
              <w:t xml:space="preserve"> KN 26., 28., 29. un 72.nodaļā klasificētām precēm zudumu normas nav bijušas.</w:t>
            </w:r>
          </w:p>
          <w:p w14:paraId="73B76490" w14:textId="6C7BFD57" w:rsidR="00BF7687" w:rsidRPr="0075461A" w:rsidRDefault="00327D76" w:rsidP="0075461A">
            <w:pPr>
              <w:pStyle w:val="Normalt1"/>
              <w:ind w:right="110" w:firstLine="444"/>
              <w:rPr>
                <w:sz w:val="24"/>
                <w:szCs w:val="24"/>
                <w:lang w:val="lv-LV"/>
              </w:rPr>
            </w:pPr>
            <w:r w:rsidRPr="0075461A">
              <w:rPr>
                <w:sz w:val="24"/>
                <w:szCs w:val="24"/>
                <w:lang w:val="lv-LV"/>
              </w:rPr>
              <w:t>P</w:t>
            </w:r>
            <w:r w:rsidR="00BF7687" w:rsidRPr="0075461A">
              <w:rPr>
                <w:sz w:val="24"/>
                <w:szCs w:val="24"/>
                <w:lang w:val="lv-LV"/>
              </w:rPr>
              <w:t>ašlaik nozīmīgu daļu Latvijas tranzīta pārvadājumos veido KN 26.nodaļā minētās atsevišķās preces (2601, 2602,  dzelzs rūdas un sārņi) un KN 72.nodaļā minētās atsevišķās preces (7201 – pārstrādes čuguns), 7202 –ferosakausējumi, 7203 – dzelzsrūdas tiešā reducēšanā iegūtie produkti un citi porainās dzelzs produkti gabalos, granulās vai tamlīdzīgās formā, 7204 - dzelzs atkritumi un lūžņi).</w:t>
            </w:r>
          </w:p>
          <w:p w14:paraId="49DB1D61" w14:textId="0D9496D1" w:rsidR="00327D76" w:rsidRPr="0075461A" w:rsidRDefault="00327D76" w:rsidP="0075461A">
            <w:pPr>
              <w:pStyle w:val="naisc"/>
              <w:spacing w:before="0" w:after="0"/>
              <w:ind w:right="110" w:firstLine="444"/>
              <w:jc w:val="both"/>
            </w:pPr>
            <w:r w:rsidRPr="0075461A">
              <w:t>KN 28.nodaļā klasificētās preces ir specifiski ķīmiski produkti gan sausā, gan šķidrā, gan gāzes veidā, kuru transportēšanai ir nepieciešami specializēti transporta līdzekļi, specializētas pārkraušanas un uzglabāšanas vietas. Minētās preču grupas produktiem ir fizikāli ķīmiskās īpašības izžūt un iztvaikot tos pārvadājot,  pārkraujot un uzglabājot. Savukārt KN 29.nodaļā 2901, 2902, 2905, un 2909 preču pozīcijā klasificētās preces praksē tiek izmantotas par naftas produktu (benzīna) aizstājējproduktiem un komponentiem.</w:t>
            </w:r>
          </w:p>
          <w:p w14:paraId="5290291B" w14:textId="4FD9D131" w:rsidR="00BF7687" w:rsidRPr="0075461A" w:rsidRDefault="006D10C7" w:rsidP="0075461A">
            <w:pPr>
              <w:spacing w:after="0" w:line="240" w:lineRule="auto"/>
              <w:ind w:right="110" w:firstLine="444"/>
              <w:jc w:val="both"/>
              <w:rPr>
                <w:rFonts w:ascii="Times New Roman" w:hAnsi="Times New Roman" w:cs="Times New Roman"/>
                <w:sz w:val="24"/>
                <w:szCs w:val="24"/>
              </w:rPr>
            </w:pPr>
            <w:r w:rsidRPr="0075461A">
              <w:rPr>
                <w:rFonts w:ascii="Times New Roman" w:hAnsi="Times New Roman" w:cs="Times New Roman"/>
                <w:sz w:val="24"/>
                <w:szCs w:val="24"/>
              </w:rPr>
              <w:t>Pēc Finanšu ministrijas rīcībā esošās informācijas Eiropas Savienības dalībvalstīs zudumu normu noteikšanai ir ļoti atšķirīga pieeja, piemēram, Igaunija, Ungārija, Francija, Vācija</w:t>
            </w:r>
            <w:r w:rsidR="00A95B0C" w:rsidRPr="0075461A">
              <w:rPr>
                <w:rFonts w:ascii="Times New Roman" w:hAnsi="Times New Roman" w:cs="Times New Roman"/>
                <w:sz w:val="24"/>
                <w:szCs w:val="24"/>
              </w:rPr>
              <w:t>, Īrija KN</w:t>
            </w:r>
            <w:r w:rsidRPr="0075461A">
              <w:rPr>
                <w:rFonts w:ascii="Times New Roman" w:hAnsi="Times New Roman" w:cs="Times New Roman"/>
                <w:sz w:val="24"/>
                <w:szCs w:val="24"/>
              </w:rPr>
              <w:t xml:space="preserve"> 26., 28., 29. un 72. nodaļā klasificētajām precēm zudumu normas nepiemēro. Savukārt Rumānija piemēro 1,5% tikai K</w:t>
            </w:r>
            <w:r w:rsidR="00A95B0C" w:rsidRPr="0075461A">
              <w:rPr>
                <w:rFonts w:ascii="Times New Roman" w:hAnsi="Times New Roman" w:cs="Times New Roman"/>
                <w:sz w:val="24"/>
                <w:szCs w:val="24"/>
              </w:rPr>
              <w:t>N</w:t>
            </w:r>
            <w:r w:rsidRPr="0075461A">
              <w:rPr>
                <w:rFonts w:ascii="Times New Roman" w:hAnsi="Times New Roman" w:cs="Times New Roman"/>
                <w:sz w:val="24"/>
                <w:szCs w:val="24"/>
              </w:rPr>
              <w:t xml:space="preserve"> 26.nodaļā klasificētajām precēm, Nīderlande visām minētajās nodaļās precēm piemēro zudumu normu 1% apmērā, Lietuva nepiemēro zudumu normu 29.nodaļā klasificētajām precēm un 26., 28. un 72.nodaļā </w:t>
            </w:r>
            <w:r w:rsidRPr="0075461A">
              <w:rPr>
                <w:rFonts w:ascii="Times New Roman" w:hAnsi="Times New Roman" w:cs="Times New Roman"/>
                <w:sz w:val="24"/>
                <w:szCs w:val="24"/>
              </w:rPr>
              <w:lastRenderedPageBreak/>
              <w:t>klasificētajām precēm zuduma apmēri netiek noteikti par visām nodaļā esošajām precēm, bet gan tiek piemēroti diferencēti. Sl</w:t>
            </w:r>
            <w:r w:rsidR="001B083C" w:rsidRPr="0075461A">
              <w:rPr>
                <w:rFonts w:ascii="Times New Roman" w:hAnsi="Times New Roman" w:cs="Times New Roman"/>
                <w:sz w:val="24"/>
                <w:szCs w:val="24"/>
              </w:rPr>
              <w:t xml:space="preserve">ovākija savukārt zudumu normas </w:t>
            </w:r>
            <w:r w:rsidRPr="0075461A">
              <w:rPr>
                <w:rFonts w:ascii="Times New Roman" w:hAnsi="Times New Roman" w:cs="Times New Roman"/>
                <w:sz w:val="24"/>
                <w:szCs w:val="24"/>
              </w:rPr>
              <w:t>piemēro izmantojot ISO standartus.</w:t>
            </w:r>
          </w:p>
          <w:p w14:paraId="180368AC" w14:textId="77777777" w:rsidR="001B083C" w:rsidRPr="0075461A" w:rsidRDefault="001B083C" w:rsidP="0075461A">
            <w:pPr>
              <w:spacing w:after="0" w:line="240" w:lineRule="auto"/>
              <w:ind w:right="110" w:firstLine="444"/>
              <w:jc w:val="both"/>
              <w:rPr>
                <w:rFonts w:ascii="Times New Roman" w:eastAsia="Calibri" w:hAnsi="Times New Roman" w:cs="Times New Roman"/>
                <w:sz w:val="24"/>
                <w:szCs w:val="24"/>
              </w:rPr>
            </w:pPr>
            <w:r w:rsidRPr="0075461A">
              <w:rPr>
                <w:rFonts w:ascii="Times New Roman" w:hAnsi="Times New Roman" w:cs="Times New Roman"/>
                <w:sz w:val="24"/>
                <w:szCs w:val="24"/>
              </w:rPr>
              <w:t xml:space="preserve">Ņemot vērā minēto, kā arī informatīvajā ziņojumā sniegto informāciju un piedāvāto risinājumu </w:t>
            </w:r>
            <w:r w:rsidR="00BF7687" w:rsidRPr="0075461A">
              <w:rPr>
                <w:rFonts w:ascii="Times New Roman" w:eastAsia="Calibri" w:hAnsi="Times New Roman" w:cs="Times New Roman"/>
                <w:sz w:val="24"/>
                <w:szCs w:val="24"/>
              </w:rPr>
              <w:t>Ministru kabi</w:t>
            </w:r>
            <w:r w:rsidRPr="0075461A">
              <w:rPr>
                <w:rFonts w:ascii="Times New Roman" w:eastAsia="Calibri" w:hAnsi="Times New Roman" w:cs="Times New Roman"/>
                <w:sz w:val="24"/>
                <w:szCs w:val="24"/>
              </w:rPr>
              <w:t>neta noteikumu projekts paredz:</w:t>
            </w:r>
          </w:p>
          <w:p w14:paraId="4DFC7B4A" w14:textId="77777777" w:rsidR="00A95B0C" w:rsidRPr="0075461A" w:rsidRDefault="001B083C" w:rsidP="0075461A">
            <w:pPr>
              <w:spacing w:after="0" w:line="240" w:lineRule="auto"/>
              <w:ind w:right="110" w:firstLine="444"/>
              <w:jc w:val="both"/>
              <w:rPr>
                <w:rFonts w:ascii="Times New Roman" w:hAnsi="Times New Roman" w:cs="Times New Roman"/>
                <w:sz w:val="24"/>
                <w:szCs w:val="24"/>
              </w:rPr>
            </w:pPr>
            <w:r w:rsidRPr="0075461A">
              <w:rPr>
                <w:rFonts w:ascii="Times New Roman" w:eastAsia="Calibri" w:hAnsi="Times New Roman" w:cs="Times New Roman"/>
                <w:sz w:val="24"/>
                <w:szCs w:val="24"/>
              </w:rPr>
              <w:t>1)</w:t>
            </w:r>
            <w:r w:rsidR="00A95B0C" w:rsidRPr="0075461A">
              <w:rPr>
                <w:rFonts w:ascii="Times New Roman" w:hAnsi="Times New Roman" w:cs="Times New Roman"/>
                <w:sz w:val="24"/>
                <w:szCs w:val="24"/>
              </w:rPr>
              <w:t>KN</w:t>
            </w:r>
            <w:r w:rsidR="00BF7687" w:rsidRPr="0075461A">
              <w:rPr>
                <w:rFonts w:ascii="Times New Roman" w:hAnsi="Times New Roman" w:cs="Times New Roman"/>
                <w:sz w:val="24"/>
                <w:szCs w:val="24"/>
              </w:rPr>
              <w:t xml:space="preserve"> 2601 un 2602  (dzelzs rūdas un sārņi) un 7201 (pārstrādes čuguns), 7202 (ferosakausējumi), 7203 (dzelzsrūdas tiešā reducēšanā iegūtie produkti un citi porainās dzelzs produkti gabalos, granulās vai tamlīdzīgās formā) un 7204 (dzelzs atkritumi un lūžņi) preču pozīcijā klasificētām precēm noteikt zuduma normu 1% apmērā</w:t>
            </w:r>
            <w:r w:rsidR="00A95B0C" w:rsidRPr="0075461A">
              <w:rPr>
                <w:rFonts w:ascii="Times New Roman" w:hAnsi="Times New Roman" w:cs="Times New Roman"/>
                <w:sz w:val="24"/>
                <w:szCs w:val="24"/>
              </w:rPr>
              <w:t>;</w:t>
            </w:r>
          </w:p>
          <w:p w14:paraId="14284196" w14:textId="77777777" w:rsidR="00A95B0C" w:rsidRPr="0075461A" w:rsidRDefault="00A95B0C" w:rsidP="0075461A">
            <w:pPr>
              <w:spacing w:after="0" w:line="240" w:lineRule="auto"/>
              <w:ind w:right="110" w:firstLine="444"/>
              <w:jc w:val="both"/>
              <w:rPr>
                <w:rFonts w:ascii="Times New Roman" w:hAnsi="Times New Roman" w:cs="Times New Roman"/>
                <w:sz w:val="24"/>
                <w:szCs w:val="24"/>
              </w:rPr>
            </w:pPr>
            <w:r w:rsidRPr="0075461A">
              <w:rPr>
                <w:rFonts w:ascii="Times New Roman" w:hAnsi="Times New Roman" w:cs="Times New Roman"/>
                <w:sz w:val="24"/>
                <w:szCs w:val="24"/>
              </w:rPr>
              <w:t>2) Ņ</w:t>
            </w:r>
            <w:r w:rsidR="00BF7687" w:rsidRPr="0075461A">
              <w:rPr>
                <w:rFonts w:ascii="Times New Roman" w:hAnsi="Times New Roman" w:cs="Times New Roman"/>
                <w:sz w:val="24"/>
                <w:szCs w:val="24"/>
              </w:rPr>
              <w:t>emot vērā, ka KN 2901 (</w:t>
            </w:r>
            <w:proofErr w:type="spellStart"/>
            <w:r w:rsidR="00BF7687" w:rsidRPr="0075461A">
              <w:rPr>
                <w:rFonts w:ascii="Times New Roman" w:hAnsi="Times New Roman" w:cs="Times New Roman"/>
                <w:sz w:val="24"/>
                <w:szCs w:val="24"/>
              </w:rPr>
              <w:t>acikliskie</w:t>
            </w:r>
            <w:proofErr w:type="spellEnd"/>
            <w:r w:rsidR="00BF7687" w:rsidRPr="0075461A">
              <w:rPr>
                <w:rFonts w:ascii="Times New Roman" w:hAnsi="Times New Roman" w:cs="Times New Roman"/>
                <w:sz w:val="24"/>
                <w:szCs w:val="24"/>
              </w:rPr>
              <w:t xml:space="preserve"> ogļūdeņraži), 2902 (benzols, </w:t>
            </w:r>
            <w:proofErr w:type="spellStart"/>
            <w:r w:rsidR="00BF7687" w:rsidRPr="0075461A">
              <w:rPr>
                <w:rFonts w:ascii="Times New Roman" w:hAnsi="Times New Roman" w:cs="Times New Roman"/>
                <w:sz w:val="24"/>
                <w:szCs w:val="24"/>
              </w:rPr>
              <w:t>ksilols</w:t>
            </w:r>
            <w:proofErr w:type="spellEnd"/>
            <w:r w:rsidR="00BF7687" w:rsidRPr="0075461A">
              <w:rPr>
                <w:rFonts w:ascii="Times New Roman" w:hAnsi="Times New Roman" w:cs="Times New Roman"/>
                <w:sz w:val="24"/>
                <w:szCs w:val="24"/>
              </w:rPr>
              <w:t xml:space="preserve">, </w:t>
            </w:r>
            <w:proofErr w:type="spellStart"/>
            <w:r w:rsidR="00BF7687" w:rsidRPr="0075461A">
              <w:rPr>
                <w:rFonts w:ascii="Times New Roman" w:hAnsi="Times New Roman" w:cs="Times New Roman"/>
                <w:sz w:val="24"/>
                <w:szCs w:val="24"/>
              </w:rPr>
              <w:t>etilbenzols</w:t>
            </w:r>
            <w:proofErr w:type="spellEnd"/>
            <w:r w:rsidR="00BF7687" w:rsidRPr="0075461A">
              <w:rPr>
                <w:rFonts w:ascii="Times New Roman" w:hAnsi="Times New Roman" w:cs="Times New Roman"/>
                <w:sz w:val="24"/>
                <w:szCs w:val="24"/>
              </w:rPr>
              <w:t>), 2905 (</w:t>
            </w:r>
            <w:proofErr w:type="spellStart"/>
            <w:r w:rsidR="00BF7687" w:rsidRPr="0075461A">
              <w:rPr>
                <w:rFonts w:ascii="Times New Roman" w:hAnsi="Times New Roman" w:cs="Times New Roman"/>
                <w:sz w:val="24"/>
                <w:szCs w:val="24"/>
              </w:rPr>
              <w:t>acikliskie</w:t>
            </w:r>
            <w:proofErr w:type="spellEnd"/>
            <w:r w:rsidR="00BF7687" w:rsidRPr="0075461A">
              <w:rPr>
                <w:rFonts w:ascii="Times New Roman" w:hAnsi="Times New Roman" w:cs="Times New Roman"/>
                <w:sz w:val="24"/>
                <w:szCs w:val="24"/>
              </w:rPr>
              <w:t xml:space="preserve"> spirti un to </w:t>
            </w:r>
            <w:proofErr w:type="spellStart"/>
            <w:r w:rsidR="00BF7687" w:rsidRPr="0075461A">
              <w:rPr>
                <w:rFonts w:ascii="Times New Roman" w:hAnsi="Times New Roman" w:cs="Times New Roman"/>
                <w:sz w:val="24"/>
                <w:szCs w:val="24"/>
              </w:rPr>
              <w:t>halogenētie</w:t>
            </w:r>
            <w:proofErr w:type="spellEnd"/>
            <w:r w:rsidR="00BF7687" w:rsidRPr="0075461A">
              <w:rPr>
                <w:rFonts w:ascii="Times New Roman" w:hAnsi="Times New Roman" w:cs="Times New Roman"/>
                <w:sz w:val="24"/>
                <w:szCs w:val="24"/>
              </w:rPr>
              <w:t xml:space="preserve"> atvasinājumi) un 2909 (ēteri, </w:t>
            </w:r>
            <w:proofErr w:type="spellStart"/>
            <w:r w:rsidR="00BF7687" w:rsidRPr="0075461A">
              <w:rPr>
                <w:rFonts w:ascii="Times New Roman" w:hAnsi="Times New Roman" w:cs="Times New Roman"/>
                <w:sz w:val="24"/>
                <w:szCs w:val="24"/>
              </w:rPr>
              <w:t>hidroksiēteri</w:t>
            </w:r>
            <w:proofErr w:type="spellEnd"/>
            <w:r w:rsidR="00BF7687" w:rsidRPr="0075461A">
              <w:rPr>
                <w:rFonts w:ascii="Times New Roman" w:hAnsi="Times New Roman" w:cs="Times New Roman"/>
                <w:sz w:val="24"/>
                <w:szCs w:val="24"/>
              </w:rPr>
              <w:t xml:space="preserve">, </w:t>
            </w:r>
            <w:proofErr w:type="spellStart"/>
            <w:r w:rsidR="00BF7687" w:rsidRPr="0075461A">
              <w:rPr>
                <w:rFonts w:ascii="Times New Roman" w:hAnsi="Times New Roman" w:cs="Times New Roman"/>
                <w:sz w:val="24"/>
                <w:szCs w:val="24"/>
              </w:rPr>
              <w:t>alkoksifenoli</w:t>
            </w:r>
            <w:proofErr w:type="spellEnd"/>
            <w:r w:rsidR="00BF7687" w:rsidRPr="0075461A">
              <w:rPr>
                <w:rFonts w:ascii="Times New Roman" w:hAnsi="Times New Roman" w:cs="Times New Roman"/>
                <w:sz w:val="24"/>
                <w:szCs w:val="24"/>
              </w:rPr>
              <w:t>) preču pozīcijā klasificētās preces var izmantot par naftas produktu (benzīna) aizstājējproduktiem vai komponentēm, noteikt zuduma normas līdzīgi, kā tās šobrīd ir noteiktas Ministru kabineta 2016.gada 20.decembra noteikumu Nr.861 III. un IV</w:t>
            </w:r>
            <w:r w:rsidRPr="0075461A">
              <w:rPr>
                <w:rFonts w:ascii="Times New Roman" w:hAnsi="Times New Roman" w:cs="Times New Roman"/>
                <w:sz w:val="24"/>
                <w:szCs w:val="24"/>
              </w:rPr>
              <w:t xml:space="preserve">. </w:t>
            </w:r>
            <w:r w:rsidR="00BF7687" w:rsidRPr="0075461A">
              <w:rPr>
                <w:rFonts w:ascii="Times New Roman" w:hAnsi="Times New Roman" w:cs="Times New Roman"/>
                <w:sz w:val="24"/>
                <w:szCs w:val="24"/>
              </w:rPr>
              <w:t>sa</w:t>
            </w:r>
            <w:r w:rsidRPr="0075461A">
              <w:rPr>
                <w:rFonts w:ascii="Times New Roman" w:hAnsi="Times New Roman" w:cs="Times New Roman"/>
                <w:sz w:val="24"/>
                <w:szCs w:val="24"/>
              </w:rPr>
              <w:t>daļā minētiem naftas produktiem;</w:t>
            </w:r>
          </w:p>
          <w:p w14:paraId="0B614A5D" w14:textId="6A6B0FD3" w:rsidR="00895FE2" w:rsidRPr="0075461A" w:rsidRDefault="00A95B0C" w:rsidP="0075461A">
            <w:pPr>
              <w:spacing w:after="0" w:line="240" w:lineRule="auto"/>
              <w:ind w:right="110" w:firstLine="444"/>
              <w:jc w:val="both"/>
              <w:rPr>
                <w:rFonts w:ascii="Times New Roman" w:hAnsi="Times New Roman" w:cs="Times New Roman"/>
                <w:sz w:val="24"/>
                <w:szCs w:val="24"/>
              </w:rPr>
            </w:pPr>
            <w:r w:rsidRPr="0075461A">
              <w:rPr>
                <w:rFonts w:ascii="Times New Roman" w:hAnsi="Times New Roman" w:cs="Times New Roman"/>
                <w:sz w:val="24"/>
                <w:szCs w:val="24"/>
              </w:rPr>
              <w:t xml:space="preserve">3) </w:t>
            </w:r>
            <w:r w:rsidR="00BF7687" w:rsidRPr="0075461A">
              <w:rPr>
                <w:rFonts w:ascii="Times New Roman" w:hAnsi="Times New Roman" w:cs="Times New Roman"/>
                <w:sz w:val="24"/>
                <w:szCs w:val="24"/>
              </w:rPr>
              <w:t xml:space="preserve">KN 28.nodaļā klasificētām precēm veicot to pārvietošanu un uzglabāšanu noteikt zuduma normas pēc līdzības principa, kā tās šobrīd ir noteiktas Ministru kabineta noteikumos Nr.861 gāzveida, šķidrā, </w:t>
            </w:r>
            <w:r w:rsidR="009C0100" w:rsidRPr="0075461A">
              <w:rPr>
                <w:rFonts w:ascii="Times New Roman" w:hAnsi="Times New Roman" w:cs="Times New Roman"/>
                <w:sz w:val="24"/>
                <w:szCs w:val="24"/>
              </w:rPr>
              <w:t>vai sausā veidā esošajām precēm.</w:t>
            </w:r>
          </w:p>
          <w:p w14:paraId="0F90F76C" w14:textId="5FF9A6E7" w:rsidR="00E81284" w:rsidRPr="0075461A" w:rsidRDefault="009C0100" w:rsidP="0075461A">
            <w:pPr>
              <w:spacing w:after="0" w:line="240" w:lineRule="auto"/>
              <w:ind w:right="110" w:firstLine="444"/>
              <w:jc w:val="both"/>
              <w:rPr>
                <w:rFonts w:ascii="Times New Roman" w:hAnsi="Times New Roman" w:cs="Times New Roman"/>
                <w:sz w:val="24"/>
                <w:szCs w:val="24"/>
              </w:rPr>
            </w:pPr>
            <w:r w:rsidRPr="0075461A">
              <w:rPr>
                <w:rFonts w:ascii="Times New Roman" w:hAnsi="Times New Roman" w:cs="Times New Roman"/>
                <w:sz w:val="24"/>
                <w:szCs w:val="24"/>
              </w:rPr>
              <w:t>Papildus tam,</w:t>
            </w:r>
            <w:r w:rsidR="00E81284" w:rsidRPr="0075461A">
              <w:rPr>
                <w:rFonts w:ascii="Times New Roman" w:hAnsi="Times New Roman" w:cs="Times New Roman"/>
                <w:sz w:val="24"/>
                <w:szCs w:val="24"/>
              </w:rPr>
              <w:t xml:space="preserve"> lai pilnveidotu un padarītu skaidrāku Ministru kabineta 2016.gada 20.decembra noteikumos Nr.861 noteikto regulējumu attiecībā uz darbībām ar beramām kravām tiek precizētas</w:t>
            </w:r>
            <w:r w:rsidR="008009FC" w:rsidRPr="0075461A">
              <w:rPr>
                <w:rFonts w:ascii="Times New Roman" w:hAnsi="Times New Roman" w:cs="Times New Roman"/>
                <w:sz w:val="24"/>
                <w:szCs w:val="24"/>
              </w:rPr>
              <w:t xml:space="preserve"> noteikumu</w:t>
            </w:r>
            <w:r w:rsidR="00E81284" w:rsidRPr="0075461A">
              <w:rPr>
                <w:rFonts w:ascii="Times New Roman" w:hAnsi="Times New Roman" w:cs="Times New Roman"/>
                <w:sz w:val="24"/>
                <w:szCs w:val="24"/>
              </w:rPr>
              <w:t xml:space="preserve"> V.</w:t>
            </w:r>
            <w:r w:rsidR="00226BD3" w:rsidRPr="0075461A">
              <w:rPr>
                <w:rFonts w:ascii="Times New Roman" w:hAnsi="Times New Roman" w:cs="Times New Roman"/>
                <w:sz w:val="24"/>
                <w:szCs w:val="24"/>
              </w:rPr>
              <w:t> </w:t>
            </w:r>
            <w:r w:rsidR="006F11E9">
              <w:rPr>
                <w:rFonts w:ascii="Times New Roman" w:hAnsi="Times New Roman" w:cs="Times New Roman"/>
                <w:sz w:val="24"/>
                <w:szCs w:val="24"/>
              </w:rPr>
              <w:t>sadaļā ietvertās</w:t>
            </w:r>
            <w:r w:rsidR="001D279F">
              <w:rPr>
                <w:rFonts w:ascii="Times New Roman" w:hAnsi="Times New Roman" w:cs="Times New Roman"/>
                <w:sz w:val="24"/>
                <w:szCs w:val="24"/>
              </w:rPr>
              <w:t xml:space="preserve"> normas:</w:t>
            </w:r>
          </w:p>
          <w:p w14:paraId="61698B22" w14:textId="15756D1A" w:rsidR="00EB728C" w:rsidRPr="0075461A" w:rsidRDefault="00EB728C" w:rsidP="0075461A">
            <w:pPr>
              <w:pStyle w:val="ListParagraph"/>
              <w:numPr>
                <w:ilvl w:val="0"/>
                <w:numId w:val="22"/>
              </w:numPr>
              <w:ind w:left="19" w:right="110" w:firstLine="425"/>
              <w:jc w:val="both"/>
            </w:pPr>
            <w:r w:rsidRPr="0075461A">
              <w:t>Ņemot vērā, ka šobrīd pra</w:t>
            </w:r>
            <w:r w:rsidR="00981BFD" w:rsidRPr="0075461A">
              <w:t xml:space="preserve">ksē pastāv iespēja, ka Latvijas </w:t>
            </w:r>
            <w:r w:rsidRPr="0075461A">
              <w:t xml:space="preserve">tirgū var ienākt arvien jaunas lauksaimniecības preces (piemēram, kakao pupiņas), kas </w:t>
            </w:r>
            <w:r w:rsidR="00981BFD" w:rsidRPr="0075461A">
              <w:t>nav</w:t>
            </w:r>
            <w:r w:rsidRPr="0075461A">
              <w:t xml:space="preserve"> minētas Ministru kabineta 2016.gada 20.decembra noteikumu Nr.</w:t>
            </w:r>
            <w:r w:rsidR="00226BD3" w:rsidRPr="0075461A">
              <w:t> </w:t>
            </w:r>
            <w:r w:rsidRPr="0075461A">
              <w:t>861 2.punktā un 3.pielikumā,</w:t>
            </w:r>
            <w:r w:rsidR="0081420B" w:rsidRPr="0075461A">
              <w:t xml:space="preserve"> līdz ar to</w:t>
            </w:r>
            <w:r w:rsidR="00302E0D" w:rsidRPr="0075461A">
              <w:t xml:space="preserve"> ņemot vērā citu Eiropas Savienības dalībvalstu pieredzi</w:t>
            </w:r>
            <w:r w:rsidRPr="0075461A">
              <w:t xml:space="preserve"> Ministru kabineta notei</w:t>
            </w:r>
            <w:r w:rsidR="00D57A9B" w:rsidRPr="0075461A">
              <w:t xml:space="preserve">kumu projektā attiecībā uz kakao pupiņām </w:t>
            </w:r>
            <w:r w:rsidRPr="0075461A">
              <w:t>ir iestrādāta zuduma  norma 0,9% apmērā.</w:t>
            </w:r>
            <w:r w:rsidR="00D57A9B" w:rsidRPr="0075461A">
              <w:t xml:space="preserve"> </w:t>
            </w:r>
          </w:p>
          <w:p w14:paraId="12CF016B" w14:textId="400D533C" w:rsidR="00D57A9B" w:rsidRPr="0075461A" w:rsidRDefault="00D57A9B" w:rsidP="0075461A">
            <w:pPr>
              <w:pStyle w:val="naisc"/>
              <w:spacing w:before="0" w:after="0"/>
              <w:ind w:right="110" w:firstLine="444"/>
              <w:jc w:val="both"/>
            </w:pPr>
            <w:r w:rsidRPr="0075461A">
              <w:t xml:space="preserve">Papildu tam norādām, ka Muitas likuma 6.panta 4.punktā dotais deleģējums paredz </w:t>
            </w:r>
            <w:r w:rsidR="006F3025" w:rsidRPr="0075461A">
              <w:t>noteikt kārtību, kādā nosaka zudumu apmērus muitas uzraudzībā</w:t>
            </w:r>
            <w:r w:rsidR="0081420B" w:rsidRPr="0075461A">
              <w:t xml:space="preserve"> esošajām nefasētajām precēm. Tādējādi</w:t>
            </w:r>
            <w:r w:rsidR="006F3025" w:rsidRPr="0075461A">
              <w:t xml:space="preserve"> arī </w:t>
            </w:r>
            <w:r w:rsidRPr="0075461A">
              <w:t xml:space="preserve">Ministru kabineta 2016.gada 20.decembra noteikumi Nr.861 paredz, kārtību, </w:t>
            </w:r>
            <w:r w:rsidRPr="0075461A">
              <w:lastRenderedPageBreak/>
              <w:t>kādā nosaka zudumu apmērus muitas uzraudzībā esošajām nefasētajām precēm.</w:t>
            </w:r>
          </w:p>
          <w:p w14:paraId="03566EAA" w14:textId="6E2933F8" w:rsidR="006F3025" w:rsidRPr="0075461A" w:rsidRDefault="006F3025" w:rsidP="0075461A">
            <w:pPr>
              <w:pStyle w:val="naisc"/>
              <w:spacing w:before="0" w:after="0"/>
              <w:ind w:right="110" w:firstLine="444"/>
              <w:jc w:val="both"/>
            </w:pPr>
            <w:r w:rsidRPr="0075461A">
              <w:t>P</w:t>
            </w:r>
            <w:r w:rsidR="00D57A9B" w:rsidRPr="0075461A">
              <w:t>ēc Finanšu ministrijas rīcībā e</w:t>
            </w:r>
            <w:r w:rsidR="003B0C05" w:rsidRPr="0075461A">
              <w:t xml:space="preserve">sošās informācijas </w:t>
            </w:r>
            <w:r w:rsidR="00D57A9B" w:rsidRPr="0075461A">
              <w:t>kakao pupiņas tiek pārvietotas, pārkrautas v</w:t>
            </w:r>
            <w:r w:rsidR="002B5FB1" w:rsidRPr="0075461A">
              <w:t>ai uzglabātas</w:t>
            </w:r>
            <w:r w:rsidR="00D57A9B" w:rsidRPr="0075461A">
              <w:t xml:space="preserve"> fasētā veidā, t.i. maisos.</w:t>
            </w:r>
          </w:p>
          <w:p w14:paraId="54FEDCB8" w14:textId="280E04DE" w:rsidR="00A925C0" w:rsidRPr="0075461A" w:rsidRDefault="0081420B" w:rsidP="0075461A">
            <w:pPr>
              <w:pStyle w:val="naisc"/>
              <w:spacing w:before="0" w:after="0"/>
              <w:ind w:right="110" w:firstLine="444"/>
              <w:jc w:val="both"/>
            </w:pPr>
            <w:r w:rsidRPr="0075461A">
              <w:t>Tas nozīmē</w:t>
            </w:r>
            <w:r w:rsidR="006F3025" w:rsidRPr="0075461A">
              <w:t>,</w:t>
            </w:r>
            <w:r w:rsidR="003B0C05" w:rsidRPr="0075461A">
              <w:t xml:space="preserve"> ka</w:t>
            </w:r>
            <w:r w:rsidR="006F3025" w:rsidRPr="0075461A">
              <w:t xml:space="preserve"> ja ar maisos fasētām kakao pupiņām tiks veiktas darbības piemērojot pagaidu uzglabāšanu vai muitas procedūras,</w:t>
            </w:r>
            <w:r w:rsidR="00D57A9B" w:rsidRPr="0075461A">
              <w:t xml:space="preserve"> Ministru kabineta </w:t>
            </w:r>
            <w:r w:rsidR="009D6D35" w:rsidRPr="0075461A">
              <w:t>noteikumu projektā noteiktās zuduma normas netiks attiecinātas</w:t>
            </w:r>
            <w:r w:rsidR="006F3025" w:rsidRPr="0075461A">
              <w:t>.</w:t>
            </w:r>
          </w:p>
          <w:p w14:paraId="655ECA96" w14:textId="7C4F721F" w:rsidR="00595D0C" w:rsidRPr="0075461A" w:rsidRDefault="00595D0C" w:rsidP="0075461A">
            <w:pPr>
              <w:pStyle w:val="naisc"/>
              <w:numPr>
                <w:ilvl w:val="0"/>
                <w:numId w:val="22"/>
              </w:numPr>
              <w:spacing w:before="0" w:after="0"/>
              <w:ind w:left="0" w:right="110" w:firstLine="444"/>
              <w:jc w:val="both"/>
            </w:pPr>
            <w:r w:rsidRPr="0075461A">
              <w:t>Ministru kabi</w:t>
            </w:r>
            <w:r w:rsidR="002B5946" w:rsidRPr="0075461A">
              <w:t>neta noteikumu projekta 10.punkts paredz izteikt jaunā redakcijā Ministru kabineta 2016.gada 20.decembra noteikumu Nr.861 18.punktu, lai minētā norma būtu skaidrāk piemērojama, kā arī tajā</w:t>
            </w:r>
            <w:r w:rsidRPr="0075461A">
              <w:t xml:space="preserve"> </w:t>
            </w:r>
            <w:r w:rsidR="00D430CD" w:rsidRPr="0075461A">
              <w:t>tiek ietverta atsauce uz</w:t>
            </w:r>
            <w:r w:rsidRPr="0075461A">
              <w:t xml:space="preserve"> nefasēt</w:t>
            </w:r>
            <w:r w:rsidR="00D430CD" w:rsidRPr="0075461A">
              <w:t>ām</w:t>
            </w:r>
            <w:r w:rsidRPr="0075461A">
              <w:t xml:space="preserve"> kakao pupiņ</w:t>
            </w:r>
            <w:r w:rsidR="00D430CD" w:rsidRPr="0075461A">
              <w:t>ām</w:t>
            </w:r>
            <w:r w:rsidR="002B5946" w:rsidRPr="0075461A">
              <w:t>. T</w:t>
            </w:r>
            <w:r w:rsidR="00C17572" w:rsidRPr="0075461A">
              <w:t>as nozīmē,</w:t>
            </w:r>
            <w:r w:rsidRPr="0075461A">
              <w:t xml:space="preserve"> ka beramām</w:t>
            </w:r>
            <w:r w:rsidR="002B5946" w:rsidRPr="0075461A">
              <w:t xml:space="preserve"> nefasētām</w:t>
            </w:r>
            <w:r w:rsidRPr="0075461A">
              <w:t xml:space="preserve"> precēm pieļaujamās zudumu normas varēs piemērot, ja preces tiks nosvērtas ievērojot normatīvajos aktos par mērīju</w:t>
            </w:r>
            <w:r w:rsidR="006F11E9">
              <w:t>mu vienotību noteiktās prasības. P</w:t>
            </w:r>
            <w:r w:rsidR="002B5946" w:rsidRPr="0075461A">
              <w:t>iemēram</w:t>
            </w:r>
            <w:r w:rsidR="0056190A" w:rsidRPr="0075461A">
              <w:t>,</w:t>
            </w:r>
            <w:r w:rsidRPr="0075461A">
              <w:t xml:space="preserve"> </w:t>
            </w:r>
            <w:r w:rsidR="00F47015" w:rsidRPr="0075461A">
              <w:t>Ministru kabineta 2007.gada 9.janvāra noteikumos Nr.40 “</w:t>
            </w:r>
            <w:r w:rsidR="00F47015" w:rsidRPr="0075461A">
              <w:rPr>
                <w:bCs/>
              </w:rPr>
              <w:t>Noteikumi par valsts metroloģiskajai kontrolei pakļauto mērīšanas līdzekļu sarakstu” noteiktās prasības</w:t>
            </w:r>
            <w:r w:rsidR="008B1AEA" w:rsidRPr="0075461A">
              <w:rPr>
                <w:bCs/>
              </w:rPr>
              <w:t xml:space="preserve">. Savukārt piemērojot </w:t>
            </w:r>
            <w:r w:rsidR="008B1AEA" w:rsidRPr="0075461A">
              <w:t>minētām precēm pagaidu uzglabāšanu vai muitas procedūras tajā skaitā muitas procedūru – tranzīts un eksports</w:t>
            </w:r>
            <w:r w:rsidR="008B1AEA" w:rsidRPr="0075461A">
              <w:rPr>
                <w:bCs/>
              </w:rPr>
              <w:t xml:space="preserve"> zuduma normas varēs piemērot, </w:t>
            </w:r>
            <w:r w:rsidRPr="0075461A">
              <w:t>ja tiks ievērotas normatīvajos aktos par preču pārvadāšanu, kraušanu un uzglabāšanu noteiktās prasības. Piemēram,</w:t>
            </w:r>
            <w:r w:rsidR="008B1AEA" w:rsidRPr="0075461A">
              <w:t xml:space="preserve"> pārvietojot preces pa dzelzceļu</w:t>
            </w:r>
            <w:r w:rsidRPr="0075461A">
              <w:t xml:space="preserve"> komersantam atbilstoši Dzelzceļa pārvadājumu likumā un Ministru kabineta 2003.gada 4.februāra noteikumos Nr.70 “Dzelzceļa kravas pārvadājumu noteikumi” noteiktajām prasībām ir jānodrošina</w:t>
            </w:r>
            <w:r w:rsidR="00BE6418" w:rsidRPr="0075461A">
              <w:t xml:space="preserve">, ka visu tipu piekrautie segtie vagoni, izotermiskie vagoni, graudu </w:t>
            </w:r>
            <w:proofErr w:type="spellStart"/>
            <w:r w:rsidR="00BE6418" w:rsidRPr="0075461A">
              <w:t>hopervagoni</w:t>
            </w:r>
            <w:proofErr w:type="spellEnd"/>
            <w:r w:rsidR="00BE6418" w:rsidRPr="0075461A">
              <w:t>, cisternas un citi speciālie vagoni, kuriem ir ierīces plom</w:t>
            </w:r>
            <w:r w:rsidR="008B1AEA" w:rsidRPr="0075461A">
              <w:t xml:space="preserve">bu uzlikšanai, tiek aizplombēti, kā arī </w:t>
            </w:r>
            <w:r w:rsidR="00D430CD" w:rsidRPr="0075461A">
              <w:t>ir jānodrošina, ka kravas sabērtā veidā ir j</w:t>
            </w:r>
            <w:r w:rsidR="006F11E9">
              <w:t>āpārvadā tikai segtajos vagonos</w:t>
            </w:r>
            <w:r w:rsidR="00D430CD" w:rsidRPr="0075461A">
              <w:t>.</w:t>
            </w:r>
          </w:p>
          <w:p w14:paraId="51C217A7" w14:textId="1FCC5204" w:rsidR="005744FF" w:rsidRPr="0075461A" w:rsidRDefault="00490FE8" w:rsidP="0075461A">
            <w:pPr>
              <w:pStyle w:val="naisc"/>
              <w:numPr>
                <w:ilvl w:val="0"/>
                <w:numId w:val="22"/>
              </w:numPr>
              <w:spacing w:before="0" w:after="0"/>
              <w:ind w:left="19" w:right="110" w:firstLine="425"/>
              <w:jc w:val="both"/>
            </w:pPr>
            <w:r w:rsidRPr="0075461A">
              <w:t xml:space="preserve">Šobrīd Ministru kabineta 2016.gada 20.decembra noteikumu Nr.861 19.punkts paredz, ka muitas parāds nerodas, uzglabājot un pārvietojot šo noteikumu 3.pielikumā minētās preces, ja faktiskā zuduma apmēri (procentos) no muitas deklarācijā vai pavaddokumentos norādītā daudzuma nepārsniedz noteiktos procentuālos lielumus. Līdz ar to šobrīd </w:t>
            </w:r>
            <w:r w:rsidR="005744FF" w:rsidRPr="0075461A">
              <w:rPr>
                <w:rFonts w:eastAsia="Calibri"/>
                <w:bCs/>
              </w:rPr>
              <w:t>Ministru kabineta noteikumu Nr.861 19.punkta noteiktais normatīvais regulējums, lai noteiktu faktisko zudumu apmērus sausām (beramām) kravām par kurām nerodas muitas parāds, atsevišķ</w:t>
            </w:r>
            <w:r w:rsidR="00730F4A" w:rsidRPr="0075461A">
              <w:rPr>
                <w:rFonts w:eastAsia="Calibri"/>
                <w:bCs/>
              </w:rPr>
              <w:t xml:space="preserve">i </w:t>
            </w:r>
            <w:r w:rsidR="00730F4A" w:rsidRPr="0075461A">
              <w:rPr>
                <w:rFonts w:eastAsia="Calibri"/>
                <w:bCs/>
              </w:rPr>
              <w:lastRenderedPageBreak/>
              <w:t>neuzskaita muitas procedūras</w:t>
            </w:r>
            <w:r w:rsidR="002B5FB1" w:rsidRPr="0075461A">
              <w:rPr>
                <w:rFonts w:eastAsia="Calibri"/>
                <w:bCs/>
              </w:rPr>
              <w:t>, līdzīgi, kā</w:t>
            </w:r>
            <w:r w:rsidR="005744FF" w:rsidRPr="0075461A">
              <w:rPr>
                <w:rFonts w:eastAsia="Calibri"/>
                <w:bCs/>
              </w:rPr>
              <w:t xml:space="preserve"> tas šobrīd ir noteikts attiecībā uz darbībām ar šķidrām precēm.</w:t>
            </w:r>
          </w:p>
          <w:p w14:paraId="4B56454B" w14:textId="77777777" w:rsidR="003B0C05" w:rsidRPr="0075461A" w:rsidRDefault="005744FF" w:rsidP="0075461A">
            <w:pPr>
              <w:pStyle w:val="naisc"/>
              <w:spacing w:before="0" w:after="0"/>
              <w:ind w:right="110" w:firstLine="444"/>
              <w:jc w:val="both"/>
            </w:pPr>
            <w:r w:rsidRPr="0075461A">
              <w:t xml:space="preserve">Tādējādi, lai novērstu pārpratumus </w:t>
            </w:r>
            <w:r w:rsidR="00AF5054" w:rsidRPr="0075461A">
              <w:t>un noteiktu līdzīgus zudumu normu piemēr</w:t>
            </w:r>
            <w:r w:rsidR="002B5FB1" w:rsidRPr="0075461A">
              <w:t>ošanas nosacījumus, kā</w:t>
            </w:r>
            <w:r w:rsidR="00AF5054" w:rsidRPr="0075461A">
              <w:t xml:space="preserve"> tas šobrīd ir noteikts šķidrajām precēm Ministru kabineta noteikumu projekts paredz, ka </w:t>
            </w:r>
            <w:r w:rsidR="00730F4A" w:rsidRPr="0075461A">
              <w:t>piemērojot šo noteikumu 18.punktā minētām precēm pagaidu uzglabāšanu vai muitas procedūras tajā skaitā muitas procedūru – tranzīts un eksports, muitas parāds nerodas, ja faktiskā zuduma apmēri (procentos) no muitas deklarācijā vai pavaddokumentos norādītā daudzuma nepā</w:t>
            </w:r>
            <w:r w:rsidR="002B5FB1" w:rsidRPr="0075461A">
              <w:t>rsniedz šo noteikumu 3.pielikumā</w:t>
            </w:r>
            <w:r w:rsidR="00730F4A" w:rsidRPr="0075461A">
              <w:t xml:space="preserve"> noteiktās attiecīgās zuduma normas.</w:t>
            </w:r>
          </w:p>
          <w:p w14:paraId="1680E6BD" w14:textId="1F8A14E9" w:rsidR="0075461A" w:rsidRPr="00E915D7" w:rsidRDefault="00E915D7" w:rsidP="00E915D7">
            <w:pPr>
              <w:pStyle w:val="ListParagraph"/>
              <w:numPr>
                <w:ilvl w:val="0"/>
                <w:numId w:val="22"/>
              </w:numPr>
              <w:tabs>
                <w:tab w:val="left" w:pos="0"/>
              </w:tabs>
              <w:ind w:left="19" w:right="110" w:firstLine="425"/>
              <w:jc w:val="both"/>
            </w:pPr>
            <w:r>
              <w:t>Satiksmes ministrija</w:t>
            </w:r>
            <w:r w:rsidR="003B0C05" w:rsidRPr="00E915D7">
              <w:t xml:space="preserve"> 2019.gada 15.aprīļa atzinumā Nr.</w:t>
            </w:r>
            <w:r>
              <w:t>03-03/51 sniedza</w:t>
            </w:r>
            <w:r w:rsidR="003B0C05" w:rsidRPr="00E915D7">
              <w:t xml:space="preserve"> </w:t>
            </w:r>
            <w:r w:rsidR="0075461A" w:rsidRPr="00E915D7">
              <w:t xml:space="preserve">informāciju, ka </w:t>
            </w:r>
            <w:r>
              <w:t>lauksaimniecības</w:t>
            </w:r>
            <w:r w:rsidR="0075461A" w:rsidRPr="00E915D7">
              <w:t xml:space="preserve"> beramkravas kravu nosūtītāju punktos, kas atrodas no Latvijas robežas vidēji ap 2000 km attālumā, tiek iekrautas dzelzceļu vagonos, un tās tiek nosvērtas kopā ar vagoniem, jo vagonu svēršana lielākoties notiek dzelzceļa stacijās, no kurām tie tiek pieņemti pārvadāšanai. Līdz ar to vagonu </w:t>
            </w:r>
            <w:proofErr w:type="spellStart"/>
            <w:r w:rsidR="0075461A" w:rsidRPr="00E915D7">
              <w:t>tukšsvars</w:t>
            </w:r>
            <w:proofErr w:type="spellEnd"/>
            <w:r w:rsidR="0075461A" w:rsidRPr="00E915D7">
              <w:t xml:space="preserve"> (tara) tiek ņemts no pasu datiem, kas gandrīz vienmēr atšķiras no faktiskā, jo, ekspluatācijas laikā vagonus remontējot, tiek piemetināti papildu tērauda elementi, kā arī vagoni mēdz apķepēt ar netīrumiem tīrīšanai grūti pie</w:t>
            </w:r>
            <w:r>
              <w:t>ejamās vietās. Lauksaimniecības</w:t>
            </w:r>
            <w:r w:rsidR="0075461A" w:rsidRPr="00E915D7">
              <w:t xml:space="preserve"> beramkravas ir pakļautas arī dabiskajam mitrumam transportēšanas laikā, kā rezultātā kravas svars mainās. Uz Latvijas robežas tiek sastādītas deklarācijas uz dzelzceļa vagonos ievedamajām lauksaimnieciskām beramkravām, kur svars tiek ierakstīts saskaņā ar pavaddokumentos minēto, neveicot svēršanu. Pieņemot vagonus brīvajā zonā, kas atrodas Liepājas speciālās ekonomiskās zonas teritorijā vagoni tiek nosvērti pirms un pēc izkraušanas uz verificētiem svariem, šajā procesā lielākoties (pēc kravas valdītāja nozīmējuma) piedalās neatkarīgie eksperti un tiek iegūts precīzs faktiskais kravas svars, kas vienmēr atšķiras no pavaddokumentos norādītā. Līdz ar to kravas svars, kas ir ierakstīts dzelzceļa vagonu pavaddokumentos un pēc tam uz Latvijas robežas ir ierakstīts deklarācijā, nekad nebūs patiesais iepriekš minēto iemeslu dēļ. </w:t>
            </w:r>
          </w:p>
          <w:p w14:paraId="062C4496" w14:textId="2D42AEBD" w:rsidR="00A11F2A" w:rsidRDefault="00A11F2A" w:rsidP="00A11F2A">
            <w:pPr>
              <w:tabs>
                <w:tab w:val="left" w:pos="0"/>
              </w:tabs>
              <w:spacing w:after="0" w:line="240" w:lineRule="auto"/>
              <w:ind w:right="110" w:firstLine="444"/>
              <w:jc w:val="both"/>
              <w:rPr>
                <w:rFonts w:ascii="Times New Roman" w:hAnsi="Times New Roman" w:cs="Times New Roman"/>
                <w:sz w:val="24"/>
                <w:szCs w:val="24"/>
              </w:rPr>
            </w:pPr>
            <w:r w:rsidRPr="00A11F2A">
              <w:rPr>
                <w:rFonts w:ascii="Times New Roman" w:hAnsi="Times New Roman" w:cs="Times New Roman"/>
                <w:sz w:val="24"/>
                <w:szCs w:val="24"/>
              </w:rPr>
              <w:t xml:space="preserve">Saskaņā ar Eiropas Parlamenta un Padomes 2013.gada 9.oktobra Regulas Nr.952/2013, ar ko izveido Savienības Muitas kodeksu, 124.panta 4.punktu, piemērojot nosacījumus par muitas parāda dzēšanu, piemēro spēkā esošos noteikumus par standarta likmēm attiecībā uz neatgriežamiem zaudējumiem preču pašu </w:t>
            </w:r>
            <w:r w:rsidRPr="00A11F2A">
              <w:rPr>
                <w:rFonts w:ascii="Times New Roman" w:hAnsi="Times New Roman" w:cs="Times New Roman"/>
                <w:sz w:val="24"/>
                <w:szCs w:val="24"/>
              </w:rPr>
              <w:lastRenderedPageBreak/>
              <w:t>rakstura dēļ, ja attiecīgā persona nepierāda, ka faktiskais zudums pārsniedz to, kas aprēķināts, attiecīgajām precēm piemērojot standarta likmi.</w:t>
            </w:r>
          </w:p>
          <w:p w14:paraId="33B669CE" w14:textId="2CB44554" w:rsidR="00490FE8" w:rsidRDefault="00C75DCB" w:rsidP="00C23337">
            <w:pPr>
              <w:tabs>
                <w:tab w:val="left" w:pos="0"/>
              </w:tabs>
              <w:spacing w:after="0" w:line="240" w:lineRule="auto"/>
              <w:ind w:right="110" w:firstLine="444"/>
              <w:jc w:val="both"/>
              <w:rPr>
                <w:rFonts w:ascii="Times New Roman" w:hAnsi="Times New Roman" w:cs="Times New Roman"/>
                <w:sz w:val="24"/>
                <w:szCs w:val="24"/>
              </w:rPr>
            </w:pPr>
            <w:r>
              <w:rPr>
                <w:rFonts w:ascii="Times New Roman" w:hAnsi="Times New Roman" w:cs="Times New Roman"/>
                <w:sz w:val="24"/>
                <w:szCs w:val="24"/>
              </w:rPr>
              <w:t>Ņemot vērā</w:t>
            </w:r>
            <w:r w:rsidR="00E915D7">
              <w:rPr>
                <w:rFonts w:ascii="Times New Roman" w:hAnsi="Times New Roman" w:cs="Times New Roman"/>
                <w:sz w:val="24"/>
                <w:szCs w:val="24"/>
              </w:rPr>
              <w:t xml:space="preserve"> minēto tika panākta vienošanās papildināt Ministru kabineta </w:t>
            </w:r>
            <w:r w:rsidR="00E915D7" w:rsidRPr="0075461A">
              <w:rPr>
                <w:rFonts w:ascii="Times New Roman" w:hAnsi="Times New Roman" w:cs="Times New Roman"/>
                <w:sz w:val="24"/>
                <w:szCs w:val="24"/>
              </w:rPr>
              <w:t>2016.gad</w:t>
            </w:r>
            <w:r w:rsidR="00E915D7">
              <w:rPr>
                <w:rFonts w:ascii="Times New Roman" w:hAnsi="Times New Roman" w:cs="Times New Roman"/>
                <w:sz w:val="24"/>
                <w:szCs w:val="24"/>
              </w:rPr>
              <w:t>a 20.decembra noteikumu</w:t>
            </w:r>
            <w:r w:rsidR="00C23337">
              <w:rPr>
                <w:rFonts w:ascii="Times New Roman" w:hAnsi="Times New Roman" w:cs="Times New Roman"/>
                <w:sz w:val="24"/>
                <w:szCs w:val="24"/>
              </w:rPr>
              <w:t>s</w:t>
            </w:r>
            <w:r w:rsidR="00E915D7" w:rsidRPr="0075461A">
              <w:rPr>
                <w:rFonts w:ascii="Times New Roman" w:hAnsi="Times New Roman" w:cs="Times New Roman"/>
                <w:sz w:val="24"/>
                <w:szCs w:val="24"/>
              </w:rPr>
              <w:t xml:space="preserve"> Nr.861</w:t>
            </w:r>
            <w:r w:rsidR="00E915D7">
              <w:rPr>
                <w:rFonts w:ascii="Times New Roman" w:hAnsi="Times New Roman" w:cs="Times New Roman"/>
                <w:sz w:val="24"/>
                <w:szCs w:val="24"/>
              </w:rPr>
              <w:t xml:space="preserve"> </w:t>
            </w:r>
            <w:r w:rsidR="00C23337">
              <w:rPr>
                <w:rFonts w:ascii="Times New Roman" w:hAnsi="Times New Roman" w:cs="Times New Roman"/>
                <w:sz w:val="24"/>
                <w:szCs w:val="24"/>
              </w:rPr>
              <w:t xml:space="preserve">ar </w:t>
            </w:r>
            <w:r w:rsidR="00C23337" w:rsidRPr="00C23337">
              <w:rPr>
                <w:rFonts w:ascii="Times New Roman" w:hAnsi="Times New Roman" w:cs="Times New Roman"/>
                <w:sz w:val="24"/>
                <w:szCs w:val="24"/>
              </w:rPr>
              <w:t>19.¹</w:t>
            </w:r>
            <w:r w:rsidR="00C23337">
              <w:rPr>
                <w:rFonts w:ascii="Times New Roman" w:hAnsi="Times New Roman" w:cs="Times New Roman"/>
                <w:sz w:val="24"/>
                <w:szCs w:val="24"/>
              </w:rPr>
              <w:t xml:space="preserve"> punktu un precizēt </w:t>
            </w:r>
            <w:r w:rsidR="00E915D7" w:rsidRPr="00C23337">
              <w:rPr>
                <w:rFonts w:ascii="Times New Roman" w:hAnsi="Times New Roman" w:cs="Times New Roman"/>
                <w:sz w:val="24"/>
                <w:szCs w:val="24"/>
              </w:rPr>
              <w:t>3</w:t>
            </w:r>
            <w:r w:rsidR="00E915D7">
              <w:rPr>
                <w:rFonts w:ascii="Times New Roman" w:hAnsi="Times New Roman" w:cs="Times New Roman"/>
                <w:sz w:val="24"/>
                <w:szCs w:val="24"/>
              </w:rPr>
              <w:t>.pielikumu nosakot</w:t>
            </w:r>
            <w:r w:rsidR="00C23337">
              <w:rPr>
                <w:rFonts w:ascii="Times New Roman" w:hAnsi="Times New Roman" w:cs="Times New Roman"/>
                <w:sz w:val="24"/>
                <w:szCs w:val="24"/>
              </w:rPr>
              <w:t>, ka p</w:t>
            </w:r>
            <w:r w:rsidR="00C23337" w:rsidRPr="00C23337">
              <w:rPr>
                <w:rFonts w:ascii="Times New Roman" w:hAnsi="Times New Roman" w:cs="Times New Roman"/>
                <w:sz w:val="24"/>
                <w:szCs w:val="24"/>
              </w:rPr>
              <w:t xml:space="preserve">iemērojot muitas procedūru </w:t>
            </w:r>
            <w:r w:rsidR="00C23337" w:rsidRPr="00C23337">
              <w:rPr>
                <w:rFonts w:ascii="Times New Roman" w:eastAsia="Times New Roman" w:hAnsi="Times New Roman" w:cs="Times New Roman"/>
                <w:sz w:val="24"/>
                <w:szCs w:val="24"/>
                <w:lang w:eastAsia="lv-LV"/>
              </w:rPr>
              <w:t>–</w:t>
            </w:r>
            <w:r w:rsidR="00FB0A2D">
              <w:rPr>
                <w:rFonts w:ascii="Times New Roman" w:hAnsi="Times New Roman" w:cs="Times New Roman"/>
                <w:sz w:val="24"/>
                <w:szCs w:val="24"/>
              </w:rPr>
              <w:t xml:space="preserve"> tranzīts </w:t>
            </w:r>
            <w:r w:rsidR="00C23337" w:rsidRPr="00C23337">
              <w:rPr>
                <w:rFonts w:ascii="Times New Roman" w:hAnsi="Times New Roman" w:cs="Times New Roman"/>
                <w:sz w:val="24"/>
                <w:szCs w:val="24"/>
              </w:rPr>
              <w:t>muitas parāds nerodas, ja faktiskā zuduma apmēri (procentos) no muitas deklarācijā vai pavaddokumentos norādītā daudzuma</w:t>
            </w:r>
            <w:r w:rsidR="00510C55">
              <w:rPr>
                <w:rFonts w:ascii="Times New Roman" w:hAnsi="Times New Roman" w:cs="Times New Roman"/>
                <w:sz w:val="24"/>
                <w:szCs w:val="24"/>
              </w:rPr>
              <w:t xml:space="preserve"> atsevišķām precēm</w:t>
            </w:r>
            <w:r w:rsidR="00C23337" w:rsidRPr="00C23337">
              <w:rPr>
                <w:rFonts w:ascii="Times New Roman" w:hAnsi="Times New Roman" w:cs="Times New Roman"/>
                <w:sz w:val="24"/>
                <w:szCs w:val="24"/>
              </w:rPr>
              <w:t xml:space="preserve"> nepārsniedz</w:t>
            </w:r>
            <w:r w:rsidR="00E915D7">
              <w:rPr>
                <w:rFonts w:ascii="Times New Roman" w:hAnsi="Times New Roman" w:cs="Times New Roman"/>
                <w:sz w:val="24"/>
                <w:szCs w:val="24"/>
              </w:rPr>
              <w:t xml:space="preserve"> </w:t>
            </w:r>
            <w:r w:rsidR="00C23337">
              <w:rPr>
                <w:rFonts w:ascii="Times New Roman" w:hAnsi="Times New Roman" w:cs="Times New Roman"/>
                <w:sz w:val="24"/>
                <w:szCs w:val="24"/>
              </w:rPr>
              <w:t>1%.</w:t>
            </w:r>
          </w:p>
          <w:p w14:paraId="10732B37" w14:textId="0CB0B37C" w:rsidR="00FB0A2D" w:rsidRPr="0075461A" w:rsidRDefault="00FB0A2D" w:rsidP="00C23337">
            <w:pPr>
              <w:tabs>
                <w:tab w:val="left" w:pos="0"/>
              </w:tabs>
              <w:spacing w:after="0" w:line="240" w:lineRule="auto"/>
              <w:ind w:right="110" w:firstLine="444"/>
              <w:jc w:val="both"/>
              <w:rPr>
                <w:rFonts w:ascii="Times New Roman" w:hAnsi="Times New Roman" w:cs="Times New Roman"/>
                <w:sz w:val="24"/>
                <w:szCs w:val="24"/>
              </w:rPr>
            </w:pPr>
            <w:r>
              <w:rPr>
                <w:rFonts w:ascii="Times New Roman" w:hAnsi="Times New Roman" w:cs="Times New Roman"/>
                <w:sz w:val="24"/>
                <w:szCs w:val="24"/>
              </w:rPr>
              <w:t xml:space="preserve">Papildus tam ir precizēts Ministru kabineta </w:t>
            </w:r>
            <w:r w:rsidRPr="0075461A">
              <w:rPr>
                <w:rFonts w:ascii="Times New Roman" w:hAnsi="Times New Roman" w:cs="Times New Roman"/>
                <w:sz w:val="24"/>
                <w:szCs w:val="24"/>
              </w:rPr>
              <w:t>2016.gad</w:t>
            </w:r>
            <w:r>
              <w:rPr>
                <w:rFonts w:ascii="Times New Roman" w:hAnsi="Times New Roman" w:cs="Times New Roman"/>
                <w:sz w:val="24"/>
                <w:szCs w:val="24"/>
              </w:rPr>
              <w:t>a 20.decembra noteikumu</w:t>
            </w:r>
            <w:r w:rsidRPr="0075461A">
              <w:rPr>
                <w:rFonts w:ascii="Times New Roman" w:hAnsi="Times New Roman" w:cs="Times New Roman"/>
                <w:sz w:val="24"/>
                <w:szCs w:val="24"/>
              </w:rPr>
              <w:t xml:space="preserve"> Nr.861</w:t>
            </w:r>
            <w:r>
              <w:rPr>
                <w:rFonts w:ascii="Times New Roman" w:hAnsi="Times New Roman" w:cs="Times New Roman"/>
                <w:sz w:val="24"/>
                <w:szCs w:val="24"/>
              </w:rPr>
              <w:t xml:space="preserve"> 20.punkts, attiecībā uz zuduma apmēru piemērošanu muitas procedūrā – eksports. </w:t>
            </w:r>
          </w:p>
        </w:tc>
      </w:tr>
      <w:tr w:rsidR="00571D01" w:rsidRPr="000B79B2" w14:paraId="544D241A" w14:textId="77777777" w:rsidTr="00652D33">
        <w:tc>
          <w:tcPr>
            <w:tcW w:w="338" w:type="pct"/>
            <w:tcBorders>
              <w:top w:val="outset" w:sz="6" w:space="0" w:color="414142"/>
              <w:left w:val="outset" w:sz="6" w:space="0" w:color="414142"/>
              <w:bottom w:val="outset" w:sz="6" w:space="0" w:color="414142"/>
              <w:right w:val="outset" w:sz="6" w:space="0" w:color="414142"/>
            </w:tcBorders>
            <w:hideMark/>
          </w:tcPr>
          <w:p w14:paraId="127AF7E3" w14:textId="77777777" w:rsidR="00571D01" w:rsidRPr="00557C67"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53" w:type="pct"/>
            <w:tcBorders>
              <w:top w:val="outset" w:sz="6" w:space="0" w:color="414142"/>
              <w:left w:val="outset" w:sz="6" w:space="0" w:color="414142"/>
              <w:bottom w:val="outset" w:sz="6" w:space="0" w:color="414142"/>
              <w:right w:val="outset" w:sz="6" w:space="0" w:color="414142"/>
            </w:tcBorders>
            <w:hideMark/>
          </w:tcPr>
          <w:p w14:paraId="12848154" w14:textId="77777777" w:rsidR="00571D01" w:rsidRPr="008D1AC7" w:rsidRDefault="00571D01" w:rsidP="006E60D4">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3009" w:type="pct"/>
            <w:tcBorders>
              <w:top w:val="outset" w:sz="6" w:space="0" w:color="414142"/>
              <w:left w:val="outset" w:sz="6" w:space="0" w:color="414142"/>
              <w:bottom w:val="outset" w:sz="6" w:space="0" w:color="414142"/>
              <w:right w:val="outset" w:sz="6" w:space="0" w:color="414142"/>
            </w:tcBorders>
            <w:hideMark/>
          </w:tcPr>
          <w:p w14:paraId="00624065" w14:textId="77777777" w:rsidR="00571D01" w:rsidRPr="008D1AC7" w:rsidRDefault="00EC51BB" w:rsidP="006E60D4">
            <w:pPr>
              <w:pStyle w:val="CommentText"/>
              <w:jc w:val="both"/>
              <w:rPr>
                <w:sz w:val="24"/>
                <w:szCs w:val="24"/>
              </w:rPr>
            </w:pPr>
            <w:r>
              <w:rPr>
                <w:sz w:val="24"/>
                <w:szCs w:val="24"/>
              </w:rPr>
              <w:t>Finanšu ministrija, Valsts ieņēmumu dienests.</w:t>
            </w:r>
          </w:p>
        </w:tc>
      </w:tr>
      <w:tr w:rsidR="00571D01" w:rsidRPr="00341B12" w14:paraId="5FBA9A98" w14:textId="77777777" w:rsidTr="00652D33">
        <w:tc>
          <w:tcPr>
            <w:tcW w:w="338" w:type="pct"/>
            <w:tcBorders>
              <w:top w:val="outset" w:sz="6" w:space="0" w:color="414142"/>
              <w:left w:val="outset" w:sz="6" w:space="0" w:color="414142"/>
              <w:bottom w:val="outset" w:sz="6" w:space="0" w:color="414142"/>
              <w:right w:val="outset" w:sz="6" w:space="0" w:color="414142"/>
            </w:tcBorders>
            <w:hideMark/>
          </w:tcPr>
          <w:p w14:paraId="2E6EE93E" w14:textId="77777777" w:rsidR="00571D01" w:rsidRPr="00341B12"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53" w:type="pct"/>
            <w:tcBorders>
              <w:top w:val="outset" w:sz="6" w:space="0" w:color="414142"/>
              <w:left w:val="outset" w:sz="6" w:space="0" w:color="414142"/>
              <w:bottom w:val="outset" w:sz="6" w:space="0" w:color="414142"/>
              <w:right w:val="outset" w:sz="6" w:space="0" w:color="414142"/>
            </w:tcBorders>
            <w:hideMark/>
          </w:tcPr>
          <w:p w14:paraId="6FF6B1AF" w14:textId="77777777" w:rsidR="00571D01" w:rsidRPr="00341B12" w:rsidRDefault="00571D01" w:rsidP="006E60D4">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3009" w:type="pct"/>
            <w:tcBorders>
              <w:top w:val="outset" w:sz="6" w:space="0" w:color="414142"/>
              <w:left w:val="outset" w:sz="6" w:space="0" w:color="414142"/>
              <w:bottom w:val="outset" w:sz="6" w:space="0" w:color="414142"/>
              <w:right w:val="outset" w:sz="6" w:space="0" w:color="414142"/>
            </w:tcBorders>
            <w:hideMark/>
          </w:tcPr>
          <w:p w14:paraId="660B6F52" w14:textId="77777777" w:rsidR="00571D01" w:rsidRPr="00341B12" w:rsidRDefault="00571D01" w:rsidP="006E60D4">
            <w:pPr>
              <w:pStyle w:val="CommentText"/>
              <w:ind w:firstLine="13"/>
              <w:jc w:val="both"/>
              <w:rPr>
                <w:sz w:val="24"/>
                <w:szCs w:val="24"/>
              </w:rPr>
            </w:pPr>
            <w:r>
              <w:rPr>
                <w:sz w:val="24"/>
                <w:szCs w:val="24"/>
              </w:rPr>
              <w:t>Nav.</w:t>
            </w:r>
          </w:p>
        </w:tc>
      </w:tr>
    </w:tbl>
    <w:p w14:paraId="14C99216" w14:textId="77777777" w:rsidR="00571D01" w:rsidRPr="00341B12" w:rsidRDefault="00571D01" w:rsidP="00571D01">
      <w:pPr>
        <w:spacing w:after="0" w:line="240" w:lineRule="auto"/>
        <w:rPr>
          <w:rFonts w:ascii="Times New Roman" w:eastAsia="Times New Roman" w:hAnsi="Times New Roman" w:cs="Times New Roman"/>
          <w:sz w:val="24"/>
          <w:szCs w:val="24"/>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711"/>
      </w:tblGrid>
      <w:tr w:rsidR="00571D01" w:rsidRPr="000B79B2" w14:paraId="6348B612" w14:textId="77777777" w:rsidTr="0046619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3F619CE" w14:textId="77777777" w:rsidR="00571D01" w:rsidRPr="00117DB1" w:rsidRDefault="00571D01" w:rsidP="00AF0634">
            <w:pPr>
              <w:spacing w:after="0" w:line="240" w:lineRule="auto"/>
              <w:ind w:firstLine="301"/>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1D01" w:rsidRPr="000B79B2" w14:paraId="15C19272" w14:textId="77777777" w:rsidTr="00A95B0C">
        <w:tc>
          <w:tcPr>
            <w:tcW w:w="338" w:type="pct"/>
            <w:tcBorders>
              <w:top w:val="outset" w:sz="6" w:space="0" w:color="414142"/>
              <w:left w:val="outset" w:sz="6" w:space="0" w:color="414142"/>
              <w:bottom w:val="outset" w:sz="6" w:space="0" w:color="414142"/>
              <w:right w:val="outset" w:sz="6" w:space="0" w:color="414142"/>
            </w:tcBorders>
            <w:hideMark/>
          </w:tcPr>
          <w:p w14:paraId="777DC041" w14:textId="77777777" w:rsidR="00571D01" w:rsidRPr="000B79B2" w:rsidRDefault="00571D01" w:rsidP="006E60D4">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53" w:type="pct"/>
            <w:tcBorders>
              <w:top w:val="outset" w:sz="6" w:space="0" w:color="414142"/>
              <w:left w:val="outset" w:sz="6" w:space="0" w:color="414142"/>
              <w:bottom w:val="outset" w:sz="6" w:space="0" w:color="414142"/>
              <w:right w:val="single" w:sz="4" w:space="0" w:color="auto"/>
            </w:tcBorders>
            <w:hideMark/>
          </w:tcPr>
          <w:p w14:paraId="2E457726" w14:textId="77777777" w:rsidR="00571D01" w:rsidRPr="00117DB1" w:rsidRDefault="00571D01" w:rsidP="006E60D4">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3009" w:type="pct"/>
            <w:tcBorders>
              <w:top w:val="outset" w:sz="6" w:space="0" w:color="414142"/>
              <w:left w:val="single" w:sz="4" w:space="0" w:color="auto"/>
              <w:bottom w:val="outset" w:sz="6" w:space="0" w:color="414142"/>
              <w:right w:val="outset" w:sz="6" w:space="0" w:color="414142"/>
            </w:tcBorders>
            <w:hideMark/>
          </w:tcPr>
          <w:p w14:paraId="0B82A2E9" w14:textId="5C3CA36F" w:rsidR="009448D0" w:rsidRPr="00844BE9" w:rsidRDefault="009448D0" w:rsidP="00C2209B">
            <w:pPr>
              <w:suppressAutoHyphens/>
              <w:spacing w:after="0" w:line="240" w:lineRule="auto"/>
              <w:ind w:right="110" w:firstLine="444"/>
              <w:jc w:val="both"/>
              <w:rPr>
                <w:rFonts w:ascii="Times New Roman" w:hAnsi="Times New Roman" w:cs="Times New Roman"/>
                <w:kern w:val="1"/>
                <w:sz w:val="24"/>
                <w:szCs w:val="24"/>
              </w:rPr>
            </w:pPr>
            <w:r w:rsidRPr="00844BE9">
              <w:rPr>
                <w:rFonts w:ascii="Times New Roman" w:hAnsi="Times New Roman" w:cs="Times New Roman"/>
                <w:kern w:val="1"/>
                <w:sz w:val="24"/>
                <w:szCs w:val="24"/>
              </w:rPr>
              <w:t xml:space="preserve">Ministru kabineta noteikumu projekts ir attiecināms uz komersantiem, kas pārvieto un uzglabā nefasētas preces muitas noliktavās, brīvajās zonās  un preču pagaidu uzglabāšanas vietās, kā arī </w:t>
            </w:r>
            <w:r w:rsidR="00C2209B" w:rsidRPr="00844BE9">
              <w:rPr>
                <w:rFonts w:ascii="Times New Roman" w:hAnsi="Times New Roman" w:cs="Times New Roman"/>
                <w:kern w:val="1"/>
                <w:sz w:val="24"/>
                <w:szCs w:val="24"/>
              </w:rPr>
              <w:t xml:space="preserve">komersantiem, kas piemēro </w:t>
            </w:r>
            <w:r w:rsidRPr="00844BE9">
              <w:rPr>
                <w:rFonts w:ascii="Times New Roman" w:hAnsi="Times New Roman" w:cs="Times New Roman"/>
                <w:kern w:val="1"/>
                <w:sz w:val="24"/>
                <w:szCs w:val="24"/>
              </w:rPr>
              <w:t>muitas procedūru – tranzīts vai izvešana.</w:t>
            </w:r>
          </w:p>
          <w:p w14:paraId="39F8B842" w14:textId="3B9FBD71" w:rsidR="00571D01" w:rsidRPr="00844BE9" w:rsidRDefault="006B4788" w:rsidP="00C2209B">
            <w:pPr>
              <w:spacing w:after="0" w:line="240" w:lineRule="auto"/>
              <w:ind w:right="110" w:firstLine="444"/>
              <w:jc w:val="both"/>
              <w:rPr>
                <w:rFonts w:ascii="Times New Roman" w:hAnsi="Times New Roman" w:cs="Times New Roman"/>
                <w:sz w:val="24"/>
                <w:szCs w:val="24"/>
              </w:rPr>
            </w:pPr>
            <w:r w:rsidRPr="00844BE9">
              <w:rPr>
                <w:rFonts w:ascii="Times New Roman" w:hAnsi="Times New Roman" w:cs="Times New Roman"/>
                <w:kern w:val="1"/>
                <w:sz w:val="24"/>
                <w:szCs w:val="24"/>
              </w:rPr>
              <w:t xml:space="preserve">Latvijā pašlaik </w:t>
            </w:r>
            <w:r w:rsidRPr="00844BE9">
              <w:rPr>
                <w:rFonts w:ascii="Times New Roman" w:hAnsi="Times New Roman" w:cs="Times New Roman"/>
                <w:kern w:val="1"/>
                <w:sz w:val="24"/>
                <w:szCs w:val="24"/>
                <w:lang w:eastAsia="ar-SA"/>
              </w:rPr>
              <w:t>ir 61 spēkā esoša atļauja muitas noliktavu darbībai ar alkoholiskajiem dzērieniem un 35 atļaujas muitas noliktavu darbībai ar naftas produktiem, no kurām 23 ir atļaujas gan muitas noliktavas darbībai, gan preču pagaidu uzglabāšanai ar naftas produktiem, kā arī 5 ir atļaujas darbībai ar alkoholiskajiem dzērieniem un 13 ir atļaujas darbībai ar naftas produktiem brīvajās zonās.</w:t>
            </w:r>
          </w:p>
        </w:tc>
      </w:tr>
      <w:tr w:rsidR="00571D01" w:rsidRPr="000B79B2" w14:paraId="5463B2B4"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3E1BEA6B" w14:textId="77777777" w:rsidR="00571D01" w:rsidRPr="00C30D53"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53" w:type="pct"/>
            <w:tcBorders>
              <w:top w:val="outset" w:sz="6" w:space="0" w:color="414142"/>
              <w:left w:val="outset" w:sz="6" w:space="0" w:color="414142"/>
              <w:bottom w:val="outset" w:sz="6" w:space="0" w:color="414142"/>
              <w:right w:val="outset" w:sz="6" w:space="0" w:color="414142"/>
            </w:tcBorders>
            <w:hideMark/>
          </w:tcPr>
          <w:p w14:paraId="4FFCDDE4" w14:textId="77777777" w:rsidR="00571D01" w:rsidRPr="009B0004" w:rsidRDefault="00571D01" w:rsidP="00207A26">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3009" w:type="pct"/>
            <w:tcBorders>
              <w:top w:val="outset" w:sz="6" w:space="0" w:color="414142"/>
              <w:left w:val="outset" w:sz="6" w:space="0" w:color="414142"/>
              <w:bottom w:val="outset" w:sz="6" w:space="0" w:color="414142"/>
              <w:right w:val="outset" w:sz="6" w:space="0" w:color="414142"/>
            </w:tcBorders>
          </w:tcPr>
          <w:p w14:paraId="56AD60B4" w14:textId="701D2587" w:rsidR="004576C0" w:rsidRPr="00E06B10" w:rsidRDefault="008034B8" w:rsidP="00531E27">
            <w:pPr>
              <w:spacing w:after="0" w:line="240" w:lineRule="auto"/>
              <w:ind w:right="110" w:firstLine="444"/>
              <w:jc w:val="both"/>
              <w:rPr>
                <w:rFonts w:ascii="Times New Roman" w:hAnsi="Times New Roman" w:cs="Times New Roman"/>
                <w:sz w:val="24"/>
                <w:szCs w:val="24"/>
              </w:rPr>
            </w:pPr>
            <w:r w:rsidRPr="008034B8">
              <w:rPr>
                <w:rFonts w:ascii="Times New Roman" w:hAnsi="Times New Roman" w:cs="Times New Roman"/>
                <w:kern w:val="1"/>
                <w:sz w:val="24"/>
                <w:szCs w:val="24"/>
              </w:rPr>
              <w:t xml:space="preserve">Komersantiem, kas pārvieto un uzglabā nefasētas </w:t>
            </w:r>
            <w:r>
              <w:rPr>
                <w:rFonts w:ascii="Times New Roman" w:hAnsi="Times New Roman" w:cs="Times New Roman"/>
                <w:kern w:val="1"/>
                <w:sz w:val="24"/>
                <w:szCs w:val="24"/>
              </w:rPr>
              <w:t xml:space="preserve">beramās </w:t>
            </w:r>
            <w:r w:rsidRPr="008034B8">
              <w:rPr>
                <w:rFonts w:ascii="Times New Roman" w:hAnsi="Times New Roman" w:cs="Times New Roman"/>
                <w:kern w:val="1"/>
                <w:sz w:val="24"/>
                <w:szCs w:val="24"/>
              </w:rPr>
              <w:t>preces muitas noliktavās, brīvajās zonās  un preču pagaidu uzglabāšanas vietās, kā arī piemērojot precēm muitas procedūru – tranzīts vai izvešana</w:t>
            </w:r>
            <w:r>
              <w:rPr>
                <w:rFonts w:ascii="Times New Roman" w:hAnsi="Times New Roman" w:cs="Times New Roman"/>
                <w:kern w:val="1"/>
                <w:sz w:val="24"/>
                <w:szCs w:val="24"/>
              </w:rPr>
              <w:t xml:space="preserve"> būs skaidrāki nosacījumi zudumu apmēru piemērošanā.</w:t>
            </w:r>
          </w:p>
        </w:tc>
      </w:tr>
      <w:tr w:rsidR="00571D01" w:rsidRPr="000B79B2" w14:paraId="01507B49"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0FCB9104" w14:textId="77777777" w:rsidR="00571D01" w:rsidRPr="00A43ED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3.</w:t>
            </w:r>
          </w:p>
        </w:tc>
        <w:tc>
          <w:tcPr>
            <w:tcW w:w="1653" w:type="pct"/>
            <w:tcBorders>
              <w:top w:val="outset" w:sz="6" w:space="0" w:color="414142"/>
              <w:left w:val="outset" w:sz="6" w:space="0" w:color="414142"/>
              <w:bottom w:val="outset" w:sz="6" w:space="0" w:color="414142"/>
              <w:right w:val="outset" w:sz="6" w:space="0" w:color="414142"/>
            </w:tcBorders>
            <w:hideMark/>
          </w:tcPr>
          <w:p w14:paraId="0F86EFF7" w14:textId="77777777" w:rsidR="00571D01" w:rsidRPr="00A43ED4" w:rsidRDefault="00571D01" w:rsidP="006E60D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14:paraId="46B0A255" w14:textId="58F82D7E" w:rsidR="00571D01" w:rsidRPr="00A43ED4" w:rsidRDefault="00646726" w:rsidP="00531E27">
            <w:pPr>
              <w:spacing w:after="0" w:line="240" w:lineRule="auto"/>
              <w:ind w:right="110" w:firstLine="4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Ministru kabineta noteikumu projektā</w:t>
            </w:r>
            <w:r w:rsidR="008034B8">
              <w:rPr>
                <w:rFonts w:ascii="Times New Roman" w:eastAsia="Times New Roman" w:hAnsi="Times New Roman" w:cs="Times New Roman"/>
                <w:sz w:val="24"/>
                <w:szCs w:val="24"/>
                <w:lang w:eastAsia="lv-LV"/>
              </w:rPr>
              <w:t xml:space="preserve"> ietvertie nosacījumi pilnveido šobrīd spēkā esošo zudumu apmēru piemērošanas kārtību, </w:t>
            </w:r>
            <w:r>
              <w:rPr>
                <w:rFonts w:ascii="Times New Roman" w:eastAsia="Times New Roman" w:hAnsi="Times New Roman" w:cs="Times New Roman"/>
                <w:sz w:val="24"/>
                <w:szCs w:val="24"/>
                <w:lang w:eastAsia="lv-LV"/>
              </w:rPr>
              <w:t xml:space="preserve">nav iespējams veikt aprēķinus par </w:t>
            </w:r>
            <w:r>
              <w:rPr>
                <w:rFonts w:ascii="Times New Roman" w:hAnsi="Times New Roman" w:cs="Times New Roman"/>
                <w:sz w:val="24"/>
                <w:szCs w:val="24"/>
              </w:rPr>
              <w:t>Valsts ieņēmumu dienesta adm</w:t>
            </w:r>
            <w:r w:rsidR="008034B8">
              <w:rPr>
                <w:rFonts w:ascii="Times New Roman" w:hAnsi="Times New Roman" w:cs="Times New Roman"/>
                <w:sz w:val="24"/>
                <w:szCs w:val="24"/>
              </w:rPr>
              <w:t>inistratīvā sloga palielinājumu</w:t>
            </w:r>
            <w:r>
              <w:rPr>
                <w:rFonts w:ascii="Times New Roman" w:hAnsi="Times New Roman" w:cs="Times New Roman"/>
                <w:sz w:val="24"/>
                <w:szCs w:val="24"/>
              </w:rPr>
              <w:t>.</w:t>
            </w:r>
          </w:p>
        </w:tc>
      </w:tr>
      <w:tr w:rsidR="00571D01" w:rsidRPr="000B79B2" w14:paraId="6BAA3817"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07966249" w14:textId="77777777" w:rsidR="00571D01" w:rsidRPr="006D167B"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lastRenderedPageBreak/>
              <w:t>4.</w:t>
            </w:r>
          </w:p>
        </w:tc>
        <w:tc>
          <w:tcPr>
            <w:tcW w:w="1653" w:type="pct"/>
            <w:tcBorders>
              <w:top w:val="outset" w:sz="6" w:space="0" w:color="414142"/>
              <w:left w:val="outset" w:sz="6" w:space="0" w:color="414142"/>
              <w:bottom w:val="outset" w:sz="6" w:space="0" w:color="414142"/>
              <w:right w:val="outset" w:sz="6" w:space="0" w:color="414142"/>
            </w:tcBorders>
            <w:hideMark/>
          </w:tcPr>
          <w:p w14:paraId="2F4537EE" w14:textId="77777777" w:rsidR="00571D01" w:rsidRPr="006D167B"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14:paraId="0D7F674A" w14:textId="77777777" w:rsidR="00571D01" w:rsidRPr="006D167B" w:rsidRDefault="00EC51BB"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71D01" w:rsidRPr="000B79B2" w14:paraId="129D167C"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7C36C75F" w14:textId="77777777" w:rsidR="00571D01" w:rsidRPr="008515AE"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53" w:type="pct"/>
            <w:tcBorders>
              <w:top w:val="outset" w:sz="6" w:space="0" w:color="414142"/>
              <w:left w:val="outset" w:sz="6" w:space="0" w:color="414142"/>
              <w:bottom w:val="outset" w:sz="6" w:space="0" w:color="414142"/>
              <w:right w:val="outset" w:sz="6" w:space="0" w:color="414142"/>
            </w:tcBorders>
            <w:hideMark/>
          </w:tcPr>
          <w:p w14:paraId="5C8B773A" w14:textId="77777777"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3009" w:type="pct"/>
            <w:tcBorders>
              <w:top w:val="outset" w:sz="6" w:space="0" w:color="414142"/>
              <w:left w:val="outset" w:sz="6" w:space="0" w:color="414142"/>
              <w:bottom w:val="outset" w:sz="6" w:space="0" w:color="414142"/>
              <w:right w:val="outset" w:sz="6" w:space="0" w:color="414142"/>
            </w:tcBorders>
            <w:hideMark/>
          </w:tcPr>
          <w:p w14:paraId="6D69E5AD" w14:textId="77777777"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2F74579C" w14:textId="77777777"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79" w:type="pct"/>
        <w:tblInd w:w="-1"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492"/>
      </w:tblGrid>
      <w:tr w:rsidR="00571D01" w:rsidRPr="000B79B2" w14:paraId="62E12927" w14:textId="77777777" w:rsidTr="00466196">
        <w:tc>
          <w:tcPr>
            <w:tcW w:w="5000" w:type="pct"/>
            <w:tcBorders>
              <w:top w:val="outset" w:sz="6" w:space="0" w:color="414142"/>
              <w:left w:val="outset" w:sz="6" w:space="0" w:color="414142"/>
              <w:bottom w:val="outset" w:sz="6" w:space="0" w:color="414142"/>
              <w:right w:val="outset" w:sz="6" w:space="0" w:color="414142"/>
            </w:tcBorders>
            <w:vAlign w:val="center"/>
            <w:hideMark/>
          </w:tcPr>
          <w:p w14:paraId="1D51B6DE" w14:textId="77777777" w:rsidR="00571D01" w:rsidRPr="005D320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571D01" w:rsidRPr="001D4993" w14:paraId="31A19C3A" w14:textId="77777777" w:rsidTr="00466196">
        <w:tc>
          <w:tcPr>
            <w:tcW w:w="5000" w:type="pct"/>
            <w:tcBorders>
              <w:top w:val="outset" w:sz="6" w:space="0" w:color="414142"/>
              <w:left w:val="outset" w:sz="6" w:space="0" w:color="414142"/>
              <w:bottom w:val="outset" w:sz="6" w:space="0" w:color="414142"/>
              <w:right w:val="outset" w:sz="6" w:space="0" w:color="414142"/>
            </w:tcBorders>
          </w:tcPr>
          <w:p w14:paraId="72F4BA72" w14:textId="77777777" w:rsidR="00571D01" w:rsidRPr="00C13E2D" w:rsidRDefault="00571D01" w:rsidP="006E60D4">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1FF33DCE" w14:textId="77777777" w:rsidR="00571D01" w:rsidRDefault="00571D01" w:rsidP="00571D01">
      <w:pPr>
        <w:spacing w:after="0" w:line="240" w:lineRule="auto"/>
        <w:rPr>
          <w:rFonts w:ascii="Times New Roman" w:eastAsia="Times New Roman" w:hAnsi="Times New Roman" w:cs="Times New Roman"/>
          <w:sz w:val="28"/>
          <w:szCs w:val="28"/>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60"/>
      </w:tblGrid>
      <w:tr w:rsidR="00571D01" w:rsidRPr="000B79B2" w14:paraId="2179BCC2" w14:textId="77777777" w:rsidTr="006E60D4">
        <w:tc>
          <w:tcPr>
            <w:tcW w:w="5000" w:type="pct"/>
            <w:tcBorders>
              <w:top w:val="outset" w:sz="6" w:space="0" w:color="414142"/>
              <w:left w:val="outset" w:sz="6" w:space="0" w:color="414142"/>
              <w:bottom w:val="outset" w:sz="6" w:space="0" w:color="414142"/>
              <w:right w:val="outset" w:sz="6" w:space="0" w:color="414142"/>
            </w:tcBorders>
            <w:vAlign w:val="center"/>
            <w:hideMark/>
          </w:tcPr>
          <w:p w14:paraId="5196CE6B" w14:textId="77777777" w:rsidR="00571D01" w:rsidRPr="00E907A6" w:rsidRDefault="00571D01" w:rsidP="0012421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F94094">
              <w:rPr>
                <w:rFonts w:ascii="Times New Roman" w:eastAsia="Times New Roman" w:hAnsi="Times New Roman" w:cs="Times New Roman"/>
                <w:b/>
                <w:bCs/>
                <w:sz w:val="24"/>
                <w:szCs w:val="24"/>
                <w:lang w:eastAsia="lv-LV"/>
              </w:rPr>
              <w:t>IV. Tiesību akta projekta ietekme uz spēkā esošo tiesību normu sistēmu</w:t>
            </w:r>
          </w:p>
        </w:tc>
      </w:tr>
      <w:tr w:rsidR="00F76FA1" w:rsidRPr="001D4993" w14:paraId="1C6947DF" w14:textId="77777777" w:rsidTr="00A576B8">
        <w:tc>
          <w:tcPr>
            <w:tcW w:w="5000" w:type="pct"/>
            <w:tcBorders>
              <w:top w:val="outset" w:sz="6" w:space="0" w:color="414142"/>
              <w:left w:val="outset" w:sz="6" w:space="0" w:color="414142"/>
              <w:bottom w:val="outset" w:sz="6" w:space="0" w:color="414142"/>
              <w:right w:val="outset" w:sz="6" w:space="0" w:color="414142"/>
            </w:tcBorders>
          </w:tcPr>
          <w:p w14:paraId="564B28CE" w14:textId="77777777" w:rsidR="00F76FA1" w:rsidRPr="00C13E2D" w:rsidRDefault="00F76FA1" w:rsidP="00A576B8">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0DF6F21C" w14:textId="5CD92917" w:rsidR="00F76FA1" w:rsidRDefault="00F76FA1" w:rsidP="00571D01">
      <w:pPr>
        <w:spacing w:after="0" w:line="240" w:lineRule="auto"/>
        <w:rPr>
          <w:rFonts w:ascii="Times New Roman" w:eastAsia="Times New Roman" w:hAnsi="Times New Roman" w:cs="Times New Roman"/>
          <w:sz w:val="28"/>
          <w:szCs w:val="28"/>
          <w:lang w:eastAsia="lv-LV"/>
        </w:rPr>
      </w:pPr>
    </w:p>
    <w:tbl>
      <w:tblPr>
        <w:tblW w:w="5077"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9"/>
        <w:gridCol w:w="3494"/>
        <w:gridCol w:w="5571"/>
      </w:tblGrid>
      <w:tr w:rsidR="003E2D0A" w:rsidRPr="001D4993" w14:paraId="0E7DF3B8" w14:textId="77777777" w:rsidTr="00231639">
        <w:tc>
          <w:tcPr>
            <w:tcW w:w="5000" w:type="pct"/>
            <w:gridSpan w:val="3"/>
            <w:tcBorders>
              <w:top w:val="single" w:sz="4" w:space="0" w:color="auto"/>
              <w:left w:val="single" w:sz="4" w:space="0" w:color="auto"/>
              <w:bottom w:val="outset" w:sz="6" w:space="0" w:color="414142"/>
              <w:right w:val="single" w:sz="4" w:space="0" w:color="auto"/>
            </w:tcBorders>
            <w:vAlign w:val="center"/>
            <w:hideMark/>
          </w:tcPr>
          <w:p w14:paraId="1879AA10" w14:textId="77777777" w:rsidR="003E2D0A" w:rsidRPr="00C13E2D" w:rsidRDefault="003E2D0A" w:rsidP="003B66F1">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231639" w:rsidRPr="00DC2B43" w14:paraId="57ADD952" w14:textId="77777777" w:rsidTr="002316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 w:type="pct"/>
          </w:tcPr>
          <w:p w14:paraId="1593364F" w14:textId="77777777" w:rsidR="00231639" w:rsidRPr="00DC2B43" w:rsidRDefault="00231639" w:rsidP="00BD7257">
            <w:pPr>
              <w:pStyle w:val="naiskr"/>
            </w:pPr>
            <w:r w:rsidRPr="00DC2B43">
              <w:t>1.</w:t>
            </w:r>
          </w:p>
        </w:tc>
        <w:tc>
          <w:tcPr>
            <w:tcW w:w="1840" w:type="pct"/>
          </w:tcPr>
          <w:p w14:paraId="4B9731B1" w14:textId="77777777" w:rsidR="00231639" w:rsidRPr="00DC2B43" w:rsidRDefault="00231639" w:rsidP="00BD7257">
            <w:pPr>
              <w:pStyle w:val="naiskr"/>
            </w:pPr>
            <w:r w:rsidRPr="00DC2B43">
              <w:t>Saistības pret Eiropas Savienību</w:t>
            </w:r>
          </w:p>
        </w:tc>
        <w:tc>
          <w:tcPr>
            <w:tcW w:w="2934" w:type="pct"/>
          </w:tcPr>
          <w:p w14:paraId="73F7A5CF" w14:textId="77777777" w:rsidR="00231639" w:rsidRPr="009E2D28" w:rsidRDefault="00231639" w:rsidP="00231639">
            <w:pPr>
              <w:spacing w:after="0"/>
              <w:ind w:right="113"/>
              <w:jc w:val="both"/>
              <w:rPr>
                <w:rFonts w:ascii="Times New Roman" w:hAnsi="Times New Roman" w:cs="Times New Roman"/>
                <w:sz w:val="24"/>
                <w:szCs w:val="24"/>
                <w:shd w:val="clear" w:color="auto" w:fill="FFFFFF"/>
              </w:rPr>
            </w:pPr>
            <w:r w:rsidRPr="009E2D28">
              <w:rPr>
                <w:rFonts w:ascii="Times New Roman" w:hAnsi="Times New Roman" w:cs="Times New Roman"/>
                <w:sz w:val="24"/>
                <w:szCs w:val="24"/>
                <w:shd w:val="clear" w:color="auto" w:fill="FFFFFF"/>
              </w:rPr>
              <w:t>Padomes 1987.gada 23.jūlija Regulas (EEK) Nr.</w:t>
            </w:r>
            <w:hyperlink r:id="rId8" w:tgtFrame="_blank" w:tooltip="Atvērt regulu latviešu valodā" w:history="1">
              <w:r w:rsidRPr="009E2D28">
                <w:rPr>
                  <w:rStyle w:val="Hyperlink"/>
                  <w:rFonts w:ascii="Times New Roman" w:hAnsi="Times New Roman" w:cs="Times New Roman"/>
                  <w:color w:val="auto"/>
                  <w:sz w:val="24"/>
                  <w:szCs w:val="24"/>
                  <w:u w:val="none"/>
                  <w:shd w:val="clear" w:color="auto" w:fill="FFFFFF"/>
                </w:rPr>
                <w:t>2658/87</w:t>
              </w:r>
            </w:hyperlink>
            <w:r w:rsidRPr="009E2D28">
              <w:rPr>
                <w:rStyle w:val="apple-converted-space"/>
                <w:rFonts w:ascii="Times New Roman" w:hAnsi="Times New Roman" w:cs="Times New Roman"/>
                <w:sz w:val="24"/>
                <w:szCs w:val="24"/>
                <w:shd w:val="clear" w:color="auto" w:fill="FFFFFF"/>
              </w:rPr>
              <w:t xml:space="preserve"> </w:t>
            </w:r>
            <w:r w:rsidRPr="009E2D28">
              <w:rPr>
                <w:rFonts w:ascii="Times New Roman" w:hAnsi="Times New Roman" w:cs="Times New Roman"/>
                <w:sz w:val="24"/>
                <w:szCs w:val="24"/>
                <w:shd w:val="clear" w:color="auto" w:fill="FFFFFF"/>
              </w:rPr>
              <w:t xml:space="preserve">par tarifu un statistikas nomenklatūru un kopējo muitas tarifu (turpmāk – Regula Nr.2658/87) </w:t>
            </w:r>
            <w:r w:rsidRPr="009E2D28">
              <w:rPr>
                <w:rFonts w:ascii="Times New Roman" w:hAnsi="Times New Roman" w:cs="Times New Roman"/>
                <w:sz w:val="24"/>
                <w:szCs w:val="24"/>
              </w:rPr>
              <w:t>12.pantā noteikts, ka Eiropas Komisija katru gadu ar regulu apstiprina Kombinēto nomenklatūru (turpmāk – KN) galīgā redakcijā ar atbilstošajām autonomajām un līgtajām kopējā muitas tarifa nodokļa likmēm, kurās ņemti vērā Eiropas Padomes vai Eiropas Komisijas noteiktie pasākumi. Regula publicējama Eiropas Kopienu Oficiālajā Vēstnesī līdz 31.oktobrim un piemērojama no nākamā gada 1.janvāra.</w:t>
            </w:r>
          </w:p>
          <w:p w14:paraId="025A2799" w14:textId="10F05AD9" w:rsidR="00231639" w:rsidRPr="00627BC5" w:rsidRDefault="00231639" w:rsidP="00B17771">
            <w:pPr>
              <w:spacing w:after="0"/>
              <w:ind w:right="113" w:firstLine="437"/>
              <w:jc w:val="both"/>
              <w:rPr>
                <w:rFonts w:ascii="Times New Roman" w:hAnsi="Times New Roman" w:cs="Times New Roman"/>
                <w:sz w:val="24"/>
                <w:szCs w:val="24"/>
              </w:rPr>
            </w:pPr>
            <w:r w:rsidRPr="009E2D28">
              <w:rPr>
                <w:rFonts w:ascii="Times New Roman" w:hAnsi="Times New Roman" w:cs="Times New Roman"/>
                <w:sz w:val="24"/>
                <w:szCs w:val="24"/>
                <w:shd w:val="clear" w:color="auto" w:fill="FFFFFF"/>
              </w:rPr>
              <w:t>Līdz ar to</w:t>
            </w:r>
            <w:r w:rsidRPr="009E2D28">
              <w:rPr>
                <w:rFonts w:ascii="Times New Roman" w:hAnsi="Times New Roman" w:cs="Times New Roman"/>
                <w:sz w:val="24"/>
                <w:szCs w:val="24"/>
              </w:rPr>
              <w:t xml:space="preserve"> 201</w:t>
            </w:r>
            <w:r w:rsidR="00B17771" w:rsidRPr="009E2D28">
              <w:rPr>
                <w:rFonts w:ascii="Times New Roman" w:hAnsi="Times New Roman" w:cs="Times New Roman"/>
                <w:sz w:val="24"/>
                <w:szCs w:val="24"/>
              </w:rPr>
              <w:t>8</w:t>
            </w:r>
            <w:r w:rsidRPr="009E2D28">
              <w:rPr>
                <w:rFonts w:ascii="Times New Roman" w:hAnsi="Times New Roman" w:cs="Times New Roman"/>
                <w:sz w:val="24"/>
                <w:szCs w:val="24"/>
              </w:rPr>
              <w:t>.gada 1</w:t>
            </w:r>
            <w:r w:rsidR="00B17771" w:rsidRPr="009E2D28">
              <w:rPr>
                <w:rFonts w:ascii="Times New Roman" w:hAnsi="Times New Roman" w:cs="Times New Roman"/>
                <w:sz w:val="24"/>
                <w:szCs w:val="24"/>
              </w:rPr>
              <w:t>1.oktobrī</w:t>
            </w:r>
            <w:r w:rsidRPr="009E2D28">
              <w:rPr>
                <w:rFonts w:ascii="Times New Roman" w:hAnsi="Times New Roman" w:cs="Times New Roman"/>
                <w:sz w:val="24"/>
                <w:szCs w:val="24"/>
              </w:rPr>
              <w:t xml:space="preserve"> </w:t>
            </w:r>
            <w:r w:rsidR="00B17771" w:rsidRPr="009E2D28">
              <w:rPr>
                <w:rFonts w:ascii="Times New Roman" w:hAnsi="Times New Roman" w:cs="Times New Roman"/>
                <w:sz w:val="24"/>
                <w:szCs w:val="24"/>
              </w:rPr>
              <w:t>stāsies spēkā Eiropas Komisijas</w:t>
            </w:r>
            <w:r w:rsidR="00B17771" w:rsidRPr="009E2D28">
              <w:rPr>
                <w:rFonts w:ascii="Times New Roman" w:hAnsi="Times New Roman" w:cs="Times New Roman"/>
                <w:color w:val="000000"/>
                <w:sz w:val="24"/>
                <w:szCs w:val="24"/>
              </w:rPr>
              <w:t xml:space="preserve"> Īstenošanas regulu (ES) Nr.2018/1602, ar ko groza </w:t>
            </w:r>
            <w:r w:rsidR="00B17771" w:rsidRPr="009E2D28">
              <w:rPr>
                <w:rFonts w:ascii="Times New Roman" w:hAnsi="Times New Roman" w:cs="Times New Roman"/>
                <w:color w:val="000000" w:themeColor="text1"/>
                <w:sz w:val="24"/>
                <w:szCs w:val="24"/>
              </w:rPr>
              <w:t>I pielikum</w:t>
            </w:r>
            <w:r w:rsidR="00B17771" w:rsidRPr="009E2D28">
              <w:rPr>
                <w:rFonts w:ascii="Times New Roman" w:hAnsi="Times New Roman" w:cs="Times New Roman"/>
                <w:color w:val="000000"/>
                <w:sz w:val="24"/>
                <w:szCs w:val="24"/>
              </w:rPr>
              <w:t xml:space="preserve">u, Padomes Regulā (EEK) Nr.2658/87 par tarifu un statistikas nomenklatūru un kopējo muitas tarifu, kas </w:t>
            </w:r>
            <w:r w:rsidR="00B17771" w:rsidRPr="009E2D28">
              <w:rPr>
                <w:rFonts w:ascii="Times New Roman" w:hAnsi="Times New Roman" w:cs="Times New Roman"/>
                <w:color w:val="000000" w:themeColor="text1"/>
                <w:sz w:val="24"/>
                <w:szCs w:val="24"/>
              </w:rPr>
              <w:t>nosaka izmaiņas Eiropas Savienības Kombinētās nomenklatūras kodos un to aprakstos.</w:t>
            </w:r>
            <w:r w:rsidR="00B17771" w:rsidRPr="009E2D28">
              <w:rPr>
                <w:rFonts w:ascii="Times New Roman" w:hAnsi="Times New Roman" w:cs="Times New Roman"/>
                <w:sz w:val="24"/>
                <w:szCs w:val="24"/>
              </w:rPr>
              <w:t xml:space="preserve"> </w:t>
            </w:r>
            <w:r w:rsidRPr="009E2D28">
              <w:rPr>
                <w:rFonts w:ascii="Times New Roman" w:hAnsi="Times New Roman" w:cs="Times New Roman"/>
                <w:sz w:val="24"/>
                <w:szCs w:val="24"/>
              </w:rPr>
              <w:t xml:space="preserve">Tādējādi </w:t>
            </w:r>
            <w:r w:rsidRPr="009E2D28">
              <w:rPr>
                <w:rFonts w:ascii="Times New Roman" w:hAnsi="Times New Roman" w:cs="Times New Roman"/>
                <w:color w:val="000000"/>
                <w:sz w:val="24"/>
                <w:szCs w:val="24"/>
              </w:rPr>
              <w:t xml:space="preserve">saskaņā ar Regulas Nr.2658/87 12.pantu minētās regulas I pielikums katru gadu tiek </w:t>
            </w:r>
            <w:proofErr w:type="spellStart"/>
            <w:r w:rsidRPr="009E2D28">
              <w:rPr>
                <w:rFonts w:ascii="Times New Roman" w:hAnsi="Times New Roman" w:cs="Times New Roman"/>
                <w:color w:val="000000"/>
                <w:sz w:val="24"/>
                <w:szCs w:val="24"/>
              </w:rPr>
              <w:t>pārizdots</w:t>
            </w:r>
            <w:proofErr w:type="spellEnd"/>
            <w:r w:rsidRPr="009E2D28">
              <w:rPr>
                <w:rFonts w:ascii="Times New Roman" w:hAnsi="Times New Roman" w:cs="Times New Roman"/>
                <w:color w:val="000000"/>
                <w:sz w:val="24"/>
                <w:szCs w:val="24"/>
              </w:rPr>
              <w:t xml:space="preserve"> ar jaunu īstenošanas regulu.</w:t>
            </w:r>
          </w:p>
        </w:tc>
      </w:tr>
      <w:tr w:rsidR="00231639" w:rsidRPr="00DC2B43" w14:paraId="6757D4B0" w14:textId="77777777" w:rsidTr="002316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 w:type="pct"/>
          </w:tcPr>
          <w:p w14:paraId="4376F63C" w14:textId="77777777" w:rsidR="00231639" w:rsidRPr="00DC2B43" w:rsidRDefault="00231639" w:rsidP="00BD725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2.</w:t>
            </w:r>
          </w:p>
        </w:tc>
        <w:tc>
          <w:tcPr>
            <w:tcW w:w="1840" w:type="pct"/>
          </w:tcPr>
          <w:p w14:paraId="45D1254D" w14:textId="77777777" w:rsidR="00231639" w:rsidRPr="00DC2B43" w:rsidRDefault="00231639" w:rsidP="00BD7257">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Citas starptautiskās saistības</w:t>
            </w:r>
          </w:p>
        </w:tc>
        <w:tc>
          <w:tcPr>
            <w:tcW w:w="2934" w:type="pct"/>
          </w:tcPr>
          <w:p w14:paraId="0390DC15" w14:textId="77777777" w:rsidR="00231639" w:rsidRPr="00DC2B43" w:rsidRDefault="00231639" w:rsidP="00BD725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Projekts šo jomu neskar.</w:t>
            </w:r>
          </w:p>
        </w:tc>
      </w:tr>
      <w:tr w:rsidR="00231639" w:rsidRPr="00DC2B43" w14:paraId="6AD9137D" w14:textId="77777777" w:rsidTr="002316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6" w:type="pct"/>
          </w:tcPr>
          <w:p w14:paraId="2F875395" w14:textId="77777777" w:rsidR="00231639" w:rsidRPr="00DC2B43" w:rsidRDefault="00231639" w:rsidP="00BD725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3.</w:t>
            </w:r>
          </w:p>
        </w:tc>
        <w:tc>
          <w:tcPr>
            <w:tcW w:w="1840" w:type="pct"/>
          </w:tcPr>
          <w:p w14:paraId="759E4754" w14:textId="77777777" w:rsidR="00231639" w:rsidRPr="00DC2B43" w:rsidRDefault="00231639" w:rsidP="00BD7257">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 informācija</w:t>
            </w:r>
          </w:p>
        </w:tc>
        <w:tc>
          <w:tcPr>
            <w:tcW w:w="2934" w:type="pct"/>
          </w:tcPr>
          <w:p w14:paraId="5423574D" w14:textId="3F633C7D" w:rsidR="00231639" w:rsidRPr="00DC2B43" w:rsidRDefault="00231639" w:rsidP="00BD7257">
            <w:pPr>
              <w:ind w:right="112"/>
              <w:jc w:val="both"/>
              <w:rPr>
                <w:rFonts w:ascii="Times New Roman" w:hAnsi="Times New Roman" w:cs="Times New Roman"/>
                <w:sz w:val="24"/>
                <w:szCs w:val="24"/>
              </w:rPr>
            </w:pPr>
            <w:r w:rsidRPr="00DC2B43">
              <w:rPr>
                <w:rFonts w:ascii="Times New Roman" w:hAnsi="Times New Roman" w:cs="Times New Roman"/>
                <w:sz w:val="24"/>
                <w:szCs w:val="24"/>
              </w:rPr>
              <w:t>Nav</w:t>
            </w:r>
            <w:r w:rsidR="000F1C9F">
              <w:rPr>
                <w:rFonts w:ascii="Times New Roman" w:hAnsi="Times New Roman" w:cs="Times New Roman"/>
                <w:sz w:val="24"/>
                <w:szCs w:val="24"/>
              </w:rPr>
              <w:t>.</w:t>
            </w:r>
            <w:r w:rsidRPr="00DC2B43">
              <w:rPr>
                <w:rFonts w:ascii="Times New Roman" w:hAnsi="Times New Roman" w:cs="Times New Roman"/>
                <w:sz w:val="24"/>
                <w:szCs w:val="24"/>
              </w:rPr>
              <w:t xml:space="preserve"> </w:t>
            </w:r>
          </w:p>
        </w:tc>
      </w:tr>
    </w:tbl>
    <w:p w14:paraId="24CD9F8B" w14:textId="1B801214" w:rsidR="00231639" w:rsidRDefault="00231639" w:rsidP="00231639">
      <w:pPr>
        <w:spacing w:after="0" w:line="240" w:lineRule="auto"/>
        <w:rPr>
          <w:rFonts w:ascii="Times New Roman" w:eastAsia="Times New Roman" w:hAnsi="Times New Roman" w:cs="Times New Roman"/>
          <w:sz w:val="28"/>
          <w:szCs w:val="28"/>
          <w:lang w:eastAsia="lv-LV"/>
        </w:rPr>
      </w:pPr>
    </w:p>
    <w:p w14:paraId="1B4250AD" w14:textId="7D87ABEC" w:rsidR="00682D29" w:rsidRDefault="00682D29" w:rsidP="00231639">
      <w:pPr>
        <w:spacing w:after="0" w:line="240" w:lineRule="auto"/>
        <w:rPr>
          <w:rFonts w:ascii="Times New Roman" w:eastAsia="Times New Roman" w:hAnsi="Times New Roman" w:cs="Times New Roman"/>
          <w:sz w:val="28"/>
          <w:szCs w:val="28"/>
          <w:lang w:eastAsia="lv-LV"/>
        </w:rPr>
      </w:pPr>
    </w:p>
    <w:p w14:paraId="58DB67F5" w14:textId="6CC786A6" w:rsidR="00682D29" w:rsidRDefault="00682D29" w:rsidP="00231639">
      <w:pPr>
        <w:spacing w:after="0" w:line="240" w:lineRule="auto"/>
        <w:rPr>
          <w:rFonts w:ascii="Times New Roman" w:eastAsia="Times New Roman" w:hAnsi="Times New Roman" w:cs="Times New Roman"/>
          <w:sz w:val="28"/>
          <w:szCs w:val="28"/>
          <w:lang w:eastAsia="lv-LV"/>
        </w:rPr>
      </w:pPr>
    </w:p>
    <w:p w14:paraId="3D858272" w14:textId="77777777" w:rsidR="00682D29" w:rsidRDefault="00682D29" w:rsidP="00231639">
      <w:pPr>
        <w:spacing w:after="0" w:line="240" w:lineRule="auto"/>
        <w:rPr>
          <w:rFonts w:ascii="Times New Roman" w:eastAsia="Times New Roman" w:hAnsi="Times New Roman" w:cs="Times New Roman"/>
          <w:sz w:val="28"/>
          <w:szCs w:val="28"/>
          <w:lang w:eastAsia="lv-LV"/>
        </w:rPr>
      </w:pPr>
    </w:p>
    <w:tbl>
      <w:tblPr>
        <w:tblW w:w="9498" w:type="dxa"/>
        <w:tblCellSpacing w:w="15" w:type="dxa"/>
        <w:tblBorders>
          <w:insideH w:val="single" w:sz="2" w:space="0" w:color="auto"/>
          <w:insideV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2486"/>
        <w:gridCol w:w="2965"/>
        <w:gridCol w:w="2188"/>
        <w:gridCol w:w="1859"/>
      </w:tblGrid>
      <w:tr w:rsidR="00231639" w:rsidRPr="0046788D" w14:paraId="4738ED5E" w14:textId="77777777" w:rsidTr="00BD7257">
        <w:trPr>
          <w:tblCellSpacing w:w="15" w:type="dxa"/>
        </w:trPr>
        <w:tc>
          <w:tcPr>
            <w:tcW w:w="9438" w:type="dxa"/>
            <w:gridSpan w:val="4"/>
            <w:tcBorders>
              <w:top w:val="single" w:sz="2" w:space="0" w:color="auto"/>
              <w:bottom w:val="nil"/>
            </w:tcBorders>
            <w:vAlign w:val="center"/>
            <w:hideMark/>
          </w:tcPr>
          <w:p w14:paraId="7F6E5828" w14:textId="77777777" w:rsidR="00231639" w:rsidRPr="0046788D" w:rsidRDefault="00231639" w:rsidP="00BD725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6788D">
              <w:rPr>
                <w:rFonts w:ascii="Times New Roman" w:eastAsia="Times New Roman" w:hAnsi="Times New Roman" w:cs="Times New Roman"/>
                <w:b/>
                <w:bCs/>
                <w:sz w:val="24"/>
                <w:szCs w:val="24"/>
                <w:lang w:eastAsia="lv-LV"/>
              </w:rPr>
              <w:lastRenderedPageBreak/>
              <w:t>1.tabula</w:t>
            </w:r>
            <w:r w:rsidRPr="0046788D">
              <w:rPr>
                <w:rFonts w:ascii="Times New Roman" w:eastAsia="Times New Roman" w:hAnsi="Times New Roman" w:cs="Times New Roman"/>
                <w:b/>
                <w:bCs/>
                <w:sz w:val="24"/>
                <w:szCs w:val="24"/>
                <w:lang w:eastAsia="lv-LV"/>
              </w:rPr>
              <w:br/>
              <w:t>Tiesību akta projekta atbilstība ES tiesību aktiem</w:t>
            </w:r>
          </w:p>
        </w:tc>
      </w:tr>
      <w:tr w:rsidR="00231639" w:rsidRPr="0046788D" w14:paraId="50B09934" w14:textId="77777777" w:rsidTr="00BD7257">
        <w:trPr>
          <w:tblCellSpacing w:w="15" w:type="dxa"/>
        </w:trPr>
        <w:tc>
          <w:tcPr>
            <w:tcW w:w="2441" w:type="dxa"/>
            <w:tcBorders>
              <w:top w:val="single" w:sz="2" w:space="0" w:color="auto"/>
              <w:bottom w:val="single" w:sz="2" w:space="0" w:color="auto"/>
              <w:right w:val="nil"/>
            </w:tcBorders>
            <w:vAlign w:val="center"/>
            <w:hideMark/>
          </w:tcPr>
          <w:p w14:paraId="6DF70C48" w14:textId="77777777" w:rsidR="00231639" w:rsidRPr="0046788D" w:rsidRDefault="00231639" w:rsidP="00BD725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ES tiesību akta datums, numurs un nosaukums</w:t>
            </w:r>
          </w:p>
        </w:tc>
        <w:tc>
          <w:tcPr>
            <w:tcW w:w="6967" w:type="dxa"/>
            <w:gridSpan w:val="3"/>
            <w:vAlign w:val="center"/>
            <w:hideMark/>
          </w:tcPr>
          <w:p w14:paraId="614139E9" w14:textId="77777777" w:rsidR="00231639" w:rsidRPr="00231639" w:rsidRDefault="00231639" w:rsidP="00231639">
            <w:pPr>
              <w:tabs>
                <w:tab w:val="left" w:pos="6431"/>
              </w:tabs>
              <w:ind w:right="247"/>
              <w:jc w:val="both"/>
              <w:rPr>
                <w:rFonts w:ascii="Times New Roman" w:hAnsi="Times New Roman" w:cs="Times New Roman"/>
                <w:sz w:val="24"/>
                <w:szCs w:val="24"/>
              </w:rPr>
            </w:pPr>
            <w:r w:rsidRPr="00231639">
              <w:rPr>
                <w:rFonts w:ascii="Times New Roman" w:hAnsi="Times New Roman" w:cs="Times New Roman"/>
                <w:sz w:val="24"/>
                <w:szCs w:val="24"/>
                <w:shd w:val="clear" w:color="auto" w:fill="FFFFFF"/>
              </w:rPr>
              <w:t>Regula Nr.</w:t>
            </w:r>
            <w:hyperlink r:id="rId9" w:tgtFrame="_blank" w:tooltip="Atvērt regulu latviešu valodā" w:history="1">
              <w:r w:rsidRPr="00231639">
                <w:rPr>
                  <w:rStyle w:val="Hyperlink"/>
                  <w:rFonts w:ascii="Times New Roman" w:hAnsi="Times New Roman" w:cs="Times New Roman"/>
                  <w:color w:val="auto"/>
                  <w:sz w:val="24"/>
                  <w:szCs w:val="24"/>
                  <w:u w:val="none"/>
                  <w:shd w:val="clear" w:color="auto" w:fill="FFFFFF"/>
                </w:rPr>
                <w:t>2658/87</w:t>
              </w:r>
            </w:hyperlink>
            <w:r w:rsidRPr="00231639">
              <w:rPr>
                <w:rStyle w:val="Hyperlink"/>
                <w:rFonts w:ascii="Times New Roman" w:hAnsi="Times New Roman" w:cs="Times New Roman"/>
                <w:color w:val="auto"/>
                <w:sz w:val="24"/>
                <w:szCs w:val="24"/>
                <w:u w:val="none"/>
                <w:shd w:val="clear" w:color="auto" w:fill="FFFFFF"/>
              </w:rPr>
              <w:t>.</w:t>
            </w:r>
          </w:p>
          <w:p w14:paraId="284A97DC" w14:textId="77777777" w:rsidR="00231639" w:rsidRPr="00231639" w:rsidRDefault="00231639" w:rsidP="00231639">
            <w:pPr>
              <w:tabs>
                <w:tab w:val="left" w:pos="6431"/>
              </w:tabs>
              <w:spacing w:after="0" w:line="240" w:lineRule="auto"/>
              <w:ind w:right="247"/>
              <w:jc w:val="both"/>
              <w:rPr>
                <w:rFonts w:ascii="Times New Roman" w:eastAsia="Times New Roman" w:hAnsi="Times New Roman" w:cs="Times New Roman"/>
                <w:sz w:val="24"/>
                <w:szCs w:val="24"/>
                <w:lang w:eastAsia="lv-LV"/>
              </w:rPr>
            </w:pPr>
          </w:p>
        </w:tc>
      </w:tr>
      <w:tr w:rsidR="00231639" w:rsidRPr="0046788D" w14:paraId="6F12E2F3" w14:textId="77777777" w:rsidTr="00BD7257">
        <w:trPr>
          <w:tblCellSpacing w:w="15" w:type="dxa"/>
        </w:trPr>
        <w:tc>
          <w:tcPr>
            <w:tcW w:w="2441" w:type="dxa"/>
            <w:tcBorders>
              <w:top w:val="nil"/>
              <w:bottom w:val="single" w:sz="2" w:space="0" w:color="auto"/>
              <w:right w:val="nil"/>
            </w:tcBorders>
            <w:vAlign w:val="center"/>
            <w:hideMark/>
          </w:tcPr>
          <w:p w14:paraId="21F24845" w14:textId="77777777" w:rsidR="00231639" w:rsidRPr="0046788D" w:rsidRDefault="00231639" w:rsidP="00BD725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935" w:type="dxa"/>
            <w:tcBorders>
              <w:top w:val="nil"/>
              <w:bottom w:val="single" w:sz="2" w:space="0" w:color="auto"/>
              <w:right w:val="nil"/>
            </w:tcBorders>
            <w:vAlign w:val="center"/>
            <w:hideMark/>
          </w:tcPr>
          <w:p w14:paraId="66CB3384" w14:textId="77777777" w:rsidR="00231639" w:rsidRPr="0046788D" w:rsidRDefault="00231639" w:rsidP="00BD725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2158" w:type="dxa"/>
            <w:tcBorders>
              <w:top w:val="nil"/>
              <w:bottom w:val="single" w:sz="2" w:space="0" w:color="auto"/>
              <w:right w:val="nil"/>
            </w:tcBorders>
            <w:vAlign w:val="center"/>
            <w:hideMark/>
          </w:tcPr>
          <w:p w14:paraId="1C842E7D" w14:textId="77777777" w:rsidR="00231639" w:rsidRPr="0046788D" w:rsidRDefault="00231639" w:rsidP="00BD725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c>
          <w:tcPr>
            <w:tcW w:w="1814" w:type="dxa"/>
            <w:tcBorders>
              <w:top w:val="nil"/>
              <w:bottom w:val="single" w:sz="2" w:space="0" w:color="auto"/>
            </w:tcBorders>
            <w:vAlign w:val="center"/>
            <w:hideMark/>
          </w:tcPr>
          <w:p w14:paraId="15F83B98" w14:textId="77777777" w:rsidR="00231639" w:rsidRPr="0046788D" w:rsidRDefault="00231639" w:rsidP="00BD725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D</w:t>
            </w:r>
          </w:p>
        </w:tc>
      </w:tr>
      <w:tr w:rsidR="00497AA1" w:rsidRPr="0046788D" w14:paraId="4B1A5B81" w14:textId="77777777" w:rsidTr="00BD7257">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14:paraId="282A8368" w14:textId="05DB0E49" w:rsidR="00497AA1" w:rsidRPr="009E2D28" w:rsidRDefault="00497AA1" w:rsidP="00BD7257">
            <w:pPr>
              <w:tabs>
                <w:tab w:val="left" w:pos="9072"/>
              </w:tabs>
              <w:spacing w:after="0" w:line="240" w:lineRule="auto"/>
              <w:jc w:val="both"/>
              <w:rPr>
                <w:rFonts w:ascii="Times New Roman" w:hAnsi="Times New Roman" w:cs="Times New Roman"/>
                <w:sz w:val="24"/>
                <w:szCs w:val="24"/>
                <w:shd w:val="clear" w:color="auto" w:fill="FFFFFF"/>
              </w:rPr>
            </w:pPr>
            <w:r w:rsidRPr="009E2D28">
              <w:rPr>
                <w:rFonts w:ascii="Times New Roman" w:hAnsi="Times New Roman" w:cs="Times New Roman"/>
                <w:sz w:val="24"/>
                <w:szCs w:val="24"/>
                <w:shd w:val="clear" w:color="auto" w:fill="FFFFFF"/>
              </w:rPr>
              <w:t>Regulas Nr.2658/87 I pielikuma 18.nodaļā minētās preces.</w:t>
            </w:r>
          </w:p>
        </w:tc>
        <w:tc>
          <w:tcPr>
            <w:tcW w:w="2935" w:type="dxa"/>
            <w:tcBorders>
              <w:top w:val="single" w:sz="4" w:space="0" w:color="auto"/>
              <w:left w:val="single" w:sz="4" w:space="0" w:color="auto"/>
              <w:bottom w:val="single" w:sz="4" w:space="0" w:color="auto"/>
              <w:right w:val="single" w:sz="4" w:space="0" w:color="auto"/>
            </w:tcBorders>
          </w:tcPr>
          <w:p w14:paraId="0200068D" w14:textId="28E3A8D2" w:rsidR="00497AA1" w:rsidRPr="009E2D28" w:rsidRDefault="00497AA1" w:rsidP="00BD7257">
            <w:pPr>
              <w:spacing w:before="100" w:beforeAutospacing="1" w:after="100" w:afterAutospacing="1" w:line="240" w:lineRule="auto"/>
              <w:rPr>
                <w:rFonts w:ascii="Times New Roman" w:hAnsi="Times New Roman" w:cs="Times New Roman"/>
                <w:sz w:val="24"/>
                <w:szCs w:val="24"/>
              </w:rPr>
            </w:pPr>
            <w:r w:rsidRPr="009E2D28">
              <w:rPr>
                <w:rFonts w:ascii="Times New Roman" w:hAnsi="Times New Roman" w:cs="Times New Roman"/>
                <w:sz w:val="24"/>
                <w:szCs w:val="24"/>
              </w:rPr>
              <w:t>Ministru kabineta noteikumu projekta 1. un 9.punkts.</w:t>
            </w:r>
          </w:p>
        </w:tc>
        <w:tc>
          <w:tcPr>
            <w:tcW w:w="2158" w:type="dxa"/>
            <w:tcBorders>
              <w:top w:val="single" w:sz="4" w:space="0" w:color="auto"/>
              <w:left w:val="single" w:sz="4" w:space="0" w:color="auto"/>
              <w:bottom w:val="single" w:sz="4" w:space="0" w:color="auto"/>
              <w:right w:val="single" w:sz="4" w:space="0" w:color="auto"/>
            </w:tcBorders>
          </w:tcPr>
          <w:p w14:paraId="58BEC5A8" w14:textId="77777777" w:rsidR="00497AA1" w:rsidRPr="009E2D28" w:rsidRDefault="00497AA1" w:rsidP="00497AA1">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Ieviests pilnībā</w:t>
            </w:r>
          </w:p>
          <w:p w14:paraId="5607F390" w14:textId="77777777" w:rsidR="00497AA1" w:rsidRPr="009E2D28" w:rsidRDefault="00497AA1" w:rsidP="00BD7257">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14:paraId="0A17B8D4" w14:textId="6E7EC93A" w:rsidR="00497AA1" w:rsidRPr="009E2D28" w:rsidRDefault="00497AA1" w:rsidP="00BD725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Nav attiecināms</w:t>
            </w:r>
          </w:p>
        </w:tc>
      </w:tr>
      <w:tr w:rsidR="00231639" w:rsidRPr="0046788D" w14:paraId="5EBAECBA" w14:textId="77777777" w:rsidTr="00BD7257">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14:paraId="42996EFA" w14:textId="4F71FE4C" w:rsidR="00231639" w:rsidRPr="009E2D28" w:rsidRDefault="0007062D" w:rsidP="00BD7257">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sidRPr="009E2D28">
              <w:rPr>
                <w:rFonts w:ascii="Times New Roman" w:hAnsi="Times New Roman" w:cs="Times New Roman"/>
                <w:sz w:val="24"/>
                <w:szCs w:val="24"/>
                <w:shd w:val="clear" w:color="auto" w:fill="FFFFFF"/>
              </w:rPr>
              <w:t>Regulas Nr.2658/87 I pielikuma 26.nodaļā minētās preces.</w:t>
            </w:r>
          </w:p>
        </w:tc>
        <w:tc>
          <w:tcPr>
            <w:tcW w:w="2935" w:type="dxa"/>
            <w:tcBorders>
              <w:top w:val="single" w:sz="4" w:space="0" w:color="auto"/>
              <w:left w:val="single" w:sz="4" w:space="0" w:color="auto"/>
              <w:bottom w:val="single" w:sz="4" w:space="0" w:color="auto"/>
              <w:right w:val="single" w:sz="4" w:space="0" w:color="auto"/>
            </w:tcBorders>
          </w:tcPr>
          <w:p w14:paraId="1343397A" w14:textId="271FB2FE" w:rsidR="00231639" w:rsidRPr="009E2D28" w:rsidRDefault="0007062D"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hAnsi="Times New Roman" w:cs="Times New Roman"/>
                <w:sz w:val="24"/>
                <w:szCs w:val="24"/>
              </w:rPr>
              <w:t>Minist</w:t>
            </w:r>
            <w:r w:rsidR="00497AA1" w:rsidRPr="009E2D28">
              <w:rPr>
                <w:rFonts w:ascii="Times New Roman" w:hAnsi="Times New Roman" w:cs="Times New Roman"/>
                <w:sz w:val="24"/>
                <w:szCs w:val="24"/>
              </w:rPr>
              <w:t>ru kabineta noteikumu projekta 2</w:t>
            </w:r>
            <w:r w:rsidRPr="009E2D28">
              <w:rPr>
                <w:rFonts w:ascii="Times New Roman" w:hAnsi="Times New Roman" w:cs="Times New Roman"/>
                <w:sz w:val="24"/>
                <w:szCs w:val="24"/>
              </w:rPr>
              <w:t>.punkts.</w:t>
            </w:r>
          </w:p>
        </w:tc>
        <w:tc>
          <w:tcPr>
            <w:tcW w:w="2158" w:type="dxa"/>
            <w:tcBorders>
              <w:top w:val="single" w:sz="4" w:space="0" w:color="auto"/>
              <w:left w:val="single" w:sz="4" w:space="0" w:color="auto"/>
              <w:bottom w:val="single" w:sz="4" w:space="0" w:color="auto"/>
              <w:right w:val="single" w:sz="4" w:space="0" w:color="auto"/>
            </w:tcBorders>
          </w:tcPr>
          <w:p w14:paraId="1500A9D5" w14:textId="77777777" w:rsidR="00231639" w:rsidRPr="009E2D28" w:rsidRDefault="00231639"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Ieviests pilnībā</w:t>
            </w:r>
          </w:p>
          <w:p w14:paraId="557FFFCF" w14:textId="77777777" w:rsidR="00231639" w:rsidRPr="009E2D28" w:rsidRDefault="00231639" w:rsidP="00BD7257">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14:paraId="2A858137" w14:textId="0858388B" w:rsidR="00231639" w:rsidRPr="009E2D28" w:rsidRDefault="00497AA1" w:rsidP="00BD725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Nav attiecināms</w:t>
            </w:r>
          </w:p>
        </w:tc>
      </w:tr>
      <w:tr w:rsidR="0007062D" w:rsidRPr="0046788D" w14:paraId="1E649A5C" w14:textId="77777777" w:rsidTr="00BD7257">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14:paraId="44518346" w14:textId="334E58A1" w:rsidR="0007062D" w:rsidRPr="009E2D28" w:rsidRDefault="0007062D" w:rsidP="00BD7257">
            <w:pPr>
              <w:tabs>
                <w:tab w:val="left" w:pos="9072"/>
              </w:tabs>
              <w:spacing w:after="0" w:line="240" w:lineRule="auto"/>
              <w:jc w:val="both"/>
              <w:rPr>
                <w:rFonts w:ascii="Times New Roman" w:hAnsi="Times New Roman" w:cs="Times New Roman"/>
                <w:sz w:val="24"/>
                <w:szCs w:val="24"/>
                <w:shd w:val="clear" w:color="auto" w:fill="FFFFFF"/>
              </w:rPr>
            </w:pPr>
            <w:r w:rsidRPr="009E2D28">
              <w:rPr>
                <w:rFonts w:ascii="Times New Roman" w:hAnsi="Times New Roman" w:cs="Times New Roman"/>
                <w:sz w:val="24"/>
                <w:szCs w:val="24"/>
                <w:shd w:val="clear" w:color="auto" w:fill="FFFFFF"/>
              </w:rPr>
              <w:t>Regulas Nr.2658/87 I pielikuma 28.nodaļā minētās preces.</w:t>
            </w:r>
          </w:p>
        </w:tc>
        <w:tc>
          <w:tcPr>
            <w:tcW w:w="2935" w:type="dxa"/>
            <w:tcBorders>
              <w:top w:val="single" w:sz="4" w:space="0" w:color="auto"/>
              <w:left w:val="single" w:sz="4" w:space="0" w:color="auto"/>
              <w:bottom w:val="single" w:sz="4" w:space="0" w:color="auto"/>
              <w:right w:val="single" w:sz="4" w:space="0" w:color="auto"/>
            </w:tcBorders>
          </w:tcPr>
          <w:p w14:paraId="0625DC4A" w14:textId="07BADF4E" w:rsidR="0007062D" w:rsidRPr="009E2D28" w:rsidRDefault="0007062D"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hAnsi="Times New Roman" w:cs="Times New Roman"/>
                <w:sz w:val="24"/>
                <w:szCs w:val="24"/>
              </w:rPr>
              <w:t>Minist</w:t>
            </w:r>
            <w:r w:rsidR="00497AA1" w:rsidRPr="009E2D28">
              <w:rPr>
                <w:rFonts w:ascii="Times New Roman" w:hAnsi="Times New Roman" w:cs="Times New Roman"/>
                <w:sz w:val="24"/>
                <w:szCs w:val="24"/>
              </w:rPr>
              <w:t>ru kabineta noteikumu projekta 3</w:t>
            </w:r>
            <w:r w:rsidRPr="009E2D28">
              <w:rPr>
                <w:rFonts w:ascii="Times New Roman" w:hAnsi="Times New Roman" w:cs="Times New Roman"/>
                <w:sz w:val="24"/>
                <w:szCs w:val="24"/>
              </w:rPr>
              <w:t>.punkts.</w:t>
            </w:r>
          </w:p>
        </w:tc>
        <w:tc>
          <w:tcPr>
            <w:tcW w:w="2158" w:type="dxa"/>
            <w:tcBorders>
              <w:top w:val="single" w:sz="4" w:space="0" w:color="auto"/>
              <w:left w:val="single" w:sz="4" w:space="0" w:color="auto"/>
              <w:bottom w:val="single" w:sz="4" w:space="0" w:color="auto"/>
              <w:right w:val="single" w:sz="4" w:space="0" w:color="auto"/>
            </w:tcBorders>
          </w:tcPr>
          <w:p w14:paraId="2B6DA8FB" w14:textId="77777777" w:rsidR="00497AA1" w:rsidRPr="009E2D28" w:rsidRDefault="00497AA1" w:rsidP="00497AA1">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Ieviests pilnībā</w:t>
            </w:r>
          </w:p>
          <w:p w14:paraId="7580BDC6" w14:textId="77777777" w:rsidR="0007062D" w:rsidRPr="009E2D28" w:rsidRDefault="0007062D" w:rsidP="00BD7257">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14:paraId="66FD4C4A" w14:textId="2F2089B1" w:rsidR="0007062D" w:rsidRPr="009E2D28" w:rsidRDefault="00497AA1" w:rsidP="00BD725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Nav attiecināms</w:t>
            </w:r>
          </w:p>
        </w:tc>
      </w:tr>
      <w:tr w:rsidR="0007062D" w:rsidRPr="0046788D" w14:paraId="382ED302" w14:textId="77777777" w:rsidTr="00BD7257">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14:paraId="56A07FB1" w14:textId="2E5EB87B" w:rsidR="0007062D" w:rsidRPr="009E2D28" w:rsidRDefault="0007062D" w:rsidP="00BD7257">
            <w:pPr>
              <w:tabs>
                <w:tab w:val="left" w:pos="9072"/>
              </w:tabs>
              <w:spacing w:after="0" w:line="240" w:lineRule="auto"/>
              <w:jc w:val="both"/>
              <w:rPr>
                <w:rFonts w:ascii="Times New Roman" w:hAnsi="Times New Roman" w:cs="Times New Roman"/>
                <w:sz w:val="24"/>
                <w:szCs w:val="24"/>
                <w:shd w:val="clear" w:color="auto" w:fill="FFFFFF"/>
              </w:rPr>
            </w:pPr>
            <w:r w:rsidRPr="009E2D28">
              <w:rPr>
                <w:rFonts w:ascii="Times New Roman" w:hAnsi="Times New Roman" w:cs="Times New Roman"/>
                <w:sz w:val="24"/>
                <w:szCs w:val="24"/>
                <w:shd w:val="clear" w:color="auto" w:fill="FFFFFF"/>
              </w:rPr>
              <w:t>Regulas Nr.2658/87 I pielikuma 29.nodaļā minētās preces.</w:t>
            </w:r>
          </w:p>
        </w:tc>
        <w:tc>
          <w:tcPr>
            <w:tcW w:w="2935" w:type="dxa"/>
            <w:tcBorders>
              <w:top w:val="single" w:sz="4" w:space="0" w:color="auto"/>
              <w:left w:val="single" w:sz="4" w:space="0" w:color="auto"/>
              <w:bottom w:val="single" w:sz="4" w:space="0" w:color="auto"/>
              <w:right w:val="single" w:sz="4" w:space="0" w:color="auto"/>
            </w:tcBorders>
          </w:tcPr>
          <w:p w14:paraId="664F85FC" w14:textId="09FDA452" w:rsidR="0007062D" w:rsidRPr="009E2D28" w:rsidRDefault="0007062D"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hAnsi="Times New Roman" w:cs="Times New Roman"/>
                <w:sz w:val="24"/>
                <w:szCs w:val="24"/>
              </w:rPr>
              <w:t>Minist</w:t>
            </w:r>
            <w:r w:rsidR="00497AA1" w:rsidRPr="009E2D28">
              <w:rPr>
                <w:rFonts w:ascii="Times New Roman" w:hAnsi="Times New Roman" w:cs="Times New Roman"/>
                <w:sz w:val="24"/>
                <w:szCs w:val="24"/>
              </w:rPr>
              <w:t>ru kabineta noteikumu projekta 3</w:t>
            </w:r>
            <w:r w:rsidRPr="009E2D28">
              <w:rPr>
                <w:rFonts w:ascii="Times New Roman" w:hAnsi="Times New Roman" w:cs="Times New Roman"/>
                <w:sz w:val="24"/>
                <w:szCs w:val="24"/>
              </w:rPr>
              <w:t>.</w:t>
            </w:r>
            <w:r w:rsidR="00497AA1" w:rsidRPr="009E2D28">
              <w:rPr>
                <w:rFonts w:ascii="Times New Roman" w:hAnsi="Times New Roman" w:cs="Times New Roman"/>
                <w:sz w:val="24"/>
                <w:szCs w:val="24"/>
              </w:rPr>
              <w:t>, 5. un 6</w:t>
            </w:r>
            <w:r w:rsidRPr="009E2D28">
              <w:rPr>
                <w:rFonts w:ascii="Times New Roman" w:hAnsi="Times New Roman" w:cs="Times New Roman"/>
                <w:sz w:val="24"/>
                <w:szCs w:val="24"/>
              </w:rPr>
              <w:t>.punkts.</w:t>
            </w:r>
          </w:p>
        </w:tc>
        <w:tc>
          <w:tcPr>
            <w:tcW w:w="2158" w:type="dxa"/>
            <w:tcBorders>
              <w:top w:val="single" w:sz="4" w:space="0" w:color="auto"/>
              <w:left w:val="single" w:sz="4" w:space="0" w:color="auto"/>
              <w:bottom w:val="single" w:sz="4" w:space="0" w:color="auto"/>
              <w:right w:val="single" w:sz="4" w:space="0" w:color="auto"/>
            </w:tcBorders>
          </w:tcPr>
          <w:p w14:paraId="1B6F51D1" w14:textId="77777777" w:rsidR="00497AA1" w:rsidRPr="009E2D28" w:rsidRDefault="00497AA1" w:rsidP="00497AA1">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Ieviests pilnībā</w:t>
            </w:r>
          </w:p>
          <w:p w14:paraId="13D408D7" w14:textId="77777777" w:rsidR="0007062D" w:rsidRPr="009E2D28" w:rsidRDefault="0007062D" w:rsidP="00BD7257">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14:paraId="4863CFFC" w14:textId="2A39CB77" w:rsidR="0007062D" w:rsidRPr="009E2D28" w:rsidRDefault="00497AA1" w:rsidP="00BD725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Nav attiecināms</w:t>
            </w:r>
          </w:p>
        </w:tc>
      </w:tr>
      <w:tr w:rsidR="0007062D" w:rsidRPr="0046788D" w14:paraId="2F7E6759" w14:textId="77777777" w:rsidTr="00BD7257">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14:paraId="353AA407" w14:textId="457D4DE5" w:rsidR="0007062D" w:rsidRPr="009E2D28" w:rsidRDefault="0007062D" w:rsidP="00BD7257">
            <w:pPr>
              <w:tabs>
                <w:tab w:val="left" w:pos="9072"/>
              </w:tabs>
              <w:spacing w:after="0" w:line="240" w:lineRule="auto"/>
              <w:jc w:val="both"/>
              <w:rPr>
                <w:rFonts w:ascii="Times New Roman" w:hAnsi="Times New Roman" w:cs="Times New Roman"/>
                <w:sz w:val="24"/>
                <w:szCs w:val="24"/>
                <w:shd w:val="clear" w:color="auto" w:fill="FFFFFF"/>
              </w:rPr>
            </w:pPr>
            <w:r w:rsidRPr="009E2D28">
              <w:rPr>
                <w:rFonts w:ascii="Times New Roman" w:hAnsi="Times New Roman" w:cs="Times New Roman"/>
                <w:sz w:val="24"/>
                <w:szCs w:val="24"/>
                <w:shd w:val="clear" w:color="auto" w:fill="FFFFFF"/>
              </w:rPr>
              <w:t>Regulas Nr.2658/87 I pielikuma 72.nodaļā minētās preces.</w:t>
            </w:r>
          </w:p>
        </w:tc>
        <w:tc>
          <w:tcPr>
            <w:tcW w:w="2935" w:type="dxa"/>
            <w:tcBorders>
              <w:top w:val="single" w:sz="4" w:space="0" w:color="auto"/>
              <w:left w:val="single" w:sz="4" w:space="0" w:color="auto"/>
              <w:bottom w:val="single" w:sz="4" w:space="0" w:color="auto"/>
              <w:right w:val="single" w:sz="4" w:space="0" w:color="auto"/>
            </w:tcBorders>
          </w:tcPr>
          <w:p w14:paraId="25B365A1" w14:textId="1899501A" w:rsidR="0007062D" w:rsidRPr="009E2D28" w:rsidRDefault="0007062D"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hAnsi="Times New Roman" w:cs="Times New Roman"/>
                <w:sz w:val="24"/>
                <w:szCs w:val="24"/>
              </w:rPr>
              <w:t>Minist</w:t>
            </w:r>
            <w:r w:rsidR="00497AA1" w:rsidRPr="009E2D28">
              <w:rPr>
                <w:rFonts w:ascii="Times New Roman" w:hAnsi="Times New Roman" w:cs="Times New Roman"/>
                <w:sz w:val="24"/>
                <w:szCs w:val="24"/>
              </w:rPr>
              <w:t>ru kabineta noteikumu projekta 4</w:t>
            </w:r>
            <w:r w:rsidRPr="009E2D28">
              <w:rPr>
                <w:rFonts w:ascii="Times New Roman" w:hAnsi="Times New Roman" w:cs="Times New Roman"/>
                <w:sz w:val="24"/>
                <w:szCs w:val="24"/>
              </w:rPr>
              <w:t>.punkts.</w:t>
            </w:r>
          </w:p>
        </w:tc>
        <w:tc>
          <w:tcPr>
            <w:tcW w:w="2158" w:type="dxa"/>
            <w:tcBorders>
              <w:top w:val="single" w:sz="4" w:space="0" w:color="auto"/>
              <w:left w:val="single" w:sz="4" w:space="0" w:color="auto"/>
              <w:bottom w:val="single" w:sz="4" w:space="0" w:color="auto"/>
              <w:right w:val="single" w:sz="4" w:space="0" w:color="auto"/>
            </w:tcBorders>
          </w:tcPr>
          <w:p w14:paraId="50CB5363" w14:textId="77777777" w:rsidR="00497AA1" w:rsidRPr="009E2D28" w:rsidRDefault="00497AA1" w:rsidP="00497AA1">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Ieviests pilnībā</w:t>
            </w:r>
          </w:p>
          <w:p w14:paraId="6E4E9718" w14:textId="77777777" w:rsidR="0007062D" w:rsidRPr="009E2D28" w:rsidRDefault="0007062D" w:rsidP="00BD7257">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14:paraId="58076A1B" w14:textId="4A418D37" w:rsidR="0007062D" w:rsidRPr="009E2D28" w:rsidRDefault="00497AA1" w:rsidP="00BD725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Nav attiecināms</w:t>
            </w:r>
          </w:p>
        </w:tc>
      </w:tr>
      <w:tr w:rsidR="00231639" w:rsidRPr="0046788D" w14:paraId="16DBD04B" w14:textId="77777777" w:rsidTr="00BD7257">
        <w:trPr>
          <w:tblCellSpacing w:w="15" w:type="dxa"/>
        </w:trPr>
        <w:tc>
          <w:tcPr>
            <w:tcW w:w="2441" w:type="dxa"/>
            <w:tcBorders>
              <w:top w:val="single" w:sz="2" w:space="0" w:color="auto"/>
              <w:bottom w:val="single" w:sz="2" w:space="0" w:color="auto"/>
              <w:right w:val="nil"/>
            </w:tcBorders>
            <w:vAlign w:val="center"/>
            <w:hideMark/>
          </w:tcPr>
          <w:p w14:paraId="44187BEE" w14:textId="77777777" w:rsidR="00231639" w:rsidRPr="00A374E0" w:rsidRDefault="00231639"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A374E0">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7A572390" w14:textId="77777777" w:rsidR="00231639" w:rsidRPr="00A374E0" w:rsidRDefault="00231639"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A374E0">
              <w:rPr>
                <w:rFonts w:ascii="Times New Roman" w:eastAsia="Times New Roman" w:hAnsi="Times New Roman" w:cs="Times New Roman"/>
                <w:sz w:val="24"/>
                <w:szCs w:val="24"/>
                <w:lang w:eastAsia="lv-LV"/>
              </w:rPr>
              <w:t>Kādēļ?</w:t>
            </w:r>
          </w:p>
        </w:tc>
        <w:tc>
          <w:tcPr>
            <w:tcW w:w="6967" w:type="dxa"/>
            <w:gridSpan w:val="3"/>
            <w:tcBorders>
              <w:top w:val="single" w:sz="2" w:space="0" w:color="auto"/>
              <w:bottom w:val="nil"/>
            </w:tcBorders>
            <w:hideMark/>
          </w:tcPr>
          <w:p w14:paraId="7BFC3DCD" w14:textId="4E97AB51" w:rsidR="00231639" w:rsidRPr="009E2D28" w:rsidRDefault="00231639"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Projekts šo jomu neskar</w:t>
            </w:r>
            <w:r w:rsidR="000F1C9F" w:rsidRPr="009E2D28">
              <w:rPr>
                <w:rFonts w:ascii="Times New Roman" w:eastAsia="Times New Roman" w:hAnsi="Times New Roman" w:cs="Times New Roman"/>
                <w:sz w:val="24"/>
                <w:szCs w:val="24"/>
                <w:lang w:eastAsia="lv-LV"/>
              </w:rPr>
              <w:t>.</w:t>
            </w:r>
          </w:p>
        </w:tc>
      </w:tr>
      <w:tr w:rsidR="00231639" w:rsidRPr="0046788D" w14:paraId="1F7C86D5" w14:textId="77777777" w:rsidTr="00BD7257">
        <w:trPr>
          <w:tblCellSpacing w:w="15" w:type="dxa"/>
        </w:trPr>
        <w:tc>
          <w:tcPr>
            <w:tcW w:w="2441" w:type="dxa"/>
            <w:tcBorders>
              <w:top w:val="single" w:sz="2" w:space="0" w:color="auto"/>
              <w:bottom w:val="single" w:sz="4" w:space="0" w:color="auto"/>
              <w:right w:val="nil"/>
            </w:tcBorders>
            <w:vAlign w:val="center"/>
            <w:hideMark/>
          </w:tcPr>
          <w:p w14:paraId="09D2999A" w14:textId="77777777" w:rsidR="00231639" w:rsidRPr="00A374E0" w:rsidRDefault="00231639"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A374E0">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67" w:type="dxa"/>
            <w:gridSpan w:val="3"/>
            <w:tcBorders>
              <w:top w:val="single" w:sz="2" w:space="0" w:color="auto"/>
              <w:bottom w:val="single" w:sz="4" w:space="0" w:color="auto"/>
            </w:tcBorders>
            <w:hideMark/>
          </w:tcPr>
          <w:p w14:paraId="6F5B5FF1" w14:textId="4F51FFA5" w:rsidR="00231639" w:rsidRPr="009E2D28" w:rsidRDefault="00231639"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Projekts šo jomu neskar</w:t>
            </w:r>
            <w:r w:rsidR="000F1C9F" w:rsidRPr="009E2D28">
              <w:rPr>
                <w:rFonts w:ascii="Times New Roman" w:eastAsia="Times New Roman" w:hAnsi="Times New Roman" w:cs="Times New Roman"/>
                <w:sz w:val="24"/>
                <w:szCs w:val="24"/>
                <w:lang w:eastAsia="lv-LV"/>
              </w:rPr>
              <w:t>.</w:t>
            </w:r>
          </w:p>
        </w:tc>
      </w:tr>
      <w:tr w:rsidR="00231639" w:rsidRPr="0046788D" w14:paraId="55682B1A" w14:textId="77777777" w:rsidTr="00BD7257">
        <w:trPr>
          <w:tblCellSpacing w:w="15" w:type="dxa"/>
        </w:trPr>
        <w:tc>
          <w:tcPr>
            <w:tcW w:w="2441" w:type="dxa"/>
            <w:hideMark/>
          </w:tcPr>
          <w:p w14:paraId="074D4A9C" w14:textId="77777777" w:rsidR="00231639" w:rsidRPr="00A374E0" w:rsidRDefault="00231639"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A374E0">
              <w:rPr>
                <w:rFonts w:ascii="Times New Roman" w:eastAsia="Times New Roman" w:hAnsi="Times New Roman" w:cs="Times New Roman"/>
                <w:sz w:val="24"/>
                <w:szCs w:val="24"/>
                <w:lang w:eastAsia="lv-LV"/>
              </w:rPr>
              <w:t>Cita informācija</w:t>
            </w:r>
          </w:p>
        </w:tc>
        <w:tc>
          <w:tcPr>
            <w:tcW w:w="6967" w:type="dxa"/>
            <w:gridSpan w:val="3"/>
            <w:hideMark/>
          </w:tcPr>
          <w:p w14:paraId="3B34031C" w14:textId="4CC7F914" w:rsidR="00231639" w:rsidRPr="009E2D28" w:rsidRDefault="00231639" w:rsidP="00BD7257">
            <w:pPr>
              <w:spacing w:before="100" w:beforeAutospacing="1" w:after="100" w:afterAutospacing="1" w:line="240" w:lineRule="auto"/>
              <w:rPr>
                <w:rFonts w:ascii="Times New Roman" w:eastAsia="Times New Roman" w:hAnsi="Times New Roman" w:cs="Times New Roman"/>
                <w:sz w:val="24"/>
                <w:szCs w:val="24"/>
                <w:lang w:eastAsia="lv-LV"/>
              </w:rPr>
            </w:pPr>
            <w:r w:rsidRPr="009E2D28">
              <w:rPr>
                <w:rFonts w:ascii="Times New Roman" w:eastAsia="Times New Roman" w:hAnsi="Times New Roman" w:cs="Times New Roman"/>
                <w:sz w:val="24"/>
                <w:szCs w:val="24"/>
                <w:lang w:eastAsia="lv-LV"/>
              </w:rPr>
              <w:t>Nav</w:t>
            </w:r>
            <w:r w:rsidR="000F1C9F" w:rsidRPr="009E2D28">
              <w:rPr>
                <w:rFonts w:ascii="Times New Roman" w:eastAsia="Times New Roman" w:hAnsi="Times New Roman" w:cs="Times New Roman"/>
                <w:sz w:val="24"/>
                <w:szCs w:val="24"/>
                <w:lang w:eastAsia="lv-LV"/>
              </w:rPr>
              <w:t>.</w:t>
            </w:r>
          </w:p>
        </w:tc>
      </w:tr>
    </w:tbl>
    <w:p w14:paraId="184A6DCC" w14:textId="77777777" w:rsidR="00231639" w:rsidRPr="0046788D" w:rsidRDefault="00231639" w:rsidP="00231639">
      <w:pPr>
        <w:spacing w:after="0" w:line="240" w:lineRule="auto"/>
        <w:rPr>
          <w:rFonts w:ascii="Times New Roman" w:eastAsia="Times New Roman" w:hAnsi="Times New Roman" w:cs="Times New Roman"/>
          <w:sz w:val="24"/>
          <w:szCs w:val="24"/>
          <w:lang w:eastAsia="lv-LV"/>
        </w:rPr>
      </w:pPr>
    </w:p>
    <w:tbl>
      <w:tblPr>
        <w:tblW w:w="9490"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84"/>
        <w:gridCol w:w="2418"/>
        <w:gridCol w:w="4488"/>
      </w:tblGrid>
      <w:tr w:rsidR="00231639" w:rsidRPr="0046788D" w14:paraId="403B188F" w14:textId="77777777" w:rsidTr="00231639">
        <w:trPr>
          <w:jc w:val="center"/>
        </w:trPr>
        <w:tc>
          <w:tcPr>
            <w:tcW w:w="9490" w:type="dxa"/>
            <w:gridSpan w:val="3"/>
            <w:tcBorders>
              <w:top w:val="outset" w:sz="6" w:space="0" w:color="auto"/>
              <w:left w:val="outset" w:sz="6" w:space="0" w:color="auto"/>
              <w:bottom w:val="outset" w:sz="6" w:space="0" w:color="auto"/>
              <w:right w:val="outset" w:sz="6" w:space="0" w:color="auto"/>
            </w:tcBorders>
            <w:vAlign w:val="center"/>
            <w:hideMark/>
          </w:tcPr>
          <w:p w14:paraId="7A62ED6B" w14:textId="77777777" w:rsidR="00231639" w:rsidRPr="0046788D" w:rsidRDefault="00231639" w:rsidP="00BD7257">
            <w:pPr>
              <w:spacing w:after="0"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b/>
                <w:bCs/>
                <w:sz w:val="24"/>
                <w:szCs w:val="24"/>
                <w:lang w:eastAsia="lv-LV"/>
              </w:rPr>
              <w:t>2.tabula</w:t>
            </w:r>
            <w:r w:rsidRPr="0046788D">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6788D">
              <w:rPr>
                <w:rFonts w:ascii="Times New Roman" w:eastAsia="Times New Roman" w:hAnsi="Times New Roman" w:cs="Times New Roman"/>
                <w:b/>
                <w:bCs/>
                <w:sz w:val="24"/>
                <w:szCs w:val="24"/>
                <w:lang w:eastAsia="lv-LV"/>
              </w:rPr>
              <w:br/>
              <w:t>Pasākumi šo saistību izpildei</w:t>
            </w:r>
          </w:p>
        </w:tc>
      </w:tr>
      <w:tr w:rsidR="00231639" w:rsidRPr="0046788D" w14:paraId="20C0F439" w14:textId="77777777" w:rsidTr="00231639">
        <w:trPr>
          <w:jc w:val="center"/>
        </w:trPr>
        <w:tc>
          <w:tcPr>
            <w:tcW w:w="2584" w:type="dxa"/>
            <w:tcBorders>
              <w:top w:val="outset" w:sz="6" w:space="0" w:color="auto"/>
              <w:left w:val="outset" w:sz="6" w:space="0" w:color="auto"/>
              <w:bottom w:val="outset" w:sz="6" w:space="0" w:color="auto"/>
              <w:right w:val="outset" w:sz="6" w:space="0" w:color="auto"/>
            </w:tcBorders>
            <w:vAlign w:val="center"/>
            <w:hideMark/>
          </w:tcPr>
          <w:p w14:paraId="3629F500" w14:textId="77777777"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906" w:type="dxa"/>
            <w:gridSpan w:val="2"/>
            <w:tcBorders>
              <w:top w:val="outset" w:sz="6" w:space="0" w:color="auto"/>
              <w:left w:val="outset" w:sz="6" w:space="0" w:color="auto"/>
              <w:bottom w:val="outset" w:sz="6" w:space="0" w:color="auto"/>
              <w:right w:val="outset" w:sz="6" w:space="0" w:color="auto"/>
            </w:tcBorders>
            <w:hideMark/>
          </w:tcPr>
          <w:p w14:paraId="02A8CCAF" w14:textId="77777777"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231639" w:rsidRPr="0046788D" w14:paraId="74780929" w14:textId="77777777" w:rsidTr="00231639">
        <w:trPr>
          <w:jc w:val="center"/>
        </w:trPr>
        <w:tc>
          <w:tcPr>
            <w:tcW w:w="2584" w:type="dxa"/>
            <w:tcBorders>
              <w:top w:val="outset" w:sz="6" w:space="0" w:color="auto"/>
              <w:left w:val="outset" w:sz="6" w:space="0" w:color="auto"/>
              <w:bottom w:val="outset" w:sz="6" w:space="0" w:color="auto"/>
              <w:right w:val="outset" w:sz="6" w:space="0" w:color="auto"/>
            </w:tcBorders>
            <w:vAlign w:val="center"/>
            <w:hideMark/>
          </w:tcPr>
          <w:p w14:paraId="2565ED5A" w14:textId="77777777"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418" w:type="dxa"/>
            <w:tcBorders>
              <w:top w:val="outset" w:sz="6" w:space="0" w:color="auto"/>
              <w:left w:val="outset" w:sz="6" w:space="0" w:color="auto"/>
              <w:bottom w:val="outset" w:sz="6" w:space="0" w:color="auto"/>
              <w:right w:val="outset" w:sz="6" w:space="0" w:color="auto"/>
            </w:tcBorders>
            <w:vAlign w:val="center"/>
            <w:hideMark/>
          </w:tcPr>
          <w:p w14:paraId="524F5A7B" w14:textId="77777777"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4488" w:type="dxa"/>
            <w:tcBorders>
              <w:top w:val="outset" w:sz="6" w:space="0" w:color="auto"/>
              <w:left w:val="outset" w:sz="6" w:space="0" w:color="auto"/>
              <w:bottom w:val="outset" w:sz="6" w:space="0" w:color="auto"/>
              <w:right w:val="outset" w:sz="6" w:space="0" w:color="auto"/>
            </w:tcBorders>
            <w:vAlign w:val="center"/>
            <w:hideMark/>
          </w:tcPr>
          <w:p w14:paraId="494EF0C8" w14:textId="77777777"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r>
      <w:tr w:rsidR="00231639" w:rsidRPr="0046788D" w14:paraId="72771B74" w14:textId="77777777" w:rsidTr="00231639">
        <w:trPr>
          <w:jc w:val="center"/>
        </w:trPr>
        <w:tc>
          <w:tcPr>
            <w:tcW w:w="2584" w:type="dxa"/>
            <w:tcBorders>
              <w:top w:val="outset" w:sz="6" w:space="0" w:color="auto"/>
              <w:left w:val="outset" w:sz="6" w:space="0" w:color="auto"/>
              <w:bottom w:val="outset" w:sz="6" w:space="0" w:color="auto"/>
              <w:right w:val="outset" w:sz="6" w:space="0" w:color="auto"/>
            </w:tcBorders>
            <w:hideMark/>
          </w:tcPr>
          <w:p w14:paraId="3C04684D" w14:textId="77777777"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102215F0" w14:textId="77777777"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418" w:type="dxa"/>
            <w:tcBorders>
              <w:top w:val="outset" w:sz="6" w:space="0" w:color="auto"/>
              <w:left w:val="outset" w:sz="6" w:space="0" w:color="auto"/>
              <w:bottom w:val="outset" w:sz="6" w:space="0" w:color="auto"/>
              <w:right w:val="outset" w:sz="6" w:space="0" w:color="auto"/>
            </w:tcBorders>
            <w:hideMark/>
          </w:tcPr>
          <w:p w14:paraId="06B04200" w14:textId="42FB524F"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r w:rsidR="000F1C9F">
              <w:rPr>
                <w:rFonts w:ascii="Times New Roman" w:eastAsia="Times New Roman" w:hAnsi="Times New Roman" w:cs="Times New Roman"/>
                <w:sz w:val="24"/>
                <w:szCs w:val="24"/>
                <w:lang w:eastAsia="lv-LV"/>
              </w:rPr>
              <w:t>.</w:t>
            </w:r>
          </w:p>
        </w:tc>
        <w:tc>
          <w:tcPr>
            <w:tcW w:w="4488" w:type="dxa"/>
            <w:tcBorders>
              <w:top w:val="outset" w:sz="6" w:space="0" w:color="auto"/>
              <w:left w:val="outset" w:sz="6" w:space="0" w:color="auto"/>
              <w:bottom w:val="outset" w:sz="6" w:space="0" w:color="auto"/>
              <w:right w:val="outset" w:sz="6" w:space="0" w:color="auto"/>
            </w:tcBorders>
            <w:hideMark/>
          </w:tcPr>
          <w:p w14:paraId="32E0BB1D" w14:textId="3CF7D0D9"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r w:rsidR="000F1C9F">
              <w:rPr>
                <w:rFonts w:ascii="Times New Roman" w:eastAsia="Times New Roman" w:hAnsi="Times New Roman" w:cs="Times New Roman"/>
                <w:sz w:val="24"/>
                <w:szCs w:val="24"/>
                <w:lang w:eastAsia="lv-LV"/>
              </w:rPr>
              <w:t>.</w:t>
            </w:r>
          </w:p>
        </w:tc>
      </w:tr>
      <w:tr w:rsidR="00231639" w:rsidRPr="0046788D" w14:paraId="222A0254" w14:textId="77777777" w:rsidTr="00231639">
        <w:trPr>
          <w:jc w:val="center"/>
        </w:trPr>
        <w:tc>
          <w:tcPr>
            <w:tcW w:w="2584" w:type="dxa"/>
            <w:tcBorders>
              <w:top w:val="outset" w:sz="6" w:space="0" w:color="auto"/>
              <w:left w:val="outset" w:sz="6" w:space="0" w:color="auto"/>
              <w:bottom w:val="outset" w:sz="6" w:space="0" w:color="auto"/>
              <w:right w:val="outset" w:sz="6" w:space="0" w:color="auto"/>
            </w:tcBorders>
            <w:hideMark/>
          </w:tcPr>
          <w:p w14:paraId="5E651BC3" w14:textId="77777777"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906" w:type="dxa"/>
            <w:gridSpan w:val="2"/>
            <w:tcBorders>
              <w:top w:val="outset" w:sz="6" w:space="0" w:color="auto"/>
              <w:left w:val="outset" w:sz="6" w:space="0" w:color="auto"/>
              <w:bottom w:val="outset" w:sz="6" w:space="0" w:color="auto"/>
              <w:right w:val="outset" w:sz="6" w:space="0" w:color="auto"/>
            </w:tcBorders>
            <w:hideMark/>
          </w:tcPr>
          <w:p w14:paraId="67E6F3F6" w14:textId="2A6A88C6"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r w:rsidR="000F1C9F">
              <w:rPr>
                <w:rFonts w:ascii="Times New Roman" w:eastAsia="Times New Roman" w:hAnsi="Times New Roman" w:cs="Times New Roman"/>
                <w:sz w:val="24"/>
                <w:szCs w:val="24"/>
                <w:lang w:eastAsia="lv-LV"/>
              </w:rPr>
              <w:t>.</w:t>
            </w:r>
          </w:p>
        </w:tc>
      </w:tr>
      <w:tr w:rsidR="00231639" w:rsidRPr="0046788D" w14:paraId="06ACD5CB" w14:textId="77777777" w:rsidTr="00231639">
        <w:trPr>
          <w:jc w:val="center"/>
        </w:trPr>
        <w:tc>
          <w:tcPr>
            <w:tcW w:w="2584" w:type="dxa"/>
            <w:tcBorders>
              <w:top w:val="outset" w:sz="6" w:space="0" w:color="auto"/>
              <w:left w:val="outset" w:sz="6" w:space="0" w:color="auto"/>
              <w:bottom w:val="outset" w:sz="6" w:space="0" w:color="auto"/>
              <w:right w:val="outset" w:sz="6" w:space="0" w:color="auto"/>
            </w:tcBorders>
            <w:hideMark/>
          </w:tcPr>
          <w:p w14:paraId="40A821D0" w14:textId="77777777"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906" w:type="dxa"/>
            <w:gridSpan w:val="2"/>
            <w:tcBorders>
              <w:top w:val="outset" w:sz="6" w:space="0" w:color="auto"/>
              <w:left w:val="outset" w:sz="6" w:space="0" w:color="auto"/>
              <w:bottom w:val="outset" w:sz="6" w:space="0" w:color="auto"/>
              <w:right w:val="outset" w:sz="6" w:space="0" w:color="auto"/>
            </w:tcBorders>
            <w:hideMark/>
          </w:tcPr>
          <w:p w14:paraId="0D26057A" w14:textId="457EB34E" w:rsidR="00231639" w:rsidRPr="0046788D" w:rsidRDefault="00231639" w:rsidP="00BD725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r w:rsidR="000F1C9F">
              <w:rPr>
                <w:rFonts w:ascii="Times New Roman" w:eastAsia="Times New Roman" w:hAnsi="Times New Roman" w:cs="Times New Roman"/>
                <w:sz w:val="24"/>
                <w:szCs w:val="24"/>
                <w:lang w:eastAsia="lv-LV"/>
              </w:rPr>
              <w:t>.</w:t>
            </w:r>
          </w:p>
        </w:tc>
      </w:tr>
    </w:tbl>
    <w:p w14:paraId="2F927043" w14:textId="77777777" w:rsidR="00231639" w:rsidRDefault="00231639" w:rsidP="00231639">
      <w:pPr>
        <w:spacing w:after="0" w:line="240" w:lineRule="auto"/>
        <w:rPr>
          <w:rFonts w:ascii="Times New Roman" w:eastAsia="Times New Roman" w:hAnsi="Times New Roman" w:cs="Times New Roman"/>
          <w:sz w:val="28"/>
          <w:szCs w:val="28"/>
          <w:lang w:eastAsia="lv-LV"/>
        </w:rPr>
      </w:pPr>
    </w:p>
    <w:tbl>
      <w:tblPr>
        <w:tblW w:w="508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47"/>
        <w:gridCol w:w="1461"/>
        <w:gridCol w:w="7489"/>
      </w:tblGrid>
      <w:tr w:rsidR="00571D01" w:rsidRPr="000B79B2" w14:paraId="2CCC75B0" w14:textId="77777777" w:rsidTr="00652D3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AE8B74A" w14:textId="77777777" w:rsidR="00571D01" w:rsidRPr="00C13E2D"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71D01" w:rsidRPr="000B79B2" w14:paraId="7834B1DA" w14:textId="77777777" w:rsidTr="00652D33">
        <w:tc>
          <w:tcPr>
            <w:tcW w:w="288" w:type="pct"/>
            <w:tcBorders>
              <w:top w:val="outset" w:sz="6" w:space="0" w:color="414142"/>
              <w:left w:val="outset" w:sz="6" w:space="0" w:color="414142"/>
              <w:bottom w:val="outset" w:sz="6" w:space="0" w:color="414142"/>
              <w:right w:val="outset" w:sz="6" w:space="0" w:color="414142"/>
            </w:tcBorders>
            <w:hideMark/>
          </w:tcPr>
          <w:p w14:paraId="3ACBB8AE" w14:textId="77777777"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769" w:type="pct"/>
            <w:tcBorders>
              <w:top w:val="outset" w:sz="6" w:space="0" w:color="414142"/>
              <w:left w:val="outset" w:sz="6" w:space="0" w:color="414142"/>
              <w:bottom w:val="outset" w:sz="6" w:space="0" w:color="414142"/>
              <w:right w:val="outset" w:sz="6" w:space="0" w:color="414142"/>
            </w:tcBorders>
            <w:hideMark/>
          </w:tcPr>
          <w:p w14:paraId="3478B996" w14:textId="77777777" w:rsidR="00571D01" w:rsidRPr="005C5F58" w:rsidRDefault="00571D01" w:rsidP="006E60D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943" w:type="pct"/>
            <w:tcBorders>
              <w:top w:val="outset" w:sz="6" w:space="0" w:color="414142"/>
              <w:left w:val="outset" w:sz="6" w:space="0" w:color="414142"/>
              <w:bottom w:val="outset" w:sz="6" w:space="0" w:color="414142"/>
              <w:right w:val="outset" w:sz="6" w:space="0" w:color="414142"/>
            </w:tcBorders>
            <w:hideMark/>
          </w:tcPr>
          <w:p w14:paraId="1B1DD40F" w14:textId="77777777" w:rsidR="005E5A4D" w:rsidRDefault="00AB4C11" w:rsidP="005E5A4D">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sidRPr="005E5A4D">
              <w:rPr>
                <w:rFonts w:ascii="Times New Roman" w:hAnsi="Times New Roman" w:cs="Times New Roman"/>
                <w:iCs/>
                <w:sz w:val="24"/>
                <w:szCs w:val="24"/>
              </w:rPr>
              <w:t>Informācija par projekta izstrādi ir publicēta Finanšu m</w:t>
            </w:r>
            <w:r w:rsidR="005E5A4D">
              <w:rPr>
                <w:rFonts w:ascii="Times New Roman" w:hAnsi="Times New Roman" w:cs="Times New Roman"/>
                <w:iCs/>
                <w:sz w:val="24"/>
                <w:szCs w:val="24"/>
              </w:rPr>
              <w:t xml:space="preserve">inistrijas tīmekļvietnē sadaļā </w:t>
            </w:r>
            <w:r w:rsidR="005E5A4D"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sidR="005E5A4D">
              <w:rPr>
                <w:rFonts w:ascii="Times New Roman" w:hAnsi="Times New Roman" w:cs="Times New Roman"/>
                <w:iCs/>
                <w:sz w:val="24"/>
                <w:szCs w:val="24"/>
              </w:rPr>
              <w:t xml:space="preserve">līdzdalība” – </w:t>
            </w:r>
            <w:r w:rsidR="005E5A4D" w:rsidRPr="00802B78">
              <w:rPr>
                <w:rFonts w:ascii="Times New Roman" w:hAnsi="Times New Roman" w:cs="Times New Roman"/>
                <w:sz w:val="24"/>
                <w:szCs w:val="24"/>
              </w:rPr>
              <w:t>„</w:t>
            </w:r>
            <w:r w:rsidR="005E5A4D">
              <w:rPr>
                <w:rFonts w:ascii="Times New Roman" w:hAnsi="Times New Roman" w:cs="Times New Roman"/>
                <w:iCs/>
                <w:sz w:val="24"/>
                <w:szCs w:val="24"/>
              </w:rPr>
              <w:t xml:space="preserve">Tiesību aktu projekti” – </w:t>
            </w:r>
            <w:r w:rsidR="005E5A4D" w:rsidRPr="00802B78">
              <w:rPr>
                <w:rFonts w:ascii="Times New Roman" w:hAnsi="Times New Roman" w:cs="Times New Roman"/>
                <w:sz w:val="24"/>
                <w:szCs w:val="24"/>
              </w:rPr>
              <w:t>„</w:t>
            </w:r>
            <w:r w:rsidR="0003126E">
              <w:rPr>
                <w:rFonts w:ascii="Times New Roman" w:hAnsi="Times New Roman" w:cs="Times New Roman"/>
                <w:iCs/>
                <w:sz w:val="24"/>
                <w:szCs w:val="24"/>
              </w:rPr>
              <w:t>Muitas</w:t>
            </w:r>
            <w:r w:rsidRPr="005E5A4D">
              <w:rPr>
                <w:rFonts w:ascii="Times New Roman" w:hAnsi="Times New Roman" w:cs="Times New Roman"/>
                <w:iCs/>
                <w:sz w:val="24"/>
                <w:szCs w:val="24"/>
              </w:rPr>
              <w:t xml:space="preserve"> politika”. L</w:t>
            </w:r>
            <w:r w:rsidRPr="005E5A4D">
              <w:rPr>
                <w:rFonts w:ascii="Times New Roman" w:hAnsi="Times New Roman" w:cs="Times New Roman"/>
                <w:iCs/>
                <w:spacing w:val="-2"/>
                <w:sz w:val="24"/>
                <w:szCs w:val="24"/>
              </w:rPr>
              <w:t xml:space="preserve">īdz ar to sabiedrības pārstāvji varēja līdzdarboties projekta izstrādē, </w:t>
            </w:r>
            <w:proofErr w:type="spellStart"/>
            <w:r w:rsidRPr="005E5A4D">
              <w:rPr>
                <w:rFonts w:ascii="Times New Roman" w:hAnsi="Times New Roman" w:cs="Times New Roman"/>
                <w:iCs/>
                <w:spacing w:val="-2"/>
                <w:sz w:val="24"/>
                <w:szCs w:val="24"/>
              </w:rPr>
              <w:t>rakstveidā</w:t>
            </w:r>
            <w:proofErr w:type="spellEnd"/>
            <w:r w:rsidRPr="005E5A4D">
              <w:rPr>
                <w:rFonts w:ascii="Times New Roman" w:hAnsi="Times New Roman" w:cs="Times New Roman"/>
                <w:iCs/>
                <w:spacing w:val="-2"/>
                <w:sz w:val="24"/>
                <w:szCs w:val="24"/>
              </w:rPr>
              <w:t xml:space="preserve"> sniedzot viedokļus par projektu.</w:t>
            </w:r>
            <w:r w:rsidRPr="005E5A4D">
              <w:rPr>
                <w:rFonts w:ascii="Times New Roman" w:hAnsi="Times New Roman" w:cs="Times New Roman"/>
                <w:iCs/>
                <w:sz w:val="24"/>
                <w:szCs w:val="24"/>
              </w:rPr>
              <w:t xml:space="preserve"> </w:t>
            </w:r>
            <w:r w:rsidRPr="005E5A4D">
              <w:rPr>
                <w:rFonts w:ascii="Times New Roman" w:hAnsi="Times New Roman" w:cs="Times New Roman"/>
                <w:iCs/>
                <w:spacing w:val="-2"/>
                <w:sz w:val="24"/>
                <w:szCs w:val="24"/>
              </w:rPr>
              <w:t>Tāpat sabiedrības pārstāvji</w:t>
            </w:r>
            <w:r w:rsidR="008034B8">
              <w:rPr>
                <w:rFonts w:ascii="Times New Roman" w:hAnsi="Times New Roman" w:cs="Times New Roman"/>
                <w:iCs/>
                <w:spacing w:val="-2"/>
                <w:sz w:val="24"/>
                <w:szCs w:val="24"/>
              </w:rPr>
              <w:t xml:space="preserve"> varēs</w:t>
            </w:r>
            <w:r w:rsidRPr="005E5A4D">
              <w:rPr>
                <w:rFonts w:ascii="Times New Roman" w:hAnsi="Times New Roman" w:cs="Times New Roman"/>
                <w:iCs/>
                <w:spacing w:val="-2"/>
                <w:sz w:val="24"/>
                <w:szCs w:val="24"/>
              </w:rPr>
              <w:t xml:space="preserve"> sniegt viedokļus par projektu pēc tā izsludināšanas Valsts sekretāru sanāksmē.</w:t>
            </w:r>
            <w:r w:rsidR="005E5A4D" w:rsidRPr="00C13E2D">
              <w:rPr>
                <w:rFonts w:ascii="Times New Roman" w:eastAsia="Times New Roman" w:hAnsi="Times New Roman" w:cs="Times New Roman"/>
                <w:sz w:val="24"/>
                <w:szCs w:val="24"/>
                <w:lang w:eastAsia="lv-LV"/>
              </w:rPr>
              <w:t xml:space="preserve"> </w:t>
            </w:r>
          </w:p>
          <w:p w14:paraId="43964DD5" w14:textId="5F2A26FD" w:rsidR="00910BA0" w:rsidRPr="00C13E2D" w:rsidRDefault="00910BA0" w:rsidP="005E5A4D">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Pr>
                <w:rFonts w:ascii="Times New Roman" w:hAnsi="Times New Roman" w:cs="Times New Roman"/>
                <w:iCs/>
                <w:spacing w:val="-2"/>
                <w:sz w:val="24"/>
                <w:szCs w:val="24"/>
              </w:rPr>
              <w:t>Mini</w:t>
            </w:r>
            <w:r w:rsidR="00F562FA">
              <w:rPr>
                <w:rFonts w:ascii="Times New Roman" w:hAnsi="Times New Roman" w:cs="Times New Roman"/>
                <w:iCs/>
                <w:spacing w:val="-2"/>
                <w:sz w:val="24"/>
                <w:szCs w:val="24"/>
              </w:rPr>
              <w:t>stru kabineta noteikumu projekts tika</w:t>
            </w:r>
            <w:r>
              <w:rPr>
                <w:rFonts w:ascii="Times New Roman" w:hAnsi="Times New Roman" w:cs="Times New Roman"/>
                <w:iCs/>
                <w:spacing w:val="-2"/>
                <w:sz w:val="24"/>
                <w:szCs w:val="24"/>
              </w:rPr>
              <w:t xml:space="preserve"> nosūtīt</w:t>
            </w:r>
            <w:r w:rsidR="00F562FA">
              <w:rPr>
                <w:rFonts w:ascii="Times New Roman" w:hAnsi="Times New Roman" w:cs="Times New Roman"/>
                <w:iCs/>
                <w:spacing w:val="-2"/>
                <w:sz w:val="24"/>
                <w:szCs w:val="24"/>
              </w:rPr>
              <w:t>s</w:t>
            </w:r>
            <w:r>
              <w:rPr>
                <w:rFonts w:ascii="Times New Roman" w:hAnsi="Times New Roman" w:cs="Times New Roman"/>
                <w:iCs/>
                <w:spacing w:val="-2"/>
                <w:sz w:val="24"/>
                <w:szCs w:val="24"/>
              </w:rPr>
              <w:t xml:space="preserve"> </w:t>
            </w:r>
            <w:r>
              <w:rPr>
                <w:rFonts w:ascii="Times New Roman" w:eastAsia="Times New Roman" w:hAnsi="Times New Roman"/>
                <w:sz w:val="24"/>
                <w:szCs w:val="24"/>
                <w:lang w:eastAsia="lv-LV"/>
              </w:rPr>
              <w:t>Konsultatīvās padomes muitas politikas jomā locekļiem.</w:t>
            </w:r>
          </w:p>
        </w:tc>
      </w:tr>
      <w:tr w:rsidR="00571D01" w:rsidRPr="000B79B2" w14:paraId="4787BC6C" w14:textId="77777777" w:rsidTr="00652D33">
        <w:tc>
          <w:tcPr>
            <w:tcW w:w="288" w:type="pct"/>
            <w:tcBorders>
              <w:top w:val="outset" w:sz="6" w:space="0" w:color="414142"/>
              <w:left w:val="outset" w:sz="6" w:space="0" w:color="414142"/>
              <w:bottom w:val="outset" w:sz="6" w:space="0" w:color="414142"/>
              <w:right w:val="outset" w:sz="6" w:space="0" w:color="414142"/>
            </w:tcBorders>
            <w:hideMark/>
          </w:tcPr>
          <w:p w14:paraId="1897F15B" w14:textId="77777777"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769" w:type="pct"/>
            <w:tcBorders>
              <w:top w:val="outset" w:sz="6" w:space="0" w:color="414142"/>
              <w:left w:val="outset" w:sz="6" w:space="0" w:color="414142"/>
              <w:bottom w:val="outset" w:sz="6" w:space="0" w:color="414142"/>
              <w:right w:val="outset" w:sz="6" w:space="0" w:color="414142"/>
            </w:tcBorders>
            <w:hideMark/>
          </w:tcPr>
          <w:p w14:paraId="1812FEF6" w14:textId="77777777"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 xml:space="preserve">Sabiedrības līdzdalība </w:t>
            </w:r>
            <w:r w:rsidRPr="007A01E4">
              <w:rPr>
                <w:rFonts w:ascii="Times New Roman" w:eastAsia="Times New Roman" w:hAnsi="Times New Roman" w:cs="Times New Roman"/>
                <w:sz w:val="24"/>
                <w:szCs w:val="24"/>
                <w:lang w:eastAsia="lv-LV"/>
              </w:rPr>
              <w:lastRenderedPageBreak/>
              <w:t>projekta izstrādē</w:t>
            </w:r>
          </w:p>
        </w:tc>
        <w:tc>
          <w:tcPr>
            <w:tcW w:w="3943" w:type="pct"/>
            <w:tcBorders>
              <w:top w:val="outset" w:sz="6" w:space="0" w:color="414142"/>
              <w:left w:val="outset" w:sz="6" w:space="0" w:color="414142"/>
              <w:bottom w:val="outset" w:sz="6" w:space="0" w:color="414142"/>
              <w:right w:val="outset" w:sz="6" w:space="0" w:color="414142"/>
            </w:tcBorders>
            <w:hideMark/>
          </w:tcPr>
          <w:p w14:paraId="3BB53327" w14:textId="6630C2E5" w:rsidR="0074797E" w:rsidRPr="005E5A4D" w:rsidRDefault="005E5A4D" w:rsidP="00FF0463">
            <w:pPr>
              <w:pStyle w:val="NormalWeb"/>
              <w:spacing w:before="0" w:beforeAutospacing="0" w:after="0" w:afterAutospacing="0"/>
              <w:ind w:right="108" w:firstLine="371"/>
              <w:jc w:val="both"/>
              <w:rPr>
                <w:rFonts w:ascii="Calibri" w:hAnsi="Calibri"/>
                <w:sz w:val="22"/>
                <w:szCs w:val="22"/>
              </w:rPr>
            </w:pPr>
            <w:r>
              <w:rPr>
                <w:iCs/>
              </w:rPr>
              <w:lastRenderedPageBreak/>
              <w:t xml:space="preserve">Informācija par Ministru kabineta noteikumu projektu </w:t>
            </w:r>
            <w:r w:rsidR="009D202F">
              <w:rPr>
                <w:iCs/>
              </w:rPr>
              <w:t>2019</w:t>
            </w:r>
            <w:r w:rsidRPr="005E5A4D">
              <w:rPr>
                <w:iCs/>
              </w:rPr>
              <w:t>.</w:t>
            </w:r>
            <w:r w:rsidR="00AA7993">
              <w:t> </w:t>
            </w:r>
            <w:r w:rsidRPr="005E5A4D">
              <w:rPr>
                <w:iCs/>
              </w:rPr>
              <w:t xml:space="preserve">gada </w:t>
            </w:r>
            <w:r w:rsidR="009D202F">
              <w:rPr>
                <w:iCs/>
              </w:rPr>
              <w:t>14.janvārī</w:t>
            </w:r>
            <w:r>
              <w:rPr>
                <w:iCs/>
              </w:rPr>
              <w:t xml:space="preserve"> ir publicēta</w:t>
            </w:r>
            <w:r w:rsidRPr="005E5A4D">
              <w:rPr>
                <w:iCs/>
              </w:rPr>
              <w:t xml:space="preserve"> Finanšu ministrijas tīmekļvietnē sadaļā </w:t>
            </w:r>
            <w:r w:rsidRPr="005E5A4D">
              <w:t>„</w:t>
            </w:r>
            <w:r w:rsidRPr="005E5A4D">
              <w:rPr>
                <w:iCs/>
              </w:rPr>
              <w:t xml:space="preserve">Sabiedrības </w:t>
            </w:r>
            <w:r w:rsidRPr="005E5A4D">
              <w:rPr>
                <w:iCs/>
              </w:rPr>
              <w:lastRenderedPageBreak/>
              <w:t xml:space="preserve">līdzdalība” – </w:t>
            </w:r>
            <w:r w:rsidRPr="005E5A4D">
              <w:t>„</w:t>
            </w:r>
            <w:r w:rsidR="0074797E">
              <w:rPr>
                <w:iCs/>
              </w:rPr>
              <w:t>Tiesību aktu projekti”–</w:t>
            </w:r>
            <w:r w:rsidRPr="005E5A4D">
              <w:t>„</w:t>
            </w:r>
            <w:r w:rsidR="00EB5EA3">
              <w:rPr>
                <w:iCs/>
              </w:rPr>
              <w:t>Muitas</w:t>
            </w:r>
            <w:r w:rsidRPr="005E5A4D">
              <w:rPr>
                <w:iCs/>
              </w:rPr>
              <w:t xml:space="preserve"> politika”, adrese:</w:t>
            </w:r>
            <w:r w:rsidR="003832C8" w:rsidRPr="003832C8">
              <w:rPr>
                <w:iCs/>
              </w:rPr>
              <w:t xml:space="preserve"> </w:t>
            </w:r>
            <w:hyperlink r:id="rId10" w:anchor="project535" w:history="1">
              <w:r w:rsidR="0003126E" w:rsidRPr="00104531">
                <w:rPr>
                  <w:rStyle w:val="Hyperlink"/>
                  <w:iCs/>
                </w:rPr>
                <w:t>http://www.fm.gov.lv/lv/sabiedribas_lidzdaliba/tiesibu_aktu_projekti/muitas_politika/#project535</w:t>
              </w:r>
            </w:hyperlink>
            <w:r w:rsidR="0074797E">
              <w:rPr>
                <w:rStyle w:val="Hyperlink"/>
                <w:iCs/>
              </w:rPr>
              <w:t xml:space="preserve"> </w:t>
            </w:r>
            <w:r w:rsidR="0074797E" w:rsidRPr="005E5A4D">
              <w:rPr>
                <w:iCs/>
              </w:rPr>
              <w:t>un Ministr</w:t>
            </w:r>
            <w:r w:rsidR="0074797E">
              <w:rPr>
                <w:iCs/>
              </w:rPr>
              <w:t xml:space="preserve">u kabineta tīmekļvietnē sadaļā </w:t>
            </w:r>
            <w:r w:rsidR="0074797E" w:rsidRPr="005E5A4D">
              <w:t>„</w:t>
            </w:r>
            <w:r w:rsidR="0074797E">
              <w:rPr>
                <w:iCs/>
              </w:rPr>
              <w:t>Valsts kanceleja”–</w:t>
            </w:r>
            <w:r w:rsidR="0074797E" w:rsidRPr="005E5A4D">
              <w:t>„</w:t>
            </w:r>
            <w:r w:rsidR="0074797E" w:rsidRPr="005E5A4D">
              <w:rPr>
                <w:iCs/>
              </w:rPr>
              <w:t>Sabiedrības līdzdalība</w:t>
            </w:r>
            <w:r w:rsidR="0074797E" w:rsidRPr="005E5A4D">
              <w:t xml:space="preserve">”, </w:t>
            </w:r>
            <w:r w:rsidR="0074797E" w:rsidRPr="005E5A4D">
              <w:rPr>
                <w:iCs/>
              </w:rPr>
              <w:t>adrese:</w:t>
            </w:r>
            <w:r w:rsidR="0074797E" w:rsidRPr="005E5A4D">
              <w:t xml:space="preserve"> </w:t>
            </w:r>
            <w:hyperlink r:id="rId11" w:history="1">
              <w:r w:rsidR="0074797E" w:rsidRPr="005E5A4D">
                <w:rPr>
                  <w:rStyle w:val="Hyperlink"/>
                </w:rPr>
                <w:t>https://mk.gov.lv/content/ministru-kabineta-diskusiju-dokumenti</w:t>
              </w:r>
            </w:hyperlink>
            <w:r w:rsidR="0074797E" w:rsidRPr="005E5A4D">
              <w:rPr>
                <w:color w:val="0070C0"/>
                <w:u w:val="single"/>
              </w:rPr>
              <w:t>.</w:t>
            </w:r>
          </w:p>
          <w:p w14:paraId="0D27507E" w14:textId="220A3530" w:rsidR="003832C8" w:rsidRDefault="003832C8" w:rsidP="003832C8">
            <w:pPr>
              <w:pStyle w:val="NormalWeb"/>
              <w:spacing w:before="0" w:beforeAutospacing="0" w:after="0" w:afterAutospacing="0"/>
              <w:ind w:right="108" w:firstLine="371"/>
              <w:jc w:val="both"/>
              <w:rPr>
                <w:iCs/>
              </w:rPr>
            </w:pPr>
          </w:p>
          <w:p w14:paraId="2BCBE11C" w14:textId="037395E9" w:rsidR="005B6472" w:rsidRPr="00987E75" w:rsidRDefault="0003126E" w:rsidP="0003126E">
            <w:pPr>
              <w:pStyle w:val="NormalWeb"/>
              <w:spacing w:before="0" w:beforeAutospacing="0" w:after="0" w:afterAutospacing="0"/>
              <w:ind w:right="108" w:firstLine="371"/>
              <w:jc w:val="both"/>
            </w:pPr>
            <w:r>
              <w:rPr>
                <w:iCs/>
              </w:rPr>
              <w:t>Papildus tam 2018.gada 28.augusta</w:t>
            </w:r>
            <w:r w:rsidRPr="00BF7687">
              <w:t xml:space="preserve"> Ministru kabineta sēdē tika izskatīts </w:t>
            </w:r>
            <w:r>
              <w:t xml:space="preserve">un pieņemts </w:t>
            </w:r>
            <w:r w:rsidRPr="00BF7687">
              <w:t>informatīvais ziņojums “Par zudumu apmēru noteikšanas kārtību muitas uzraudzībā esošajām nefasētajām precēm”</w:t>
            </w:r>
            <w:r>
              <w:t xml:space="preserve">, līdz ar to sabiedrībai bija iespēja līdzdarboties informatīvā ziņojuma izstrādes laikā. </w:t>
            </w:r>
            <w:r>
              <w:rPr>
                <w:iCs/>
              </w:rPr>
              <w:t xml:space="preserve"> </w:t>
            </w:r>
          </w:p>
        </w:tc>
      </w:tr>
      <w:tr w:rsidR="00571D01" w:rsidRPr="000B79B2" w14:paraId="38624928" w14:textId="77777777" w:rsidTr="00652D33">
        <w:tc>
          <w:tcPr>
            <w:tcW w:w="288" w:type="pct"/>
            <w:tcBorders>
              <w:top w:val="outset" w:sz="6" w:space="0" w:color="414142"/>
              <w:left w:val="outset" w:sz="6" w:space="0" w:color="414142"/>
              <w:bottom w:val="outset" w:sz="6" w:space="0" w:color="414142"/>
              <w:right w:val="outset" w:sz="6" w:space="0" w:color="414142"/>
            </w:tcBorders>
            <w:hideMark/>
          </w:tcPr>
          <w:p w14:paraId="3D545F7D" w14:textId="77777777"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lastRenderedPageBreak/>
              <w:t>3.</w:t>
            </w:r>
          </w:p>
        </w:tc>
        <w:tc>
          <w:tcPr>
            <w:tcW w:w="769" w:type="pct"/>
            <w:tcBorders>
              <w:top w:val="outset" w:sz="6" w:space="0" w:color="414142"/>
              <w:left w:val="outset" w:sz="6" w:space="0" w:color="414142"/>
              <w:bottom w:val="outset" w:sz="6" w:space="0" w:color="414142"/>
              <w:right w:val="outset" w:sz="6" w:space="0" w:color="414142"/>
            </w:tcBorders>
            <w:hideMark/>
          </w:tcPr>
          <w:p w14:paraId="68E01999" w14:textId="77777777"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943" w:type="pct"/>
            <w:tcBorders>
              <w:top w:val="outset" w:sz="6" w:space="0" w:color="414142"/>
              <w:left w:val="outset" w:sz="6" w:space="0" w:color="414142"/>
              <w:bottom w:val="outset" w:sz="6" w:space="0" w:color="414142"/>
              <w:right w:val="outset" w:sz="6" w:space="0" w:color="414142"/>
            </w:tcBorders>
          </w:tcPr>
          <w:p w14:paraId="7842DE97" w14:textId="5F6CE002" w:rsidR="000B55A8" w:rsidRPr="003832C8" w:rsidRDefault="0003126E" w:rsidP="0003126E">
            <w:pPr>
              <w:tabs>
                <w:tab w:val="left" w:pos="415"/>
              </w:tabs>
              <w:spacing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Nav.</w:t>
            </w:r>
          </w:p>
        </w:tc>
      </w:tr>
      <w:tr w:rsidR="00571D01" w:rsidRPr="000B79B2" w14:paraId="416B397B" w14:textId="77777777" w:rsidTr="00652D33">
        <w:tc>
          <w:tcPr>
            <w:tcW w:w="288" w:type="pct"/>
            <w:tcBorders>
              <w:top w:val="outset" w:sz="6" w:space="0" w:color="414142"/>
              <w:left w:val="outset" w:sz="6" w:space="0" w:color="414142"/>
              <w:bottom w:val="outset" w:sz="6" w:space="0" w:color="414142"/>
              <w:right w:val="outset" w:sz="6" w:space="0" w:color="414142"/>
            </w:tcBorders>
            <w:hideMark/>
          </w:tcPr>
          <w:p w14:paraId="2D9D5894" w14:textId="77777777"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769" w:type="pct"/>
            <w:tcBorders>
              <w:top w:val="outset" w:sz="6" w:space="0" w:color="414142"/>
              <w:left w:val="outset" w:sz="6" w:space="0" w:color="414142"/>
              <w:bottom w:val="outset" w:sz="6" w:space="0" w:color="414142"/>
              <w:right w:val="outset" w:sz="6" w:space="0" w:color="414142"/>
            </w:tcBorders>
            <w:hideMark/>
          </w:tcPr>
          <w:p w14:paraId="085BDF77" w14:textId="77777777"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943" w:type="pct"/>
            <w:tcBorders>
              <w:top w:val="outset" w:sz="6" w:space="0" w:color="414142"/>
              <w:left w:val="outset" w:sz="6" w:space="0" w:color="414142"/>
              <w:bottom w:val="outset" w:sz="6" w:space="0" w:color="414142"/>
              <w:right w:val="outset" w:sz="6" w:space="0" w:color="414142"/>
            </w:tcBorders>
            <w:hideMark/>
          </w:tcPr>
          <w:p w14:paraId="47988676" w14:textId="77777777"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988EAA4" w14:textId="77777777"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8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8"/>
        <w:gridCol w:w="3115"/>
        <w:gridCol w:w="5774"/>
      </w:tblGrid>
      <w:tr w:rsidR="00571D01" w:rsidRPr="00993C84" w14:paraId="6D394CA3" w14:textId="77777777" w:rsidTr="00652D3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9E6FF2"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571D01" w:rsidRPr="00993C84" w14:paraId="7E618368" w14:textId="77777777" w:rsidTr="00652D33">
        <w:tc>
          <w:tcPr>
            <w:tcW w:w="320" w:type="pct"/>
            <w:tcBorders>
              <w:top w:val="outset" w:sz="6" w:space="0" w:color="414142"/>
              <w:left w:val="outset" w:sz="6" w:space="0" w:color="414142"/>
              <w:bottom w:val="outset" w:sz="6" w:space="0" w:color="414142"/>
              <w:right w:val="outset" w:sz="6" w:space="0" w:color="414142"/>
            </w:tcBorders>
            <w:hideMark/>
          </w:tcPr>
          <w:p w14:paraId="4A3DEC1F"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40" w:type="pct"/>
            <w:tcBorders>
              <w:top w:val="outset" w:sz="6" w:space="0" w:color="414142"/>
              <w:left w:val="outset" w:sz="6" w:space="0" w:color="414142"/>
              <w:bottom w:val="outset" w:sz="6" w:space="0" w:color="414142"/>
              <w:right w:val="outset" w:sz="6" w:space="0" w:color="414142"/>
            </w:tcBorders>
            <w:hideMark/>
          </w:tcPr>
          <w:p w14:paraId="4498321C"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40" w:type="pct"/>
            <w:tcBorders>
              <w:top w:val="outset" w:sz="6" w:space="0" w:color="414142"/>
              <w:left w:val="outset" w:sz="6" w:space="0" w:color="414142"/>
              <w:bottom w:val="outset" w:sz="6" w:space="0" w:color="414142"/>
              <w:right w:val="outset" w:sz="6" w:space="0" w:color="414142"/>
            </w:tcBorders>
            <w:hideMark/>
          </w:tcPr>
          <w:p w14:paraId="1DC735A3" w14:textId="77777777" w:rsidR="00571D01" w:rsidRPr="00993C84" w:rsidRDefault="00CC5393" w:rsidP="006E60D4">
            <w:pPr>
              <w:spacing w:after="0" w:line="240" w:lineRule="auto"/>
              <w:rPr>
                <w:sz w:val="24"/>
                <w:szCs w:val="24"/>
              </w:rPr>
            </w:pPr>
            <w:r>
              <w:rPr>
                <w:rFonts w:ascii="Times New Roman" w:eastAsia="Times New Roman" w:hAnsi="Times New Roman" w:cs="Times New Roman"/>
                <w:sz w:val="24"/>
                <w:szCs w:val="24"/>
                <w:lang w:eastAsia="lv-LV"/>
              </w:rPr>
              <w:t>Valsts ieņēmumu dienests</w:t>
            </w:r>
            <w:r w:rsidR="00571D01">
              <w:rPr>
                <w:rFonts w:ascii="Times New Roman" w:eastAsia="Times New Roman" w:hAnsi="Times New Roman" w:cs="Times New Roman"/>
                <w:sz w:val="24"/>
                <w:szCs w:val="24"/>
                <w:lang w:eastAsia="lv-LV"/>
              </w:rPr>
              <w:t>.</w:t>
            </w:r>
          </w:p>
        </w:tc>
      </w:tr>
      <w:tr w:rsidR="00571D01" w:rsidRPr="00993C84" w14:paraId="4980BB1F" w14:textId="77777777" w:rsidTr="00500A8E">
        <w:tc>
          <w:tcPr>
            <w:tcW w:w="320" w:type="pct"/>
            <w:tcBorders>
              <w:top w:val="outset" w:sz="6" w:space="0" w:color="414142"/>
              <w:left w:val="outset" w:sz="6" w:space="0" w:color="414142"/>
              <w:bottom w:val="outset" w:sz="6" w:space="0" w:color="414142"/>
              <w:right w:val="outset" w:sz="6" w:space="0" w:color="414142"/>
            </w:tcBorders>
            <w:hideMark/>
          </w:tcPr>
          <w:p w14:paraId="7DFB1AC6"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40" w:type="pct"/>
            <w:tcBorders>
              <w:top w:val="outset" w:sz="6" w:space="0" w:color="414142"/>
              <w:left w:val="outset" w:sz="6" w:space="0" w:color="414142"/>
              <w:bottom w:val="outset" w:sz="6" w:space="0" w:color="414142"/>
              <w:right w:val="outset" w:sz="6" w:space="0" w:color="414142"/>
            </w:tcBorders>
            <w:hideMark/>
          </w:tcPr>
          <w:p w14:paraId="253F10A6"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40" w:type="pct"/>
            <w:tcBorders>
              <w:top w:val="outset" w:sz="6" w:space="0" w:color="414142"/>
              <w:left w:val="outset" w:sz="6" w:space="0" w:color="414142"/>
              <w:bottom w:val="outset" w:sz="6" w:space="0" w:color="414142"/>
              <w:right w:val="outset" w:sz="6" w:space="0" w:color="414142"/>
            </w:tcBorders>
            <w:hideMark/>
          </w:tcPr>
          <w:p w14:paraId="7F6E6760"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571D01" w:rsidRPr="00993C84" w14:paraId="1B8A6114" w14:textId="77777777" w:rsidTr="00500A8E">
        <w:tc>
          <w:tcPr>
            <w:tcW w:w="320" w:type="pct"/>
            <w:tcBorders>
              <w:top w:val="outset" w:sz="6" w:space="0" w:color="414142"/>
              <w:left w:val="outset" w:sz="6" w:space="0" w:color="414142"/>
              <w:bottom w:val="single" w:sz="4" w:space="0" w:color="auto"/>
              <w:right w:val="outset" w:sz="6" w:space="0" w:color="414142"/>
            </w:tcBorders>
            <w:hideMark/>
          </w:tcPr>
          <w:p w14:paraId="6A9767CE"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40" w:type="pct"/>
            <w:tcBorders>
              <w:top w:val="outset" w:sz="6" w:space="0" w:color="414142"/>
              <w:left w:val="outset" w:sz="6" w:space="0" w:color="414142"/>
              <w:bottom w:val="single" w:sz="4" w:space="0" w:color="auto"/>
              <w:right w:val="outset" w:sz="6" w:space="0" w:color="414142"/>
            </w:tcBorders>
            <w:hideMark/>
          </w:tcPr>
          <w:p w14:paraId="4D7637FB"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40" w:type="pct"/>
            <w:tcBorders>
              <w:top w:val="outset" w:sz="6" w:space="0" w:color="414142"/>
              <w:left w:val="outset" w:sz="6" w:space="0" w:color="414142"/>
              <w:bottom w:val="single" w:sz="4" w:space="0" w:color="auto"/>
              <w:right w:val="outset" w:sz="6" w:space="0" w:color="414142"/>
            </w:tcBorders>
          </w:tcPr>
          <w:p w14:paraId="4B4E7279" w14:textId="1FCA2C33" w:rsidR="00571D01" w:rsidRPr="00993C84" w:rsidRDefault="00996217" w:rsidP="00531E27">
            <w:pPr>
              <w:spacing w:after="0" w:line="240" w:lineRule="auto"/>
              <w:ind w:right="110" w:firstLine="3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tiks realizēts Valsts ieņēmumu dienesta esošo finanšu līdzekļu ietvaros.</w:t>
            </w:r>
          </w:p>
        </w:tc>
      </w:tr>
    </w:tbl>
    <w:p w14:paraId="26C4DBD0" w14:textId="77777777" w:rsidR="007A2025" w:rsidRDefault="007A2025" w:rsidP="00571D01">
      <w:pPr>
        <w:spacing w:after="0" w:line="240" w:lineRule="auto"/>
        <w:rPr>
          <w:rFonts w:ascii="Times New Roman" w:eastAsia="Times New Roman" w:hAnsi="Times New Roman" w:cs="Times New Roman"/>
          <w:bCs/>
          <w:iCs/>
          <w:kern w:val="1"/>
          <w:sz w:val="26"/>
          <w:szCs w:val="26"/>
          <w:lang w:eastAsia="ar-SA"/>
        </w:rPr>
      </w:pPr>
    </w:p>
    <w:p w14:paraId="622B0F8C" w14:textId="77777777" w:rsidR="009F0EA4" w:rsidRDefault="009F0EA4" w:rsidP="00571D01">
      <w:pPr>
        <w:spacing w:after="0" w:line="240" w:lineRule="auto"/>
        <w:rPr>
          <w:rFonts w:ascii="Times New Roman" w:eastAsia="Times New Roman" w:hAnsi="Times New Roman" w:cs="Times New Roman"/>
          <w:bCs/>
          <w:iCs/>
          <w:kern w:val="1"/>
          <w:sz w:val="26"/>
          <w:szCs w:val="26"/>
          <w:lang w:eastAsia="ar-SA"/>
        </w:rPr>
      </w:pPr>
    </w:p>
    <w:p w14:paraId="2FF539E0" w14:textId="77777777" w:rsidR="0007062D" w:rsidRDefault="0007062D" w:rsidP="00571D01">
      <w:pPr>
        <w:spacing w:after="0" w:line="240" w:lineRule="auto"/>
        <w:rPr>
          <w:rFonts w:ascii="Times New Roman" w:eastAsia="Times New Roman" w:hAnsi="Times New Roman" w:cs="Times New Roman"/>
          <w:bCs/>
          <w:iCs/>
          <w:kern w:val="1"/>
          <w:sz w:val="26"/>
          <w:szCs w:val="26"/>
          <w:lang w:eastAsia="ar-SA"/>
        </w:rPr>
      </w:pPr>
    </w:p>
    <w:p w14:paraId="35BB010A" w14:textId="77777777" w:rsidR="00B90D5A" w:rsidRDefault="00B90D5A" w:rsidP="00571D01">
      <w:pPr>
        <w:spacing w:after="0" w:line="240" w:lineRule="auto"/>
        <w:rPr>
          <w:rFonts w:ascii="Times New Roman" w:eastAsia="Times New Roman" w:hAnsi="Times New Roman" w:cs="Times New Roman"/>
          <w:bCs/>
          <w:iCs/>
          <w:kern w:val="1"/>
          <w:sz w:val="26"/>
          <w:szCs w:val="26"/>
          <w:lang w:eastAsia="ar-SA"/>
        </w:rPr>
      </w:pPr>
    </w:p>
    <w:p w14:paraId="69317E12" w14:textId="2A38BC71" w:rsidR="00571D01" w:rsidRPr="00124214" w:rsidRDefault="005D0365" w:rsidP="00571D01">
      <w:pPr>
        <w:spacing w:after="0" w:line="240" w:lineRule="auto"/>
        <w:rPr>
          <w:rFonts w:ascii="Times New Roman" w:eastAsia="Times New Roman" w:hAnsi="Times New Roman" w:cs="Times New Roman"/>
          <w:bCs/>
          <w:iCs/>
          <w:kern w:val="1"/>
          <w:sz w:val="26"/>
          <w:szCs w:val="26"/>
          <w:lang w:eastAsia="ar-SA"/>
        </w:rPr>
      </w:pPr>
      <w:r>
        <w:rPr>
          <w:rFonts w:ascii="Times New Roman" w:eastAsia="Times New Roman" w:hAnsi="Times New Roman" w:cs="Times New Roman"/>
          <w:bCs/>
          <w:iCs/>
          <w:kern w:val="1"/>
          <w:sz w:val="26"/>
          <w:szCs w:val="26"/>
          <w:lang w:eastAsia="ar-SA"/>
        </w:rPr>
        <w:t>Finanšu ministrs</w:t>
      </w:r>
      <w:r w:rsidR="00571D01" w:rsidRPr="00124214">
        <w:rPr>
          <w:rFonts w:ascii="Times New Roman" w:eastAsia="Times New Roman" w:hAnsi="Times New Roman" w:cs="Times New Roman"/>
          <w:bCs/>
          <w:iCs/>
          <w:kern w:val="1"/>
          <w:sz w:val="26"/>
          <w:szCs w:val="26"/>
          <w:lang w:eastAsia="ar-SA"/>
        </w:rPr>
        <w:tab/>
        <w:t xml:space="preserve">                                                        </w:t>
      </w:r>
      <w:r>
        <w:rPr>
          <w:rFonts w:ascii="Times New Roman" w:eastAsia="Times New Roman" w:hAnsi="Times New Roman" w:cs="Times New Roman"/>
          <w:bCs/>
          <w:iCs/>
          <w:kern w:val="1"/>
          <w:sz w:val="26"/>
          <w:szCs w:val="26"/>
          <w:lang w:eastAsia="ar-SA"/>
        </w:rPr>
        <w:t xml:space="preserve">                                      J.</w:t>
      </w:r>
      <w:r w:rsidR="00905943">
        <w:rPr>
          <w:rFonts w:ascii="Times New Roman" w:eastAsia="Times New Roman" w:hAnsi="Times New Roman" w:cs="Times New Roman"/>
          <w:bCs/>
          <w:iCs/>
          <w:kern w:val="1"/>
          <w:sz w:val="26"/>
          <w:szCs w:val="26"/>
          <w:lang w:eastAsia="ar-SA"/>
        </w:rPr>
        <w:t xml:space="preserve"> </w:t>
      </w:r>
      <w:r>
        <w:rPr>
          <w:rFonts w:ascii="Times New Roman" w:eastAsia="Times New Roman" w:hAnsi="Times New Roman" w:cs="Times New Roman"/>
          <w:bCs/>
          <w:iCs/>
          <w:kern w:val="1"/>
          <w:sz w:val="26"/>
          <w:szCs w:val="26"/>
          <w:lang w:eastAsia="ar-SA"/>
        </w:rPr>
        <w:t>Reirs</w:t>
      </w:r>
    </w:p>
    <w:p w14:paraId="533B0AA1" w14:textId="77777777" w:rsidR="00510818" w:rsidRDefault="00510818" w:rsidP="00571D01">
      <w:pPr>
        <w:spacing w:after="0" w:line="240" w:lineRule="auto"/>
        <w:rPr>
          <w:rFonts w:ascii="Times New Roman" w:eastAsia="Times New Roman" w:hAnsi="Times New Roman" w:cs="Times New Roman"/>
          <w:bCs/>
          <w:iCs/>
          <w:kern w:val="1"/>
          <w:sz w:val="20"/>
          <w:szCs w:val="20"/>
          <w:lang w:eastAsia="ar-SA"/>
        </w:rPr>
      </w:pPr>
    </w:p>
    <w:p w14:paraId="680F3343" w14:textId="77777777" w:rsidR="000C2137" w:rsidRDefault="000C2137" w:rsidP="00571D01">
      <w:pPr>
        <w:spacing w:after="0" w:line="240" w:lineRule="auto"/>
        <w:rPr>
          <w:rFonts w:ascii="Times New Roman" w:eastAsia="Times New Roman" w:hAnsi="Times New Roman" w:cs="Times New Roman"/>
          <w:bCs/>
          <w:iCs/>
          <w:kern w:val="1"/>
          <w:sz w:val="20"/>
          <w:szCs w:val="20"/>
          <w:lang w:eastAsia="ar-SA"/>
        </w:rPr>
      </w:pPr>
    </w:p>
    <w:p w14:paraId="431A83ED" w14:textId="77777777" w:rsidR="00846201" w:rsidRDefault="00846201" w:rsidP="00571D01">
      <w:pPr>
        <w:spacing w:after="0" w:line="240" w:lineRule="auto"/>
        <w:rPr>
          <w:rFonts w:ascii="Times New Roman" w:eastAsia="Times New Roman" w:hAnsi="Times New Roman" w:cs="Times New Roman"/>
          <w:bCs/>
          <w:iCs/>
          <w:kern w:val="1"/>
          <w:sz w:val="20"/>
          <w:szCs w:val="20"/>
          <w:lang w:eastAsia="ar-SA"/>
        </w:rPr>
      </w:pPr>
    </w:p>
    <w:p w14:paraId="527FCB96" w14:textId="77777777" w:rsidR="009F0EA4" w:rsidRDefault="009F0EA4" w:rsidP="00571D01">
      <w:pPr>
        <w:spacing w:after="0" w:line="240" w:lineRule="auto"/>
        <w:rPr>
          <w:rFonts w:ascii="Times New Roman" w:eastAsia="Times New Roman" w:hAnsi="Times New Roman" w:cs="Times New Roman"/>
          <w:bCs/>
          <w:iCs/>
          <w:kern w:val="1"/>
          <w:sz w:val="20"/>
          <w:szCs w:val="20"/>
          <w:lang w:eastAsia="ar-SA"/>
        </w:rPr>
      </w:pPr>
    </w:p>
    <w:p w14:paraId="5CF3B8A0" w14:textId="77777777" w:rsidR="00B90D5A" w:rsidRDefault="00B90D5A" w:rsidP="00571D01">
      <w:pPr>
        <w:spacing w:after="0" w:line="240" w:lineRule="auto"/>
        <w:rPr>
          <w:rFonts w:ascii="Times New Roman" w:eastAsia="Times New Roman" w:hAnsi="Times New Roman" w:cs="Times New Roman"/>
          <w:bCs/>
          <w:iCs/>
          <w:kern w:val="1"/>
          <w:sz w:val="20"/>
          <w:szCs w:val="20"/>
          <w:lang w:eastAsia="ar-SA"/>
        </w:rPr>
      </w:pPr>
    </w:p>
    <w:p w14:paraId="0BEDFA90" w14:textId="77777777" w:rsidR="00B90D5A" w:rsidRDefault="00B90D5A" w:rsidP="00571D01">
      <w:pPr>
        <w:spacing w:after="0" w:line="240" w:lineRule="auto"/>
        <w:rPr>
          <w:rFonts w:ascii="Times New Roman" w:eastAsia="Times New Roman" w:hAnsi="Times New Roman" w:cs="Times New Roman"/>
          <w:bCs/>
          <w:iCs/>
          <w:kern w:val="1"/>
          <w:sz w:val="20"/>
          <w:szCs w:val="20"/>
          <w:lang w:eastAsia="ar-SA"/>
        </w:rPr>
      </w:pPr>
    </w:p>
    <w:p w14:paraId="1949FD32" w14:textId="77777777" w:rsidR="00B90D5A" w:rsidRDefault="00B90D5A" w:rsidP="00571D01">
      <w:pPr>
        <w:spacing w:after="0" w:line="240" w:lineRule="auto"/>
        <w:rPr>
          <w:rFonts w:ascii="Times New Roman" w:eastAsia="Times New Roman" w:hAnsi="Times New Roman" w:cs="Times New Roman"/>
          <w:bCs/>
          <w:iCs/>
          <w:kern w:val="1"/>
          <w:sz w:val="20"/>
          <w:szCs w:val="20"/>
          <w:lang w:eastAsia="ar-SA"/>
        </w:rPr>
      </w:pPr>
    </w:p>
    <w:p w14:paraId="515D6198" w14:textId="77777777" w:rsidR="00B90D5A" w:rsidRDefault="00B90D5A" w:rsidP="00571D01">
      <w:pPr>
        <w:spacing w:after="0" w:line="240" w:lineRule="auto"/>
        <w:rPr>
          <w:rFonts w:ascii="Times New Roman" w:eastAsia="Times New Roman" w:hAnsi="Times New Roman" w:cs="Times New Roman"/>
          <w:bCs/>
          <w:iCs/>
          <w:kern w:val="1"/>
          <w:sz w:val="20"/>
          <w:szCs w:val="20"/>
          <w:lang w:eastAsia="ar-SA"/>
        </w:rPr>
      </w:pPr>
    </w:p>
    <w:p w14:paraId="219C6826" w14:textId="7B8A9078" w:rsidR="00571D01" w:rsidRPr="001E55A0" w:rsidRDefault="00571D01" w:rsidP="00571D01">
      <w:pPr>
        <w:spacing w:after="0" w:line="240" w:lineRule="auto"/>
        <w:rPr>
          <w:rFonts w:ascii="Times New Roman" w:eastAsia="Times New Roman" w:hAnsi="Times New Roman" w:cs="Times New Roman"/>
          <w:bCs/>
          <w:iCs/>
          <w:kern w:val="1"/>
          <w:sz w:val="20"/>
          <w:szCs w:val="20"/>
          <w:lang w:eastAsia="ar-SA"/>
        </w:rPr>
      </w:pPr>
      <w:r w:rsidRPr="001E55A0">
        <w:rPr>
          <w:rFonts w:ascii="Times New Roman" w:eastAsia="Times New Roman" w:hAnsi="Times New Roman" w:cs="Times New Roman"/>
          <w:bCs/>
          <w:iCs/>
          <w:kern w:val="1"/>
          <w:sz w:val="20"/>
          <w:szCs w:val="20"/>
          <w:lang w:eastAsia="ar-SA"/>
        </w:rPr>
        <w:t>Hartmane, 67095525</w:t>
      </w:r>
    </w:p>
    <w:p w14:paraId="2367D1A7" w14:textId="3B24E0DC" w:rsidR="00571D01" w:rsidRPr="00AA7993" w:rsidRDefault="00A24FE2" w:rsidP="00571D01">
      <w:pPr>
        <w:spacing w:after="0" w:line="240" w:lineRule="auto"/>
        <w:rPr>
          <w:rFonts w:ascii="Times New Roman" w:eastAsia="Times New Roman" w:hAnsi="Times New Roman" w:cs="Times New Roman"/>
          <w:bCs/>
          <w:iCs/>
          <w:kern w:val="1"/>
          <w:sz w:val="20"/>
          <w:szCs w:val="20"/>
          <w:lang w:eastAsia="ar-SA"/>
        </w:rPr>
      </w:pPr>
      <w:hyperlink r:id="rId12" w:history="1">
        <w:r w:rsidR="00571D01" w:rsidRPr="001E55A0">
          <w:rPr>
            <w:rStyle w:val="Hyperlink"/>
            <w:rFonts w:ascii="Times New Roman" w:eastAsia="Times New Roman" w:hAnsi="Times New Roman" w:cs="Times New Roman"/>
            <w:bCs/>
            <w:iCs/>
            <w:kern w:val="1"/>
            <w:sz w:val="20"/>
            <w:szCs w:val="20"/>
            <w:lang w:eastAsia="ar-SA"/>
          </w:rPr>
          <w:t>Ella.Hartmane@fm.gov.lv</w:t>
        </w:r>
      </w:hyperlink>
      <w:r w:rsidR="00571D01" w:rsidRPr="001E55A0">
        <w:rPr>
          <w:rFonts w:ascii="Times New Roman" w:eastAsia="Times New Roman" w:hAnsi="Times New Roman" w:cs="Times New Roman"/>
          <w:bCs/>
          <w:iCs/>
          <w:kern w:val="1"/>
          <w:sz w:val="20"/>
          <w:szCs w:val="20"/>
          <w:lang w:eastAsia="ar-SA"/>
        </w:rPr>
        <w:t xml:space="preserve"> </w:t>
      </w:r>
    </w:p>
    <w:sectPr w:rsidR="00571D01" w:rsidRPr="00AA7993" w:rsidSect="006D5DFD">
      <w:headerReference w:type="default"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B867A" w14:textId="77777777" w:rsidR="009155C0" w:rsidRDefault="009155C0" w:rsidP="00571D01">
      <w:pPr>
        <w:spacing w:after="0" w:line="240" w:lineRule="auto"/>
      </w:pPr>
      <w:r>
        <w:separator/>
      </w:r>
    </w:p>
  </w:endnote>
  <w:endnote w:type="continuationSeparator" w:id="0">
    <w:p w14:paraId="4173288C" w14:textId="77777777" w:rsidR="009155C0" w:rsidRDefault="009155C0" w:rsidP="0057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D1E2" w14:textId="30B97066" w:rsidR="00571D01" w:rsidRPr="00571D01" w:rsidRDefault="009E2D28">
    <w:pPr>
      <w:pStyle w:val="Footer"/>
      <w:rPr>
        <w:rFonts w:ascii="Times New Roman" w:hAnsi="Times New Roman" w:cs="Times New Roman"/>
        <w:sz w:val="20"/>
        <w:szCs w:val="20"/>
      </w:rPr>
    </w:pPr>
    <w:r>
      <w:rPr>
        <w:rFonts w:ascii="Times New Roman" w:hAnsi="Times New Roman" w:cs="Times New Roman"/>
        <w:sz w:val="20"/>
        <w:szCs w:val="20"/>
      </w:rPr>
      <w:t>FMAnot_0606</w:t>
    </w:r>
    <w:r w:rsidR="00204C25">
      <w:rPr>
        <w:rFonts w:ascii="Times New Roman" w:hAnsi="Times New Roman" w:cs="Times New Roman"/>
        <w:sz w:val="20"/>
        <w:szCs w:val="20"/>
      </w:rPr>
      <w:t>19</w:t>
    </w:r>
    <w:r w:rsidR="00337160">
      <w:rPr>
        <w:rFonts w:ascii="Times New Roman" w:hAnsi="Times New Roman" w:cs="Times New Roman"/>
        <w:sz w:val="20"/>
        <w:szCs w:val="20"/>
      </w:rPr>
      <w:t>_mk_861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4C54" w14:textId="3CAFC9FE" w:rsidR="00E907A6" w:rsidRPr="00571D01" w:rsidRDefault="009E2D28" w:rsidP="00E907A6">
    <w:pPr>
      <w:pStyle w:val="Footer"/>
      <w:rPr>
        <w:rFonts w:ascii="Times New Roman" w:hAnsi="Times New Roman" w:cs="Times New Roman"/>
        <w:sz w:val="20"/>
        <w:szCs w:val="20"/>
      </w:rPr>
    </w:pPr>
    <w:r>
      <w:rPr>
        <w:rFonts w:ascii="Times New Roman" w:hAnsi="Times New Roman" w:cs="Times New Roman"/>
        <w:sz w:val="20"/>
        <w:szCs w:val="20"/>
      </w:rPr>
      <w:t>FMAnot_0606</w:t>
    </w:r>
    <w:r w:rsidR="00204C25">
      <w:rPr>
        <w:rFonts w:ascii="Times New Roman" w:hAnsi="Times New Roman" w:cs="Times New Roman"/>
        <w:sz w:val="20"/>
        <w:szCs w:val="20"/>
      </w:rPr>
      <w:t>19</w:t>
    </w:r>
    <w:r w:rsidR="00337160">
      <w:rPr>
        <w:rFonts w:ascii="Times New Roman" w:hAnsi="Times New Roman" w:cs="Times New Roman"/>
        <w:sz w:val="20"/>
        <w:szCs w:val="20"/>
      </w:rPr>
      <w:t>_mk_861</w:t>
    </w:r>
  </w:p>
  <w:p w14:paraId="703831BE" w14:textId="77777777" w:rsidR="00E907A6" w:rsidRDefault="00E9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8F9C" w14:textId="77777777" w:rsidR="009155C0" w:rsidRDefault="009155C0" w:rsidP="00571D01">
      <w:pPr>
        <w:spacing w:after="0" w:line="240" w:lineRule="auto"/>
      </w:pPr>
      <w:r>
        <w:separator/>
      </w:r>
    </w:p>
  </w:footnote>
  <w:footnote w:type="continuationSeparator" w:id="0">
    <w:p w14:paraId="3DE127BD" w14:textId="77777777" w:rsidR="009155C0" w:rsidRDefault="009155C0" w:rsidP="0057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153993"/>
      <w:docPartObj>
        <w:docPartGallery w:val="Page Numbers (Top of Page)"/>
        <w:docPartUnique/>
      </w:docPartObj>
    </w:sdtPr>
    <w:sdtEndPr>
      <w:rPr>
        <w:rFonts w:ascii="Times New Roman" w:hAnsi="Times New Roman" w:cs="Times New Roman"/>
        <w:noProof/>
      </w:rPr>
    </w:sdtEndPr>
    <w:sdtContent>
      <w:p w14:paraId="5D195A74" w14:textId="2D54CB37" w:rsidR="006D5DFD" w:rsidRPr="006D5DFD" w:rsidRDefault="006D5DFD">
        <w:pPr>
          <w:pStyle w:val="Header"/>
          <w:jc w:val="center"/>
          <w:rPr>
            <w:rFonts w:ascii="Times New Roman" w:hAnsi="Times New Roman" w:cs="Times New Roman"/>
          </w:rPr>
        </w:pPr>
        <w:r w:rsidRPr="006D5DFD">
          <w:rPr>
            <w:rFonts w:ascii="Times New Roman" w:hAnsi="Times New Roman" w:cs="Times New Roman"/>
          </w:rPr>
          <w:fldChar w:fldCharType="begin"/>
        </w:r>
        <w:r w:rsidRPr="006D5DFD">
          <w:rPr>
            <w:rFonts w:ascii="Times New Roman" w:hAnsi="Times New Roman" w:cs="Times New Roman"/>
          </w:rPr>
          <w:instrText xml:space="preserve"> PAGE   \* MERGEFORMAT </w:instrText>
        </w:r>
        <w:r w:rsidRPr="006D5DFD">
          <w:rPr>
            <w:rFonts w:ascii="Times New Roman" w:hAnsi="Times New Roman" w:cs="Times New Roman"/>
          </w:rPr>
          <w:fldChar w:fldCharType="separate"/>
        </w:r>
        <w:r w:rsidR="00A24FE2">
          <w:rPr>
            <w:rFonts w:ascii="Times New Roman" w:hAnsi="Times New Roman" w:cs="Times New Roman"/>
            <w:noProof/>
          </w:rPr>
          <w:t>10</w:t>
        </w:r>
        <w:r w:rsidRPr="006D5DFD">
          <w:rPr>
            <w:rFonts w:ascii="Times New Roman" w:hAnsi="Times New Roman" w:cs="Times New Roman"/>
            <w:noProof/>
          </w:rPr>
          <w:fldChar w:fldCharType="end"/>
        </w:r>
      </w:p>
    </w:sdtContent>
  </w:sdt>
  <w:p w14:paraId="30AFEB49" w14:textId="77777777" w:rsidR="006D5DFD" w:rsidRDefault="006D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D153A2"/>
    <w:multiLevelType w:val="hybridMultilevel"/>
    <w:tmpl w:val="C68A4D70"/>
    <w:lvl w:ilvl="0" w:tplc="4CD01ABE">
      <w:start w:val="1"/>
      <w:numFmt w:val="decimal"/>
      <w:lvlText w:val="%1)"/>
      <w:lvlJc w:val="left"/>
      <w:pPr>
        <w:ind w:left="804" w:hanging="360"/>
      </w:pPr>
      <w:rPr>
        <w:rFonts w:hint="default"/>
        <w:b w:val="0"/>
      </w:r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2" w15:restartNumberingAfterBreak="0">
    <w:nsid w:val="1073350A"/>
    <w:multiLevelType w:val="hybridMultilevel"/>
    <w:tmpl w:val="A37E961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E77A49"/>
    <w:multiLevelType w:val="hybridMultilevel"/>
    <w:tmpl w:val="08EE0714"/>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F4684"/>
    <w:multiLevelType w:val="hybridMultilevel"/>
    <w:tmpl w:val="F24A8A6E"/>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4434ED"/>
    <w:multiLevelType w:val="hybridMultilevel"/>
    <w:tmpl w:val="5FBE6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467AA5"/>
    <w:multiLevelType w:val="multilevel"/>
    <w:tmpl w:val="004A7A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39540E"/>
    <w:multiLevelType w:val="hybridMultilevel"/>
    <w:tmpl w:val="342853D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B855B63"/>
    <w:multiLevelType w:val="hybridMultilevel"/>
    <w:tmpl w:val="D840A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26035"/>
    <w:multiLevelType w:val="hybridMultilevel"/>
    <w:tmpl w:val="892614A4"/>
    <w:lvl w:ilvl="0" w:tplc="F704DA40">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21082F"/>
    <w:multiLevelType w:val="hybridMultilevel"/>
    <w:tmpl w:val="22743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653591"/>
    <w:multiLevelType w:val="hybridMultilevel"/>
    <w:tmpl w:val="7F7676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B91E7B"/>
    <w:multiLevelType w:val="hybridMultilevel"/>
    <w:tmpl w:val="BAC00BC6"/>
    <w:lvl w:ilvl="0" w:tplc="04260011">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7A572A"/>
    <w:multiLevelType w:val="hybridMultilevel"/>
    <w:tmpl w:val="DD3CFD0C"/>
    <w:lvl w:ilvl="0" w:tplc="6ACA4074">
      <w:start w:val="9"/>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651B69"/>
    <w:multiLevelType w:val="hybridMultilevel"/>
    <w:tmpl w:val="44D279A0"/>
    <w:lvl w:ilvl="0" w:tplc="247AC3F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EF4A2E"/>
    <w:multiLevelType w:val="hybridMultilevel"/>
    <w:tmpl w:val="0C660A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CA2A05"/>
    <w:multiLevelType w:val="hybridMultilevel"/>
    <w:tmpl w:val="2640C406"/>
    <w:lvl w:ilvl="0" w:tplc="44DC1CEE">
      <w:numFmt w:val="bullet"/>
      <w:lvlText w:val="-"/>
      <w:lvlJc w:val="left"/>
      <w:pPr>
        <w:ind w:left="662" w:hanging="360"/>
      </w:pPr>
      <w:rPr>
        <w:rFonts w:ascii="Times New Roman" w:eastAsia="Times New Roman" w:hAnsi="Times New Roman" w:cs="Times New Roman" w:hint="default"/>
      </w:rPr>
    </w:lvl>
    <w:lvl w:ilvl="1" w:tplc="04260003" w:tentative="1">
      <w:start w:val="1"/>
      <w:numFmt w:val="bullet"/>
      <w:lvlText w:val="o"/>
      <w:lvlJc w:val="left"/>
      <w:pPr>
        <w:ind w:left="1382" w:hanging="360"/>
      </w:pPr>
      <w:rPr>
        <w:rFonts w:ascii="Courier New" w:hAnsi="Courier New" w:cs="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cs="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cs="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7"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5D7EAE"/>
    <w:multiLevelType w:val="hybridMultilevel"/>
    <w:tmpl w:val="BCD24812"/>
    <w:lvl w:ilvl="0" w:tplc="53C4F75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7C581C"/>
    <w:multiLevelType w:val="hybridMultilevel"/>
    <w:tmpl w:val="5156DAE2"/>
    <w:lvl w:ilvl="0" w:tplc="7A74213C">
      <w:start w:val="1"/>
      <w:numFmt w:val="decimal"/>
      <w:lvlText w:val="%1)"/>
      <w:lvlJc w:val="left"/>
      <w:pPr>
        <w:ind w:left="804" w:hanging="360"/>
      </w:pPr>
      <w:rPr>
        <w:rFonts w:hint="default"/>
        <w:b w:val="0"/>
      </w:r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20" w15:restartNumberingAfterBreak="0">
    <w:nsid w:val="7B41469C"/>
    <w:multiLevelType w:val="hybridMultilevel"/>
    <w:tmpl w:val="21B4389A"/>
    <w:lvl w:ilvl="0" w:tplc="70C23FC6">
      <w:start w:val="1"/>
      <w:numFmt w:val="decimal"/>
      <w:lvlText w:val="%1)"/>
      <w:lvlJc w:val="left"/>
      <w:pPr>
        <w:ind w:left="720" w:hanging="360"/>
      </w:pPr>
      <w:rPr>
        <w:rFonts w:eastAsiaTheme="minorHAnsi"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B25990"/>
    <w:multiLevelType w:val="hybridMultilevel"/>
    <w:tmpl w:val="BAC00BC6"/>
    <w:lvl w:ilvl="0" w:tplc="04260011">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5"/>
  </w:num>
  <w:num w:numId="5">
    <w:abstractNumId w:val="17"/>
  </w:num>
  <w:num w:numId="6">
    <w:abstractNumId w:val="14"/>
  </w:num>
  <w:num w:numId="7">
    <w:abstractNumId w:val="6"/>
  </w:num>
  <w:num w:numId="8">
    <w:abstractNumId w:val="2"/>
  </w:num>
  <w:num w:numId="9">
    <w:abstractNumId w:val="11"/>
  </w:num>
  <w:num w:numId="10">
    <w:abstractNumId w:val="9"/>
  </w:num>
  <w:num w:numId="11">
    <w:abstractNumId w:val="4"/>
  </w:num>
  <w:num w:numId="12">
    <w:abstractNumId w:val="20"/>
  </w:num>
  <w:num w:numId="13">
    <w:abstractNumId w:val="8"/>
  </w:num>
  <w:num w:numId="14">
    <w:abstractNumId w:val="21"/>
  </w:num>
  <w:num w:numId="15">
    <w:abstractNumId w:val="15"/>
  </w:num>
  <w:num w:numId="16">
    <w:abstractNumId w:val="18"/>
  </w:num>
  <w:num w:numId="17">
    <w:abstractNumId w:val="16"/>
  </w:num>
  <w:num w:numId="18">
    <w:abstractNumId w:val="12"/>
  </w:num>
  <w:num w:numId="19">
    <w:abstractNumId w:val="3"/>
  </w:num>
  <w:num w:numId="20">
    <w:abstractNumId w:val="13"/>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01"/>
    <w:rsid w:val="00000930"/>
    <w:rsid w:val="000056EA"/>
    <w:rsid w:val="00027BF0"/>
    <w:rsid w:val="0003126E"/>
    <w:rsid w:val="00035BAE"/>
    <w:rsid w:val="000431D7"/>
    <w:rsid w:val="00053171"/>
    <w:rsid w:val="000602C3"/>
    <w:rsid w:val="0007062D"/>
    <w:rsid w:val="00075CAB"/>
    <w:rsid w:val="00075F97"/>
    <w:rsid w:val="000944B4"/>
    <w:rsid w:val="000A3FFB"/>
    <w:rsid w:val="000B55A8"/>
    <w:rsid w:val="000C2137"/>
    <w:rsid w:val="000D1E16"/>
    <w:rsid w:val="000D47DD"/>
    <w:rsid w:val="000E211A"/>
    <w:rsid w:val="000E642F"/>
    <w:rsid w:val="000F1C9F"/>
    <w:rsid w:val="0012210E"/>
    <w:rsid w:val="001231CB"/>
    <w:rsid w:val="00124214"/>
    <w:rsid w:val="00124627"/>
    <w:rsid w:val="001266F1"/>
    <w:rsid w:val="00141616"/>
    <w:rsid w:val="00143DC8"/>
    <w:rsid w:val="001512F0"/>
    <w:rsid w:val="001517BA"/>
    <w:rsid w:val="001624FD"/>
    <w:rsid w:val="00163521"/>
    <w:rsid w:val="00172214"/>
    <w:rsid w:val="001741C5"/>
    <w:rsid w:val="00180268"/>
    <w:rsid w:val="00192B39"/>
    <w:rsid w:val="001A3007"/>
    <w:rsid w:val="001B083C"/>
    <w:rsid w:val="001B1D29"/>
    <w:rsid w:val="001C40C0"/>
    <w:rsid w:val="001C538B"/>
    <w:rsid w:val="001C617A"/>
    <w:rsid w:val="001C7933"/>
    <w:rsid w:val="001D1A07"/>
    <w:rsid w:val="001D279F"/>
    <w:rsid w:val="001D6975"/>
    <w:rsid w:val="001D765E"/>
    <w:rsid w:val="001E1DB0"/>
    <w:rsid w:val="00202CB5"/>
    <w:rsid w:val="00204C25"/>
    <w:rsid w:val="00207A26"/>
    <w:rsid w:val="00207A60"/>
    <w:rsid w:val="0021556F"/>
    <w:rsid w:val="002235A7"/>
    <w:rsid w:val="00226BD3"/>
    <w:rsid w:val="00231639"/>
    <w:rsid w:val="00234D12"/>
    <w:rsid w:val="002369A8"/>
    <w:rsid w:val="00240F1C"/>
    <w:rsid w:val="002555F3"/>
    <w:rsid w:val="00265CB6"/>
    <w:rsid w:val="00272ABB"/>
    <w:rsid w:val="00274F55"/>
    <w:rsid w:val="0028691F"/>
    <w:rsid w:val="002A0299"/>
    <w:rsid w:val="002A1DC8"/>
    <w:rsid w:val="002A2799"/>
    <w:rsid w:val="002A27B0"/>
    <w:rsid w:val="002B091F"/>
    <w:rsid w:val="002B5946"/>
    <w:rsid w:val="002B5FB1"/>
    <w:rsid w:val="002B64A9"/>
    <w:rsid w:val="002C09DA"/>
    <w:rsid w:val="002C0BDB"/>
    <w:rsid w:val="002C5B8C"/>
    <w:rsid w:val="002D64B0"/>
    <w:rsid w:val="002E2CB3"/>
    <w:rsid w:val="002F0AC2"/>
    <w:rsid w:val="0030014D"/>
    <w:rsid w:val="00302E0D"/>
    <w:rsid w:val="003233F3"/>
    <w:rsid w:val="00324349"/>
    <w:rsid w:val="00327D76"/>
    <w:rsid w:val="00337160"/>
    <w:rsid w:val="00337809"/>
    <w:rsid w:val="003603CA"/>
    <w:rsid w:val="00365986"/>
    <w:rsid w:val="00373035"/>
    <w:rsid w:val="0038020D"/>
    <w:rsid w:val="003809D2"/>
    <w:rsid w:val="00381853"/>
    <w:rsid w:val="00382755"/>
    <w:rsid w:val="003832C8"/>
    <w:rsid w:val="003901F4"/>
    <w:rsid w:val="003918B1"/>
    <w:rsid w:val="00395DAD"/>
    <w:rsid w:val="003A34A9"/>
    <w:rsid w:val="003A58B4"/>
    <w:rsid w:val="003B0C05"/>
    <w:rsid w:val="003B4CBD"/>
    <w:rsid w:val="003C3A48"/>
    <w:rsid w:val="003C6992"/>
    <w:rsid w:val="003E0029"/>
    <w:rsid w:val="003E1318"/>
    <w:rsid w:val="003E2D0A"/>
    <w:rsid w:val="003E4EB9"/>
    <w:rsid w:val="003F607E"/>
    <w:rsid w:val="003F7EA0"/>
    <w:rsid w:val="00404565"/>
    <w:rsid w:val="0041074D"/>
    <w:rsid w:val="00424321"/>
    <w:rsid w:val="00431D43"/>
    <w:rsid w:val="00450119"/>
    <w:rsid w:val="00450A42"/>
    <w:rsid w:val="00453D0E"/>
    <w:rsid w:val="004576C0"/>
    <w:rsid w:val="004601EE"/>
    <w:rsid w:val="00466196"/>
    <w:rsid w:val="0047682A"/>
    <w:rsid w:val="0048475D"/>
    <w:rsid w:val="00490FE8"/>
    <w:rsid w:val="00497AA1"/>
    <w:rsid w:val="004A33FA"/>
    <w:rsid w:val="004A52F5"/>
    <w:rsid w:val="004B0971"/>
    <w:rsid w:val="004B70FC"/>
    <w:rsid w:val="004C4370"/>
    <w:rsid w:val="004D0AD5"/>
    <w:rsid w:val="004D0B5D"/>
    <w:rsid w:val="004D1C2C"/>
    <w:rsid w:val="004E03A5"/>
    <w:rsid w:val="004E7782"/>
    <w:rsid w:val="004F567E"/>
    <w:rsid w:val="004F5B10"/>
    <w:rsid w:val="00500A8E"/>
    <w:rsid w:val="00510818"/>
    <w:rsid w:val="00510C55"/>
    <w:rsid w:val="005220E3"/>
    <w:rsid w:val="00524C75"/>
    <w:rsid w:val="00531E27"/>
    <w:rsid w:val="0053269B"/>
    <w:rsid w:val="00532823"/>
    <w:rsid w:val="00533395"/>
    <w:rsid w:val="00533685"/>
    <w:rsid w:val="005438C3"/>
    <w:rsid w:val="00555989"/>
    <w:rsid w:val="0056190A"/>
    <w:rsid w:val="00571D01"/>
    <w:rsid w:val="00572AAB"/>
    <w:rsid w:val="00573A88"/>
    <w:rsid w:val="005744FF"/>
    <w:rsid w:val="0059523D"/>
    <w:rsid w:val="00595D0C"/>
    <w:rsid w:val="005A59E1"/>
    <w:rsid w:val="005A5FE9"/>
    <w:rsid w:val="005B293F"/>
    <w:rsid w:val="005B3BD1"/>
    <w:rsid w:val="005B3C42"/>
    <w:rsid w:val="005B6472"/>
    <w:rsid w:val="005C662C"/>
    <w:rsid w:val="005D0365"/>
    <w:rsid w:val="005D1327"/>
    <w:rsid w:val="005D22DC"/>
    <w:rsid w:val="005D2B42"/>
    <w:rsid w:val="005D6C11"/>
    <w:rsid w:val="005E348F"/>
    <w:rsid w:val="005E3F42"/>
    <w:rsid w:val="005E5A4D"/>
    <w:rsid w:val="005E7A5F"/>
    <w:rsid w:val="005E7ACA"/>
    <w:rsid w:val="005F4DA1"/>
    <w:rsid w:val="005F69BD"/>
    <w:rsid w:val="005F7805"/>
    <w:rsid w:val="00603DC1"/>
    <w:rsid w:val="00611437"/>
    <w:rsid w:val="0061767D"/>
    <w:rsid w:val="00627BC5"/>
    <w:rsid w:val="00635DD7"/>
    <w:rsid w:val="00637372"/>
    <w:rsid w:val="006458A0"/>
    <w:rsid w:val="00646726"/>
    <w:rsid w:val="0065008A"/>
    <w:rsid w:val="00652D33"/>
    <w:rsid w:val="00660470"/>
    <w:rsid w:val="00665331"/>
    <w:rsid w:val="006720C9"/>
    <w:rsid w:val="00677DB2"/>
    <w:rsid w:val="0068027A"/>
    <w:rsid w:val="00682D29"/>
    <w:rsid w:val="006846AE"/>
    <w:rsid w:val="00695CB2"/>
    <w:rsid w:val="006B060D"/>
    <w:rsid w:val="006B2411"/>
    <w:rsid w:val="006B4788"/>
    <w:rsid w:val="006B7F8B"/>
    <w:rsid w:val="006C0D83"/>
    <w:rsid w:val="006C397D"/>
    <w:rsid w:val="006D1012"/>
    <w:rsid w:val="006D10C7"/>
    <w:rsid w:val="006D5DFD"/>
    <w:rsid w:val="006D6E8A"/>
    <w:rsid w:val="006F055D"/>
    <w:rsid w:val="006F11E9"/>
    <w:rsid w:val="006F25F7"/>
    <w:rsid w:val="006F3025"/>
    <w:rsid w:val="006F40CA"/>
    <w:rsid w:val="006F5FAC"/>
    <w:rsid w:val="007153B9"/>
    <w:rsid w:val="0072173F"/>
    <w:rsid w:val="00730F4A"/>
    <w:rsid w:val="00732BFD"/>
    <w:rsid w:val="00733DDC"/>
    <w:rsid w:val="00740A2B"/>
    <w:rsid w:val="00740EE6"/>
    <w:rsid w:val="0074272B"/>
    <w:rsid w:val="0074797E"/>
    <w:rsid w:val="007537EC"/>
    <w:rsid w:val="007539D5"/>
    <w:rsid w:val="007544D3"/>
    <w:rsid w:val="0075461A"/>
    <w:rsid w:val="00762A8B"/>
    <w:rsid w:val="007A2025"/>
    <w:rsid w:val="007B1950"/>
    <w:rsid w:val="007B255D"/>
    <w:rsid w:val="007B6F2E"/>
    <w:rsid w:val="007C5D77"/>
    <w:rsid w:val="007C7167"/>
    <w:rsid w:val="007C7DF3"/>
    <w:rsid w:val="007E2CED"/>
    <w:rsid w:val="007E354A"/>
    <w:rsid w:val="007F52CB"/>
    <w:rsid w:val="007F6582"/>
    <w:rsid w:val="007F7AB8"/>
    <w:rsid w:val="008009FC"/>
    <w:rsid w:val="00802B78"/>
    <w:rsid w:val="00803460"/>
    <w:rsid w:val="008034B8"/>
    <w:rsid w:val="0081420B"/>
    <w:rsid w:val="00814558"/>
    <w:rsid w:val="008167C3"/>
    <w:rsid w:val="00816C75"/>
    <w:rsid w:val="00826542"/>
    <w:rsid w:val="00830385"/>
    <w:rsid w:val="00844BE9"/>
    <w:rsid w:val="00845776"/>
    <w:rsid w:val="0084612D"/>
    <w:rsid w:val="00846201"/>
    <w:rsid w:val="00847FB2"/>
    <w:rsid w:val="00853D3D"/>
    <w:rsid w:val="00856A2F"/>
    <w:rsid w:val="00856BE9"/>
    <w:rsid w:val="00863B0E"/>
    <w:rsid w:val="00865FF4"/>
    <w:rsid w:val="00872447"/>
    <w:rsid w:val="008817AF"/>
    <w:rsid w:val="00895FE2"/>
    <w:rsid w:val="008A39A4"/>
    <w:rsid w:val="008B1AEA"/>
    <w:rsid w:val="008D5F6C"/>
    <w:rsid w:val="008E12F5"/>
    <w:rsid w:val="008E4474"/>
    <w:rsid w:val="008E5D1C"/>
    <w:rsid w:val="008F032B"/>
    <w:rsid w:val="008F4B60"/>
    <w:rsid w:val="008F4F55"/>
    <w:rsid w:val="009020BE"/>
    <w:rsid w:val="00905943"/>
    <w:rsid w:val="00910BA0"/>
    <w:rsid w:val="00911422"/>
    <w:rsid w:val="009119DB"/>
    <w:rsid w:val="009155C0"/>
    <w:rsid w:val="00920E8C"/>
    <w:rsid w:val="009448D0"/>
    <w:rsid w:val="00944EA2"/>
    <w:rsid w:val="0095341E"/>
    <w:rsid w:val="00955243"/>
    <w:rsid w:val="00981BFD"/>
    <w:rsid w:val="00983A88"/>
    <w:rsid w:val="00984EB5"/>
    <w:rsid w:val="009901CF"/>
    <w:rsid w:val="00995FB3"/>
    <w:rsid w:val="00996217"/>
    <w:rsid w:val="009A09E3"/>
    <w:rsid w:val="009A1047"/>
    <w:rsid w:val="009B25E0"/>
    <w:rsid w:val="009B43F4"/>
    <w:rsid w:val="009B452F"/>
    <w:rsid w:val="009B645C"/>
    <w:rsid w:val="009C0100"/>
    <w:rsid w:val="009C252D"/>
    <w:rsid w:val="009C4400"/>
    <w:rsid w:val="009D202F"/>
    <w:rsid w:val="009D32B7"/>
    <w:rsid w:val="009D6D35"/>
    <w:rsid w:val="009E0134"/>
    <w:rsid w:val="009E04FA"/>
    <w:rsid w:val="009E13E5"/>
    <w:rsid w:val="009E2D28"/>
    <w:rsid w:val="009F0EA4"/>
    <w:rsid w:val="00A03B62"/>
    <w:rsid w:val="00A04D81"/>
    <w:rsid w:val="00A10663"/>
    <w:rsid w:val="00A117CB"/>
    <w:rsid w:val="00A11F2A"/>
    <w:rsid w:val="00A21A5C"/>
    <w:rsid w:val="00A24FE2"/>
    <w:rsid w:val="00A26A42"/>
    <w:rsid w:val="00A374E0"/>
    <w:rsid w:val="00A451E5"/>
    <w:rsid w:val="00A56A1F"/>
    <w:rsid w:val="00A67FFA"/>
    <w:rsid w:val="00A800E6"/>
    <w:rsid w:val="00A804E5"/>
    <w:rsid w:val="00A925C0"/>
    <w:rsid w:val="00A95B0C"/>
    <w:rsid w:val="00AA2347"/>
    <w:rsid w:val="00AA36F8"/>
    <w:rsid w:val="00AA3FD2"/>
    <w:rsid w:val="00AA6C26"/>
    <w:rsid w:val="00AA7993"/>
    <w:rsid w:val="00AB191C"/>
    <w:rsid w:val="00AB4C11"/>
    <w:rsid w:val="00AB7E0C"/>
    <w:rsid w:val="00AC3473"/>
    <w:rsid w:val="00AD4C19"/>
    <w:rsid w:val="00AE1F47"/>
    <w:rsid w:val="00AE5C99"/>
    <w:rsid w:val="00AF0634"/>
    <w:rsid w:val="00AF5054"/>
    <w:rsid w:val="00B07B97"/>
    <w:rsid w:val="00B13575"/>
    <w:rsid w:val="00B17771"/>
    <w:rsid w:val="00B206D8"/>
    <w:rsid w:val="00B24BE9"/>
    <w:rsid w:val="00B33CFB"/>
    <w:rsid w:val="00B6503D"/>
    <w:rsid w:val="00B672C8"/>
    <w:rsid w:val="00B735B8"/>
    <w:rsid w:val="00B81817"/>
    <w:rsid w:val="00B82698"/>
    <w:rsid w:val="00B830F6"/>
    <w:rsid w:val="00B9019D"/>
    <w:rsid w:val="00B90D5A"/>
    <w:rsid w:val="00B9100C"/>
    <w:rsid w:val="00B94305"/>
    <w:rsid w:val="00B97341"/>
    <w:rsid w:val="00BA66D7"/>
    <w:rsid w:val="00BC1E0A"/>
    <w:rsid w:val="00BC3163"/>
    <w:rsid w:val="00BC3C14"/>
    <w:rsid w:val="00BC4409"/>
    <w:rsid w:val="00BC4F16"/>
    <w:rsid w:val="00BC501B"/>
    <w:rsid w:val="00BD3291"/>
    <w:rsid w:val="00BE0DFE"/>
    <w:rsid w:val="00BE5C9A"/>
    <w:rsid w:val="00BE6418"/>
    <w:rsid w:val="00BE6F50"/>
    <w:rsid w:val="00BF604F"/>
    <w:rsid w:val="00BF722B"/>
    <w:rsid w:val="00BF7687"/>
    <w:rsid w:val="00C16158"/>
    <w:rsid w:val="00C16778"/>
    <w:rsid w:val="00C17572"/>
    <w:rsid w:val="00C21C7A"/>
    <w:rsid w:val="00C2209B"/>
    <w:rsid w:val="00C226A7"/>
    <w:rsid w:val="00C23337"/>
    <w:rsid w:val="00C31F16"/>
    <w:rsid w:val="00C35DED"/>
    <w:rsid w:val="00C36F86"/>
    <w:rsid w:val="00C40EA8"/>
    <w:rsid w:val="00C47A31"/>
    <w:rsid w:val="00C54ABF"/>
    <w:rsid w:val="00C61A60"/>
    <w:rsid w:val="00C6457A"/>
    <w:rsid w:val="00C74506"/>
    <w:rsid w:val="00C75DCB"/>
    <w:rsid w:val="00C75F94"/>
    <w:rsid w:val="00C766D0"/>
    <w:rsid w:val="00C92AE5"/>
    <w:rsid w:val="00CA1B28"/>
    <w:rsid w:val="00CB2F24"/>
    <w:rsid w:val="00CB422B"/>
    <w:rsid w:val="00CB5868"/>
    <w:rsid w:val="00CC5393"/>
    <w:rsid w:val="00CC7C48"/>
    <w:rsid w:val="00CE090F"/>
    <w:rsid w:val="00CF19D2"/>
    <w:rsid w:val="00CF69E4"/>
    <w:rsid w:val="00D01BFC"/>
    <w:rsid w:val="00D30712"/>
    <w:rsid w:val="00D430CD"/>
    <w:rsid w:val="00D57A9B"/>
    <w:rsid w:val="00D637A7"/>
    <w:rsid w:val="00D66775"/>
    <w:rsid w:val="00D67B6A"/>
    <w:rsid w:val="00D77F8F"/>
    <w:rsid w:val="00D8594E"/>
    <w:rsid w:val="00D95627"/>
    <w:rsid w:val="00D95ABC"/>
    <w:rsid w:val="00DB56F1"/>
    <w:rsid w:val="00DE6B9C"/>
    <w:rsid w:val="00DF51AA"/>
    <w:rsid w:val="00E05337"/>
    <w:rsid w:val="00E0557B"/>
    <w:rsid w:val="00E0632C"/>
    <w:rsid w:val="00E06B10"/>
    <w:rsid w:val="00E16F7D"/>
    <w:rsid w:val="00E358D2"/>
    <w:rsid w:val="00E43AC7"/>
    <w:rsid w:val="00E56435"/>
    <w:rsid w:val="00E745D7"/>
    <w:rsid w:val="00E80D5F"/>
    <w:rsid w:val="00E81284"/>
    <w:rsid w:val="00E81CB8"/>
    <w:rsid w:val="00E83C98"/>
    <w:rsid w:val="00E84B26"/>
    <w:rsid w:val="00E907A6"/>
    <w:rsid w:val="00E915D7"/>
    <w:rsid w:val="00EB12FF"/>
    <w:rsid w:val="00EB5EA3"/>
    <w:rsid w:val="00EB728C"/>
    <w:rsid w:val="00EC0B65"/>
    <w:rsid w:val="00EC2A94"/>
    <w:rsid w:val="00EC3FDA"/>
    <w:rsid w:val="00EC433A"/>
    <w:rsid w:val="00EC51BB"/>
    <w:rsid w:val="00ED1026"/>
    <w:rsid w:val="00EF51B1"/>
    <w:rsid w:val="00F0004C"/>
    <w:rsid w:val="00F01C32"/>
    <w:rsid w:val="00F11186"/>
    <w:rsid w:val="00F138EF"/>
    <w:rsid w:val="00F17B42"/>
    <w:rsid w:val="00F213FC"/>
    <w:rsid w:val="00F21E28"/>
    <w:rsid w:val="00F23E81"/>
    <w:rsid w:val="00F25D8E"/>
    <w:rsid w:val="00F26C20"/>
    <w:rsid w:val="00F36929"/>
    <w:rsid w:val="00F3704A"/>
    <w:rsid w:val="00F42792"/>
    <w:rsid w:val="00F4330A"/>
    <w:rsid w:val="00F468DA"/>
    <w:rsid w:val="00F47015"/>
    <w:rsid w:val="00F562FA"/>
    <w:rsid w:val="00F66385"/>
    <w:rsid w:val="00F7535D"/>
    <w:rsid w:val="00F76FA1"/>
    <w:rsid w:val="00F81788"/>
    <w:rsid w:val="00F904EB"/>
    <w:rsid w:val="00F940C4"/>
    <w:rsid w:val="00F948F1"/>
    <w:rsid w:val="00FB0A2D"/>
    <w:rsid w:val="00FD5833"/>
    <w:rsid w:val="00FD62F6"/>
    <w:rsid w:val="00FE3649"/>
    <w:rsid w:val="00FF0463"/>
    <w:rsid w:val="00FF319F"/>
    <w:rsid w:val="00FF3CFA"/>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C51D96A"/>
  <w15:chartTrackingRefBased/>
  <w15:docId w15:val="{35E0D841-614D-4D35-94D2-65D81FA4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01"/>
    <w:pPr>
      <w:spacing w:after="160" w:line="259" w:lineRule="auto"/>
    </w:pPr>
    <w:rPr>
      <w:lang w:val="lv-LV"/>
    </w:rPr>
  </w:style>
  <w:style w:type="paragraph" w:styleId="Heading3">
    <w:name w:val="heading 3"/>
    <w:basedOn w:val="Normal"/>
    <w:next w:val="Normal"/>
    <w:link w:val="Heading3Char"/>
    <w:uiPriority w:val="9"/>
    <w:unhideWhenUsed/>
    <w:qFormat/>
    <w:rsid w:val="003371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71D0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71D01"/>
    <w:rPr>
      <w:rFonts w:ascii="Times New Roman" w:eastAsia="Times New Roman" w:hAnsi="Times New Roman" w:cs="Times New Roman"/>
      <w:sz w:val="20"/>
      <w:szCs w:val="20"/>
      <w:lang w:val="lv-LV"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571D01"/>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571D01"/>
    <w:rPr>
      <w:color w:val="0000FF"/>
      <w:u w:val="single"/>
    </w:rPr>
  </w:style>
  <w:style w:type="paragraph" w:customStyle="1" w:styleId="naiskr">
    <w:name w:val="naiskr"/>
    <w:basedOn w:val="Normal"/>
    <w:rsid w:val="00571D0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1D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1D01"/>
    <w:rPr>
      <w:lang w:val="lv-LV"/>
    </w:rPr>
  </w:style>
  <w:style w:type="paragraph" w:styleId="Footer">
    <w:name w:val="footer"/>
    <w:basedOn w:val="Normal"/>
    <w:link w:val="FooterChar"/>
    <w:uiPriority w:val="99"/>
    <w:unhideWhenUsed/>
    <w:rsid w:val="00571D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D01"/>
    <w:rPr>
      <w:lang w:val="lv-LV"/>
    </w:rPr>
  </w:style>
  <w:style w:type="paragraph" w:customStyle="1" w:styleId="tv2132">
    <w:name w:val="tv2132"/>
    <w:basedOn w:val="Normal"/>
    <w:rsid w:val="00D66775"/>
    <w:pPr>
      <w:spacing w:after="0" w:line="360" w:lineRule="auto"/>
      <w:ind w:firstLine="300"/>
    </w:pPr>
    <w:rPr>
      <w:rFonts w:ascii="Times New Roman" w:hAnsi="Times New Roman" w:cs="Times New Roman"/>
      <w:color w:val="414142"/>
      <w:sz w:val="20"/>
      <w:szCs w:val="20"/>
      <w:lang w:eastAsia="lv-LV"/>
    </w:rPr>
  </w:style>
  <w:style w:type="paragraph" w:styleId="BodyText">
    <w:name w:val="Body Text"/>
    <w:basedOn w:val="Normal"/>
    <w:link w:val="BodyTextChar"/>
    <w:rsid w:val="008F4B60"/>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F4B60"/>
    <w:rPr>
      <w:rFonts w:ascii="Times New Roman" w:eastAsia="Times New Roman" w:hAnsi="Times New Roman" w:cs="Times New Roman"/>
      <w:sz w:val="28"/>
      <w:szCs w:val="24"/>
      <w:lang w:val="lv-LV"/>
    </w:rPr>
  </w:style>
  <w:style w:type="paragraph" w:styleId="NormalWeb">
    <w:name w:val="Normal (Web)"/>
    <w:basedOn w:val="Normal"/>
    <w:uiPriority w:val="99"/>
    <w:rsid w:val="008F03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B7E0C"/>
    <w:rPr>
      <w:sz w:val="16"/>
      <w:szCs w:val="16"/>
    </w:rPr>
  </w:style>
  <w:style w:type="paragraph" w:styleId="CommentSubject">
    <w:name w:val="annotation subject"/>
    <w:basedOn w:val="CommentText"/>
    <w:next w:val="CommentText"/>
    <w:link w:val="CommentSubjectChar"/>
    <w:uiPriority w:val="99"/>
    <w:semiHidden/>
    <w:unhideWhenUsed/>
    <w:rsid w:val="00AB7E0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B7E0C"/>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B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0C"/>
    <w:rPr>
      <w:rFonts w:ascii="Segoe UI" w:hAnsi="Segoe UI" w:cs="Segoe UI"/>
      <w:sz w:val="18"/>
      <w:szCs w:val="18"/>
      <w:lang w:val="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274F55"/>
    <w:rPr>
      <w:rFonts w:ascii="Times New Roman" w:eastAsia="Times New Roman" w:hAnsi="Times New Roman" w:cs="Times New Roman"/>
      <w:sz w:val="24"/>
      <w:szCs w:val="24"/>
      <w:lang w:val="lv-LV" w:eastAsia="lv-LV"/>
    </w:rPr>
  </w:style>
  <w:style w:type="character" w:customStyle="1" w:styleId="BodyText1">
    <w:name w:val="Body Text1"/>
    <w:rsid w:val="005B647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character" w:styleId="FollowedHyperlink">
    <w:name w:val="FollowedHyperlink"/>
    <w:uiPriority w:val="99"/>
    <w:semiHidden/>
    <w:rsid w:val="00872447"/>
    <w:rPr>
      <w:rFonts w:cs="Times New Roman"/>
      <w:color w:val="800080"/>
      <w:u w:val="single"/>
    </w:rPr>
  </w:style>
  <w:style w:type="paragraph" w:styleId="FootnoteText">
    <w:name w:val="footnote text"/>
    <w:basedOn w:val="Normal"/>
    <w:link w:val="FootnoteTextChar"/>
    <w:uiPriority w:val="99"/>
    <w:semiHidden/>
    <w:unhideWhenUsed/>
    <w:rsid w:val="00F81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788"/>
    <w:rPr>
      <w:sz w:val="20"/>
      <w:szCs w:val="20"/>
      <w:lang w:val="lv-LV"/>
    </w:rPr>
  </w:style>
  <w:style w:type="character" w:styleId="FootnoteReference">
    <w:name w:val="footnote reference"/>
    <w:basedOn w:val="DefaultParagraphFont"/>
    <w:uiPriority w:val="99"/>
    <w:semiHidden/>
    <w:unhideWhenUsed/>
    <w:rsid w:val="00F81788"/>
    <w:rPr>
      <w:vertAlign w:val="superscript"/>
    </w:rPr>
  </w:style>
  <w:style w:type="paragraph" w:customStyle="1" w:styleId="th">
    <w:name w:val="th"/>
    <w:basedOn w:val="Normal"/>
    <w:uiPriority w:val="99"/>
    <w:rsid w:val="00A04D81"/>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 w:type="character" w:customStyle="1" w:styleId="Heading3Char">
    <w:name w:val="Heading 3 Char"/>
    <w:basedOn w:val="DefaultParagraphFont"/>
    <w:link w:val="Heading3"/>
    <w:uiPriority w:val="9"/>
    <w:rsid w:val="00337160"/>
    <w:rPr>
      <w:rFonts w:asciiTheme="majorHAnsi" w:eastAsiaTheme="majorEastAsia" w:hAnsiTheme="majorHAnsi" w:cstheme="majorBidi"/>
      <w:color w:val="243F60" w:themeColor="accent1" w:themeShade="7F"/>
      <w:sz w:val="24"/>
      <w:szCs w:val="24"/>
      <w:lang w:val="lv-LV"/>
    </w:rPr>
  </w:style>
  <w:style w:type="paragraph" w:customStyle="1" w:styleId="Normalt1">
    <w:name w:val="Normalt1"/>
    <w:basedOn w:val="Normal"/>
    <w:rsid w:val="00BF7687"/>
    <w:pPr>
      <w:spacing w:after="0" w:line="240" w:lineRule="auto"/>
      <w:ind w:firstLine="567"/>
      <w:jc w:val="both"/>
    </w:pPr>
    <w:rPr>
      <w:rFonts w:ascii="Times New Roman" w:eastAsia="Times New Roman" w:hAnsi="Times New Roman" w:cs="Times New Roman"/>
      <w:szCs w:val="20"/>
      <w:u w:color="000000"/>
      <w:lang w:val="en-GB" w:eastAsia="lv-LV"/>
    </w:rPr>
  </w:style>
  <w:style w:type="paragraph" w:customStyle="1" w:styleId="naisc">
    <w:name w:val="naisc"/>
    <w:basedOn w:val="Normal"/>
    <w:rsid w:val="00327D76"/>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rsid w:val="0023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355926206">
      <w:bodyDiv w:val="1"/>
      <w:marLeft w:val="0"/>
      <w:marRight w:val="0"/>
      <w:marTop w:val="0"/>
      <w:marBottom w:val="0"/>
      <w:divBdr>
        <w:top w:val="none" w:sz="0" w:space="0" w:color="auto"/>
        <w:left w:val="none" w:sz="0" w:space="0" w:color="auto"/>
        <w:bottom w:val="none" w:sz="0" w:space="0" w:color="auto"/>
        <w:right w:val="none" w:sz="0" w:space="0" w:color="auto"/>
      </w:divBdr>
    </w:div>
    <w:div w:id="720175312">
      <w:bodyDiv w:val="1"/>
      <w:marLeft w:val="0"/>
      <w:marRight w:val="0"/>
      <w:marTop w:val="0"/>
      <w:marBottom w:val="0"/>
      <w:divBdr>
        <w:top w:val="none" w:sz="0" w:space="0" w:color="auto"/>
        <w:left w:val="none" w:sz="0" w:space="0" w:color="auto"/>
        <w:bottom w:val="none" w:sz="0" w:space="0" w:color="auto"/>
        <w:right w:val="none" w:sz="0" w:space="0" w:color="auto"/>
      </w:divBdr>
      <w:divsChild>
        <w:div w:id="905261474">
          <w:marLeft w:val="0"/>
          <w:marRight w:val="0"/>
          <w:marTop w:val="0"/>
          <w:marBottom w:val="0"/>
          <w:divBdr>
            <w:top w:val="none" w:sz="0" w:space="0" w:color="auto"/>
            <w:left w:val="none" w:sz="0" w:space="0" w:color="auto"/>
            <w:bottom w:val="none" w:sz="0" w:space="0" w:color="auto"/>
            <w:right w:val="none" w:sz="0" w:space="0" w:color="auto"/>
          </w:divBdr>
          <w:divsChild>
            <w:div w:id="1473909923">
              <w:marLeft w:val="0"/>
              <w:marRight w:val="0"/>
              <w:marTop w:val="0"/>
              <w:marBottom w:val="0"/>
              <w:divBdr>
                <w:top w:val="none" w:sz="0" w:space="0" w:color="auto"/>
                <w:left w:val="none" w:sz="0" w:space="0" w:color="auto"/>
                <w:bottom w:val="none" w:sz="0" w:space="0" w:color="auto"/>
                <w:right w:val="none" w:sz="0" w:space="0" w:color="auto"/>
              </w:divBdr>
              <w:divsChild>
                <w:div w:id="1941836580">
                  <w:marLeft w:val="0"/>
                  <w:marRight w:val="0"/>
                  <w:marTop w:val="0"/>
                  <w:marBottom w:val="0"/>
                  <w:divBdr>
                    <w:top w:val="none" w:sz="0" w:space="0" w:color="auto"/>
                    <w:left w:val="none" w:sz="0" w:space="0" w:color="auto"/>
                    <w:bottom w:val="none" w:sz="0" w:space="0" w:color="auto"/>
                    <w:right w:val="none" w:sz="0" w:space="0" w:color="auto"/>
                  </w:divBdr>
                  <w:divsChild>
                    <w:div w:id="759566170">
                      <w:marLeft w:val="0"/>
                      <w:marRight w:val="0"/>
                      <w:marTop w:val="0"/>
                      <w:marBottom w:val="0"/>
                      <w:divBdr>
                        <w:top w:val="none" w:sz="0" w:space="0" w:color="auto"/>
                        <w:left w:val="none" w:sz="0" w:space="0" w:color="auto"/>
                        <w:bottom w:val="none" w:sz="0" w:space="0" w:color="auto"/>
                        <w:right w:val="none" w:sz="0" w:space="0" w:color="auto"/>
                      </w:divBdr>
                      <w:divsChild>
                        <w:div w:id="1116678842">
                          <w:marLeft w:val="0"/>
                          <w:marRight w:val="0"/>
                          <w:marTop w:val="0"/>
                          <w:marBottom w:val="0"/>
                          <w:divBdr>
                            <w:top w:val="none" w:sz="0" w:space="0" w:color="auto"/>
                            <w:left w:val="none" w:sz="0" w:space="0" w:color="auto"/>
                            <w:bottom w:val="none" w:sz="0" w:space="0" w:color="auto"/>
                            <w:right w:val="none" w:sz="0" w:space="0" w:color="auto"/>
                          </w:divBdr>
                          <w:divsChild>
                            <w:div w:id="12235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8792">
      <w:bodyDiv w:val="1"/>
      <w:marLeft w:val="0"/>
      <w:marRight w:val="0"/>
      <w:marTop w:val="0"/>
      <w:marBottom w:val="0"/>
      <w:divBdr>
        <w:top w:val="none" w:sz="0" w:space="0" w:color="auto"/>
        <w:left w:val="none" w:sz="0" w:space="0" w:color="auto"/>
        <w:bottom w:val="none" w:sz="0" w:space="0" w:color="auto"/>
        <w:right w:val="none" w:sz="0" w:space="0" w:color="auto"/>
      </w:divBdr>
    </w:div>
    <w:div w:id="17749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87R2658:LV: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la.Hartmane@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m.gov.lv/lv/sabiedribas_lidzdaliba/tiesibu_aktu_projekti/muitas_politika/" TargetMode="External"/><Relationship Id="rId4" Type="http://schemas.openxmlformats.org/officeDocument/2006/relationships/settings" Target="settings.xml"/><Relationship Id="rId9" Type="http://schemas.openxmlformats.org/officeDocument/2006/relationships/hyperlink" Target="http://eur-lex.europa.eu/LexUriServ/LexUriServ.do?uri=CELEX:31987R2658:LV: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4DA2-D481-41FD-A1A8-85809225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10</Pages>
  <Words>12824</Words>
  <Characters>7310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20.decembra noteikumos Nr.861 "Zudumu apmēru noteikšanas kārtība muitas uzraudzībā esošajām nefasētajām precēm""</vt:lpstr>
    </vt:vector>
  </TitlesOfParts>
  <Manager>NND</Manager>
  <Company>Finanšu ministrija</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20.decembra noteikumos Nr.861 "Zudumu apmēru noteikšanas kārtība muitas uzraudzībā esošajām nefasētajām precēm""</dc:title>
  <dc:subject>Ministru kabineta noteikumu projekta anotācija</dc:subject>
  <dc:creator>Ella Hartmane</dc:creator>
  <cp:keywords/>
  <dc:description>Ella.Hartmane@fm.gov.lv, 67095525</dc:description>
  <cp:lastModifiedBy>Ella Hartmane</cp:lastModifiedBy>
  <cp:revision>194</cp:revision>
  <dcterms:created xsi:type="dcterms:W3CDTF">2018-11-08T12:52:00Z</dcterms:created>
  <dcterms:modified xsi:type="dcterms:W3CDTF">2019-06-17T07:26:00Z</dcterms:modified>
</cp:coreProperties>
</file>