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CE9C" w14:textId="77777777" w:rsidR="009E57E7" w:rsidRPr="00637DFA" w:rsidRDefault="009E57E7" w:rsidP="009E5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</w:pPr>
      <w:bookmarkStart w:id="0" w:name="_GoBack"/>
      <w:bookmarkEnd w:id="0"/>
      <w:r w:rsidRPr="00637D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>Ministru kabineta noteikumu projekta „Grozījumi Ministru kabineta 2015.gada 12.maija noteikumos Nr.220 „Kārtība, kādā alkoholiskos dzērienus un tabakas izstrādājumus marķē ar akcīzes nodokļa markām”” sākotnējās ietekmes novērtējuma ziņojums (anotācija)</w:t>
      </w:r>
    </w:p>
    <w:p w14:paraId="14CDAD9D" w14:textId="77777777" w:rsidR="00E5323B" w:rsidRPr="00E2338F" w:rsidRDefault="00E5323B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7362"/>
      </w:tblGrid>
      <w:tr w:rsidR="00541E4B" w:rsidRPr="008A3A66" w14:paraId="193DD8B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1469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41E4B" w:rsidRPr="008A3A66" w14:paraId="69520A13" w14:textId="77777777" w:rsidTr="00FA3025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8C6A" w14:textId="77777777" w:rsidR="00E5323B" w:rsidRPr="008A3A66" w:rsidRDefault="00E5323B" w:rsidP="00DC65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F572" w14:textId="77777777" w:rsidR="00683678" w:rsidRDefault="00270B83" w:rsidP="00230C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8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Ministru kabineta noteikum</w:t>
            </w:r>
            <w:r w:rsid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i</w:t>
            </w:r>
            <w:r w:rsidRPr="00270B8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“</w:t>
            </w:r>
            <w:r w:rsidR="009E57E7" w:rsidRPr="009E57E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Grozījumi Ministru kabineta 2015.</w:t>
            </w:r>
            <w:r w:rsidR="00DC65D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="009E57E7" w:rsidRPr="009E57E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g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ada 12.</w:t>
            </w:r>
            <w:r w:rsidR="00DC65D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maija noteikumos Nr.</w:t>
            </w:r>
            <w:r w:rsidR="00DC65D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220 “</w:t>
            </w:r>
            <w:r w:rsidR="009E57E7" w:rsidRPr="009E57E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Kārtība, kādā alkoholiskos dzērienus un tabakas izstrādājumus marķē ar akcīzes nodokļa markām”” </w:t>
            </w:r>
            <w:r w:rsidR="00742160" w:rsidRPr="008A3A6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(turpmāk – </w:t>
            </w:r>
            <w:r w:rsidRPr="00270B8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M</w:t>
            </w:r>
            <w:r w:rsidR="0094301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noteikumu projekts</w:t>
            </w:r>
            <w:r w:rsidR="00742160" w:rsidRPr="008A3A6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) izstrādāt</w:t>
            </w:r>
            <w:r w:rsid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i</w:t>
            </w:r>
            <w:r w:rsidR="00742160" w:rsidRPr="008A3A6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r w:rsid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lai </w:t>
            </w:r>
            <w:r w:rsidR="00F07412" w:rsidRP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nodokļu maksātāji varētu saņemt akcīzes nodokļa markas, kas pildīs tikai drošības elementa funkciju un tiks piestiprinātas tādām tabakas izstrādājumu iepakojuma vienībām, kuras paredzēts realizēt beznodokļu </w:t>
            </w:r>
            <w:r w:rsidR="00637DF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tirdzniecības </w:t>
            </w:r>
            <w:r w:rsidR="00F07412" w:rsidRP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veikalos, </w:t>
            </w:r>
            <w:r w:rsidR="00E44BC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ja </w:t>
            </w:r>
            <w:r w:rsidR="00F07412" w:rsidRP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t</w:t>
            </w:r>
            <w:r w:rsidR="00076E1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ām</w:t>
            </w:r>
            <w:r w:rsidR="00F07412" w:rsidRP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piemēro akcīzes nodokļa atbrīvojumu, saskaņā ar likuma “Par akcīzes nodokli” </w:t>
            </w:r>
            <w:r w:rsid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20.pantu un 21.panta sesto daļu, kā arī</w:t>
            </w:r>
            <w:r w:rsidR="00941EC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noteikumu projektā ir nepieciešams </w:t>
            </w:r>
            <w:r w:rsidR="00F07412" w:rsidRP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izdalīt </w:t>
            </w:r>
            <w:r w:rsidR="0094301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jaunu </w:t>
            </w:r>
            <w:r w:rsidR="00F07412" w:rsidRPr="00F0741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alkoholiskā dzēriena grupu atbilstoši samazinātajai akcīzes nodokļa likmei - pārējie alkoholiskie dzērieni, kas saražoti mazajā alkoholisko dzērienu darītavā</w:t>
            </w:r>
            <w:r w:rsidR="009E57E7" w:rsidRPr="009E57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14:paraId="0DAAB798" w14:textId="15072DF0" w:rsidR="00683678" w:rsidRPr="00230CEA" w:rsidRDefault="00AB7C69" w:rsidP="00230C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MK noteikumi </w:t>
            </w:r>
            <w:r w:rsidR="006836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stāsies spēkā vispārējā kārtībā.</w:t>
            </w:r>
          </w:p>
        </w:tc>
      </w:tr>
    </w:tbl>
    <w:p w14:paraId="0B595C2A" w14:textId="77777777" w:rsidR="00E5323B" w:rsidRPr="008A3A66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8A3A6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128"/>
        <w:gridCol w:w="6510"/>
      </w:tblGrid>
      <w:tr w:rsidR="00541E4B" w:rsidRPr="008A3A66" w14:paraId="47854F3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61E3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41E4B" w:rsidRPr="008A3A66" w14:paraId="2D7AA261" w14:textId="77777777" w:rsidTr="00FA3025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5762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3959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BD7E" w14:textId="77777777" w:rsidR="0049300F" w:rsidRDefault="00F17996" w:rsidP="00F57A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17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ikuma “Par akcīze</w:t>
            </w:r>
            <w:r w:rsid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 nodokli” 12. panta ceturtā daļa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pārejas noteikumu 108. punkts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un </w:t>
            </w:r>
            <w:r w:rsidRPr="009E57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</w:t>
            </w:r>
            <w:r w:rsid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57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 četrpadsmit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</w:t>
            </w:r>
            <w:r w:rsidR="00493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daļa.</w:t>
            </w:r>
            <w:r w:rsidR="00487C21"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422FE17" w14:textId="01DC344A" w:rsidR="00EF6ED5" w:rsidRPr="00DF5BF6" w:rsidRDefault="00487C21" w:rsidP="00F57A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Tabakas izstrādājumu, augu smēķēšanas produktu, elektronisko smēķēšanas ierīču un to šķidrumu aprites likuma 6. panta </w:t>
            </w:r>
            <w:r w:rsidR="007F1ECF" w:rsidRP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divpadsmitā</w:t>
            </w:r>
            <w:r w:rsidRP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daļa.</w:t>
            </w:r>
          </w:p>
        </w:tc>
      </w:tr>
      <w:tr w:rsidR="00541E4B" w:rsidRPr="008A3A66" w14:paraId="7ADFEDC6" w14:textId="77777777" w:rsidTr="00FA3025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3DE7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B129" w14:textId="7E8682DF" w:rsidR="00EC250E" w:rsidRDefault="00E5323B" w:rsidP="008A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26CECE3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881392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657979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D98159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A37AB7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9D97BE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A3DA37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789C35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FD2A1B" w14:textId="77777777" w:rsidR="00EC250E" w:rsidRPr="00EC250E" w:rsidRDefault="00EC250E" w:rsidP="00EC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579DCD" w14:textId="540D86E7" w:rsidR="00E5323B" w:rsidRPr="00EC250E" w:rsidRDefault="00E5323B" w:rsidP="008531A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32752" w14:textId="75692945" w:rsidR="00F57AE2" w:rsidRDefault="00487C21" w:rsidP="00195E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Ņemot vērā, ka no 2019. gada 1. marta p</w:t>
            </w:r>
            <w:r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vienā kalendāra gadā mazo alkoholisko dzērienu darītavu saražotajiem pārējiem alkoholiskajiem dzērieniem par 1000 litriem absolūtā spirta piemēro likmi 50 procentu apmērā no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likuma “Par akcīzes nodokli”</w:t>
            </w:r>
            <w:r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12. </w:t>
            </w:r>
            <w:r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 pirmās 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aļas 5. punktā noteiktās likmes, nepieciešams precizēt </w:t>
            </w:r>
            <w:r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Ministru kabineta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57AE2" w:rsidRP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2015. gada 12. maija</w:t>
            </w:r>
            <w:r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noteikumu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Nr.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220</w:t>
            </w:r>
            <w:r w:rsidRPr="00487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2DC7" w:rsidRPr="00892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“Kārtība, kādā alkoholiskos dzērienus un tabakas izstrādājumus marķē ar akcīzes nodokļa markām”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(turpmāk – Ministru kabineta 2015.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gada 12.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maija noteikumi Nr.220) 1.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2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pielikumu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izdalot </w:t>
            </w:r>
            <w:r w:rsidR="009430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jaunu </w:t>
            </w:r>
            <w:r w:rsidR="00F57AE2" w:rsidRP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alkoholiskā dzēriena grupu atbilstoši samazinātajai akcīzes nodokļa likmei - pārējie alkoholiskie dzērieni, kas saražoti mazajā alkoholisko dzērienu darītavā.</w:t>
            </w:r>
          </w:p>
          <w:p w14:paraId="22906914" w14:textId="399BBA53" w:rsidR="00634626" w:rsidRDefault="00634626" w:rsidP="00195E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Saskaņā ar </w:t>
            </w:r>
            <w:r w:rsidR="00F57AE2" w:rsidRP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Tabakas izstrādājumu, augu smēķēšanas produktu, elektronisko smēķēšanas ierīču un to šķidrumu aprites l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ikuma 6.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desmitās daļas 2.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punktu un pārejas noteikumu 5.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punktu no 2019.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gada 20.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maija cigaretēm un tinamajai</w:t>
            </w:r>
            <w:r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tabak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ai, bet no </w:t>
            </w:r>
            <w:r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gada 20.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maija pā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rējiem tabakas izstrādājumiem u</w:t>
            </w:r>
            <w:r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z katras tabakas izstrādājuma iepakojuma vienības, ko laiž tirgū, ir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jābūt izvietotam drošības elementam.</w:t>
            </w:r>
          </w:p>
          <w:p w14:paraId="083664BD" w14:textId="186F8E91" w:rsidR="00865ECE" w:rsidRDefault="00865ECE" w:rsidP="007D34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Saskaņā ar Tabakas izstrādājumu, augu smēķēšanas produktu, elektronisko smēķēšanas ierīču un to šķidrumu aprites likuma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 divpadsmito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daļ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 </w:t>
            </w:r>
            <w:r w:rsid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F57AE2" w:rsidRP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kcīzes nodokļa marka pilda drošības elementa funkciju.</w:t>
            </w:r>
            <w:r w:rsidR="00F57AE2">
              <w:t xml:space="preserve"> </w:t>
            </w:r>
            <w:r w:rsidR="00F57AE2" w:rsidRP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Drošības elementus, kas nav akcīzes nodokļa </w:t>
            </w:r>
            <w:r w:rsidR="00F57AE2" w:rsidRPr="00F57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marka, izmanto, ja to pieļauj likums "Par akcīzes nodokli".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Saskaņā ar l</w:t>
            </w:r>
            <w:r w:rsidR="00AE55FF" w:rsidRPr="00AE5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ikuma “Par akcīzes nodokli”</w:t>
            </w:r>
            <w:r w:rsidR="008E6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27. panta treš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ās</w:t>
            </w:r>
            <w:r w:rsidR="008E6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daļ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 1.</w:t>
            </w:r>
            <w:r w:rsidRPr="00D4067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 2.</w:t>
            </w:r>
            <w:r w:rsidRPr="00D4067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punktu un pārejas noteikumu 106.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punktu, tabakas izstrādājumus</w:t>
            </w:r>
            <w:r w:rsidR="00634626"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kurus saskaņā ar normatīvajiem aktiem muitas jomā realizē beznodokļu tirdzniecības veikalos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un likuma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 panta</w:t>
            </w:r>
            <w:r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un 21. panta sest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ajā daļā minētajos gadījumos var nemarķēt ar akcīzes nodokļa marku, ja </w:t>
            </w:r>
            <w:r w:rsidR="00634626" w:rsidRPr="00634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tabakas izstrādājumu iepakojuma vienība satur tādu drošības elementu, kas nav akcīzes nodokļa marka, bet ir noteikts saskaņā ar normatīvajiem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aktiem par drošības elementiem.</w:t>
            </w:r>
          </w:p>
          <w:p w14:paraId="24EDFDFF" w14:textId="0336B87D" w:rsidR="00865ECE" w:rsidRDefault="00AE0BE4" w:rsidP="007D34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Likuma “Par akcīzes nodokli” 27.panta četrpadsmitajā daļā noteikts, j</w:t>
            </w:r>
            <w:r w:rsidR="00865ECE"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par tabakas izstrādājuma drošības elementu beznodokļu tirdzniecības veikalos</w:t>
            </w:r>
            <w:r w:rsidR="00BC6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865ECE"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šā likuma 20. pantā un 21. panta sestajā daļā minētajos gadījumos izmanto akcīzes nodokļa marku, akcīzes nodokļa maksātājs, saņemot akcīzes nodokļa markas, sedz tikai to iegādes izdevumus.</w:t>
            </w:r>
          </w:p>
          <w:p w14:paraId="6AC6AC89" w14:textId="4FF28442" w:rsidR="005B3F72" w:rsidRPr="005B3F72" w:rsidRDefault="00865ECE" w:rsidP="005B3F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Ievērojot minēto, </w:t>
            </w:r>
            <w:r w:rsidR="00AE0BE4" w:rsidRP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Ministru kabineta 2015. gada 12. maija noteikum</w:t>
            </w:r>
            <w:r w:rsid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os</w:t>
            </w:r>
            <w:r w:rsidR="00AE0BE4" w:rsidRP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Nr.220</w:t>
            </w:r>
            <w:r w:rsidR="00AE0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ir nepieciešams veikt grozījumus, </w:t>
            </w:r>
            <w:r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lai nodokļu maksātāji varētu saņemt akcīzes nodokļa markas, kas pildīs tikai drošības elementa funkciju un tiks piestiprinātas tādām tabakas izstrādājumu iepakojuma vienībām, kuras paredzēts realizēt beznodokļu </w:t>
            </w:r>
            <w:r w:rsidR="00BC6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tirdzniecības </w:t>
            </w:r>
            <w:r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veikalos, </w:t>
            </w:r>
            <w:r w:rsidR="007B37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ja </w:t>
            </w:r>
            <w:r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076E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ām</w:t>
            </w:r>
            <w:r w:rsidRPr="00865E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piemēro akcīzes nodokļa atbrīvojumu, saskaņā ar likuma “Par akcīzes nodokli”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pantu un 21.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 sesto daļu.</w:t>
            </w:r>
            <w:r w:rsidR="00BA6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L</w:t>
            </w:r>
            <w:r w:rsidR="00186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ai</w:t>
            </w:r>
            <w:r w:rsidR="00BA6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minētajos gadījumos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sa</w:t>
            </w:r>
            <w:r w:rsidR="00186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ņem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186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akcīzes nodokļa markas, kas pildīs tikai drošības elementa funkciju, nodokļa maksāt</w:t>
            </w:r>
            <w:r w:rsidR="00186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ājam būs jāiesniedz atsevišķs </w:t>
            </w:r>
            <w:r w:rsidR="009555AA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Ministru kabineta 2015. gada 12. maija noteikumu Nr.220 2. vai 3.pielikumā noteiktais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iesniegums</w:t>
            </w:r>
            <w:r w:rsidR="009555AA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(turpmāk – iesniegums)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un jā</w:t>
            </w:r>
            <w:r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apliecin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ka akcīzes nodok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ļa markas </w:t>
            </w:r>
            <w:r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tiks piestiprinātas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tikai tād</w:t>
            </w:r>
            <w:r w:rsidR="00076E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 tabakas</w:t>
            </w:r>
            <w:r w:rsidR="0018636E" w:rsidRPr="0064293A">
              <w:t xml:space="preserve">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izstrādājumu iepakojuma vienībām, kuras paredzēts realizēt beznodokļu </w:t>
            </w:r>
            <w:r w:rsidR="00BC6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tirdzniecības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veikalos, </w:t>
            </w:r>
            <w:r w:rsidR="007B37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ja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076E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ām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piemēro</w:t>
            </w:r>
            <w:r w:rsidR="00941ECF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akcīzes nodokļa atbrīvojumu un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saskaņā ar likuma “Par akcīzes nodokli” 20.</w:t>
            </w:r>
            <w:r w:rsidR="00A11CA1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pantu un 21.</w:t>
            </w:r>
            <w:r w:rsidR="00A11CA1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8636E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 sesto daļu</w:t>
            </w:r>
            <w:r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5B3F72" w:rsidRPr="006429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Šajos gadījumos nodokļu maksātājam iesniedzot iesniegumu par akcīzes nodokļa marku saņemšanu, kas pildīs tikai drošības elementa funkciju, netiks aprēķināts akcīzes nodoklis.</w:t>
            </w:r>
            <w:r w:rsidR="005B3F72" w:rsidRPr="005B3F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14EA19D1" w14:textId="3F76FE8D" w:rsidR="00E47E99" w:rsidRDefault="00B83CEA" w:rsidP="00D406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Ņemot vērā minēto, ir nepieciešams precizēt </w:t>
            </w:r>
            <w:r w:rsidRPr="00B83C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Ministru kabin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eta 2015.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gada 12.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maija noteikumu</w:t>
            </w:r>
            <w:r w:rsidRPr="00B83C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Nr.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C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220</w:t>
            </w:r>
            <w:r w:rsidR="00CE43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12. un 15. punktu, kā arī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1.</w:t>
            </w:r>
            <w:r w:rsidR="00D40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pielikumu un izteikt jaunā redakcijā</w:t>
            </w:r>
            <w:r w:rsidR="001528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C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2., 3. un 5. pielikumu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633ECA33" w14:textId="542E3959" w:rsidR="00B83CEA" w:rsidRPr="00A07768" w:rsidRDefault="00B83CEA" w:rsidP="00D406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E4B" w:rsidRPr="008A3A66" w14:paraId="1FE02E54" w14:textId="77777777" w:rsidTr="00FA3025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D0AB" w14:textId="445BD3D9" w:rsidR="00655F2C" w:rsidRPr="008A3A66" w:rsidRDefault="00F830C8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272E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01AD" w14:textId="6D290422" w:rsidR="00066888" w:rsidRPr="008A3A66" w:rsidRDefault="00614977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Valsts ieņēmumu dienests</w:t>
            </w:r>
            <w:r w:rsidR="00696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541E4B" w:rsidRPr="008A3A66" w14:paraId="4FE797A7" w14:textId="77777777" w:rsidTr="00FA3025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163E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3E8A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EAE9" w14:textId="5958767F" w:rsidR="00066888" w:rsidRPr="008A3A66" w:rsidRDefault="00066888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Nav</w:t>
            </w:r>
            <w:r w:rsidR="00696C4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</w:tbl>
    <w:p w14:paraId="02B1C58D" w14:textId="77777777" w:rsidR="00E5323B" w:rsidRPr="008A3A66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8A3A6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tbl>
      <w:tblPr>
        <w:tblW w:w="50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918"/>
        <w:gridCol w:w="4731"/>
      </w:tblGrid>
      <w:tr w:rsidR="00541E4B" w:rsidRPr="008A3A66" w14:paraId="53A92D4B" w14:textId="77777777" w:rsidTr="00E44F06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6A91" w14:textId="77777777" w:rsidR="00655F2C" w:rsidRPr="008A3A66" w:rsidRDefault="00E5323B" w:rsidP="0008357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41E4B" w:rsidRPr="008A3A66" w14:paraId="63CE5E0E" w14:textId="77777777" w:rsidTr="00E44F06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8751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2E593" w14:textId="6890EE9E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Sabiedrības mēr</w:t>
            </w:r>
            <w:r w:rsidR="00614977"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ķ</w:t>
            </w: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grupas, kuras tiesiskais regulējums ietekmē vai varētu ietekmēt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1A61D" w14:textId="1E10ED69" w:rsidR="00B15F00" w:rsidRPr="008A3A66" w:rsidRDefault="00B54912" w:rsidP="00B5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CE43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74716E" w:rsidRPr="007471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oteikumu projekta tiesiskais regulējums ietekmēs nodokļu maksātājus, kuriem ir tiesības saņemt akcīzes nodokļa markas un kuri veic darbības ar tabakas izstrādājumiem un alkoholiskajiem dzērieniem.</w:t>
            </w:r>
          </w:p>
        </w:tc>
      </w:tr>
      <w:tr w:rsidR="00541E4B" w:rsidRPr="008A3A66" w14:paraId="11D34DF2" w14:textId="77777777" w:rsidTr="00E44F06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2FC6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4C654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3B3F" w14:textId="4FC26FF0" w:rsidR="00EF3434" w:rsidRDefault="00766240">
            <w:pPr>
              <w:pStyle w:val="naisnod"/>
              <w:spacing w:before="0" w:after="0"/>
              <w:jc w:val="both"/>
              <w:rPr>
                <w:b w:val="0"/>
                <w:iCs/>
                <w:spacing w:val="-2"/>
              </w:rPr>
            </w:pPr>
            <w:r>
              <w:rPr>
                <w:b w:val="0"/>
                <w:iCs/>
                <w:spacing w:val="-2"/>
              </w:rPr>
              <w:t xml:space="preserve">Administratīvais slogs palielināsies nodokļu maksātājiem, jo būs </w:t>
            </w:r>
            <w:r w:rsidR="00B54912" w:rsidRPr="00A66589">
              <w:rPr>
                <w:b w:val="0"/>
                <w:iCs/>
                <w:spacing w:val="-2"/>
              </w:rPr>
              <w:t xml:space="preserve"> jāiesniedz atsevišķi iesniegumi tabakas izstrādājumu akcīzes nodokļa marku pasūtīšanai un saņemšanai, ja akcīzes nodokļa marku izmantos kā drošības elementu un to piestiprinās tabakas izstrādājumiem, kurus paredzēts r</w:t>
            </w:r>
            <w:r w:rsidR="006717D1">
              <w:rPr>
                <w:b w:val="0"/>
                <w:iCs/>
                <w:spacing w:val="-2"/>
              </w:rPr>
              <w:t>e</w:t>
            </w:r>
            <w:r w:rsidR="00B54912" w:rsidRPr="00A66589">
              <w:rPr>
                <w:b w:val="0"/>
                <w:iCs/>
                <w:spacing w:val="-2"/>
              </w:rPr>
              <w:t xml:space="preserve">alizēt beznodokļu </w:t>
            </w:r>
            <w:r w:rsidR="00BC6123">
              <w:rPr>
                <w:b w:val="0"/>
                <w:iCs/>
                <w:spacing w:val="-2"/>
              </w:rPr>
              <w:t xml:space="preserve">tirdzniecības </w:t>
            </w:r>
            <w:r w:rsidR="00B54912" w:rsidRPr="00A66589">
              <w:rPr>
                <w:b w:val="0"/>
                <w:iCs/>
                <w:spacing w:val="-2"/>
              </w:rPr>
              <w:t xml:space="preserve">veikalos, </w:t>
            </w:r>
            <w:r w:rsidR="00D05732">
              <w:rPr>
                <w:b w:val="0"/>
                <w:iCs/>
                <w:spacing w:val="-2"/>
              </w:rPr>
              <w:t xml:space="preserve">ja </w:t>
            </w:r>
            <w:r w:rsidR="00B54912" w:rsidRPr="00A66589">
              <w:rPr>
                <w:b w:val="0"/>
                <w:iCs/>
                <w:spacing w:val="-2"/>
              </w:rPr>
              <w:t>tiem piemēro akcīzes nodokļa atbrīvojumu, saskaņā ar likuma “Par akcīzes nodokli” 20.pantu un 21.panta sesto daļu</w:t>
            </w:r>
            <w:r w:rsidR="00CC5F89">
              <w:rPr>
                <w:b w:val="0"/>
                <w:iCs/>
                <w:spacing w:val="-2"/>
              </w:rPr>
              <w:t xml:space="preserve">, </w:t>
            </w:r>
            <w:r w:rsidR="00B54912">
              <w:rPr>
                <w:b w:val="0"/>
                <w:iCs/>
                <w:spacing w:val="-2"/>
              </w:rPr>
              <w:t>būs jāiesniedz pārskats par tabakas izstrādājumu akcīzes nodokļa marku apriti</w:t>
            </w:r>
            <w:r w:rsidR="00CC5F89">
              <w:rPr>
                <w:b w:val="0"/>
                <w:iCs/>
                <w:spacing w:val="-2"/>
              </w:rPr>
              <w:t>.</w:t>
            </w:r>
            <w:r w:rsidR="00B54912">
              <w:rPr>
                <w:b w:val="0"/>
                <w:iCs/>
                <w:spacing w:val="-2"/>
              </w:rPr>
              <w:t xml:space="preserve"> </w:t>
            </w:r>
          </w:p>
          <w:p w14:paraId="061940B0" w14:textId="375A5A41" w:rsidR="009E02BA" w:rsidRPr="009555AA" w:rsidRDefault="009555AA" w:rsidP="00DB4760">
            <w:pPr>
              <w:pStyle w:val="naisnod"/>
              <w:spacing w:before="0" w:after="0"/>
              <w:jc w:val="both"/>
              <w:rPr>
                <w:b w:val="0"/>
                <w:iCs/>
                <w:spacing w:val="-2"/>
              </w:rPr>
            </w:pPr>
            <w:r w:rsidRPr="0064293A">
              <w:rPr>
                <w:b w:val="0"/>
                <w:spacing w:val="-2"/>
              </w:rPr>
              <w:t xml:space="preserve">Šobrīd praksē nodokļu maksātāji par vienādām vai dažādām preču grupām iesniedz paši pēc sava iniciatīvas atsevišķus iesniegumus </w:t>
            </w:r>
            <w:r w:rsidRPr="0064293A">
              <w:rPr>
                <w:b w:val="0"/>
                <w:iCs/>
                <w:spacing w:val="-2"/>
              </w:rPr>
              <w:t>akcīzes nodokļa marku pasūtīšanai</w:t>
            </w:r>
            <w:r w:rsidR="009E02BA" w:rsidRPr="0064293A">
              <w:rPr>
                <w:b w:val="0"/>
                <w:iCs/>
                <w:spacing w:val="-2"/>
              </w:rPr>
              <w:t>, līdz ar to praksē nav konstatējams pārmērīgs administratīvais slogs nodokļu maksātājiem. Turklāt prasība iesniegt atsevišķu iesniegumu akcīzes nodokļa marku pasūtīšanai, ja akcīzes nodokļa markas izmantos kā drošības elementu</w:t>
            </w:r>
            <w:r w:rsidR="00BC6123">
              <w:rPr>
                <w:b w:val="0"/>
                <w:iCs/>
                <w:spacing w:val="-2"/>
              </w:rPr>
              <w:t>,</w:t>
            </w:r>
            <w:r w:rsidR="009E02BA" w:rsidRPr="0064293A">
              <w:rPr>
                <w:b w:val="0"/>
                <w:iCs/>
                <w:spacing w:val="-2"/>
              </w:rPr>
              <w:t xml:space="preserve"> attieksies uz ļoti šauru komersantu loku</w:t>
            </w:r>
            <w:r w:rsidR="00DB4760">
              <w:rPr>
                <w:b w:val="0"/>
                <w:iCs/>
                <w:spacing w:val="-2"/>
              </w:rPr>
              <w:t>.</w:t>
            </w:r>
            <w:r w:rsidR="009E02BA" w:rsidRPr="0064293A">
              <w:rPr>
                <w:b w:val="0"/>
                <w:iCs/>
                <w:spacing w:val="-2"/>
              </w:rPr>
              <w:t xml:space="preserve"> </w:t>
            </w:r>
          </w:p>
        </w:tc>
      </w:tr>
      <w:tr w:rsidR="00541E4B" w:rsidRPr="008A3A66" w14:paraId="62CDA44C" w14:textId="77777777" w:rsidTr="00E44F06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049E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1B15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CDDF" w14:textId="07ED30A4" w:rsidR="00EF3434" w:rsidRPr="008A3A66" w:rsidRDefault="00CE43AF" w:rsidP="00BC6123">
            <w:pPr>
              <w:pStyle w:val="naisnod"/>
              <w:spacing w:before="0" w:after="0"/>
              <w:jc w:val="both"/>
              <w:rPr>
                <w:iCs/>
                <w:spacing w:val="-2"/>
              </w:rPr>
            </w:pPr>
            <w:r>
              <w:rPr>
                <w:b w:val="0"/>
                <w:spacing w:val="-2"/>
              </w:rPr>
              <w:t>MK noteikumu p</w:t>
            </w:r>
            <w:r w:rsidR="00F920B6" w:rsidRPr="00F920B6">
              <w:rPr>
                <w:b w:val="0"/>
                <w:spacing w:val="-2"/>
              </w:rPr>
              <w:t>rojekta radītās administratīvās izmaksas juridiskām personām nepārsniegs 2000</w:t>
            </w:r>
            <w:r w:rsidR="00BC6123">
              <w:rPr>
                <w:b w:val="0"/>
                <w:spacing w:val="-2"/>
              </w:rPr>
              <w:t> </w:t>
            </w:r>
            <w:r w:rsidR="00F920B6" w:rsidRPr="007E75B9">
              <w:rPr>
                <w:b w:val="0"/>
                <w:i/>
                <w:spacing w:val="-2"/>
              </w:rPr>
              <w:t>euro.</w:t>
            </w:r>
          </w:p>
        </w:tc>
      </w:tr>
      <w:tr w:rsidR="00541E4B" w:rsidRPr="008A3A66" w14:paraId="55B022D9" w14:textId="77777777" w:rsidTr="00E44F06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F1F9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8252" w14:textId="77777777" w:rsidR="00E5323B" w:rsidRPr="008A3A66" w:rsidRDefault="00E5323B" w:rsidP="008D68D4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4C320" w14:textId="07C18C81" w:rsidR="00CE43AF" w:rsidRDefault="00CE43AF" w:rsidP="00C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projekts</w:t>
            </w:r>
            <w:r w:rsidRPr="00D47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neparedz atbilstības izmaksas.</w:t>
            </w:r>
          </w:p>
          <w:p w14:paraId="4E8B6BB7" w14:textId="4CBF27E5" w:rsidR="00EF3434" w:rsidRPr="008A3A66" w:rsidRDefault="00EF3434" w:rsidP="00F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</w:p>
        </w:tc>
      </w:tr>
      <w:tr w:rsidR="00541E4B" w:rsidRPr="008A3A66" w14:paraId="1CAB0178" w14:textId="77777777" w:rsidTr="00E44F06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B0BA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BDDD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AF83" w14:textId="432F6107" w:rsidR="00E5323B" w:rsidRPr="008A3A66" w:rsidRDefault="00B00E49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Nav</w:t>
            </w:r>
            <w:r w:rsidR="006717D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</w:tbl>
    <w:p w14:paraId="67641A01" w14:textId="744C9326" w:rsidR="00E5323B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8A3A6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tbl>
      <w:tblPr>
        <w:tblW w:w="5007" w:type="pct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0"/>
        <w:gridCol w:w="997"/>
        <w:gridCol w:w="1145"/>
        <w:gridCol w:w="954"/>
        <w:gridCol w:w="1158"/>
        <w:gridCol w:w="991"/>
        <w:gridCol w:w="1135"/>
        <w:gridCol w:w="1088"/>
      </w:tblGrid>
      <w:tr w:rsidR="00935546" w14:paraId="2B7D1DF6" w14:textId="77777777" w:rsidTr="0064293A">
        <w:trPr>
          <w:trHeight w:val="770"/>
          <w:tblCellSpacing w:w="20" w:type="dxa"/>
        </w:trPr>
        <w:tc>
          <w:tcPr>
            <w:tcW w:w="4956" w:type="pct"/>
            <w:gridSpan w:val="8"/>
            <w:vAlign w:val="center"/>
          </w:tcPr>
          <w:p w14:paraId="3CCD4FD9" w14:textId="77777777" w:rsidR="00E7732B" w:rsidRPr="00E7732B" w:rsidRDefault="00E7732B" w:rsidP="001E7020">
            <w:pPr>
              <w:pStyle w:val="naislab"/>
              <w:spacing w:before="0" w:after="0"/>
              <w:ind w:firstLine="720"/>
              <w:jc w:val="center"/>
              <w:rPr>
                <w:b/>
                <w:color w:val="000000" w:themeColor="text1"/>
              </w:rPr>
            </w:pPr>
            <w:r w:rsidRPr="00E7732B">
              <w:rPr>
                <w:b/>
                <w:bCs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935546" w14:paraId="5E18C881" w14:textId="77777777" w:rsidTr="0064293A">
        <w:trPr>
          <w:tblCellSpacing w:w="20" w:type="dxa"/>
        </w:trPr>
        <w:tc>
          <w:tcPr>
            <w:tcW w:w="877" w:type="pct"/>
            <w:vMerge w:val="restart"/>
            <w:vAlign w:val="center"/>
            <w:hideMark/>
          </w:tcPr>
          <w:p w14:paraId="79F32FF2" w14:textId="6CEC8C1C" w:rsidR="00E7732B" w:rsidRPr="00E7732B" w:rsidRDefault="00E7732B" w:rsidP="00935546">
            <w:pPr>
              <w:spacing w:before="100" w:beforeAutospacing="1" w:after="0" w:line="240" w:lineRule="auto"/>
              <w:ind w:right="389"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Rādītāj</w:t>
            </w:r>
            <w:r w:rsidR="00935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174" w:type="pct"/>
            <w:gridSpan w:val="2"/>
            <w:vMerge w:val="restart"/>
            <w:vAlign w:val="center"/>
            <w:hideMark/>
          </w:tcPr>
          <w:p w14:paraId="01833EFE" w14:textId="77777777" w:rsidR="00E7732B" w:rsidRPr="00E7732B" w:rsidRDefault="00E7732B" w:rsidP="00E7732B">
            <w:pPr>
              <w:spacing w:before="100" w:beforeAutospacing="1" w:after="0" w:line="240" w:lineRule="auto"/>
              <w:ind w:left="-22" w:firstLine="3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2861" w:type="pct"/>
            <w:gridSpan w:val="5"/>
            <w:vAlign w:val="center"/>
            <w:hideMark/>
          </w:tcPr>
          <w:p w14:paraId="2314554A" w14:textId="77777777" w:rsidR="00E7732B" w:rsidRPr="00E7732B" w:rsidRDefault="00E7732B" w:rsidP="001E7020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Turpmākie trīs gadi (</w:t>
            </w:r>
            <w:r w:rsidRPr="00E773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935546" w14:paraId="3804AA8B" w14:textId="77777777" w:rsidTr="0064293A">
        <w:trPr>
          <w:tblCellSpacing w:w="20" w:type="dxa"/>
        </w:trPr>
        <w:tc>
          <w:tcPr>
            <w:tcW w:w="877" w:type="pct"/>
            <w:vMerge/>
            <w:vAlign w:val="center"/>
            <w:hideMark/>
          </w:tcPr>
          <w:p w14:paraId="77D0F349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74" w:type="pct"/>
            <w:gridSpan w:val="2"/>
            <w:vMerge/>
            <w:vAlign w:val="center"/>
            <w:hideMark/>
          </w:tcPr>
          <w:p w14:paraId="261227C4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56" w:type="pct"/>
            <w:gridSpan w:val="2"/>
            <w:vAlign w:val="center"/>
            <w:hideMark/>
          </w:tcPr>
          <w:p w14:paraId="218C4194" w14:textId="77777777" w:rsidR="00E7732B" w:rsidRPr="00E7732B" w:rsidRDefault="00E7732B" w:rsidP="001E7020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164" w:type="pct"/>
            <w:gridSpan w:val="2"/>
            <w:vAlign w:val="center"/>
            <w:hideMark/>
          </w:tcPr>
          <w:p w14:paraId="1CBC8729" w14:textId="77777777" w:rsidR="00E7732B" w:rsidRPr="00E7732B" w:rsidRDefault="00E7732B" w:rsidP="001E7020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497" w:type="pct"/>
            <w:vAlign w:val="center"/>
            <w:hideMark/>
          </w:tcPr>
          <w:p w14:paraId="0799F2CF" w14:textId="77777777" w:rsidR="00E7732B" w:rsidRPr="00E7732B" w:rsidRDefault="00E7732B" w:rsidP="001E7020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</w:t>
            </w:r>
          </w:p>
        </w:tc>
      </w:tr>
      <w:tr w:rsidR="00935546" w14:paraId="024E5912" w14:textId="77777777" w:rsidTr="0064293A">
        <w:trPr>
          <w:tblCellSpacing w:w="20" w:type="dxa"/>
        </w:trPr>
        <w:tc>
          <w:tcPr>
            <w:tcW w:w="877" w:type="pct"/>
            <w:vMerge/>
            <w:vAlign w:val="center"/>
            <w:hideMark/>
          </w:tcPr>
          <w:p w14:paraId="260F6AF1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vAlign w:val="center"/>
            <w:hideMark/>
          </w:tcPr>
          <w:p w14:paraId="38866E3A" w14:textId="77777777" w:rsidR="00E7732B" w:rsidRPr="00E7732B" w:rsidRDefault="00E7732B" w:rsidP="001E70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608" w:type="pct"/>
            <w:vAlign w:val="center"/>
            <w:hideMark/>
          </w:tcPr>
          <w:p w14:paraId="183F7646" w14:textId="77777777" w:rsidR="00E7732B" w:rsidRPr="00E7732B" w:rsidRDefault="00E7732B" w:rsidP="001E70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izmaiņas kārtējā gadā, salīdzinot ar valsts 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budžetu kārtējam gadam</w:t>
            </w:r>
          </w:p>
        </w:tc>
        <w:tc>
          <w:tcPr>
            <w:tcW w:w="520" w:type="pct"/>
            <w:vAlign w:val="center"/>
            <w:hideMark/>
          </w:tcPr>
          <w:p w14:paraId="55A90EAE" w14:textId="77777777" w:rsidR="00E7732B" w:rsidRPr="00E7732B" w:rsidRDefault="00E7732B" w:rsidP="001E70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saskaņā ar vidēja termiņa budžeta ietvaru</w:t>
            </w:r>
          </w:p>
        </w:tc>
        <w:tc>
          <w:tcPr>
            <w:tcW w:w="614" w:type="pct"/>
            <w:vAlign w:val="center"/>
            <w:hideMark/>
          </w:tcPr>
          <w:p w14:paraId="51A50C57" w14:textId="47E5DD77" w:rsidR="00E7732B" w:rsidRPr="00E7732B" w:rsidRDefault="00E773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izmaiņas, salīdzinot ar vidēja termiņa budžeta 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ietvaru </w:t>
            </w:r>
            <w:r w:rsidR="00671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41" w:type="pct"/>
            <w:vAlign w:val="center"/>
            <w:hideMark/>
          </w:tcPr>
          <w:p w14:paraId="43D74B5C" w14:textId="77777777" w:rsidR="00E7732B" w:rsidRPr="00E7732B" w:rsidRDefault="00E7732B" w:rsidP="001E70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saskaņā ar vidēja termiņa budžeta ietvaru</w:t>
            </w:r>
          </w:p>
        </w:tc>
        <w:tc>
          <w:tcPr>
            <w:tcW w:w="600" w:type="pct"/>
            <w:vAlign w:val="center"/>
            <w:hideMark/>
          </w:tcPr>
          <w:p w14:paraId="3572D586" w14:textId="01B7F725" w:rsidR="00E7732B" w:rsidRPr="00E7732B" w:rsidRDefault="00E77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izmaiņas, salīdzinot ar vidēja termiņa budžeta 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ietvaru </w:t>
            </w:r>
            <w:r w:rsidR="00671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97" w:type="pct"/>
            <w:vAlign w:val="center"/>
            <w:hideMark/>
          </w:tcPr>
          <w:p w14:paraId="11764C00" w14:textId="29E21B8A" w:rsidR="00E7732B" w:rsidRPr="00E7732B" w:rsidRDefault="00E77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Izmaiņas, salīdzinot ar vidēja termiņa budžeta 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ietvaru </w:t>
            </w:r>
            <w:r w:rsidR="00671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935546" w14:paraId="03E6A85A" w14:textId="77777777" w:rsidTr="0064293A">
        <w:trPr>
          <w:tblCellSpacing w:w="20" w:type="dxa"/>
        </w:trPr>
        <w:tc>
          <w:tcPr>
            <w:tcW w:w="877" w:type="pct"/>
            <w:vAlign w:val="center"/>
            <w:hideMark/>
          </w:tcPr>
          <w:p w14:paraId="12BBBC71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45" w:type="pct"/>
            <w:vAlign w:val="center"/>
            <w:hideMark/>
          </w:tcPr>
          <w:p w14:paraId="4738F7AC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08" w:type="pct"/>
            <w:vAlign w:val="center"/>
            <w:hideMark/>
          </w:tcPr>
          <w:p w14:paraId="6F8249F0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0" w:type="pct"/>
            <w:vAlign w:val="center"/>
            <w:hideMark/>
          </w:tcPr>
          <w:p w14:paraId="745B6ED3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14" w:type="pct"/>
            <w:vAlign w:val="center"/>
            <w:hideMark/>
          </w:tcPr>
          <w:p w14:paraId="72B7918E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1" w:type="pct"/>
            <w:vAlign w:val="center"/>
            <w:hideMark/>
          </w:tcPr>
          <w:p w14:paraId="0757ED00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600" w:type="pct"/>
            <w:vAlign w:val="center"/>
            <w:hideMark/>
          </w:tcPr>
          <w:p w14:paraId="532BC894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97" w:type="pct"/>
            <w:vAlign w:val="center"/>
            <w:hideMark/>
          </w:tcPr>
          <w:p w14:paraId="51BABCB7" w14:textId="77777777" w:rsidR="00E7732B" w:rsidRPr="00E7732B" w:rsidRDefault="00E7732B" w:rsidP="001E702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  <w:tr w:rsidR="00935546" w14:paraId="74074A7C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42D53F70" w14:textId="789CE7FA" w:rsidR="00E7732B" w:rsidRPr="00E7732B" w:rsidRDefault="00E7732B" w:rsidP="00E7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Budžeta ieņēmumi</w:t>
            </w:r>
          </w:p>
        </w:tc>
        <w:tc>
          <w:tcPr>
            <w:tcW w:w="545" w:type="pct"/>
            <w:vAlign w:val="center"/>
            <w:hideMark/>
          </w:tcPr>
          <w:p w14:paraId="09EF951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473842D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54681820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3872796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1AA89FAB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5202138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34B3E28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7EA220E5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56C15C46" w14:textId="49BDDCB1" w:rsidR="00E7732B" w:rsidRPr="00E7732B" w:rsidRDefault="00E7732B" w:rsidP="00E7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pamatbudžets, tai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 skaitā 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545" w:type="pct"/>
            <w:vAlign w:val="center"/>
            <w:hideMark/>
          </w:tcPr>
          <w:p w14:paraId="52FDD28E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6E83655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41D430B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045EDD6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465FFC2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6B5A22B0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7BF199B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44365F51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2CD4EC4D" w14:textId="699D67EC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1.2. 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speciālais budžets</w:t>
            </w:r>
          </w:p>
        </w:tc>
        <w:tc>
          <w:tcPr>
            <w:tcW w:w="545" w:type="pct"/>
            <w:vAlign w:val="center"/>
            <w:hideMark/>
          </w:tcPr>
          <w:p w14:paraId="7F7A0A3B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07E7657C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532CF6D3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7F05E00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1F6F810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13B583F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359585A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770F9C21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74F390F9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45" w:type="pct"/>
            <w:vAlign w:val="center"/>
            <w:hideMark/>
          </w:tcPr>
          <w:p w14:paraId="3F0D8589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04C8B3F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22AC9A05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529D676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7B943C4B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00DA08B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478C93D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102F17AB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2CE5962D" w14:textId="23DF1AB4" w:rsidR="00E7732B" w:rsidRPr="00E7732B" w:rsidRDefault="00E7732B" w:rsidP="00E7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 B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udžeta izdevumi</w:t>
            </w:r>
          </w:p>
        </w:tc>
        <w:tc>
          <w:tcPr>
            <w:tcW w:w="545" w:type="pct"/>
            <w:vAlign w:val="center"/>
            <w:hideMark/>
          </w:tcPr>
          <w:p w14:paraId="7EBEFD4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0008AC0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7 224</w:t>
            </w:r>
          </w:p>
        </w:tc>
        <w:tc>
          <w:tcPr>
            <w:tcW w:w="520" w:type="pct"/>
            <w:vAlign w:val="center"/>
            <w:hideMark/>
          </w:tcPr>
          <w:p w14:paraId="67BD150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5BDBE6F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1E384EC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7133C35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69DAF67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2796EA01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79ABB111" w14:textId="54ABDB60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2.1. 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pamatbudžets</w:t>
            </w:r>
          </w:p>
        </w:tc>
        <w:tc>
          <w:tcPr>
            <w:tcW w:w="545" w:type="pct"/>
            <w:vAlign w:val="center"/>
            <w:hideMark/>
          </w:tcPr>
          <w:p w14:paraId="4AB4D0FC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15C23E79" w14:textId="35C97451" w:rsidR="00E7732B" w:rsidRPr="00E7732B" w:rsidRDefault="00BC6123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7 224</w:t>
            </w:r>
          </w:p>
        </w:tc>
        <w:tc>
          <w:tcPr>
            <w:tcW w:w="520" w:type="pct"/>
            <w:vAlign w:val="center"/>
            <w:hideMark/>
          </w:tcPr>
          <w:p w14:paraId="57E3632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495F95A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72FDE4C3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113E01A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12D24467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774B2AA0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639BDFE2" w14:textId="42F465D6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2.2. 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speciālais budžets</w:t>
            </w:r>
          </w:p>
        </w:tc>
        <w:tc>
          <w:tcPr>
            <w:tcW w:w="545" w:type="pct"/>
            <w:vAlign w:val="center"/>
            <w:hideMark/>
          </w:tcPr>
          <w:p w14:paraId="6DE8D1CB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17C539C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044669D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1C56980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4112E5E3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0D0A08C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54FFE04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7ABD1550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19AF367C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45" w:type="pct"/>
            <w:vAlign w:val="center"/>
            <w:hideMark/>
          </w:tcPr>
          <w:p w14:paraId="71C9FE59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6D2F8B39" w14:textId="10F00D55" w:rsidR="00BC6123" w:rsidRPr="00E7732B" w:rsidRDefault="00BC6123" w:rsidP="00BC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53FD035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2C750CC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2177D34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0CF24D3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46886CA7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162B1C5D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42E78550" w14:textId="6A37015B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Finansiālā ietekme</w:t>
            </w:r>
          </w:p>
        </w:tc>
        <w:tc>
          <w:tcPr>
            <w:tcW w:w="545" w:type="pct"/>
            <w:vAlign w:val="center"/>
            <w:hideMark/>
          </w:tcPr>
          <w:p w14:paraId="46F23397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54B2066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-7 224</w:t>
            </w:r>
          </w:p>
        </w:tc>
        <w:tc>
          <w:tcPr>
            <w:tcW w:w="520" w:type="pct"/>
            <w:vAlign w:val="center"/>
            <w:hideMark/>
          </w:tcPr>
          <w:p w14:paraId="4CACF330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21FA5AB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1C7810D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452B4F4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298CB5E7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4BA6D36D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0EEBCD2B" w14:textId="3EADA488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3.1. 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pamatbudžets</w:t>
            </w:r>
          </w:p>
        </w:tc>
        <w:tc>
          <w:tcPr>
            <w:tcW w:w="545" w:type="pct"/>
            <w:vAlign w:val="center"/>
            <w:hideMark/>
          </w:tcPr>
          <w:p w14:paraId="072A92A3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07482A8B" w14:textId="36BBBDAC" w:rsidR="00E7732B" w:rsidRPr="00E7732B" w:rsidRDefault="0082273E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-7 224</w:t>
            </w:r>
          </w:p>
        </w:tc>
        <w:tc>
          <w:tcPr>
            <w:tcW w:w="520" w:type="pct"/>
            <w:vAlign w:val="center"/>
            <w:hideMark/>
          </w:tcPr>
          <w:p w14:paraId="7694DA3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4784EB1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513AB8B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54CD9155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6D4D5AF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1A9654FE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5A09CA72" w14:textId="43F086BA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3.2. 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speciālais budžets</w:t>
            </w:r>
          </w:p>
        </w:tc>
        <w:tc>
          <w:tcPr>
            <w:tcW w:w="545" w:type="pct"/>
            <w:vAlign w:val="center"/>
            <w:hideMark/>
          </w:tcPr>
          <w:p w14:paraId="44A86D0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0C6C6C4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3683CB59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791CD51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6227E9A9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303BE09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042500A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677BE6F0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14475DB5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45" w:type="pct"/>
            <w:vAlign w:val="center"/>
            <w:hideMark/>
          </w:tcPr>
          <w:p w14:paraId="10E29C8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vAlign w:val="center"/>
            <w:hideMark/>
          </w:tcPr>
          <w:p w14:paraId="609BD496" w14:textId="74E10958" w:rsidR="00E7732B" w:rsidRPr="00E7732B" w:rsidRDefault="0082273E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Align w:val="center"/>
            <w:hideMark/>
          </w:tcPr>
          <w:p w14:paraId="55376DC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4A7AA190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5D94F557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3694F74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0BDE3AA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72318868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175764B9" w14:textId="51177EA0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Finanšu līdzekļi papildu izdevumu finansēšanai (kompensējoš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u izdevumu samazinājumu norāda ar "+" zīmi)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EBFD76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608" w:type="pct"/>
            <w:vAlign w:val="center"/>
            <w:hideMark/>
          </w:tcPr>
          <w:p w14:paraId="70B6C40F" w14:textId="0DE0BCCD" w:rsidR="00E7732B" w:rsidRPr="00E7732B" w:rsidRDefault="0082273E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7 224</w:t>
            </w:r>
          </w:p>
        </w:tc>
        <w:tc>
          <w:tcPr>
            <w:tcW w:w="520" w:type="pct"/>
            <w:vAlign w:val="center"/>
            <w:hideMark/>
          </w:tcPr>
          <w:p w14:paraId="2E8C5E2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4" w:type="pct"/>
            <w:vAlign w:val="center"/>
            <w:hideMark/>
          </w:tcPr>
          <w:p w14:paraId="5A04A47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Align w:val="center"/>
            <w:hideMark/>
          </w:tcPr>
          <w:p w14:paraId="7F25EF5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6D5D0BA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2595783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6BC28AB0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714AE0FC" w14:textId="104A3F22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Precizēta finansiālā ietekme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60A6104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08" w:type="pct"/>
            <w:vAlign w:val="center"/>
            <w:hideMark/>
          </w:tcPr>
          <w:p w14:paraId="5DCAF01F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Merge w:val="restart"/>
            <w:vAlign w:val="center"/>
            <w:hideMark/>
          </w:tcPr>
          <w:p w14:paraId="4D6AB2EC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14" w:type="pct"/>
            <w:vAlign w:val="center"/>
            <w:hideMark/>
          </w:tcPr>
          <w:p w14:paraId="115EE386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Merge w:val="restart"/>
            <w:vAlign w:val="center"/>
            <w:hideMark/>
          </w:tcPr>
          <w:p w14:paraId="004B52B7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00" w:type="pct"/>
            <w:vAlign w:val="center"/>
            <w:hideMark/>
          </w:tcPr>
          <w:p w14:paraId="64B0F17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732BA0BE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78F7347C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214F70E9" w14:textId="2AFBDC84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5.1. </w:t>
            </w: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pamatbudžets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14:paraId="7FAB4E9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vAlign w:val="center"/>
            <w:hideMark/>
          </w:tcPr>
          <w:p w14:paraId="69F20C2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Merge/>
            <w:vAlign w:val="center"/>
            <w:hideMark/>
          </w:tcPr>
          <w:p w14:paraId="05C94190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vAlign w:val="center"/>
            <w:hideMark/>
          </w:tcPr>
          <w:p w14:paraId="14E4DB6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Merge/>
            <w:vAlign w:val="center"/>
            <w:hideMark/>
          </w:tcPr>
          <w:p w14:paraId="2AC29B39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14:paraId="06C99D25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7F9E5A3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0CE1AF0F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3EA570DC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14:paraId="6BE76C7B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vAlign w:val="center"/>
            <w:hideMark/>
          </w:tcPr>
          <w:p w14:paraId="28398C3E" w14:textId="071EE5D0" w:rsidR="00E7732B" w:rsidRPr="00E7732B" w:rsidRDefault="002A7849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Merge/>
            <w:vAlign w:val="center"/>
            <w:hideMark/>
          </w:tcPr>
          <w:p w14:paraId="42C5ED2E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vAlign w:val="center"/>
            <w:hideMark/>
          </w:tcPr>
          <w:p w14:paraId="3E28E291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Merge/>
            <w:vAlign w:val="center"/>
            <w:hideMark/>
          </w:tcPr>
          <w:p w14:paraId="41889AE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14:paraId="30AAB182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1F68A72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1B564C96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490579C9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14:paraId="721DFBB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vAlign w:val="center"/>
            <w:hideMark/>
          </w:tcPr>
          <w:p w14:paraId="034EAAAC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0" w:type="pct"/>
            <w:vMerge/>
            <w:vAlign w:val="center"/>
            <w:hideMark/>
          </w:tcPr>
          <w:p w14:paraId="7BF64074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vAlign w:val="center"/>
            <w:hideMark/>
          </w:tcPr>
          <w:p w14:paraId="31139648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1" w:type="pct"/>
            <w:vMerge/>
            <w:vAlign w:val="center"/>
            <w:hideMark/>
          </w:tcPr>
          <w:p w14:paraId="5779278A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14:paraId="5DEEBBBD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14:paraId="2AA51D00" w14:textId="77777777" w:rsidR="00E7732B" w:rsidRPr="00E7732B" w:rsidRDefault="00E7732B" w:rsidP="001E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35546" w14:paraId="6369BAD5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58C4EA30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57" w:type="pct"/>
            <w:gridSpan w:val="7"/>
            <w:vMerge w:val="restart"/>
            <w:vAlign w:val="center"/>
            <w:hideMark/>
          </w:tcPr>
          <w:p w14:paraId="15590929" w14:textId="77777777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Nepieciešamo izmaiņu iestrādei Valsts ieņēmumu dienesta informācijas sistēmās 2019.gadā nepieciešams finansējums Finanšu ministrijas budžeta programmā 33.00.00 “Valsts ieņēmumu un muitas politikas nodrošināšana” </w:t>
            </w:r>
            <w:r w:rsidRPr="00E773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7 224 </w:t>
            </w:r>
            <w:r w:rsidRPr="00E77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tajā skaitā izmaiņu ieviešanai:</w:t>
            </w:r>
          </w:p>
          <w:p w14:paraId="13C11595" w14:textId="77777777" w:rsidR="00E7732B" w:rsidRPr="00E7732B" w:rsidRDefault="00E7732B" w:rsidP="00E7732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Nodokļu informācijas sistēmā (turpmāk - NIS) – 5 944 </w:t>
            </w:r>
            <w:r w:rsidRPr="00E7732B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E773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165A4A1" w14:textId="77777777" w:rsidR="00E7732B" w:rsidRPr="00E7732B" w:rsidRDefault="00E7732B" w:rsidP="00E7732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Elektroniskās deklarēšanas sistēmā (turpmāk - EDS) – 1 280 </w:t>
            </w:r>
            <w:r w:rsidRPr="00E7732B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E773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35546" w14:paraId="13032594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6A317171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4057" w:type="pct"/>
            <w:gridSpan w:val="7"/>
            <w:vMerge/>
            <w:vAlign w:val="center"/>
            <w:hideMark/>
          </w:tcPr>
          <w:p w14:paraId="05D9E3C1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935546" w14:paraId="64F64D2D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7AC556A9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057" w:type="pct"/>
            <w:gridSpan w:val="7"/>
            <w:vMerge/>
            <w:vAlign w:val="center"/>
            <w:hideMark/>
          </w:tcPr>
          <w:p w14:paraId="7F9A7E90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935546" w14:paraId="33B6C5FA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57FBA2B8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57" w:type="pct"/>
            <w:gridSpan w:val="7"/>
            <w:hideMark/>
          </w:tcPr>
          <w:p w14:paraId="6B9E51D8" w14:textId="0CF317A1" w:rsidR="00E7732B" w:rsidRPr="00E7732B" w:rsidRDefault="00E7732B" w:rsidP="001E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 attiecināms</w:t>
            </w:r>
            <w:r w:rsidR="0098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35546" w14:paraId="0A403072" w14:textId="77777777" w:rsidTr="0064293A">
        <w:trPr>
          <w:tblCellSpacing w:w="20" w:type="dxa"/>
        </w:trPr>
        <w:tc>
          <w:tcPr>
            <w:tcW w:w="877" w:type="pct"/>
            <w:hideMark/>
          </w:tcPr>
          <w:p w14:paraId="05D5E110" w14:textId="77777777" w:rsidR="00E7732B" w:rsidRPr="00E7732B" w:rsidRDefault="00E7732B" w:rsidP="001E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57" w:type="pct"/>
            <w:gridSpan w:val="7"/>
            <w:hideMark/>
          </w:tcPr>
          <w:p w14:paraId="7927E319" w14:textId="2A7E8411" w:rsidR="00E7732B" w:rsidRPr="00E7732B" w:rsidRDefault="00E7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2019.gadā nepieciešamo izmaiņu iestrādei Valsts ieņēmumu dienesta informācijas sistēmās nepieciešamais </w:t>
            </w:r>
            <w:r w:rsidR="00CE43AF"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</w:t>
            </w:r>
            <w:r w:rsidR="00CE4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E43AF"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7732B">
              <w:rPr>
                <w:rFonts w:ascii="Times New Roman" w:hAnsi="Times New Roman" w:cs="Times New Roman"/>
                <w:b/>
                <w:sz w:val="24"/>
                <w:szCs w:val="24"/>
              </w:rPr>
              <w:t>7 224</w:t>
            </w:r>
            <w:r w:rsidRPr="00E77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77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</w:t>
            </w:r>
            <w:r w:rsidR="00982B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</w:t>
            </w:r>
            <w:r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</w:t>
            </w:r>
            <w:r w:rsidR="00982B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E4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7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Finanšu ministrijas budžeta programmas 33.00.00 “Valsts ieņēmumu un muitas politikas nodrošināšana” piešķirtā finansējuma ietvaros.</w:t>
            </w:r>
          </w:p>
        </w:tc>
      </w:tr>
    </w:tbl>
    <w:p w14:paraId="1007F048" w14:textId="57A74AE3" w:rsidR="00F830C8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7F1EC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p w14:paraId="47F0C147" w14:textId="77777777" w:rsidR="00982BE8" w:rsidRDefault="00982BE8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41E4B" w:rsidRPr="008A3A66" w14:paraId="29425CA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72BC" w14:textId="2CB6EF57" w:rsidR="00655F2C" w:rsidRPr="008A3A66" w:rsidRDefault="00E7732B" w:rsidP="00083570">
            <w:pPr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br w:type="page"/>
            </w:r>
            <w:r w:rsidR="00E5323B"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B0C82" w:rsidRPr="008A3A66" w14:paraId="2D381435" w14:textId="77777777" w:rsidTr="002B0C8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C4FA4" w14:textId="0D22F59C" w:rsidR="002B0C82" w:rsidRPr="008A3A66" w:rsidRDefault="002B0C82" w:rsidP="007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E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Projekts šo jomu neskar.</w:t>
            </w:r>
          </w:p>
        </w:tc>
      </w:tr>
    </w:tbl>
    <w:p w14:paraId="48AE5F60" w14:textId="7E67EBF9" w:rsidR="00E5323B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8A3A6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41ECF" w:rsidRPr="008A3A66" w14:paraId="662C108F" w14:textId="77777777" w:rsidTr="00941EC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8C74" w14:textId="796E70B2" w:rsidR="00941ECF" w:rsidRPr="008A3A66" w:rsidRDefault="00941ECF" w:rsidP="0094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41ECF" w:rsidRPr="008A3A66" w14:paraId="4231BCC6" w14:textId="77777777" w:rsidTr="00941EC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36A9" w14:textId="77777777" w:rsidR="00941ECF" w:rsidRPr="00E44F06" w:rsidRDefault="00941ECF" w:rsidP="004F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E44F06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B0D253A" w14:textId="7447FFBA" w:rsidR="00B61FBD" w:rsidRPr="008A3A66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8A3A6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18"/>
        <w:gridCol w:w="5519"/>
      </w:tblGrid>
      <w:tr w:rsidR="009142BA" w:rsidRPr="008A3A66" w14:paraId="393B9913" w14:textId="77777777" w:rsidTr="00685FE7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768B" w14:textId="77777777" w:rsidR="009142BA" w:rsidRPr="008A3A66" w:rsidRDefault="009142BA" w:rsidP="00083570">
            <w:pPr>
              <w:spacing w:after="0" w:line="240" w:lineRule="auto"/>
              <w:ind w:firstLine="194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142BA" w:rsidRPr="008A3A66" w14:paraId="7BF77FA2" w14:textId="77777777" w:rsidTr="00C704AF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C3AEE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8BCF" w14:textId="77777777" w:rsidR="009142BA" w:rsidRPr="00DD1B9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4087" w14:textId="294C994F" w:rsidR="00B83CEA" w:rsidRPr="00DD1B9B" w:rsidRDefault="00B83CEA" w:rsidP="00B8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Par </w:t>
            </w:r>
            <w:r w:rsidR="00F61AB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MK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noteikumu projekta izstrādi ir informēta Tabakas izstrādājumu ražotāju nacionālā asociācija (turpmāk – TIRNA)</w:t>
            </w:r>
            <w:r w:rsidRPr="00DD1B9B">
              <w:t xml:space="preserve"> 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un nodokļu maksātāji, kuri piegādā akcīzes preces beznodokļu tirdzniecības veikaliem, diplomātiem un starptautiskām organizācijām un kuģiem un gaisakuģiem. </w:t>
            </w:r>
          </w:p>
          <w:p w14:paraId="49C32064" w14:textId="2B4B9C0B" w:rsidR="00B83CEA" w:rsidRPr="00DD1B9B" w:rsidRDefault="00B83CEA" w:rsidP="00B8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Informācija par </w:t>
            </w:r>
            <w:r w:rsidR="00F61AB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MK 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noteikumu projekta izstrādi 2019.</w:t>
            </w:r>
            <w:r w:rsidR="00A11CA1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gada 1</w:t>
            </w:r>
            <w:r w:rsidR="00982BE8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  <w:r w:rsidR="00A11CA1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 </w:t>
            </w:r>
            <w:r w:rsidR="004F4DFA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martā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publicēta Finanšu ministrijas</w:t>
            </w:r>
            <w:r w:rsidR="00CE43AF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tīmekļa vietn</w:t>
            </w:r>
            <w:r w:rsidR="00982BE8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ē</w:t>
            </w:r>
            <w:r w:rsidR="00CE43AF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</w:t>
            </w:r>
            <w:r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s</w:t>
            </w:r>
            <w:r w:rsidR="002E39E8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adaļā “Sabiedrības līdzdalība”</w:t>
            </w:r>
            <w:r w:rsidR="00982BE8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- “Tiesību aktu projekti” – “Nodokļu politika”</w:t>
            </w:r>
            <w:r w:rsidR="00DD1B9B" w:rsidRPr="00DD1B9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, adrese:</w:t>
            </w:r>
          </w:p>
          <w:p w14:paraId="55E7F9AB" w14:textId="77777777" w:rsidR="00DD1B9B" w:rsidRPr="00DD1B9B" w:rsidRDefault="0096110E" w:rsidP="00B8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hyperlink r:id="rId11" w:anchor="project544" w:history="1">
              <w:r w:rsidR="00982BE8" w:rsidRPr="002A78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http://www.fm.gov.lv/lv/sabiedribas_lidzdaliba/tiesibu_aktu_projekti/nodoklu_politika/#project544</w:t>
              </w:r>
            </w:hyperlink>
            <w:r w:rsidR="00982BE8" w:rsidRPr="00DD1B9B" w:rsidDel="00982B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</w:t>
            </w:r>
          </w:p>
          <w:p w14:paraId="5D896BC0" w14:textId="45BF8050" w:rsidR="00A23F3B" w:rsidRPr="002A7849" w:rsidRDefault="00DD1B9B" w:rsidP="002A7849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7849">
              <w:rPr>
                <w:iCs/>
              </w:rPr>
              <w:t>un Ministru kabineta tīmekļvietnē sadaļā “Valsts kanceleja” – “Sabiedrības līdzdalība</w:t>
            </w:r>
            <w:r w:rsidRPr="00EB799C">
              <w:t xml:space="preserve">”, </w:t>
            </w:r>
            <w:r w:rsidRPr="002A7849">
              <w:rPr>
                <w:iCs/>
              </w:rPr>
              <w:t>adrese:</w:t>
            </w:r>
            <w:r w:rsidRPr="00EB799C">
              <w:t xml:space="preserve"> </w:t>
            </w:r>
            <w:hyperlink r:id="rId12" w:history="1">
              <w:r w:rsidRPr="002A7849">
                <w:rPr>
                  <w:rStyle w:val="Hyperlink"/>
                </w:rPr>
                <w:t>https://mk.gov.lv/content/ministru-kabineta-diskusiju-dokumenti</w:t>
              </w:r>
            </w:hyperlink>
            <w:r w:rsidRPr="002A7849">
              <w:rPr>
                <w:color w:val="0070C0"/>
                <w:u w:val="single"/>
              </w:rPr>
              <w:t>.</w:t>
            </w:r>
          </w:p>
        </w:tc>
      </w:tr>
      <w:tr w:rsidR="009142BA" w:rsidRPr="008A3A66" w14:paraId="39ACB37D" w14:textId="77777777" w:rsidTr="00114E92">
        <w:trPr>
          <w:trHeight w:val="872"/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76B7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36E7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3025" w14:textId="654E7FB0" w:rsidR="009142BA" w:rsidRPr="008A3A66" w:rsidRDefault="00CF4E47" w:rsidP="0088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Sabiedrības pārstāvji var līdzdarboties </w:t>
            </w:r>
            <w:r w:rsidR="00F61AB2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MK </w:t>
            </w: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noteikumu </w:t>
            </w:r>
            <w:r w:rsidRPr="00CF4E47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projekta izstrādē, rakstveidā sniedzot viedokļus par </w:t>
            </w:r>
            <w:r w:rsidR="00F61AB2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MK </w:t>
            </w:r>
            <w:r w:rsidRPr="00CF4E47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noteikumu projektu</w:t>
            </w:r>
            <w:r w:rsidR="0093554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.</w:t>
            </w:r>
            <w:r w:rsidRPr="00CF4E47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</w:p>
        </w:tc>
      </w:tr>
      <w:tr w:rsidR="009142BA" w:rsidRPr="008A3A66" w14:paraId="021E4083" w14:textId="77777777" w:rsidTr="00C704AF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E9728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9DB6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20350" w14:textId="77777777" w:rsidR="009142BA" w:rsidRDefault="009142BA" w:rsidP="004F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TIRNA</w:t>
            </w:r>
            <w:r w:rsidR="005D41A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un </w:t>
            </w:r>
            <w:r w:rsidR="00935546" w:rsidRPr="009355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nodokļu maksātāji, kuri piegādā akcīzes preces beznodokļu tirdzniecības veikaliem, diplomātiem un starptautiskām organizācijām</w:t>
            </w:r>
            <w:r w:rsidR="00F830C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,</w:t>
            </w:r>
            <w:r w:rsidR="00935546" w:rsidRPr="009355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un kuģiem un gaisakuģiem</w:t>
            </w:r>
            <w:r w:rsidR="009355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,</w:t>
            </w:r>
            <w:r w:rsidR="00935546" w:rsidRPr="009355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</w:t>
            </w:r>
            <w:r w:rsidR="005D41A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ir sniegu</w:t>
            </w:r>
            <w:r w:rsidR="004F4D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š</w:t>
            </w:r>
            <w:r w:rsidR="005D41A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i priekšlikumus</w:t>
            </w:r>
            <w:r w:rsidR="004F4D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  <w:r w:rsidR="005D41A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</w:t>
            </w:r>
          </w:p>
          <w:p w14:paraId="61C949BA" w14:textId="34825FCF" w:rsidR="00982BE8" w:rsidRPr="008A3A66" w:rsidRDefault="00DD1B9B" w:rsidP="004F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Citu</w:t>
            </w:r>
            <w:r w:rsidR="00982B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 xml:space="preserve">sabiedrības pārstāvju </w:t>
            </w:r>
            <w:r w:rsidR="00982B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iebildumi un priekšlikumi nav saņemti.</w:t>
            </w:r>
          </w:p>
        </w:tc>
      </w:tr>
      <w:tr w:rsidR="009142BA" w:rsidRPr="008A3A66" w14:paraId="1CCB880E" w14:textId="77777777" w:rsidTr="00C704AF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9032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1A743" w14:textId="77777777" w:rsidR="009142BA" w:rsidRPr="008A3A66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5855" w14:textId="33DA5B60" w:rsidR="009142BA" w:rsidRPr="008A3A66" w:rsidRDefault="00CE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Sabiedrīb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142BA"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pēc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MK noteikumu projekta</w:t>
            </w:r>
            <w:r w:rsidR="009142BA"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pieņemšanas informē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9142BA"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ar publikāciju </w:t>
            </w:r>
            <w:r w:rsidR="00F61A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oficiālajā izdevum</w:t>
            </w:r>
            <w:r w:rsidR="00ED78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ā </w:t>
            </w:r>
            <w:r w:rsidR="009142BA"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"Latvijas Vēstnesis", kā arī ievietojot to bezmaksas normatīvo aktu datu bāzē </w:t>
            </w:r>
            <w:hyperlink r:id="rId13" w:history="1">
              <w:r w:rsidR="009142BA" w:rsidRPr="008A3A66">
                <w:rPr>
                  <w:rStyle w:val="Hyperlink"/>
                  <w:rFonts w:ascii="Times New Roman" w:eastAsia="Calibri" w:hAnsi="Times New Roman" w:cs="Times New Roman"/>
                  <w:color w:val="auto"/>
                  <w:spacing w:val="-2"/>
                  <w:sz w:val="24"/>
                  <w:szCs w:val="24"/>
                </w:rPr>
                <w:t>www.likumi.lv</w:t>
              </w:r>
            </w:hyperlink>
            <w:r w:rsidR="009142BA" w:rsidRPr="008A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14:paraId="096582FE" w14:textId="35BD0E94" w:rsidR="009142BA" w:rsidRDefault="009142BA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p w14:paraId="30E5222D" w14:textId="77777777" w:rsidR="00B61FBD" w:rsidRPr="008A3A66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232"/>
        <w:gridCol w:w="5406"/>
      </w:tblGrid>
      <w:tr w:rsidR="00541E4B" w:rsidRPr="008A3A66" w14:paraId="4A0CF67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6113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41E4B" w:rsidRPr="008A3A66" w14:paraId="0A375124" w14:textId="77777777" w:rsidTr="008A3A6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621E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C143B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F4AC" w14:textId="7C1A3E39" w:rsidR="00925E9A" w:rsidRPr="008A3A66" w:rsidRDefault="00D441E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Valsts ieņēmumu dienests</w:t>
            </w:r>
            <w:r w:rsidR="00982B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  <w:tr w:rsidR="00541E4B" w:rsidRPr="008A3A66" w14:paraId="486BDAD8" w14:textId="77777777" w:rsidTr="008A3A6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7FB7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03458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br/>
            </w: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C357" w14:textId="7F0A9C97" w:rsidR="00DC1BD3" w:rsidRDefault="00DC1BD3" w:rsidP="00E44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 noteikumu projekts</w:t>
            </w: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>paplašina V</w:t>
            </w:r>
            <w:r w:rsidR="00CC17C0">
              <w:rPr>
                <w:rFonts w:ascii="Times New Roman" w:hAnsi="Times New Roman" w:cs="Times New Roman"/>
                <w:sz w:val="24"/>
                <w:szCs w:val="24"/>
              </w:rPr>
              <w:t>alsts ieņēmumu dienesta</w:t>
            </w: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 xml:space="preserve"> līdzšinējās funkcijas un uzdevumus. </w:t>
            </w:r>
          </w:p>
          <w:p w14:paraId="5729B02E" w14:textId="48815E62" w:rsidR="00DC1BD3" w:rsidRPr="00351A27" w:rsidRDefault="00DC1BD3" w:rsidP="00DC1B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 noteikumu projektam</w:t>
            </w: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 xml:space="preserve"> nav ietekmes uz jaunu institūciju izveidi, esošu institūciju likvidāciju vai reorganizāciju.</w:t>
            </w:r>
          </w:p>
          <w:p w14:paraId="7558AACD" w14:textId="5339A957" w:rsidR="00DC1BD3" w:rsidRPr="00351A27" w:rsidRDefault="00DC1BD3" w:rsidP="00DC1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 xml:space="preserve">Nav nepieciešams veidot jaunas darba vietas,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 noteikumu projektā</w:t>
            </w: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 xml:space="preserve"> noteiktās prasības paredzēts realizēt esošo cilvēkresursu </w:t>
            </w:r>
            <w:r w:rsidR="00CC17C0">
              <w:rPr>
                <w:rFonts w:ascii="Times New Roman" w:hAnsi="Times New Roman" w:cs="Times New Roman"/>
                <w:sz w:val="24"/>
                <w:szCs w:val="24"/>
              </w:rPr>
              <w:t xml:space="preserve">un finansējuma </w:t>
            </w:r>
            <w:r w:rsidRPr="00351A27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  <w:r w:rsidRPr="00351A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D40578F" w14:textId="56B41995" w:rsidR="00DC1BD3" w:rsidRPr="008A3A66" w:rsidRDefault="00DC1BD3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</w:p>
        </w:tc>
      </w:tr>
      <w:tr w:rsidR="00E5323B" w:rsidRPr="008A3A66" w14:paraId="18516E5F" w14:textId="77777777" w:rsidTr="008A3A6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77EC3" w14:textId="77777777" w:rsidR="00655F2C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E710" w14:textId="77777777" w:rsidR="00E5323B" w:rsidRPr="008A3A66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4421" w14:textId="7106F76B" w:rsidR="00E5323B" w:rsidRPr="008A3A66" w:rsidRDefault="00705B3C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8A3A6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Nav</w:t>
            </w:r>
            <w:r w:rsidR="00E2338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</w:tbl>
    <w:p w14:paraId="3D2DA8B9" w14:textId="0B52B6B6" w:rsidR="002517E6" w:rsidRDefault="002517E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874958" w14:textId="77777777" w:rsidR="00CE43AF" w:rsidRPr="002A7849" w:rsidRDefault="00CE43AF" w:rsidP="00CE43AF">
      <w:pPr>
        <w:pStyle w:val="naisf"/>
        <w:tabs>
          <w:tab w:val="right" w:pos="9000"/>
        </w:tabs>
        <w:spacing w:before="0" w:after="0"/>
        <w:ind w:hanging="142"/>
      </w:pPr>
    </w:p>
    <w:p w14:paraId="1BAE93C8" w14:textId="2236FFB6" w:rsidR="002517E6" w:rsidRPr="002A7849" w:rsidRDefault="00B56158" w:rsidP="00CE43AF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7849">
        <w:rPr>
          <w:rFonts w:ascii="Times New Roman" w:hAnsi="Times New Roman"/>
          <w:sz w:val="24"/>
          <w:szCs w:val="24"/>
        </w:rPr>
        <w:t>Finanšu ministrs</w:t>
      </w:r>
      <w:r w:rsidRPr="002A7849">
        <w:rPr>
          <w:rFonts w:ascii="Times New Roman" w:hAnsi="Times New Roman"/>
          <w:sz w:val="24"/>
          <w:szCs w:val="24"/>
        </w:rPr>
        <w:tab/>
      </w:r>
      <w:r w:rsidR="00CE43AF" w:rsidRPr="002A7849">
        <w:rPr>
          <w:rFonts w:ascii="Times New Roman" w:hAnsi="Times New Roman"/>
          <w:sz w:val="24"/>
          <w:szCs w:val="24"/>
        </w:rPr>
        <w:tab/>
      </w:r>
      <w:r w:rsidRPr="002A7849">
        <w:rPr>
          <w:rFonts w:ascii="Times New Roman" w:hAnsi="Times New Roman"/>
          <w:sz w:val="24"/>
          <w:szCs w:val="24"/>
        </w:rPr>
        <w:t>J.</w:t>
      </w:r>
      <w:r w:rsidR="000D4B2F" w:rsidRPr="002A7849">
        <w:rPr>
          <w:rFonts w:ascii="Times New Roman" w:hAnsi="Times New Roman"/>
          <w:sz w:val="24"/>
          <w:szCs w:val="24"/>
        </w:rPr>
        <w:t xml:space="preserve"> </w:t>
      </w:r>
      <w:r w:rsidRPr="002A7849">
        <w:rPr>
          <w:rFonts w:ascii="Times New Roman" w:hAnsi="Times New Roman"/>
          <w:sz w:val="24"/>
          <w:szCs w:val="24"/>
        </w:rPr>
        <w:t>Reirs</w:t>
      </w:r>
    </w:p>
    <w:p w14:paraId="6F071E01" w14:textId="5AEE6F7F" w:rsidR="00894C55" w:rsidRDefault="00894C55" w:rsidP="00C126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14:paraId="083832CE" w14:textId="77777777" w:rsidR="00FD3156" w:rsidRPr="008A3A66" w:rsidRDefault="00FD3156" w:rsidP="00C126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14:paraId="5A2FC22B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5885A802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1078C223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76345634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7072A01F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6E957CF7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4CF43E80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5A8AC637" w14:textId="529A711D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09F24286" w14:textId="31CB6EA4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64605507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056E1AE1" w14:textId="77777777" w:rsidR="00E2338F" w:rsidRDefault="00E2338F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3B06D73A" w14:textId="4CEB998A" w:rsidR="000F3A62" w:rsidRPr="002A7849" w:rsidRDefault="00935546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2A7849">
        <w:rPr>
          <w:rFonts w:ascii="Times New Roman" w:hAnsi="Times New Roman" w:cs="Times New Roman"/>
          <w:spacing w:val="-2"/>
          <w:sz w:val="20"/>
          <w:szCs w:val="20"/>
        </w:rPr>
        <w:t>Pavloviča</w:t>
      </w:r>
      <w:r w:rsidR="005D41AB" w:rsidRPr="002A7849">
        <w:rPr>
          <w:rFonts w:ascii="Times New Roman" w:hAnsi="Times New Roman" w:cs="Times New Roman"/>
          <w:spacing w:val="-2"/>
          <w:sz w:val="20"/>
          <w:szCs w:val="20"/>
        </w:rPr>
        <w:t>, 671201</w:t>
      </w:r>
      <w:r w:rsidRPr="002A7849">
        <w:rPr>
          <w:rFonts w:ascii="Times New Roman" w:hAnsi="Times New Roman" w:cs="Times New Roman"/>
          <w:spacing w:val="-2"/>
          <w:sz w:val="20"/>
          <w:szCs w:val="20"/>
        </w:rPr>
        <w:t>29</w:t>
      </w:r>
    </w:p>
    <w:p w14:paraId="315EFB04" w14:textId="3DB495FD" w:rsidR="002517E6" w:rsidRPr="002A7849" w:rsidRDefault="00935546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2A7849">
        <w:rPr>
          <w:rStyle w:val="Hyperlink"/>
          <w:rFonts w:ascii="Times New Roman" w:hAnsi="Times New Roman" w:cs="Times New Roman"/>
          <w:spacing w:val="-2"/>
          <w:sz w:val="20"/>
          <w:szCs w:val="20"/>
        </w:rPr>
        <w:t>Jana.Pavlovica</w:t>
      </w:r>
      <w:r w:rsidR="005D41AB" w:rsidRPr="002A7849">
        <w:rPr>
          <w:rStyle w:val="Hyperlink"/>
          <w:rFonts w:ascii="Times New Roman" w:hAnsi="Times New Roman" w:cs="Times New Roman"/>
          <w:spacing w:val="-2"/>
          <w:sz w:val="20"/>
          <w:szCs w:val="20"/>
        </w:rPr>
        <w:t>@vid.gov.lv</w:t>
      </w:r>
      <w:r w:rsidR="003648DD" w:rsidRPr="002A7849">
        <w:rPr>
          <w:rFonts w:ascii="Times New Roman" w:hAnsi="Times New Roman" w:cs="Times New Roman"/>
          <w:spacing w:val="-2"/>
          <w:sz w:val="20"/>
          <w:szCs w:val="20"/>
        </w:rPr>
        <w:tab/>
      </w:r>
    </w:p>
    <w:p w14:paraId="5F8DA726" w14:textId="0983C470" w:rsidR="00894C55" w:rsidRPr="002517E6" w:rsidRDefault="00894C55" w:rsidP="002517E6">
      <w:pPr>
        <w:rPr>
          <w:rFonts w:ascii="Times New Roman" w:hAnsi="Times New Roman" w:cs="Times New Roman"/>
          <w:sz w:val="20"/>
          <w:szCs w:val="20"/>
        </w:rPr>
      </w:pPr>
    </w:p>
    <w:sectPr w:rsidR="00894C55" w:rsidRPr="002517E6" w:rsidSect="00CA24FF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22A0" w14:textId="77777777" w:rsidR="0096110E" w:rsidRDefault="0096110E" w:rsidP="00894C55">
      <w:pPr>
        <w:spacing w:after="0" w:line="240" w:lineRule="auto"/>
      </w:pPr>
      <w:r>
        <w:separator/>
      </w:r>
    </w:p>
  </w:endnote>
  <w:endnote w:type="continuationSeparator" w:id="0">
    <w:p w14:paraId="18F971C4" w14:textId="77777777" w:rsidR="0096110E" w:rsidRDefault="0096110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1F97" w14:textId="15842C6C" w:rsidR="00645E13" w:rsidRDefault="00645E13" w:rsidP="00645E13"/>
  <w:p w14:paraId="149DC198" w14:textId="10CC92EE" w:rsidR="00645E13" w:rsidRPr="00D07835" w:rsidRDefault="00645E13" w:rsidP="00645E13">
    <w:pPr>
      <w:pStyle w:val="Footer"/>
    </w:pPr>
    <w:r>
      <w:rPr>
        <w:rFonts w:ascii="Times New Roman" w:hAnsi="Times New Roman" w:cs="Times New Roman"/>
        <w:sz w:val="20"/>
        <w:szCs w:val="20"/>
      </w:rPr>
      <w:t>FMAnot_</w:t>
    </w:r>
    <w:r w:rsidR="00230CEA">
      <w:rPr>
        <w:rFonts w:ascii="Times New Roman" w:hAnsi="Times New Roman" w:cs="Times New Roman"/>
        <w:sz w:val="20"/>
        <w:szCs w:val="20"/>
      </w:rPr>
      <w:t>25</w:t>
    </w:r>
    <w:r w:rsidR="002A7849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19_groz220;</w:t>
    </w:r>
  </w:p>
  <w:p w14:paraId="6E9F9F63" w14:textId="26D17F48" w:rsidR="00B87AB1" w:rsidRPr="00D07835" w:rsidRDefault="00B87AB1" w:rsidP="00D07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7C31" w14:textId="50BE1FEA" w:rsidR="00B87AB1" w:rsidRPr="00D07835" w:rsidRDefault="00645E13" w:rsidP="00D07835">
    <w:pPr>
      <w:pStyle w:val="Footer"/>
    </w:pPr>
    <w:r>
      <w:rPr>
        <w:rFonts w:ascii="Times New Roman" w:hAnsi="Times New Roman" w:cs="Times New Roman"/>
        <w:sz w:val="20"/>
        <w:szCs w:val="20"/>
      </w:rPr>
      <w:t>FMAnot_</w:t>
    </w:r>
    <w:r w:rsidR="00230CEA">
      <w:rPr>
        <w:rFonts w:ascii="Times New Roman" w:hAnsi="Times New Roman" w:cs="Times New Roman"/>
        <w:sz w:val="20"/>
        <w:szCs w:val="20"/>
      </w:rPr>
      <w:t>25</w:t>
    </w:r>
    <w:r w:rsidR="002A7849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19_groz220;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A6F5" w14:textId="77777777" w:rsidR="0096110E" w:rsidRDefault="0096110E" w:rsidP="00894C55">
      <w:pPr>
        <w:spacing w:after="0" w:line="240" w:lineRule="auto"/>
      </w:pPr>
      <w:r>
        <w:separator/>
      </w:r>
    </w:p>
  </w:footnote>
  <w:footnote w:type="continuationSeparator" w:id="0">
    <w:p w14:paraId="03296B8B" w14:textId="77777777" w:rsidR="0096110E" w:rsidRDefault="0096110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17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B751095" w14:textId="792309B4" w:rsidR="00B87AB1" w:rsidRPr="00C25B49" w:rsidRDefault="00B87AB1" w:rsidP="007D344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B286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clip_image001"/>
      </v:shape>
    </w:pict>
  </w:numPicBullet>
  <w:abstractNum w:abstractNumId="0" w15:restartNumberingAfterBreak="0">
    <w:nsid w:val="10163FE0"/>
    <w:multiLevelType w:val="hybridMultilevel"/>
    <w:tmpl w:val="588C5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63"/>
    <w:multiLevelType w:val="hybridMultilevel"/>
    <w:tmpl w:val="8D660B7E"/>
    <w:lvl w:ilvl="0" w:tplc="F2DEB9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C5B"/>
    <w:multiLevelType w:val="hybridMultilevel"/>
    <w:tmpl w:val="45B49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39A71BE"/>
    <w:multiLevelType w:val="hybridMultilevel"/>
    <w:tmpl w:val="B560B63E"/>
    <w:lvl w:ilvl="0" w:tplc="A9A81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A9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9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F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82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3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9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0D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46C0"/>
    <w:multiLevelType w:val="hybridMultilevel"/>
    <w:tmpl w:val="02B89FE8"/>
    <w:lvl w:ilvl="0" w:tplc="F73ED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49A1"/>
    <w:multiLevelType w:val="hybridMultilevel"/>
    <w:tmpl w:val="D1FE9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0FD9"/>
    <w:multiLevelType w:val="hybridMultilevel"/>
    <w:tmpl w:val="72D259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058"/>
    <w:rsid w:val="000110AE"/>
    <w:rsid w:val="0002462B"/>
    <w:rsid w:val="000454F6"/>
    <w:rsid w:val="0004720A"/>
    <w:rsid w:val="00056A21"/>
    <w:rsid w:val="000665CF"/>
    <w:rsid w:val="00066888"/>
    <w:rsid w:val="00067CEB"/>
    <w:rsid w:val="00070B97"/>
    <w:rsid w:val="00076E1C"/>
    <w:rsid w:val="00083570"/>
    <w:rsid w:val="00096CDA"/>
    <w:rsid w:val="000A0EC4"/>
    <w:rsid w:val="000B2B75"/>
    <w:rsid w:val="000B60F4"/>
    <w:rsid w:val="000C462C"/>
    <w:rsid w:val="000C46B2"/>
    <w:rsid w:val="000D4B2F"/>
    <w:rsid w:val="000D7054"/>
    <w:rsid w:val="000E0CF9"/>
    <w:rsid w:val="000F2C9E"/>
    <w:rsid w:val="000F3A62"/>
    <w:rsid w:val="000F3B7D"/>
    <w:rsid w:val="00100965"/>
    <w:rsid w:val="00101D98"/>
    <w:rsid w:val="00105ACD"/>
    <w:rsid w:val="001134FF"/>
    <w:rsid w:val="00114E92"/>
    <w:rsid w:val="001157F5"/>
    <w:rsid w:val="0011667E"/>
    <w:rsid w:val="00131FF5"/>
    <w:rsid w:val="00144AC5"/>
    <w:rsid w:val="001459F7"/>
    <w:rsid w:val="001470E7"/>
    <w:rsid w:val="001528AD"/>
    <w:rsid w:val="001560FE"/>
    <w:rsid w:val="00173C1B"/>
    <w:rsid w:val="0018636E"/>
    <w:rsid w:val="0019490B"/>
    <w:rsid w:val="00195E14"/>
    <w:rsid w:val="001A2B68"/>
    <w:rsid w:val="001B49BE"/>
    <w:rsid w:val="001B7EDB"/>
    <w:rsid w:val="001C3612"/>
    <w:rsid w:val="001C4E9B"/>
    <w:rsid w:val="001C72C4"/>
    <w:rsid w:val="001D5504"/>
    <w:rsid w:val="001D6C4F"/>
    <w:rsid w:val="001E3888"/>
    <w:rsid w:val="00207289"/>
    <w:rsid w:val="00213F54"/>
    <w:rsid w:val="0022203A"/>
    <w:rsid w:val="00230CEA"/>
    <w:rsid w:val="00230F37"/>
    <w:rsid w:val="00236574"/>
    <w:rsid w:val="002400D4"/>
    <w:rsid w:val="00240629"/>
    <w:rsid w:val="00243426"/>
    <w:rsid w:val="0024757E"/>
    <w:rsid w:val="00251219"/>
    <w:rsid w:val="002517E6"/>
    <w:rsid w:val="00251E68"/>
    <w:rsid w:val="00254B10"/>
    <w:rsid w:val="00257851"/>
    <w:rsid w:val="00260B72"/>
    <w:rsid w:val="002622E4"/>
    <w:rsid w:val="00267AAF"/>
    <w:rsid w:val="0027078C"/>
    <w:rsid w:val="00270B83"/>
    <w:rsid w:val="0027182A"/>
    <w:rsid w:val="00274EAE"/>
    <w:rsid w:val="002806F8"/>
    <w:rsid w:val="00285904"/>
    <w:rsid w:val="00297F08"/>
    <w:rsid w:val="002A656B"/>
    <w:rsid w:val="002A7849"/>
    <w:rsid w:val="002B0C82"/>
    <w:rsid w:val="002B49E7"/>
    <w:rsid w:val="002B6E45"/>
    <w:rsid w:val="002C1645"/>
    <w:rsid w:val="002C2124"/>
    <w:rsid w:val="002C544D"/>
    <w:rsid w:val="002C722D"/>
    <w:rsid w:val="002D00E1"/>
    <w:rsid w:val="002E1C05"/>
    <w:rsid w:val="002E39E8"/>
    <w:rsid w:val="002E51B4"/>
    <w:rsid w:val="002F3577"/>
    <w:rsid w:val="002F4479"/>
    <w:rsid w:val="0030167E"/>
    <w:rsid w:val="0030169E"/>
    <w:rsid w:val="003065BE"/>
    <w:rsid w:val="00306800"/>
    <w:rsid w:val="003147EE"/>
    <w:rsid w:val="003158D9"/>
    <w:rsid w:val="00316E0C"/>
    <w:rsid w:val="0031775E"/>
    <w:rsid w:val="003272D1"/>
    <w:rsid w:val="00331A76"/>
    <w:rsid w:val="00340A27"/>
    <w:rsid w:val="00340D96"/>
    <w:rsid w:val="00344D97"/>
    <w:rsid w:val="00351375"/>
    <w:rsid w:val="00351617"/>
    <w:rsid w:val="00354167"/>
    <w:rsid w:val="003610BD"/>
    <w:rsid w:val="00363001"/>
    <w:rsid w:val="003648DD"/>
    <w:rsid w:val="00366195"/>
    <w:rsid w:val="00370991"/>
    <w:rsid w:val="00374F0B"/>
    <w:rsid w:val="003872F7"/>
    <w:rsid w:val="003974DF"/>
    <w:rsid w:val="003B096D"/>
    <w:rsid w:val="003B0BF9"/>
    <w:rsid w:val="003B7B57"/>
    <w:rsid w:val="003D2D0C"/>
    <w:rsid w:val="003D7C30"/>
    <w:rsid w:val="003E0791"/>
    <w:rsid w:val="003E1069"/>
    <w:rsid w:val="003E1ADD"/>
    <w:rsid w:val="003F28AC"/>
    <w:rsid w:val="003F6BE3"/>
    <w:rsid w:val="00401FEC"/>
    <w:rsid w:val="004043AC"/>
    <w:rsid w:val="004135D6"/>
    <w:rsid w:val="00415124"/>
    <w:rsid w:val="0041754F"/>
    <w:rsid w:val="00423E53"/>
    <w:rsid w:val="004244E4"/>
    <w:rsid w:val="00426ABA"/>
    <w:rsid w:val="004307A3"/>
    <w:rsid w:val="00430A89"/>
    <w:rsid w:val="00433E60"/>
    <w:rsid w:val="004454FE"/>
    <w:rsid w:val="00456E40"/>
    <w:rsid w:val="00466901"/>
    <w:rsid w:val="00471F27"/>
    <w:rsid w:val="00486401"/>
    <w:rsid w:val="00487C21"/>
    <w:rsid w:val="0049300F"/>
    <w:rsid w:val="004950DD"/>
    <w:rsid w:val="004A4DF3"/>
    <w:rsid w:val="004A7A41"/>
    <w:rsid w:val="004C081C"/>
    <w:rsid w:val="004C22EA"/>
    <w:rsid w:val="004C3FC4"/>
    <w:rsid w:val="004D1426"/>
    <w:rsid w:val="004D35D6"/>
    <w:rsid w:val="004D5520"/>
    <w:rsid w:val="004D7FD2"/>
    <w:rsid w:val="004E40EB"/>
    <w:rsid w:val="004F4DFA"/>
    <w:rsid w:val="0050178F"/>
    <w:rsid w:val="00503DB9"/>
    <w:rsid w:val="00504DF6"/>
    <w:rsid w:val="00506C45"/>
    <w:rsid w:val="00516A81"/>
    <w:rsid w:val="005240DF"/>
    <w:rsid w:val="00541E4B"/>
    <w:rsid w:val="00544C35"/>
    <w:rsid w:val="00546F10"/>
    <w:rsid w:val="00556292"/>
    <w:rsid w:val="005644D4"/>
    <w:rsid w:val="005658B6"/>
    <w:rsid w:val="00565E56"/>
    <w:rsid w:val="00583631"/>
    <w:rsid w:val="00590A25"/>
    <w:rsid w:val="005920DA"/>
    <w:rsid w:val="0059326E"/>
    <w:rsid w:val="00593811"/>
    <w:rsid w:val="00596DA9"/>
    <w:rsid w:val="005A04B4"/>
    <w:rsid w:val="005A237A"/>
    <w:rsid w:val="005A27F2"/>
    <w:rsid w:val="005A77FE"/>
    <w:rsid w:val="005B2862"/>
    <w:rsid w:val="005B3F72"/>
    <w:rsid w:val="005B49AB"/>
    <w:rsid w:val="005B516E"/>
    <w:rsid w:val="005B742A"/>
    <w:rsid w:val="005C351B"/>
    <w:rsid w:val="005C711E"/>
    <w:rsid w:val="005C73FF"/>
    <w:rsid w:val="005D134C"/>
    <w:rsid w:val="005D41AB"/>
    <w:rsid w:val="005E0292"/>
    <w:rsid w:val="005F38D0"/>
    <w:rsid w:val="0060087E"/>
    <w:rsid w:val="00607392"/>
    <w:rsid w:val="00614977"/>
    <w:rsid w:val="006157AF"/>
    <w:rsid w:val="00634626"/>
    <w:rsid w:val="00637D23"/>
    <w:rsid w:val="00637DFA"/>
    <w:rsid w:val="0064293A"/>
    <w:rsid w:val="0064468B"/>
    <w:rsid w:val="00645E13"/>
    <w:rsid w:val="00650C3A"/>
    <w:rsid w:val="00655F2C"/>
    <w:rsid w:val="00656A23"/>
    <w:rsid w:val="006604FE"/>
    <w:rsid w:val="006717D1"/>
    <w:rsid w:val="00672040"/>
    <w:rsid w:val="006750E4"/>
    <w:rsid w:val="0067548D"/>
    <w:rsid w:val="00683387"/>
    <w:rsid w:val="00683678"/>
    <w:rsid w:val="0068411E"/>
    <w:rsid w:val="00686C4A"/>
    <w:rsid w:val="00687CD9"/>
    <w:rsid w:val="006955C2"/>
    <w:rsid w:val="00696C42"/>
    <w:rsid w:val="006A00FB"/>
    <w:rsid w:val="006A041E"/>
    <w:rsid w:val="006A3D4E"/>
    <w:rsid w:val="006A744F"/>
    <w:rsid w:val="006C1650"/>
    <w:rsid w:val="006C3617"/>
    <w:rsid w:val="006C7074"/>
    <w:rsid w:val="006D0981"/>
    <w:rsid w:val="006D2708"/>
    <w:rsid w:val="006D7FDB"/>
    <w:rsid w:val="006E088E"/>
    <w:rsid w:val="006E1081"/>
    <w:rsid w:val="006E302B"/>
    <w:rsid w:val="00705B3C"/>
    <w:rsid w:val="00707EC0"/>
    <w:rsid w:val="007141CD"/>
    <w:rsid w:val="00720585"/>
    <w:rsid w:val="00721A10"/>
    <w:rsid w:val="0072231D"/>
    <w:rsid w:val="0072482E"/>
    <w:rsid w:val="00726DD2"/>
    <w:rsid w:val="00742160"/>
    <w:rsid w:val="00743B2E"/>
    <w:rsid w:val="0074716E"/>
    <w:rsid w:val="00752911"/>
    <w:rsid w:val="00766240"/>
    <w:rsid w:val="00773AF6"/>
    <w:rsid w:val="0079076B"/>
    <w:rsid w:val="0079285E"/>
    <w:rsid w:val="00795F71"/>
    <w:rsid w:val="007B377A"/>
    <w:rsid w:val="007D3444"/>
    <w:rsid w:val="007D45B6"/>
    <w:rsid w:val="007E06CB"/>
    <w:rsid w:val="007E314F"/>
    <w:rsid w:val="007E5F7A"/>
    <w:rsid w:val="007E73AB"/>
    <w:rsid w:val="007E75B9"/>
    <w:rsid w:val="007E771A"/>
    <w:rsid w:val="007F1ECF"/>
    <w:rsid w:val="007F5F8C"/>
    <w:rsid w:val="00811489"/>
    <w:rsid w:val="00811920"/>
    <w:rsid w:val="00816C11"/>
    <w:rsid w:val="0082273E"/>
    <w:rsid w:val="008303D2"/>
    <w:rsid w:val="00833FB1"/>
    <w:rsid w:val="0083413B"/>
    <w:rsid w:val="008352A5"/>
    <w:rsid w:val="00835515"/>
    <w:rsid w:val="00835F7E"/>
    <w:rsid w:val="00845DC2"/>
    <w:rsid w:val="008524B2"/>
    <w:rsid w:val="008531A9"/>
    <w:rsid w:val="00856A1B"/>
    <w:rsid w:val="00860520"/>
    <w:rsid w:val="0086293F"/>
    <w:rsid w:val="00862F26"/>
    <w:rsid w:val="008639FE"/>
    <w:rsid w:val="0086447A"/>
    <w:rsid w:val="00864597"/>
    <w:rsid w:val="00865592"/>
    <w:rsid w:val="00865ECE"/>
    <w:rsid w:val="00872FDD"/>
    <w:rsid w:val="008764F3"/>
    <w:rsid w:val="00877CE4"/>
    <w:rsid w:val="0088074B"/>
    <w:rsid w:val="0088249E"/>
    <w:rsid w:val="008826BF"/>
    <w:rsid w:val="008832E5"/>
    <w:rsid w:val="00883827"/>
    <w:rsid w:val="00892DC7"/>
    <w:rsid w:val="00894C55"/>
    <w:rsid w:val="008A3249"/>
    <w:rsid w:val="008A3A66"/>
    <w:rsid w:val="008B5CF8"/>
    <w:rsid w:val="008C4DBF"/>
    <w:rsid w:val="008D1BF9"/>
    <w:rsid w:val="008D23F4"/>
    <w:rsid w:val="008D68D4"/>
    <w:rsid w:val="008E5058"/>
    <w:rsid w:val="008E67DB"/>
    <w:rsid w:val="008F0FD1"/>
    <w:rsid w:val="008F6236"/>
    <w:rsid w:val="00913883"/>
    <w:rsid w:val="009142BA"/>
    <w:rsid w:val="00925E9A"/>
    <w:rsid w:val="00930DC6"/>
    <w:rsid w:val="00935546"/>
    <w:rsid w:val="00935CF4"/>
    <w:rsid w:val="00941919"/>
    <w:rsid w:val="00941ECF"/>
    <w:rsid w:val="009422EF"/>
    <w:rsid w:val="0094301C"/>
    <w:rsid w:val="009432AC"/>
    <w:rsid w:val="00944D4D"/>
    <w:rsid w:val="00944DA7"/>
    <w:rsid w:val="00944F07"/>
    <w:rsid w:val="009555AA"/>
    <w:rsid w:val="009563A0"/>
    <w:rsid w:val="00960304"/>
    <w:rsid w:val="0096110E"/>
    <w:rsid w:val="00964225"/>
    <w:rsid w:val="00973423"/>
    <w:rsid w:val="009741CE"/>
    <w:rsid w:val="00981890"/>
    <w:rsid w:val="00982BE8"/>
    <w:rsid w:val="00994CC6"/>
    <w:rsid w:val="009A2654"/>
    <w:rsid w:val="009A3FBE"/>
    <w:rsid w:val="009A62C1"/>
    <w:rsid w:val="009A6627"/>
    <w:rsid w:val="009A66C8"/>
    <w:rsid w:val="009B2BC3"/>
    <w:rsid w:val="009C59A7"/>
    <w:rsid w:val="009C6516"/>
    <w:rsid w:val="009E02BA"/>
    <w:rsid w:val="009E57E7"/>
    <w:rsid w:val="009F3464"/>
    <w:rsid w:val="00A01294"/>
    <w:rsid w:val="00A032BD"/>
    <w:rsid w:val="00A05F4E"/>
    <w:rsid w:val="00A07768"/>
    <w:rsid w:val="00A10FC3"/>
    <w:rsid w:val="00A11BBD"/>
    <w:rsid w:val="00A11CA1"/>
    <w:rsid w:val="00A201EF"/>
    <w:rsid w:val="00A209DD"/>
    <w:rsid w:val="00A214AF"/>
    <w:rsid w:val="00A22F05"/>
    <w:rsid w:val="00A23F3B"/>
    <w:rsid w:val="00A3000A"/>
    <w:rsid w:val="00A35A40"/>
    <w:rsid w:val="00A405F6"/>
    <w:rsid w:val="00A414B2"/>
    <w:rsid w:val="00A419E0"/>
    <w:rsid w:val="00A46921"/>
    <w:rsid w:val="00A553CB"/>
    <w:rsid w:val="00A6073E"/>
    <w:rsid w:val="00A654DA"/>
    <w:rsid w:val="00A66589"/>
    <w:rsid w:val="00A809D9"/>
    <w:rsid w:val="00A830A6"/>
    <w:rsid w:val="00A835D1"/>
    <w:rsid w:val="00AA1577"/>
    <w:rsid w:val="00AA5B4A"/>
    <w:rsid w:val="00AB0C9A"/>
    <w:rsid w:val="00AB7C69"/>
    <w:rsid w:val="00AC12E3"/>
    <w:rsid w:val="00AC7703"/>
    <w:rsid w:val="00AD5D1A"/>
    <w:rsid w:val="00AE097A"/>
    <w:rsid w:val="00AE0BE4"/>
    <w:rsid w:val="00AE5567"/>
    <w:rsid w:val="00AE55FF"/>
    <w:rsid w:val="00AF1239"/>
    <w:rsid w:val="00AF51FB"/>
    <w:rsid w:val="00AF6565"/>
    <w:rsid w:val="00AF686A"/>
    <w:rsid w:val="00B00E49"/>
    <w:rsid w:val="00B055CF"/>
    <w:rsid w:val="00B0663A"/>
    <w:rsid w:val="00B14C57"/>
    <w:rsid w:val="00B15F00"/>
    <w:rsid w:val="00B16480"/>
    <w:rsid w:val="00B17AE7"/>
    <w:rsid w:val="00B200D7"/>
    <w:rsid w:val="00B2165C"/>
    <w:rsid w:val="00B24CF3"/>
    <w:rsid w:val="00B42DE5"/>
    <w:rsid w:val="00B53630"/>
    <w:rsid w:val="00B536FF"/>
    <w:rsid w:val="00B54912"/>
    <w:rsid w:val="00B56158"/>
    <w:rsid w:val="00B61FBD"/>
    <w:rsid w:val="00B73156"/>
    <w:rsid w:val="00B81D24"/>
    <w:rsid w:val="00B8266D"/>
    <w:rsid w:val="00B83CEA"/>
    <w:rsid w:val="00B87AB1"/>
    <w:rsid w:val="00B90762"/>
    <w:rsid w:val="00BA20AA"/>
    <w:rsid w:val="00BA6F56"/>
    <w:rsid w:val="00BB0971"/>
    <w:rsid w:val="00BB38C0"/>
    <w:rsid w:val="00BC0063"/>
    <w:rsid w:val="00BC6123"/>
    <w:rsid w:val="00BD0B2D"/>
    <w:rsid w:val="00BD4425"/>
    <w:rsid w:val="00BE78C7"/>
    <w:rsid w:val="00BF19DE"/>
    <w:rsid w:val="00BF1D8F"/>
    <w:rsid w:val="00BF3656"/>
    <w:rsid w:val="00BF786F"/>
    <w:rsid w:val="00C04800"/>
    <w:rsid w:val="00C12687"/>
    <w:rsid w:val="00C15B6E"/>
    <w:rsid w:val="00C21644"/>
    <w:rsid w:val="00C25B49"/>
    <w:rsid w:val="00C25DCA"/>
    <w:rsid w:val="00C25E2B"/>
    <w:rsid w:val="00C35777"/>
    <w:rsid w:val="00C40050"/>
    <w:rsid w:val="00C57F1E"/>
    <w:rsid w:val="00C60D71"/>
    <w:rsid w:val="00C704AF"/>
    <w:rsid w:val="00C8721E"/>
    <w:rsid w:val="00C924DA"/>
    <w:rsid w:val="00C96AB2"/>
    <w:rsid w:val="00C971AF"/>
    <w:rsid w:val="00CA24FF"/>
    <w:rsid w:val="00CC0D2D"/>
    <w:rsid w:val="00CC17C0"/>
    <w:rsid w:val="00CC5F89"/>
    <w:rsid w:val="00CD2ADD"/>
    <w:rsid w:val="00CD2E18"/>
    <w:rsid w:val="00CD4ACC"/>
    <w:rsid w:val="00CE0066"/>
    <w:rsid w:val="00CE176A"/>
    <w:rsid w:val="00CE3401"/>
    <w:rsid w:val="00CE43AF"/>
    <w:rsid w:val="00CE5657"/>
    <w:rsid w:val="00CE6AA6"/>
    <w:rsid w:val="00CF4E47"/>
    <w:rsid w:val="00CF7C4B"/>
    <w:rsid w:val="00D01834"/>
    <w:rsid w:val="00D05732"/>
    <w:rsid w:val="00D07835"/>
    <w:rsid w:val="00D07BDA"/>
    <w:rsid w:val="00D133F8"/>
    <w:rsid w:val="00D14A3E"/>
    <w:rsid w:val="00D24235"/>
    <w:rsid w:val="00D26529"/>
    <w:rsid w:val="00D4067F"/>
    <w:rsid w:val="00D41FE3"/>
    <w:rsid w:val="00D441EA"/>
    <w:rsid w:val="00D55BC5"/>
    <w:rsid w:val="00D57652"/>
    <w:rsid w:val="00D63815"/>
    <w:rsid w:val="00D63EC9"/>
    <w:rsid w:val="00D7167C"/>
    <w:rsid w:val="00D71B65"/>
    <w:rsid w:val="00D71BB6"/>
    <w:rsid w:val="00D72212"/>
    <w:rsid w:val="00D7260E"/>
    <w:rsid w:val="00D748B8"/>
    <w:rsid w:val="00D763EA"/>
    <w:rsid w:val="00D8533A"/>
    <w:rsid w:val="00D91ED5"/>
    <w:rsid w:val="00D92704"/>
    <w:rsid w:val="00D92A44"/>
    <w:rsid w:val="00D951C2"/>
    <w:rsid w:val="00D9659B"/>
    <w:rsid w:val="00D97C2A"/>
    <w:rsid w:val="00DA45E3"/>
    <w:rsid w:val="00DB1298"/>
    <w:rsid w:val="00DB4760"/>
    <w:rsid w:val="00DB5B0F"/>
    <w:rsid w:val="00DC1BD3"/>
    <w:rsid w:val="00DC38D3"/>
    <w:rsid w:val="00DC65DD"/>
    <w:rsid w:val="00DD1B9B"/>
    <w:rsid w:val="00DE3076"/>
    <w:rsid w:val="00DF13C7"/>
    <w:rsid w:val="00DF5BF6"/>
    <w:rsid w:val="00DF5CE1"/>
    <w:rsid w:val="00E00E16"/>
    <w:rsid w:val="00E15056"/>
    <w:rsid w:val="00E151BD"/>
    <w:rsid w:val="00E151DD"/>
    <w:rsid w:val="00E2338F"/>
    <w:rsid w:val="00E3716B"/>
    <w:rsid w:val="00E40D0A"/>
    <w:rsid w:val="00E44BCF"/>
    <w:rsid w:val="00E44F06"/>
    <w:rsid w:val="00E47E99"/>
    <w:rsid w:val="00E527BA"/>
    <w:rsid w:val="00E5323B"/>
    <w:rsid w:val="00E63F19"/>
    <w:rsid w:val="00E64221"/>
    <w:rsid w:val="00E7732B"/>
    <w:rsid w:val="00E8749E"/>
    <w:rsid w:val="00E90C01"/>
    <w:rsid w:val="00EA1169"/>
    <w:rsid w:val="00EA31A7"/>
    <w:rsid w:val="00EA486E"/>
    <w:rsid w:val="00EB16F5"/>
    <w:rsid w:val="00EB208F"/>
    <w:rsid w:val="00EB3611"/>
    <w:rsid w:val="00EB66A2"/>
    <w:rsid w:val="00EB799C"/>
    <w:rsid w:val="00EC0EAC"/>
    <w:rsid w:val="00EC250E"/>
    <w:rsid w:val="00EC255D"/>
    <w:rsid w:val="00EC4831"/>
    <w:rsid w:val="00EC665A"/>
    <w:rsid w:val="00ED0D84"/>
    <w:rsid w:val="00ED3E0D"/>
    <w:rsid w:val="00ED77E5"/>
    <w:rsid w:val="00ED78FC"/>
    <w:rsid w:val="00EE32A5"/>
    <w:rsid w:val="00EF2B79"/>
    <w:rsid w:val="00EF2DC6"/>
    <w:rsid w:val="00EF3434"/>
    <w:rsid w:val="00EF4EA0"/>
    <w:rsid w:val="00EF6ED5"/>
    <w:rsid w:val="00F07412"/>
    <w:rsid w:val="00F16641"/>
    <w:rsid w:val="00F17996"/>
    <w:rsid w:val="00F21AD7"/>
    <w:rsid w:val="00F25D97"/>
    <w:rsid w:val="00F26E2E"/>
    <w:rsid w:val="00F33FE1"/>
    <w:rsid w:val="00F363CF"/>
    <w:rsid w:val="00F41DBC"/>
    <w:rsid w:val="00F43F69"/>
    <w:rsid w:val="00F50E12"/>
    <w:rsid w:val="00F552E2"/>
    <w:rsid w:val="00F57AE2"/>
    <w:rsid w:val="00F57B0C"/>
    <w:rsid w:val="00F57EC9"/>
    <w:rsid w:val="00F60A9A"/>
    <w:rsid w:val="00F60EDB"/>
    <w:rsid w:val="00F61AB2"/>
    <w:rsid w:val="00F6639F"/>
    <w:rsid w:val="00F70C13"/>
    <w:rsid w:val="00F7114B"/>
    <w:rsid w:val="00F7231C"/>
    <w:rsid w:val="00F830C8"/>
    <w:rsid w:val="00F83DAC"/>
    <w:rsid w:val="00F84C16"/>
    <w:rsid w:val="00F87155"/>
    <w:rsid w:val="00F920B6"/>
    <w:rsid w:val="00FA3025"/>
    <w:rsid w:val="00FA5FC0"/>
    <w:rsid w:val="00FC001F"/>
    <w:rsid w:val="00FC37B3"/>
    <w:rsid w:val="00FC415C"/>
    <w:rsid w:val="00FC56B7"/>
    <w:rsid w:val="00FC7B5D"/>
    <w:rsid w:val="00FD3156"/>
    <w:rsid w:val="00FD41CB"/>
    <w:rsid w:val="00FD79B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C077"/>
  <w15:docId w15:val="{B3A65C80-A3BB-46AC-9ABF-4BE15CE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B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D7F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nod">
    <w:name w:val="naisnod"/>
    <w:basedOn w:val="Normal"/>
    <w:rsid w:val="00EF343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E56"/>
    <w:pPr>
      <w:ind w:left="720"/>
      <w:contextualSpacing/>
    </w:pPr>
  </w:style>
  <w:style w:type="paragraph" w:customStyle="1" w:styleId="naisf">
    <w:name w:val="naisf"/>
    <w:basedOn w:val="Normal"/>
    <w:rsid w:val="002517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07BDA"/>
    <w:pPr>
      <w:spacing w:after="0" w:line="240" w:lineRule="auto"/>
    </w:pPr>
  </w:style>
  <w:style w:type="paragraph" w:customStyle="1" w:styleId="naislab">
    <w:name w:val="naislab"/>
    <w:basedOn w:val="Normal"/>
    <w:rsid w:val="007F1EC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D1B9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1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kumi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biedribas_lidzdaliba/tiesibu_aktu_projekti/nodoklu_politik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Baiba Šmite-Roķe</Vad_x012b_t_x0101_js>
    <TAP xmlns="49b0bb89-35b3-4114-9b1c-a376ef2ba045" xsi:nil="true"/>
    <Kategorija xmlns="2e5bb04e-596e-45bd-9003-43ca78b1ba16">Anotācija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286B-D4F2-4DDD-9C46-1146BF237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D674E-1387-4039-9922-8D9856D01A5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6168FD7D-98AE-4AF1-A115-4369EBD35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D6D69-3A57-4DDE-91C0-6CF22D4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7896</Words>
  <Characters>4502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“Grozījumi Ministru kabineta 2015.gada 12.maija noteikumos Nr.220 “Kārtība, kādā alkoholiskos dzērienus un tabakas izstrādājumus marķē ar akcīzes nodokļa markām” sākotnējās ietekmes novērtējuma ziņojums (anotācija)</vt:lpstr>
    </vt:vector>
  </TitlesOfParts>
  <Manager>VID APAD</Manager>
  <Company>Finanšu ministrija (Valsts ieņēmumu dienests)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“Grozījumi Ministru kabineta 2015.gada 12.maija noteikumos Nr.220 “Kārtība, kādā alkoholiskos dzērienus un tabakas izstrādājumus marķē ar akcīzes nodokļa markām” sākotnējās ietekmes novērtējuma ziņojums (anotācija)</dc:title>
  <dc:subject>Anotācija</dc:subject>
  <dc:creator>Jana Pavloviča</dc:creator>
  <dc:description>67120129, Jana.Pavlovica@vid.gov.lv</dc:description>
  <cp:lastModifiedBy>Inga Gertnere</cp:lastModifiedBy>
  <cp:revision>2</cp:revision>
  <cp:lastPrinted>2019-04-25T12:33:00Z</cp:lastPrinted>
  <dcterms:created xsi:type="dcterms:W3CDTF">2019-06-25T11:21:00Z</dcterms:created>
  <dcterms:modified xsi:type="dcterms:W3CDTF">2019-06-25T11:21:00Z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