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2C5A2" w14:textId="2E62044C" w:rsidR="000D2356" w:rsidRPr="000D2356" w:rsidRDefault="000E56B2" w:rsidP="000D2356">
      <w:pPr>
        <w:widowControl/>
        <w:shd w:val="clear" w:color="auto" w:fill="FFFFFF"/>
        <w:spacing w:before="100" w:beforeAutospacing="1" w:after="0" w:line="240" w:lineRule="auto"/>
        <w:jc w:val="center"/>
        <w:rPr>
          <w:rFonts w:eastAsia="Times New Roman"/>
          <w:sz w:val="24"/>
          <w:szCs w:val="24"/>
          <w:lang w:eastAsia="lv-LV"/>
        </w:rPr>
      </w:pPr>
      <w:bookmarkStart w:id="0" w:name="b"/>
      <w:bookmarkStart w:id="1" w:name="_GoBack"/>
      <w:bookmarkEnd w:id="0"/>
      <w:bookmarkEnd w:id="1"/>
      <w:r w:rsidRPr="000D2356">
        <w:rPr>
          <w:rFonts w:eastAsia="Times New Roman"/>
          <w:b/>
          <w:bCs/>
          <w:szCs w:val="24"/>
          <w:lang w:eastAsia="lv-LV"/>
        </w:rPr>
        <w:t>Likumprojekta “Grozījumi likumā</w:t>
      </w:r>
      <w:r w:rsidR="00C46531">
        <w:rPr>
          <w:rFonts w:eastAsia="Times New Roman"/>
          <w:b/>
          <w:bCs/>
          <w:szCs w:val="24"/>
          <w:lang w:eastAsia="lv-LV"/>
        </w:rPr>
        <w:t xml:space="preserve"> </w:t>
      </w:r>
      <w:r w:rsidR="003E732F">
        <w:rPr>
          <w:rFonts w:eastAsia="Times New Roman"/>
          <w:b/>
          <w:bCs/>
          <w:szCs w:val="24"/>
          <w:lang w:eastAsia="lv-LV"/>
        </w:rPr>
        <w:t>“</w:t>
      </w:r>
      <w:r w:rsidR="00C46531">
        <w:rPr>
          <w:rFonts w:eastAsia="Times New Roman"/>
          <w:b/>
          <w:bCs/>
          <w:szCs w:val="24"/>
          <w:lang w:eastAsia="lv-LV"/>
        </w:rPr>
        <w:t>Par grāmatvedību</w:t>
      </w:r>
      <w:r w:rsidR="003E732F">
        <w:rPr>
          <w:rFonts w:eastAsia="Times New Roman"/>
          <w:b/>
          <w:bCs/>
          <w:szCs w:val="24"/>
          <w:lang w:eastAsia="lv-LV"/>
        </w:rPr>
        <w:t>”</w:t>
      </w:r>
      <w:r w:rsidRPr="000D2356">
        <w:rPr>
          <w:rFonts w:eastAsia="Times New Roman"/>
          <w:b/>
          <w:bCs/>
          <w:szCs w:val="24"/>
          <w:lang w:eastAsia="lv-LV"/>
        </w:rPr>
        <w:t>” sākotnējās ietekmes novērtējuma ziņojums (anotācija)</w:t>
      </w:r>
    </w:p>
    <w:p w14:paraId="3F84BE6E" w14:textId="77777777" w:rsidR="000D2356" w:rsidRPr="000D2356" w:rsidRDefault="000E56B2" w:rsidP="000D2356">
      <w:pPr>
        <w:widowControl/>
        <w:shd w:val="clear" w:color="auto" w:fill="FFFFFF"/>
        <w:spacing w:before="100" w:beforeAutospacing="1" w:after="0" w:line="240" w:lineRule="auto"/>
        <w:jc w:val="center"/>
        <w:rPr>
          <w:rFonts w:eastAsia="Times New Roman"/>
          <w:sz w:val="24"/>
          <w:szCs w:val="24"/>
          <w:lang w:eastAsia="lv-LV"/>
        </w:rPr>
      </w:pPr>
      <w:r w:rsidRPr="000D2356">
        <w:rPr>
          <w:rFonts w:eastAsia="Times New Roman"/>
          <w:b/>
          <w:bCs/>
          <w:szCs w:val="24"/>
          <w:lang w:eastAsia="lv-LV"/>
        </w:rPr>
        <w:t> </w:t>
      </w:r>
    </w:p>
    <w:tbl>
      <w:tblPr>
        <w:tblW w:w="9915"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65"/>
        <w:gridCol w:w="7350"/>
      </w:tblGrid>
      <w:tr w:rsidR="0005440F" w14:paraId="6F050F42" w14:textId="77777777" w:rsidTr="004F4A43">
        <w:trPr>
          <w:tblCellSpacing w:w="15" w:type="dxa"/>
        </w:trPr>
        <w:tc>
          <w:tcPr>
            <w:tcW w:w="9855" w:type="dxa"/>
            <w:gridSpan w:val="2"/>
            <w:tcBorders>
              <w:top w:val="outset" w:sz="6" w:space="0" w:color="auto"/>
              <w:left w:val="outset" w:sz="6" w:space="0" w:color="auto"/>
              <w:bottom w:val="outset" w:sz="6" w:space="0" w:color="auto"/>
              <w:right w:val="outset" w:sz="6" w:space="0" w:color="auto"/>
            </w:tcBorders>
            <w:hideMark/>
          </w:tcPr>
          <w:p w14:paraId="628A4EFC" w14:textId="77777777" w:rsidR="000D2356" w:rsidRPr="000D2356" w:rsidRDefault="000E56B2" w:rsidP="000D2356">
            <w:pPr>
              <w:widowControl/>
              <w:spacing w:before="100" w:beforeAutospacing="1" w:after="0" w:line="240" w:lineRule="auto"/>
              <w:rPr>
                <w:rFonts w:eastAsia="Times New Roman"/>
                <w:sz w:val="24"/>
                <w:szCs w:val="24"/>
                <w:lang w:eastAsia="lv-LV"/>
              </w:rPr>
            </w:pPr>
            <w:r w:rsidRPr="000D2356">
              <w:rPr>
                <w:rFonts w:eastAsia="Times New Roman"/>
                <w:b/>
                <w:bCs/>
                <w:iCs/>
                <w:sz w:val="24"/>
                <w:szCs w:val="24"/>
                <w:lang w:eastAsia="lv-LV"/>
              </w:rPr>
              <w:t>Tiesību akta projekta anotācijas kopsavilkums</w:t>
            </w:r>
          </w:p>
        </w:tc>
      </w:tr>
      <w:tr w:rsidR="0005440F" w14:paraId="132F9501" w14:textId="77777777" w:rsidTr="004F4A43">
        <w:trPr>
          <w:tblCellSpacing w:w="15" w:type="dxa"/>
        </w:trPr>
        <w:tc>
          <w:tcPr>
            <w:tcW w:w="2520" w:type="dxa"/>
            <w:tcBorders>
              <w:top w:val="outset" w:sz="6" w:space="0" w:color="auto"/>
              <w:left w:val="outset" w:sz="6" w:space="0" w:color="auto"/>
              <w:bottom w:val="outset" w:sz="6" w:space="0" w:color="auto"/>
              <w:right w:val="outset" w:sz="6" w:space="0" w:color="auto"/>
            </w:tcBorders>
            <w:hideMark/>
          </w:tcPr>
          <w:p w14:paraId="30273E87" w14:textId="77777777" w:rsidR="000D2356" w:rsidRPr="000D2356" w:rsidRDefault="000E56B2" w:rsidP="000D2356">
            <w:pPr>
              <w:widowControl/>
              <w:spacing w:before="100" w:beforeAutospacing="1" w:after="0" w:line="240" w:lineRule="auto"/>
              <w:rPr>
                <w:rFonts w:eastAsia="Times New Roman"/>
                <w:sz w:val="24"/>
                <w:szCs w:val="24"/>
                <w:lang w:eastAsia="lv-LV"/>
              </w:rPr>
            </w:pPr>
            <w:r w:rsidRPr="000D2356">
              <w:rPr>
                <w:rFonts w:eastAsia="Times New Roman"/>
                <w:iCs/>
                <w:sz w:val="24"/>
                <w:szCs w:val="24"/>
                <w:lang w:eastAsia="lv-LV"/>
              </w:rPr>
              <w:t>Mērķis, risinājums un projekta spēkā stāšanās laiks</w:t>
            </w:r>
          </w:p>
        </w:tc>
        <w:tc>
          <w:tcPr>
            <w:tcW w:w="7305" w:type="dxa"/>
            <w:tcBorders>
              <w:top w:val="outset" w:sz="6" w:space="0" w:color="auto"/>
              <w:left w:val="outset" w:sz="6" w:space="0" w:color="auto"/>
              <w:bottom w:val="outset" w:sz="6" w:space="0" w:color="auto"/>
              <w:right w:val="outset" w:sz="6" w:space="0" w:color="auto"/>
            </w:tcBorders>
            <w:hideMark/>
          </w:tcPr>
          <w:p w14:paraId="68EE9FB4" w14:textId="2E931EF7" w:rsidR="000D2356" w:rsidRPr="000D2356" w:rsidRDefault="000E56B2" w:rsidP="00274AB9">
            <w:pPr>
              <w:widowControl/>
              <w:spacing w:before="100" w:beforeAutospacing="1" w:after="0" w:line="240" w:lineRule="auto"/>
              <w:ind w:firstLine="361"/>
              <w:jc w:val="both"/>
              <w:rPr>
                <w:rFonts w:eastAsia="Times New Roman"/>
                <w:sz w:val="24"/>
                <w:szCs w:val="24"/>
                <w:lang w:eastAsia="lv-LV"/>
              </w:rPr>
            </w:pPr>
            <w:r w:rsidRPr="000D2356">
              <w:rPr>
                <w:rFonts w:eastAsia="Times New Roman"/>
                <w:iCs/>
                <w:sz w:val="24"/>
                <w:szCs w:val="24"/>
                <w:lang w:eastAsia="lv-LV"/>
              </w:rPr>
              <w:t>Likumprojekts izstrādāts</w:t>
            </w:r>
            <w:r w:rsidR="00841459">
              <w:rPr>
                <w:rFonts w:eastAsia="Times New Roman"/>
                <w:iCs/>
                <w:sz w:val="24"/>
                <w:szCs w:val="24"/>
                <w:lang w:eastAsia="lv-LV"/>
              </w:rPr>
              <w:t>, lai</w:t>
            </w:r>
            <w:r w:rsidR="00821CCC">
              <w:rPr>
                <w:rFonts w:eastAsia="Times New Roman"/>
                <w:iCs/>
                <w:sz w:val="24"/>
                <w:szCs w:val="24"/>
                <w:lang w:eastAsia="lv-LV"/>
              </w:rPr>
              <w:t xml:space="preserve"> ieviest</w:t>
            </w:r>
            <w:r w:rsidR="00841459">
              <w:rPr>
                <w:rFonts w:eastAsia="Times New Roman"/>
                <w:iCs/>
                <w:sz w:val="24"/>
                <w:szCs w:val="24"/>
                <w:lang w:eastAsia="lv-LV"/>
              </w:rPr>
              <w:t>u</w:t>
            </w:r>
            <w:r w:rsidR="00821CCC">
              <w:rPr>
                <w:rFonts w:eastAsia="Times New Roman"/>
                <w:iCs/>
                <w:sz w:val="24"/>
                <w:szCs w:val="24"/>
                <w:lang w:eastAsia="lv-LV"/>
              </w:rPr>
              <w:t xml:space="preserve"> Eiropas Padomes Moneyval ekspertu rekomendācijas, sakārtot</w:t>
            </w:r>
            <w:r w:rsidR="000B1784">
              <w:rPr>
                <w:rFonts w:eastAsia="Times New Roman"/>
                <w:iCs/>
                <w:sz w:val="24"/>
                <w:szCs w:val="24"/>
                <w:lang w:eastAsia="lv-LV"/>
              </w:rPr>
              <w:t>u</w:t>
            </w:r>
            <w:r w:rsidR="00821CCC">
              <w:rPr>
                <w:rFonts w:eastAsia="Times New Roman"/>
                <w:iCs/>
                <w:sz w:val="24"/>
                <w:szCs w:val="24"/>
                <w:lang w:eastAsia="lv-LV"/>
              </w:rPr>
              <w:t xml:space="preserve"> grāmatvedības ārpakalpojumu nozari,</w:t>
            </w:r>
            <w:r w:rsidRPr="000D2356">
              <w:rPr>
                <w:rFonts w:eastAsia="Times New Roman"/>
                <w:iCs/>
                <w:sz w:val="24"/>
                <w:szCs w:val="24"/>
                <w:lang w:eastAsia="lv-LV"/>
              </w:rPr>
              <w:t xml:space="preserve"> </w:t>
            </w:r>
            <w:r w:rsidR="00821CCC">
              <w:rPr>
                <w:rFonts w:eastAsia="Times New Roman"/>
                <w:iCs/>
                <w:sz w:val="24"/>
                <w:szCs w:val="24"/>
                <w:lang w:eastAsia="lv-LV"/>
              </w:rPr>
              <w:t>celt</w:t>
            </w:r>
            <w:r w:rsidR="000B1784">
              <w:rPr>
                <w:rFonts w:eastAsia="Times New Roman"/>
                <w:iCs/>
                <w:sz w:val="24"/>
                <w:szCs w:val="24"/>
                <w:lang w:eastAsia="lv-LV"/>
              </w:rPr>
              <w:t>u</w:t>
            </w:r>
            <w:r w:rsidR="00821CCC">
              <w:rPr>
                <w:rFonts w:eastAsia="Times New Roman"/>
                <w:iCs/>
                <w:sz w:val="24"/>
                <w:szCs w:val="24"/>
                <w:lang w:eastAsia="lv-LV"/>
              </w:rPr>
              <w:t xml:space="preserve"> grāmatvedības pakalpojumu kvalitāti</w:t>
            </w:r>
            <w:r w:rsidR="000B1784">
              <w:rPr>
                <w:rFonts w:eastAsia="Times New Roman"/>
                <w:iCs/>
                <w:sz w:val="24"/>
                <w:szCs w:val="24"/>
                <w:lang w:eastAsia="lv-LV"/>
              </w:rPr>
              <w:t xml:space="preserve"> un</w:t>
            </w:r>
            <w:r w:rsidR="00821CCC">
              <w:rPr>
                <w:rFonts w:eastAsia="Times New Roman"/>
                <w:iCs/>
                <w:sz w:val="24"/>
                <w:szCs w:val="24"/>
                <w:lang w:eastAsia="lv-LV"/>
              </w:rPr>
              <w:t xml:space="preserve"> mazināt</w:t>
            </w:r>
            <w:r w:rsidR="000B1784">
              <w:rPr>
                <w:rFonts w:eastAsia="Times New Roman"/>
                <w:iCs/>
                <w:sz w:val="24"/>
                <w:szCs w:val="24"/>
                <w:lang w:eastAsia="lv-LV"/>
              </w:rPr>
              <w:t>u</w:t>
            </w:r>
            <w:r w:rsidR="00821CCC">
              <w:rPr>
                <w:rFonts w:eastAsia="Times New Roman"/>
                <w:iCs/>
                <w:sz w:val="24"/>
                <w:szCs w:val="24"/>
                <w:lang w:eastAsia="lv-LV"/>
              </w:rPr>
              <w:t xml:space="preserve"> ēnu ekonomiku</w:t>
            </w:r>
            <w:r w:rsidR="000B1784">
              <w:rPr>
                <w:rFonts w:eastAsia="Times New Roman"/>
                <w:iCs/>
                <w:sz w:val="24"/>
                <w:szCs w:val="24"/>
                <w:lang w:eastAsia="lv-LV"/>
              </w:rPr>
              <w:t>.</w:t>
            </w:r>
            <w:r w:rsidR="0028468D">
              <w:rPr>
                <w:rFonts w:eastAsia="Times New Roman"/>
                <w:iCs/>
                <w:sz w:val="24"/>
                <w:szCs w:val="24"/>
                <w:lang w:eastAsia="lv-LV"/>
              </w:rPr>
              <w:t xml:space="preserve"> Likumprojekts paredz ieviest ārpakalpojuma grāmatvežu licencēšanu.</w:t>
            </w:r>
          </w:p>
          <w:p w14:paraId="2571A0B9" w14:textId="7A8B4769" w:rsidR="000D2356" w:rsidRPr="000D2356" w:rsidRDefault="000E56B2" w:rsidP="00145861">
            <w:pPr>
              <w:widowControl/>
              <w:spacing w:before="100" w:beforeAutospacing="1" w:after="0" w:line="240" w:lineRule="auto"/>
              <w:ind w:firstLine="361"/>
              <w:jc w:val="both"/>
              <w:rPr>
                <w:rFonts w:eastAsia="Times New Roman"/>
                <w:sz w:val="24"/>
                <w:szCs w:val="24"/>
                <w:lang w:eastAsia="lv-LV"/>
              </w:rPr>
            </w:pPr>
            <w:r>
              <w:rPr>
                <w:rFonts w:eastAsia="Times New Roman"/>
                <w:iCs/>
                <w:sz w:val="24"/>
                <w:szCs w:val="24"/>
                <w:lang w:eastAsia="lv-LV"/>
              </w:rPr>
              <w:t xml:space="preserve">Likums stājas </w:t>
            </w:r>
            <w:r w:rsidRPr="00211875">
              <w:rPr>
                <w:rFonts w:eastAsia="Times New Roman"/>
                <w:iCs/>
                <w:sz w:val="24"/>
                <w:szCs w:val="24"/>
                <w:lang w:eastAsia="lv-LV"/>
              </w:rPr>
              <w:t xml:space="preserve">spēkā </w:t>
            </w:r>
            <w:r w:rsidR="00211875" w:rsidRPr="00211875">
              <w:rPr>
                <w:rFonts w:eastAsia="Times New Roman"/>
                <w:iCs/>
                <w:sz w:val="24"/>
                <w:szCs w:val="24"/>
                <w:lang w:eastAsia="lv-LV"/>
              </w:rPr>
              <w:t>20</w:t>
            </w:r>
            <w:r w:rsidR="00211875" w:rsidRPr="008B01AB">
              <w:rPr>
                <w:rFonts w:eastAsia="Times New Roman"/>
                <w:iCs/>
                <w:sz w:val="24"/>
                <w:szCs w:val="24"/>
                <w:lang w:eastAsia="lv-LV"/>
              </w:rPr>
              <w:t>20</w:t>
            </w:r>
            <w:r w:rsidRPr="00211875">
              <w:rPr>
                <w:rFonts w:eastAsia="Times New Roman"/>
                <w:iCs/>
                <w:sz w:val="24"/>
                <w:szCs w:val="24"/>
                <w:lang w:eastAsia="lv-LV"/>
              </w:rPr>
              <w:t>.</w:t>
            </w:r>
            <w:r w:rsidR="007146EA" w:rsidRPr="00211875">
              <w:rPr>
                <w:rFonts w:eastAsia="Times New Roman"/>
                <w:iCs/>
                <w:sz w:val="24"/>
                <w:szCs w:val="24"/>
                <w:lang w:eastAsia="lv-LV"/>
              </w:rPr>
              <w:t>gada</w:t>
            </w:r>
            <w:r w:rsidR="00167198" w:rsidRPr="00211875">
              <w:rPr>
                <w:rFonts w:eastAsia="Times New Roman"/>
                <w:iCs/>
                <w:sz w:val="24"/>
                <w:szCs w:val="24"/>
                <w:lang w:eastAsia="lv-LV"/>
              </w:rPr>
              <w:t xml:space="preserve"> </w:t>
            </w:r>
            <w:r w:rsidR="00211875" w:rsidRPr="00211875">
              <w:rPr>
                <w:rFonts w:eastAsia="Times New Roman"/>
                <w:iCs/>
                <w:sz w:val="24"/>
                <w:szCs w:val="24"/>
                <w:lang w:eastAsia="lv-LV"/>
              </w:rPr>
              <w:t>1.janvārī</w:t>
            </w:r>
            <w:r w:rsidRPr="00211875">
              <w:rPr>
                <w:rFonts w:eastAsia="Times New Roman"/>
                <w:iCs/>
                <w:sz w:val="24"/>
                <w:szCs w:val="24"/>
                <w:lang w:eastAsia="lv-LV"/>
              </w:rPr>
              <w:t>.</w:t>
            </w:r>
            <w:r w:rsidR="007146EA" w:rsidRPr="00211875">
              <w:rPr>
                <w:rFonts w:eastAsia="Times New Roman"/>
                <w:iCs/>
                <w:sz w:val="24"/>
                <w:szCs w:val="24"/>
                <w:lang w:eastAsia="lv-LV"/>
              </w:rPr>
              <w:t xml:space="preserve"> </w:t>
            </w:r>
            <w:r w:rsidR="00274AB9">
              <w:rPr>
                <w:rFonts w:eastAsia="Times New Roman"/>
                <w:iCs/>
                <w:sz w:val="24"/>
                <w:szCs w:val="24"/>
                <w:lang w:eastAsia="lv-LV"/>
              </w:rPr>
              <w:t>P</w:t>
            </w:r>
            <w:r w:rsidR="007146EA" w:rsidRPr="00211875">
              <w:rPr>
                <w:rFonts w:eastAsia="Times New Roman"/>
                <w:iCs/>
                <w:sz w:val="24"/>
                <w:szCs w:val="24"/>
                <w:lang w:eastAsia="lv-LV"/>
              </w:rPr>
              <w:t>ārejas period</w:t>
            </w:r>
            <w:r w:rsidR="007D6A9D">
              <w:rPr>
                <w:rFonts w:eastAsia="Times New Roman"/>
                <w:iCs/>
                <w:sz w:val="24"/>
                <w:szCs w:val="24"/>
                <w:lang w:eastAsia="lv-LV"/>
              </w:rPr>
              <w:t>ā</w:t>
            </w:r>
            <w:r w:rsidR="008C2567" w:rsidRPr="00667723">
              <w:rPr>
                <w:rFonts w:eastAsia="Times New Roman"/>
                <w:iCs/>
                <w:sz w:val="24"/>
                <w:szCs w:val="24"/>
                <w:lang w:eastAsia="lv-LV"/>
              </w:rPr>
              <w:t xml:space="preserve"> ārpakalpojumu</w:t>
            </w:r>
            <w:r w:rsidR="008C2567">
              <w:rPr>
                <w:rFonts w:eastAsia="Times New Roman"/>
                <w:iCs/>
                <w:sz w:val="24"/>
                <w:szCs w:val="24"/>
                <w:lang w:eastAsia="lv-LV"/>
              </w:rPr>
              <w:t xml:space="preserve"> grāmatveži</w:t>
            </w:r>
            <w:r w:rsidR="007D6A9D">
              <w:rPr>
                <w:rFonts w:eastAsia="Times New Roman"/>
                <w:iCs/>
                <w:sz w:val="24"/>
                <w:szCs w:val="24"/>
                <w:lang w:eastAsia="lv-LV"/>
              </w:rPr>
              <w:t xml:space="preserve"> varēs</w:t>
            </w:r>
            <w:r w:rsidR="00274AB9">
              <w:rPr>
                <w:rFonts w:eastAsia="Times New Roman"/>
                <w:iCs/>
                <w:sz w:val="24"/>
                <w:szCs w:val="24"/>
                <w:lang w:eastAsia="lv-LV"/>
              </w:rPr>
              <w:t xml:space="preserve"> </w:t>
            </w:r>
            <w:r w:rsidR="008C2567">
              <w:rPr>
                <w:rFonts w:eastAsia="Times New Roman"/>
                <w:iCs/>
                <w:sz w:val="24"/>
                <w:szCs w:val="24"/>
                <w:lang w:eastAsia="lv-LV"/>
              </w:rPr>
              <w:t xml:space="preserve">turpināt grāmatvedības pakalpojumu sniegšanu bez licences </w:t>
            </w:r>
            <w:r w:rsidR="007B5256">
              <w:rPr>
                <w:rFonts w:eastAsia="Times New Roman"/>
                <w:iCs/>
                <w:sz w:val="24"/>
                <w:szCs w:val="24"/>
                <w:lang w:eastAsia="lv-LV"/>
              </w:rPr>
              <w:t xml:space="preserve">līdz </w:t>
            </w:r>
            <w:r w:rsidR="00274AB9">
              <w:rPr>
                <w:rFonts w:eastAsia="Times New Roman"/>
                <w:iCs/>
                <w:sz w:val="24"/>
                <w:szCs w:val="24"/>
                <w:lang w:eastAsia="lv-LV"/>
              </w:rPr>
              <w:t>tās saņemšanai</w:t>
            </w:r>
            <w:r w:rsidR="00145861">
              <w:rPr>
                <w:rFonts w:eastAsia="Times New Roman"/>
                <w:iCs/>
                <w:sz w:val="24"/>
                <w:szCs w:val="24"/>
                <w:lang w:eastAsia="lv-LV"/>
              </w:rPr>
              <w:t>.</w:t>
            </w:r>
            <w:r w:rsidR="004A75C9">
              <w:rPr>
                <w:rFonts w:eastAsia="Times New Roman"/>
                <w:iCs/>
                <w:sz w:val="24"/>
                <w:szCs w:val="24"/>
                <w:lang w:eastAsia="lv-LV"/>
              </w:rPr>
              <w:t xml:space="preserve"> </w:t>
            </w:r>
          </w:p>
        </w:tc>
      </w:tr>
    </w:tbl>
    <w:p w14:paraId="2373F8E5" w14:textId="77777777" w:rsidR="000D2356" w:rsidRPr="000D2356" w:rsidRDefault="000E56B2" w:rsidP="000D2356">
      <w:pPr>
        <w:widowControl/>
        <w:spacing w:before="100" w:beforeAutospacing="1" w:after="0" w:line="240" w:lineRule="auto"/>
        <w:rPr>
          <w:rFonts w:eastAsia="Times New Roman"/>
          <w:sz w:val="24"/>
          <w:szCs w:val="24"/>
          <w:lang w:eastAsia="lv-LV"/>
        </w:rPr>
      </w:pPr>
      <w:r w:rsidRPr="000D2356">
        <w:rPr>
          <w:rFonts w:eastAsia="Times New Roman"/>
          <w:iCs/>
          <w:sz w:val="24"/>
          <w:szCs w:val="24"/>
          <w:lang w:eastAsia="lv-LV"/>
        </w:rPr>
        <w:t xml:space="preserve">  </w:t>
      </w:r>
    </w:p>
    <w:tbl>
      <w:tblPr>
        <w:tblW w:w="9915"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85" w:type="dxa"/>
          <w:bottom w:w="30" w:type="dxa"/>
          <w:right w:w="85" w:type="dxa"/>
        </w:tblCellMar>
        <w:tblLook w:val="04A0" w:firstRow="1" w:lastRow="0" w:firstColumn="1" w:lastColumn="0" w:noHBand="0" w:noVBand="1"/>
      </w:tblPr>
      <w:tblGrid>
        <w:gridCol w:w="500"/>
        <w:gridCol w:w="2032"/>
        <w:gridCol w:w="7383"/>
      </w:tblGrid>
      <w:tr w:rsidR="0005440F" w14:paraId="72577986" w14:textId="77777777" w:rsidTr="004F4A43">
        <w:trPr>
          <w:tblCellSpacing w:w="15" w:type="dxa"/>
        </w:trPr>
        <w:tc>
          <w:tcPr>
            <w:tcW w:w="9855" w:type="dxa"/>
            <w:gridSpan w:val="3"/>
            <w:tcBorders>
              <w:top w:val="outset" w:sz="6" w:space="0" w:color="auto"/>
              <w:left w:val="outset" w:sz="6" w:space="0" w:color="auto"/>
              <w:bottom w:val="outset" w:sz="6" w:space="0" w:color="auto"/>
              <w:right w:val="outset" w:sz="6" w:space="0" w:color="auto"/>
            </w:tcBorders>
            <w:hideMark/>
          </w:tcPr>
          <w:p w14:paraId="33201F24" w14:textId="77777777" w:rsidR="000D2356" w:rsidRPr="000D2356" w:rsidRDefault="000E56B2" w:rsidP="000D2356">
            <w:pPr>
              <w:widowControl/>
              <w:spacing w:before="100" w:beforeAutospacing="1" w:after="0" w:line="240" w:lineRule="auto"/>
              <w:rPr>
                <w:rFonts w:eastAsia="Times New Roman"/>
                <w:sz w:val="24"/>
                <w:szCs w:val="24"/>
                <w:lang w:eastAsia="lv-LV"/>
              </w:rPr>
            </w:pPr>
            <w:r w:rsidRPr="000D2356">
              <w:rPr>
                <w:rFonts w:eastAsia="Times New Roman"/>
                <w:b/>
                <w:bCs/>
                <w:iCs/>
                <w:sz w:val="24"/>
                <w:szCs w:val="24"/>
                <w:lang w:eastAsia="lv-LV"/>
              </w:rPr>
              <w:t>I. Tiesību akta projekta izstrādes nepieciešamība</w:t>
            </w:r>
          </w:p>
        </w:tc>
      </w:tr>
      <w:tr w:rsidR="0005440F" w14:paraId="60198728" w14:textId="77777777" w:rsidTr="004F4A43">
        <w:trPr>
          <w:tblCellSpacing w:w="15" w:type="dxa"/>
        </w:trPr>
        <w:tc>
          <w:tcPr>
            <w:tcW w:w="455" w:type="dxa"/>
            <w:tcBorders>
              <w:top w:val="outset" w:sz="6" w:space="0" w:color="auto"/>
              <w:left w:val="outset" w:sz="6" w:space="0" w:color="auto"/>
              <w:bottom w:val="outset" w:sz="6" w:space="0" w:color="auto"/>
              <w:right w:val="outset" w:sz="6" w:space="0" w:color="auto"/>
            </w:tcBorders>
            <w:hideMark/>
          </w:tcPr>
          <w:p w14:paraId="20DDF488" w14:textId="77777777" w:rsidR="000D2356" w:rsidRPr="000D2356" w:rsidRDefault="000E56B2" w:rsidP="000D2356">
            <w:pPr>
              <w:widowControl/>
              <w:spacing w:before="100" w:beforeAutospacing="1" w:after="0" w:line="240" w:lineRule="auto"/>
              <w:rPr>
                <w:rFonts w:eastAsia="Times New Roman"/>
                <w:sz w:val="24"/>
                <w:szCs w:val="24"/>
                <w:lang w:eastAsia="lv-LV"/>
              </w:rPr>
            </w:pPr>
            <w:r w:rsidRPr="000D2356">
              <w:rPr>
                <w:rFonts w:eastAsia="Times New Roman"/>
                <w:iCs/>
                <w:sz w:val="24"/>
                <w:szCs w:val="24"/>
                <w:lang w:eastAsia="lv-LV"/>
              </w:rPr>
              <w:t>1.</w:t>
            </w:r>
          </w:p>
        </w:tc>
        <w:tc>
          <w:tcPr>
            <w:tcW w:w="2002" w:type="dxa"/>
            <w:tcBorders>
              <w:top w:val="outset" w:sz="6" w:space="0" w:color="auto"/>
              <w:left w:val="outset" w:sz="6" w:space="0" w:color="auto"/>
              <w:bottom w:val="outset" w:sz="6" w:space="0" w:color="auto"/>
              <w:right w:val="outset" w:sz="6" w:space="0" w:color="auto"/>
            </w:tcBorders>
            <w:hideMark/>
          </w:tcPr>
          <w:p w14:paraId="7DFAB9C7" w14:textId="77777777" w:rsidR="000D2356" w:rsidRPr="000D2356" w:rsidRDefault="000E56B2" w:rsidP="000D2356">
            <w:pPr>
              <w:widowControl/>
              <w:spacing w:before="100" w:beforeAutospacing="1" w:after="0" w:line="240" w:lineRule="auto"/>
              <w:rPr>
                <w:rFonts w:eastAsia="Times New Roman"/>
                <w:sz w:val="24"/>
                <w:szCs w:val="24"/>
                <w:lang w:eastAsia="lv-LV"/>
              </w:rPr>
            </w:pPr>
            <w:r w:rsidRPr="000D2356">
              <w:rPr>
                <w:rFonts w:eastAsia="Times New Roman"/>
                <w:iCs/>
                <w:sz w:val="24"/>
                <w:szCs w:val="24"/>
                <w:lang w:eastAsia="lv-LV"/>
              </w:rPr>
              <w:t>Pamatojums</w:t>
            </w:r>
          </w:p>
        </w:tc>
        <w:tc>
          <w:tcPr>
            <w:tcW w:w="7338" w:type="dxa"/>
            <w:tcBorders>
              <w:top w:val="outset" w:sz="6" w:space="0" w:color="auto"/>
              <w:left w:val="outset" w:sz="6" w:space="0" w:color="auto"/>
              <w:bottom w:val="outset" w:sz="6" w:space="0" w:color="auto"/>
              <w:right w:val="outset" w:sz="6" w:space="0" w:color="auto"/>
            </w:tcBorders>
            <w:hideMark/>
          </w:tcPr>
          <w:p w14:paraId="16B60639" w14:textId="5B595C15" w:rsidR="000D2356" w:rsidRPr="000D2356" w:rsidRDefault="000E56B2" w:rsidP="00526AAF">
            <w:pPr>
              <w:widowControl/>
              <w:spacing w:after="0" w:line="240" w:lineRule="auto"/>
              <w:jc w:val="both"/>
              <w:rPr>
                <w:rFonts w:eastAsia="Times New Roman"/>
                <w:sz w:val="24"/>
                <w:szCs w:val="24"/>
                <w:lang w:eastAsia="lv-LV"/>
              </w:rPr>
            </w:pPr>
            <w:r>
              <w:rPr>
                <w:rFonts w:eastAsia="Times New Roman"/>
                <w:iCs/>
                <w:sz w:val="24"/>
                <w:szCs w:val="24"/>
                <w:lang w:eastAsia="lv-LV"/>
              </w:rPr>
              <w:t xml:space="preserve">Uzdevums </w:t>
            </w:r>
            <w:r w:rsidR="00E73483">
              <w:rPr>
                <w:rFonts w:eastAsia="Times New Roman"/>
                <w:iCs/>
                <w:sz w:val="24"/>
                <w:szCs w:val="24"/>
                <w:lang w:eastAsia="lv-LV"/>
              </w:rPr>
              <w:t>i</w:t>
            </w:r>
            <w:r w:rsidR="00E73483" w:rsidRPr="00E73483">
              <w:rPr>
                <w:rFonts w:eastAsia="Times New Roman"/>
                <w:sz w:val="24"/>
                <w:szCs w:val="24"/>
                <w:lang w:eastAsia="lv-LV"/>
              </w:rPr>
              <w:t>zstrādāt priekšlikumus Noziedzīgi iegūtu līdzekļu legalizācijas un terorisma finansēšanas novēršanas</w:t>
            </w:r>
            <w:r w:rsidR="00E24BD3">
              <w:rPr>
                <w:rFonts w:eastAsia="Times New Roman"/>
                <w:sz w:val="24"/>
                <w:szCs w:val="24"/>
                <w:lang w:eastAsia="lv-LV"/>
              </w:rPr>
              <w:t xml:space="preserve"> (turpmāk </w:t>
            </w:r>
            <w:r w:rsidR="00E24BD3">
              <w:rPr>
                <w:rFonts w:eastAsia="Times New Roman"/>
                <w:sz w:val="24"/>
                <w:szCs w:val="24"/>
                <w:lang w:eastAsia="lv-LV"/>
              </w:rPr>
              <w:noBreakHyphen/>
              <w:t> NILLTFN)</w:t>
            </w:r>
            <w:r w:rsidR="00E73483" w:rsidRPr="00E73483">
              <w:rPr>
                <w:rFonts w:eastAsia="Times New Roman"/>
                <w:sz w:val="24"/>
                <w:szCs w:val="24"/>
                <w:lang w:eastAsia="lv-LV"/>
              </w:rPr>
              <w:t xml:space="preserve"> likum</w:t>
            </w:r>
            <w:r w:rsidR="00E73483">
              <w:rPr>
                <w:rFonts w:eastAsia="Times New Roman"/>
                <w:sz w:val="24"/>
                <w:szCs w:val="24"/>
                <w:lang w:eastAsia="lv-LV"/>
              </w:rPr>
              <w:t xml:space="preserve">a </w:t>
            </w:r>
            <w:r w:rsidR="00E73483" w:rsidRPr="00E73483">
              <w:rPr>
                <w:rFonts w:eastAsia="Times New Roman"/>
                <w:sz w:val="24"/>
                <w:szCs w:val="24"/>
                <w:lang w:eastAsia="lv-LV"/>
              </w:rPr>
              <w:t>subjektu šobrīd neregulēto nozaru licencēšanai vai profesiju organizēšanai</w:t>
            </w:r>
            <w:r w:rsidR="00E73483">
              <w:rPr>
                <w:rFonts w:eastAsia="Times New Roman"/>
                <w:sz w:val="24"/>
                <w:szCs w:val="24"/>
                <w:lang w:eastAsia="lv-LV"/>
              </w:rPr>
              <w:t xml:space="preserve"> (</w:t>
            </w:r>
            <w:r w:rsidR="005D12B9">
              <w:rPr>
                <w:rFonts w:eastAsia="Times New Roman"/>
                <w:sz w:val="24"/>
                <w:szCs w:val="24"/>
                <w:lang w:eastAsia="lv-LV"/>
              </w:rPr>
              <w:t xml:space="preserve">t.sk. </w:t>
            </w:r>
            <w:r w:rsidR="005D12B9" w:rsidRPr="00E73483">
              <w:rPr>
                <w:rFonts w:eastAsia="Times New Roman"/>
                <w:sz w:val="24"/>
                <w:szCs w:val="24"/>
                <w:lang w:eastAsia="lv-LV"/>
              </w:rPr>
              <w:t>ārpakalpojuma grāmatveži</w:t>
            </w:r>
            <w:r w:rsidR="005D12B9">
              <w:rPr>
                <w:rFonts w:eastAsia="Times New Roman"/>
                <w:sz w:val="24"/>
                <w:szCs w:val="24"/>
                <w:lang w:eastAsia="lv-LV"/>
              </w:rPr>
              <w:t>)</w:t>
            </w:r>
            <w:r w:rsidR="00E73483">
              <w:rPr>
                <w:rFonts w:eastAsia="Times New Roman"/>
                <w:iCs/>
                <w:sz w:val="24"/>
                <w:szCs w:val="24"/>
                <w:lang w:eastAsia="lv-LV"/>
              </w:rPr>
              <w:t xml:space="preserve"> dots </w:t>
            </w:r>
            <w:r w:rsidR="00A152E2" w:rsidRPr="00A152E2">
              <w:rPr>
                <w:rFonts w:eastAsia="Times New Roman"/>
                <w:iCs/>
                <w:sz w:val="24"/>
                <w:szCs w:val="24"/>
                <w:lang w:eastAsia="lv-LV"/>
              </w:rPr>
              <w:t xml:space="preserve">Pasākumu plāna noziedzīgi iegūtu līdzekļu legalizācijas un terorisma finansēšanas </w:t>
            </w:r>
            <w:r w:rsidR="00E73483" w:rsidRPr="00E73483">
              <w:rPr>
                <w:rFonts w:eastAsia="Times New Roman"/>
                <w:iCs/>
                <w:sz w:val="24"/>
                <w:szCs w:val="24"/>
                <w:lang w:eastAsia="lv-LV"/>
              </w:rPr>
              <w:t>risku ierobežošanai</w:t>
            </w:r>
            <w:r w:rsidR="00E73483">
              <w:rPr>
                <w:rFonts w:eastAsia="Times New Roman"/>
                <w:iCs/>
                <w:sz w:val="24"/>
                <w:szCs w:val="24"/>
                <w:lang w:eastAsia="lv-LV"/>
              </w:rPr>
              <w:t xml:space="preserve"> </w:t>
            </w:r>
            <w:r w:rsidR="00E73483" w:rsidRPr="00E73483">
              <w:rPr>
                <w:rFonts w:eastAsia="Times New Roman"/>
                <w:iCs/>
                <w:sz w:val="24"/>
                <w:szCs w:val="24"/>
                <w:lang w:eastAsia="lv-LV"/>
              </w:rPr>
              <w:t>2017.-2019.gadam</w:t>
            </w:r>
            <w:r w:rsidR="00E73483" w:rsidRPr="00A152E2">
              <w:rPr>
                <w:rFonts w:eastAsia="Times New Roman"/>
                <w:iCs/>
                <w:sz w:val="24"/>
                <w:szCs w:val="24"/>
                <w:lang w:eastAsia="lv-LV"/>
              </w:rPr>
              <w:t xml:space="preserve"> </w:t>
            </w:r>
            <w:r w:rsidR="00E73483">
              <w:rPr>
                <w:rFonts w:eastAsia="Times New Roman"/>
                <w:iCs/>
                <w:sz w:val="24"/>
                <w:szCs w:val="24"/>
                <w:lang w:eastAsia="lv-LV"/>
              </w:rPr>
              <w:t>5.4</w:t>
            </w:r>
            <w:r w:rsidR="00A152E2" w:rsidRPr="00A152E2">
              <w:rPr>
                <w:rFonts w:eastAsia="Times New Roman"/>
                <w:iCs/>
                <w:sz w:val="24"/>
                <w:szCs w:val="24"/>
                <w:lang w:eastAsia="lv-LV"/>
              </w:rPr>
              <w:t>.</w:t>
            </w:r>
            <w:r w:rsidR="005C4CB0">
              <w:rPr>
                <w:rFonts w:eastAsia="Times New Roman"/>
                <w:iCs/>
                <w:sz w:val="24"/>
                <w:szCs w:val="24"/>
                <w:lang w:eastAsia="lv-LV"/>
              </w:rPr>
              <w:t>apakš</w:t>
            </w:r>
            <w:r w:rsidR="00A152E2" w:rsidRPr="00A152E2">
              <w:rPr>
                <w:rFonts w:eastAsia="Times New Roman"/>
                <w:iCs/>
                <w:sz w:val="24"/>
                <w:szCs w:val="24"/>
                <w:lang w:eastAsia="lv-LV"/>
              </w:rPr>
              <w:t>punkt</w:t>
            </w:r>
            <w:r w:rsidR="00E73483">
              <w:rPr>
                <w:rFonts w:eastAsia="Times New Roman"/>
                <w:iCs/>
                <w:sz w:val="24"/>
                <w:szCs w:val="24"/>
                <w:lang w:eastAsia="lv-LV"/>
              </w:rPr>
              <w:t>ā</w:t>
            </w:r>
            <w:r w:rsidR="003E1757">
              <w:rPr>
                <w:rFonts w:eastAsia="Times New Roman"/>
                <w:iCs/>
                <w:sz w:val="24"/>
                <w:szCs w:val="24"/>
                <w:lang w:eastAsia="lv-LV"/>
              </w:rPr>
              <w:t xml:space="preserve"> </w:t>
            </w:r>
            <w:r w:rsidR="003E1757" w:rsidRPr="003E1757">
              <w:rPr>
                <w:rFonts w:eastAsia="Times New Roman"/>
                <w:iCs/>
                <w:sz w:val="24"/>
                <w:szCs w:val="24"/>
                <w:lang w:eastAsia="lv-LV"/>
              </w:rPr>
              <w:t xml:space="preserve">un </w:t>
            </w:r>
            <w:r w:rsidR="003E1757" w:rsidRPr="003E1757">
              <w:rPr>
                <w:rFonts w:eastAsia="Times New Roman"/>
                <w:sz w:val="24"/>
                <w:szCs w:val="24"/>
                <w:lang w:eastAsia="lv-LV"/>
              </w:rPr>
              <w:t>Valsts iestāžu darba plān</w:t>
            </w:r>
            <w:r w:rsidR="00E73483">
              <w:rPr>
                <w:rFonts w:eastAsia="Times New Roman"/>
                <w:sz w:val="24"/>
                <w:szCs w:val="24"/>
                <w:lang w:eastAsia="lv-LV"/>
              </w:rPr>
              <w:t>ā</w:t>
            </w:r>
            <w:r w:rsidR="003E1757" w:rsidRPr="0072412A">
              <w:rPr>
                <w:rFonts w:eastAsia="Times New Roman"/>
                <w:sz w:val="24"/>
                <w:szCs w:val="24"/>
                <w:lang w:eastAsia="lv-LV"/>
              </w:rPr>
              <w:t xml:space="preserve"> ēnu ekonomikas ierobežošanai </w:t>
            </w:r>
            <w:r w:rsidR="003E1757">
              <w:rPr>
                <w:rFonts w:eastAsia="Times New Roman"/>
                <w:sz w:val="24"/>
                <w:szCs w:val="24"/>
                <w:lang w:eastAsia="lv-LV"/>
              </w:rPr>
              <w:t xml:space="preserve">no </w:t>
            </w:r>
            <w:r w:rsidR="003E1757" w:rsidRPr="0072412A">
              <w:rPr>
                <w:rFonts w:eastAsia="Times New Roman"/>
                <w:sz w:val="24"/>
                <w:szCs w:val="24"/>
                <w:lang w:eastAsia="lv-LV"/>
              </w:rPr>
              <w:t>2016.</w:t>
            </w:r>
            <w:r w:rsidR="003E1757">
              <w:rPr>
                <w:rFonts w:eastAsia="Times New Roman"/>
                <w:sz w:val="24"/>
                <w:szCs w:val="24"/>
                <w:lang w:eastAsia="lv-LV"/>
              </w:rPr>
              <w:t xml:space="preserve"> </w:t>
            </w:r>
            <w:r w:rsidR="003E1757" w:rsidRPr="0072412A">
              <w:rPr>
                <w:rFonts w:eastAsia="Times New Roman"/>
                <w:sz w:val="24"/>
                <w:szCs w:val="24"/>
                <w:lang w:eastAsia="lv-LV"/>
              </w:rPr>
              <w:t>līdz</w:t>
            </w:r>
            <w:r w:rsidR="003E1757" w:rsidRPr="003E1757">
              <w:rPr>
                <w:rFonts w:eastAsia="Times New Roman"/>
                <w:sz w:val="24"/>
                <w:szCs w:val="24"/>
                <w:lang w:eastAsia="lv-LV"/>
              </w:rPr>
              <w:t xml:space="preserve"> </w:t>
            </w:r>
            <w:r w:rsidR="003E1757" w:rsidRPr="0072412A">
              <w:rPr>
                <w:rFonts w:eastAsia="Times New Roman"/>
                <w:sz w:val="24"/>
                <w:szCs w:val="24"/>
                <w:lang w:eastAsia="lv-LV"/>
              </w:rPr>
              <w:t>2020.gadam</w:t>
            </w:r>
            <w:r w:rsidR="00B565F9">
              <w:rPr>
                <w:rFonts w:eastAsia="Times New Roman"/>
                <w:sz w:val="24"/>
                <w:szCs w:val="24"/>
                <w:lang w:eastAsia="lv-LV"/>
              </w:rPr>
              <w:t>.</w:t>
            </w:r>
          </w:p>
        </w:tc>
      </w:tr>
      <w:tr w:rsidR="005F5D0D" w:rsidRPr="005F5D0D" w14:paraId="3755EF2F" w14:textId="77777777" w:rsidTr="004F4A43">
        <w:trPr>
          <w:tblCellSpacing w:w="15" w:type="dxa"/>
        </w:trPr>
        <w:tc>
          <w:tcPr>
            <w:tcW w:w="455" w:type="dxa"/>
            <w:tcBorders>
              <w:top w:val="outset" w:sz="6" w:space="0" w:color="auto"/>
              <w:left w:val="outset" w:sz="6" w:space="0" w:color="auto"/>
              <w:bottom w:val="outset" w:sz="6" w:space="0" w:color="auto"/>
              <w:right w:val="outset" w:sz="6" w:space="0" w:color="auto"/>
            </w:tcBorders>
            <w:hideMark/>
          </w:tcPr>
          <w:p w14:paraId="4E62EA30" w14:textId="5AE63837" w:rsidR="000D2356" w:rsidRPr="005F5D0D" w:rsidRDefault="000E56B2"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2.</w:t>
            </w:r>
          </w:p>
        </w:tc>
        <w:tc>
          <w:tcPr>
            <w:tcW w:w="2002" w:type="dxa"/>
            <w:tcBorders>
              <w:top w:val="outset" w:sz="6" w:space="0" w:color="auto"/>
              <w:left w:val="outset" w:sz="6" w:space="0" w:color="auto"/>
              <w:bottom w:val="outset" w:sz="6" w:space="0" w:color="auto"/>
              <w:right w:val="outset" w:sz="6" w:space="0" w:color="auto"/>
            </w:tcBorders>
            <w:hideMark/>
          </w:tcPr>
          <w:p w14:paraId="43BF196A" w14:textId="77777777" w:rsidR="000D2356" w:rsidRPr="005F5D0D" w:rsidRDefault="000E56B2"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Pašreizējā situācija un problēmas, kuru risināšanai tiesību akta projekts izstrādāts, tiesiskā regulējuma mērķis un būtība</w:t>
            </w:r>
          </w:p>
          <w:p w14:paraId="153ED984" w14:textId="77777777" w:rsidR="000D2356" w:rsidRPr="005F5D0D" w:rsidRDefault="000E56B2" w:rsidP="000D2356">
            <w:pPr>
              <w:widowControl/>
              <w:spacing w:before="100" w:beforeAutospacing="1" w:after="160" w:line="256" w:lineRule="auto"/>
              <w:rPr>
                <w:rFonts w:eastAsia="Times New Roman"/>
                <w:sz w:val="24"/>
                <w:szCs w:val="24"/>
                <w:lang w:eastAsia="lv-LV"/>
              </w:rPr>
            </w:pPr>
            <w:r w:rsidRPr="005F5D0D">
              <w:rPr>
                <w:rFonts w:eastAsia="Times New Roman"/>
                <w:sz w:val="24"/>
                <w:szCs w:val="24"/>
                <w:lang w:eastAsia="lv-LV"/>
              </w:rPr>
              <w:t> </w:t>
            </w:r>
          </w:p>
          <w:p w14:paraId="272B66E9" w14:textId="77777777" w:rsidR="000D2356" w:rsidRPr="005F5D0D" w:rsidRDefault="000E56B2" w:rsidP="000D2356">
            <w:pPr>
              <w:widowControl/>
              <w:spacing w:before="100" w:beforeAutospacing="1" w:after="160" w:line="256" w:lineRule="auto"/>
              <w:rPr>
                <w:rFonts w:eastAsia="Times New Roman"/>
                <w:sz w:val="24"/>
                <w:szCs w:val="24"/>
                <w:lang w:eastAsia="lv-LV"/>
              </w:rPr>
            </w:pPr>
            <w:r w:rsidRPr="005F5D0D">
              <w:rPr>
                <w:rFonts w:eastAsia="Times New Roman"/>
                <w:sz w:val="24"/>
                <w:szCs w:val="24"/>
                <w:lang w:eastAsia="lv-LV"/>
              </w:rPr>
              <w:t> </w:t>
            </w:r>
          </w:p>
          <w:p w14:paraId="4717B6D6" w14:textId="77777777" w:rsidR="000D2356" w:rsidRPr="005F5D0D" w:rsidRDefault="000E56B2" w:rsidP="000D2356">
            <w:pPr>
              <w:widowControl/>
              <w:spacing w:before="100" w:beforeAutospacing="1" w:after="160" w:line="256" w:lineRule="auto"/>
              <w:rPr>
                <w:rFonts w:eastAsia="Times New Roman"/>
                <w:sz w:val="24"/>
                <w:szCs w:val="24"/>
                <w:lang w:eastAsia="lv-LV"/>
              </w:rPr>
            </w:pPr>
            <w:r w:rsidRPr="005F5D0D">
              <w:rPr>
                <w:rFonts w:eastAsia="Times New Roman"/>
                <w:sz w:val="24"/>
                <w:szCs w:val="24"/>
                <w:lang w:eastAsia="lv-LV"/>
              </w:rPr>
              <w:t> </w:t>
            </w:r>
          </w:p>
          <w:p w14:paraId="73CE0070" w14:textId="77777777" w:rsidR="000D2356" w:rsidRPr="005F5D0D" w:rsidRDefault="000E56B2" w:rsidP="000D2356">
            <w:pPr>
              <w:widowControl/>
              <w:spacing w:before="100" w:beforeAutospacing="1" w:after="160" w:line="256" w:lineRule="auto"/>
              <w:rPr>
                <w:rFonts w:eastAsia="Times New Roman"/>
                <w:sz w:val="24"/>
                <w:szCs w:val="24"/>
                <w:lang w:eastAsia="lv-LV"/>
              </w:rPr>
            </w:pPr>
            <w:r w:rsidRPr="005F5D0D">
              <w:rPr>
                <w:rFonts w:eastAsia="Times New Roman"/>
                <w:sz w:val="24"/>
                <w:szCs w:val="24"/>
                <w:lang w:eastAsia="lv-LV"/>
              </w:rPr>
              <w:t> </w:t>
            </w:r>
          </w:p>
          <w:p w14:paraId="40F3BA94" w14:textId="77777777" w:rsidR="000D2356" w:rsidRPr="005F5D0D" w:rsidRDefault="000E56B2" w:rsidP="000D2356">
            <w:pPr>
              <w:widowControl/>
              <w:spacing w:before="100" w:beforeAutospacing="1" w:after="160" w:line="256" w:lineRule="auto"/>
              <w:rPr>
                <w:rFonts w:eastAsia="Times New Roman"/>
                <w:sz w:val="24"/>
                <w:szCs w:val="24"/>
                <w:lang w:eastAsia="lv-LV"/>
              </w:rPr>
            </w:pPr>
            <w:r w:rsidRPr="005F5D0D">
              <w:rPr>
                <w:rFonts w:eastAsia="Times New Roman"/>
                <w:sz w:val="24"/>
                <w:szCs w:val="24"/>
                <w:lang w:eastAsia="lv-LV"/>
              </w:rPr>
              <w:t> </w:t>
            </w:r>
          </w:p>
        </w:tc>
        <w:tc>
          <w:tcPr>
            <w:tcW w:w="7338" w:type="dxa"/>
            <w:tcBorders>
              <w:top w:val="outset" w:sz="6" w:space="0" w:color="auto"/>
              <w:left w:val="outset" w:sz="6" w:space="0" w:color="auto"/>
              <w:bottom w:val="outset" w:sz="6" w:space="0" w:color="auto"/>
              <w:right w:val="outset" w:sz="6" w:space="0" w:color="auto"/>
            </w:tcBorders>
            <w:hideMark/>
          </w:tcPr>
          <w:p w14:paraId="61499D33" w14:textId="77777777" w:rsidR="009A7F01" w:rsidRPr="005F5D0D" w:rsidRDefault="000E56B2" w:rsidP="009A7F01">
            <w:pPr>
              <w:widowControl/>
              <w:shd w:val="clear" w:color="auto" w:fill="FFFFFF"/>
              <w:spacing w:after="0" w:line="240" w:lineRule="auto"/>
              <w:ind w:right="140"/>
              <w:jc w:val="both"/>
              <w:rPr>
                <w:rFonts w:eastAsia="Times New Roman"/>
                <w:b/>
                <w:sz w:val="24"/>
                <w:szCs w:val="24"/>
                <w:lang w:eastAsia="lv-LV"/>
              </w:rPr>
            </w:pPr>
            <w:r w:rsidRPr="005F5D0D">
              <w:rPr>
                <w:rFonts w:eastAsia="Times New Roman"/>
                <w:b/>
                <w:sz w:val="24"/>
                <w:szCs w:val="24"/>
                <w:lang w:eastAsia="lv-LV"/>
              </w:rPr>
              <w:t xml:space="preserve">Pašreizējā situācija </w:t>
            </w:r>
          </w:p>
          <w:p w14:paraId="60209AC5" w14:textId="77777777" w:rsidR="009A7F01" w:rsidRPr="005F5D0D" w:rsidRDefault="009A7F01" w:rsidP="009A7F01">
            <w:pPr>
              <w:widowControl/>
              <w:shd w:val="clear" w:color="auto" w:fill="FFFFFF"/>
              <w:spacing w:after="0" w:line="240" w:lineRule="auto"/>
              <w:ind w:right="140"/>
              <w:jc w:val="both"/>
              <w:rPr>
                <w:rFonts w:eastAsia="Times New Roman"/>
                <w:b/>
                <w:sz w:val="24"/>
                <w:szCs w:val="24"/>
                <w:lang w:eastAsia="lv-LV"/>
              </w:rPr>
            </w:pPr>
          </w:p>
          <w:p w14:paraId="5DDE7153" w14:textId="37AA7584" w:rsidR="009A7F01" w:rsidRPr="00DC08B8" w:rsidRDefault="000E56B2" w:rsidP="004F4A43">
            <w:pPr>
              <w:widowControl/>
              <w:shd w:val="clear" w:color="auto" w:fill="FFFFFF"/>
              <w:spacing w:after="0" w:line="240" w:lineRule="auto"/>
              <w:ind w:right="140"/>
              <w:jc w:val="both"/>
              <w:rPr>
                <w:rFonts w:ascii="Calibri" w:eastAsia="Times New Roman" w:hAnsi="Calibri"/>
                <w:sz w:val="22"/>
                <w:lang w:eastAsia="lv-LV"/>
              </w:rPr>
            </w:pPr>
            <w:r w:rsidRPr="0028468D">
              <w:rPr>
                <w:rFonts w:eastAsia="Times New Roman"/>
                <w:sz w:val="24"/>
                <w:szCs w:val="24"/>
                <w:lang w:eastAsia="lv-LV"/>
              </w:rPr>
              <w:t>Saskaņā ar likumu „Par grāmatvedību” uzņēmuma vadītājs (kapitālsabiedrībā un kooperatīvajā sabiedrībā – valde, individuālajā uzņēmumā, zemnieka vai zvejnieka saimniecībā – īpašnieks, valsts vai pašvaldības budžeta iestādē vai aģentūrā – tās vadītājs, nevalstiskajā organizāci</w:t>
            </w:r>
            <w:r w:rsidRPr="00DC08B8">
              <w:rPr>
                <w:rFonts w:eastAsia="Times New Roman"/>
                <w:sz w:val="24"/>
                <w:szCs w:val="24"/>
                <w:lang w:eastAsia="lv-LV"/>
              </w:rPr>
              <w:t xml:space="preserve">jā – vadības institūcija, uzņēmuma vadītājs ir arī individuālais komersants un cita fiziskā persona, kas veic saimniecisko darbību) ir atbildīgs par grāmatvedības kārtošanu. Likumā </w:t>
            </w:r>
            <w:r w:rsidR="00B36821" w:rsidRPr="00DC08B8">
              <w:rPr>
                <w:rFonts w:eastAsia="Times New Roman"/>
                <w:sz w:val="24"/>
                <w:szCs w:val="24"/>
                <w:lang w:eastAsia="lv-LV"/>
              </w:rPr>
              <w:t>„Par grāmatvedību”</w:t>
            </w:r>
            <w:r w:rsidR="00B36821" w:rsidRPr="0028468D">
              <w:rPr>
                <w:rFonts w:eastAsia="Times New Roman"/>
                <w:sz w:val="24"/>
                <w:szCs w:val="24"/>
                <w:lang w:eastAsia="lv-LV"/>
              </w:rPr>
              <w:t xml:space="preserve"> </w:t>
            </w:r>
            <w:r w:rsidRPr="00DC08B8">
              <w:rPr>
                <w:rFonts w:eastAsia="Times New Roman"/>
                <w:sz w:val="24"/>
                <w:szCs w:val="24"/>
                <w:lang w:eastAsia="lv-LV"/>
              </w:rPr>
              <w:t>noteikts, ka</w:t>
            </w:r>
            <w:r w:rsidRPr="00DC08B8">
              <w:rPr>
                <w:rFonts w:eastAsia="Times New Roman"/>
                <w:i/>
                <w:iCs/>
                <w:sz w:val="24"/>
                <w:szCs w:val="24"/>
                <w:lang w:eastAsia="lv-LV"/>
              </w:rPr>
              <w:t> </w:t>
            </w:r>
            <w:r w:rsidRPr="00DC08B8">
              <w:rPr>
                <w:rFonts w:eastAsia="Times New Roman"/>
                <w:sz w:val="24"/>
                <w:szCs w:val="24"/>
                <w:lang w:eastAsia="lv-LV"/>
              </w:rPr>
              <w:t>uzņēmuma vadītājam jāorganizē grāmatvedības kārtošana atbilstoši šā likuma prasībām.</w:t>
            </w:r>
          </w:p>
          <w:p w14:paraId="39AE5D5C" w14:textId="7346E9EC" w:rsidR="009A7F01" w:rsidRPr="00DC08B8" w:rsidRDefault="000E56B2" w:rsidP="00526AAF">
            <w:pPr>
              <w:pStyle w:val="tv213"/>
              <w:spacing w:before="0" w:beforeAutospacing="0" w:after="0" w:afterAutospacing="0" w:line="293" w:lineRule="atLeast"/>
              <w:ind w:firstLine="567"/>
              <w:jc w:val="both"/>
            </w:pPr>
            <w:r w:rsidRPr="00DC08B8">
              <w:t xml:space="preserve">Saskaņā ar likuma </w:t>
            </w:r>
            <w:r w:rsidR="00B36821" w:rsidRPr="00DC08B8">
              <w:t>„Par grāmatvedību”</w:t>
            </w:r>
            <w:r w:rsidR="00B36821" w:rsidRPr="0028468D">
              <w:t xml:space="preserve"> </w:t>
            </w:r>
            <w:r w:rsidRPr="0028468D">
              <w:t xml:space="preserve">prasībām uzņēmumā grāmatvedības kārtošanu veic grāmatvedības jautājumos kompetenta persona — grāmatvedis vai ārpakalpojumu grāmatvedis, ar ko uzņēmuma vadītājs noslēdzis </w:t>
            </w:r>
            <w:r w:rsidRPr="00DC08B8">
              <w:t>attiecīgu rakstveida līgumu, kurā noteikti šīs personas pienākumi, tiesības un atbildība grāmatvedības kārtošanas jautājumos.</w:t>
            </w:r>
          </w:p>
          <w:p w14:paraId="2E8A83FE" w14:textId="613C1FF7" w:rsidR="0022502D" w:rsidRPr="005F5D0D" w:rsidRDefault="000E56B2" w:rsidP="0022502D">
            <w:pPr>
              <w:pStyle w:val="tv213"/>
              <w:spacing w:before="0" w:beforeAutospacing="0" w:after="0" w:afterAutospacing="0" w:line="293" w:lineRule="atLeast"/>
              <w:ind w:firstLine="567"/>
              <w:jc w:val="both"/>
            </w:pPr>
            <w:r w:rsidRPr="00DC08B8">
              <w:t xml:space="preserve">Šā likuma izpratnē grāmatvedis ir fiziskā persona, kuras kvalifikācija atbilst </w:t>
            </w:r>
            <w:r w:rsidR="00083E5D" w:rsidRPr="00DC08B8">
              <w:rPr>
                <w:shd w:val="clear" w:color="auto" w:fill="FFFFFF"/>
              </w:rPr>
              <w:t xml:space="preserve">Ministru kabineta 2017.gada 23.maija noteikumos Nr.264 </w:t>
            </w:r>
            <w:r w:rsidR="000B1784" w:rsidRPr="00DC08B8">
              <w:t>„</w:t>
            </w:r>
            <w:r w:rsidR="00083E5D" w:rsidRPr="0028468D">
              <w:rPr>
                <w:shd w:val="clear" w:color="auto" w:fill="FFFFFF"/>
              </w:rPr>
              <w:t>Noteikumi par Profesiju klasifikatoru, profesijai atbilstošiem pamatuzdevumiem un kvalifikācijas pamatprasībām”</w:t>
            </w:r>
            <w:r w:rsidR="00083E5D" w:rsidRPr="00DC08B8">
              <w:t xml:space="preserve"> </w:t>
            </w:r>
            <w:r w:rsidR="00DB1F08" w:rsidRPr="00DC08B8">
              <w:t xml:space="preserve">(turpmāk – noteikumi Nr.264) </w:t>
            </w:r>
            <w:r w:rsidRPr="00DC08B8">
              <w:t>noteiktajai</w:t>
            </w:r>
            <w:r w:rsidRPr="005F5D0D">
              <w:t xml:space="preserve"> grāmatveža ceturtā vai trešā līmeņa kvalifikācijai un kuras kompetenci apliecina attiecīgs izglītības dokuments (diploms vai apliecība), kā arī tāda fiziskā persona, kuras kompetenci attiecīgajos grāmatvedības jautājumos apliecina pieredze vai atbilstošs sertifikāts un kura veic grāmatveža pienākumus. Savukārt ārpakalpojumu </w:t>
            </w:r>
            <w:r w:rsidRPr="005F5D0D">
              <w:lastRenderedPageBreak/>
              <w:t xml:space="preserve">grāmatvedis ir persona, kura, pamatojoties uz rakstveida līgumu ar uzņēmumu (izņemot darba līgumu), apņemas sniegt vai sniedz klientam grāmatvedības pakalpojumus un kura </w:t>
            </w:r>
            <w:r w:rsidR="00595431" w:rsidRPr="005F5D0D">
              <w:t xml:space="preserve">atbilst </w:t>
            </w:r>
            <w:r w:rsidRPr="005F5D0D">
              <w:t>grāmatvedim noteiktajām prasībām.</w:t>
            </w:r>
            <w:r w:rsidR="0022502D" w:rsidRPr="005F5D0D">
              <w:t xml:space="preserve"> </w:t>
            </w:r>
          </w:p>
          <w:p w14:paraId="50D38902" w14:textId="5B4CDB6B" w:rsidR="00211D61" w:rsidRPr="005F5D0D" w:rsidRDefault="0022502D" w:rsidP="00526AAF">
            <w:pPr>
              <w:pStyle w:val="tv213"/>
              <w:spacing w:before="0" w:beforeAutospacing="0" w:after="0" w:afterAutospacing="0" w:line="293" w:lineRule="atLeast"/>
              <w:ind w:firstLine="567"/>
              <w:jc w:val="both"/>
            </w:pPr>
            <w:r w:rsidRPr="005F5D0D">
              <w:t xml:space="preserve"> </w:t>
            </w:r>
            <w:r w:rsidR="000E56B2" w:rsidRPr="005F5D0D">
              <w:t>Tāpat šobrīd saskaņā ar likumu ārpakalpojuma grāmatvedim ir pienākums apdrošināt savu civiltiesisko atbildību par profesionālās darbības vai bezdarbības rezultātā nodarītajiem zaudējumiem.</w:t>
            </w:r>
          </w:p>
          <w:p w14:paraId="5E3BFFF2" w14:textId="77777777" w:rsidR="00211D61" w:rsidRPr="005F5D0D" w:rsidRDefault="000E56B2" w:rsidP="00526AAF">
            <w:pPr>
              <w:pStyle w:val="tv213"/>
              <w:spacing w:before="0" w:beforeAutospacing="0" w:after="0" w:afterAutospacing="0" w:line="293" w:lineRule="atLeast"/>
              <w:ind w:firstLine="567"/>
              <w:jc w:val="both"/>
            </w:pPr>
            <w:r w:rsidRPr="005F5D0D">
              <w:t>Ārpakalpojuma grāmatveža profesionālās civiltiesiskās atbildības apdrošināšanas minimālais atbildības limits šobrīd nedrīkst būt mazāks par 3000 </w:t>
            </w:r>
            <w:r w:rsidRPr="005F5D0D">
              <w:rPr>
                <w:i/>
                <w:iCs/>
              </w:rPr>
              <w:t>euro</w:t>
            </w:r>
            <w:r w:rsidRPr="005F5D0D">
              <w:t>.</w:t>
            </w:r>
          </w:p>
          <w:p w14:paraId="3ED6C82C" w14:textId="77777777" w:rsidR="009A7F01" w:rsidRPr="005F5D0D" w:rsidRDefault="000E56B2" w:rsidP="00526AAF">
            <w:pPr>
              <w:widowControl/>
              <w:shd w:val="clear" w:color="auto" w:fill="FFFFFF"/>
              <w:spacing w:after="0" w:line="240" w:lineRule="auto"/>
              <w:ind w:right="140" w:firstLine="567"/>
              <w:jc w:val="both"/>
              <w:rPr>
                <w:rFonts w:ascii="Calibri" w:eastAsia="Times New Roman" w:hAnsi="Calibri"/>
                <w:sz w:val="22"/>
                <w:lang w:eastAsia="lv-LV"/>
              </w:rPr>
            </w:pPr>
            <w:r w:rsidRPr="005F5D0D">
              <w:rPr>
                <w:rFonts w:eastAsia="Times New Roman"/>
                <w:sz w:val="24"/>
                <w:szCs w:val="24"/>
                <w:lang w:eastAsia="lv-LV"/>
              </w:rPr>
              <w:t>Jāatzīmē, ka grāmatvedības kārtošanas (grāmatvedības dokumentu un finanšu pārskatu) kvalitāte viennozīmīgi ir atkarīga no tās personas kompetences, kas veic grāmatvedības kārtošanu.</w:t>
            </w:r>
          </w:p>
          <w:p w14:paraId="50CA10FB" w14:textId="67538110" w:rsidR="009A7F01" w:rsidRPr="005F5D0D" w:rsidRDefault="000E56B2" w:rsidP="00526AAF">
            <w:pPr>
              <w:widowControl/>
              <w:shd w:val="clear" w:color="auto" w:fill="FFFFFF"/>
              <w:spacing w:after="0" w:line="240" w:lineRule="auto"/>
              <w:ind w:right="140" w:firstLine="567"/>
              <w:jc w:val="both"/>
              <w:rPr>
                <w:rFonts w:ascii="Helvetica" w:eastAsia="Times New Roman" w:hAnsi="Helvetica" w:cs="Helvetica"/>
                <w:sz w:val="20"/>
                <w:szCs w:val="20"/>
                <w:lang w:eastAsia="lv-LV"/>
              </w:rPr>
            </w:pPr>
            <w:r w:rsidRPr="005F5D0D">
              <w:rPr>
                <w:rFonts w:eastAsia="Times New Roman"/>
                <w:sz w:val="24"/>
                <w:szCs w:val="24"/>
                <w:lang w:eastAsia="lv-LV"/>
              </w:rPr>
              <w:t>Latvijā ir sastopamas situācijas, kad uzņēmuma vadītājs uztic grāmatvedības kārtošanu uzņēmumā personām bez pienācīgas izglītības un profesionālajām zināšanām, savukārt</w:t>
            </w:r>
            <w:r w:rsidR="00B36821">
              <w:rPr>
                <w:rFonts w:eastAsia="Times New Roman"/>
                <w:sz w:val="24"/>
                <w:szCs w:val="24"/>
                <w:lang w:eastAsia="lv-LV"/>
              </w:rPr>
              <w:t>,</w:t>
            </w:r>
            <w:r w:rsidRPr="005F5D0D">
              <w:rPr>
                <w:rFonts w:eastAsia="Times New Roman"/>
                <w:sz w:val="24"/>
                <w:szCs w:val="24"/>
                <w:lang w:eastAsia="lv-LV"/>
              </w:rPr>
              <w:t xml:space="preserve"> ja uzņēmuma vadītājs ir bez īpašām zināšanām grāmatvedības jautājumos, tad viņš nespēj pienācīgi izkontrolēt grāmatveža darba kvalitāti.</w:t>
            </w:r>
          </w:p>
          <w:p w14:paraId="72FA5495" w14:textId="77777777" w:rsidR="009A7F01" w:rsidRPr="005F5D0D" w:rsidRDefault="000E56B2" w:rsidP="00526AAF">
            <w:pPr>
              <w:widowControl/>
              <w:shd w:val="clear" w:color="auto" w:fill="FFFFFF"/>
              <w:spacing w:after="0" w:line="240" w:lineRule="auto"/>
              <w:ind w:right="140" w:firstLine="567"/>
              <w:jc w:val="both"/>
              <w:rPr>
                <w:rFonts w:eastAsia="Times New Roman"/>
                <w:sz w:val="24"/>
                <w:szCs w:val="24"/>
                <w:lang w:eastAsia="lv-LV"/>
              </w:rPr>
            </w:pPr>
            <w:r w:rsidRPr="005F5D0D">
              <w:rPr>
                <w:rFonts w:eastAsia="Times New Roman"/>
                <w:sz w:val="24"/>
                <w:szCs w:val="24"/>
                <w:lang w:eastAsia="lv-LV"/>
              </w:rPr>
              <w:t xml:space="preserve">Latvijā normatīvie akti šobrīd neregulē un neierobežo grāmatveža profesionālo darbību. Grāmatvedim pašam ir jārūpējas par savas kompetences uzturēšanu un kvalifikācijas celšanu, lai veiktu savu darbu profesionāli, godprātīgi un kvalitatīvi. </w:t>
            </w:r>
          </w:p>
          <w:p w14:paraId="088BCB72" w14:textId="77777777" w:rsidR="009A7F01" w:rsidRPr="005F5D0D" w:rsidRDefault="000E56B2" w:rsidP="00526AAF">
            <w:pPr>
              <w:widowControl/>
              <w:shd w:val="clear" w:color="auto" w:fill="FFFFFF"/>
              <w:spacing w:after="0" w:line="240" w:lineRule="auto"/>
              <w:ind w:right="140" w:firstLine="567"/>
              <w:jc w:val="both"/>
              <w:rPr>
                <w:rFonts w:ascii="Calibri" w:eastAsia="Times New Roman" w:hAnsi="Calibri"/>
                <w:sz w:val="22"/>
                <w:lang w:eastAsia="lv-LV"/>
              </w:rPr>
            </w:pPr>
            <w:r w:rsidRPr="005F5D0D">
              <w:rPr>
                <w:rFonts w:eastAsia="Times New Roman"/>
                <w:sz w:val="24"/>
                <w:szCs w:val="24"/>
                <w:lang w:eastAsia="lv-LV"/>
              </w:rPr>
              <w:t>Latvijā brīvprātīga grāmatvežu sertificēšana notiek kopš 2000.gada. Šobrīd grāmatvežus sertificē un sertifikātus izsniedz:</w:t>
            </w:r>
          </w:p>
          <w:p w14:paraId="76089CDE" w14:textId="5F103D70" w:rsidR="009A7F01" w:rsidRPr="005F5D0D" w:rsidRDefault="000E56B2" w:rsidP="005D12B9">
            <w:pPr>
              <w:widowControl/>
              <w:shd w:val="clear" w:color="auto" w:fill="FFFFFF"/>
              <w:spacing w:after="0" w:line="240" w:lineRule="auto"/>
              <w:ind w:left="737" w:hanging="170"/>
              <w:jc w:val="both"/>
              <w:rPr>
                <w:rFonts w:ascii="Calibri" w:eastAsia="Times New Roman" w:hAnsi="Calibri"/>
                <w:sz w:val="22"/>
                <w:lang w:eastAsia="lv-LV"/>
              </w:rPr>
            </w:pPr>
            <w:r w:rsidRPr="005F5D0D">
              <w:rPr>
                <w:rFonts w:eastAsia="Times New Roman"/>
                <w:sz w:val="24"/>
                <w:szCs w:val="24"/>
                <w:lang w:eastAsia="lv-LV"/>
              </w:rPr>
              <w:t>- Latvijas Republikas Grāmatvežu asociācija (</w:t>
            </w:r>
            <w:r w:rsidR="00D97ADB" w:rsidRPr="005F5D0D">
              <w:rPr>
                <w:rFonts w:eastAsia="Times New Roman"/>
                <w:sz w:val="24"/>
                <w:szCs w:val="24"/>
                <w:lang w:eastAsia="lv-LV"/>
              </w:rPr>
              <w:t xml:space="preserve">kopš  2000.gada izsniegti ap  580 sertifikāti, sertificēto profesionālo grāmatvežu skaits uz 31.07.2018. – 382 (97% no  </w:t>
            </w:r>
            <w:r w:rsidR="005C4CB0" w:rsidRPr="005F5D0D">
              <w:rPr>
                <w:rFonts w:eastAsia="Times New Roman"/>
                <w:sz w:val="24"/>
                <w:szCs w:val="24"/>
                <w:lang w:eastAsia="lv-LV"/>
              </w:rPr>
              <w:t>Latvijas Republikas Grāmatvežu asociācijas</w:t>
            </w:r>
            <w:r w:rsidR="00D97ADB" w:rsidRPr="005F5D0D">
              <w:rPr>
                <w:rFonts w:eastAsia="Times New Roman"/>
                <w:sz w:val="24"/>
                <w:szCs w:val="24"/>
                <w:lang w:eastAsia="lv-LV"/>
              </w:rPr>
              <w:t xml:space="preserve"> biedriem – fiziskām personām ir sertificēti)) </w:t>
            </w:r>
            <w:r w:rsidRPr="005F5D0D">
              <w:rPr>
                <w:rFonts w:eastAsia="Times New Roman"/>
                <w:sz w:val="24"/>
                <w:szCs w:val="24"/>
                <w:lang w:eastAsia="lv-LV"/>
              </w:rPr>
              <w:t>):</w:t>
            </w:r>
          </w:p>
          <w:p w14:paraId="4376E34A" w14:textId="77777777" w:rsidR="009A7F01" w:rsidRPr="005F5D0D" w:rsidRDefault="000E56B2" w:rsidP="005D12B9">
            <w:pPr>
              <w:widowControl/>
              <w:shd w:val="clear" w:color="auto" w:fill="FFFFFF"/>
              <w:spacing w:after="0" w:line="240" w:lineRule="auto"/>
              <w:ind w:left="737" w:hanging="170"/>
              <w:jc w:val="both"/>
              <w:rPr>
                <w:rFonts w:ascii="Helvetica" w:eastAsia="Times New Roman" w:hAnsi="Helvetica" w:cs="Helvetica"/>
                <w:sz w:val="20"/>
                <w:szCs w:val="20"/>
                <w:lang w:eastAsia="lv-LV"/>
              </w:rPr>
            </w:pPr>
            <w:r w:rsidRPr="005F5D0D">
              <w:rPr>
                <w:rFonts w:eastAsia="Times New Roman"/>
                <w:sz w:val="24"/>
                <w:szCs w:val="24"/>
                <w:lang w:eastAsia="lv-LV"/>
              </w:rPr>
              <w:t>- SIA „Grāmatvežu sertifikācijas centrs” - normatīvajos aktos noteiktā kārtībā akreditēta grāmatvežu sertifikācijas institūcija (kopš 2002.gada izsniegti 899, no kuriem derīgi 520, grāmatveža kompetences sertifikāti uzņēmējdarbības grāmatvedībā vai valsts vai pašvaldību iestāžu grāmatvedībā):</w:t>
            </w:r>
          </w:p>
          <w:p w14:paraId="42FA646D" w14:textId="77777777" w:rsidR="009A7F01" w:rsidRPr="005F5D0D" w:rsidRDefault="000E56B2" w:rsidP="005D12B9">
            <w:pPr>
              <w:widowControl/>
              <w:shd w:val="clear" w:color="auto" w:fill="FFFFFF"/>
              <w:spacing w:after="0" w:line="240" w:lineRule="auto"/>
              <w:ind w:left="737" w:hanging="170"/>
              <w:rPr>
                <w:rFonts w:eastAsia="Times New Roman"/>
                <w:sz w:val="24"/>
                <w:szCs w:val="24"/>
                <w:lang w:eastAsia="lv-LV"/>
              </w:rPr>
            </w:pPr>
            <w:r w:rsidRPr="005F5D0D">
              <w:rPr>
                <w:rFonts w:eastAsia="Times New Roman"/>
                <w:sz w:val="24"/>
                <w:szCs w:val="24"/>
                <w:lang w:eastAsia="lv-LV"/>
              </w:rPr>
              <w:t>- citas institūcijas, kuras organizē grāmatvežu apmācības pēc pašu noteiktiem kritērijiem un apmācītajām personām izdod attiecīgu sertifikātu.</w:t>
            </w:r>
          </w:p>
          <w:p w14:paraId="1AEB7B92" w14:textId="77777777" w:rsidR="00D97ADB" w:rsidRPr="005F5D0D" w:rsidRDefault="00D97ADB" w:rsidP="005D12B9">
            <w:pPr>
              <w:widowControl/>
              <w:shd w:val="clear" w:color="auto" w:fill="FFFFFF"/>
              <w:spacing w:after="0" w:line="240" w:lineRule="auto"/>
              <w:ind w:right="140" w:firstLine="567"/>
              <w:rPr>
                <w:rFonts w:ascii="Calibri" w:eastAsia="Times New Roman" w:hAnsi="Calibri"/>
                <w:sz w:val="22"/>
                <w:lang w:eastAsia="lv-LV"/>
              </w:rPr>
            </w:pPr>
          </w:p>
          <w:p w14:paraId="56F05EF0" w14:textId="77777777" w:rsidR="009A7F01" w:rsidRPr="005F5D0D" w:rsidRDefault="000E56B2" w:rsidP="005D12B9">
            <w:pPr>
              <w:widowControl/>
              <w:shd w:val="clear" w:color="auto" w:fill="FFFFFF"/>
              <w:spacing w:after="0" w:line="240" w:lineRule="auto"/>
              <w:ind w:right="140" w:firstLine="567"/>
              <w:jc w:val="both"/>
              <w:rPr>
                <w:rFonts w:ascii="Calibri" w:eastAsia="Times New Roman" w:hAnsi="Calibri"/>
                <w:sz w:val="22"/>
                <w:lang w:eastAsia="lv-LV"/>
              </w:rPr>
            </w:pPr>
            <w:r w:rsidRPr="005F5D0D">
              <w:rPr>
                <w:rFonts w:eastAsia="Times New Roman"/>
                <w:sz w:val="24"/>
                <w:szCs w:val="24"/>
                <w:lang w:eastAsia="lv-LV"/>
              </w:rPr>
              <w:t>Grāmatvedības kārtošana ir saistīta ar būtiskām sabiedrības interesēm, un galvenie grāmatvedības uzdevumi ir:</w:t>
            </w:r>
          </w:p>
          <w:p w14:paraId="5E77014A" w14:textId="77777777" w:rsidR="009A7F01" w:rsidRPr="005F5D0D" w:rsidRDefault="000E56B2" w:rsidP="005D12B9">
            <w:pPr>
              <w:widowControl/>
              <w:shd w:val="clear" w:color="auto" w:fill="FFFFFF"/>
              <w:spacing w:after="0" w:line="240" w:lineRule="auto"/>
              <w:ind w:left="737" w:hanging="170"/>
              <w:jc w:val="both"/>
              <w:rPr>
                <w:rFonts w:ascii="Helvetica" w:eastAsia="Times New Roman" w:hAnsi="Helvetica" w:cs="Helvetica"/>
                <w:sz w:val="20"/>
                <w:szCs w:val="20"/>
                <w:lang w:eastAsia="lv-LV"/>
              </w:rPr>
            </w:pPr>
            <w:r w:rsidRPr="005F5D0D">
              <w:rPr>
                <w:rFonts w:eastAsia="Times New Roman"/>
                <w:sz w:val="24"/>
                <w:szCs w:val="24"/>
                <w:lang w:eastAsia="lv-LV"/>
              </w:rPr>
              <w:t>-</w:t>
            </w:r>
            <w:r w:rsidRPr="005F5D0D">
              <w:rPr>
                <w:rFonts w:eastAsia="Times New Roman"/>
                <w:sz w:val="14"/>
                <w:szCs w:val="14"/>
                <w:lang w:eastAsia="lv-LV"/>
              </w:rPr>
              <w:t>  </w:t>
            </w:r>
            <w:r w:rsidRPr="005F5D0D">
              <w:rPr>
                <w:rFonts w:eastAsia="Times New Roman"/>
                <w:sz w:val="24"/>
                <w:szCs w:val="24"/>
                <w:lang w:eastAsia="lv-LV"/>
              </w:rPr>
              <w:t>nodrošināt finanšu pārskatu lietotājus (ne tikai uzņēmuma īpašniekus, sadarbības partnerus, kreditorus, bet arī investorus u.tml.) ar patiesu un pilnīgu informāciju par uzņēmuma saistībām, saimnieciskās darbības rezultātiem un finanšu stāvokli;</w:t>
            </w:r>
          </w:p>
          <w:p w14:paraId="16796780" w14:textId="77777777" w:rsidR="009A7F01" w:rsidRPr="005F5D0D" w:rsidRDefault="000E56B2" w:rsidP="005D12B9">
            <w:pPr>
              <w:widowControl/>
              <w:shd w:val="clear" w:color="auto" w:fill="FFFFFF"/>
              <w:spacing w:after="0" w:line="240" w:lineRule="auto"/>
              <w:ind w:left="737" w:hanging="170"/>
              <w:jc w:val="both"/>
              <w:rPr>
                <w:rFonts w:ascii="Helvetica" w:eastAsia="Times New Roman" w:hAnsi="Helvetica" w:cs="Helvetica"/>
                <w:sz w:val="20"/>
                <w:szCs w:val="20"/>
                <w:lang w:eastAsia="lv-LV"/>
              </w:rPr>
            </w:pPr>
            <w:r w:rsidRPr="005F5D0D">
              <w:rPr>
                <w:rFonts w:eastAsia="Times New Roman"/>
                <w:sz w:val="24"/>
                <w:szCs w:val="24"/>
                <w:lang w:eastAsia="lv-LV"/>
              </w:rPr>
              <w:t>-</w:t>
            </w:r>
            <w:r w:rsidRPr="005F5D0D">
              <w:rPr>
                <w:rFonts w:eastAsia="Times New Roman"/>
                <w:sz w:val="14"/>
                <w:szCs w:val="14"/>
                <w:lang w:eastAsia="lv-LV"/>
              </w:rPr>
              <w:t>    </w:t>
            </w:r>
            <w:r w:rsidRPr="005F5D0D">
              <w:rPr>
                <w:rFonts w:eastAsia="Times New Roman"/>
                <w:sz w:val="24"/>
                <w:szCs w:val="24"/>
                <w:lang w:eastAsia="lv-LV"/>
              </w:rPr>
              <w:t>nodrošināt pareizu nodokļu aprēķināšanu.</w:t>
            </w:r>
          </w:p>
          <w:p w14:paraId="4A845764" w14:textId="77777777" w:rsidR="009A7F01" w:rsidRPr="005F5D0D" w:rsidRDefault="000E56B2" w:rsidP="005D12B9">
            <w:pPr>
              <w:widowControl/>
              <w:shd w:val="clear" w:color="auto" w:fill="FFFFFF"/>
              <w:spacing w:after="0" w:line="240" w:lineRule="auto"/>
              <w:ind w:right="140" w:firstLine="567"/>
              <w:jc w:val="both"/>
              <w:rPr>
                <w:rFonts w:ascii="Helvetica" w:eastAsia="Times New Roman" w:hAnsi="Helvetica" w:cs="Helvetica"/>
                <w:sz w:val="20"/>
                <w:szCs w:val="20"/>
                <w:lang w:eastAsia="lv-LV"/>
              </w:rPr>
            </w:pPr>
            <w:r w:rsidRPr="005F5D0D">
              <w:rPr>
                <w:rFonts w:eastAsia="Times New Roman"/>
                <w:sz w:val="24"/>
                <w:szCs w:val="24"/>
                <w:lang w:eastAsia="lv-LV"/>
              </w:rPr>
              <w:t>Apzinoties grāmatvedības lielo nozīmi nodokļu aprēķināšanā, grāmatvedim ir nepieciešamas vispusīgas un teicamas zināšanas grāmatvedības jomā, jo, nepārzinot uzskaites principus, pastāv risks pieļaut kļūdas nodokļa bāzes un nodokļa lieluma noteikšanā.</w:t>
            </w:r>
          </w:p>
          <w:p w14:paraId="52197284" w14:textId="77777777" w:rsidR="000D2356" w:rsidRPr="005F5D0D" w:rsidRDefault="000E56B2" w:rsidP="00D818C8">
            <w:pPr>
              <w:widowControl/>
              <w:spacing w:before="100" w:beforeAutospacing="1" w:after="0" w:line="240" w:lineRule="auto"/>
              <w:ind w:firstLine="399"/>
              <w:jc w:val="both"/>
              <w:rPr>
                <w:rFonts w:eastAsia="Times New Roman"/>
                <w:sz w:val="24"/>
                <w:szCs w:val="24"/>
                <w:lang w:eastAsia="lv-LV"/>
              </w:rPr>
            </w:pPr>
            <w:r w:rsidRPr="005F5D0D">
              <w:rPr>
                <w:rFonts w:eastAsia="Times New Roman"/>
                <w:b/>
                <w:iCs/>
                <w:sz w:val="24"/>
                <w:szCs w:val="24"/>
                <w:lang w:eastAsia="lv-LV"/>
              </w:rPr>
              <w:lastRenderedPageBreak/>
              <w:t>Nelegāli iegūtu līdzekļu legalizācijas un terorisma finansēšanas novēršanas prasību ieviešana</w:t>
            </w:r>
            <w:r w:rsidR="00C911D6" w:rsidRPr="005F5D0D">
              <w:rPr>
                <w:rFonts w:eastAsia="Times New Roman"/>
                <w:b/>
                <w:iCs/>
                <w:sz w:val="24"/>
                <w:szCs w:val="24"/>
                <w:lang w:eastAsia="lv-LV"/>
              </w:rPr>
              <w:t>s</w:t>
            </w:r>
            <w:r w:rsidR="00904ECE" w:rsidRPr="005F5D0D">
              <w:rPr>
                <w:rFonts w:eastAsia="Times New Roman"/>
                <w:b/>
                <w:iCs/>
                <w:sz w:val="24"/>
                <w:szCs w:val="24"/>
                <w:lang w:eastAsia="lv-LV"/>
              </w:rPr>
              <w:t xml:space="preserve"> nepieciešamība</w:t>
            </w:r>
            <w:r w:rsidRPr="005F5D0D">
              <w:rPr>
                <w:rFonts w:eastAsia="Times New Roman"/>
                <w:b/>
                <w:iCs/>
                <w:sz w:val="24"/>
                <w:szCs w:val="24"/>
                <w:lang w:eastAsia="lv-LV"/>
              </w:rPr>
              <w:t xml:space="preserve"> grāmatvedības ārpakalpojumu nozarē.</w:t>
            </w:r>
          </w:p>
          <w:p w14:paraId="354B0DF7" w14:textId="41EB52C5" w:rsidR="003E486F" w:rsidRPr="005F5D0D" w:rsidRDefault="000E56B2" w:rsidP="003E486F">
            <w:pPr>
              <w:widowControl/>
              <w:spacing w:before="100" w:beforeAutospacing="1" w:after="0" w:line="240" w:lineRule="auto"/>
              <w:ind w:firstLine="392"/>
              <w:jc w:val="both"/>
              <w:rPr>
                <w:rFonts w:eastAsia="Times New Roman"/>
                <w:iCs/>
                <w:sz w:val="24"/>
                <w:szCs w:val="24"/>
                <w:lang w:eastAsia="lv-LV"/>
              </w:rPr>
            </w:pPr>
            <w:r w:rsidRPr="005F5D0D">
              <w:rPr>
                <w:rFonts w:eastAsia="Times New Roman"/>
                <w:iCs/>
                <w:sz w:val="24"/>
                <w:szCs w:val="24"/>
                <w:lang w:eastAsia="lv-LV"/>
              </w:rPr>
              <w:t xml:space="preserve">Likumprojekts </w:t>
            </w:r>
            <w:r w:rsidR="00D56489" w:rsidRPr="005F5D0D">
              <w:rPr>
                <w:rFonts w:eastAsia="Times New Roman"/>
                <w:iCs/>
                <w:sz w:val="24"/>
                <w:szCs w:val="24"/>
                <w:lang w:eastAsia="lv-LV"/>
              </w:rPr>
              <w:t>“</w:t>
            </w:r>
            <w:r w:rsidRPr="005F5D0D">
              <w:rPr>
                <w:rFonts w:eastAsia="Times New Roman"/>
                <w:iCs/>
                <w:sz w:val="24"/>
                <w:szCs w:val="24"/>
                <w:lang w:eastAsia="lv-LV"/>
              </w:rPr>
              <w:t xml:space="preserve">Grozījumi likumā </w:t>
            </w:r>
            <w:r w:rsidR="005C4CB0" w:rsidRPr="005F5D0D">
              <w:rPr>
                <w:rFonts w:eastAsia="Times New Roman"/>
                <w:iCs/>
                <w:sz w:val="24"/>
                <w:szCs w:val="24"/>
                <w:lang w:eastAsia="lv-LV"/>
              </w:rPr>
              <w:t>“</w:t>
            </w:r>
            <w:r w:rsidRPr="005F5D0D">
              <w:rPr>
                <w:rFonts w:eastAsia="Times New Roman"/>
                <w:iCs/>
                <w:sz w:val="24"/>
                <w:szCs w:val="24"/>
                <w:lang w:eastAsia="lv-LV"/>
              </w:rPr>
              <w:t xml:space="preserve">Par </w:t>
            </w:r>
            <w:r w:rsidRPr="0028468D">
              <w:rPr>
                <w:rFonts w:eastAsia="Times New Roman"/>
                <w:iCs/>
                <w:sz w:val="24"/>
                <w:szCs w:val="24"/>
                <w:lang w:eastAsia="lv-LV"/>
              </w:rPr>
              <w:t>grāmatvedību</w:t>
            </w:r>
            <w:r w:rsidR="005C4CB0" w:rsidRPr="0028468D">
              <w:rPr>
                <w:rFonts w:eastAsia="Times New Roman"/>
                <w:iCs/>
                <w:sz w:val="24"/>
                <w:szCs w:val="24"/>
                <w:lang w:eastAsia="lv-LV"/>
              </w:rPr>
              <w:t>”</w:t>
            </w:r>
            <w:r w:rsidR="00D56489" w:rsidRPr="00DC08B8">
              <w:rPr>
                <w:rFonts w:eastAsia="Times New Roman"/>
                <w:iCs/>
                <w:sz w:val="24"/>
                <w:szCs w:val="24"/>
                <w:lang w:eastAsia="lv-LV"/>
              </w:rPr>
              <w:t>”</w:t>
            </w:r>
            <w:r w:rsidRPr="005F5D0D">
              <w:rPr>
                <w:rFonts w:eastAsia="Times New Roman"/>
                <w:iCs/>
                <w:sz w:val="24"/>
                <w:szCs w:val="24"/>
                <w:lang w:eastAsia="lv-LV"/>
              </w:rPr>
              <w:t xml:space="preserve"> (turpmāk – Likumprojekts) izstrādāts, lai regulētu grāmatvedības ārpakalpojumu sniedzēju darbības tiesiskos pamatus un nodrošinātu šo personu profesionālas darbības uzraudzību, lai novērstu noziedzīgi iegūtu līdzekļu legalizāciju un terorisma finansēšanu un sekmētu stabilu, kvalitatīvu un uzticamu grāmatvedības pakalpojumu sniegšanu.</w:t>
            </w:r>
          </w:p>
          <w:p w14:paraId="1B6398AC" w14:textId="257308CD" w:rsidR="003E486F" w:rsidRPr="005F5D0D" w:rsidRDefault="000E56B2" w:rsidP="003E486F">
            <w:pPr>
              <w:widowControl/>
              <w:spacing w:before="100" w:beforeAutospacing="1" w:after="0" w:line="240" w:lineRule="auto"/>
              <w:ind w:firstLine="392"/>
              <w:jc w:val="both"/>
              <w:rPr>
                <w:rFonts w:eastAsia="Times New Roman"/>
                <w:iCs/>
                <w:sz w:val="24"/>
                <w:szCs w:val="24"/>
                <w:lang w:eastAsia="lv-LV"/>
              </w:rPr>
            </w:pPr>
            <w:r w:rsidRPr="005F5D0D">
              <w:rPr>
                <w:rFonts w:eastAsia="Times New Roman"/>
                <w:iCs/>
                <w:sz w:val="24"/>
                <w:szCs w:val="24"/>
                <w:lang w:eastAsia="lv-LV"/>
              </w:rPr>
              <w:t xml:space="preserve">2015.gada 20.maijā tika publicēta Eiropas Parlamenta un Padomes Direktīva (ES) 2015/849 par to, lai nepieļautu finanšu sistēmas izmantošanu nelikumīgi iegūtu līdzekļu legalizēšanai vai teroristu finansēšanai, un ar ko groza Eiropas Parlamenta un Padomes Regulu (ES) Nr.684/2012 un atceļ Eiropas Parlamenta Padomes Direktīvu 2005/60/EK un Komisijas Direktīvu 2006/70/EK (turpmāk - AML IV Direktīva). AML IV Direktīva tika </w:t>
            </w:r>
            <w:r w:rsidR="005C4CB0" w:rsidRPr="005F5D0D">
              <w:rPr>
                <w:rFonts w:eastAsia="Times New Roman"/>
                <w:iCs/>
                <w:sz w:val="24"/>
                <w:szCs w:val="24"/>
                <w:lang w:eastAsia="lv-LV"/>
              </w:rPr>
              <w:t xml:space="preserve">transponēta </w:t>
            </w:r>
            <w:r w:rsidRPr="005F5D0D">
              <w:rPr>
                <w:rFonts w:eastAsia="Times New Roman"/>
                <w:iCs/>
                <w:sz w:val="24"/>
                <w:szCs w:val="24"/>
                <w:lang w:eastAsia="lv-LV"/>
              </w:rPr>
              <w:t xml:space="preserve">ar 2017.gada 26.oktobra grozījumiem </w:t>
            </w:r>
            <w:r w:rsidR="00805715" w:rsidRPr="005F5D0D">
              <w:rPr>
                <w:rFonts w:eastAsia="Times New Roman"/>
                <w:iCs/>
                <w:sz w:val="24"/>
                <w:szCs w:val="24"/>
                <w:lang w:eastAsia="lv-LV"/>
              </w:rPr>
              <w:t>NILLTFN</w:t>
            </w:r>
            <w:r w:rsidRPr="005F5D0D">
              <w:rPr>
                <w:rFonts w:eastAsia="Times New Roman"/>
                <w:iCs/>
                <w:sz w:val="24"/>
                <w:szCs w:val="24"/>
                <w:lang w:eastAsia="lv-LV"/>
              </w:rPr>
              <w:t xml:space="preserve"> likumā.</w:t>
            </w:r>
            <w:r w:rsidR="00F75B6C" w:rsidRPr="005F5D0D">
              <w:rPr>
                <w:rFonts w:eastAsia="Times New Roman"/>
                <w:iCs/>
                <w:sz w:val="24"/>
                <w:szCs w:val="24"/>
                <w:lang w:eastAsia="lv-LV"/>
              </w:rPr>
              <w:t xml:space="preserve"> Papildus jānorāda, ka ar plānotajiem grozījumiem likumā “Par grāmatvedību” tiks transponētas AML IV Direktīvas 47.panta 3.punkta prasības.</w:t>
            </w:r>
          </w:p>
          <w:p w14:paraId="56E4AD17" w14:textId="213E5DF1" w:rsidR="003E486F" w:rsidRPr="005F5D0D" w:rsidRDefault="000E56B2" w:rsidP="00526AAF">
            <w:pPr>
              <w:widowControl/>
              <w:spacing w:after="0" w:line="240" w:lineRule="auto"/>
              <w:ind w:firstLine="392"/>
              <w:jc w:val="both"/>
              <w:rPr>
                <w:rFonts w:eastAsia="Times New Roman"/>
                <w:iCs/>
                <w:sz w:val="24"/>
                <w:szCs w:val="24"/>
                <w:lang w:eastAsia="lv-LV"/>
              </w:rPr>
            </w:pPr>
            <w:r w:rsidRPr="005F5D0D">
              <w:rPr>
                <w:rFonts w:eastAsia="Times New Roman"/>
                <w:iCs/>
                <w:sz w:val="24"/>
                <w:szCs w:val="24"/>
                <w:lang w:eastAsia="lv-LV"/>
              </w:rPr>
              <w:t xml:space="preserve">Grāmatvedības ārpakalpojuma sniedzēji </w:t>
            </w:r>
            <w:r w:rsidR="005C4CB0" w:rsidRPr="005F5D0D">
              <w:rPr>
                <w:rFonts w:eastAsia="Times New Roman"/>
                <w:iCs/>
                <w:sz w:val="24"/>
                <w:szCs w:val="24"/>
                <w:lang w:eastAsia="lv-LV"/>
              </w:rPr>
              <w:t xml:space="preserve">kā subjekti </w:t>
            </w:r>
            <w:r w:rsidRPr="005F5D0D">
              <w:rPr>
                <w:rFonts w:eastAsia="Times New Roman"/>
                <w:iCs/>
                <w:sz w:val="24"/>
                <w:szCs w:val="24"/>
                <w:lang w:eastAsia="lv-LV"/>
              </w:rPr>
              <w:t xml:space="preserve">ir </w:t>
            </w:r>
            <w:r w:rsidR="005C4CB0" w:rsidRPr="005F5D0D">
              <w:rPr>
                <w:rFonts w:eastAsia="Times New Roman"/>
                <w:iCs/>
                <w:sz w:val="24"/>
                <w:szCs w:val="24"/>
                <w:lang w:eastAsia="lv-LV"/>
              </w:rPr>
              <w:t xml:space="preserve">minēti gan </w:t>
            </w:r>
            <w:r w:rsidRPr="005F5D0D">
              <w:rPr>
                <w:rFonts w:eastAsia="Times New Roman"/>
                <w:iCs/>
                <w:sz w:val="24"/>
                <w:szCs w:val="24"/>
                <w:lang w:eastAsia="lv-LV"/>
              </w:rPr>
              <w:t>NILLTFN likum</w:t>
            </w:r>
            <w:r w:rsidR="005C4CB0" w:rsidRPr="005F5D0D">
              <w:rPr>
                <w:rFonts w:eastAsia="Times New Roman"/>
                <w:iCs/>
                <w:sz w:val="24"/>
                <w:szCs w:val="24"/>
                <w:lang w:eastAsia="lv-LV"/>
              </w:rPr>
              <w:t>ā, gan</w:t>
            </w:r>
            <w:r w:rsidRPr="005F5D0D">
              <w:rPr>
                <w:rFonts w:eastAsia="Times New Roman"/>
                <w:iCs/>
                <w:sz w:val="24"/>
                <w:szCs w:val="24"/>
                <w:lang w:eastAsia="lv-LV"/>
              </w:rPr>
              <w:t xml:space="preserve"> AML IV Direktīv</w:t>
            </w:r>
            <w:r w:rsidR="005C4CB0" w:rsidRPr="005F5D0D">
              <w:rPr>
                <w:rFonts w:eastAsia="Times New Roman"/>
                <w:iCs/>
                <w:sz w:val="24"/>
                <w:szCs w:val="24"/>
                <w:lang w:eastAsia="lv-LV"/>
              </w:rPr>
              <w:t>ā</w:t>
            </w:r>
            <w:r w:rsidRPr="005F5D0D">
              <w:rPr>
                <w:rFonts w:eastAsia="Times New Roman"/>
                <w:iCs/>
                <w:sz w:val="24"/>
                <w:szCs w:val="24"/>
                <w:lang w:eastAsia="lv-LV"/>
              </w:rPr>
              <w:t>. Grāmatvedības ārpakalpojuma sniedzējiem ir pienākums savā darbā ievērot NILLTFN likuma un AML IV Direktīvas prasības, tostarp izveidot efektīvu iekšējās kontroles sistēmu, novēršot noziedzīgi iegūtu līdzekļu legalizācijas un terorisma finansēšanas riskus.</w:t>
            </w:r>
          </w:p>
          <w:p w14:paraId="1DD12473" w14:textId="77777777" w:rsidR="00C911D6" w:rsidRPr="005F5D0D" w:rsidRDefault="000E56B2" w:rsidP="00526AAF">
            <w:pPr>
              <w:widowControl/>
              <w:spacing w:after="0" w:line="240" w:lineRule="auto"/>
              <w:ind w:firstLine="392"/>
              <w:jc w:val="both"/>
              <w:rPr>
                <w:rFonts w:eastAsia="Times New Roman"/>
                <w:iCs/>
                <w:sz w:val="24"/>
                <w:szCs w:val="24"/>
                <w:lang w:eastAsia="lv-LV"/>
              </w:rPr>
            </w:pPr>
            <w:r w:rsidRPr="005F5D0D">
              <w:rPr>
                <w:rFonts w:eastAsia="Times New Roman"/>
                <w:iCs/>
                <w:sz w:val="24"/>
                <w:szCs w:val="24"/>
                <w:lang w:eastAsia="lv-LV"/>
              </w:rPr>
              <w:t>Galvenie riski un ievainojamības faktori grāmatvedības ārpakalpojumu sektorā noziedzīgi iegūtu līdzekļu legalizācijas un terorisma finansēšanas jomā ir:</w:t>
            </w:r>
          </w:p>
          <w:p w14:paraId="7B700220" w14:textId="29027560" w:rsidR="00C911D6" w:rsidRPr="005F5D0D" w:rsidRDefault="000E56B2" w:rsidP="00526AAF">
            <w:pPr>
              <w:widowControl/>
              <w:spacing w:after="0" w:line="240" w:lineRule="auto"/>
              <w:ind w:firstLine="392"/>
              <w:jc w:val="both"/>
              <w:rPr>
                <w:rFonts w:eastAsia="Times New Roman"/>
                <w:iCs/>
                <w:sz w:val="24"/>
                <w:szCs w:val="24"/>
                <w:lang w:eastAsia="lv-LV"/>
              </w:rPr>
            </w:pPr>
            <w:r w:rsidRPr="005F5D0D">
              <w:rPr>
                <w:rFonts w:eastAsia="Times New Roman"/>
                <w:iCs/>
                <w:sz w:val="24"/>
                <w:szCs w:val="24"/>
                <w:lang w:eastAsia="lv-LV"/>
              </w:rPr>
              <w:t xml:space="preserve">a) </w:t>
            </w:r>
            <w:r w:rsidR="00212C7A" w:rsidRPr="005F5D0D">
              <w:rPr>
                <w:rFonts w:eastAsia="Times New Roman"/>
                <w:iCs/>
                <w:sz w:val="24"/>
                <w:szCs w:val="24"/>
                <w:lang w:eastAsia="lv-LV"/>
              </w:rPr>
              <w:t xml:space="preserve">profesionāla </w:t>
            </w:r>
            <w:r w:rsidRPr="005F5D0D">
              <w:rPr>
                <w:rFonts w:eastAsia="Times New Roman"/>
                <w:iCs/>
                <w:sz w:val="24"/>
                <w:szCs w:val="24"/>
                <w:lang w:eastAsia="lv-LV"/>
              </w:rPr>
              <w:t>līdzdalība noziedzīgi iegūtu līdzekļu legalizēšan</w:t>
            </w:r>
            <w:r w:rsidR="00212C7A" w:rsidRPr="005F5D0D">
              <w:rPr>
                <w:rFonts w:eastAsia="Times New Roman"/>
                <w:iCs/>
                <w:sz w:val="24"/>
                <w:szCs w:val="24"/>
                <w:lang w:eastAsia="lv-LV"/>
              </w:rPr>
              <w:t>ā</w:t>
            </w:r>
            <w:r w:rsidRPr="005F5D0D">
              <w:rPr>
                <w:rFonts w:eastAsia="Times New Roman"/>
                <w:iCs/>
                <w:sz w:val="24"/>
                <w:szCs w:val="24"/>
                <w:lang w:eastAsia="lv-LV"/>
              </w:rPr>
              <w:t xml:space="preserve"> (turpmāk -  NILL); </w:t>
            </w:r>
          </w:p>
          <w:p w14:paraId="130E883A" w14:textId="77777777" w:rsidR="00C911D6" w:rsidRPr="005F5D0D" w:rsidRDefault="000E56B2" w:rsidP="00526AAF">
            <w:pPr>
              <w:widowControl/>
              <w:spacing w:after="0" w:line="240" w:lineRule="auto"/>
              <w:ind w:firstLine="392"/>
              <w:jc w:val="both"/>
              <w:rPr>
                <w:rFonts w:eastAsia="Times New Roman"/>
                <w:iCs/>
                <w:sz w:val="24"/>
                <w:szCs w:val="24"/>
                <w:lang w:eastAsia="lv-LV"/>
              </w:rPr>
            </w:pPr>
            <w:r w:rsidRPr="005F5D0D">
              <w:rPr>
                <w:rFonts w:eastAsia="Times New Roman"/>
                <w:iCs/>
                <w:sz w:val="24"/>
                <w:szCs w:val="24"/>
                <w:lang w:eastAsia="lv-LV"/>
              </w:rPr>
              <w:t xml:space="preserve">b) slepenas vienošanās ar citiem regulētā sektora subjektiem; </w:t>
            </w:r>
          </w:p>
          <w:p w14:paraId="2F8CE3A0" w14:textId="0E7C6CF0" w:rsidR="00C911D6" w:rsidRPr="005F5D0D" w:rsidRDefault="000E56B2" w:rsidP="00526AAF">
            <w:pPr>
              <w:widowControl/>
              <w:spacing w:after="0" w:line="240" w:lineRule="auto"/>
              <w:ind w:firstLine="392"/>
              <w:jc w:val="both"/>
              <w:rPr>
                <w:rFonts w:eastAsia="Times New Roman"/>
                <w:iCs/>
                <w:sz w:val="24"/>
                <w:szCs w:val="24"/>
                <w:lang w:eastAsia="lv-LV"/>
              </w:rPr>
            </w:pPr>
            <w:r w:rsidRPr="005F5D0D">
              <w:rPr>
                <w:rFonts w:eastAsia="Times New Roman"/>
                <w:iCs/>
                <w:sz w:val="24"/>
                <w:szCs w:val="24"/>
                <w:lang w:eastAsia="lv-LV"/>
              </w:rPr>
              <w:t>c) struktūr</w:t>
            </w:r>
            <w:r w:rsidR="00212C7A" w:rsidRPr="005F5D0D">
              <w:rPr>
                <w:rFonts w:eastAsia="Times New Roman"/>
                <w:iCs/>
                <w:sz w:val="24"/>
                <w:szCs w:val="24"/>
                <w:lang w:eastAsia="lv-LV"/>
              </w:rPr>
              <w:t>u</w:t>
            </w:r>
            <w:r w:rsidRPr="005F5D0D">
              <w:rPr>
                <w:rFonts w:eastAsia="Times New Roman"/>
                <w:iCs/>
                <w:sz w:val="24"/>
                <w:szCs w:val="24"/>
                <w:lang w:eastAsia="lv-LV"/>
              </w:rPr>
              <w:t xml:space="preserve"> </w:t>
            </w:r>
            <w:r w:rsidR="00212C7A" w:rsidRPr="005F5D0D">
              <w:rPr>
                <w:rFonts w:eastAsia="Times New Roman"/>
                <w:iCs/>
                <w:sz w:val="24"/>
                <w:szCs w:val="24"/>
                <w:lang w:eastAsia="lv-LV"/>
              </w:rPr>
              <w:t>izveide,</w:t>
            </w:r>
            <w:r w:rsidRPr="005F5D0D">
              <w:rPr>
                <w:rFonts w:eastAsia="Times New Roman"/>
                <w:iCs/>
                <w:sz w:val="24"/>
                <w:szCs w:val="24"/>
                <w:lang w:eastAsia="lv-LV"/>
              </w:rPr>
              <w:t xml:space="preserve"> kas ļauj veikt NILL;</w:t>
            </w:r>
          </w:p>
          <w:p w14:paraId="4B0540B3" w14:textId="77777777" w:rsidR="00904ECE" w:rsidRPr="005F5D0D" w:rsidRDefault="000E56B2" w:rsidP="00526AAF">
            <w:pPr>
              <w:widowControl/>
              <w:spacing w:after="0" w:line="240" w:lineRule="auto"/>
              <w:ind w:firstLine="392"/>
              <w:jc w:val="both"/>
              <w:rPr>
                <w:rFonts w:eastAsia="Times New Roman"/>
                <w:iCs/>
                <w:sz w:val="24"/>
                <w:szCs w:val="24"/>
                <w:lang w:eastAsia="lv-LV"/>
              </w:rPr>
            </w:pPr>
            <w:r w:rsidRPr="005F5D0D">
              <w:rPr>
                <w:rFonts w:eastAsia="Times New Roman"/>
                <w:iCs/>
                <w:sz w:val="24"/>
                <w:szCs w:val="24"/>
                <w:lang w:eastAsia="lv-LV"/>
              </w:rPr>
              <w:t>d) fiktīvu līgumu un darījumu dokumentu sniegšana;</w:t>
            </w:r>
          </w:p>
          <w:p w14:paraId="238FE91F" w14:textId="77777777" w:rsidR="00C911D6" w:rsidRPr="005F5D0D" w:rsidRDefault="000E56B2" w:rsidP="00526AAF">
            <w:pPr>
              <w:widowControl/>
              <w:spacing w:after="0" w:line="240" w:lineRule="auto"/>
              <w:ind w:firstLine="392"/>
              <w:jc w:val="both"/>
              <w:rPr>
                <w:rFonts w:eastAsia="Times New Roman"/>
                <w:iCs/>
                <w:sz w:val="24"/>
                <w:szCs w:val="24"/>
                <w:lang w:eastAsia="lv-LV"/>
              </w:rPr>
            </w:pPr>
            <w:r w:rsidRPr="005F5D0D">
              <w:rPr>
                <w:rFonts w:eastAsia="Times New Roman"/>
                <w:iCs/>
                <w:sz w:val="24"/>
                <w:szCs w:val="24"/>
                <w:lang w:eastAsia="lv-LV"/>
              </w:rPr>
              <w:t>e) nespēja identificēt aizdomīgus un neparastus darījumus un iesniegt ziņojumus par aizdomīgām darbībām;</w:t>
            </w:r>
          </w:p>
          <w:p w14:paraId="62EF18C9" w14:textId="77777777" w:rsidR="00C911D6" w:rsidRPr="005F5D0D" w:rsidRDefault="000E56B2" w:rsidP="00526AAF">
            <w:pPr>
              <w:widowControl/>
              <w:spacing w:after="0" w:line="240" w:lineRule="auto"/>
              <w:ind w:firstLine="392"/>
              <w:jc w:val="both"/>
              <w:rPr>
                <w:rFonts w:eastAsia="Times New Roman"/>
                <w:iCs/>
                <w:sz w:val="24"/>
                <w:szCs w:val="24"/>
                <w:lang w:eastAsia="lv-LV"/>
              </w:rPr>
            </w:pPr>
            <w:r w:rsidRPr="005F5D0D">
              <w:rPr>
                <w:rFonts w:eastAsia="Times New Roman"/>
                <w:iCs/>
                <w:sz w:val="24"/>
                <w:szCs w:val="24"/>
                <w:lang w:eastAsia="lv-LV"/>
              </w:rPr>
              <w:t>f) praktiski nepastāv darbības uzsākšanas kontrole;</w:t>
            </w:r>
          </w:p>
          <w:p w14:paraId="0996BEA6" w14:textId="64D83378" w:rsidR="00C911D6" w:rsidRPr="005F5D0D" w:rsidRDefault="000E56B2" w:rsidP="00526AAF">
            <w:pPr>
              <w:widowControl/>
              <w:spacing w:after="0" w:line="240" w:lineRule="auto"/>
              <w:ind w:firstLine="392"/>
              <w:jc w:val="both"/>
              <w:rPr>
                <w:rFonts w:eastAsia="Times New Roman"/>
                <w:iCs/>
                <w:sz w:val="24"/>
                <w:szCs w:val="24"/>
                <w:lang w:eastAsia="lv-LV"/>
              </w:rPr>
            </w:pPr>
            <w:r w:rsidRPr="005F5D0D">
              <w:rPr>
                <w:rFonts w:eastAsia="Times New Roman"/>
                <w:iCs/>
                <w:sz w:val="24"/>
                <w:szCs w:val="24"/>
                <w:lang w:eastAsia="lv-LV"/>
              </w:rPr>
              <w:t xml:space="preserve">g) vāja </w:t>
            </w:r>
            <w:r w:rsidR="004A0EFD" w:rsidRPr="005F5D0D">
              <w:rPr>
                <w:rFonts w:eastAsia="Times New Roman"/>
                <w:iCs/>
                <w:sz w:val="24"/>
                <w:szCs w:val="24"/>
                <w:lang w:eastAsia="lv-LV"/>
              </w:rPr>
              <w:t xml:space="preserve">Valsts ieņēmumu dienesta (turpmāk – </w:t>
            </w:r>
            <w:r w:rsidRPr="005F5D0D">
              <w:rPr>
                <w:rFonts w:eastAsia="Times New Roman"/>
                <w:iCs/>
                <w:sz w:val="24"/>
                <w:szCs w:val="24"/>
                <w:lang w:eastAsia="lv-LV"/>
              </w:rPr>
              <w:t>VID</w:t>
            </w:r>
            <w:r w:rsidR="004A0EFD" w:rsidRPr="005F5D0D">
              <w:rPr>
                <w:rFonts w:eastAsia="Times New Roman"/>
                <w:iCs/>
                <w:sz w:val="24"/>
                <w:szCs w:val="24"/>
                <w:lang w:eastAsia="lv-LV"/>
              </w:rPr>
              <w:t>)</w:t>
            </w:r>
            <w:r w:rsidRPr="005F5D0D">
              <w:rPr>
                <w:rFonts w:eastAsia="Times New Roman"/>
                <w:iCs/>
                <w:sz w:val="24"/>
                <w:szCs w:val="24"/>
                <w:lang w:eastAsia="lv-LV"/>
              </w:rPr>
              <w:t xml:space="preserve"> veicamā subjektu uzraudzība.</w:t>
            </w:r>
            <w:r w:rsidRPr="005F5D0D">
              <w:rPr>
                <w:rFonts w:eastAsia="Times New Roman"/>
                <w:iCs/>
                <w:sz w:val="24"/>
                <w:szCs w:val="24"/>
                <w:vertAlign w:val="superscript"/>
                <w:lang w:eastAsia="lv-LV"/>
              </w:rPr>
              <w:footnoteReference w:id="1"/>
            </w:r>
          </w:p>
          <w:p w14:paraId="771CA1CB" w14:textId="77777777" w:rsidR="00C911D6" w:rsidRPr="005F5D0D" w:rsidRDefault="000E56B2" w:rsidP="00526AAF">
            <w:pPr>
              <w:widowControl/>
              <w:spacing w:after="0" w:line="240" w:lineRule="auto"/>
              <w:ind w:firstLine="399"/>
              <w:jc w:val="both"/>
              <w:rPr>
                <w:rFonts w:eastAsia="Times New Roman"/>
                <w:iCs/>
                <w:sz w:val="24"/>
                <w:szCs w:val="24"/>
                <w:lang w:eastAsia="lv-LV"/>
              </w:rPr>
            </w:pPr>
            <w:r w:rsidRPr="005F5D0D">
              <w:rPr>
                <w:rFonts w:eastAsia="Times New Roman"/>
                <w:iCs/>
                <w:sz w:val="24"/>
                <w:szCs w:val="24"/>
                <w:lang w:eastAsia="lv-LV"/>
              </w:rPr>
              <w:t xml:space="preserve">Papildus iepriekš minētajiem riskiem Latvijas nacionālā nelegāli iegūtu līdzekļu legalizācijas un terorisma finansēšanas risku novērtējumā (turpmāk – NRA) ir norādītas arī šādas ar grāmatvedības ārpakalpojumu sniedzējiem saistītas problēmsituācijas: </w:t>
            </w:r>
          </w:p>
          <w:p w14:paraId="2077F17E" w14:textId="701E4595" w:rsidR="00C911D6" w:rsidRPr="0028468D" w:rsidRDefault="00212C7A" w:rsidP="00C911D6">
            <w:pPr>
              <w:widowControl/>
              <w:numPr>
                <w:ilvl w:val="0"/>
                <w:numId w:val="1"/>
              </w:numPr>
              <w:spacing w:before="100" w:beforeAutospacing="1" w:after="0" w:line="240" w:lineRule="auto"/>
              <w:ind w:left="540"/>
              <w:jc w:val="both"/>
              <w:rPr>
                <w:rFonts w:eastAsia="Times New Roman"/>
                <w:iCs/>
                <w:sz w:val="24"/>
                <w:szCs w:val="24"/>
                <w:lang w:eastAsia="lv-LV"/>
              </w:rPr>
            </w:pPr>
            <w:r w:rsidRPr="005F5D0D">
              <w:rPr>
                <w:rFonts w:eastAsia="Times New Roman"/>
                <w:iCs/>
                <w:sz w:val="24"/>
                <w:szCs w:val="24"/>
                <w:lang w:eastAsia="lv-LV"/>
              </w:rPr>
              <w:lastRenderedPageBreak/>
              <w:t>n</w:t>
            </w:r>
            <w:r w:rsidR="000E56B2" w:rsidRPr="005F5D0D">
              <w:rPr>
                <w:rFonts w:eastAsia="Times New Roman"/>
                <w:iCs/>
                <w:sz w:val="24"/>
                <w:szCs w:val="24"/>
                <w:lang w:eastAsia="lv-LV"/>
              </w:rPr>
              <w:t>ormatīvajos aktos izvirzāmas darbības uzsākšanas prasības nav pietiekamas un neparedz subjektu atbilstības NILLTFN</w:t>
            </w:r>
            <w:r w:rsidR="00B36821">
              <w:rPr>
                <w:rFonts w:eastAsia="Times New Roman"/>
                <w:iCs/>
                <w:sz w:val="24"/>
                <w:szCs w:val="24"/>
                <w:lang w:eastAsia="lv-LV"/>
              </w:rPr>
              <w:t xml:space="preserve"> </w:t>
            </w:r>
            <w:r w:rsidR="00B36821" w:rsidRPr="00DC08B8">
              <w:rPr>
                <w:rFonts w:eastAsia="Times New Roman"/>
                <w:iCs/>
                <w:sz w:val="24"/>
                <w:szCs w:val="24"/>
                <w:lang w:eastAsia="lv-LV"/>
              </w:rPr>
              <w:t>likuma</w:t>
            </w:r>
            <w:r w:rsidR="000E56B2" w:rsidRPr="0028468D">
              <w:rPr>
                <w:rFonts w:eastAsia="Times New Roman"/>
                <w:iCs/>
                <w:sz w:val="24"/>
                <w:szCs w:val="24"/>
                <w:lang w:eastAsia="lv-LV"/>
              </w:rPr>
              <w:t xml:space="preserve"> prasībām pārbaudi.</w:t>
            </w:r>
            <w:r w:rsidR="000E56B2" w:rsidRPr="0028468D">
              <w:rPr>
                <w:rFonts w:eastAsia="Times New Roman"/>
                <w:iCs/>
                <w:sz w:val="24"/>
                <w:szCs w:val="24"/>
                <w:vertAlign w:val="superscript"/>
                <w:lang w:eastAsia="lv-LV"/>
              </w:rPr>
              <w:footnoteReference w:id="2"/>
            </w:r>
            <w:r w:rsidR="000E56B2" w:rsidRPr="0028468D">
              <w:rPr>
                <w:rFonts w:eastAsia="Times New Roman"/>
                <w:iCs/>
                <w:sz w:val="24"/>
                <w:szCs w:val="24"/>
                <w:lang w:eastAsia="lv-LV"/>
              </w:rPr>
              <w:t>;</w:t>
            </w:r>
          </w:p>
          <w:p w14:paraId="34783548" w14:textId="62193938" w:rsidR="00C911D6" w:rsidRPr="005F5D0D" w:rsidRDefault="000E56B2" w:rsidP="00C911D6">
            <w:pPr>
              <w:widowControl/>
              <w:numPr>
                <w:ilvl w:val="0"/>
                <w:numId w:val="1"/>
              </w:numPr>
              <w:spacing w:before="100" w:beforeAutospacing="1" w:after="0" w:line="240" w:lineRule="auto"/>
              <w:ind w:left="540"/>
              <w:jc w:val="both"/>
              <w:rPr>
                <w:rFonts w:eastAsia="Times New Roman"/>
                <w:iCs/>
                <w:sz w:val="24"/>
                <w:szCs w:val="24"/>
                <w:lang w:eastAsia="lv-LV"/>
              </w:rPr>
            </w:pPr>
            <w:r w:rsidRPr="005F5D0D">
              <w:rPr>
                <w:rFonts w:eastAsia="Times New Roman"/>
                <w:iCs/>
                <w:sz w:val="24"/>
                <w:szCs w:val="24"/>
                <w:lang w:eastAsia="lv-LV"/>
              </w:rPr>
              <w:t xml:space="preserve">ārpakalpojuma  </w:t>
            </w:r>
            <w:r w:rsidR="00AF2058" w:rsidRPr="005F5D0D">
              <w:rPr>
                <w:rFonts w:eastAsia="Times New Roman"/>
                <w:iCs/>
                <w:sz w:val="24"/>
                <w:szCs w:val="24"/>
                <w:lang w:eastAsia="lv-LV"/>
              </w:rPr>
              <w:t>grāmatved</w:t>
            </w:r>
            <w:r w:rsidR="005D12B9" w:rsidRPr="005F5D0D">
              <w:rPr>
                <w:rFonts w:eastAsia="Times New Roman"/>
                <w:iCs/>
                <w:sz w:val="24"/>
                <w:szCs w:val="24"/>
                <w:lang w:eastAsia="lv-LV"/>
              </w:rPr>
              <w:t>ības</w:t>
            </w:r>
            <w:r w:rsidRPr="005F5D0D">
              <w:rPr>
                <w:rFonts w:eastAsia="Times New Roman"/>
                <w:iCs/>
                <w:sz w:val="24"/>
                <w:szCs w:val="24"/>
                <w:lang w:eastAsia="lv-LV"/>
              </w:rPr>
              <w:t xml:space="preserve"> </w:t>
            </w:r>
            <w:r w:rsidR="00D46C2F" w:rsidRPr="005F5D0D">
              <w:rPr>
                <w:rFonts w:eastAsia="Times New Roman"/>
                <w:iCs/>
                <w:sz w:val="24"/>
                <w:szCs w:val="24"/>
                <w:lang w:eastAsia="lv-LV"/>
              </w:rPr>
              <w:t xml:space="preserve">[..] </w:t>
            </w:r>
            <w:r w:rsidRPr="005F5D0D">
              <w:rPr>
                <w:rFonts w:eastAsia="Times New Roman"/>
                <w:iCs/>
                <w:sz w:val="24"/>
                <w:szCs w:val="24"/>
                <w:lang w:eastAsia="lv-LV"/>
              </w:rPr>
              <w:t xml:space="preserve">pakalpojumu nozarei piemīt vidēji augsts NILL ievainojamības līmenis. Būtisku risku ārpakalpojuma  grāmatvežu    pakalpojumu  sniedzēju darbībā rada iespēja sniegt pakalpojumus anonīmiem klientiem un neklātienē, kā arī </w:t>
            </w:r>
            <w:r w:rsidRPr="005F5D0D">
              <w:rPr>
                <w:rFonts w:eastAsia="Times New Roman"/>
                <w:iCs/>
                <w:noProof/>
                <w:sz w:val="24"/>
                <w:szCs w:val="24"/>
                <w:lang w:eastAsia="lv-LV"/>
              </w:rPr>
              <mc:AlternateContent>
                <mc:Choice Requires="wps">
                  <w:drawing>
                    <wp:anchor distT="0" distB="0" distL="114300" distR="114300" simplePos="0" relativeHeight="251658240" behindDoc="0" locked="0" layoutInCell="1" allowOverlap="1" wp14:anchorId="422213B5" wp14:editId="305AD940">
                      <wp:simplePos x="0" y="0"/>
                      <wp:positionH relativeFrom="page">
                        <wp:posOffset>27305</wp:posOffset>
                      </wp:positionH>
                      <wp:positionV relativeFrom="paragraph">
                        <wp:posOffset>5732780</wp:posOffset>
                      </wp:positionV>
                      <wp:extent cx="0" cy="0"/>
                      <wp:effectExtent l="8255" t="5602605" r="10795" b="5598160"/>
                      <wp:wrapNone/>
                      <wp:docPr id="1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5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7F22B588">
                    <v:line w14:anchorId="17B48395" id="Line 1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5pt,451.4pt" to="2.15pt,4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" strokeweight=".08481mm">
                      <w10:wrap anchorx="page"/>
                    </v:line>
                  </w:pict>
                </mc:Fallback>
              </mc:AlternateContent>
            </w:r>
            <w:r w:rsidRPr="005F5D0D">
              <w:rPr>
                <w:rFonts w:eastAsia="Times New Roman"/>
                <w:iCs/>
                <w:sz w:val="24"/>
                <w:szCs w:val="24"/>
                <w:lang w:eastAsia="lv-LV"/>
              </w:rPr>
              <w:t>ziņojumu par neparastiem vai aizdomīgiem darījumiem neesamība;</w:t>
            </w:r>
          </w:p>
          <w:p w14:paraId="02A0E214" w14:textId="7CB4F594" w:rsidR="00C911D6" w:rsidRPr="005F5D0D" w:rsidRDefault="00212C7A" w:rsidP="00C911D6">
            <w:pPr>
              <w:widowControl/>
              <w:numPr>
                <w:ilvl w:val="0"/>
                <w:numId w:val="1"/>
              </w:numPr>
              <w:spacing w:before="100" w:beforeAutospacing="1" w:after="0" w:line="240" w:lineRule="auto"/>
              <w:ind w:left="540"/>
              <w:jc w:val="both"/>
              <w:rPr>
                <w:rFonts w:eastAsia="Times New Roman"/>
                <w:iCs/>
                <w:sz w:val="24"/>
                <w:szCs w:val="24"/>
                <w:lang w:eastAsia="lv-LV"/>
              </w:rPr>
            </w:pPr>
            <w:r w:rsidRPr="005F5D0D">
              <w:rPr>
                <w:rFonts w:eastAsia="Times New Roman"/>
                <w:iCs/>
                <w:sz w:val="24"/>
                <w:szCs w:val="24"/>
                <w:lang w:eastAsia="lv-LV"/>
              </w:rPr>
              <w:t>ņ</w:t>
            </w:r>
            <w:r w:rsidR="000E56B2" w:rsidRPr="005F5D0D">
              <w:rPr>
                <w:rFonts w:eastAsia="Times New Roman"/>
                <w:iCs/>
                <w:sz w:val="24"/>
                <w:szCs w:val="24"/>
                <w:lang w:eastAsia="lv-LV"/>
              </w:rPr>
              <w:t>emot vērā šo nozaru profesionāļu padziļinātās zināšanas normatīvajos aktos un ekonomikā, pastāv risks, ka tie tiks izmantoti NILL, tai skaitā neapzināti.</w:t>
            </w:r>
            <w:r w:rsidR="000E56B2" w:rsidRPr="005F5D0D">
              <w:rPr>
                <w:rFonts w:eastAsia="Times New Roman"/>
                <w:iCs/>
                <w:sz w:val="24"/>
                <w:szCs w:val="24"/>
                <w:vertAlign w:val="superscript"/>
                <w:lang w:eastAsia="lv-LV"/>
              </w:rPr>
              <w:footnoteReference w:id="3"/>
            </w:r>
          </w:p>
          <w:p w14:paraId="710DC159" w14:textId="7000AE94" w:rsidR="00C911D6" w:rsidRPr="005F5D0D" w:rsidRDefault="000E56B2" w:rsidP="00C911D6">
            <w:pPr>
              <w:widowControl/>
              <w:spacing w:before="100" w:beforeAutospacing="1" w:after="0" w:line="240" w:lineRule="auto"/>
              <w:ind w:firstLine="392"/>
              <w:jc w:val="both"/>
              <w:rPr>
                <w:rFonts w:eastAsia="Times New Roman"/>
                <w:iCs/>
                <w:sz w:val="24"/>
                <w:szCs w:val="24"/>
                <w:lang w:eastAsia="lv-LV"/>
              </w:rPr>
            </w:pPr>
            <w:r w:rsidRPr="005F5D0D">
              <w:rPr>
                <w:rFonts w:eastAsia="Times New Roman"/>
                <w:iCs/>
                <w:sz w:val="24"/>
                <w:szCs w:val="24"/>
                <w:lang w:eastAsia="lv-LV"/>
              </w:rPr>
              <w:t xml:space="preserve">Likumprojekta ietvaros ir </w:t>
            </w:r>
            <w:r w:rsidR="006E3B9E" w:rsidRPr="005F5D0D">
              <w:rPr>
                <w:rFonts w:eastAsia="Times New Roman"/>
                <w:iCs/>
                <w:sz w:val="24"/>
                <w:szCs w:val="24"/>
                <w:lang w:eastAsia="lv-LV"/>
              </w:rPr>
              <w:t>rasti</w:t>
            </w:r>
            <w:r w:rsidR="00337C0A" w:rsidRPr="005F5D0D">
              <w:rPr>
                <w:rFonts w:eastAsia="Times New Roman"/>
                <w:iCs/>
                <w:sz w:val="24"/>
                <w:szCs w:val="24"/>
                <w:lang w:eastAsia="lv-LV"/>
              </w:rPr>
              <w:t xml:space="preserve"> </w:t>
            </w:r>
            <w:r w:rsidRPr="005F5D0D">
              <w:rPr>
                <w:rFonts w:eastAsia="Times New Roman"/>
                <w:iCs/>
                <w:sz w:val="24"/>
                <w:szCs w:val="24"/>
                <w:lang w:eastAsia="lv-LV"/>
              </w:rPr>
              <w:t>risinājumi NRA identificētajām problēmām. Licencēšanas mehānisms, kurā kā kritērijs ir iekļautas NILLTFN likuma prasības, efektīvi risinā</w:t>
            </w:r>
            <w:r w:rsidR="00337C0A" w:rsidRPr="005F5D0D">
              <w:rPr>
                <w:rFonts w:eastAsia="Times New Roman"/>
                <w:iCs/>
                <w:sz w:val="24"/>
                <w:szCs w:val="24"/>
                <w:lang w:eastAsia="lv-LV"/>
              </w:rPr>
              <w:t>s</w:t>
            </w:r>
            <w:r w:rsidRPr="005F5D0D">
              <w:rPr>
                <w:rFonts w:eastAsia="Times New Roman"/>
                <w:iCs/>
                <w:sz w:val="24"/>
                <w:szCs w:val="24"/>
                <w:lang w:eastAsia="lv-LV"/>
              </w:rPr>
              <w:t xml:space="preserve"> </w:t>
            </w:r>
            <w:r w:rsidR="00212C7A" w:rsidRPr="005F5D0D">
              <w:rPr>
                <w:rFonts w:eastAsia="Times New Roman"/>
                <w:iCs/>
                <w:sz w:val="24"/>
                <w:szCs w:val="24"/>
                <w:lang w:eastAsia="lv-LV"/>
              </w:rPr>
              <w:t xml:space="preserve">problēmas, kas saistītas ar </w:t>
            </w:r>
            <w:r w:rsidRPr="005F5D0D">
              <w:rPr>
                <w:rFonts w:eastAsia="Times New Roman"/>
                <w:iCs/>
                <w:sz w:val="24"/>
                <w:szCs w:val="24"/>
                <w:lang w:eastAsia="lv-LV"/>
              </w:rPr>
              <w:t xml:space="preserve">darbības uzsākšanas prasību ieviešanu grāmatvedības ārpakalpojumu nozarē. </w:t>
            </w:r>
          </w:p>
          <w:p w14:paraId="37BF7A5B" w14:textId="77777777" w:rsidR="00C911D6" w:rsidRPr="005F5D0D" w:rsidRDefault="000E56B2" w:rsidP="00C911D6">
            <w:pPr>
              <w:widowControl/>
              <w:spacing w:before="100" w:beforeAutospacing="1" w:after="0" w:line="240" w:lineRule="auto"/>
              <w:ind w:firstLine="392"/>
              <w:jc w:val="both"/>
              <w:rPr>
                <w:rFonts w:eastAsia="Times New Roman"/>
                <w:b/>
                <w:iCs/>
                <w:sz w:val="24"/>
                <w:szCs w:val="24"/>
                <w:lang w:eastAsia="lv-LV"/>
              </w:rPr>
            </w:pPr>
            <w:r w:rsidRPr="005F5D0D">
              <w:rPr>
                <w:rFonts w:eastAsia="Times New Roman"/>
                <w:b/>
                <w:iCs/>
                <w:sz w:val="24"/>
                <w:szCs w:val="24"/>
                <w:lang w:eastAsia="lv-LV"/>
              </w:rPr>
              <w:t xml:space="preserve">Likumprojekta atbilstības </w:t>
            </w:r>
            <w:r w:rsidR="00C27452" w:rsidRPr="005F5D0D">
              <w:rPr>
                <w:rFonts w:eastAsia="Times New Roman"/>
                <w:b/>
                <w:iCs/>
                <w:sz w:val="24"/>
                <w:szCs w:val="24"/>
                <w:lang w:eastAsia="lv-LV"/>
              </w:rPr>
              <w:t xml:space="preserve">nodrošināšana </w:t>
            </w:r>
            <w:r w:rsidRPr="005F5D0D">
              <w:rPr>
                <w:rFonts w:eastAsia="Times New Roman"/>
                <w:b/>
                <w:iCs/>
                <w:sz w:val="24"/>
                <w:szCs w:val="24"/>
                <w:lang w:eastAsia="lv-LV"/>
              </w:rPr>
              <w:t xml:space="preserve">Finanšu darījumu darba grupas (FATF) standartiem </w:t>
            </w:r>
            <w:r w:rsidR="00C27452" w:rsidRPr="005F5D0D">
              <w:rPr>
                <w:rFonts w:eastAsia="Times New Roman"/>
                <w:b/>
                <w:iCs/>
                <w:sz w:val="24"/>
                <w:szCs w:val="24"/>
                <w:lang w:eastAsia="lv-LV"/>
              </w:rPr>
              <w:t>un Eiropas padomes Moneyval grupas rekomendācijām</w:t>
            </w:r>
            <w:r w:rsidRPr="005F5D0D">
              <w:rPr>
                <w:rFonts w:eastAsia="Times New Roman"/>
                <w:b/>
                <w:iCs/>
                <w:sz w:val="24"/>
                <w:szCs w:val="24"/>
                <w:lang w:eastAsia="lv-LV"/>
              </w:rPr>
              <w:t>.</w:t>
            </w:r>
          </w:p>
          <w:p w14:paraId="47C5CBC0" w14:textId="2E8AA36F" w:rsidR="003E486F" w:rsidRPr="005F5D0D" w:rsidRDefault="000E56B2" w:rsidP="003E486F">
            <w:pPr>
              <w:widowControl/>
              <w:spacing w:before="100" w:beforeAutospacing="1" w:after="0" w:line="240" w:lineRule="auto"/>
              <w:ind w:firstLine="392"/>
              <w:jc w:val="both"/>
              <w:rPr>
                <w:rFonts w:eastAsia="Times New Roman"/>
                <w:w w:val="105"/>
                <w:sz w:val="24"/>
                <w:szCs w:val="24"/>
              </w:rPr>
            </w:pPr>
            <w:r w:rsidRPr="005F5D0D">
              <w:rPr>
                <w:rFonts w:eastAsia="Times New Roman"/>
                <w:w w:val="105"/>
                <w:sz w:val="24"/>
                <w:szCs w:val="24"/>
              </w:rPr>
              <w:t>Noziedzīgi iegūtu līdzekļu legalizācijas un terorisma finansēšanas novēršanas likuma sākotnējās ietekmes novērtējuma ziņojums no 2017.gada 13.jūnija paredz, ka, Latvijai ir jāharmonizē savs normatīvais regulējums NILLTFN jomā ar starptautiskajiem standartiem. “NILLTFN parasti tiek īstenota starptautiskā vidē. Izvairoties no ierobežotas ietekmes, NILLTFN  pasākumos tiek ņemta vērā starptautiskā koordinācija un sadarbība.</w:t>
            </w:r>
            <w:r w:rsidR="00212C7A" w:rsidRPr="005F5D0D">
              <w:rPr>
                <w:rFonts w:eastAsia="Times New Roman"/>
                <w:w w:val="105"/>
                <w:sz w:val="24"/>
                <w:szCs w:val="24"/>
              </w:rPr>
              <w:t xml:space="preserve"> Ī</w:t>
            </w:r>
            <w:r w:rsidRPr="005F5D0D">
              <w:rPr>
                <w:rFonts w:eastAsia="Times New Roman"/>
                <w:w w:val="105"/>
                <w:sz w:val="24"/>
                <w:szCs w:val="24"/>
              </w:rPr>
              <w:t xml:space="preserve">paši ieteicams ņemt vērā </w:t>
            </w:r>
            <w:r w:rsidR="000F6946" w:rsidRPr="005F5D0D">
              <w:rPr>
                <w:rFonts w:eastAsia="Times New Roman"/>
                <w:w w:val="105"/>
                <w:sz w:val="24"/>
                <w:szCs w:val="24"/>
              </w:rPr>
              <w:t xml:space="preserve">Finanšu darījumu darba grupas (turpmāk – </w:t>
            </w:r>
            <w:r w:rsidRPr="005F5D0D">
              <w:rPr>
                <w:rFonts w:eastAsia="Times New Roman"/>
                <w:w w:val="105"/>
                <w:sz w:val="24"/>
                <w:szCs w:val="24"/>
              </w:rPr>
              <w:t>FATF</w:t>
            </w:r>
            <w:r w:rsidR="000F6946" w:rsidRPr="005F5D0D">
              <w:rPr>
                <w:rFonts w:eastAsia="Times New Roman"/>
                <w:w w:val="105"/>
                <w:sz w:val="24"/>
                <w:szCs w:val="24"/>
              </w:rPr>
              <w:t>)</w:t>
            </w:r>
            <w:r w:rsidRPr="005F5D0D">
              <w:rPr>
                <w:rFonts w:eastAsia="Times New Roman"/>
                <w:w w:val="105"/>
                <w:sz w:val="24"/>
                <w:szCs w:val="24"/>
              </w:rPr>
              <w:t xml:space="preserve"> ieteikumus un </w:t>
            </w:r>
            <w:r w:rsidR="00212C7A" w:rsidRPr="005F5D0D">
              <w:rPr>
                <w:rFonts w:eastAsia="Times New Roman"/>
                <w:w w:val="105"/>
                <w:sz w:val="24"/>
                <w:szCs w:val="24"/>
              </w:rPr>
              <w:t>izstrādātos instrumentus</w:t>
            </w:r>
            <w:r w:rsidR="00212C7A" w:rsidRPr="0028468D">
              <w:rPr>
                <w:rFonts w:eastAsia="Times New Roman"/>
                <w:w w:val="105"/>
                <w:sz w:val="24"/>
                <w:szCs w:val="24"/>
              </w:rPr>
              <w:t>.</w:t>
            </w:r>
            <w:r w:rsidRPr="0028468D">
              <w:rPr>
                <w:rFonts w:eastAsia="Times New Roman"/>
                <w:w w:val="105"/>
                <w:sz w:val="24"/>
                <w:szCs w:val="24"/>
              </w:rPr>
              <w:t xml:space="preserve"> </w:t>
            </w:r>
            <w:r w:rsidRPr="00DC08B8">
              <w:rPr>
                <w:rFonts w:eastAsia="Times New Roman"/>
                <w:w w:val="105"/>
                <w:sz w:val="24"/>
                <w:szCs w:val="24"/>
              </w:rPr>
              <w:t>Efektīvākai NILLTF</w:t>
            </w:r>
            <w:r w:rsidR="00145E67" w:rsidRPr="00DC08B8">
              <w:rPr>
                <w:rFonts w:eastAsia="Times New Roman"/>
                <w:w w:val="105"/>
                <w:sz w:val="24"/>
                <w:szCs w:val="24"/>
              </w:rPr>
              <w:t>N</w:t>
            </w:r>
            <w:r w:rsidRPr="005F5D0D">
              <w:rPr>
                <w:rFonts w:eastAsia="Times New Roman"/>
                <w:w w:val="105"/>
                <w:sz w:val="24"/>
                <w:szCs w:val="24"/>
              </w:rPr>
              <w:t xml:space="preserve"> tiesību aktus ir vēlams pielāgot FATF 2012.gada februārī pieņemtajiem Starptautiskajiem standartiem par nelikumīgi iegūtu līdzekļu legalizācijas, terorisma finansēšanu un ieroču izplatīšanas apkarošanu. ”</w:t>
            </w:r>
            <w:r w:rsidRPr="005F5D0D">
              <w:rPr>
                <w:rFonts w:eastAsia="Times New Roman"/>
                <w:w w:val="105"/>
                <w:sz w:val="24"/>
                <w:szCs w:val="24"/>
                <w:vertAlign w:val="superscript"/>
              </w:rPr>
              <w:footnoteReference w:id="4"/>
            </w:r>
          </w:p>
          <w:p w14:paraId="0A2664A9" w14:textId="53EE80CF" w:rsidR="00514773" w:rsidRPr="005F5D0D" w:rsidRDefault="000E56B2" w:rsidP="00514773">
            <w:pPr>
              <w:widowControl/>
              <w:spacing w:before="100" w:beforeAutospacing="1" w:after="0" w:line="240" w:lineRule="auto"/>
              <w:ind w:firstLine="392"/>
              <w:jc w:val="both"/>
              <w:rPr>
                <w:rFonts w:eastAsia="Times New Roman"/>
                <w:iCs/>
                <w:sz w:val="24"/>
                <w:szCs w:val="24"/>
                <w:lang w:eastAsia="lv-LV"/>
              </w:rPr>
            </w:pPr>
            <w:r w:rsidRPr="005F5D0D">
              <w:rPr>
                <w:rFonts w:eastAsia="Times New Roman"/>
                <w:iCs/>
                <w:sz w:val="24"/>
                <w:szCs w:val="24"/>
                <w:lang w:eastAsia="lv-LV"/>
              </w:rPr>
              <w:t xml:space="preserve">Nepieciešamību sakārtot grāmatvedības nozari Latvijai jau ceturtajā izvērtēšanas kārtā uzsvēra Moneyval eksperti. </w:t>
            </w:r>
            <w:r w:rsidR="00212C7A" w:rsidRPr="005F5D0D">
              <w:rPr>
                <w:rFonts w:eastAsia="Times New Roman"/>
                <w:iCs/>
                <w:sz w:val="24"/>
                <w:szCs w:val="24"/>
                <w:lang w:eastAsia="lv-LV"/>
              </w:rPr>
              <w:t xml:space="preserve">Norādot, ka </w:t>
            </w:r>
            <w:r w:rsidRPr="005F5D0D">
              <w:rPr>
                <w:rFonts w:eastAsia="Times New Roman"/>
                <w:iCs/>
                <w:sz w:val="24"/>
                <w:szCs w:val="24"/>
                <w:lang w:eastAsia="lv-LV"/>
              </w:rPr>
              <w:t>grāmatvedības sektoram ir nepieciešama papildus uzmanība, skaidrojot NILLTFN likuma prasības, atbilstoši to sektoru specifikai.</w:t>
            </w:r>
            <w:r w:rsidRPr="005F5D0D">
              <w:rPr>
                <w:rFonts w:eastAsia="Times New Roman"/>
                <w:iCs/>
                <w:sz w:val="24"/>
                <w:szCs w:val="24"/>
                <w:vertAlign w:val="superscript"/>
                <w:lang w:eastAsia="lv-LV"/>
              </w:rPr>
              <w:footnoteReference w:id="5"/>
            </w:r>
          </w:p>
          <w:p w14:paraId="7DF06E0C" w14:textId="76E67F4B" w:rsidR="00514773" w:rsidRPr="005F5D0D" w:rsidRDefault="000E56B2" w:rsidP="00514773">
            <w:pPr>
              <w:widowControl/>
              <w:spacing w:before="100" w:beforeAutospacing="1" w:after="0" w:line="240" w:lineRule="auto"/>
              <w:ind w:firstLine="392"/>
              <w:jc w:val="both"/>
              <w:rPr>
                <w:rFonts w:eastAsia="Times New Roman"/>
                <w:iCs/>
                <w:sz w:val="24"/>
                <w:szCs w:val="24"/>
                <w:lang w:eastAsia="lv-LV"/>
              </w:rPr>
            </w:pPr>
            <w:r w:rsidRPr="005F5D0D">
              <w:rPr>
                <w:rFonts w:eastAsia="Times New Roman"/>
                <w:iCs/>
                <w:sz w:val="24"/>
                <w:szCs w:val="24"/>
                <w:lang w:eastAsia="lv-LV"/>
              </w:rPr>
              <w:lastRenderedPageBreak/>
              <w:t>Piektās kārtas izvērtējumā Moneyval eksperti skaidri norāda, ka Latvijai ir jāizvērtē grāmatvedības pakalpojumu sniedzēju licencēšanas iespēja</w:t>
            </w:r>
            <w:r w:rsidR="00212C7A" w:rsidRPr="005F5D0D">
              <w:rPr>
                <w:rFonts w:eastAsia="Times New Roman"/>
                <w:iCs/>
                <w:sz w:val="24"/>
                <w:szCs w:val="24"/>
                <w:lang w:eastAsia="lv-LV"/>
              </w:rPr>
              <w:t>, jo grāmatvedības ārpakalpojumu sniedzējiem ir izvirzītas nepietiekami stingras prasības darbības uzsākšanai.</w:t>
            </w:r>
            <w:r w:rsidRPr="005F5D0D">
              <w:rPr>
                <w:rFonts w:eastAsia="Times New Roman"/>
                <w:iCs/>
                <w:sz w:val="24"/>
                <w:szCs w:val="24"/>
                <w:vertAlign w:val="superscript"/>
                <w:lang w:eastAsia="lv-LV"/>
              </w:rPr>
              <w:footnoteReference w:id="6"/>
            </w:r>
            <w:r w:rsidRPr="005F5D0D">
              <w:rPr>
                <w:rFonts w:eastAsia="Times New Roman"/>
                <w:iCs/>
                <w:sz w:val="24"/>
                <w:szCs w:val="24"/>
                <w:lang w:eastAsia="lv-LV"/>
              </w:rPr>
              <w:t xml:space="preserve"> Ņemot vērā ekspertu sniegtās rekomendācijas formulējumu, licencēšana nav vienīgais iespējamais mehānisms, taču tas ir viens no efektīvākajiem.</w:t>
            </w:r>
          </w:p>
          <w:p w14:paraId="0BBACD94" w14:textId="77777777" w:rsidR="00C27452" w:rsidRPr="005F5D0D" w:rsidRDefault="000E56B2" w:rsidP="00514773">
            <w:pPr>
              <w:widowControl/>
              <w:spacing w:before="100" w:beforeAutospacing="1" w:after="0" w:line="240" w:lineRule="auto"/>
              <w:ind w:firstLine="392"/>
              <w:jc w:val="both"/>
              <w:rPr>
                <w:rFonts w:eastAsia="Times New Roman"/>
                <w:iCs/>
                <w:sz w:val="24"/>
                <w:szCs w:val="24"/>
                <w:lang w:eastAsia="lv-LV"/>
              </w:rPr>
            </w:pPr>
            <w:r w:rsidRPr="005F5D0D">
              <w:rPr>
                <w:rFonts w:eastAsia="Times New Roman"/>
                <w:iCs/>
                <w:sz w:val="24"/>
                <w:szCs w:val="24"/>
                <w:lang w:eastAsia="lv-LV"/>
              </w:rPr>
              <w:t>Atbilstoši FATF 28.rekomendācijai, kura nosaka ne-finanšu sektora uzraudzību un regulējumu: “par uzraudzību atbildīgajām personām vai pašpārvaldes iestādēm, kuras vērtē noteikto ne-finanšu darbību un profesiju (turpmāk – NNDP) ieviesto NILLTFN iekšējās kontroles mehānismu, stratēģiju un procedūru atbilstību, ir pienācīgi jāņem vērā šo NNDP noziedzīgi iegūtu līdzekļu legalizācijas un teroristu finansēšanas riska profils, kā arī to rīcības brīvība atbilstoši ar risku pamatotai pieejai. ”</w:t>
            </w:r>
            <w:r w:rsidRPr="005F5D0D">
              <w:rPr>
                <w:rFonts w:eastAsia="Times New Roman"/>
                <w:iCs/>
                <w:sz w:val="24"/>
                <w:szCs w:val="24"/>
                <w:vertAlign w:val="superscript"/>
                <w:lang w:eastAsia="lv-LV"/>
              </w:rPr>
              <w:footnoteReference w:id="7"/>
            </w:r>
          </w:p>
          <w:p w14:paraId="186D6D20" w14:textId="60D0B342" w:rsidR="00C27452" w:rsidRPr="005F5D0D" w:rsidRDefault="000E56B2" w:rsidP="00C948FF">
            <w:pPr>
              <w:widowControl/>
              <w:spacing w:before="100" w:beforeAutospacing="1" w:after="0" w:line="240" w:lineRule="auto"/>
              <w:ind w:firstLine="392"/>
              <w:jc w:val="both"/>
              <w:rPr>
                <w:rFonts w:eastAsia="Times New Roman"/>
                <w:iCs/>
                <w:sz w:val="24"/>
                <w:szCs w:val="24"/>
                <w:lang w:eastAsia="lv-LV"/>
              </w:rPr>
            </w:pPr>
            <w:r w:rsidRPr="005F5D0D">
              <w:rPr>
                <w:rFonts w:eastAsia="Times New Roman"/>
                <w:iCs/>
                <w:sz w:val="24"/>
                <w:szCs w:val="24"/>
                <w:lang w:eastAsia="lv-LV"/>
              </w:rPr>
              <w:t xml:space="preserve">Rīcības brīvību grāmatvedības </w:t>
            </w:r>
            <w:r w:rsidR="00D46C2F" w:rsidRPr="005F5D0D">
              <w:rPr>
                <w:rFonts w:eastAsia="Times New Roman"/>
                <w:iCs/>
                <w:sz w:val="24"/>
                <w:szCs w:val="24"/>
                <w:lang w:eastAsia="lv-LV"/>
              </w:rPr>
              <w:t>ārpakalpojuma</w:t>
            </w:r>
            <w:r w:rsidRPr="005F5D0D">
              <w:rPr>
                <w:rFonts w:eastAsia="Times New Roman"/>
                <w:iCs/>
                <w:sz w:val="24"/>
                <w:szCs w:val="24"/>
                <w:lang w:eastAsia="lv-LV"/>
              </w:rPr>
              <w:t xml:space="preserve"> sniedzējiem nosaka normatīvais regulējums. Latvijā grāmatvedības pakalpojumus var sniegt </w:t>
            </w:r>
            <w:r w:rsidR="00D22F92" w:rsidRPr="005F5D0D">
              <w:rPr>
                <w:rFonts w:eastAsia="Times New Roman"/>
                <w:iCs/>
                <w:sz w:val="24"/>
                <w:szCs w:val="24"/>
                <w:lang w:eastAsia="lv-LV"/>
              </w:rPr>
              <w:t>salīdzinoši plašs personu loks</w:t>
            </w:r>
            <w:r w:rsidRPr="005F5D0D">
              <w:rPr>
                <w:rFonts w:eastAsia="Times New Roman"/>
                <w:iCs/>
                <w:sz w:val="24"/>
                <w:szCs w:val="24"/>
                <w:lang w:eastAsia="lv-LV"/>
              </w:rPr>
              <w:t>, profesija nav reglamentēta un nenosaka</w:t>
            </w:r>
            <w:r w:rsidR="00C948FF" w:rsidRPr="005F5D0D">
              <w:rPr>
                <w:rFonts w:eastAsia="Times New Roman"/>
                <w:iCs/>
                <w:sz w:val="24"/>
                <w:szCs w:val="24"/>
                <w:lang w:eastAsia="lv-LV"/>
              </w:rPr>
              <w:t xml:space="preserve"> </w:t>
            </w:r>
            <w:r w:rsidRPr="005F5D0D">
              <w:rPr>
                <w:rFonts w:eastAsia="Times New Roman"/>
                <w:iCs/>
                <w:sz w:val="24"/>
                <w:szCs w:val="24"/>
                <w:lang w:eastAsia="lv-LV"/>
              </w:rPr>
              <w:t xml:space="preserve">profesionālās </w:t>
            </w:r>
            <w:r w:rsidR="00FE03D9" w:rsidRPr="005F5D0D">
              <w:rPr>
                <w:rFonts w:eastAsia="Times New Roman"/>
                <w:iCs/>
                <w:sz w:val="24"/>
                <w:szCs w:val="24"/>
                <w:lang w:eastAsia="lv-LV"/>
              </w:rPr>
              <w:t>k</w:t>
            </w:r>
            <w:r w:rsidR="00C948FF" w:rsidRPr="005F5D0D">
              <w:rPr>
                <w:rFonts w:eastAsia="Times New Roman"/>
                <w:iCs/>
                <w:sz w:val="24"/>
                <w:szCs w:val="24"/>
                <w:lang w:eastAsia="lv-LV"/>
              </w:rPr>
              <w:t>v</w:t>
            </w:r>
            <w:r w:rsidR="00FE03D9" w:rsidRPr="005F5D0D">
              <w:rPr>
                <w:rFonts w:eastAsia="Times New Roman"/>
                <w:iCs/>
                <w:sz w:val="24"/>
                <w:szCs w:val="24"/>
                <w:lang w:eastAsia="lv-LV"/>
              </w:rPr>
              <w:t>a</w:t>
            </w:r>
            <w:r w:rsidR="00C948FF" w:rsidRPr="005F5D0D">
              <w:rPr>
                <w:rFonts w:eastAsia="Times New Roman"/>
                <w:iCs/>
                <w:sz w:val="24"/>
                <w:szCs w:val="24"/>
                <w:lang w:eastAsia="lv-LV"/>
              </w:rPr>
              <w:t>lifikācijas</w:t>
            </w:r>
            <w:r w:rsidRPr="005F5D0D">
              <w:rPr>
                <w:rFonts w:eastAsia="Times New Roman"/>
                <w:iCs/>
                <w:sz w:val="24"/>
                <w:szCs w:val="24"/>
                <w:lang w:eastAsia="lv-LV"/>
              </w:rPr>
              <w:t xml:space="preserve"> kritērijus. </w:t>
            </w:r>
          </w:p>
          <w:p w14:paraId="39002D9B" w14:textId="77777777" w:rsidR="00C27452" w:rsidRPr="005F5D0D" w:rsidRDefault="000E56B2" w:rsidP="00C27452">
            <w:pPr>
              <w:widowControl/>
              <w:spacing w:before="100" w:beforeAutospacing="1" w:after="0" w:line="240" w:lineRule="auto"/>
              <w:ind w:firstLine="392"/>
              <w:jc w:val="both"/>
              <w:rPr>
                <w:rFonts w:eastAsia="Times New Roman"/>
                <w:iCs/>
                <w:sz w:val="24"/>
                <w:szCs w:val="24"/>
                <w:lang w:eastAsia="lv-LV"/>
              </w:rPr>
            </w:pPr>
            <w:r w:rsidRPr="005F5D0D">
              <w:rPr>
                <w:rFonts w:eastAsia="Times New Roman"/>
                <w:iCs/>
                <w:sz w:val="24"/>
                <w:szCs w:val="24"/>
                <w:lang w:eastAsia="lv-LV"/>
              </w:rPr>
              <w:t>FATF vadlīnijas par uz risku balstītu pieeju grāmatvedības pakalpojumu sniedzējiem, uzsver, ka skaidrs grāmatvedības pakalpojumu sniegšana normatīvais regulējums papildina NILLTFN pasākumus. Papildus vadlīnijas paskaidro: “Kur vien iespējams, grāmatvežiem ir lietderīgi izstrādāt savas NILLTFN politikas un procedūras tādā veidā, kas atbilst citām reglamentējošām vai profesionālām prasībām. Uz risku balstītam NILLTFN režīmam jāpalīdz nodrošināt, lai godīgi klienti varētu piekļūt grāmatvežu sniegtajiem pakalpojumiem un radītu šķēršļus tiem, kas cenšas ļaunprātīgi izmantot šos pakalpojumus. ”</w:t>
            </w:r>
            <w:r w:rsidRPr="005F5D0D">
              <w:rPr>
                <w:rFonts w:eastAsia="Times New Roman"/>
                <w:iCs/>
                <w:sz w:val="24"/>
                <w:szCs w:val="24"/>
                <w:vertAlign w:val="superscript"/>
                <w:lang w:eastAsia="lv-LV"/>
              </w:rPr>
              <w:footnoteReference w:id="8"/>
            </w:r>
          </w:p>
          <w:p w14:paraId="56E26A00" w14:textId="5DFD929D" w:rsidR="00C27452" w:rsidRPr="005F5D0D" w:rsidRDefault="00FE03D9" w:rsidP="00C27452">
            <w:pPr>
              <w:widowControl/>
              <w:spacing w:before="100" w:beforeAutospacing="1" w:after="0" w:line="240" w:lineRule="auto"/>
              <w:ind w:firstLine="392"/>
              <w:jc w:val="both"/>
              <w:rPr>
                <w:rFonts w:eastAsia="Times New Roman"/>
                <w:iCs/>
                <w:sz w:val="24"/>
                <w:szCs w:val="24"/>
                <w:lang w:eastAsia="lv-LV"/>
              </w:rPr>
            </w:pPr>
            <w:r w:rsidRPr="005F5D0D">
              <w:rPr>
                <w:rFonts w:eastAsia="Times New Roman"/>
                <w:iCs/>
                <w:sz w:val="24"/>
                <w:szCs w:val="24"/>
                <w:lang w:eastAsia="lv-LV"/>
              </w:rPr>
              <w:t>Licencēšanas mehānisms ir izstrādāts, ņ</w:t>
            </w:r>
            <w:r w:rsidR="000E56B2" w:rsidRPr="005F5D0D">
              <w:rPr>
                <w:rFonts w:eastAsia="Times New Roman"/>
                <w:iCs/>
                <w:sz w:val="24"/>
                <w:szCs w:val="24"/>
                <w:lang w:eastAsia="lv-LV"/>
              </w:rPr>
              <w:t xml:space="preserve">emot vēra </w:t>
            </w:r>
            <w:r w:rsidR="004B0CD9" w:rsidRPr="005F5D0D">
              <w:rPr>
                <w:rFonts w:eastAsia="Times New Roman"/>
                <w:iCs/>
                <w:sz w:val="24"/>
                <w:szCs w:val="24"/>
                <w:lang w:eastAsia="lv-LV"/>
              </w:rPr>
              <w:t xml:space="preserve">AML IV Direktīvas prasības, </w:t>
            </w:r>
            <w:r w:rsidR="000E56B2" w:rsidRPr="005F5D0D">
              <w:rPr>
                <w:rFonts w:eastAsia="Times New Roman"/>
                <w:iCs/>
                <w:sz w:val="24"/>
                <w:szCs w:val="24"/>
                <w:lang w:eastAsia="lv-LV"/>
              </w:rPr>
              <w:t>starptautiskos standartus, FATF rekomendācijas un ieteikumus grāmatvedības pakalpojumu sniedzēju uzraudzībai un kontrolei</w:t>
            </w:r>
            <w:r w:rsidR="00D1735C" w:rsidRPr="005F5D0D">
              <w:rPr>
                <w:rFonts w:eastAsia="Times New Roman"/>
                <w:iCs/>
                <w:sz w:val="24"/>
                <w:szCs w:val="24"/>
                <w:lang w:eastAsia="lv-LV"/>
              </w:rPr>
              <w:t>. Tād</w:t>
            </w:r>
            <w:r w:rsidR="00B36821">
              <w:rPr>
                <w:rFonts w:eastAsia="Times New Roman"/>
                <w:iCs/>
                <w:sz w:val="24"/>
                <w:szCs w:val="24"/>
                <w:lang w:eastAsia="lv-LV"/>
              </w:rPr>
              <w:t>ē</w:t>
            </w:r>
            <w:r w:rsidR="00D1735C" w:rsidRPr="005F5D0D">
              <w:rPr>
                <w:rFonts w:eastAsia="Times New Roman"/>
                <w:iCs/>
                <w:sz w:val="24"/>
                <w:szCs w:val="24"/>
                <w:lang w:eastAsia="lv-LV"/>
              </w:rPr>
              <w:t>jādi</w:t>
            </w:r>
            <w:r w:rsidR="000E56B2" w:rsidRPr="005F5D0D">
              <w:rPr>
                <w:rFonts w:eastAsia="Times New Roman"/>
                <w:iCs/>
                <w:sz w:val="24"/>
                <w:szCs w:val="24"/>
                <w:lang w:eastAsia="lv-LV"/>
              </w:rPr>
              <w:t xml:space="preserve"> licencēšanas mehānisms stiprinās kopējo NILLTFN sistēmas efektivitāti un </w:t>
            </w:r>
            <w:r w:rsidR="00D1735C" w:rsidRPr="005F5D0D">
              <w:rPr>
                <w:rFonts w:eastAsia="Times New Roman"/>
                <w:iCs/>
                <w:sz w:val="24"/>
                <w:szCs w:val="24"/>
                <w:lang w:eastAsia="lv-LV"/>
              </w:rPr>
              <w:t xml:space="preserve">nodrošinās </w:t>
            </w:r>
            <w:r w:rsidR="000E56B2" w:rsidRPr="005F5D0D">
              <w:rPr>
                <w:rFonts w:eastAsia="Times New Roman"/>
                <w:iCs/>
                <w:sz w:val="24"/>
                <w:szCs w:val="24"/>
                <w:lang w:eastAsia="lv-LV"/>
              </w:rPr>
              <w:t>uz risku balstītas pieejas ieviešanu.</w:t>
            </w:r>
          </w:p>
          <w:p w14:paraId="470961E8" w14:textId="77777777" w:rsidR="000F6946" w:rsidRPr="005F5D0D" w:rsidRDefault="000E56B2" w:rsidP="003E486F">
            <w:pPr>
              <w:widowControl/>
              <w:spacing w:before="100" w:beforeAutospacing="1" w:after="0" w:line="240" w:lineRule="auto"/>
              <w:ind w:firstLine="392"/>
              <w:jc w:val="both"/>
              <w:rPr>
                <w:rFonts w:eastAsia="Times New Roman"/>
                <w:b/>
                <w:iCs/>
                <w:sz w:val="24"/>
                <w:szCs w:val="24"/>
                <w:lang w:eastAsia="lv-LV"/>
              </w:rPr>
            </w:pPr>
            <w:r w:rsidRPr="005F5D0D">
              <w:rPr>
                <w:rFonts w:eastAsia="Times New Roman"/>
                <w:b/>
                <w:iCs/>
                <w:sz w:val="24"/>
                <w:szCs w:val="24"/>
                <w:lang w:eastAsia="lv-LV"/>
              </w:rPr>
              <w:t>Finanšu darījumu darba grupas (FATF) 28. rekomendācijas kritēriji.</w:t>
            </w:r>
          </w:p>
          <w:p w14:paraId="4DFDEE4D" w14:textId="74E73306" w:rsidR="00904ECE" w:rsidRPr="005F5D0D" w:rsidRDefault="000E56B2" w:rsidP="00904ECE">
            <w:pPr>
              <w:widowControl/>
              <w:spacing w:before="100" w:beforeAutospacing="1" w:after="0" w:line="240" w:lineRule="auto"/>
              <w:ind w:firstLine="392"/>
              <w:jc w:val="both"/>
              <w:rPr>
                <w:rFonts w:eastAsia="Times New Roman"/>
                <w:iCs/>
                <w:sz w:val="24"/>
                <w:szCs w:val="24"/>
                <w:lang w:eastAsia="lv-LV"/>
              </w:rPr>
            </w:pPr>
            <w:r w:rsidRPr="005F5D0D">
              <w:rPr>
                <w:rFonts w:eastAsia="Times New Roman"/>
                <w:iCs/>
                <w:sz w:val="24"/>
                <w:szCs w:val="24"/>
                <w:lang w:eastAsia="lv-LV"/>
              </w:rPr>
              <w:t xml:space="preserve">Kā jau iepriekš tika minēts, Moneyval eksperti ir norādījuši uz nepieciešamību </w:t>
            </w:r>
            <w:r w:rsidR="00D1735C" w:rsidRPr="005F5D0D">
              <w:rPr>
                <w:rFonts w:eastAsia="Times New Roman"/>
                <w:iCs/>
                <w:sz w:val="24"/>
                <w:szCs w:val="24"/>
                <w:lang w:eastAsia="lv-LV"/>
              </w:rPr>
              <w:t xml:space="preserve">Latvijai </w:t>
            </w:r>
            <w:r w:rsidRPr="005F5D0D">
              <w:rPr>
                <w:rFonts w:eastAsia="Times New Roman"/>
                <w:iCs/>
                <w:sz w:val="24"/>
                <w:szCs w:val="24"/>
                <w:lang w:eastAsia="lv-LV"/>
              </w:rPr>
              <w:t>sakārtot t</w:t>
            </w:r>
            <w:r w:rsidR="00D1735C" w:rsidRPr="005F5D0D">
              <w:rPr>
                <w:rFonts w:eastAsia="Times New Roman"/>
                <w:iCs/>
                <w:sz w:val="24"/>
                <w:szCs w:val="24"/>
                <w:lang w:eastAsia="lv-LV"/>
              </w:rPr>
              <w:t>ās</w:t>
            </w:r>
            <w:r w:rsidRPr="005F5D0D">
              <w:rPr>
                <w:rFonts w:eastAsia="Times New Roman"/>
                <w:iCs/>
                <w:sz w:val="24"/>
                <w:szCs w:val="24"/>
                <w:lang w:eastAsia="lv-LV"/>
              </w:rPr>
              <w:t xml:space="preserve"> neregulēto profesiju nozares, kuras ir pakļautas augstam noziedzīgi iegūtu līdzekļu legalizācijas riskam. Vērtējot </w:t>
            </w:r>
            <w:r w:rsidR="00D1735C" w:rsidRPr="005F5D0D">
              <w:rPr>
                <w:rFonts w:eastAsia="Times New Roman"/>
                <w:iCs/>
                <w:sz w:val="24"/>
                <w:szCs w:val="24"/>
                <w:lang w:eastAsia="lv-LV"/>
              </w:rPr>
              <w:lastRenderedPageBreak/>
              <w:t>NNDP</w:t>
            </w:r>
            <w:r w:rsidRPr="005F5D0D">
              <w:rPr>
                <w:rFonts w:eastAsia="Times New Roman"/>
                <w:iCs/>
                <w:sz w:val="24"/>
                <w:szCs w:val="24"/>
                <w:lang w:eastAsia="lv-LV"/>
              </w:rPr>
              <w:t xml:space="preserve"> atbilstību FATF standartiem, Moneyval piektās kārtas izvērtējumā Latvija ir saņēmusi zemu vērtējumu gan efektivitātes sadaļā (tiešais iznākums Nr.4), kura apraksta faktisko situāciju, gan tehniskās atbilstības sadaļā (28.tehniskā rekomendācija), kura apraksta normatīvā regulējuma teorētisko atbilstību. </w:t>
            </w:r>
          </w:p>
          <w:p w14:paraId="2B81C5F7" w14:textId="620EAA4B" w:rsidR="00750B3D" w:rsidRPr="005F5D0D" w:rsidRDefault="000E56B2" w:rsidP="00D1735C">
            <w:pPr>
              <w:widowControl/>
              <w:spacing w:before="100" w:beforeAutospacing="1" w:after="0" w:line="240" w:lineRule="auto"/>
              <w:ind w:firstLine="392"/>
              <w:jc w:val="both"/>
              <w:rPr>
                <w:rFonts w:eastAsia="Times New Roman"/>
                <w:iCs/>
                <w:sz w:val="24"/>
                <w:szCs w:val="24"/>
                <w:lang w:eastAsia="lv-LV"/>
              </w:rPr>
            </w:pPr>
            <w:r w:rsidRPr="005F5D0D">
              <w:rPr>
                <w:rFonts w:eastAsia="Times New Roman"/>
                <w:iCs/>
                <w:sz w:val="24"/>
                <w:szCs w:val="24"/>
                <w:lang w:eastAsia="lv-LV"/>
              </w:rPr>
              <w:t xml:space="preserve"> Ņemot vēra, ka viens no Likumprojekta mērķiem ir cieši saistīts ar NILLTFN likuma prasībām, ir jā</w:t>
            </w:r>
            <w:r w:rsidR="00530821" w:rsidRPr="005F5D0D">
              <w:rPr>
                <w:rFonts w:eastAsia="Times New Roman"/>
                <w:iCs/>
                <w:sz w:val="24"/>
                <w:szCs w:val="24"/>
                <w:lang w:eastAsia="lv-LV"/>
              </w:rPr>
              <w:t>ņem vērā</w:t>
            </w:r>
            <w:r w:rsidRPr="005F5D0D">
              <w:rPr>
                <w:rFonts w:eastAsia="Times New Roman"/>
                <w:iCs/>
                <w:sz w:val="24"/>
                <w:szCs w:val="24"/>
                <w:lang w:eastAsia="lv-LV"/>
              </w:rPr>
              <w:t xml:space="preserve"> arī citu valstu pieredze, ieviešot 28.FATF rekomendāciju</w:t>
            </w:r>
            <w:r w:rsidRPr="005F5D0D">
              <w:rPr>
                <w:rStyle w:val="FootnoteReference"/>
                <w:rFonts w:eastAsia="Times New Roman"/>
                <w:iCs/>
                <w:sz w:val="24"/>
                <w:szCs w:val="24"/>
                <w:lang w:eastAsia="lv-LV"/>
              </w:rPr>
              <w:footnoteReference w:id="9"/>
            </w:r>
            <w:r w:rsidRPr="005F5D0D">
              <w:rPr>
                <w:rFonts w:eastAsia="Times New Roman"/>
                <w:iCs/>
                <w:sz w:val="24"/>
                <w:szCs w:val="24"/>
                <w:lang w:eastAsia="lv-LV"/>
              </w:rPr>
              <w:t>, kura paredz, ka valstīm ir jānodrošina, lai noteiktās</w:t>
            </w:r>
            <w:r w:rsidR="00D1735C" w:rsidRPr="005F5D0D">
              <w:rPr>
                <w:rFonts w:eastAsia="Times New Roman"/>
                <w:iCs/>
                <w:sz w:val="24"/>
                <w:szCs w:val="24"/>
                <w:lang w:eastAsia="lv-LV"/>
              </w:rPr>
              <w:t xml:space="preserve"> </w:t>
            </w:r>
            <w:r w:rsidR="00504A44" w:rsidRPr="005F5D0D">
              <w:rPr>
                <w:rFonts w:eastAsia="Times New Roman"/>
                <w:iCs/>
                <w:sz w:val="24"/>
                <w:szCs w:val="24"/>
                <w:lang w:eastAsia="lv-LV"/>
              </w:rPr>
              <w:t>NNDP</w:t>
            </w:r>
            <w:r w:rsidRPr="005F5D0D">
              <w:rPr>
                <w:rFonts w:eastAsia="Times New Roman"/>
                <w:iCs/>
                <w:sz w:val="24"/>
                <w:szCs w:val="24"/>
                <w:lang w:eastAsia="lv-LV"/>
              </w:rPr>
              <w:t xml:space="preserve"> ir pakļautas efektīvai uzraudzības sistēmai un jānodrošina to atbilstība NILLTF novēršanas prasībām, kā arī jāņem vērā, ka efektīva uzraudzības sistēma sevī ietver sākotnējo NILLTF novēršanas normu ievērošanas kontroli</w:t>
            </w:r>
            <w:r w:rsidR="00530821" w:rsidRPr="005F5D0D">
              <w:rPr>
                <w:rFonts w:eastAsia="Times New Roman"/>
                <w:iCs/>
                <w:sz w:val="24"/>
                <w:szCs w:val="24"/>
                <w:lang w:eastAsia="lv-LV"/>
              </w:rPr>
              <w:t>.</w:t>
            </w:r>
            <w:r w:rsidRPr="005F5D0D">
              <w:rPr>
                <w:rFonts w:eastAsia="Times New Roman"/>
                <w:iCs/>
                <w:sz w:val="24"/>
                <w:szCs w:val="24"/>
                <w:lang w:eastAsia="lv-LV"/>
              </w:rPr>
              <w:t xml:space="preserve"> </w:t>
            </w:r>
          </w:p>
          <w:p w14:paraId="2C946402" w14:textId="24F222A8" w:rsidR="00EA513F" w:rsidRPr="005F5D0D" w:rsidRDefault="000E56B2" w:rsidP="004D2689">
            <w:pPr>
              <w:widowControl/>
              <w:spacing w:before="100" w:beforeAutospacing="1" w:after="0" w:line="240" w:lineRule="auto"/>
              <w:ind w:firstLine="392"/>
              <w:jc w:val="both"/>
              <w:rPr>
                <w:rFonts w:eastAsia="Times New Roman"/>
                <w:iCs/>
                <w:sz w:val="24"/>
                <w:szCs w:val="24"/>
                <w:lang w:eastAsia="lv-LV"/>
              </w:rPr>
            </w:pPr>
            <w:r w:rsidRPr="005F5D0D">
              <w:rPr>
                <w:sz w:val="24"/>
                <w:szCs w:val="24"/>
              </w:rPr>
              <w:t>Lai gan grāmatvežu profesiju iekļaušana reglamentēto profesiju sarakstā teorētiski varētu palielināt</w:t>
            </w:r>
            <w:r w:rsidR="00D1735C" w:rsidRPr="005F5D0D">
              <w:rPr>
                <w:sz w:val="24"/>
                <w:szCs w:val="24"/>
              </w:rPr>
              <w:t xml:space="preserve"> to kompetenci un </w:t>
            </w:r>
            <w:r w:rsidRPr="005F5D0D">
              <w:rPr>
                <w:sz w:val="24"/>
                <w:szCs w:val="24"/>
              </w:rPr>
              <w:t>uzņēmēju uzticību grāmatvedības pakalpojumu sniedzējiem, daudzos gadījumos ierobežojošās normas pakalpojumu nozarē ierobežo konkurenci, tādējādi mazinot stimulu pakalpojumu sniedzējiem pazemināt cenas un celt savu pakalpojumu kvalitāti. Šajā kontekstā būtu jādomā ne tikai par kompetences un profesionalitātes līmeņa paaugstināšanu grāmatvedības pakalpojumu sniedzējiem, bet arī par tādu uzņēmējdarbības vides nosacījumu radīšanu, kas neierobežo to saimniecisko darbību. Jaunu ierobežojošu pasākumu ieviešana būtu jāizvērtē arī tādēļ, lai gūtu skaidru priekšstatu par šāda soļa ieguvumiem, proti, vai komersantu darbības ierobežošana ir samērīga un nepieciešama.</w:t>
            </w:r>
            <w:r w:rsidRPr="005F5D0D">
              <w:rPr>
                <w:rStyle w:val="FootnoteReference"/>
                <w:sz w:val="24"/>
                <w:szCs w:val="24"/>
              </w:rPr>
              <w:footnoteReference w:id="10"/>
            </w:r>
          </w:p>
          <w:p w14:paraId="54560EAA" w14:textId="60A32F5C" w:rsidR="004D2689" w:rsidRPr="005F5D0D" w:rsidRDefault="000E56B2" w:rsidP="004D2689">
            <w:pPr>
              <w:widowControl/>
              <w:spacing w:before="100" w:beforeAutospacing="1" w:after="0" w:line="240" w:lineRule="auto"/>
              <w:ind w:firstLine="392"/>
              <w:jc w:val="both"/>
              <w:rPr>
                <w:rFonts w:eastAsia="Times New Roman"/>
                <w:iCs/>
                <w:sz w:val="24"/>
                <w:szCs w:val="24"/>
                <w:lang w:eastAsia="lv-LV"/>
              </w:rPr>
            </w:pPr>
            <w:r w:rsidRPr="005F5D0D">
              <w:rPr>
                <w:rFonts w:eastAsia="Times New Roman"/>
                <w:iCs/>
                <w:sz w:val="24"/>
                <w:szCs w:val="24"/>
                <w:lang w:eastAsia="lv-LV"/>
              </w:rPr>
              <w:t>Likumprojekts</w:t>
            </w:r>
            <w:r w:rsidR="00750B3D" w:rsidRPr="005F5D0D">
              <w:rPr>
                <w:rFonts w:eastAsia="Times New Roman"/>
                <w:iCs/>
                <w:sz w:val="24"/>
                <w:szCs w:val="24"/>
                <w:lang w:eastAsia="lv-LV"/>
              </w:rPr>
              <w:t xml:space="preserve"> </w:t>
            </w:r>
            <w:r w:rsidRPr="005F5D0D">
              <w:rPr>
                <w:rFonts w:eastAsia="Times New Roman"/>
                <w:iCs/>
                <w:sz w:val="24"/>
                <w:szCs w:val="24"/>
                <w:lang w:eastAsia="lv-LV"/>
              </w:rPr>
              <w:t>paredz</w:t>
            </w:r>
            <w:r w:rsidR="00750B3D" w:rsidRPr="005F5D0D">
              <w:rPr>
                <w:rFonts w:eastAsia="Times New Roman"/>
                <w:iCs/>
                <w:sz w:val="24"/>
                <w:szCs w:val="24"/>
                <w:lang w:eastAsia="lv-LV"/>
              </w:rPr>
              <w:t xml:space="preserve"> </w:t>
            </w:r>
            <w:r w:rsidR="00161446" w:rsidRPr="005F5D0D">
              <w:rPr>
                <w:rFonts w:eastAsia="Times New Roman"/>
                <w:iCs/>
                <w:sz w:val="24"/>
                <w:szCs w:val="24"/>
                <w:lang w:eastAsia="lv-LV"/>
              </w:rPr>
              <w:t>noteikt</w:t>
            </w:r>
            <w:r w:rsidR="00151992">
              <w:rPr>
                <w:rFonts w:eastAsia="Times New Roman"/>
                <w:iCs/>
                <w:sz w:val="24"/>
                <w:szCs w:val="24"/>
                <w:lang w:eastAsia="lv-LV"/>
              </w:rPr>
              <w:t xml:space="preserve">, </w:t>
            </w:r>
            <w:r w:rsidR="00151992" w:rsidRPr="00151992">
              <w:rPr>
                <w:rFonts w:eastAsia="Times New Roman"/>
                <w:iCs/>
                <w:sz w:val="24"/>
                <w:szCs w:val="24"/>
                <w:lang w:eastAsia="lv-LV"/>
              </w:rPr>
              <w:t>ka grāmatvedības ārpakalpojumu sniedzējam ir jābūt</w:t>
            </w:r>
            <w:r w:rsidR="001A6D3E" w:rsidRPr="005F5D0D">
              <w:rPr>
                <w:rFonts w:eastAsia="Times New Roman"/>
                <w:iCs/>
                <w:sz w:val="24"/>
                <w:szCs w:val="24"/>
                <w:lang w:eastAsia="lv-LV"/>
              </w:rPr>
              <w:t xml:space="preserve"> </w:t>
            </w:r>
            <w:r w:rsidR="00CF67FD" w:rsidRPr="005F5D0D">
              <w:rPr>
                <w:rFonts w:eastAsia="Times New Roman"/>
                <w:iCs/>
                <w:sz w:val="24"/>
                <w:szCs w:val="24"/>
                <w:lang w:eastAsia="lv-LV"/>
              </w:rPr>
              <w:t xml:space="preserve">vismaz </w:t>
            </w:r>
            <w:r w:rsidR="004D2689" w:rsidRPr="005F5D0D">
              <w:rPr>
                <w:rFonts w:eastAsia="Times New Roman"/>
                <w:iCs/>
                <w:sz w:val="24"/>
                <w:szCs w:val="24"/>
                <w:lang w:eastAsia="lv-LV"/>
              </w:rPr>
              <w:t>grāmatveža ceturtā līmeņa kvalifikācij</w:t>
            </w:r>
            <w:r w:rsidR="00151992">
              <w:rPr>
                <w:rFonts w:eastAsia="Times New Roman"/>
                <w:iCs/>
                <w:sz w:val="24"/>
                <w:szCs w:val="24"/>
                <w:lang w:eastAsia="lv-LV"/>
              </w:rPr>
              <w:t>ai</w:t>
            </w:r>
            <w:r w:rsidR="00161446" w:rsidRPr="005F5D0D">
              <w:rPr>
                <w:rFonts w:eastAsia="Times New Roman"/>
                <w:iCs/>
                <w:sz w:val="24"/>
                <w:szCs w:val="24"/>
                <w:lang w:eastAsia="lv-LV"/>
              </w:rPr>
              <w:t>,</w:t>
            </w:r>
            <w:r w:rsidR="004D2689" w:rsidRPr="005F5D0D">
              <w:rPr>
                <w:rFonts w:eastAsia="Times New Roman"/>
                <w:iCs/>
                <w:sz w:val="24"/>
                <w:szCs w:val="24"/>
                <w:lang w:eastAsia="lv-LV"/>
              </w:rPr>
              <w:t xml:space="preserve"> kas </w:t>
            </w:r>
            <w:r w:rsidR="004D2689" w:rsidRPr="005F5D0D">
              <w:rPr>
                <w:sz w:val="24"/>
                <w:szCs w:val="24"/>
                <w:shd w:val="clear" w:color="auto" w:fill="FFFFFF"/>
              </w:rPr>
              <w:t xml:space="preserve">atbilst </w:t>
            </w:r>
            <w:r w:rsidR="000C50D9" w:rsidRPr="005F5D0D">
              <w:rPr>
                <w:sz w:val="24"/>
                <w:szCs w:val="24"/>
                <w:shd w:val="clear" w:color="auto" w:fill="FFFFFF"/>
              </w:rPr>
              <w:t>noteikum</w:t>
            </w:r>
            <w:r w:rsidR="00717668">
              <w:rPr>
                <w:sz w:val="24"/>
                <w:szCs w:val="24"/>
                <w:shd w:val="clear" w:color="auto" w:fill="FFFFFF"/>
              </w:rPr>
              <w:t>os</w:t>
            </w:r>
            <w:r w:rsidR="000C50D9" w:rsidRPr="005F5D0D">
              <w:rPr>
                <w:sz w:val="24"/>
                <w:szCs w:val="24"/>
                <w:shd w:val="clear" w:color="auto" w:fill="FFFFFF"/>
              </w:rPr>
              <w:t xml:space="preserve"> Nr.264</w:t>
            </w:r>
            <w:r w:rsidR="007714AB" w:rsidRPr="005F5D0D">
              <w:rPr>
                <w:sz w:val="24"/>
                <w:szCs w:val="24"/>
                <w:shd w:val="clear" w:color="auto" w:fill="FFFFFF"/>
              </w:rPr>
              <w:t xml:space="preserve"> </w:t>
            </w:r>
            <w:r w:rsidR="004D2689" w:rsidRPr="005F5D0D">
              <w:rPr>
                <w:sz w:val="24"/>
                <w:szCs w:val="24"/>
                <w:shd w:val="clear" w:color="auto" w:fill="FFFFFF"/>
              </w:rPr>
              <w:t xml:space="preserve">noteiktajam. </w:t>
            </w:r>
            <w:r w:rsidR="00D769C3" w:rsidRPr="005F5D0D">
              <w:rPr>
                <w:sz w:val="24"/>
                <w:szCs w:val="24"/>
              </w:rPr>
              <w:t>Kā arī nosaka  vismaz trīs gadu pieredzi grāmatvedības kārtošanā</w:t>
            </w:r>
            <w:r w:rsidR="00D769C3" w:rsidRPr="005F5D0D">
              <w:rPr>
                <w:sz w:val="26"/>
                <w:szCs w:val="26"/>
              </w:rPr>
              <w:t>.</w:t>
            </w:r>
            <w:r w:rsidR="00D769C3" w:rsidRPr="005F5D0D">
              <w:rPr>
                <w:rFonts w:eastAsia="Times New Roman"/>
                <w:iCs/>
                <w:sz w:val="24"/>
                <w:szCs w:val="24"/>
                <w:lang w:eastAsia="lv-LV"/>
              </w:rPr>
              <w:t xml:space="preserve"> </w:t>
            </w:r>
            <w:r w:rsidR="004D2689" w:rsidRPr="005F5D0D">
              <w:rPr>
                <w:rFonts w:eastAsia="Times New Roman"/>
                <w:iCs/>
                <w:sz w:val="24"/>
                <w:szCs w:val="24"/>
                <w:lang w:eastAsia="lv-LV"/>
              </w:rPr>
              <w:t>Tād</w:t>
            </w:r>
            <w:r w:rsidR="0058306D">
              <w:rPr>
                <w:rFonts w:eastAsia="Times New Roman"/>
                <w:iCs/>
                <w:sz w:val="24"/>
                <w:szCs w:val="24"/>
                <w:lang w:eastAsia="lv-LV"/>
              </w:rPr>
              <w:t>ē</w:t>
            </w:r>
            <w:r w:rsidR="004D2689" w:rsidRPr="005F5D0D">
              <w:rPr>
                <w:rFonts w:eastAsia="Times New Roman"/>
                <w:iCs/>
                <w:sz w:val="24"/>
                <w:szCs w:val="24"/>
                <w:lang w:eastAsia="lv-LV"/>
              </w:rPr>
              <w:t xml:space="preserve">jādi </w:t>
            </w:r>
            <w:r w:rsidR="006533D0" w:rsidRPr="005F5D0D">
              <w:rPr>
                <w:rFonts w:eastAsia="Times New Roman"/>
                <w:iCs/>
                <w:sz w:val="24"/>
                <w:szCs w:val="24"/>
                <w:lang w:eastAsia="lv-LV"/>
              </w:rPr>
              <w:t xml:space="preserve">tiek </w:t>
            </w:r>
            <w:r w:rsidR="004D2689" w:rsidRPr="005F5D0D">
              <w:rPr>
                <w:rFonts w:eastAsia="Times New Roman"/>
                <w:iCs/>
                <w:sz w:val="24"/>
                <w:szCs w:val="24"/>
                <w:lang w:eastAsia="lv-LV"/>
              </w:rPr>
              <w:t>ievie</w:t>
            </w:r>
            <w:r w:rsidR="006533D0" w:rsidRPr="005F5D0D">
              <w:rPr>
                <w:rFonts w:eastAsia="Times New Roman"/>
                <w:iCs/>
                <w:sz w:val="24"/>
                <w:szCs w:val="24"/>
                <w:lang w:eastAsia="lv-LV"/>
              </w:rPr>
              <w:t>s</w:t>
            </w:r>
            <w:r w:rsidR="004D2689" w:rsidRPr="005F5D0D">
              <w:rPr>
                <w:rFonts w:eastAsia="Times New Roman"/>
                <w:iCs/>
                <w:sz w:val="24"/>
                <w:szCs w:val="24"/>
                <w:lang w:eastAsia="lv-LV"/>
              </w:rPr>
              <w:t>t</w:t>
            </w:r>
            <w:r w:rsidR="006533D0" w:rsidRPr="005F5D0D">
              <w:rPr>
                <w:rFonts w:eastAsia="Times New Roman"/>
                <w:iCs/>
                <w:sz w:val="24"/>
                <w:szCs w:val="24"/>
                <w:lang w:eastAsia="lv-LV"/>
              </w:rPr>
              <w:t>as</w:t>
            </w:r>
            <w:r w:rsidR="004D2689" w:rsidRPr="005F5D0D">
              <w:rPr>
                <w:rFonts w:eastAsia="Times New Roman"/>
                <w:iCs/>
                <w:sz w:val="24"/>
                <w:szCs w:val="24"/>
                <w:lang w:eastAsia="lv-LV"/>
              </w:rPr>
              <w:t xml:space="preserve"> papildus prasības darbības uzsākšanai grāmatvedības ārpakalpojumu nozarē.</w:t>
            </w:r>
          </w:p>
          <w:p w14:paraId="49CA7289" w14:textId="5B012590" w:rsidR="00625F88" w:rsidRPr="005F5D0D" w:rsidRDefault="00625F88" w:rsidP="004D2689">
            <w:pPr>
              <w:spacing w:after="0" w:line="240" w:lineRule="auto"/>
              <w:jc w:val="both"/>
              <w:rPr>
                <w:rFonts w:ascii="Arial" w:hAnsi="Arial" w:cs="Arial"/>
                <w:sz w:val="20"/>
                <w:szCs w:val="20"/>
                <w:shd w:val="clear" w:color="auto" w:fill="FFFFFF"/>
              </w:rPr>
            </w:pPr>
          </w:p>
          <w:p w14:paraId="5D04DE77" w14:textId="31F1DDDC" w:rsidR="006C6FEC" w:rsidRPr="005F5D0D" w:rsidRDefault="006C6FEC" w:rsidP="001A6D3E">
            <w:pPr>
              <w:spacing w:after="0" w:line="240" w:lineRule="auto"/>
              <w:jc w:val="both"/>
              <w:rPr>
                <w:bCs/>
                <w:sz w:val="24"/>
                <w:szCs w:val="24"/>
              </w:rPr>
            </w:pPr>
            <w:r w:rsidRPr="005F5D0D">
              <w:rPr>
                <w:sz w:val="24"/>
                <w:szCs w:val="24"/>
                <w:shd w:val="clear" w:color="auto" w:fill="FFFFFF"/>
              </w:rPr>
              <w:t>Saskaņā ar noteikum</w:t>
            </w:r>
            <w:r w:rsidR="006533D0" w:rsidRPr="005F5D0D">
              <w:rPr>
                <w:sz w:val="24"/>
                <w:szCs w:val="24"/>
                <w:shd w:val="clear" w:color="auto" w:fill="FFFFFF"/>
              </w:rPr>
              <w:t>os</w:t>
            </w:r>
            <w:r w:rsidRPr="005F5D0D">
              <w:rPr>
                <w:sz w:val="24"/>
                <w:szCs w:val="24"/>
                <w:shd w:val="clear" w:color="auto" w:fill="FFFFFF"/>
              </w:rPr>
              <w:t xml:space="preserve"> Nr.264 </w:t>
            </w:r>
            <w:r w:rsidR="006533D0" w:rsidRPr="005F5D0D">
              <w:rPr>
                <w:sz w:val="24"/>
                <w:szCs w:val="24"/>
                <w:shd w:val="clear" w:color="auto" w:fill="FFFFFF"/>
              </w:rPr>
              <w:t xml:space="preserve">apstiprināto </w:t>
            </w:r>
            <w:r w:rsidRPr="005F5D0D">
              <w:rPr>
                <w:sz w:val="24"/>
                <w:szCs w:val="24"/>
                <w:shd w:val="clear" w:color="auto" w:fill="FFFFFF"/>
              </w:rPr>
              <w:t>klasifikatoru</w:t>
            </w:r>
            <w:r w:rsidR="001B7769" w:rsidRPr="005F5D0D">
              <w:rPr>
                <w:sz w:val="24"/>
                <w:szCs w:val="24"/>
                <w:shd w:val="clear" w:color="auto" w:fill="FFFFFF"/>
              </w:rPr>
              <w:t>,</w:t>
            </w:r>
            <w:r w:rsidRPr="005F5D0D">
              <w:rPr>
                <w:sz w:val="24"/>
                <w:szCs w:val="24"/>
                <w:shd w:val="clear" w:color="auto" w:fill="FFFFFF"/>
              </w:rPr>
              <w:t xml:space="preserve"> gr</w:t>
            </w:r>
            <w:r w:rsidR="00747E9D" w:rsidRPr="005F5D0D">
              <w:rPr>
                <w:sz w:val="24"/>
                <w:szCs w:val="24"/>
                <w:shd w:val="clear" w:color="auto" w:fill="FFFFFF"/>
              </w:rPr>
              <w:t xml:space="preserve">āmatvedības speciālisti ar </w:t>
            </w:r>
            <w:r w:rsidRPr="005F5D0D">
              <w:rPr>
                <w:sz w:val="24"/>
                <w:szCs w:val="24"/>
                <w:shd w:val="clear" w:color="auto" w:fill="FFFFFF"/>
              </w:rPr>
              <w:t>ceturtā līmeņa kvalifikācij</w:t>
            </w:r>
            <w:r w:rsidR="00747E9D" w:rsidRPr="005F5D0D">
              <w:rPr>
                <w:sz w:val="24"/>
                <w:szCs w:val="24"/>
                <w:shd w:val="clear" w:color="auto" w:fill="FFFFFF"/>
              </w:rPr>
              <w:t>u</w:t>
            </w:r>
            <w:r w:rsidR="001B7769" w:rsidRPr="005F5D0D">
              <w:rPr>
                <w:sz w:val="24"/>
                <w:szCs w:val="24"/>
                <w:shd w:val="clear" w:color="auto" w:fill="FFFFFF"/>
              </w:rPr>
              <w:t xml:space="preserve"> ir iekļauti atsevišķā grupā</w:t>
            </w:r>
            <w:r w:rsidRPr="005F5D0D">
              <w:rPr>
                <w:sz w:val="24"/>
                <w:szCs w:val="24"/>
                <w:shd w:val="clear" w:color="auto" w:fill="FFFFFF"/>
              </w:rPr>
              <w:t xml:space="preserve"> </w:t>
            </w:r>
            <w:r w:rsidRPr="005F5D0D">
              <w:rPr>
                <w:b/>
                <w:bCs/>
                <w:sz w:val="24"/>
                <w:szCs w:val="24"/>
              </w:rPr>
              <w:t>"3313 Grāmatvedības speciālisti</w:t>
            </w:r>
            <w:r w:rsidRPr="005F5D0D">
              <w:rPr>
                <w:bCs/>
                <w:sz w:val="24"/>
                <w:szCs w:val="24"/>
              </w:rPr>
              <w:t>"</w:t>
            </w:r>
            <w:r w:rsidR="001B7769" w:rsidRPr="005F5D0D">
              <w:rPr>
                <w:bCs/>
                <w:sz w:val="24"/>
                <w:szCs w:val="24"/>
              </w:rPr>
              <w:t>, kuriem ir noteikta nepieciešam</w:t>
            </w:r>
            <w:r w:rsidR="006533D0" w:rsidRPr="005F5D0D">
              <w:rPr>
                <w:bCs/>
                <w:sz w:val="24"/>
                <w:szCs w:val="24"/>
              </w:rPr>
              <w:t>īb</w:t>
            </w:r>
            <w:r w:rsidR="001B7769" w:rsidRPr="005F5D0D">
              <w:rPr>
                <w:bCs/>
                <w:sz w:val="24"/>
                <w:szCs w:val="24"/>
              </w:rPr>
              <w:t>a augstākā izglītība vai profesionālā vidējā izglītība</w:t>
            </w:r>
            <w:r w:rsidR="00747E9D" w:rsidRPr="005F5D0D">
              <w:rPr>
                <w:bCs/>
                <w:sz w:val="24"/>
                <w:szCs w:val="24"/>
              </w:rPr>
              <w:t xml:space="preserve"> (</w:t>
            </w:r>
            <w:r w:rsidR="006533D0" w:rsidRPr="005F5D0D">
              <w:rPr>
                <w:bCs/>
                <w:sz w:val="24"/>
                <w:szCs w:val="24"/>
              </w:rPr>
              <w:t>pielikuma 447.4</w:t>
            </w:r>
            <w:r w:rsidR="00747E9D" w:rsidRPr="005F5D0D">
              <w:rPr>
                <w:bCs/>
                <w:sz w:val="24"/>
                <w:szCs w:val="24"/>
              </w:rPr>
              <w:t>.apakšpunkts).</w:t>
            </w:r>
            <w:r w:rsidR="001B7769" w:rsidRPr="005F5D0D">
              <w:rPr>
                <w:bCs/>
                <w:sz w:val="24"/>
                <w:szCs w:val="24"/>
              </w:rPr>
              <w:t xml:space="preserve"> </w:t>
            </w:r>
          </w:p>
          <w:p w14:paraId="4D4CA370" w14:textId="4D8F6767" w:rsidR="00D17968" w:rsidRPr="005F5D0D" w:rsidRDefault="001B7769" w:rsidP="004D2689">
            <w:pPr>
              <w:spacing w:after="0" w:line="240" w:lineRule="auto"/>
              <w:jc w:val="both"/>
              <w:rPr>
                <w:sz w:val="24"/>
                <w:szCs w:val="24"/>
              </w:rPr>
            </w:pPr>
            <w:r w:rsidRPr="005F5D0D">
              <w:rPr>
                <w:sz w:val="24"/>
                <w:szCs w:val="24"/>
                <w:shd w:val="clear" w:color="auto" w:fill="FFFFFF"/>
              </w:rPr>
              <w:t>Noteikumu Nr.264 ceturtā līmeņa kvalifikācija atbilst</w:t>
            </w:r>
            <w:r w:rsidR="002C4F06" w:rsidRPr="005F5D0D">
              <w:rPr>
                <w:sz w:val="24"/>
                <w:szCs w:val="24"/>
                <w:shd w:val="clear" w:color="auto" w:fill="FFFFFF"/>
              </w:rPr>
              <w:t xml:space="preserve"> </w:t>
            </w:r>
            <w:r w:rsidRPr="005F5D0D">
              <w:rPr>
                <w:sz w:val="24"/>
                <w:szCs w:val="24"/>
                <w:shd w:val="clear" w:color="auto" w:fill="FFFFFF"/>
              </w:rPr>
              <w:t>Latvijas kvalifikāciju ietvarstr</w:t>
            </w:r>
            <w:r w:rsidR="00D4408D" w:rsidRPr="005F5D0D">
              <w:rPr>
                <w:sz w:val="24"/>
                <w:szCs w:val="24"/>
                <w:shd w:val="clear" w:color="auto" w:fill="FFFFFF"/>
              </w:rPr>
              <w:t>u</w:t>
            </w:r>
            <w:r w:rsidRPr="005F5D0D">
              <w:rPr>
                <w:sz w:val="24"/>
                <w:szCs w:val="24"/>
                <w:shd w:val="clear" w:color="auto" w:fill="FFFFFF"/>
              </w:rPr>
              <w:t xml:space="preserve">kūras </w:t>
            </w:r>
            <w:r w:rsidR="00955266" w:rsidRPr="005F5D0D">
              <w:rPr>
                <w:sz w:val="24"/>
                <w:szCs w:val="24"/>
                <w:shd w:val="clear" w:color="auto" w:fill="FFFFFF"/>
              </w:rPr>
              <w:t xml:space="preserve">piektajam </w:t>
            </w:r>
            <w:r w:rsidRPr="005F5D0D">
              <w:rPr>
                <w:sz w:val="24"/>
                <w:szCs w:val="24"/>
                <w:shd w:val="clear" w:color="auto" w:fill="FFFFFF"/>
              </w:rPr>
              <w:t xml:space="preserve">līmenim </w:t>
            </w:r>
            <w:r w:rsidR="001A6D3E" w:rsidRPr="005F5D0D">
              <w:rPr>
                <w:sz w:val="24"/>
                <w:szCs w:val="24"/>
                <w:shd w:val="clear" w:color="auto" w:fill="FFFFFF"/>
              </w:rPr>
              <w:t xml:space="preserve">Profesionālās </w:t>
            </w:r>
            <w:r w:rsidRPr="005F5D0D">
              <w:rPr>
                <w:sz w:val="24"/>
                <w:szCs w:val="24"/>
                <w:shd w:val="clear" w:color="auto" w:fill="FFFFFF"/>
              </w:rPr>
              <w:t>Izglītības likuma izpratnē</w:t>
            </w:r>
            <w:r w:rsidR="00955266" w:rsidRPr="005F5D0D">
              <w:rPr>
                <w:sz w:val="24"/>
                <w:szCs w:val="24"/>
                <w:shd w:val="clear" w:color="auto" w:fill="FFFFFF"/>
              </w:rPr>
              <w:t xml:space="preserve"> un</w:t>
            </w:r>
            <w:r w:rsidRPr="005F5D0D">
              <w:rPr>
                <w:sz w:val="24"/>
                <w:szCs w:val="24"/>
                <w:shd w:val="clear" w:color="auto" w:fill="FFFFFF"/>
              </w:rPr>
              <w:t xml:space="preserve"> </w:t>
            </w:r>
            <w:r w:rsidR="00955266" w:rsidRPr="005F5D0D">
              <w:rPr>
                <w:sz w:val="24"/>
                <w:szCs w:val="24"/>
                <w:shd w:val="clear" w:color="auto" w:fill="FFFFFF"/>
              </w:rPr>
              <w:t>t</w:t>
            </w:r>
            <w:r w:rsidRPr="005F5D0D">
              <w:rPr>
                <w:sz w:val="24"/>
                <w:szCs w:val="24"/>
                <w:shd w:val="clear" w:color="auto" w:fill="FFFFFF"/>
              </w:rPr>
              <w:t>o apliecina pirmā līmeņa profesionālās augstākās izglītības diploms</w:t>
            </w:r>
            <w:r w:rsidR="00747E9D" w:rsidRPr="005F5D0D">
              <w:rPr>
                <w:sz w:val="24"/>
                <w:szCs w:val="24"/>
                <w:shd w:val="clear" w:color="auto" w:fill="FFFFFF"/>
              </w:rPr>
              <w:t>.</w:t>
            </w:r>
          </w:p>
          <w:p w14:paraId="54C347DC" w14:textId="7DA83D0D" w:rsidR="00E75D9A" w:rsidRPr="005F5D0D" w:rsidRDefault="000E56B2" w:rsidP="00E75D9A">
            <w:pPr>
              <w:widowControl/>
              <w:spacing w:before="100" w:beforeAutospacing="1" w:after="0" w:line="240" w:lineRule="auto"/>
              <w:ind w:firstLine="392"/>
              <w:jc w:val="both"/>
              <w:rPr>
                <w:rFonts w:eastAsia="Times New Roman"/>
                <w:iCs/>
                <w:sz w:val="24"/>
                <w:szCs w:val="24"/>
                <w:lang w:eastAsia="lv-LV"/>
              </w:rPr>
            </w:pPr>
            <w:r w:rsidRPr="005F5D0D">
              <w:rPr>
                <w:rFonts w:eastAsia="Times New Roman"/>
                <w:iCs/>
                <w:sz w:val="24"/>
                <w:szCs w:val="24"/>
                <w:lang w:eastAsia="lv-LV"/>
              </w:rPr>
              <w:t xml:space="preserve">Vērtējot citu valstu pieredzi un ieviestos mehānismus jāņem vērā, ka katrai valstij ir savi Nacionālā risku novērtējuma rezultātā identificētie riski, tādēļ arī ieviestie mehānismi var atšķirties. Kopīgais visām valstīm, </w:t>
            </w:r>
            <w:r w:rsidRPr="005F5D0D">
              <w:rPr>
                <w:rFonts w:eastAsia="Times New Roman"/>
                <w:iCs/>
                <w:sz w:val="24"/>
                <w:szCs w:val="24"/>
                <w:lang w:eastAsia="lv-LV"/>
              </w:rPr>
              <w:lastRenderedPageBreak/>
              <w:t xml:space="preserve">ir nepieciešamība saskaņot normatīvo regulējumu, ar FATF standartiem, tādēļ ir noderīgi ņemt vērā citu valstu pieredzi </w:t>
            </w:r>
            <w:r w:rsidR="00504A44" w:rsidRPr="005F5D0D">
              <w:rPr>
                <w:rFonts w:eastAsia="Times New Roman"/>
                <w:iCs/>
                <w:sz w:val="24"/>
                <w:szCs w:val="24"/>
                <w:lang w:eastAsia="lv-LV"/>
              </w:rPr>
              <w:t>NNDP</w:t>
            </w:r>
            <w:r w:rsidRPr="005F5D0D">
              <w:rPr>
                <w:rFonts w:eastAsia="Times New Roman"/>
                <w:iCs/>
                <w:sz w:val="24"/>
                <w:szCs w:val="24"/>
                <w:lang w:eastAsia="lv-LV"/>
              </w:rPr>
              <w:t xml:space="preserve"> kontrolē. Galvenie mehānismi, kuriem jāpievērš uzmanība, ir sākotnējās prasības, lai persona varētu sniegt savus pakalpojumus konkrētā nozarē. Attiecīgi, lai garantētu atbilstību starptautiskiem standartiem, jāņem vēra veids, kā citas jurisdikcijas ir noteikušas profesionālos ierobežojumus savām riska nefinanšu darbībām un profesijām. Piemēram, “fit and proper” standarts, kurš paredz, ka persona atbilst izvirzītajiem kritērijiem, lai strādātu konkrētā profesijā. Papildus jāpiemin, ka atbilstību FATF 28.rekomendācijai nodrošina ne tikai profesijām noteiktie standarti, bet arī veids kā šo standartu izpilde tiek kontrolēta un ieviesta. Latvija FATF 28.rekomendācijas kontekstā ir novērtēta, kā daļēji atbilstoša (</w:t>
            </w:r>
            <w:r w:rsidR="001977BC" w:rsidRPr="005F5D0D">
              <w:rPr>
                <w:rFonts w:eastAsia="Times New Roman"/>
                <w:iCs/>
                <w:sz w:val="24"/>
                <w:szCs w:val="24"/>
                <w:lang w:eastAsia="lv-LV"/>
              </w:rPr>
              <w:t xml:space="preserve">angl. </w:t>
            </w:r>
            <w:r w:rsidRPr="005F5D0D">
              <w:rPr>
                <w:rFonts w:eastAsia="Times New Roman"/>
                <w:iCs/>
                <w:sz w:val="24"/>
                <w:szCs w:val="24"/>
                <w:lang w:eastAsia="lv-LV"/>
              </w:rPr>
              <w:t xml:space="preserve">partialy compliant). Viens no Likumprojekta mērķiem ir nodrošināt FATF 28.rekomendācijai lielākoties atbilstošu vai atbilstošu vērtējumu. Ņemot vērā FATF 5. kārtas izvērtējuma ziņojumu rezultātus, var konstatēt sekojošo. </w:t>
            </w:r>
          </w:p>
          <w:p w14:paraId="62A8B2DD" w14:textId="77777777" w:rsidR="00904ECE" w:rsidRPr="005F5D0D" w:rsidRDefault="000E56B2" w:rsidP="00904ECE">
            <w:pPr>
              <w:widowControl/>
              <w:spacing w:before="100" w:beforeAutospacing="1" w:after="0" w:line="240" w:lineRule="auto"/>
              <w:ind w:firstLine="392"/>
              <w:jc w:val="both"/>
              <w:rPr>
                <w:rFonts w:eastAsia="Times New Roman"/>
                <w:iCs/>
                <w:sz w:val="24"/>
                <w:szCs w:val="24"/>
                <w:lang w:eastAsia="lv-LV"/>
              </w:rPr>
            </w:pPr>
            <w:r w:rsidRPr="005F5D0D">
              <w:rPr>
                <w:rFonts w:eastAsia="Times New Roman"/>
                <w:iCs/>
                <w:sz w:val="24"/>
                <w:szCs w:val="24"/>
                <w:lang w:eastAsia="lv-LV"/>
              </w:rPr>
              <w:t xml:space="preserve">Norvēģijā licencēšanas un “fit and proper” mehānisms tiek piemērots grāmatvedības pakalpojumu sniedzējiem. </w:t>
            </w:r>
          </w:p>
          <w:p w14:paraId="7CE2B05B" w14:textId="77777777" w:rsidR="00904ECE" w:rsidRPr="005F5D0D" w:rsidRDefault="000E56B2" w:rsidP="00904ECE">
            <w:pPr>
              <w:widowControl/>
              <w:spacing w:before="100" w:beforeAutospacing="1" w:after="0" w:line="240" w:lineRule="auto"/>
              <w:ind w:firstLine="392"/>
              <w:jc w:val="both"/>
              <w:rPr>
                <w:rFonts w:eastAsia="Times New Roman"/>
                <w:iCs/>
                <w:sz w:val="24"/>
                <w:szCs w:val="24"/>
                <w:lang w:eastAsia="lv-LV"/>
              </w:rPr>
            </w:pPr>
            <w:r w:rsidRPr="005F5D0D">
              <w:rPr>
                <w:rFonts w:eastAsia="Times New Roman"/>
                <w:iCs/>
                <w:sz w:val="24"/>
                <w:szCs w:val="24"/>
                <w:lang w:eastAsia="lv-LV"/>
              </w:rPr>
              <w:t>Portugālē ir licencēšanas mehānisms un “fit and proper” tests grāmatvedības pakalpojumu sniedzējiem. Nesodāmību apliecina Tieslietu ministrijas izsniegta izziņa. 28.FATF rekomendācijas vērtējums ir lielākoties atbilstošs.</w:t>
            </w:r>
          </w:p>
          <w:p w14:paraId="1F949EBA" w14:textId="77777777" w:rsidR="00904ECE" w:rsidRPr="005F5D0D" w:rsidRDefault="000E56B2" w:rsidP="00904ECE">
            <w:pPr>
              <w:widowControl/>
              <w:spacing w:before="100" w:beforeAutospacing="1" w:after="0" w:line="240" w:lineRule="auto"/>
              <w:ind w:firstLine="392"/>
              <w:jc w:val="both"/>
              <w:rPr>
                <w:rFonts w:eastAsia="Times New Roman"/>
                <w:iCs/>
                <w:sz w:val="24"/>
                <w:szCs w:val="24"/>
                <w:lang w:eastAsia="lv-LV"/>
              </w:rPr>
            </w:pPr>
            <w:r w:rsidRPr="005F5D0D">
              <w:rPr>
                <w:rFonts w:eastAsia="Times New Roman"/>
                <w:iCs/>
                <w:sz w:val="24"/>
                <w:szCs w:val="24"/>
                <w:lang w:eastAsia="lv-LV"/>
              </w:rPr>
              <w:t>Lai sasniegtu lielākoties atbilstošu vērtējumu 28.FATF rekomendācijā nepieciešams:</w:t>
            </w:r>
          </w:p>
          <w:p w14:paraId="239A0F3A" w14:textId="322B1664" w:rsidR="00904ECE" w:rsidRPr="005F5D0D" w:rsidRDefault="000E56B2" w:rsidP="00904ECE">
            <w:pPr>
              <w:widowControl/>
              <w:numPr>
                <w:ilvl w:val="0"/>
                <w:numId w:val="2"/>
              </w:numPr>
              <w:spacing w:before="100" w:beforeAutospacing="1" w:after="0" w:line="240" w:lineRule="auto"/>
              <w:ind w:left="399"/>
              <w:jc w:val="both"/>
              <w:rPr>
                <w:rFonts w:eastAsia="Times New Roman"/>
                <w:iCs/>
                <w:sz w:val="24"/>
                <w:szCs w:val="24"/>
                <w:lang w:eastAsia="lv-LV"/>
              </w:rPr>
            </w:pPr>
            <w:r w:rsidRPr="005F5D0D">
              <w:rPr>
                <w:rFonts w:eastAsia="Times New Roman"/>
                <w:iCs/>
                <w:sz w:val="24"/>
                <w:szCs w:val="24"/>
                <w:lang w:eastAsia="lv-LV"/>
              </w:rPr>
              <w:t xml:space="preserve">ieviest licencēšanas mehānismu, vai reģistrācijas mehānismu ar “fit and proper” pārbaudi. Fit and proper kritēriji var būt noteikti pēc noz. nod. </w:t>
            </w:r>
            <w:r w:rsidRPr="0028468D">
              <w:rPr>
                <w:rFonts w:eastAsia="Times New Roman"/>
                <w:iCs/>
                <w:sz w:val="24"/>
                <w:szCs w:val="24"/>
                <w:lang w:eastAsia="lv-LV"/>
              </w:rPr>
              <w:t>veida (</w:t>
            </w:r>
            <w:r w:rsidRPr="00DC08B8">
              <w:rPr>
                <w:rFonts w:eastAsia="Times New Roman"/>
                <w:iCs/>
                <w:sz w:val="24"/>
                <w:szCs w:val="24"/>
                <w:lang w:eastAsia="lv-LV"/>
              </w:rPr>
              <w:t>mantiskie, ekonomiskie</w:t>
            </w:r>
            <w:r w:rsidRPr="0028468D">
              <w:rPr>
                <w:rFonts w:eastAsia="Times New Roman"/>
                <w:iCs/>
                <w:sz w:val="24"/>
                <w:szCs w:val="24"/>
                <w:lang w:eastAsia="lv-LV"/>
              </w:rPr>
              <w:t>) vai</w:t>
            </w:r>
            <w:r w:rsidRPr="005F5D0D">
              <w:rPr>
                <w:rFonts w:eastAsia="Times New Roman"/>
                <w:iCs/>
                <w:sz w:val="24"/>
                <w:szCs w:val="24"/>
                <w:lang w:eastAsia="lv-LV"/>
              </w:rPr>
              <w:t xml:space="preserve"> pēc soda mēra (no 6 mēnešiem apcietinājumā par specifiskiem noz. nod. kā naudas atmazgāšana, krāpšana utt. vai pēc kvalificējošas pazīmes – </w:t>
            </w:r>
            <w:r w:rsidR="000875DC" w:rsidRPr="005F5D0D">
              <w:rPr>
                <w:rFonts w:eastAsia="Times New Roman"/>
                <w:iCs/>
                <w:sz w:val="24"/>
                <w:szCs w:val="24"/>
                <w:lang w:eastAsia="lv-LV"/>
              </w:rPr>
              <w:t xml:space="preserve">piem., </w:t>
            </w:r>
            <w:r w:rsidRPr="005F5D0D">
              <w:rPr>
                <w:rFonts w:eastAsia="Times New Roman"/>
                <w:iCs/>
                <w:sz w:val="24"/>
                <w:szCs w:val="24"/>
                <w:lang w:eastAsia="lv-LV"/>
              </w:rPr>
              <w:t>tīšs noz. nod.);</w:t>
            </w:r>
          </w:p>
          <w:p w14:paraId="6846ECC0" w14:textId="77777777" w:rsidR="00904ECE" w:rsidRPr="005F5D0D" w:rsidRDefault="000E56B2" w:rsidP="00904ECE">
            <w:pPr>
              <w:widowControl/>
              <w:numPr>
                <w:ilvl w:val="0"/>
                <w:numId w:val="2"/>
              </w:numPr>
              <w:spacing w:before="100" w:beforeAutospacing="1" w:after="0" w:line="240" w:lineRule="auto"/>
              <w:ind w:left="399"/>
              <w:jc w:val="both"/>
              <w:rPr>
                <w:rFonts w:eastAsia="Times New Roman"/>
                <w:iCs/>
                <w:sz w:val="24"/>
                <w:szCs w:val="24"/>
                <w:lang w:eastAsia="lv-LV"/>
              </w:rPr>
            </w:pPr>
            <w:r w:rsidRPr="005F5D0D">
              <w:rPr>
                <w:rFonts w:eastAsia="Times New Roman"/>
                <w:iCs/>
                <w:sz w:val="24"/>
                <w:szCs w:val="24"/>
                <w:lang w:eastAsia="lv-LV"/>
              </w:rPr>
              <w:t>veikt uzraudzību atbilstoši uz risku bāzētai pieejai;</w:t>
            </w:r>
          </w:p>
          <w:p w14:paraId="03F562F0" w14:textId="77777777" w:rsidR="00904ECE" w:rsidRPr="005F5D0D" w:rsidRDefault="000E56B2" w:rsidP="00904ECE">
            <w:pPr>
              <w:widowControl/>
              <w:numPr>
                <w:ilvl w:val="0"/>
                <w:numId w:val="2"/>
              </w:numPr>
              <w:spacing w:before="100" w:beforeAutospacing="1" w:after="0" w:line="240" w:lineRule="auto"/>
              <w:ind w:left="399"/>
              <w:jc w:val="both"/>
              <w:rPr>
                <w:rFonts w:eastAsia="Times New Roman"/>
                <w:iCs/>
                <w:sz w:val="24"/>
                <w:szCs w:val="24"/>
                <w:lang w:eastAsia="lv-LV"/>
              </w:rPr>
            </w:pPr>
            <w:r w:rsidRPr="005F5D0D">
              <w:rPr>
                <w:rFonts w:eastAsia="Times New Roman"/>
                <w:iCs/>
                <w:sz w:val="24"/>
                <w:szCs w:val="24"/>
                <w:lang w:eastAsia="lv-LV"/>
              </w:rPr>
              <w:t>piemērot atbilstošas, samērīgas un atturošas sankcijas;</w:t>
            </w:r>
          </w:p>
          <w:p w14:paraId="77E134DA" w14:textId="2D78790A" w:rsidR="00904ECE" w:rsidRPr="005F5D0D" w:rsidRDefault="000E56B2" w:rsidP="00904ECE">
            <w:pPr>
              <w:widowControl/>
              <w:numPr>
                <w:ilvl w:val="0"/>
                <w:numId w:val="2"/>
              </w:numPr>
              <w:spacing w:before="100" w:beforeAutospacing="1" w:after="0" w:line="240" w:lineRule="auto"/>
              <w:ind w:left="399"/>
              <w:jc w:val="both"/>
              <w:rPr>
                <w:rFonts w:eastAsia="Times New Roman"/>
                <w:iCs/>
                <w:sz w:val="24"/>
                <w:szCs w:val="24"/>
                <w:lang w:eastAsia="lv-LV"/>
              </w:rPr>
            </w:pPr>
            <w:r w:rsidRPr="005F5D0D">
              <w:rPr>
                <w:rFonts w:eastAsia="Times New Roman"/>
                <w:iCs/>
                <w:sz w:val="24"/>
                <w:szCs w:val="24"/>
                <w:lang w:eastAsia="lv-LV"/>
              </w:rPr>
              <w:t>kontrolēt licencēšanas mehānismu.</w:t>
            </w:r>
          </w:p>
          <w:p w14:paraId="01C83214" w14:textId="17F11F00" w:rsidR="00610481" w:rsidRPr="005F5D0D" w:rsidRDefault="00610481" w:rsidP="008B01AB">
            <w:pPr>
              <w:widowControl/>
              <w:spacing w:before="100" w:beforeAutospacing="1" w:after="0" w:line="240" w:lineRule="auto"/>
              <w:ind w:left="56" w:firstLine="343"/>
              <w:jc w:val="both"/>
              <w:rPr>
                <w:rFonts w:eastAsia="Times New Roman"/>
                <w:iCs/>
                <w:sz w:val="24"/>
                <w:szCs w:val="24"/>
                <w:lang w:eastAsia="lv-LV"/>
              </w:rPr>
            </w:pPr>
            <w:r w:rsidRPr="005F5D0D">
              <w:rPr>
                <w:rFonts w:eastAsia="Times New Roman"/>
                <w:iCs/>
                <w:sz w:val="24"/>
                <w:szCs w:val="24"/>
                <w:lang w:eastAsia="lv-LV"/>
              </w:rPr>
              <w:t>Likumprojektā ir paredzēts, ka par ārpakalpojuma grāmatvedi aizliegts būt tādai fiziskajai personai, kura ir sodīta par tīša noziedzīga nodarījuma izdarīšanu tautsaimniecībā un kura nav reabilitēta vai kurai nav noņemta vai dzēsta sodāmība. Šāda fizisk</w:t>
            </w:r>
            <w:r w:rsidR="006C6CF5" w:rsidRPr="005F5D0D">
              <w:rPr>
                <w:rFonts w:eastAsia="Times New Roman"/>
                <w:iCs/>
                <w:sz w:val="24"/>
                <w:szCs w:val="24"/>
                <w:lang w:eastAsia="lv-LV"/>
              </w:rPr>
              <w:t>a</w:t>
            </w:r>
            <w:r w:rsidRPr="005F5D0D">
              <w:rPr>
                <w:rFonts w:eastAsia="Times New Roman"/>
                <w:iCs/>
                <w:sz w:val="24"/>
                <w:szCs w:val="24"/>
                <w:lang w:eastAsia="lv-LV"/>
              </w:rPr>
              <w:t xml:space="preserve"> persona nedrīkst ieņemt vadošus amatus vai būt par patiesā labuma guvēju grāmatvedības ārpakalpojuma uzņēmumā. Ar šiem nosacījumiem tiek transponētas AML IV Direktīvas 47.panta 3.punkta prasības un ieviests “fit and proper” nosacījums, kā arī FATF 28.rekomendācija. </w:t>
            </w:r>
          </w:p>
          <w:p w14:paraId="15B57AB8" w14:textId="77777777" w:rsidR="00904ECE" w:rsidRPr="005F5D0D" w:rsidRDefault="000E56B2" w:rsidP="003E486F">
            <w:pPr>
              <w:widowControl/>
              <w:spacing w:before="100" w:beforeAutospacing="1" w:after="0" w:line="240" w:lineRule="auto"/>
              <w:ind w:firstLine="392"/>
              <w:jc w:val="both"/>
              <w:rPr>
                <w:rFonts w:eastAsia="Times New Roman"/>
                <w:b/>
                <w:iCs/>
                <w:sz w:val="24"/>
                <w:szCs w:val="24"/>
                <w:lang w:eastAsia="lv-LV"/>
              </w:rPr>
            </w:pPr>
            <w:r w:rsidRPr="005F5D0D">
              <w:rPr>
                <w:rFonts w:eastAsia="Times New Roman"/>
                <w:b/>
                <w:iCs/>
                <w:sz w:val="24"/>
                <w:szCs w:val="24"/>
                <w:lang w:eastAsia="lv-LV"/>
              </w:rPr>
              <w:t xml:space="preserve">Nepieciešamība sakārtot grāmatvedības pakalpojumu sniedzēju nozari, ieviešot kvalifikācijas standartus un ētikas kodeksu. </w:t>
            </w:r>
          </w:p>
          <w:p w14:paraId="6E31B17E" w14:textId="3A06D990" w:rsidR="001977BC" w:rsidRPr="005F5D0D" w:rsidRDefault="000E56B2" w:rsidP="003E486F">
            <w:pPr>
              <w:widowControl/>
              <w:spacing w:before="100" w:beforeAutospacing="1" w:after="0" w:line="240" w:lineRule="auto"/>
              <w:ind w:firstLine="392"/>
              <w:jc w:val="both"/>
              <w:rPr>
                <w:rFonts w:eastAsia="Times New Roman"/>
                <w:iCs/>
                <w:sz w:val="24"/>
                <w:szCs w:val="24"/>
                <w:lang w:eastAsia="lv-LV"/>
              </w:rPr>
            </w:pPr>
            <w:r w:rsidRPr="005F5D0D">
              <w:rPr>
                <w:rFonts w:eastAsia="Times New Roman"/>
                <w:iCs/>
                <w:sz w:val="24"/>
                <w:szCs w:val="24"/>
                <w:lang w:eastAsia="lv-LV"/>
              </w:rPr>
              <w:lastRenderedPageBreak/>
              <w:t>Šobrīd Latvij</w:t>
            </w:r>
            <w:r w:rsidR="00145E67">
              <w:rPr>
                <w:rFonts w:eastAsia="Times New Roman"/>
                <w:iCs/>
                <w:sz w:val="24"/>
                <w:szCs w:val="24"/>
                <w:lang w:eastAsia="lv-LV"/>
              </w:rPr>
              <w:t>ā</w:t>
            </w:r>
            <w:r w:rsidRPr="005F5D0D">
              <w:rPr>
                <w:rFonts w:eastAsia="Times New Roman"/>
                <w:iCs/>
                <w:sz w:val="24"/>
                <w:szCs w:val="24"/>
                <w:lang w:eastAsia="lv-LV"/>
              </w:rPr>
              <w:t xml:space="preserve"> nepastāv efektīvs grāmatvedības ārpakalpojumu sniedzēju regulējums. Eiropas </w:t>
            </w:r>
            <w:r w:rsidR="00151992">
              <w:rPr>
                <w:rFonts w:eastAsia="Times New Roman"/>
                <w:iCs/>
                <w:sz w:val="24"/>
                <w:szCs w:val="24"/>
                <w:lang w:eastAsia="lv-LV"/>
              </w:rPr>
              <w:t>K</w:t>
            </w:r>
            <w:r w:rsidR="00872DA2" w:rsidRPr="005F5D0D">
              <w:rPr>
                <w:rFonts w:eastAsia="Times New Roman"/>
                <w:iCs/>
                <w:sz w:val="24"/>
                <w:szCs w:val="24"/>
                <w:lang w:eastAsia="lv-LV"/>
              </w:rPr>
              <w:t xml:space="preserve">omisija savā ziņojumā par valstu noteikumiem par piekļuvi profesijām </w:t>
            </w:r>
            <w:r w:rsidRPr="005F5D0D">
              <w:rPr>
                <w:rFonts w:eastAsia="Times New Roman"/>
                <w:iCs/>
                <w:sz w:val="24"/>
                <w:szCs w:val="24"/>
                <w:lang w:eastAsia="lv-LV"/>
              </w:rPr>
              <w:t>min sekojošo. Patērētājiem  var  rasties  grūtības novērtēt pakalpojumu sniedzēju kvalifikācijas līmeni, kas ir būtiski augsta kvalitātes pakalpojumu saņemšanai. Šāds informācijas nesimetriskums liedz patērētajiem izdarīt informētu pakalpojuma sniedzēja izvēli. Lai novērstu iespējamo tirgus nepilnību risku, patērētājiem nepieciešamās garantijas varētu sniegt noteikumi, kas skaidri nosaka tirgū strādājošajiem profesionāļiem nepieciešamo tehnisko kompetenci un zināšanas.</w:t>
            </w:r>
            <w:r w:rsidRPr="005F5D0D">
              <w:rPr>
                <w:rFonts w:eastAsia="Times New Roman"/>
                <w:iCs/>
                <w:sz w:val="24"/>
                <w:szCs w:val="24"/>
                <w:vertAlign w:val="superscript"/>
                <w:lang w:eastAsia="lv-LV"/>
              </w:rPr>
              <w:footnoteReference w:id="11"/>
            </w:r>
            <w:r w:rsidRPr="005F5D0D">
              <w:rPr>
                <w:rFonts w:eastAsia="Times New Roman"/>
                <w:iCs/>
                <w:sz w:val="24"/>
                <w:szCs w:val="24"/>
                <w:lang w:eastAsia="lv-LV"/>
              </w:rPr>
              <w:t xml:space="preserve"> Uz doto brīdi grāmatvedības ārpakalpojumu nozarē nav skaidri kritēriji, kas noteiktu </w:t>
            </w:r>
            <w:r w:rsidR="00610481" w:rsidRPr="005F5D0D">
              <w:rPr>
                <w:rFonts w:eastAsia="Times New Roman"/>
                <w:iCs/>
                <w:sz w:val="24"/>
                <w:szCs w:val="24"/>
                <w:lang w:eastAsia="lv-LV"/>
              </w:rPr>
              <w:t xml:space="preserve">minimālo profesionālās </w:t>
            </w:r>
            <w:r w:rsidRPr="005F5D0D">
              <w:rPr>
                <w:rFonts w:eastAsia="Times New Roman"/>
                <w:iCs/>
                <w:sz w:val="24"/>
                <w:szCs w:val="24"/>
                <w:lang w:eastAsia="lv-LV"/>
              </w:rPr>
              <w:t>kompetenc</w:t>
            </w:r>
            <w:r w:rsidR="00610481" w:rsidRPr="005F5D0D">
              <w:rPr>
                <w:rFonts w:eastAsia="Times New Roman"/>
                <w:iCs/>
                <w:sz w:val="24"/>
                <w:szCs w:val="24"/>
                <w:lang w:eastAsia="lv-LV"/>
              </w:rPr>
              <w:t>es</w:t>
            </w:r>
            <w:r w:rsidRPr="005F5D0D">
              <w:rPr>
                <w:rFonts w:eastAsia="Times New Roman"/>
                <w:iCs/>
                <w:sz w:val="24"/>
                <w:szCs w:val="24"/>
                <w:lang w:eastAsia="lv-LV"/>
              </w:rPr>
              <w:t xml:space="preserve"> un zināšan</w:t>
            </w:r>
            <w:r w:rsidR="00610481" w:rsidRPr="005F5D0D">
              <w:rPr>
                <w:rFonts w:eastAsia="Times New Roman"/>
                <w:iCs/>
                <w:sz w:val="24"/>
                <w:szCs w:val="24"/>
                <w:lang w:eastAsia="lv-LV"/>
              </w:rPr>
              <w:t>u slieksni</w:t>
            </w:r>
            <w:r w:rsidRPr="005F5D0D">
              <w:rPr>
                <w:rFonts w:eastAsia="Times New Roman"/>
                <w:iCs/>
                <w:sz w:val="24"/>
                <w:szCs w:val="24"/>
                <w:lang w:eastAsia="lv-LV"/>
              </w:rPr>
              <w:t>.</w:t>
            </w:r>
          </w:p>
          <w:p w14:paraId="03732803" w14:textId="44044317" w:rsidR="00872DA2" w:rsidRPr="005F5D0D" w:rsidRDefault="000E56B2" w:rsidP="00872DA2">
            <w:pPr>
              <w:widowControl/>
              <w:spacing w:before="100" w:beforeAutospacing="1" w:after="0" w:line="240" w:lineRule="auto"/>
              <w:ind w:firstLine="392"/>
              <w:jc w:val="both"/>
              <w:rPr>
                <w:rFonts w:eastAsia="Times New Roman"/>
                <w:iCs/>
                <w:sz w:val="24"/>
                <w:szCs w:val="24"/>
                <w:lang w:eastAsia="lv-LV"/>
              </w:rPr>
            </w:pPr>
            <w:r w:rsidRPr="005F5D0D">
              <w:rPr>
                <w:rFonts w:eastAsia="Times New Roman"/>
                <w:iCs/>
                <w:sz w:val="24"/>
                <w:szCs w:val="24"/>
                <w:lang w:eastAsia="lv-LV"/>
              </w:rPr>
              <w:t xml:space="preserve">Vērtējot nepieciešamību licencēt grāmatvedības ārpakalpojumu sniedzējus, jāņem vērā, ka nozares sakārtošana stiprinās kopējo uzticību publiski pieejamiem finanšu pārskatiem, kas atstās pozitīvu iespaidu uz valsts spēju piesaistīt investīcijas. Grāmatvedības informācijas publiskās ticamības nozīmību uzsver arī Eiropas </w:t>
            </w:r>
            <w:r w:rsidR="00151992">
              <w:rPr>
                <w:rFonts w:eastAsia="Times New Roman"/>
                <w:iCs/>
                <w:sz w:val="24"/>
                <w:szCs w:val="24"/>
                <w:lang w:eastAsia="lv-LV"/>
              </w:rPr>
              <w:t>K</w:t>
            </w:r>
            <w:r w:rsidRPr="005F5D0D">
              <w:rPr>
                <w:rFonts w:eastAsia="Times New Roman"/>
                <w:iCs/>
                <w:sz w:val="24"/>
                <w:szCs w:val="24"/>
                <w:lang w:eastAsia="lv-LV"/>
              </w:rPr>
              <w:t>omisija savā ziņojumā.</w:t>
            </w:r>
          </w:p>
          <w:p w14:paraId="73D2AAAB" w14:textId="22839E52" w:rsidR="00327AF7" w:rsidRPr="005F5D0D" w:rsidRDefault="00D42091" w:rsidP="00327AF7">
            <w:pPr>
              <w:widowControl/>
              <w:spacing w:before="100" w:beforeAutospacing="1" w:after="0" w:line="240" w:lineRule="auto"/>
              <w:ind w:firstLine="392"/>
              <w:jc w:val="both"/>
              <w:rPr>
                <w:rFonts w:eastAsia="Times New Roman"/>
                <w:iCs/>
                <w:sz w:val="24"/>
                <w:szCs w:val="24"/>
                <w:lang w:eastAsia="lv-LV"/>
              </w:rPr>
            </w:pPr>
            <w:r w:rsidRPr="005F5D0D">
              <w:rPr>
                <w:rFonts w:eastAsia="Times New Roman"/>
                <w:iCs/>
                <w:sz w:val="24"/>
                <w:szCs w:val="24"/>
                <w:lang w:eastAsia="lv-LV"/>
              </w:rPr>
              <w:t xml:space="preserve">Ieviešot ārpakalpojumu grāmatvežu licencēšanas mehānismu, reizē ir iespējams nodrošināt vienotu nozares profesionāļu ētikas standartu ievērošanu, kas sava obligātā rakstura dēļ var būtiski samazināt negodprātīgo nozares pārstāvju īpatsvaru. Patlaban </w:t>
            </w:r>
            <w:r w:rsidR="000E56B2" w:rsidRPr="005F5D0D">
              <w:rPr>
                <w:rFonts w:eastAsia="Times New Roman"/>
                <w:iCs/>
                <w:sz w:val="24"/>
                <w:szCs w:val="24"/>
                <w:lang w:eastAsia="lv-LV"/>
              </w:rPr>
              <w:t>Latvijas grāmatvežu ētika netiek regulēta normatīvo aktu līmenī. Pārsvarā ētiskā uzvedība profesijas ietvaros ir regulēta profesionālo grāmatvežu un revidentu profesionālo asociāciju līmenī. Jāņem vērā arī tas, ka grāmatvežu attieksme pret profesionālo ētiku lielā mērā ir nevienprātīga un pat noraidoša. Šajā sakarā kļūst nozīmīga topošo grāmatvežu sagatavošana, sniedzot tiem, izglītības programmu ietvaros, ieskatu par profesionālas ētikas pamatprincipiem, rosinot analizēt dažādas no ētikas viedokļa konfliktējošas hipotētiskās situācijas, risināt ētikas konfliktus un pieņemt pamatotus lēmumus šo konfliktu atrisināšanai.</w:t>
            </w:r>
            <w:r w:rsidR="000E56B2" w:rsidRPr="005F5D0D">
              <w:rPr>
                <w:rFonts w:eastAsia="Times New Roman"/>
                <w:iCs/>
                <w:sz w:val="24"/>
                <w:szCs w:val="24"/>
                <w:vertAlign w:val="superscript"/>
                <w:lang w:eastAsia="lv-LV"/>
              </w:rPr>
              <w:footnoteReference w:id="12"/>
            </w:r>
            <w:r w:rsidR="000E56B2" w:rsidRPr="005F5D0D">
              <w:rPr>
                <w:rFonts w:eastAsia="Times New Roman"/>
                <w:iCs/>
                <w:sz w:val="24"/>
                <w:szCs w:val="24"/>
                <w:lang w:eastAsia="lv-LV"/>
              </w:rPr>
              <w:t xml:space="preserve"> </w:t>
            </w:r>
          </w:p>
          <w:p w14:paraId="73EA4912" w14:textId="77777777" w:rsidR="00327AF7" w:rsidRPr="005F5D0D" w:rsidRDefault="000E56B2" w:rsidP="00872DA2">
            <w:pPr>
              <w:widowControl/>
              <w:spacing w:before="100" w:beforeAutospacing="1" w:after="0" w:line="240" w:lineRule="auto"/>
              <w:ind w:firstLine="392"/>
              <w:jc w:val="both"/>
              <w:rPr>
                <w:rFonts w:eastAsia="Times New Roman"/>
                <w:b/>
                <w:iCs/>
                <w:sz w:val="24"/>
                <w:szCs w:val="24"/>
                <w:lang w:eastAsia="lv-LV"/>
              </w:rPr>
            </w:pPr>
            <w:r w:rsidRPr="005F5D0D">
              <w:rPr>
                <w:rFonts w:eastAsia="Times New Roman"/>
                <w:b/>
                <w:iCs/>
                <w:sz w:val="24"/>
                <w:szCs w:val="24"/>
                <w:lang w:eastAsia="lv-LV"/>
              </w:rPr>
              <w:t>Grāmatvedības pakalpojumu kvalitātes un ietekmes uz ēnu ekonomiku izvērtējums.</w:t>
            </w:r>
          </w:p>
          <w:p w14:paraId="7E02278E" w14:textId="156171C5" w:rsidR="00C2228F" w:rsidRPr="005F5D0D" w:rsidRDefault="000E56B2" w:rsidP="00C2228F">
            <w:pPr>
              <w:widowControl/>
              <w:spacing w:before="100" w:beforeAutospacing="1" w:after="0" w:line="240" w:lineRule="auto"/>
              <w:ind w:firstLine="392"/>
              <w:jc w:val="both"/>
              <w:rPr>
                <w:rFonts w:eastAsia="Times New Roman"/>
                <w:iCs/>
                <w:sz w:val="24"/>
                <w:szCs w:val="24"/>
                <w:lang w:eastAsia="lv-LV"/>
              </w:rPr>
            </w:pPr>
            <w:r w:rsidRPr="005F5D0D">
              <w:rPr>
                <w:rFonts w:eastAsia="Times New Roman"/>
                <w:iCs/>
                <w:sz w:val="24"/>
                <w:szCs w:val="24"/>
                <w:lang w:eastAsia="lv-LV"/>
              </w:rPr>
              <w:t>Grāmatvedības ārpakalpojumu sniedzēju darbības regulēšana ir vitāli nepieciešama, lai samazinātu  ēnu ekonomiku, NILL riskus un celtu kopējo grāmatvedības dokumentu kvalitāti, tād</w:t>
            </w:r>
            <w:r w:rsidR="0058306D">
              <w:rPr>
                <w:rFonts w:eastAsia="Times New Roman"/>
                <w:iCs/>
                <w:sz w:val="24"/>
                <w:szCs w:val="24"/>
                <w:lang w:eastAsia="lv-LV"/>
              </w:rPr>
              <w:t>ē</w:t>
            </w:r>
            <w:r w:rsidRPr="005F5D0D">
              <w:rPr>
                <w:rFonts w:eastAsia="Times New Roman"/>
                <w:iCs/>
                <w:sz w:val="24"/>
                <w:szCs w:val="24"/>
                <w:lang w:eastAsia="lv-LV"/>
              </w:rPr>
              <w:t>jādi samazinot nodokļu uzrēķinu un piemēroto sodu apmēru. Šobrīd par grāmatvedības ārpakalpojumu sniedzēju var būt</w:t>
            </w:r>
            <w:r w:rsidR="00D22F92" w:rsidRPr="005F5D0D">
              <w:rPr>
                <w:rFonts w:eastAsia="Times New Roman"/>
                <w:iCs/>
                <w:sz w:val="24"/>
                <w:szCs w:val="24"/>
                <w:lang w:eastAsia="lv-LV"/>
              </w:rPr>
              <w:t xml:space="preserve"> </w:t>
            </w:r>
            <w:r w:rsidRPr="005F5D0D">
              <w:rPr>
                <w:rFonts w:eastAsia="Times New Roman"/>
                <w:iCs/>
                <w:sz w:val="24"/>
                <w:szCs w:val="24"/>
                <w:lang w:eastAsia="lv-LV"/>
              </w:rPr>
              <w:t>persona,</w:t>
            </w:r>
            <w:r w:rsidR="008A5AA9" w:rsidRPr="005F5D0D">
              <w:rPr>
                <w:rFonts w:eastAsia="Times New Roman"/>
                <w:iCs/>
                <w:sz w:val="24"/>
                <w:szCs w:val="24"/>
                <w:lang w:eastAsia="lv-LV"/>
              </w:rPr>
              <w:t xml:space="preserve"> kura</w:t>
            </w:r>
            <w:r w:rsidR="00425126" w:rsidRPr="005F5D0D">
              <w:rPr>
                <w:rFonts w:eastAsia="Times New Roman"/>
                <w:iCs/>
                <w:sz w:val="24"/>
                <w:szCs w:val="24"/>
                <w:lang w:eastAsia="lv-LV"/>
              </w:rPr>
              <w:t xml:space="preserve"> </w:t>
            </w:r>
            <w:r w:rsidRPr="005F5D0D">
              <w:rPr>
                <w:rFonts w:eastAsia="Times New Roman"/>
                <w:iCs/>
                <w:sz w:val="24"/>
                <w:szCs w:val="24"/>
                <w:lang w:eastAsia="lv-LV"/>
              </w:rPr>
              <w:t xml:space="preserve">ir pārkāpusi </w:t>
            </w:r>
            <w:r w:rsidR="00AE086B">
              <w:rPr>
                <w:rFonts w:eastAsia="Times New Roman"/>
                <w:iCs/>
                <w:sz w:val="24"/>
                <w:szCs w:val="24"/>
                <w:lang w:eastAsia="lv-LV"/>
              </w:rPr>
              <w:t xml:space="preserve">būtiskas </w:t>
            </w:r>
            <w:r w:rsidRPr="005F5D0D">
              <w:rPr>
                <w:rFonts w:eastAsia="Times New Roman"/>
                <w:iCs/>
                <w:sz w:val="24"/>
                <w:szCs w:val="24"/>
                <w:lang w:eastAsia="lv-LV"/>
              </w:rPr>
              <w:t>NILLTFN</w:t>
            </w:r>
            <w:r w:rsidR="00AE086B">
              <w:rPr>
                <w:rFonts w:eastAsia="Times New Roman"/>
                <w:iCs/>
                <w:sz w:val="24"/>
                <w:szCs w:val="24"/>
                <w:lang w:eastAsia="lv-LV"/>
              </w:rPr>
              <w:t xml:space="preserve"> likuma</w:t>
            </w:r>
            <w:r w:rsidRPr="005F5D0D">
              <w:rPr>
                <w:rFonts w:eastAsia="Times New Roman"/>
                <w:iCs/>
                <w:sz w:val="24"/>
                <w:szCs w:val="24"/>
                <w:lang w:eastAsia="lv-LV"/>
              </w:rPr>
              <w:t xml:space="preserve"> prasības</w:t>
            </w:r>
            <w:r w:rsidR="00425126" w:rsidRPr="005F5D0D">
              <w:rPr>
                <w:rFonts w:eastAsia="Times New Roman"/>
                <w:iCs/>
                <w:sz w:val="24"/>
                <w:szCs w:val="24"/>
                <w:lang w:eastAsia="lv-LV"/>
              </w:rPr>
              <w:t>, un t</w:t>
            </w:r>
            <w:r w:rsidRPr="005F5D0D">
              <w:rPr>
                <w:rFonts w:eastAsia="Times New Roman"/>
                <w:iCs/>
                <w:sz w:val="24"/>
                <w:szCs w:val="24"/>
                <w:lang w:eastAsia="lv-LV"/>
              </w:rPr>
              <w:t>as nev</w:t>
            </w:r>
            <w:r w:rsidR="002419D4">
              <w:rPr>
                <w:rFonts w:eastAsia="Times New Roman"/>
                <w:iCs/>
                <w:sz w:val="24"/>
                <w:szCs w:val="24"/>
                <w:lang w:eastAsia="lv-LV"/>
              </w:rPr>
              <w:t>eicina</w:t>
            </w:r>
            <w:r w:rsidRPr="005F5D0D">
              <w:rPr>
                <w:rFonts w:eastAsia="Times New Roman"/>
                <w:iCs/>
                <w:sz w:val="24"/>
                <w:szCs w:val="24"/>
                <w:lang w:eastAsia="lv-LV"/>
              </w:rPr>
              <w:t xml:space="preserve"> NILL risku novēršanu.</w:t>
            </w:r>
          </w:p>
          <w:p w14:paraId="33B461B5" w14:textId="1EF8870B" w:rsidR="00C2228F" w:rsidRPr="005F5D0D" w:rsidRDefault="000E56B2" w:rsidP="00526AAF">
            <w:pPr>
              <w:widowControl/>
              <w:spacing w:after="0" w:line="240" w:lineRule="auto"/>
              <w:ind w:firstLine="392"/>
              <w:jc w:val="both"/>
              <w:rPr>
                <w:rFonts w:eastAsia="Times New Roman"/>
                <w:iCs/>
                <w:sz w:val="24"/>
                <w:szCs w:val="24"/>
                <w:lang w:eastAsia="lv-LV"/>
              </w:rPr>
            </w:pPr>
            <w:r w:rsidRPr="0028468D">
              <w:rPr>
                <w:rFonts w:eastAsia="Times New Roman"/>
                <w:iCs/>
                <w:sz w:val="24"/>
                <w:szCs w:val="24"/>
                <w:lang w:eastAsia="lv-LV"/>
              </w:rPr>
              <w:lastRenderedPageBreak/>
              <w:t xml:space="preserve">Atbilstoši </w:t>
            </w:r>
            <w:r w:rsidR="005B5A95" w:rsidRPr="00DC08B8">
              <w:rPr>
                <w:rFonts w:eastAsia="Times New Roman"/>
                <w:iCs/>
                <w:sz w:val="24"/>
                <w:szCs w:val="24"/>
                <w:lang w:eastAsia="lv-LV"/>
              </w:rPr>
              <w:t>VID</w:t>
            </w:r>
            <w:r w:rsidRPr="0028468D">
              <w:rPr>
                <w:rFonts w:eastAsia="Times New Roman"/>
                <w:iCs/>
                <w:sz w:val="24"/>
                <w:szCs w:val="24"/>
                <w:lang w:eastAsia="lv-LV"/>
              </w:rPr>
              <w:t xml:space="preserve"> datiem</w:t>
            </w:r>
            <w:r w:rsidRPr="005F5D0D">
              <w:rPr>
                <w:rFonts w:eastAsia="Times New Roman"/>
                <w:iCs/>
                <w:sz w:val="24"/>
                <w:szCs w:val="24"/>
                <w:lang w:eastAsia="lv-LV"/>
              </w:rPr>
              <w:t xml:space="preserve"> uz 2018.gada 29.augustu ir iesniegti 135 550 Uzņēmumu gada pārskati</w:t>
            </w:r>
            <w:r w:rsidR="00206145" w:rsidRPr="005F5D0D">
              <w:rPr>
                <w:rFonts w:eastAsia="Times New Roman"/>
                <w:iCs/>
                <w:sz w:val="24"/>
                <w:szCs w:val="24"/>
                <w:lang w:eastAsia="lv-LV"/>
              </w:rPr>
              <w:t xml:space="preserve"> (turpmāk – UGP)</w:t>
            </w:r>
            <w:r w:rsidRPr="005F5D0D">
              <w:rPr>
                <w:rFonts w:eastAsia="Times New Roman"/>
                <w:iCs/>
                <w:sz w:val="24"/>
                <w:szCs w:val="24"/>
                <w:lang w:eastAsia="lv-LV"/>
              </w:rPr>
              <w:t xml:space="preserve"> par 2017. gadu, no kuriem var secināt, ka:</w:t>
            </w:r>
          </w:p>
          <w:p w14:paraId="2A151E9E" w14:textId="77777777" w:rsidR="00C2228F" w:rsidRPr="005F5D0D" w:rsidRDefault="000E56B2" w:rsidP="00526AAF">
            <w:pPr>
              <w:pStyle w:val="ListParagraph"/>
              <w:widowControl/>
              <w:numPr>
                <w:ilvl w:val="0"/>
                <w:numId w:val="5"/>
              </w:numPr>
              <w:spacing w:after="0" w:line="240" w:lineRule="auto"/>
              <w:ind w:left="399"/>
              <w:jc w:val="both"/>
              <w:rPr>
                <w:rFonts w:eastAsia="Times New Roman"/>
                <w:iCs/>
                <w:sz w:val="24"/>
                <w:szCs w:val="24"/>
                <w:lang w:eastAsia="lv-LV"/>
              </w:rPr>
            </w:pPr>
            <w:r w:rsidRPr="005F5D0D">
              <w:rPr>
                <w:rFonts w:eastAsia="Times New Roman"/>
                <w:iCs/>
                <w:sz w:val="24"/>
                <w:szCs w:val="24"/>
                <w:lang w:eastAsia="lv-LV"/>
              </w:rPr>
              <w:t>52 726 jeb 38,9% uzņēmumos grāmatvedību kārto ārpakalpojumu grāmatvedis;</w:t>
            </w:r>
          </w:p>
          <w:p w14:paraId="07446047" w14:textId="77777777" w:rsidR="00C2228F" w:rsidRPr="005F5D0D" w:rsidRDefault="000E56B2" w:rsidP="00526AAF">
            <w:pPr>
              <w:pStyle w:val="ListParagraph"/>
              <w:widowControl/>
              <w:numPr>
                <w:ilvl w:val="0"/>
                <w:numId w:val="5"/>
              </w:numPr>
              <w:spacing w:after="0" w:line="240" w:lineRule="auto"/>
              <w:ind w:left="399"/>
              <w:jc w:val="both"/>
              <w:rPr>
                <w:rFonts w:eastAsia="Times New Roman"/>
                <w:iCs/>
                <w:sz w:val="24"/>
                <w:szCs w:val="24"/>
                <w:lang w:eastAsia="lv-LV"/>
              </w:rPr>
            </w:pPr>
            <w:r w:rsidRPr="005F5D0D">
              <w:rPr>
                <w:rFonts w:eastAsia="Times New Roman"/>
                <w:iCs/>
                <w:sz w:val="24"/>
                <w:szCs w:val="24"/>
                <w:lang w:eastAsia="lv-LV"/>
              </w:rPr>
              <w:t>61 263 jeb 45,2% uzņēmumu grāmatvedību kārto uzņēmuma grāmatvedis;</w:t>
            </w:r>
          </w:p>
          <w:p w14:paraId="652E4534" w14:textId="77777777" w:rsidR="00C2228F" w:rsidRPr="005F5D0D" w:rsidRDefault="000E56B2" w:rsidP="00526AAF">
            <w:pPr>
              <w:pStyle w:val="ListParagraph"/>
              <w:widowControl/>
              <w:numPr>
                <w:ilvl w:val="0"/>
                <w:numId w:val="5"/>
              </w:numPr>
              <w:spacing w:after="0" w:line="240" w:lineRule="auto"/>
              <w:ind w:left="399"/>
              <w:jc w:val="both"/>
              <w:rPr>
                <w:rFonts w:eastAsia="Times New Roman"/>
                <w:iCs/>
                <w:sz w:val="24"/>
                <w:szCs w:val="24"/>
                <w:lang w:eastAsia="lv-LV"/>
              </w:rPr>
            </w:pPr>
            <w:r w:rsidRPr="005F5D0D">
              <w:rPr>
                <w:rFonts w:eastAsia="Times New Roman"/>
                <w:iCs/>
                <w:sz w:val="24"/>
                <w:szCs w:val="24"/>
                <w:lang w:eastAsia="lv-LV"/>
              </w:rPr>
              <w:t>21 561 jeb 15,9% uzņēmuma grāmatvedības pakalpojumu sniedzējs nav norādīts.</w:t>
            </w:r>
          </w:p>
          <w:p w14:paraId="3B21CBAF" w14:textId="6BC65088" w:rsidR="00C2228F" w:rsidRPr="005F5D0D" w:rsidRDefault="000E56B2" w:rsidP="00526AAF">
            <w:pPr>
              <w:widowControl/>
              <w:spacing w:after="0" w:line="240" w:lineRule="auto"/>
              <w:ind w:left="399" w:hanging="399"/>
              <w:jc w:val="both"/>
              <w:rPr>
                <w:rFonts w:eastAsia="Times New Roman"/>
                <w:iCs/>
                <w:sz w:val="24"/>
                <w:szCs w:val="24"/>
                <w:lang w:eastAsia="lv-LV"/>
              </w:rPr>
            </w:pPr>
            <w:r w:rsidRPr="005F5D0D">
              <w:rPr>
                <w:rFonts w:eastAsia="Times New Roman"/>
                <w:iCs/>
                <w:sz w:val="24"/>
                <w:szCs w:val="24"/>
                <w:lang w:eastAsia="lv-LV"/>
              </w:rPr>
              <w:t xml:space="preserve">Atbilstoši </w:t>
            </w:r>
            <w:r w:rsidR="009B54A2">
              <w:rPr>
                <w:rFonts w:eastAsia="Times New Roman"/>
                <w:iCs/>
                <w:sz w:val="24"/>
                <w:szCs w:val="24"/>
                <w:lang w:eastAsia="lv-LV"/>
              </w:rPr>
              <w:t>VID</w:t>
            </w:r>
            <w:r w:rsidRPr="005F5D0D">
              <w:rPr>
                <w:rFonts w:eastAsia="Times New Roman"/>
                <w:iCs/>
                <w:sz w:val="24"/>
                <w:szCs w:val="24"/>
                <w:lang w:eastAsia="lv-LV"/>
              </w:rPr>
              <w:t xml:space="preserve"> datiem par 2016. gadu ir iesniegti 139 059 U</w:t>
            </w:r>
            <w:r w:rsidR="009B54A2">
              <w:rPr>
                <w:rFonts w:eastAsia="Times New Roman"/>
                <w:iCs/>
                <w:sz w:val="24"/>
                <w:szCs w:val="24"/>
                <w:lang w:eastAsia="lv-LV"/>
              </w:rPr>
              <w:t>GP</w:t>
            </w:r>
            <w:r w:rsidRPr="005F5D0D">
              <w:rPr>
                <w:rFonts w:eastAsia="Times New Roman"/>
                <w:iCs/>
                <w:sz w:val="24"/>
                <w:szCs w:val="24"/>
                <w:lang w:eastAsia="lv-LV"/>
              </w:rPr>
              <w:t>, no kuriem var secināt, ka:</w:t>
            </w:r>
          </w:p>
          <w:p w14:paraId="1A8FD2B7" w14:textId="77777777" w:rsidR="00C2228F" w:rsidRPr="005F5D0D" w:rsidRDefault="000E56B2" w:rsidP="00526AAF">
            <w:pPr>
              <w:widowControl/>
              <w:numPr>
                <w:ilvl w:val="0"/>
                <w:numId w:val="3"/>
              </w:numPr>
              <w:spacing w:after="0" w:line="240" w:lineRule="auto"/>
              <w:ind w:left="399"/>
              <w:jc w:val="both"/>
              <w:rPr>
                <w:rFonts w:eastAsia="Times New Roman"/>
                <w:iCs/>
                <w:sz w:val="24"/>
                <w:szCs w:val="24"/>
                <w:lang w:eastAsia="lv-LV"/>
              </w:rPr>
            </w:pPr>
            <w:r w:rsidRPr="005F5D0D">
              <w:rPr>
                <w:rFonts w:eastAsia="Times New Roman"/>
                <w:iCs/>
                <w:sz w:val="24"/>
                <w:szCs w:val="24"/>
                <w:lang w:eastAsia="lv-LV"/>
              </w:rPr>
              <w:t>50 179 jeb 36,1% uzņēmumos grāmatvedību kārto ārpakalpojumu grāmatvedis;</w:t>
            </w:r>
          </w:p>
          <w:p w14:paraId="1A937DAA" w14:textId="77777777" w:rsidR="00C2228F" w:rsidRPr="005F5D0D" w:rsidRDefault="000E56B2" w:rsidP="00526AAF">
            <w:pPr>
              <w:widowControl/>
              <w:numPr>
                <w:ilvl w:val="0"/>
                <w:numId w:val="3"/>
              </w:numPr>
              <w:spacing w:after="0" w:line="240" w:lineRule="auto"/>
              <w:ind w:left="399"/>
              <w:jc w:val="both"/>
              <w:rPr>
                <w:rFonts w:eastAsia="Times New Roman"/>
                <w:iCs/>
                <w:sz w:val="24"/>
                <w:szCs w:val="24"/>
                <w:lang w:eastAsia="lv-LV"/>
              </w:rPr>
            </w:pPr>
            <w:r w:rsidRPr="005F5D0D">
              <w:rPr>
                <w:rFonts w:eastAsia="Times New Roman"/>
                <w:iCs/>
                <w:sz w:val="24"/>
                <w:szCs w:val="24"/>
                <w:lang w:eastAsia="lv-LV"/>
              </w:rPr>
              <w:t>61 491  jeb 44,2% uzņēmumu grāmatvedību kārto uzņēmuma grāmatvedis;</w:t>
            </w:r>
          </w:p>
          <w:p w14:paraId="2748ABAA" w14:textId="77777777" w:rsidR="00C2228F" w:rsidRPr="005F5D0D" w:rsidRDefault="000E56B2" w:rsidP="00526AAF">
            <w:pPr>
              <w:widowControl/>
              <w:numPr>
                <w:ilvl w:val="0"/>
                <w:numId w:val="3"/>
              </w:numPr>
              <w:spacing w:after="0" w:line="240" w:lineRule="auto"/>
              <w:ind w:left="399"/>
              <w:jc w:val="both"/>
              <w:rPr>
                <w:rFonts w:eastAsia="Times New Roman"/>
                <w:iCs/>
                <w:sz w:val="24"/>
                <w:szCs w:val="24"/>
                <w:lang w:eastAsia="lv-LV"/>
              </w:rPr>
            </w:pPr>
            <w:r w:rsidRPr="005F5D0D">
              <w:rPr>
                <w:rFonts w:eastAsia="Times New Roman"/>
                <w:iCs/>
                <w:sz w:val="24"/>
                <w:szCs w:val="24"/>
                <w:lang w:eastAsia="lv-LV"/>
              </w:rPr>
              <w:t>27 389 jeb 19,7% uzņēmuma grāmatvedības pakalpojumu sniedzējs nav norādīts.</w:t>
            </w:r>
          </w:p>
          <w:p w14:paraId="29EE687C" w14:textId="167AC614" w:rsidR="00CA1702" w:rsidRPr="00DC08B8" w:rsidRDefault="000E56B2" w:rsidP="00C2228F">
            <w:pPr>
              <w:widowControl/>
              <w:spacing w:before="100" w:beforeAutospacing="1" w:after="0" w:line="240" w:lineRule="auto"/>
              <w:ind w:firstLine="392"/>
              <w:jc w:val="both"/>
              <w:rPr>
                <w:rFonts w:eastAsia="Times New Roman"/>
                <w:iCs/>
                <w:sz w:val="24"/>
                <w:szCs w:val="24"/>
                <w:lang w:eastAsia="lv-LV"/>
              </w:rPr>
            </w:pPr>
            <w:r w:rsidRPr="005F5D0D">
              <w:rPr>
                <w:rFonts w:eastAsia="Times New Roman"/>
                <w:iCs/>
                <w:sz w:val="24"/>
                <w:szCs w:val="24"/>
                <w:lang w:eastAsia="lv-LV"/>
              </w:rPr>
              <w:t xml:space="preserve">Atbilstoši </w:t>
            </w:r>
            <w:r w:rsidRPr="0028468D">
              <w:rPr>
                <w:rFonts w:eastAsia="Times New Roman"/>
                <w:iCs/>
                <w:sz w:val="24"/>
                <w:szCs w:val="24"/>
                <w:lang w:eastAsia="lv-LV"/>
              </w:rPr>
              <w:t xml:space="preserve">NILLTFN likuma prasībām grāmatvedības ārpakalpojumu sniedzējiem ir jāreģistrējas </w:t>
            </w:r>
            <w:r w:rsidR="005B5A95" w:rsidRPr="00DC08B8">
              <w:rPr>
                <w:rFonts w:eastAsia="Times New Roman"/>
                <w:iCs/>
                <w:sz w:val="24"/>
                <w:szCs w:val="24"/>
                <w:lang w:eastAsia="lv-LV"/>
              </w:rPr>
              <w:t>VID</w:t>
            </w:r>
            <w:r w:rsidRPr="0028468D">
              <w:rPr>
                <w:rFonts w:eastAsia="Times New Roman"/>
                <w:iCs/>
                <w:sz w:val="24"/>
                <w:szCs w:val="24"/>
                <w:lang w:eastAsia="lv-LV"/>
              </w:rPr>
              <w:t>, kā NILLTFN likuma subjektiem. Reģistrēto g</w:t>
            </w:r>
            <w:r w:rsidRPr="00DC08B8">
              <w:rPr>
                <w:rFonts w:eastAsia="Times New Roman"/>
                <w:iCs/>
                <w:sz w:val="24"/>
                <w:szCs w:val="24"/>
                <w:lang w:eastAsia="lv-LV"/>
              </w:rPr>
              <w:t>rāmatvedības ārpakalpojumu sniedzēju skaits svārstās 7 400 robežās</w:t>
            </w:r>
            <w:r w:rsidR="00DF7C4B" w:rsidRPr="00DC08B8">
              <w:rPr>
                <w:rFonts w:eastAsia="Times New Roman"/>
                <w:iCs/>
                <w:sz w:val="24"/>
                <w:szCs w:val="24"/>
                <w:lang w:eastAsia="lv-LV"/>
              </w:rPr>
              <w:t xml:space="preserve"> (</w:t>
            </w:r>
            <w:r w:rsidR="00DF7C4B" w:rsidRPr="00DC08B8">
              <w:rPr>
                <w:sz w:val="24"/>
                <w:szCs w:val="24"/>
              </w:rPr>
              <w:t xml:space="preserve">uz </w:t>
            </w:r>
            <w:r w:rsidR="00D25CD4" w:rsidRPr="00DC08B8">
              <w:rPr>
                <w:sz w:val="24"/>
                <w:szCs w:val="24"/>
              </w:rPr>
              <w:t>2018</w:t>
            </w:r>
            <w:r w:rsidR="00DF7C4B" w:rsidRPr="00DC08B8">
              <w:rPr>
                <w:sz w:val="24"/>
                <w:szCs w:val="24"/>
              </w:rPr>
              <w:t xml:space="preserve">.gada </w:t>
            </w:r>
            <w:r w:rsidR="00D25CD4" w:rsidRPr="00DC08B8">
              <w:rPr>
                <w:sz w:val="24"/>
                <w:szCs w:val="24"/>
              </w:rPr>
              <w:t>31</w:t>
            </w:r>
            <w:r w:rsidR="00DF7C4B" w:rsidRPr="00DC08B8">
              <w:rPr>
                <w:sz w:val="24"/>
                <w:szCs w:val="24"/>
              </w:rPr>
              <w:t>.</w:t>
            </w:r>
            <w:r w:rsidR="00D25CD4" w:rsidRPr="00DC08B8">
              <w:rPr>
                <w:sz w:val="24"/>
                <w:szCs w:val="24"/>
              </w:rPr>
              <w:t xml:space="preserve">decembri </w:t>
            </w:r>
            <w:r w:rsidR="00DF7C4B" w:rsidRPr="00DC08B8">
              <w:rPr>
                <w:sz w:val="24"/>
                <w:szCs w:val="24"/>
              </w:rPr>
              <w:t xml:space="preserve">VID </w:t>
            </w:r>
            <w:r w:rsidR="00D42091" w:rsidRPr="00DC08B8">
              <w:rPr>
                <w:sz w:val="24"/>
                <w:szCs w:val="24"/>
              </w:rPr>
              <w:t xml:space="preserve">bija </w:t>
            </w:r>
            <w:r w:rsidR="00DF7C4B" w:rsidRPr="00DC08B8">
              <w:rPr>
                <w:sz w:val="24"/>
                <w:szCs w:val="24"/>
              </w:rPr>
              <w:t xml:space="preserve">reģistrēti </w:t>
            </w:r>
            <w:r w:rsidR="00D25CD4" w:rsidRPr="00DC08B8">
              <w:rPr>
                <w:sz w:val="24"/>
                <w:szCs w:val="24"/>
              </w:rPr>
              <w:t xml:space="preserve">7282 </w:t>
            </w:r>
            <w:r w:rsidR="00DF7C4B" w:rsidRPr="00DC08B8">
              <w:rPr>
                <w:sz w:val="24"/>
                <w:szCs w:val="24"/>
              </w:rPr>
              <w:t>ārpakalpojumu grāmatvežu veicēji (</w:t>
            </w:r>
            <w:r w:rsidR="00D25CD4" w:rsidRPr="00DC08B8">
              <w:rPr>
                <w:sz w:val="24"/>
                <w:szCs w:val="24"/>
              </w:rPr>
              <w:t xml:space="preserve">~ 6000 </w:t>
            </w:r>
            <w:r w:rsidR="00DF7C4B" w:rsidRPr="00DC08B8">
              <w:rPr>
                <w:sz w:val="24"/>
                <w:szCs w:val="24"/>
              </w:rPr>
              <w:t xml:space="preserve">juridiskas personas un </w:t>
            </w:r>
            <w:r w:rsidR="00D25CD4" w:rsidRPr="00DC08B8">
              <w:rPr>
                <w:sz w:val="24"/>
                <w:szCs w:val="24"/>
              </w:rPr>
              <w:t xml:space="preserve">~ 1300 </w:t>
            </w:r>
            <w:r w:rsidR="00DF7C4B" w:rsidRPr="00DC08B8">
              <w:rPr>
                <w:sz w:val="24"/>
                <w:szCs w:val="24"/>
              </w:rPr>
              <w:t>fiziskas personas))</w:t>
            </w:r>
            <w:r w:rsidRPr="00DC08B8">
              <w:rPr>
                <w:sz w:val="24"/>
                <w:szCs w:val="24"/>
              </w:rPr>
              <w:t xml:space="preserve"> ar tendenci samazināties</w:t>
            </w:r>
            <w:r w:rsidRPr="00DC08B8">
              <w:rPr>
                <w:rFonts w:eastAsia="Times New Roman"/>
                <w:iCs/>
                <w:sz w:val="24"/>
                <w:szCs w:val="24"/>
                <w:lang w:eastAsia="lv-LV"/>
              </w:rPr>
              <w:t xml:space="preserve">. Ņemot vērā statistikas datus, viens grāmatvedības ārpakalpojumu sniedzējs vidēji apkalpo vismaz 7 uzņēmumus. Ja pieņem, ka tie uzņēmumi, kuri nav norādījuši grāmatvedības pakalpojumu sniedzēja statusu, saņem pakalpojumu no grāmatvedības ārpakalpojumu sniedzēja, tad vidēji viens grāmatvedības ārpakalpojumu sniedzējs apkalpo vidēji vismaz 10 uzņēmumus. Papildus jāņem vērā, ka </w:t>
            </w:r>
            <w:r w:rsidR="00145E67" w:rsidRPr="00DC08B8">
              <w:rPr>
                <w:rFonts w:eastAsia="Times New Roman"/>
                <w:iCs/>
                <w:sz w:val="24"/>
                <w:szCs w:val="24"/>
                <w:lang w:eastAsia="lv-LV"/>
              </w:rPr>
              <w:t>UGP</w:t>
            </w:r>
            <w:r w:rsidRPr="0028468D">
              <w:rPr>
                <w:rFonts w:eastAsia="Times New Roman"/>
                <w:iCs/>
                <w:sz w:val="24"/>
                <w:szCs w:val="24"/>
                <w:lang w:eastAsia="lv-LV"/>
              </w:rPr>
              <w:t xml:space="preserve"> jāsniedz juridiskām personām un individuālajiem komersantiem, ja to gada apgrozījums pārsniedz 300 tūkst. EUR vai grāmatvedība tiek kārtota divkāršā ieraksta sistēmā. Attiecīgi pastāv iespēja, ka vidējais</w:t>
            </w:r>
            <w:r w:rsidR="00356A4E" w:rsidRPr="00DC08B8">
              <w:rPr>
                <w:rFonts w:eastAsia="Times New Roman"/>
                <w:iCs/>
                <w:sz w:val="24"/>
                <w:szCs w:val="24"/>
                <w:lang w:eastAsia="lv-LV"/>
              </w:rPr>
              <w:t xml:space="preserve"> viena</w:t>
            </w:r>
            <w:r w:rsidRPr="00DC08B8">
              <w:rPr>
                <w:rFonts w:eastAsia="Times New Roman"/>
                <w:iCs/>
                <w:sz w:val="24"/>
                <w:szCs w:val="24"/>
                <w:lang w:eastAsia="lv-LV"/>
              </w:rPr>
              <w:t xml:space="preserve"> grāmatvedības ārpakalpojumu sniedzēja apkalpoto uzņēmu daudzums var būt arī lielāks.</w:t>
            </w:r>
          </w:p>
          <w:p w14:paraId="3A2B1AB7" w14:textId="016E1CEA" w:rsidR="00CA1702" w:rsidRPr="005F5D0D" w:rsidRDefault="000E56B2" w:rsidP="00CA1702">
            <w:pPr>
              <w:spacing w:after="0" w:line="240" w:lineRule="auto"/>
              <w:ind w:firstLine="682"/>
              <w:jc w:val="both"/>
              <w:rPr>
                <w:sz w:val="24"/>
                <w:szCs w:val="24"/>
              </w:rPr>
            </w:pPr>
            <w:r w:rsidRPr="00DC08B8">
              <w:rPr>
                <w:sz w:val="24"/>
                <w:szCs w:val="24"/>
              </w:rPr>
              <w:t xml:space="preserve">Pēc </w:t>
            </w:r>
            <w:r w:rsidR="00145E67" w:rsidRPr="00DC08B8">
              <w:rPr>
                <w:sz w:val="24"/>
                <w:szCs w:val="24"/>
              </w:rPr>
              <w:t>UGP</w:t>
            </w:r>
            <w:r w:rsidRPr="0028468D">
              <w:rPr>
                <w:sz w:val="24"/>
                <w:szCs w:val="24"/>
              </w:rPr>
              <w:t xml:space="preserve"> datiem uz 2018.gada 25.septembri par 2017.gadu 52 875 uzņēmumi norādījuši 5 807 ārpakalpojuma grāmatvedības sniedzējus, no tiem 4 450 juridiskās personas un 1</w:t>
            </w:r>
            <w:r w:rsidRPr="005F5D0D">
              <w:rPr>
                <w:sz w:val="24"/>
                <w:szCs w:val="24"/>
              </w:rPr>
              <w:t> 357 fiziskās personas - saimnieciskās darbības veicējus. Fiziskās personas - saimnieciskās darbības veicēji sniedz ārpakalpojuma grāmatvedību 5 703 uzņēmumiem, savukārt</w:t>
            </w:r>
            <w:r w:rsidRPr="005F5D0D">
              <w:rPr>
                <w:szCs w:val="28"/>
              </w:rPr>
              <w:t xml:space="preserve"> </w:t>
            </w:r>
            <w:r w:rsidRPr="005F5D0D">
              <w:rPr>
                <w:sz w:val="24"/>
                <w:szCs w:val="24"/>
              </w:rPr>
              <w:t>juridiskās personas – 47 172 uzņēmumiem.</w:t>
            </w:r>
          </w:p>
          <w:p w14:paraId="22ACA4C4" w14:textId="77777777" w:rsidR="00CA1702" w:rsidRPr="005F5D0D" w:rsidRDefault="000E56B2" w:rsidP="00CA1702">
            <w:pPr>
              <w:spacing w:after="0" w:line="240" w:lineRule="auto"/>
              <w:ind w:firstLine="682"/>
              <w:jc w:val="both"/>
              <w:rPr>
                <w:sz w:val="24"/>
                <w:szCs w:val="24"/>
              </w:rPr>
            </w:pPr>
            <w:r w:rsidRPr="005F5D0D">
              <w:rPr>
                <w:sz w:val="24"/>
                <w:szCs w:val="24"/>
              </w:rPr>
              <w:t xml:space="preserve">Pēc UGP datiem par 2017.gadu 192 fiziskās personas -saimnieciskās darbības veicēji apkalpo vairāk kā 7 uzņēmumus. Lielākais uzņēmumu skaits, ko apkalpo viena fiziskā persona -saimnieciskās darbības veicēja ir 335 uzņēmumi, tālāk seko 48 apkalpoti uzņēmumi un mazāk. </w:t>
            </w:r>
          </w:p>
          <w:p w14:paraId="5439B537" w14:textId="77777777" w:rsidR="00CA1702" w:rsidRPr="005F5D0D" w:rsidRDefault="000E56B2" w:rsidP="00CA1702">
            <w:pPr>
              <w:spacing w:after="0" w:line="240" w:lineRule="auto"/>
              <w:ind w:firstLine="682"/>
              <w:jc w:val="both"/>
              <w:rPr>
                <w:sz w:val="24"/>
                <w:szCs w:val="24"/>
              </w:rPr>
            </w:pPr>
            <w:r w:rsidRPr="005F5D0D">
              <w:rPr>
                <w:sz w:val="24"/>
                <w:szCs w:val="24"/>
              </w:rPr>
              <w:t xml:space="preserve">Pēc UGP datiem par 2017.gadu 1 714 ārpakalpojuma grāmatvedības sniedzējs - juridiskā persona apkalpo vairāk kā 7 uzņēmumus. Lielākais uzņēmumu skaits, ko apkalpo viens ārpakalpojuma grāmatvedības sniedzējs - juridiskā persona ir 858 uzņēmumi, tālāk seko </w:t>
            </w:r>
            <w:r w:rsidRPr="005F5D0D">
              <w:rPr>
                <w:sz w:val="24"/>
                <w:szCs w:val="24"/>
              </w:rPr>
              <w:lastRenderedPageBreak/>
              <w:t>320 apkalpoti uzņēmumi un mazāk.</w:t>
            </w:r>
          </w:p>
          <w:p w14:paraId="44E9D9CB" w14:textId="77777777" w:rsidR="00C2228F" w:rsidRPr="005F5D0D" w:rsidRDefault="000E56B2" w:rsidP="003B259F">
            <w:pPr>
              <w:spacing w:after="0" w:line="240" w:lineRule="auto"/>
              <w:ind w:firstLine="677"/>
              <w:jc w:val="both"/>
              <w:rPr>
                <w:sz w:val="24"/>
                <w:szCs w:val="24"/>
              </w:rPr>
            </w:pPr>
            <w:r w:rsidRPr="005F5D0D">
              <w:rPr>
                <w:sz w:val="24"/>
                <w:szCs w:val="24"/>
              </w:rPr>
              <w:t xml:space="preserve">Pēc UGP datiem par 2017.gadu un iesniegtajiem Darba devēja ziņojumiem un mikrouzņēmuma nodokļa deklarācijām par 2017.gadu ir 721 ārpakalpojuma grāmatvedības sniedzējs - juridiskā persona, kurā viens tā darbinieks apkalpo vairāk nekā 7 uzņēmumus. </w:t>
            </w:r>
          </w:p>
          <w:p w14:paraId="5A552047" w14:textId="320C701C" w:rsidR="00C2228F" w:rsidRPr="005F5D0D" w:rsidRDefault="000E56B2" w:rsidP="00CA1702">
            <w:pPr>
              <w:widowControl/>
              <w:spacing w:before="100" w:beforeAutospacing="1" w:after="0" w:line="240" w:lineRule="auto"/>
              <w:ind w:firstLine="392"/>
              <w:jc w:val="both"/>
              <w:rPr>
                <w:rFonts w:eastAsia="Times New Roman"/>
                <w:iCs/>
                <w:sz w:val="24"/>
                <w:szCs w:val="24"/>
                <w:lang w:eastAsia="lv-LV"/>
              </w:rPr>
            </w:pPr>
            <w:r w:rsidRPr="005F5D0D">
              <w:rPr>
                <w:rFonts w:eastAsia="Times New Roman"/>
                <w:iCs/>
                <w:sz w:val="24"/>
                <w:szCs w:val="24"/>
                <w:lang w:eastAsia="lv-LV"/>
              </w:rPr>
              <w:t xml:space="preserve">Pēc </w:t>
            </w:r>
            <w:r w:rsidR="005B5A95" w:rsidRPr="00DC08B8">
              <w:rPr>
                <w:rFonts w:eastAsia="Times New Roman"/>
                <w:iCs/>
                <w:sz w:val="24"/>
                <w:szCs w:val="24"/>
                <w:lang w:eastAsia="lv-LV"/>
              </w:rPr>
              <w:t>VID</w:t>
            </w:r>
            <w:r w:rsidRPr="0028468D">
              <w:rPr>
                <w:rFonts w:eastAsia="Times New Roman"/>
                <w:iCs/>
                <w:sz w:val="24"/>
                <w:szCs w:val="24"/>
                <w:lang w:eastAsia="lv-LV"/>
              </w:rPr>
              <w:t xml:space="preserve"> rīcībā</w:t>
            </w:r>
            <w:r w:rsidRPr="005F5D0D">
              <w:rPr>
                <w:rFonts w:eastAsia="Times New Roman"/>
                <w:iCs/>
                <w:sz w:val="24"/>
                <w:szCs w:val="24"/>
                <w:lang w:eastAsia="lv-LV"/>
              </w:rPr>
              <w:t xml:space="preserve"> esošās informācijas var pieņemt, ka praksē ir vērojama situācija, ka</w:t>
            </w:r>
            <w:r w:rsidR="006A6DBE" w:rsidRPr="005F5D0D">
              <w:rPr>
                <w:rFonts w:eastAsia="Times New Roman"/>
                <w:iCs/>
                <w:sz w:val="24"/>
                <w:szCs w:val="24"/>
                <w:lang w:eastAsia="lv-LV"/>
              </w:rPr>
              <w:t>d</w:t>
            </w:r>
            <w:r w:rsidRPr="005F5D0D">
              <w:rPr>
                <w:rFonts w:eastAsia="Times New Roman"/>
                <w:iCs/>
                <w:sz w:val="24"/>
                <w:szCs w:val="24"/>
                <w:lang w:eastAsia="lv-LV"/>
              </w:rPr>
              <w:t xml:space="preserve"> grāmatvedības ārpakalpojumu nodrošina personas, kuras nav reģistrējušas savu saimniecisko darbību, jo, lai arī VID reģistrēto NILLTFN likuma subjektu (ārpakalpojuma grāmatvežu) kopējam skaitam ir tendence samazināties, informācija no </w:t>
            </w:r>
            <w:r w:rsidR="00CB4A08">
              <w:rPr>
                <w:rFonts w:eastAsia="Times New Roman"/>
                <w:iCs/>
                <w:sz w:val="24"/>
                <w:szCs w:val="24"/>
                <w:lang w:eastAsia="lv-LV"/>
              </w:rPr>
              <w:t>UGP</w:t>
            </w:r>
            <w:r w:rsidRPr="005F5D0D">
              <w:rPr>
                <w:rFonts w:eastAsia="Times New Roman"/>
                <w:iCs/>
                <w:sz w:val="24"/>
                <w:szCs w:val="24"/>
                <w:lang w:eastAsia="lv-LV"/>
              </w:rPr>
              <w:t xml:space="preserve"> norāda, ka uzņēmumu skaits, kuri saņem grāmatvedības ārpakalpojumu, turpina palielināties. </w:t>
            </w:r>
            <w:r w:rsidR="00CA1702" w:rsidRPr="005F5D0D">
              <w:rPr>
                <w:rFonts w:eastAsia="Times New Roman"/>
                <w:iCs/>
                <w:sz w:val="24"/>
                <w:szCs w:val="24"/>
                <w:lang w:eastAsia="lv-LV"/>
              </w:rPr>
              <w:t>Nav faktor</w:t>
            </w:r>
            <w:r w:rsidR="00601730" w:rsidRPr="005F5D0D">
              <w:rPr>
                <w:rFonts w:eastAsia="Times New Roman"/>
                <w:iCs/>
                <w:sz w:val="24"/>
                <w:szCs w:val="24"/>
                <w:lang w:eastAsia="lv-LV"/>
              </w:rPr>
              <w:t>i vai informācija, kas</w:t>
            </w:r>
            <w:r w:rsidR="00CA1702" w:rsidRPr="005F5D0D">
              <w:rPr>
                <w:rFonts w:eastAsia="Times New Roman"/>
                <w:iCs/>
                <w:sz w:val="24"/>
                <w:szCs w:val="24"/>
                <w:lang w:eastAsia="lv-LV"/>
              </w:rPr>
              <w:t xml:space="preserve"> norādītu uz strauju produktivitātes kāpumu nozarē</w:t>
            </w:r>
            <w:r w:rsidR="00601730" w:rsidRPr="005F5D0D">
              <w:rPr>
                <w:rFonts w:eastAsia="Times New Roman"/>
                <w:iCs/>
                <w:sz w:val="24"/>
                <w:szCs w:val="24"/>
                <w:lang w:eastAsia="lv-LV"/>
              </w:rPr>
              <w:t xml:space="preserve">, </w:t>
            </w:r>
            <w:r w:rsidR="00EA244E" w:rsidRPr="005F5D0D">
              <w:rPr>
                <w:rFonts w:eastAsia="Times New Roman"/>
                <w:iCs/>
                <w:sz w:val="24"/>
                <w:szCs w:val="24"/>
                <w:lang w:eastAsia="lv-LV"/>
              </w:rPr>
              <w:t>tād</w:t>
            </w:r>
            <w:r w:rsidR="0058306D">
              <w:rPr>
                <w:rFonts w:eastAsia="Times New Roman"/>
                <w:iCs/>
                <w:sz w:val="24"/>
                <w:szCs w:val="24"/>
                <w:lang w:eastAsia="lv-LV"/>
              </w:rPr>
              <w:t>ē</w:t>
            </w:r>
            <w:r w:rsidR="00EA244E" w:rsidRPr="005F5D0D">
              <w:rPr>
                <w:rFonts w:eastAsia="Times New Roman"/>
                <w:iCs/>
                <w:sz w:val="24"/>
                <w:szCs w:val="24"/>
                <w:lang w:eastAsia="lv-LV"/>
              </w:rPr>
              <w:t xml:space="preserve">jādi </w:t>
            </w:r>
            <w:r w:rsidR="00601730" w:rsidRPr="005F5D0D">
              <w:rPr>
                <w:rFonts w:eastAsia="Times New Roman"/>
                <w:iCs/>
                <w:sz w:val="24"/>
                <w:szCs w:val="24"/>
                <w:lang w:eastAsia="lv-LV"/>
              </w:rPr>
              <w:t xml:space="preserve">var pieņemt, ka novērotā tendence ir ēnu ekonomikā nodarbināto grāmatvedības ārpakalpojumu sniedzēju </w:t>
            </w:r>
            <w:r w:rsidR="00EA244E" w:rsidRPr="005F5D0D">
              <w:rPr>
                <w:rFonts w:eastAsia="Times New Roman"/>
                <w:iCs/>
                <w:sz w:val="24"/>
                <w:szCs w:val="24"/>
                <w:lang w:eastAsia="lv-LV"/>
              </w:rPr>
              <w:t xml:space="preserve">darbības </w:t>
            </w:r>
            <w:r w:rsidR="00601730" w:rsidRPr="005F5D0D">
              <w:rPr>
                <w:rFonts w:eastAsia="Times New Roman"/>
                <w:iCs/>
                <w:sz w:val="24"/>
                <w:szCs w:val="24"/>
                <w:lang w:eastAsia="lv-LV"/>
              </w:rPr>
              <w:t>rezultāts.</w:t>
            </w:r>
            <w:r w:rsidR="006A6DBE" w:rsidRPr="005F5D0D">
              <w:rPr>
                <w:rFonts w:eastAsia="Times New Roman"/>
                <w:iCs/>
                <w:sz w:val="24"/>
                <w:szCs w:val="24"/>
                <w:lang w:eastAsia="lv-LV"/>
              </w:rPr>
              <w:t xml:space="preserve"> Pap</w:t>
            </w:r>
            <w:r w:rsidR="00EA244E" w:rsidRPr="005F5D0D">
              <w:rPr>
                <w:rFonts w:eastAsia="Times New Roman"/>
                <w:iCs/>
                <w:sz w:val="24"/>
                <w:szCs w:val="24"/>
                <w:lang w:eastAsia="lv-LV"/>
              </w:rPr>
              <w:t>ildus jāuzsver, ka viena fiziska persona nevar sniegt kvalitatīvu pakalpojumu vairākiem simtiem vai desmitiem uzņēmumu, tād</w:t>
            </w:r>
            <w:r w:rsidR="0058306D">
              <w:rPr>
                <w:rFonts w:eastAsia="Times New Roman"/>
                <w:iCs/>
                <w:sz w:val="24"/>
                <w:szCs w:val="24"/>
                <w:lang w:eastAsia="lv-LV"/>
              </w:rPr>
              <w:t>ē</w:t>
            </w:r>
            <w:r w:rsidR="00EA244E" w:rsidRPr="005F5D0D">
              <w:rPr>
                <w:rFonts w:eastAsia="Times New Roman"/>
                <w:iCs/>
                <w:sz w:val="24"/>
                <w:szCs w:val="24"/>
                <w:lang w:eastAsia="lv-LV"/>
              </w:rPr>
              <w:t>jādi ar licencēšanas mehānisma ieviešanu tiks mazināta gan ēnu ekonomika, gan nodrošināti kvalitatīvāki pakalpojumi, jo licences saglabāšana būs atkarīga no sniegto pakalpojumu kvalitātes.</w:t>
            </w:r>
          </w:p>
          <w:p w14:paraId="0EC43457" w14:textId="2C33E94E" w:rsidR="00DF7C4B" w:rsidRPr="005F5D0D" w:rsidRDefault="000E56B2" w:rsidP="003B259F">
            <w:pPr>
              <w:widowControl/>
              <w:spacing w:before="100" w:beforeAutospacing="1" w:after="0" w:line="240" w:lineRule="auto"/>
              <w:jc w:val="both"/>
              <w:rPr>
                <w:sz w:val="24"/>
                <w:szCs w:val="24"/>
              </w:rPr>
            </w:pPr>
            <w:r w:rsidRPr="005F5D0D">
              <w:rPr>
                <w:rFonts w:eastAsia="Times New Roman"/>
                <w:iCs/>
                <w:sz w:val="24"/>
                <w:szCs w:val="24"/>
                <w:lang w:eastAsia="lv-LV"/>
              </w:rPr>
              <w:tab/>
              <w:t>Izvēloties grāmatvedības ārpakalpojumu sniedzēju, personai nav valstiski atzīta mehānisma, lai noskaidrotu, kura no šīm personām ir uzticama un zinoša, kā arī to, kādi ir šīs personas ētikas standarti un atbildības mehānisms</w:t>
            </w:r>
            <w:r w:rsidR="00601730" w:rsidRPr="005F5D0D">
              <w:rPr>
                <w:rFonts w:eastAsia="Times New Roman"/>
                <w:iCs/>
                <w:sz w:val="24"/>
                <w:szCs w:val="24"/>
                <w:lang w:eastAsia="lv-LV"/>
              </w:rPr>
              <w:t>.</w:t>
            </w:r>
            <w:r w:rsidR="00D25CD4" w:rsidRPr="005F5D0D">
              <w:rPr>
                <w:rFonts w:eastAsia="Times New Roman"/>
                <w:iCs/>
                <w:sz w:val="24"/>
                <w:szCs w:val="24"/>
                <w:lang w:eastAsia="lv-LV"/>
              </w:rPr>
              <w:t xml:space="preserve"> Ieviešot ārpakalpojumu grāmatvežu licencēšanu, jebkura persona varēs tiešsaistē pārliecināties vai </w:t>
            </w:r>
            <w:r w:rsidR="00AF616C" w:rsidRPr="005F5D0D">
              <w:rPr>
                <w:rFonts w:eastAsia="Times New Roman"/>
                <w:iCs/>
                <w:sz w:val="24"/>
                <w:szCs w:val="24"/>
                <w:lang w:eastAsia="lv-LV"/>
              </w:rPr>
              <w:t>konkrēts</w:t>
            </w:r>
            <w:r w:rsidR="00D25CD4" w:rsidRPr="005F5D0D">
              <w:rPr>
                <w:rFonts w:eastAsia="Times New Roman"/>
                <w:iCs/>
                <w:sz w:val="24"/>
                <w:szCs w:val="24"/>
                <w:lang w:eastAsia="lv-LV"/>
              </w:rPr>
              <w:t xml:space="preserve"> grāmatvedis ir saņēmis licenci grāmatvedības ārpakalpojumu sniegšanai. Tā</w:t>
            </w:r>
            <w:r w:rsidR="00AF616C" w:rsidRPr="005F5D0D">
              <w:rPr>
                <w:rFonts w:eastAsia="Times New Roman"/>
                <w:iCs/>
                <w:sz w:val="24"/>
                <w:szCs w:val="24"/>
                <w:lang w:eastAsia="lv-LV"/>
              </w:rPr>
              <w:t>d</w:t>
            </w:r>
            <w:r w:rsidR="0058306D">
              <w:rPr>
                <w:rFonts w:eastAsia="Times New Roman"/>
                <w:iCs/>
                <w:sz w:val="24"/>
                <w:szCs w:val="24"/>
                <w:lang w:eastAsia="lv-LV"/>
              </w:rPr>
              <w:t>ē</w:t>
            </w:r>
            <w:r w:rsidR="00AF616C" w:rsidRPr="005F5D0D">
              <w:rPr>
                <w:rFonts w:eastAsia="Times New Roman"/>
                <w:iCs/>
                <w:sz w:val="24"/>
                <w:szCs w:val="24"/>
                <w:lang w:eastAsia="lv-LV"/>
              </w:rPr>
              <w:t>jādi tiks veicināta konkurence</w:t>
            </w:r>
            <w:r w:rsidR="00D25CD4" w:rsidRPr="005F5D0D">
              <w:rPr>
                <w:rFonts w:eastAsia="Times New Roman"/>
                <w:iCs/>
                <w:sz w:val="24"/>
                <w:szCs w:val="24"/>
                <w:lang w:eastAsia="lv-LV"/>
              </w:rPr>
              <w:t xml:space="preserve"> un celta pakalpojumu kvalitāte.</w:t>
            </w:r>
          </w:p>
          <w:p w14:paraId="02E5BFF2" w14:textId="3DBF19CF" w:rsidR="00C2228F" w:rsidRPr="005F5D0D" w:rsidRDefault="000E56B2" w:rsidP="003B7D2D">
            <w:pPr>
              <w:widowControl/>
              <w:spacing w:before="100" w:beforeAutospacing="1" w:after="0" w:line="240" w:lineRule="auto"/>
              <w:ind w:firstLine="399"/>
              <w:jc w:val="both"/>
              <w:rPr>
                <w:rFonts w:eastAsia="Times New Roman"/>
                <w:iCs/>
                <w:sz w:val="24"/>
                <w:szCs w:val="24"/>
                <w:lang w:eastAsia="lv-LV"/>
              </w:rPr>
            </w:pPr>
            <w:r w:rsidRPr="005F5D0D">
              <w:rPr>
                <w:rFonts w:eastAsia="Times New Roman"/>
                <w:iCs/>
                <w:sz w:val="24"/>
                <w:szCs w:val="24"/>
                <w:lang w:eastAsia="lv-LV"/>
              </w:rPr>
              <w:t>Grāmatvedības kārtošanas (grāmatvedības dokumentu un finanšu pārskatu) kvalitāte viennozīmīgi ir atkarīga no tās personas kompetences, kas veic grāmatvedības kārtošanu.</w:t>
            </w:r>
            <w:r w:rsidRPr="005F5D0D">
              <w:rPr>
                <w:rFonts w:eastAsia="Times New Roman"/>
                <w:iCs/>
                <w:sz w:val="24"/>
                <w:szCs w:val="24"/>
                <w:vertAlign w:val="superscript"/>
                <w:lang w:val="en-US" w:eastAsia="lv-LV"/>
              </w:rPr>
              <w:footnoteReference w:id="13"/>
            </w:r>
            <w:r w:rsidRPr="005F5D0D">
              <w:rPr>
                <w:rFonts w:eastAsia="Times New Roman"/>
                <w:iCs/>
                <w:sz w:val="24"/>
                <w:szCs w:val="24"/>
                <w:lang w:eastAsia="lv-LV"/>
              </w:rPr>
              <w:t xml:space="preserve"> Kopš 2013.gada 1.janvāra, VID konstatējot būtiskus pārkāpumus grāmatvedības kārtošanā, papildsodu – tiesību atņemšanu 2013.gadā ir piemērojis 113 valdes locekļiem, 2014.gadā - 93 valdes locekļiem un 2015.gadā - 124 valdes locekļiem.</w:t>
            </w:r>
            <w:r w:rsidRPr="005F5D0D">
              <w:rPr>
                <w:rFonts w:eastAsia="Times New Roman"/>
                <w:iCs/>
                <w:sz w:val="24"/>
                <w:szCs w:val="24"/>
                <w:vertAlign w:val="superscript"/>
                <w:lang w:val="en-US" w:eastAsia="lv-LV"/>
              </w:rPr>
              <w:footnoteReference w:id="14"/>
            </w:r>
            <w:r w:rsidR="00246B68" w:rsidRPr="005F5D0D">
              <w:rPr>
                <w:rFonts w:eastAsia="Times New Roman"/>
                <w:iCs/>
                <w:sz w:val="24"/>
                <w:szCs w:val="24"/>
                <w:lang w:eastAsia="lv-LV"/>
              </w:rPr>
              <w:t xml:space="preserve"> Statistika liecina par to, ka</w:t>
            </w:r>
            <w:r w:rsidRPr="005F5D0D">
              <w:rPr>
                <w:rFonts w:eastAsia="Times New Roman"/>
                <w:iCs/>
                <w:sz w:val="24"/>
                <w:szCs w:val="24"/>
                <w:lang w:eastAsia="lv-LV"/>
              </w:rPr>
              <w:t xml:space="preserve"> Latvijā</w:t>
            </w:r>
            <w:r w:rsidR="00246B68" w:rsidRPr="005F5D0D">
              <w:rPr>
                <w:rFonts w:eastAsia="Times New Roman"/>
                <w:iCs/>
                <w:sz w:val="24"/>
                <w:szCs w:val="24"/>
                <w:lang w:eastAsia="lv-LV"/>
              </w:rPr>
              <w:t xml:space="preserve"> bieži</w:t>
            </w:r>
            <w:r w:rsidRPr="005F5D0D">
              <w:rPr>
                <w:rFonts w:eastAsia="Times New Roman"/>
                <w:iCs/>
                <w:sz w:val="24"/>
                <w:szCs w:val="24"/>
                <w:lang w:eastAsia="lv-LV"/>
              </w:rPr>
              <w:t xml:space="preserve"> ir sastopamas situācijas, kad uzņēmuma vadītājs uztic grāmatvedības kārtošanu personām bez pienācīgas izglītības un profesionālajām zināšanām</w:t>
            </w:r>
            <w:r w:rsidR="00246B68" w:rsidRPr="005F5D0D">
              <w:rPr>
                <w:rFonts w:eastAsia="Times New Roman"/>
                <w:iCs/>
                <w:sz w:val="24"/>
                <w:szCs w:val="24"/>
                <w:lang w:eastAsia="lv-LV"/>
              </w:rPr>
              <w:t xml:space="preserve"> vai arī pats ved grāmatvedību</w:t>
            </w:r>
            <w:r w:rsidRPr="005F5D0D">
              <w:rPr>
                <w:rFonts w:eastAsia="Times New Roman"/>
                <w:iCs/>
                <w:sz w:val="24"/>
                <w:szCs w:val="24"/>
                <w:lang w:eastAsia="lv-LV"/>
              </w:rPr>
              <w:t xml:space="preserve">, savukārt ja uzņēmuma vadītājs ir bez </w:t>
            </w:r>
            <w:r w:rsidR="00246B68" w:rsidRPr="005F5D0D">
              <w:rPr>
                <w:rFonts w:eastAsia="Times New Roman"/>
                <w:iCs/>
                <w:sz w:val="24"/>
                <w:szCs w:val="24"/>
                <w:lang w:eastAsia="lv-LV"/>
              </w:rPr>
              <w:t xml:space="preserve">nepieciešamajām </w:t>
            </w:r>
            <w:r w:rsidRPr="005F5D0D">
              <w:rPr>
                <w:rFonts w:eastAsia="Times New Roman"/>
                <w:iCs/>
                <w:sz w:val="24"/>
                <w:szCs w:val="24"/>
                <w:lang w:eastAsia="lv-LV"/>
              </w:rPr>
              <w:t>zināšanām grāmatvedības jautājumos, tad viņš nespēj pienācīgi izkontrolēt grāmatve</w:t>
            </w:r>
            <w:r w:rsidR="00151992">
              <w:rPr>
                <w:rFonts w:eastAsia="Times New Roman"/>
                <w:iCs/>
                <w:sz w:val="24"/>
                <w:szCs w:val="24"/>
                <w:lang w:eastAsia="lv-LV"/>
              </w:rPr>
              <w:t xml:space="preserve">dības dokumentu </w:t>
            </w:r>
            <w:r w:rsidRPr="005F5D0D">
              <w:rPr>
                <w:rFonts w:eastAsia="Times New Roman"/>
                <w:iCs/>
                <w:sz w:val="24"/>
                <w:szCs w:val="24"/>
                <w:lang w:eastAsia="lv-LV"/>
              </w:rPr>
              <w:t>kvalitāti, kā rezultātā apzināti, vai dēļ nezināšanas pieļauj būtiskus pārkāpumus grāmatvedības kārtošanā.</w:t>
            </w:r>
          </w:p>
          <w:p w14:paraId="43014D34" w14:textId="36678B27" w:rsidR="00E3182F" w:rsidRPr="005F5D0D" w:rsidRDefault="000E56B2" w:rsidP="00C2228F">
            <w:pPr>
              <w:widowControl/>
              <w:spacing w:before="100" w:beforeAutospacing="1" w:after="0" w:line="240" w:lineRule="auto"/>
              <w:ind w:firstLine="392"/>
              <w:jc w:val="both"/>
              <w:rPr>
                <w:rFonts w:eastAsia="Times New Roman"/>
                <w:iCs/>
                <w:sz w:val="24"/>
                <w:szCs w:val="24"/>
                <w:lang w:eastAsia="lv-LV"/>
              </w:rPr>
            </w:pPr>
            <w:r w:rsidRPr="005F5D0D">
              <w:rPr>
                <w:sz w:val="24"/>
                <w:szCs w:val="24"/>
              </w:rPr>
              <w:t xml:space="preserve">Svarīgs jautājums katrā uzņēmumā un iestādē ir par grāmatvedības uzskaiti atbildīgās personas kvalifikācija. Latvijā grāmatvežu profesija nav </w:t>
            </w:r>
            <w:r w:rsidRPr="005F5D0D">
              <w:rPr>
                <w:sz w:val="24"/>
                <w:szCs w:val="24"/>
              </w:rPr>
              <w:lastRenderedPageBreak/>
              <w:t>iekļauta reglamentēto profesiju sarakstā. Grāmatvežu profesija pašlaik netiek pienācīgi regulēta, un tā neatbilst noteiktiem kvalitātes standartiem, līdz ar to nav pārliecības par korektu nodokļu aprēķināšanu. Turklāt, pavājinoties valsts kontroles sistēmai un grāmatvežu uzraudzībai, nepietiekamo grāmatvežu kvalifikāciju var izmantot ēnu ekonomikas veicināšanai.</w:t>
            </w:r>
            <w:r w:rsidR="00C2228F" w:rsidRPr="005F5D0D">
              <w:rPr>
                <w:rFonts w:eastAsia="Times New Roman"/>
                <w:iCs/>
                <w:sz w:val="24"/>
                <w:szCs w:val="24"/>
                <w:lang w:eastAsia="lv-LV"/>
              </w:rPr>
              <w:t xml:space="preserve"> </w:t>
            </w:r>
            <w:r w:rsidR="00CC27E5" w:rsidRPr="005F5D0D">
              <w:rPr>
                <w:rFonts w:eastAsia="Times New Roman"/>
                <w:iCs/>
                <w:sz w:val="24"/>
                <w:szCs w:val="24"/>
                <w:lang w:eastAsia="lv-LV"/>
              </w:rPr>
              <w:t>Tād</w:t>
            </w:r>
            <w:r w:rsidR="005B5A95">
              <w:rPr>
                <w:rFonts w:eastAsia="Times New Roman"/>
                <w:iCs/>
                <w:sz w:val="24"/>
                <w:szCs w:val="24"/>
                <w:lang w:eastAsia="lv-LV"/>
              </w:rPr>
              <w:t>ē</w:t>
            </w:r>
            <w:r w:rsidR="00CC27E5" w:rsidRPr="005F5D0D">
              <w:rPr>
                <w:rFonts w:eastAsia="Times New Roman"/>
                <w:iCs/>
                <w:sz w:val="24"/>
                <w:szCs w:val="24"/>
                <w:lang w:eastAsia="lv-LV"/>
              </w:rPr>
              <w:t>jādi, ņemot vērā grāmatvedības ārpakalpojumu sniedzēju atbildību un lomu NILLTFN likuma prasību ievērošanā</w:t>
            </w:r>
            <w:r w:rsidR="00EB0E61">
              <w:t xml:space="preserve"> </w:t>
            </w:r>
            <w:r w:rsidR="00EB0E61" w:rsidRPr="00EB0E61">
              <w:rPr>
                <w:rFonts w:eastAsia="Times New Roman"/>
                <w:iCs/>
                <w:sz w:val="24"/>
                <w:szCs w:val="24"/>
                <w:lang w:eastAsia="lv-LV"/>
              </w:rPr>
              <w:t xml:space="preserve">un lai nodrošinātu </w:t>
            </w:r>
            <w:r w:rsidR="00006376" w:rsidRPr="005F5D0D">
              <w:rPr>
                <w:rFonts w:eastAsia="Times New Roman"/>
                <w:iCs/>
                <w:sz w:val="24"/>
                <w:szCs w:val="24"/>
                <w:lang w:eastAsia="lv-LV"/>
              </w:rPr>
              <w:t>atbilstību augstākajiem FATF standartiem noziedzīgi iegūtu līdzekļu legalizēšanas novēršanā</w:t>
            </w:r>
            <w:r w:rsidR="00674024">
              <w:rPr>
                <w:rFonts w:eastAsia="Times New Roman"/>
                <w:iCs/>
                <w:sz w:val="24"/>
                <w:szCs w:val="24"/>
                <w:lang w:eastAsia="lv-LV"/>
              </w:rPr>
              <w:t>,</w:t>
            </w:r>
            <w:r w:rsidR="00EB0E61">
              <w:t xml:space="preserve"> </w:t>
            </w:r>
            <w:r w:rsidR="00EB0E61" w:rsidRPr="00EB0E61">
              <w:rPr>
                <w:rFonts w:eastAsia="Times New Roman"/>
                <w:iCs/>
                <w:sz w:val="24"/>
                <w:szCs w:val="24"/>
                <w:lang w:eastAsia="lv-LV"/>
              </w:rPr>
              <w:t>ir nepieciešams noteikt konkrētas minimālās profesionālās kvalifikācijas prasības</w:t>
            </w:r>
            <w:r w:rsidR="004943A1" w:rsidRPr="005F5D0D">
              <w:rPr>
                <w:rFonts w:eastAsia="Times New Roman"/>
                <w:iCs/>
                <w:sz w:val="24"/>
                <w:szCs w:val="24"/>
                <w:lang w:eastAsia="lv-LV"/>
              </w:rPr>
              <w:t>.</w:t>
            </w:r>
            <w:r w:rsidR="00CC27E5" w:rsidRPr="005F5D0D">
              <w:rPr>
                <w:rFonts w:eastAsia="Times New Roman"/>
                <w:iCs/>
                <w:sz w:val="24"/>
                <w:szCs w:val="24"/>
                <w:lang w:eastAsia="lv-LV"/>
              </w:rPr>
              <w:t xml:space="preserve"> Profesionālās kvalifikācijas prasības</w:t>
            </w:r>
            <w:r w:rsidR="00006376" w:rsidRPr="005F5D0D">
              <w:rPr>
                <w:rFonts w:eastAsia="Times New Roman"/>
                <w:iCs/>
                <w:sz w:val="24"/>
                <w:szCs w:val="24"/>
                <w:lang w:eastAsia="lv-LV"/>
              </w:rPr>
              <w:t xml:space="preserve"> grāmatvedības ārpakalpojumu sniedzējiem</w:t>
            </w:r>
            <w:r w:rsidR="00CC27E5" w:rsidRPr="005F5D0D">
              <w:rPr>
                <w:rFonts w:eastAsia="Times New Roman"/>
                <w:iCs/>
                <w:sz w:val="24"/>
                <w:szCs w:val="24"/>
                <w:lang w:eastAsia="lv-LV"/>
              </w:rPr>
              <w:t xml:space="preserve"> tiek noteiktas atbilstoši jau spēkā esošajiem likuma “Par grāmatvedību” 3.pantā minētajiem kritērijiem, precizējot nepieciešamo kvalifikāciju un nosakot </w:t>
            </w:r>
            <w:r w:rsidR="00006376" w:rsidRPr="005F5D0D">
              <w:rPr>
                <w:rFonts w:eastAsia="Times New Roman"/>
                <w:iCs/>
                <w:sz w:val="24"/>
                <w:szCs w:val="24"/>
                <w:lang w:eastAsia="lv-LV"/>
              </w:rPr>
              <w:t xml:space="preserve">pieredzi kā </w:t>
            </w:r>
            <w:r w:rsidR="00CC27E5" w:rsidRPr="005F5D0D">
              <w:rPr>
                <w:rFonts w:eastAsia="Times New Roman"/>
                <w:iCs/>
                <w:sz w:val="24"/>
                <w:szCs w:val="24"/>
                <w:lang w:eastAsia="lv-LV"/>
              </w:rPr>
              <w:t>obligātu</w:t>
            </w:r>
            <w:r w:rsidR="00006376" w:rsidRPr="005F5D0D">
              <w:rPr>
                <w:rFonts w:eastAsia="Times New Roman"/>
                <w:iCs/>
                <w:sz w:val="24"/>
                <w:szCs w:val="24"/>
                <w:lang w:eastAsia="lv-LV"/>
              </w:rPr>
              <w:t xml:space="preserve"> papildus kritēriju grāmatvedības ārpakalpojumu sniegšanai. Nepieciešamās pieredzes izvērtēšanas kritēriji un apmērs tiks </w:t>
            </w:r>
            <w:r w:rsidR="006C6CF5" w:rsidRPr="005F5D0D">
              <w:rPr>
                <w:rFonts w:eastAsia="Times New Roman"/>
                <w:iCs/>
                <w:sz w:val="24"/>
                <w:szCs w:val="24"/>
                <w:lang w:eastAsia="lv-LV"/>
              </w:rPr>
              <w:t xml:space="preserve">noteikti </w:t>
            </w:r>
            <w:r w:rsidR="00006376" w:rsidRPr="005F5D0D">
              <w:rPr>
                <w:rFonts w:eastAsia="Times New Roman"/>
                <w:iCs/>
                <w:sz w:val="24"/>
                <w:szCs w:val="24"/>
                <w:lang w:eastAsia="lv-LV"/>
              </w:rPr>
              <w:t>Ministru kabineta noteikumos par ārpakalpojuma grāmatvežu licencēšanu.</w:t>
            </w:r>
            <w:r w:rsidR="00CC27E5" w:rsidRPr="005F5D0D">
              <w:rPr>
                <w:rFonts w:eastAsia="Times New Roman"/>
                <w:iCs/>
                <w:sz w:val="24"/>
                <w:szCs w:val="24"/>
                <w:lang w:eastAsia="lv-LV"/>
              </w:rPr>
              <w:t xml:space="preserve"> </w:t>
            </w:r>
          </w:p>
          <w:p w14:paraId="23FB96C4" w14:textId="1D2845B5" w:rsidR="00C2228F" w:rsidRPr="005F5D0D" w:rsidRDefault="000E56B2" w:rsidP="00C2228F">
            <w:pPr>
              <w:widowControl/>
              <w:spacing w:before="100" w:beforeAutospacing="1" w:after="0" w:line="240" w:lineRule="auto"/>
              <w:ind w:firstLine="392"/>
              <w:jc w:val="both"/>
              <w:rPr>
                <w:rFonts w:eastAsia="Times New Roman"/>
                <w:iCs/>
                <w:sz w:val="24"/>
                <w:szCs w:val="24"/>
                <w:lang w:eastAsia="lv-LV"/>
              </w:rPr>
            </w:pPr>
            <w:r w:rsidRPr="005F5D0D">
              <w:rPr>
                <w:rFonts w:eastAsia="Times New Roman"/>
                <w:iCs/>
                <w:sz w:val="24"/>
                <w:szCs w:val="24"/>
                <w:lang w:eastAsia="lv-LV"/>
              </w:rPr>
              <w:tab/>
              <w:t xml:space="preserve">Pēc VID rīcība esošās informācijas, kā grāmatvedības ārpakalpojumu sniedzēji, uz doto brīdi ir reģistrējušies </w:t>
            </w:r>
            <w:r w:rsidR="00AF325E" w:rsidRPr="005F5D0D">
              <w:rPr>
                <w:rFonts w:eastAsia="Times New Roman"/>
                <w:iCs/>
                <w:sz w:val="24"/>
                <w:szCs w:val="24"/>
                <w:lang w:eastAsia="lv-LV"/>
              </w:rPr>
              <w:t xml:space="preserve">vairāk kā </w:t>
            </w:r>
            <w:r w:rsidR="00D25CD4" w:rsidRPr="005F5D0D">
              <w:rPr>
                <w:rFonts w:eastAsia="Times New Roman"/>
                <w:iCs/>
                <w:sz w:val="24"/>
                <w:szCs w:val="24"/>
                <w:lang w:eastAsia="lv-LV"/>
              </w:rPr>
              <w:t xml:space="preserve">7200 </w:t>
            </w:r>
            <w:r w:rsidRPr="005F5D0D">
              <w:rPr>
                <w:rFonts w:eastAsia="Times New Roman"/>
                <w:iCs/>
                <w:sz w:val="24"/>
                <w:szCs w:val="24"/>
                <w:lang w:eastAsia="lv-LV"/>
              </w:rPr>
              <w:t>personas. Brīvprātīgā kārtā sertifikātu ir ieguvusi tikai neliela daļa no visiem grāmatvedības pakalpojumu sniedzējiem (kopējais grāmatvedības pakalpojumu sniedzēju skaits nav zināms). Konstantais personu</w:t>
            </w:r>
            <w:r w:rsidR="00246B68" w:rsidRPr="005F5D0D">
              <w:rPr>
                <w:rFonts w:eastAsia="Times New Roman"/>
                <w:iCs/>
                <w:sz w:val="24"/>
                <w:szCs w:val="24"/>
                <w:lang w:eastAsia="lv-LV"/>
              </w:rPr>
              <w:t xml:space="preserve"> skaits</w:t>
            </w:r>
            <w:r w:rsidRPr="005F5D0D">
              <w:rPr>
                <w:rFonts w:eastAsia="Times New Roman"/>
                <w:iCs/>
                <w:sz w:val="24"/>
                <w:szCs w:val="24"/>
                <w:lang w:eastAsia="lv-LV"/>
              </w:rPr>
              <w:t xml:space="preserve">, kurām par grāmatvedības noteikumu pārkāpumu ir piemērots papildsods – tiesību atņemšana, salīdzinājumā ar nelielo sertificēto grāmatvedības pakalpojumu sniedzēju skaitu norāda uz nepietiekamu grāmatvedības pakalpojumu sniedzēju kvalifikācijas standartu esamību, kā arī faktu, ka brīvprātīgā kārtā organizētā nozares sertificēšana nesasniedz plānoto mērķi. </w:t>
            </w:r>
          </w:p>
          <w:p w14:paraId="05D3A3A4" w14:textId="77777777" w:rsidR="00C2228F" w:rsidRPr="005F5D0D" w:rsidRDefault="000E56B2" w:rsidP="00C2228F">
            <w:pPr>
              <w:widowControl/>
              <w:spacing w:before="100" w:beforeAutospacing="1" w:after="0" w:line="240" w:lineRule="auto"/>
              <w:ind w:firstLine="392"/>
              <w:jc w:val="both"/>
              <w:rPr>
                <w:rFonts w:eastAsia="Times New Roman"/>
                <w:iCs/>
                <w:sz w:val="24"/>
                <w:szCs w:val="24"/>
                <w:lang w:eastAsia="lv-LV"/>
              </w:rPr>
            </w:pPr>
            <w:r w:rsidRPr="005F5D0D">
              <w:rPr>
                <w:rFonts w:eastAsia="Times New Roman"/>
                <w:iCs/>
                <w:sz w:val="24"/>
                <w:szCs w:val="24"/>
                <w:lang w:eastAsia="lv-LV"/>
              </w:rPr>
              <w:tab/>
              <w:t xml:space="preserve">Ņemot vēra iepriekš minēto un riskus, ko tautsaimniecībai rada nekvalitatīvu grāmatvedības ārpakalpojumu sniegšana, ir </w:t>
            </w:r>
            <w:r w:rsidR="00E24FD9" w:rsidRPr="005F5D0D">
              <w:rPr>
                <w:rFonts w:eastAsia="Times New Roman"/>
                <w:iCs/>
                <w:sz w:val="24"/>
                <w:szCs w:val="24"/>
                <w:lang w:eastAsia="lv-LV"/>
              </w:rPr>
              <w:t xml:space="preserve">nepieciešams </w:t>
            </w:r>
            <w:r w:rsidRPr="005F5D0D">
              <w:rPr>
                <w:rFonts w:eastAsia="Times New Roman"/>
                <w:iCs/>
                <w:sz w:val="24"/>
                <w:szCs w:val="24"/>
                <w:lang w:eastAsia="lv-LV"/>
              </w:rPr>
              <w:t>ievie</w:t>
            </w:r>
            <w:r w:rsidR="00E24FD9" w:rsidRPr="005F5D0D">
              <w:rPr>
                <w:rFonts w:eastAsia="Times New Roman"/>
                <w:iCs/>
                <w:sz w:val="24"/>
                <w:szCs w:val="24"/>
                <w:lang w:eastAsia="lv-LV"/>
              </w:rPr>
              <w:t>st</w:t>
            </w:r>
            <w:r w:rsidRPr="005F5D0D">
              <w:rPr>
                <w:rFonts w:eastAsia="Times New Roman"/>
                <w:iCs/>
                <w:sz w:val="24"/>
                <w:szCs w:val="24"/>
                <w:lang w:eastAsia="lv-LV"/>
              </w:rPr>
              <w:t xml:space="preserve"> grāmatvedības ārpakalpojumu sniedzēju licencēšanu</w:t>
            </w:r>
            <w:r w:rsidR="0093109A" w:rsidRPr="005F5D0D">
              <w:rPr>
                <w:rFonts w:eastAsia="Times New Roman"/>
                <w:iCs/>
                <w:sz w:val="24"/>
                <w:szCs w:val="24"/>
                <w:lang w:eastAsia="lv-LV"/>
              </w:rPr>
              <w:t>.</w:t>
            </w:r>
          </w:p>
          <w:p w14:paraId="0737DA36" w14:textId="77777777" w:rsidR="00C2228F" w:rsidRPr="005F5D0D" w:rsidRDefault="000E56B2" w:rsidP="00C2228F">
            <w:pPr>
              <w:widowControl/>
              <w:spacing w:before="100" w:beforeAutospacing="1" w:after="0" w:line="240" w:lineRule="auto"/>
              <w:ind w:firstLine="392"/>
              <w:jc w:val="both"/>
              <w:rPr>
                <w:rFonts w:eastAsia="Times New Roman"/>
                <w:b/>
                <w:iCs/>
                <w:sz w:val="24"/>
                <w:szCs w:val="24"/>
                <w:lang w:eastAsia="lv-LV"/>
              </w:rPr>
            </w:pPr>
            <w:r w:rsidRPr="005F5D0D">
              <w:rPr>
                <w:rFonts w:eastAsia="Times New Roman"/>
                <w:b/>
                <w:iCs/>
                <w:sz w:val="24"/>
                <w:szCs w:val="24"/>
                <w:lang w:eastAsia="lv-LV"/>
              </w:rPr>
              <w:t>Citu Eiropas Savienības valstu pilsoņu tiesību</w:t>
            </w:r>
            <w:r w:rsidR="00147CBC" w:rsidRPr="005F5D0D">
              <w:rPr>
                <w:rFonts w:eastAsia="Times New Roman"/>
                <w:b/>
                <w:iCs/>
                <w:sz w:val="24"/>
                <w:szCs w:val="24"/>
                <w:lang w:eastAsia="lv-LV"/>
              </w:rPr>
              <w:t xml:space="preserve"> atzīšana</w:t>
            </w:r>
            <w:r w:rsidRPr="005F5D0D">
              <w:rPr>
                <w:rFonts w:eastAsia="Times New Roman"/>
                <w:b/>
                <w:iCs/>
                <w:sz w:val="24"/>
                <w:szCs w:val="24"/>
                <w:lang w:eastAsia="lv-LV"/>
              </w:rPr>
              <w:t xml:space="preserve"> sniegt grāmatvedības ārpakalpojumu. </w:t>
            </w:r>
          </w:p>
          <w:p w14:paraId="04BAF36E" w14:textId="551FFC9A" w:rsidR="00C2228F" w:rsidRPr="005F5D0D" w:rsidRDefault="000E56B2" w:rsidP="00C2228F">
            <w:pPr>
              <w:widowControl/>
              <w:spacing w:before="100" w:beforeAutospacing="1" w:after="0" w:line="240" w:lineRule="auto"/>
              <w:ind w:firstLine="392"/>
              <w:jc w:val="both"/>
              <w:rPr>
                <w:rFonts w:eastAsia="Times New Roman"/>
                <w:iCs/>
                <w:sz w:val="24"/>
                <w:szCs w:val="24"/>
                <w:lang w:eastAsia="lv-LV"/>
              </w:rPr>
            </w:pPr>
            <w:r w:rsidRPr="005F5D0D">
              <w:rPr>
                <w:rFonts w:eastAsia="Times New Roman"/>
                <w:iCs/>
                <w:sz w:val="24"/>
                <w:szCs w:val="24"/>
                <w:lang w:eastAsia="lv-LV"/>
              </w:rPr>
              <w:t>Jāņem vērā Līguma par Eiropas Savienības darbību 56.panta un turpmākajos pantos paredzētā pakalpojumu sniegšanas brīvība, kas aizsargā gan pakalpojumu sniedzējus, gan pakalpojumu saņēmējus. Atbilstoši Līguma par Eiropas Savienību 57.pantam: “Neskarot   noteikumus,   ko   paredz   nodaļa par  tiesībām   veikt   uzņēmējdarbību,   persona,   kas   sniedz   pakalpojumus,  var  uz  laiku  veikt  darbības  dalībvalstī,  kur  sniedz  pakalpojumus,  saskaņā ar  tādiem pašiem  nosacījumiem,  kādus  šī valsts  izvirza  pati  saviem  pilsoņiem”.</w:t>
            </w:r>
            <w:r w:rsidRPr="005F5D0D">
              <w:rPr>
                <w:rFonts w:eastAsia="Times New Roman"/>
                <w:iCs/>
                <w:sz w:val="24"/>
                <w:szCs w:val="24"/>
                <w:vertAlign w:val="superscript"/>
                <w:lang w:eastAsia="lv-LV"/>
              </w:rPr>
              <w:footnoteReference w:id="15"/>
            </w:r>
            <w:r w:rsidRPr="005F5D0D">
              <w:rPr>
                <w:rFonts w:eastAsia="Times New Roman"/>
                <w:iCs/>
                <w:sz w:val="24"/>
                <w:szCs w:val="24"/>
                <w:lang w:eastAsia="lv-LV"/>
              </w:rPr>
              <w:t xml:space="preserve"> Tād</w:t>
            </w:r>
            <w:r w:rsidR="00145E67">
              <w:rPr>
                <w:rFonts w:eastAsia="Times New Roman"/>
                <w:iCs/>
                <w:sz w:val="24"/>
                <w:szCs w:val="24"/>
                <w:lang w:eastAsia="lv-LV"/>
              </w:rPr>
              <w:t>ē</w:t>
            </w:r>
            <w:r w:rsidRPr="005F5D0D">
              <w:rPr>
                <w:rFonts w:eastAsia="Times New Roman"/>
                <w:iCs/>
                <w:sz w:val="24"/>
                <w:szCs w:val="24"/>
                <w:lang w:eastAsia="lv-LV"/>
              </w:rPr>
              <w:t>jādi Eiropas Savienības pilsonim vai Eiropas Savienība reģistrētai juridiskai persona, kura vēlas Latvij</w:t>
            </w:r>
            <w:r w:rsidR="00E24FD9" w:rsidRPr="005F5D0D">
              <w:rPr>
                <w:rFonts w:eastAsia="Times New Roman"/>
                <w:iCs/>
                <w:sz w:val="24"/>
                <w:szCs w:val="24"/>
                <w:lang w:eastAsia="lv-LV"/>
              </w:rPr>
              <w:t>ā</w:t>
            </w:r>
            <w:r w:rsidRPr="005F5D0D">
              <w:rPr>
                <w:rFonts w:eastAsia="Times New Roman"/>
                <w:iCs/>
                <w:sz w:val="24"/>
                <w:szCs w:val="24"/>
                <w:lang w:eastAsia="lv-LV"/>
              </w:rPr>
              <w:t xml:space="preserve"> sniegt grāmatvedības ārpakalpojumus,</w:t>
            </w:r>
            <w:r w:rsidR="00E24FD9" w:rsidRPr="005F5D0D">
              <w:rPr>
                <w:rFonts w:eastAsia="Times New Roman"/>
                <w:iCs/>
                <w:sz w:val="24"/>
                <w:szCs w:val="24"/>
                <w:lang w:eastAsia="lv-LV"/>
              </w:rPr>
              <w:t xml:space="preserve"> </w:t>
            </w:r>
            <w:r w:rsidR="0093109A" w:rsidRPr="005F5D0D">
              <w:rPr>
                <w:rFonts w:eastAsia="Times New Roman"/>
                <w:iCs/>
                <w:sz w:val="24"/>
                <w:szCs w:val="24"/>
                <w:lang w:eastAsia="lv-LV"/>
              </w:rPr>
              <w:t xml:space="preserve">var </w:t>
            </w:r>
            <w:r w:rsidRPr="005F5D0D">
              <w:rPr>
                <w:rFonts w:eastAsia="Times New Roman"/>
                <w:iCs/>
                <w:sz w:val="24"/>
                <w:szCs w:val="24"/>
                <w:lang w:eastAsia="lv-LV"/>
              </w:rPr>
              <w:t>ti</w:t>
            </w:r>
            <w:r w:rsidR="00E24FD9" w:rsidRPr="005F5D0D">
              <w:rPr>
                <w:rFonts w:eastAsia="Times New Roman"/>
                <w:iCs/>
                <w:sz w:val="24"/>
                <w:szCs w:val="24"/>
                <w:lang w:eastAsia="lv-LV"/>
              </w:rPr>
              <w:t>k</w:t>
            </w:r>
            <w:r w:rsidR="0093109A" w:rsidRPr="005F5D0D">
              <w:rPr>
                <w:rFonts w:eastAsia="Times New Roman"/>
                <w:iCs/>
                <w:sz w:val="24"/>
                <w:szCs w:val="24"/>
                <w:lang w:eastAsia="lv-LV"/>
              </w:rPr>
              <w:t>t</w:t>
            </w:r>
            <w:r w:rsidRPr="005F5D0D">
              <w:rPr>
                <w:rFonts w:eastAsia="Times New Roman"/>
                <w:iCs/>
                <w:sz w:val="24"/>
                <w:szCs w:val="24"/>
                <w:lang w:eastAsia="lv-LV"/>
              </w:rPr>
              <w:t xml:space="preserve"> </w:t>
            </w:r>
            <w:r w:rsidRPr="005F5D0D">
              <w:rPr>
                <w:rFonts w:eastAsia="Times New Roman"/>
                <w:iCs/>
                <w:sz w:val="24"/>
                <w:szCs w:val="24"/>
                <w:lang w:eastAsia="lv-LV"/>
              </w:rPr>
              <w:lastRenderedPageBreak/>
              <w:t>noteikts pienākums reģistrēties ārpakalpojumu grāmatvežu reģistrā un saņemt licenci, lai sniegtu pakalpojumus.</w:t>
            </w:r>
          </w:p>
          <w:p w14:paraId="13198414" w14:textId="77777777" w:rsidR="00C2228F" w:rsidRPr="005F5D0D" w:rsidRDefault="000E56B2" w:rsidP="00C2228F">
            <w:pPr>
              <w:widowControl/>
              <w:spacing w:before="100" w:beforeAutospacing="1" w:after="0" w:line="240" w:lineRule="auto"/>
              <w:ind w:firstLine="392"/>
              <w:jc w:val="both"/>
              <w:rPr>
                <w:rFonts w:eastAsia="Times New Roman"/>
                <w:iCs/>
                <w:sz w:val="24"/>
                <w:szCs w:val="24"/>
                <w:lang w:eastAsia="lv-LV"/>
              </w:rPr>
            </w:pPr>
            <w:r w:rsidRPr="005F5D0D">
              <w:rPr>
                <w:rFonts w:eastAsia="Times New Roman"/>
                <w:iCs/>
                <w:sz w:val="24"/>
                <w:szCs w:val="24"/>
                <w:lang w:eastAsia="lv-LV"/>
              </w:rPr>
              <w:t>Būtiskas atziņas par Līguma par Eiropas Savienību 59.panta tulkošanu un piemērošanu ir sniegtas Eiropas Savienības Tiesas 1991.gada 25.jūlija spriedumā, lietā C-76/90 Sager.</w:t>
            </w:r>
          </w:p>
          <w:p w14:paraId="54ECA0D2" w14:textId="77777777" w:rsidR="00C2228F" w:rsidRPr="005F5D0D" w:rsidRDefault="000E56B2" w:rsidP="0093109A">
            <w:pPr>
              <w:widowControl/>
              <w:spacing w:before="100" w:beforeAutospacing="1" w:after="0" w:line="240" w:lineRule="auto"/>
              <w:ind w:firstLine="392"/>
              <w:jc w:val="both"/>
              <w:rPr>
                <w:rFonts w:eastAsia="Times New Roman"/>
                <w:iCs/>
                <w:sz w:val="24"/>
                <w:szCs w:val="24"/>
                <w:lang w:eastAsia="lv-LV"/>
              </w:rPr>
            </w:pPr>
            <w:r w:rsidRPr="005F5D0D">
              <w:rPr>
                <w:rFonts w:eastAsia="Times New Roman"/>
                <w:iCs/>
                <w:sz w:val="24"/>
                <w:szCs w:val="24"/>
                <w:lang w:eastAsia="lv-LV"/>
              </w:rPr>
              <w:t>Šādi ar likumu noteikti ierobežojumi var tikt piemēroti pret ārvalstu uzņēmumu tikai tad, ja tie ir pamatoti ar prasībām, kas ir saderīgas ar Kopienas mērķiem. [..] No šī fragmenta izriet, ka ierobežojumi attiecībā uz pakalpojumu sniegšanas brīvību ir jāatbilst diviem nosacījumiem, lai izvairītos no aizlieguma, ko nosaka 59.pants: tiem jābūt "pamatotiem ar vispārēju labumu"("vispārējām interesēm”), un tie jāpiemēro visām personām vai pasākumiem, kas tiek veikti dalībvalstī. Spriedums lietā 205/84 Komisija v Vācija (1986) ECR 3755 atkārtoja iepriekš minēto fragmentu, to papildinot ar nākamo teikumu: “ka profesionālie uzvedības noteikumi tiek ievēroti un ka intereses, kuru aizsardzībai šie noteikumi ir paredzēti, tiek aizsargātas."</w:t>
            </w:r>
            <w:r w:rsidRPr="005F5D0D">
              <w:rPr>
                <w:rFonts w:eastAsia="Times New Roman"/>
                <w:iCs/>
                <w:sz w:val="24"/>
                <w:szCs w:val="24"/>
                <w:vertAlign w:val="superscript"/>
                <w:lang w:eastAsia="lv-LV"/>
              </w:rPr>
              <w:footnoteReference w:id="16"/>
            </w:r>
          </w:p>
          <w:p w14:paraId="14E282EA" w14:textId="28A3AE8F" w:rsidR="00C2228F" w:rsidRPr="005F5D0D" w:rsidRDefault="000E56B2" w:rsidP="00C2228F">
            <w:pPr>
              <w:widowControl/>
              <w:spacing w:before="100" w:beforeAutospacing="1" w:after="0" w:line="240" w:lineRule="auto"/>
              <w:ind w:firstLine="392"/>
              <w:jc w:val="both"/>
              <w:rPr>
                <w:rFonts w:eastAsia="Times New Roman"/>
                <w:iCs/>
                <w:sz w:val="24"/>
                <w:szCs w:val="24"/>
                <w:lang w:eastAsia="lv-LV"/>
              </w:rPr>
            </w:pPr>
            <w:r w:rsidRPr="005F5D0D">
              <w:rPr>
                <w:rFonts w:eastAsia="Times New Roman"/>
                <w:iCs/>
                <w:sz w:val="24"/>
                <w:szCs w:val="24"/>
                <w:lang w:eastAsia="lv-LV"/>
              </w:rPr>
              <w:t>Likumprojektā, nosakot citu valstu personu tiesības sniegt grāmatvedības ārpakalpojumus Latvijas teritorijā, jāņem vēra Eiropas Savienības Tiesas prakse, proti, Likumprojekta mērķim skaidri jāatspoguļo sabiedrības intereses un normatīvajam regulējumam jāaptver visa nepieciešamā mērķauditorija, kā arī jābūt gana detalizētam, pilnvērtīgam, lai efektīvi sasniegtu likuma mērķi un nodrošinātu to, ka sabiedrības intereses tiek aizsargātas ne tikai formāli, bet arī faktiski, tād</w:t>
            </w:r>
            <w:r w:rsidR="0058306D">
              <w:rPr>
                <w:rFonts w:eastAsia="Times New Roman"/>
                <w:iCs/>
                <w:sz w:val="24"/>
                <w:szCs w:val="24"/>
                <w:lang w:eastAsia="lv-LV"/>
              </w:rPr>
              <w:t>ē</w:t>
            </w:r>
            <w:r w:rsidRPr="005F5D0D">
              <w:rPr>
                <w:rFonts w:eastAsia="Times New Roman"/>
                <w:iCs/>
                <w:sz w:val="24"/>
                <w:szCs w:val="24"/>
                <w:lang w:eastAsia="lv-LV"/>
              </w:rPr>
              <w:t xml:space="preserve">jādi nodrošinot Likumprojekta mērķa un tā sasniegšanai paredzēto pasākumu saskaņotību pēc būtības. </w:t>
            </w:r>
          </w:p>
          <w:p w14:paraId="50C510B1" w14:textId="756FE5ED" w:rsidR="00C2228F" w:rsidRPr="005F5D0D" w:rsidRDefault="000E56B2" w:rsidP="00C2228F">
            <w:pPr>
              <w:widowControl/>
              <w:spacing w:before="100" w:beforeAutospacing="1" w:after="0" w:line="240" w:lineRule="auto"/>
              <w:ind w:firstLine="392"/>
              <w:jc w:val="both"/>
              <w:rPr>
                <w:rFonts w:eastAsia="Times New Roman"/>
                <w:iCs/>
                <w:sz w:val="24"/>
                <w:szCs w:val="24"/>
                <w:lang w:eastAsia="lv-LV"/>
              </w:rPr>
            </w:pPr>
            <w:r w:rsidRPr="005F5D0D">
              <w:rPr>
                <w:rFonts w:eastAsia="Times New Roman"/>
                <w:iCs/>
                <w:sz w:val="24"/>
                <w:szCs w:val="24"/>
                <w:lang w:eastAsia="lv-LV"/>
              </w:rPr>
              <w:t>Lai sasniegtu šo mērķi, ir nepieciešams saskaņot citu valstu personu tiesības sniegt grāmatvedības ārpakalpojumus, ar Latvijas fizisku un juridisku personu tiesībām sniegt tādus pašus pakalpojumus, tād</w:t>
            </w:r>
            <w:r w:rsidR="0058306D">
              <w:rPr>
                <w:rFonts w:eastAsia="Times New Roman"/>
                <w:iCs/>
                <w:sz w:val="24"/>
                <w:szCs w:val="24"/>
                <w:lang w:eastAsia="lv-LV"/>
              </w:rPr>
              <w:t>ē</w:t>
            </w:r>
            <w:r w:rsidRPr="005F5D0D">
              <w:rPr>
                <w:rFonts w:eastAsia="Times New Roman"/>
                <w:iCs/>
                <w:sz w:val="24"/>
                <w:szCs w:val="24"/>
                <w:lang w:eastAsia="lv-LV"/>
              </w:rPr>
              <w:t xml:space="preserve">jādi novēršot diskriminācijas, nevienlīdzīgas attieksmes iespējamību. Jāņem vēra gan kvalifikācijas prasības, gan piemērotie pārejas periodi, reizē saglabājot skaidru sasaisti ar sasniedzamo mērķi – </w:t>
            </w:r>
            <w:r w:rsidR="001437F7" w:rsidRPr="005F5D0D">
              <w:rPr>
                <w:rFonts w:eastAsia="Times New Roman"/>
                <w:iCs/>
                <w:sz w:val="24"/>
                <w:szCs w:val="24"/>
                <w:lang w:eastAsia="lv-LV"/>
              </w:rPr>
              <w:t xml:space="preserve">kā </w:t>
            </w:r>
            <w:r w:rsidRPr="005F5D0D">
              <w:rPr>
                <w:rFonts w:eastAsia="Times New Roman"/>
                <w:iCs/>
                <w:sz w:val="24"/>
                <w:szCs w:val="24"/>
                <w:lang w:eastAsia="lv-LV"/>
              </w:rPr>
              <w:t xml:space="preserve">sabiedriskās kārtības un drošības aizsardzība, fiskālā uzraudzība, komercdarījumu aizsardzība, noziedzīgi iegūtu līdzekļu legalizācijas novēršana, kvalitatīvu un uzticamu grāmatvedības pakalpojumu nodrošināšana. </w:t>
            </w:r>
          </w:p>
          <w:p w14:paraId="331E2D4B" w14:textId="77777777" w:rsidR="00962CFE" w:rsidRPr="005F5D0D" w:rsidRDefault="000E56B2" w:rsidP="00962CFE">
            <w:pPr>
              <w:pStyle w:val="NormalWeb"/>
              <w:spacing w:before="0" w:beforeAutospacing="0" w:after="0" w:afterAutospacing="0"/>
              <w:ind w:firstLine="720"/>
              <w:jc w:val="both"/>
            </w:pPr>
            <w:r w:rsidRPr="005F5D0D">
              <w:t xml:space="preserve">Norādām, ka grāmatvežu un nodokļu konsultantu sniegtie pakalpojumi ir uzskatāmi par pakalpojumiem, kurus aptver Eiropas Parlamenta un Padomes direktīvas 2006/123/EK par pakalpojumiem iekšēja tirgū (turpmāk – Pakalpojumu direktīva) regulējums (izņemot gadījumus, kad persona ir pašnodarbināta vai ir darba tiesiskajās attiecībās ar darba devēju). Pakalpojumu direktīvas prasības ir pārņemtas Brīvas </w:t>
            </w:r>
            <w:r w:rsidRPr="005F5D0D">
              <w:lastRenderedPageBreak/>
              <w:t xml:space="preserve">pakalpojumu sniegšanas likumā, līdz ar to, izskatot priekšlikumus par </w:t>
            </w:r>
            <w:r w:rsidR="001437F7" w:rsidRPr="005F5D0D">
              <w:t xml:space="preserve">ārpakalpojuma </w:t>
            </w:r>
            <w:r w:rsidRPr="005F5D0D">
              <w:t xml:space="preserve">grāmatvežu </w:t>
            </w:r>
            <w:r w:rsidR="001437F7" w:rsidRPr="005F5D0D">
              <w:t>licencēšanu</w:t>
            </w:r>
            <w:r w:rsidRPr="005F5D0D">
              <w:t xml:space="preserve">, ir jāievēro minētā likuma prasības. </w:t>
            </w:r>
          </w:p>
          <w:p w14:paraId="27BC6BAB" w14:textId="77777777" w:rsidR="00962CFE" w:rsidRPr="005F5D0D" w:rsidRDefault="000E56B2" w:rsidP="00962CFE">
            <w:pPr>
              <w:pStyle w:val="NormalWeb"/>
              <w:spacing w:before="0" w:beforeAutospacing="0" w:after="0" w:afterAutospacing="0"/>
              <w:ind w:firstLine="720"/>
              <w:jc w:val="both"/>
            </w:pPr>
            <w:r w:rsidRPr="005F5D0D">
              <w:t xml:space="preserve">Brīvas pakalpojumu sniegšanas likuma 6.panta pirmā, otrā un trešā daļa noteic, ka </w:t>
            </w:r>
            <w:bookmarkStart w:id="2" w:name="bkm21"/>
            <w:r w:rsidRPr="005F5D0D">
              <w:t>pakalpojuma sniegšanas ierobežojumu var noteikt, ja tas ir pamatots ar sabiedrības interešu ievērošanu, nav diskriminējošs un ir samērīgs. Pakalpojuma sniegšanas ierobežojums vai tā piemērošana nedrīkst būt diskriminējoša attiecībā uz Latvijā reģistrētu pakalpojuma sniedzēju vai citas dalībvalsts pakalpojuma sniedzēju vai pakalpojuma saņēmēju. Pakalpojuma sniegšanas ierobežojums ir samērīgs, ja labums, ko sabiedrība tā rezultātā iegūst, ir lielāks nekā pakalpojuma sniedzēja tiesību vai tiesisko interešu ierobežojums.</w:t>
            </w:r>
          </w:p>
          <w:bookmarkEnd w:id="2"/>
          <w:p w14:paraId="027B354C" w14:textId="77777777" w:rsidR="00962CFE" w:rsidRPr="005F5D0D" w:rsidRDefault="000E56B2" w:rsidP="00962CFE">
            <w:pPr>
              <w:pStyle w:val="NormalWeb"/>
              <w:spacing w:before="0" w:beforeAutospacing="0" w:after="0" w:afterAutospacing="0"/>
              <w:jc w:val="both"/>
            </w:pPr>
            <w:r w:rsidRPr="005F5D0D">
              <w:tab/>
              <w:t xml:space="preserve">Līdz ar to prasības, kuras Latvija var noteikt tās tirgū ienākošajam komersantam (piemēram, </w:t>
            </w:r>
            <w:r w:rsidR="00B44C79" w:rsidRPr="005F5D0D">
              <w:t>licencēšana</w:t>
            </w:r>
            <w:r w:rsidRPr="005F5D0D">
              <w:t>), ieskaitot arī Eiropas Savienības (turpmāk – ES) dalībvalstu komersantus, ir ierobežotas un komersants ir tiesīgs uzskatīt, ka normatīvie akti, kas ierobežo viņa uzņēmējdarbības tiesību realizāciju ES iekšējā tirgū, viņam tiks piemēroti tikai tad, ja prasības atbilst augstāk minētajiem kritērijiem.</w:t>
            </w:r>
          </w:p>
          <w:p w14:paraId="4BB86499" w14:textId="3CFFE74B" w:rsidR="00962CFE" w:rsidRPr="005F5D0D" w:rsidRDefault="000E56B2" w:rsidP="00C2228F">
            <w:pPr>
              <w:widowControl/>
              <w:spacing w:before="100" w:beforeAutospacing="1" w:after="0" w:line="240" w:lineRule="auto"/>
              <w:ind w:firstLine="392"/>
              <w:jc w:val="both"/>
              <w:rPr>
                <w:rFonts w:eastAsia="Times New Roman"/>
                <w:b/>
                <w:iCs/>
                <w:sz w:val="24"/>
                <w:szCs w:val="24"/>
                <w:lang w:eastAsia="lv-LV"/>
              </w:rPr>
            </w:pPr>
            <w:r w:rsidRPr="005F5D0D">
              <w:rPr>
                <w:sz w:val="24"/>
                <w:szCs w:val="24"/>
              </w:rPr>
              <w:t xml:space="preserve">Jautājumā par jauna tiesiskā regulējuma atbilstību ES tiesībām un ārvalstu </w:t>
            </w:r>
            <w:r w:rsidR="001437F7" w:rsidRPr="005F5D0D">
              <w:rPr>
                <w:sz w:val="24"/>
                <w:szCs w:val="24"/>
              </w:rPr>
              <w:t xml:space="preserve">ārpakalpojuma </w:t>
            </w:r>
            <w:r w:rsidRPr="005F5D0D">
              <w:rPr>
                <w:sz w:val="24"/>
                <w:szCs w:val="24"/>
              </w:rPr>
              <w:t>grāmatvežu sniegto pakalpojumu statusu Latvijā pēc tā pieņemšanas, vēlamies norādīt, ka Pakalpojumu direktīva nosaka arī citu ES dalībvalstu komersantu tiesības brīvi veikt uzņēmējdarbību vai brīvi sniegt īslaicīgus pakalpojumus ES iekšēja tirgū. Prasības, kuras valsts var noteikt tirgū ienākošajam ES dalībvalsts komersantam, ir ierobežotas un komersants ir tiesīgs uzskatīt, ka dalībvalsts tiesību akti, kas ierobežo viņa uzņēmējdarbības tiesību realizāciju ES iekšējā tirgū, viņam tiks piemēroti tikai tad, ja prasības būs pamatotas atbilstoši ES tiesiskajam regulējumam.</w:t>
            </w:r>
            <w:r w:rsidRPr="005F5D0D">
              <w:rPr>
                <w:rStyle w:val="FootnoteReference"/>
                <w:sz w:val="24"/>
                <w:szCs w:val="24"/>
              </w:rPr>
              <w:footnoteReference w:id="17"/>
            </w:r>
            <w:r w:rsidR="00D25CD4" w:rsidRPr="005F5D0D">
              <w:rPr>
                <w:sz w:val="24"/>
                <w:szCs w:val="24"/>
              </w:rPr>
              <w:t xml:space="preserve"> Ņemot vērā, ka ar Likumprojektu tiek ieviestas AML IV Direktīvas prasības, tās ir uzskatāmas par atbilstošām ES tiesiskajam regulējumam</w:t>
            </w:r>
            <w:r w:rsidR="000A41B3" w:rsidRPr="005F5D0D">
              <w:rPr>
                <w:sz w:val="24"/>
                <w:szCs w:val="24"/>
              </w:rPr>
              <w:t>.</w:t>
            </w:r>
          </w:p>
          <w:p w14:paraId="7BF82011" w14:textId="77777777" w:rsidR="00147CBC" w:rsidRPr="005F5D0D" w:rsidRDefault="000E56B2" w:rsidP="00C2228F">
            <w:pPr>
              <w:widowControl/>
              <w:spacing w:before="100" w:beforeAutospacing="1" w:after="0" w:line="240" w:lineRule="auto"/>
              <w:ind w:firstLine="392"/>
              <w:jc w:val="both"/>
              <w:rPr>
                <w:rFonts w:eastAsia="Times New Roman"/>
                <w:b/>
                <w:iCs/>
                <w:sz w:val="24"/>
                <w:szCs w:val="24"/>
                <w:lang w:eastAsia="lv-LV"/>
              </w:rPr>
            </w:pPr>
            <w:r w:rsidRPr="005F5D0D">
              <w:rPr>
                <w:rFonts w:eastAsia="Times New Roman"/>
                <w:b/>
                <w:iCs/>
                <w:sz w:val="24"/>
                <w:szCs w:val="24"/>
                <w:lang w:eastAsia="lv-LV"/>
              </w:rPr>
              <w:t>Fizisko un juridisko personu pienākumi, tiesības un to ierobežojumi.</w:t>
            </w:r>
          </w:p>
          <w:p w14:paraId="78F31EE3" w14:textId="77777777" w:rsidR="00147CBC" w:rsidRPr="005F5D0D" w:rsidRDefault="000E56B2" w:rsidP="00147CBC">
            <w:pPr>
              <w:widowControl/>
              <w:spacing w:before="100" w:beforeAutospacing="1" w:after="0" w:line="240" w:lineRule="auto"/>
              <w:ind w:firstLine="392"/>
              <w:jc w:val="both"/>
              <w:rPr>
                <w:rFonts w:eastAsia="Times New Roman"/>
                <w:iCs/>
                <w:sz w:val="24"/>
                <w:szCs w:val="24"/>
                <w:lang w:eastAsia="lv-LV"/>
              </w:rPr>
            </w:pPr>
            <w:r w:rsidRPr="005F5D0D">
              <w:rPr>
                <w:rFonts w:eastAsia="Times New Roman"/>
                <w:iCs/>
                <w:sz w:val="24"/>
                <w:szCs w:val="24"/>
                <w:lang w:eastAsia="lv-LV"/>
              </w:rPr>
              <w:t>Likumprojekts neuzliek par pienākumu piesaistīt grāmatvedības ārpakalpojumu sniedzēju, bet, ja tāds tiek piesaistīts, viņam jāatbilst likuma prasībām.</w:t>
            </w:r>
          </w:p>
          <w:p w14:paraId="21F4EE44" w14:textId="77777777" w:rsidR="00147CBC" w:rsidRPr="005F5D0D" w:rsidRDefault="000E56B2" w:rsidP="00147CBC">
            <w:pPr>
              <w:widowControl/>
              <w:spacing w:before="100" w:beforeAutospacing="1" w:after="0" w:line="240" w:lineRule="auto"/>
              <w:ind w:firstLine="392"/>
              <w:jc w:val="both"/>
              <w:rPr>
                <w:rFonts w:eastAsia="Times New Roman"/>
                <w:iCs/>
                <w:sz w:val="24"/>
                <w:szCs w:val="24"/>
                <w:lang w:eastAsia="lv-LV"/>
              </w:rPr>
            </w:pPr>
            <w:r w:rsidRPr="005F5D0D">
              <w:rPr>
                <w:rFonts w:eastAsia="Times New Roman"/>
                <w:iCs/>
                <w:sz w:val="24"/>
                <w:szCs w:val="24"/>
                <w:lang w:eastAsia="lv-LV"/>
              </w:rPr>
              <w:t>Likumprojekts neierobežo fiziskas vai juridiskas personas tiesības pašai vest savu grāmatvedības uzskaiti, kamēr vien tā atbilst likuma Par grāmatvedību 3.pantā minētajiem izņēmumiem.</w:t>
            </w:r>
          </w:p>
          <w:p w14:paraId="4C656DA9" w14:textId="3D2AE906" w:rsidR="00147CBC" w:rsidRPr="0028468D" w:rsidRDefault="000E56B2" w:rsidP="00147CBC">
            <w:pPr>
              <w:widowControl/>
              <w:spacing w:before="100" w:beforeAutospacing="1" w:after="0" w:line="240" w:lineRule="auto"/>
              <w:ind w:firstLine="392"/>
              <w:jc w:val="both"/>
              <w:rPr>
                <w:rFonts w:eastAsia="Times New Roman"/>
                <w:iCs/>
                <w:sz w:val="24"/>
                <w:szCs w:val="24"/>
                <w:lang w:eastAsia="lv-LV"/>
              </w:rPr>
            </w:pPr>
            <w:r w:rsidRPr="005F5D0D">
              <w:rPr>
                <w:rFonts w:eastAsia="Times New Roman"/>
                <w:iCs/>
                <w:noProof/>
                <w:sz w:val="24"/>
                <w:szCs w:val="24"/>
                <w:lang w:eastAsia="lv-LV"/>
              </w:rPr>
              <mc:AlternateContent>
                <mc:Choice Requires="wps">
                  <w:drawing>
                    <wp:anchor distT="0" distB="0" distL="114300" distR="114300" simplePos="0" relativeHeight="251660288" behindDoc="0" locked="0" layoutInCell="1" allowOverlap="1" wp14:anchorId="284D4591" wp14:editId="377292EF">
                      <wp:simplePos x="0" y="0"/>
                      <wp:positionH relativeFrom="page">
                        <wp:posOffset>15240</wp:posOffset>
                      </wp:positionH>
                      <wp:positionV relativeFrom="paragraph">
                        <wp:posOffset>1243965</wp:posOffset>
                      </wp:positionV>
                      <wp:extent cx="0" cy="0"/>
                      <wp:effectExtent l="5715" t="987425" r="13335" b="98933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5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6B0F3AF4">
                    <v:line w14:anchorId="782B2832" id="Line 10"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pt,97.95pt" to="1.2pt,9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" strokeweight=".08481mm">
                      <w10:wrap anchorx="page"/>
                    </v:line>
                  </w:pict>
                </mc:Fallback>
              </mc:AlternateContent>
            </w:r>
            <w:r w:rsidRPr="005F5D0D">
              <w:rPr>
                <w:rFonts w:eastAsia="Times New Roman"/>
                <w:iCs/>
                <w:sz w:val="24"/>
                <w:szCs w:val="24"/>
                <w:lang w:eastAsia="lv-LV"/>
              </w:rPr>
              <w:t>Fiziskām personām</w:t>
            </w:r>
            <w:r w:rsidR="00BA3427" w:rsidRPr="005F5D0D">
              <w:rPr>
                <w:rFonts w:eastAsia="Times New Roman"/>
                <w:iCs/>
                <w:sz w:val="24"/>
                <w:szCs w:val="24"/>
                <w:lang w:eastAsia="lv-LV"/>
              </w:rPr>
              <w:t xml:space="preserve"> uz </w:t>
            </w:r>
            <w:r w:rsidRPr="005F5D0D">
              <w:rPr>
                <w:rFonts w:eastAsia="Times New Roman"/>
                <w:iCs/>
                <w:sz w:val="24"/>
                <w:szCs w:val="24"/>
                <w:lang w:eastAsia="lv-LV"/>
              </w:rPr>
              <w:t>likum</w:t>
            </w:r>
            <w:r w:rsidR="00BA3427" w:rsidRPr="005F5D0D">
              <w:rPr>
                <w:rFonts w:eastAsia="Times New Roman"/>
                <w:iCs/>
                <w:sz w:val="24"/>
                <w:szCs w:val="24"/>
                <w:lang w:eastAsia="lv-LV"/>
              </w:rPr>
              <w:t>a pamata</w:t>
            </w:r>
            <w:r w:rsidRPr="005F5D0D">
              <w:rPr>
                <w:rFonts w:eastAsia="Times New Roman"/>
                <w:iCs/>
                <w:sz w:val="24"/>
                <w:szCs w:val="24"/>
                <w:lang w:eastAsia="lv-LV"/>
              </w:rPr>
              <w:t xml:space="preserve"> </w:t>
            </w:r>
            <w:r w:rsidR="00A849FC" w:rsidRPr="005F5D0D">
              <w:rPr>
                <w:rFonts w:eastAsia="Times New Roman"/>
                <w:iCs/>
                <w:sz w:val="24"/>
                <w:szCs w:val="24"/>
                <w:lang w:eastAsia="lv-LV"/>
              </w:rPr>
              <w:t>tiks</w:t>
            </w:r>
            <w:r w:rsidR="00CF153A" w:rsidRPr="005F5D0D">
              <w:rPr>
                <w:rFonts w:eastAsia="Times New Roman"/>
                <w:iCs/>
                <w:sz w:val="24"/>
                <w:szCs w:val="24"/>
                <w:lang w:eastAsia="lv-LV"/>
              </w:rPr>
              <w:t xml:space="preserve"> </w:t>
            </w:r>
            <w:r w:rsidR="00BA3427" w:rsidRPr="005F5D0D">
              <w:rPr>
                <w:rFonts w:eastAsia="Times New Roman"/>
                <w:iCs/>
                <w:sz w:val="24"/>
                <w:szCs w:val="24"/>
                <w:lang w:eastAsia="lv-LV"/>
              </w:rPr>
              <w:t>izdoti noteikumi</w:t>
            </w:r>
            <w:r w:rsidRPr="005F5D0D">
              <w:rPr>
                <w:rFonts w:eastAsia="Times New Roman"/>
                <w:iCs/>
                <w:sz w:val="24"/>
                <w:szCs w:val="24"/>
                <w:lang w:eastAsia="lv-LV"/>
              </w:rPr>
              <w:t xml:space="preserve">, kas tām ir jāievēro, lai varētu kļūt par grāmatvedības ārpakalpojumu sniedzēju. Piemēram, tām ir jābūt ierakstītam komercreģistrā vai ir jābūt reģistrējušām savu saimniecisko darbību normatīvajos aktos noteiktajā </w:t>
            </w:r>
            <w:r w:rsidRPr="005F5D0D">
              <w:rPr>
                <w:rFonts w:eastAsia="Times New Roman"/>
                <w:iCs/>
                <w:sz w:val="24"/>
                <w:szCs w:val="24"/>
                <w:lang w:eastAsia="lv-LV"/>
              </w:rPr>
              <w:lastRenderedPageBreak/>
              <w:t>kartībā</w:t>
            </w:r>
            <w:r w:rsidR="0060339D" w:rsidRPr="0028468D">
              <w:rPr>
                <w:rFonts w:eastAsia="Times New Roman"/>
                <w:iCs/>
                <w:sz w:val="24"/>
                <w:szCs w:val="24"/>
                <w:lang w:eastAsia="lv-LV"/>
              </w:rPr>
              <w:t xml:space="preserve">, </w:t>
            </w:r>
            <w:r w:rsidR="0060339D" w:rsidRPr="00DC08B8">
              <w:rPr>
                <w:rFonts w:eastAsia="Times New Roman"/>
                <w:iCs/>
                <w:sz w:val="24"/>
                <w:szCs w:val="24"/>
                <w:lang w:eastAsia="lv-LV"/>
              </w:rPr>
              <w:t>kā arī</w:t>
            </w:r>
            <w:r w:rsidRPr="00DC08B8">
              <w:rPr>
                <w:rFonts w:eastAsia="Times New Roman"/>
                <w:iCs/>
                <w:sz w:val="24"/>
                <w:szCs w:val="24"/>
                <w:lang w:eastAsia="lv-LV"/>
              </w:rPr>
              <w:t xml:space="preserve"> tās nevar ar tiesas nolēmumu krimināllietā būt sodītās par</w:t>
            </w:r>
            <w:r w:rsidR="008B78BC" w:rsidRPr="00DC08B8">
              <w:rPr>
                <w:rFonts w:eastAsia="Times New Roman"/>
                <w:iCs/>
                <w:sz w:val="24"/>
                <w:szCs w:val="24"/>
                <w:lang w:eastAsia="lv-LV"/>
              </w:rPr>
              <w:t xml:space="preserve"> tīšu</w:t>
            </w:r>
            <w:r w:rsidRPr="00DC08B8">
              <w:rPr>
                <w:rFonts w:eastAsia="Times New Roman"/>
                <w:iCs/>
                <w:sz w:val="24"/>
                <w:szCs w:val="24"/>
                <w:lang w:eastAsia="lv-LV"/>
              </w:rPr>
              <w:t xml:space="preserve"> </w:t>
            </w:r>
            <w:r w:rsidR="000A41B3" w:rsidRPr="00DC08B8">
              <w:rPr>
                <w:rFonts w:eastAsia="Times New Roman"/>
                <w:iCs/>
                <w:sz w:val="24"/>
                <w:szCs w:val="24"/>
                <w:lang w:eastAsia="lv-LV"/>
              </w:rPr>
              <w:t>noziedzīgu nodarījumu tautsaimniecībā</w:t>
            </w:r>
            <w:r w:rsidRPr="00DC08B8">
              <w:rPr>
                <w:rFonts w:eastAsia="Times New Roman"/>
                <w:iCs/>
                <w:sz w:val="24"/>
                <w:szCs w:val="24"/>
                <w:lang w:eastAsia="lv-LV"/>
              </w:rPr>
              <w:t>.</w:t>
            </w:r>
            <w:r w:rsidRPr="0028468D">
              <w:rPr>
                <w:rFonts w:eastAsia="Times New Roman"/>
                <w:iCs/>
                <w:sz w:val="24"/>
                <w:szCs w:val="24"/>
                <w:lang w:eastAsia="lv-LV"/>
              </w:rPr>
              <w:t xml:space="preserve"> </w:t>
            </w:r>
          </w:p>
          <w:p w14:paraId="6A2CC6C1" w14:textId="27A6569C" w:rsidR="00147CBC" w:rsidRPr="00DC08B8" w:rsidRDefault="000E56B2" w:rsidP="00147CBC">
            <w:pPr>
              <w:widowControl/>
              <w:spacing w:before="100" w:beforeAutospacing="1" w:after="0" w:line="240" w:lineRule="auto"/>
              <w:ind w:firstLine="392"/>
              <w:jc w:val="both"/>
              <w:rPr>
                <w:rFonts w:eastAsia="Times New Roman"/>
                <w:iCs/>
                <w:sz w:val="24"/>
                <w:szCs w:val="24"/>
                <w:lang w:eastAsia="lv-LV"/>
              </w:rPr>
            </w:pPr>
            <w:r w:rsidRPr="00DC08B8">
              <w:rPr>
                <w:rFonts w:eastAsia="Times New Roman"/>
                <w:iCs/>
                <w:sz w:val="24"/>
                <w:szCs w:val="24"/>
                <w:lang w:eastAsia="lv-LV"/>
              </w:rPr>
              <w:t xml:space="preserve">Pēc būtības vērtējot piemērotos ierobežojumus, jāņem vēra, ka nav objektīvi un samērīgi, personai piemērot ierobežojumu sniegt grāmatvedības ārpakalpojumu, ja tā ir sodīta par tīšu noziedzīgu nodarījumu pret vidi vai veselību, jo šādu noziedzīgu nodarījumu cēloņsakarība ne vienmēr būs saistīta ar materiālā labuma gūšanu, kā tas ir noziedzīgi iegūtu līdzekļu legalizācijas, nodokļu krāpšanas vai citos materiāla rakstura noziedzīga nodarījuma gadījumos. Lai izvairītos no iespējamiem nesamērīgiem personu pamattiesību ierobežojumiem, noziedzīgu nodarījumu </w:t>
            </w:r>
            <w:r w:rsidR="000A41B3" w:rsidRPr="00DC08B8">
              <w:rPr>
                <w:rFonts w:eastAsia="Times New Roman"/>
                <w:iCs/>
                <w:sz w:val="24"/>
                <w:szCs w:val="24"/>
                <w:lang w:eastAsia="lv-LV"/>
              </w:rPr>
              <w:t xml:space="preserve">loks ir </w:t>
            </w:r>
            <w:r w:rsidRPr="00DC08B8">
              <w:rPr>
                <w:rFonts w:eastAsia="Times New Roman"/>
                <w:iCs/>
                <w:sz w:val="24"/>
                <w:szCs w:val="24"/>
                <w:lang w:eastAsia="lv-LV"/>
              </w:rPr>
              <w:t>sašaurināt</w:t>
            </w:r>
            <w:r w:rsidR="000A41B3" w:rsidRPr="00DC08B8">
              <w:rPr>
                <w:rFonts w:eastAsia="Times New Roman"/>
                <w:iCs/>
                <w:sz w:val="24"/>
                <w:szCs w:val="24"/>
                <w:lang w:eastAsia="lv-LV"/>
              </w:rPr>
              <w:t>s</w:t>
            </w:r>
            <w:r w:rsidRPr="00DC08B8">
              <w:rPr>
                <w:rFonts w:eastAsia="Times New Roman"/>
                <w:iCs/>
                <w:sz w:val="24"/>
                <w:szCs w:val="24"/>
                <w:lang w:eastAsia="lv-LV"/>
              </w:rPr>
              <w:t xml:space="preserve"> uz noziedzīgiem no</w:t>
            </w:r>
            <w:r w:rsidR="00EF78B2" w:rsidRPr="00DC08B8">
              <w:rPr>
                <w:rFonts w:eastAsia="Times New Roman"/>
                <w:iCs/>
                <w:sz w:val="24"/>
                <w:szCs w:val="24"/>
                <w:lang w:eastAsia="lv-LV"/>
              </w:rPr>
              <w:t xml:space="preserve">darījumiem </w:t>
            </w:r>
            <w:r w:rsidRPr="00DC08B8">
              <w:rPr>
                <w:rFonts w:eastAsia="Times New Roman"/>
                <w:iCs/>
                <w:sz w:val="24"/>
                <w:szCs w:val="24"/>
                <w:lang w:eastAsia="lv-LV"/>
              </w:rPr>
              <w:t>tautsaimniecībā</w:t>
            </w:r>
            <w:r w:rsidR="00EF78B2" w:rsidRPr="00DC08B8">
              <w:rPr>
                <w:rFonts w:eastAsia="Times New Roman"/>
                <w:iCs/>
                <w:sz w:val="24"/>
                <w:szCs w:val="24"/>
                <w:lang w:eastAsia="lv-LV"/>
              </w:rPr>
              <w:t>.</w:t>
            </w:r>
          </w:p>
          <w:p w14:paraId="52D1DC90" w14:textId="323A5E0D" w:rsidR="00147CBC" w:rsidRPr="005F5D0D" w:rsidRDefault="000E56B2" w:rsidP="00147CBC">
            <w:pPr>
              <w:widowControl/>
              <w:spacing w:before="100" w:beforeAutospacing="1" w:after="0" w:line="240" w:lineRule="auto"/>
              <w:ind w:firstLine="392"/>
              <w:jc w:val="both"/>
              <w:rPr>
                <w:rFonts w:eastAsia="Times New Roman"/>
                <w:iCs/>
                <w:sz w:val="24"/>
                <w:szCs w:val="24"/>
                <w:lang w:eastAsia="lv-LV"/>
              </w:rPr>
            </w:pPr>
            <w:r w:rsidRPr="00DC08B8">
              <w:rPr>
                <w:rFonts w:eastAsia="Times New Roman"/>
                <w:iCs/>
                <w:sz w:val="24"/>
                <w:szCs w:val="24"/>
                <w:lang w:eastAsia="lv-LV"/>
              </w:rPr>
              <w:t xml:space="preserve">Attiecībā uz juridiskām personām </w:t>
            </w:r>
            <w:r w:rsidR="00BA3427" w:rsidRPr="00DC08B8">
              <w:rPr>
                <w:rFonts w:eastAsia="Times New Roman"/>
                <w:iCs/>
                <w:sz w:val="24"/>
                <w:szCs w:val="24"/>
                <w:lang w:eastAsia="lv-LV"/>
              </w:rPr>
              <w:t xml:space="preserve">uz likuma pamata tiks izdoti noteikumi, kas </w:t>
            </w:r>
            <w:r w:rsidR="00CF153A" w:rsidRPr="00DC08B8">
              <w:rPr>
                <w:rFonts w:eastAsia="Times New Roman"/>
                <w:iCs/>
                <w:sz w:val="24"/>
                <w:szCs w:val="24"/>
                <w:lang w:eastAsia="lv-LV"/>
              </w:rPr>
              <w:t>paredz</w:t>
            </w:r>
            <w:r w:rsidR="00436C8B" w:rsidRPr="00DC08B8">
              <w:rPr>
                <w:rFonts w:eastAsia="Times New Roman"/>
                <w:iCs/>
                <w:sz w:val="24"/>
                <w:szCs w:val="24"/>
                <w:lang w:eastAsia="lv-LV"/>
              </w:rPr>
              <w:t>ēs</w:t>
            </w:r>
            <w:r w:rsidRPr="00DC08B8">
              <w:rPr>
                <w:rFonts w:eastAsia="Times New Roman"/>
                <w:iCs/>
                <w:sz w:val="24"/>
                <w:szCs w:val="24"/>
                <w:lang w:eastAsia="lv-LV"/>
              </w:rPr>
              <w:t xml:space="preserve">, ka tām ir jābūt ierakstītām komercreģistrā; grāmatvedības ārpakalpojumu sniegšanai tām ir jānodarbina vismaz vienu tādu fizisko personu, kas </w:t>
            </w:r>
            <w:r w:rsidR="000A41B3" w:rsidRPr="00DC08B8">
              <w:rPr>
                <w:rFonts w:eastAsia="Times New Roman"/>
                <w:iCs/>
                <w:sz w:val="24"/>
                <w:szCs w:val="24"/>
                <w:lang w:eastAsia="lv-LV"/>
              </w:rPr>
              <w:t>atbilst grāmatvedības ārpakalpojuma sniedzēja profesionālās kvalifikācijas prasībām</w:t>
            </w:r>
            <w:r w:rsidR="0060339D" w:rsidRPr="00DC08B8">
              <w:rPr>
                <w:rFonts w:eastAsia="Times New Roman"/>
                <w:iCs/>
                <w:sz w:val="24"/>
                <w:szCs w:val="24"/>
                <w:lang w:eastAsia="lv-LV"/>
              </w:rPr>
              <w:t>.</w:t>
            </w:r>
            <w:r w:rsidRPr="005F5D0D">
              <w:rPr>
                <w:rFonts w:eastAsia="Times New Roman"/>
                <w:iCs/>
                <w:sz w:val="24"/>
                <w:szCs w:val="24"/>
                <w:lang w:eastAsia="lv-LV"/>
              </w:rPr>
              <w:t xml:space="preserve"> </w:t>
            </w:r>
          </w:p>
          <w:p w14:paraId="2E762C31" w14:textId="33556987" w:rsidR="00147CBC" w:rsidRPr="005F5D0D" w:rsidRDefault="000E56B2" w:rsidP="00147CBC">
            <w:pPr>
              <w:widowControl/>
              <w:spacing w:before="100" w:beforeAutospacing="1" w:after="0" w:line="240" w:lineRule="auto"/>
              <w:ind w:firstLine="392"/>
              <w:jc w:val="both"/>
              <w:rPr>
                <w:rFonts w:eastAsia="Times New Roman"/>
                <w:iCs/>
                <w:sz w:val="24"/>
                <w:szCs w:val="24"/>
                <w:lang w:eastAsia="lv-LV"/>
              </w:rPr>
            </w:pPr>
            <w:r w:rsidRPr="005F5D0D">
              <w:rPr>
                <w:rFonts w:eastAsia="Times New Roman"/>
                <w:iCs/>
                <w:noProof/>
                <w:sz w:val="24"/>
                <w:szCs w:val="24"/>
                <w:lang w:eastAsia="lv-LV"/>
              </w:rPr>
              <mc:AlternateContent>
                <mc:Choice Requires="wps">
                  <w:drawing>
                    <wp:anchor distT="0" distB="0" distL="114300" distR="114300" simplePos="0" relativeHeight="251662336" behindDoc="0" locked="0" layoutInCell="1" allowOverlap="1" wp14:anchorId="417BAAB3" wp14:editId="405060A1">
                      <wp:simplePos x="0" y="0"/>
                      <wp:positionH relativeFrom="page">
                        <wp:posOffset>30480</wp:posOffset>
                      </wp:positionH>
                      <wp:positionV relativeFrom="paragraph">
                        <wp:posOffset>4026535</wp:posOffset>
                      </wp:positionV>
                      <wp:extent cx="0" cy="0"/>
                      <wp:effectExtent l="11430" t="3968750" r="7620" b="396748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5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19A86FF2">
                    <v:line w14:anchorId="45D207B5" id="Line 9"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pt,317.05pt" to="2.4pt,3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7cpCwIAACIEAAAOAAAAZHJzL2Uyb0RvYy54bWysU8GO2jAQvVfqP1i+QxLIUo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" strokeweight=".08481mm">
                      <w10:wrap anchorx="page"/>
                    </v:line>
                  </w:pict>
                </mc:Fallback>
              </mc:AlternateContent>
            </w:r>
            <w:r w:rsidRPr="005F5D0D">
              <w:rPr>
                <w:rFonts w:eastAsia="Times New Roman"/>
                <w:iCs/>
                <w:sz w:val="24"/>
                <w:szCs w:val="24"/>
                <w:lang w:eastAsia="lv-LV"/>
              </w:rPr>
              <w:t>Grāmatvedības ārpakalpojumu sniegšana bez rakstveida līguma tiek uzskatīta par absolūti nepieļaujamu pārkāpumu, par kuru izslēdz no reģistra</w:t>
            </w:r>
            <w:r w:rsidR="00EB0E61">
              <w:rPr>
                <w:rFonts w:eastAsia="Times New Roman"/>
                <w:iCs/>
                <w:sz w:val="24"/>
                <w:szCs w:val="24"/>
                <w:lang w:eastAsia="lv-LV"/>
              </w:rPr>
              <w:t xml:space="preserve"> (</w:t>
            </w:r>
            <w:r w:rsidRPr="005F5D0D">
              <w:rPr>
                <w:rFonts w:eastAsia="Times New Roman"/>
                <w:iCs/>
                <w:sz w:val="24"/>
                <w:szCs w:val="24"/>
                <w:lang w:eastAsia="lv-LV"/>
              </w:rPr>
              <w:t>anulē licenci</w:t>
            </w:r>
            <w:r w:rsidR="00EB0E61">
              <w:rPr>
                <w:rFonts w:eastAsia="Times New Roman"/>
                <w:iCs/>
                <w:sz w:val="24"/>
                <w:szCs w:val="24"/>
                <w:lang w:eastAsia="lv-LV"/>
              </w:rPr>
              <w:t>)</w:t>
            </w:r>
            <w:r w:rsidRPr="005F5D0D">
              <w:rPr>
                <w:rFonts w:eastAsia="Times New Roman"/>
                <w:iCs/>
                <w:sz w:val="24"/>
                <w:szCs w:val="24"/>
                <w:lang w:eastAsia="lv-LV"/>
              </w:rPr>
              <w:t>. Šāds ierobežojums vērsts uz to, lai grāmatvedības ārpakalpojumu sniedzēja un klienta attiecības būtu noregulētas, samaksa nolīgta, atbildība definēta un būtu pakalpojuma sniegšanas apliecinājums nodokļu nomaksas vajadzībām, kā arī lai mazinātu ēnu ekonomikas īpatsvaru grāmatvedības ārpakalpojumu nozarē.</w:t>
            </w:r>
          </w:p>
          <w:p w14:paraId="068A2D45" w14:textId="0436EE85" w:rsidR="00147CBC" w:rsidRPr="005F5D0D" w:rsidRDefault="000E56B2" w:rsidP="00147CBC">
            <w:pPr>
              <w:widowControl/>
              <w:spacing w:before="100" w:beforeAutospacing="1" w:after="0" w:line="240" w:lineRule="auto"/>
              <w:ind w:firstLine="392"/>
              <w:jc w:val="both"/>
              <w:rPr>
                <w:rFonts w:eastAsia="Times New Roman"/>
                <w:iCs/>
                <w:sz w:val="24"/>
                <w:szCs w:val="24"/>
                <w:lang w:eastAsia="lv-LV"/>
              </w:rPr>
            </w:pPr>
            <w:r w:rsidRPr="005F5D0D">
              <w:rPr>
                <w:rFonts w:eastAsia="Times New Roman"/>
                <w:iCs/>
                <w:sz w:val="24"/>
                <w:szCs w:val="24"/>
                <w:lang w:eastAsia="lv-LV"/>
              </w:rPr>
              <w:t xml:space="preserve">Attiecībā uz sankciju piemērošanu, lai izvairītos no gadījumiem, kad personas tiesības izvēlēties nodarbošanos tiek nesamērīgi ierobežotas trešo pušu veiktu darbību rezultātā, ir jāvērtē pārkāpuma </w:t>
            </w:r>
            <w:r w:rsidR="00CE425E" w:rsidRPr="005F5D0D">
              <w:rPr>
                <w:rFonts w:eastAsia="Times New Roman"/>
                <w:iCs/>
                <w:sz w:val="24"/>
                <w:szCs w:val="24"/>
                <w:lang w:eastAsia="lv-LV"/>
              </w:rPr>
              <w:t xml:space="preserve">raksturs </w:t>
            </w:r>
            <w:r w:rsidRPr="005F5D0D">
              <w:rPr>
                <w:rFonts w:eastAsia="Times New Roman"/>
                <w:iCs/>
                <w:sz w:val="24"/>
                <w:szCs w:val="24"/>
                <w:lang w:eastAsia="lv-LV"/>
              </w:rPr>
              <w:t xml:space="preserve">un ilgums. Ņemot vērā NRA identificētos riskus, ka atsevišķi grāmatvedības ārpakalpojumu sniedzēji apzināti iesaistās nelegāli iegūtu līdzekļu legalizācijā, šāds kritērijs nodrošinātu sankciju spēju atturēt personas no NILLTFN likuma prasību pārkāpšanas, jo jebkāda nozīmīga turpmāka iesaiste grāmatvedības ārpakalpojumu sektorā būtu liegta. Vērtējot sankciju samērīgumu, jānorāda, ka licences anulēšana par NILLTFN likuma normu pārkāpšanu atbilst </w:t>
            </w:r>
            <w:r w:rsidR="00EC1F92" w:rsidRPr="005F5D0D">
              <w:rPr>
                <w:rFonts w:eastAsia="Times New Roman"/>
                <w:iCs/>
                <w:sz w:val="24"/>
                <w:szCs w:val="24"/>
                <w:lang w:eastAsia="lv-LV"/>
              </w:rPr>
              <w:t xml:space="preserve">Likumprojekta </w:t>
            </w:r>
            <w:r w:rsidR="00EC1F92" w:rsidRPr="0028468D">
              <w:rPr>
                <w:rFonts w:eastAsia="Times New Roman"/>
                <w:iCs/>
                <w:sz w:val="24"/>
                <w:szCs w:val="24"/>
                <w:lang w:eastAsia="lv-LV"/>
              </w:rPr>
              <w:t>mērķim</w:t>
            </w:r>
            <w:r w:rsidR="007721CC" w:rsidRPr="0028468D">
              <w:rPr>
                <w:rFonts w:eastAsia="Times New Roman"/>
                <w:iCs/>
                <w:sz w:val="24"/>
                <w:szCs w:val="24"/>
                <w:lang w:eastAsia="lv-LV"/>
              </w:rPr>
              <w:t>.</w:t>
            </w:r>
            <w:r w:rsidRPr="00DC08B8">
              <w:rPr>
                <w:rFonts w:eastAsia="Times New Roman"/>
                <w:iCs/>
                <w:sz w:val="24"/>
                <w:szCs w:val="24"/>
                <w:lang w:eastAsia="lv-LV"/>
              </w:rPr>
              <w:t xml:space="preserve"> </w:t>
            </w:r>
            <w:r w:rsidR="00122828" w:rsidRPr="00DC08B8">
              <w:rPr>
                <w:rFonts w:eastAsia="Times New Roman"/>
                <w:iCs/>
                <w:sz w:val="24"/>
                <w:szCs w:val="24"/>
                <w:lang w:eastAsia="lv-LV"/>
              </w:rPr>
              <w:t>NILL</w:t>
            </w:r>
            <w:r w:rsidRPr="0028468D">
              <w:rPr>
                <w:rFonts w:eastAsia="Times New Roman"/>
                <w:iCs/>
                <w:sz w:val="24"/>
                <w:szCs w:val="24"/>
                <w:lang w:eastAsia="lv-LV"/>
              </w:rPr>
              <w:t xml:space="preserve"> ne</w:t>
            </w:r>
            <w:r w:rsidRPr="005F5D0D">
              <w:rPr>
                <w:rFonts w:eastAsia="Times New Roman"/>
                <w:iCs/>
                <w:sz w:val="24"/>
                <w:szCs w:val="24"/>
                <w:lang w:eastAsia="lv-LV"/>
              </w:rPr>
              <w:t xml:space="preserve"> tikai būtiski apdraud valsts finansiālo stabilitāti, bet arī atstāj iespaidu uz kopējo sabiedrības sociālo labklājību, tād</w:t>
            </w:r>
            <w:r w:rsidR="009351BA">
              <w:rPr>
                <w:rFonts w:eastAsia="Times New Roman"/>
                <w:iCs/>
                <w:sz w:val="24"/>
                <w:szCs w:val="24"/>
                <w:lang w:eastAsia="lv-LV"/>
              </w:rPr>
              <w:t>ē</w:t>
            </w:r>
            <w:r w:rsidRPr="005F5D0D">
              <w:rPr>
                <w:rFonts w:eastAsia="Times New Roman"/>
                <w:iCs/>
                <w:sz w:val="24"/>
                <w:szCs w:val="24"/>
                <w:lang w:eastAsia="lv-LV"/>
              </w:rPr>
              <w:t>jādi labums, ko gūst sabiedrība, ir lielāks kā ierobežojums, kas tiek piemērots indivīdam par ilgstošu un sistemātisku neatļautu rīcību.</w:t>
            </w:r>
          </w:p>
          <w:p w14:paraId="7DF75EE5" w14:textId="77777777" w:rsidR="00147CBC" w:rsidRPr="005F5D0D" w:rsidRDefault="000E56B2" w:rsidP="00147CBC">
            <w:pPr>
              <w:widowControl/>
              <w:spacing w:before="100" w:beforeAutospacing="1" w:after="0" w:line="240" w:lineRule="auto"/>
              <w:ind w:firstLine="392"/>
              <w:jc w:val="both"/>
              <w:rPr>
                <w:rFonts w:eastAsia="Times New Roman"/>
                <w:iCs/>
                <w:sz w:val="24"/>
                <w:szCs w:val="24"/>
                <w:lang w:eastAsia="lv-LV"/>
              </w:rPr>
            </w:pPr>
            <w:r w:rsidRPr="005F5D0D">
              <w:rPr>
                <w:rFonts w:eastAsia="Times New Roman"/>
                <w:iCs/>
                <w:sz w:val="24"/>
                <w:szCs w:val="24"/>
                <w:lang w:eastAsia="lv-LV"/>
              </w:rPr>
              <w:t xml:space="preserve">Likumprojektā ir </w:t>
            </w:r>
            <w:r w:rsidR="006F3D18" w:rsidRPr="005F5D0D">
              <w:rPr>
                <w:rFonts w:eastAsia="Times New Roman"/>
                <w:iCs/>
                <w:sz w:val="24"/>
                <w:szCs w:val="24"/>
                <w:lang w:eastAsia="lv-LV"/>
              </w:rPr>
              <w:t>saglabāts</w:t>
            </w:r>
            <w:r w:rsidRPr="005F5D0D">
              <w:rPr>
                <w:rFonts w:eastAsia="Times New Roman"/>
                <w:iCs/>
                <w:sz w:val="24"/>
                <w:szCs w:val="24"/>
                <w:lang w:eastAsia="lv-LV"/>
              </w:rPr>
              <w:t xml:space="preserve"> grāmatvedības ārpakalpojumu sniedzēju pienākum</w:t>
            </w:r>
            <w:r w:rsidR="00CF153A" w:rsidRPr="005F5D0D">
              <w:rPr>
                <w:rFonts w:eastAsia="Times New Roman"/>
                <w:iCs/>
                <w:sz w:val="24"/>
                <w:szCs w:val="24"/>
                <w:lang w:eastAsia="lv-LV"/>
              </w:rPr>
              <w:t>s</w:t>
            </w:r>
            <w:r w:rsidRPr="005F5D0D">
              <w:rPr>
                <w:rFonts w:eastAsia="Times New Roman"/>
                <w:iCs/>
                <w:sz w:val="24"/>
                <w:szCs w:val="24"/>
                <w:lang w:eastAsia="lv-LV"/>
              </w:rPr>
              <w:t xml:space="preserve"> iegādāties civiltiesiskās atbildības apdrošināšanas polisi. Šāda prasība vērtējamā kā saimnieciskas darbības ierobežojums, tomēr tā ir nepieciešama, lai garantētu prasījumu apmierināšanu grāmatvedības ārpakalpojumu sniedzēja izdarīta pārkāpuma gadījumā, kas pie neatbilstoši </w:t>
            </w:r>
            <w:r w:rsidRPr="005F5D0D">
              <w:rPr>
                <w:rFonts w:eastAsia="Times New Roman"/>
                <w:iCs/>
                <w:sz w:val="24"/>
                <w:szCs w:val="24"/>
                <w:lang w:eastAsia="lv-LV"/>
              </w:rPr>
              <w:lastRenderedPageBreak/>
              <w:t xml:space="preserve">aprēķinātiem nodokļu maksājumiem  var veidot ievērojamas naudas summas. </w:t>
            </w:r>
          </w:p>
          <w:p w14:paraId="16006530" w14:textId="77777777" w:rsidR="00FE47DB" w:rsidRPr="005F5D0D" w:rsidRDefault="000E56B2" w:rsidP="003E486F">
            <w:pPr>
              <w:widowControl/>
              <w:spacing w:before="100" w:beforeAutospacing="1" w:after="0" w:line="240" w:lineRule="auto"/>
              <w:ind w:firstLine="392"/>
              <w:jc w:val="both"/>
              <w:rPr>
                <w:rFonts w:eastAsia="Times New Roman"/>
                <w:b/>
                <w:iCs/>
                <w:sz w:val="24"/>
                <w:szCs w:val="24"/>
                <w:lang w:eastAsia="lv-LV"/>
              </w:rPr>
            </w:pPr>
            <w:r w:rsidRPr="005F5D0D">
              <w:rPr>
                <w:rFonts w:eastAsia="Times New Roman"/>
                <w:b/>
                <w:iCs/>
                <w:sz w:val="24"/>
                <w:szCs w:val="24"/>
                <w:lang w:eastAsia="lv-LV"/>
              </w:rPr>
              <w:t>Licencēšanas mehānisms, licencējošā iestāde, uzraugošā iestāde, publiska reģistra nodrošināšana.</w:t>
            </w:r>
          </w:p>
          <w:p w14:paraId="2836AECB" w14:textId="4A6916F8" w:rsidR="00FE47DB" w:rsidRPr="005F5D0D" w:rsidRDefault="000E56B2" w:rsidP="00FE47DB">
            <w:pPr>
              <w:widowControl/>
              <w:spacing w:before="100" w:beforeAutospacing="1" w:after="0" w:line="240" w:lineRule="auto"/>
              <w:ind w:firstLine="392"/>
              <w:jc w:val="both"/>
              <w:rPr>
                <w:rFonts w:eastAsia="Times New Roman"/>
                <w:iCs/>
                <w:sz w:val="24"/>
                <w:szCs w:val="24"/>
                <w:lang w:eastAsia="lv-LV"/>
              </w:rPr>
            </w:pPr>
            <w:r w:rsidRPr="007A56C9">
              <w:rPr>
                <w:rFonts w:eastAsia="Times New Roman"/>
                <w:iCs/>
                <w:sz w:val="24"/>
                <w:szCs w:val="24"/>
                <w:lang w:eastAsia="lv-LV"/>
              </w:rPr>
              <w:t>Grāmatvedības ārpakalpojumu sniedzēju darbības licencēšanu</w:t>
            </w:r>
            <w:r w:rsidR="00CE425E" w:rsidRPr="007A56C9">
              <w:rPr>
                <w:rFonts w:eastAsia="Times New Roman"/>
                <w:iCs/>
                <w:sz w:val="24"/>
                <w:szCs w:val="24"/>
                <w:lang w:eastAsia="lv-LV"/>
              </w:rPr>
              <w:t xml:space="preserve"> veiks VID</w:t>
            </w:r>
            <w:r w:rsidRPr="007A56C9">
              <w:rPr>
                <w:rFonts w:eastAsia="Times New Roman"/>
                <w:iCs/>
                <w:sz w:val="24"/>
                <w:szCs w:val="24"/>
                <w:lang w:eastAsia="lv-LV"/>
              </w:rPr>
              <w:t>.</w:t>
            </w:r>
          </w:p>
          <w:p w14:paraId="713BBB69" w14:textId="2911797C" w:rsidR="000B39EA" w:rsidRPr="005F5D0D" w:rsidRDefault="00CE425E" w:rsidP="000B39EA">
            <w:pPr>
              <w:widowControl/>
              <w:spacing w:before="100" w:beforeAutospacing="1" w:after="0" w:line="240" w:lineRule="auto"/>
              <w:ind w:firstLine="392"/>
              <w:jc w:val="both"/>
              <w:rPr>
                <w:rFonts w:eastAsia="Times New Roman"/>
                <w:iCs/>
                <w:sz w:val="24"/>
                <w:szCs w:val="24"/>
                <w:lang w:eastAsia="lv-LV"/>
              </w:rPr>
            </w:pPr>
            <w:r w:rsidRPr="005F5D0D">
              <w:rPr>
                <w:rFonts w:eastAsia="Times New Roman"/>
                <w:iCs/>
                <w:sz w:val="24"/>
                <w:szCs w:val="24"/>
                <w:lang w:eastAsia="lv-LV"/>
              </w:rPr>
              <w:t>Lai saņemtu licenci personai būs jāiesniedz profesionālo kvalifikāciju (diploms, a</w:t>
            </w:r>
            <w:r w:rsidR="004943A1" w:rsidRPr="005F5D0D">
              <w:rPr>
                <w:rFonts w:eastAsia="Times New Roman"/>
                <w:iCs/>
                <w:sz w:val="24"/>
                <w:szCs w:val="24"/>
                <w:lang w:eastAsia="lv-LV"/>
              </w:rPr>
              <w:t>pliecība</w:t>
            </w:r>
            <w:r w:rsidRPr="005F5D0D">
              <w:rPr>
                <w:rFonts w:eastAsia="Times New Roman"/>
                <w:iCs/>
                <w:sz w:val="24"/>
                <w:szCs w:val="24"/>
                <w:lang w:eastAsia="lv-LV"/>
              </w:rPr>
              <w:t>) un pieredzi (uzņēmuma līgums) aplie</w:t>
            </w:r>
            <w:r w:rsidR="004943A1" w:rsidRPr="005F5D0D">
              <w:rPr>
                <w:rFonts w:eastAsia="Times New Roman"/>
                <w:iCs/>
                <w:sz w:val="24"/>
                <w:szCs w:val="24"/>
                <w:lang w:eastAsia="lv-LV"/>
              </w:rPr>
              <w:t>cinošu</w:t>
            </w:r>
            <w:r w:rsidRPr="005F5D0D">
              <w:rPr>
                <w:rFonts w:eastAsia="Times New Roman"/>
                <w:iCs/>
                <w:sz w:val="24"/>
                <w:szCs w:val="24"/>
                <w:lang w:eastAsia="lv-LV"/>
              </w:rPr>
              <w:t xml:space="preserve"> dokumentu kopijas, iekšējās kontroles sistēma un aizpildīta pieteikuma veidlapa. Licencējošā iestāde izvērtēs personas sodāmību, pārkāpumus NILLTFN jomā, iekšējās kontroles sistēmu un pieteikuma veidlapu</w:t>
            </w:r>
            <w:r w:rsidR="003C1A7A">
              <w:rPr>
                <w:rFonts w:eastAsia="Times New Roman"/>
                <w:iCs/>
                <w:sz w:val="24"/>
                <w:szCs w:val="24"/>
                <w:lang w:eastAsia="lv-LV"/>
              </w:rPr>
              <w:t xml:space="preserve">. </w:t>
            </w:r>
            <w:r w:rsidR="00CA2B2E" w:rsidRPr="005F5D0D">
              <w:rPr>
                <w:rFonts w:eastAsia="Times New Roman"/>
                <w:iCs/>
                <w:sz w:val="24"/>
                <w:szCs w:val="24"/>
                <w:lang w:eastAsia="lv-LV"/>
              </w:rPr>
              <w:t>Neatbilstību gadījumā tiks izdots administratīvs akts, kurā būs norādītas konstatētās nepilnības un termiņš to novēršanai. Licences izsniegšanas gadījumā persona saņems paziņojumu Elektroniskās deklarēšanās sistēmā un tiks ierakstīta VID ārpakalpojuma grāmatvežu reģistrā.</w:t>
            </w:r>
            <w:r w:rsidR="000B39EA" w:rsidRPr="005F5D0D">
              <w:rPr>
                <w:rFonts w:eastAsia="Times New Roman"/>
                <w:iCs/>
                <w:sz w:val="24"/>
                <w:szCs w:val="24"/>
                <w:lang w:eastAsia="lv-LV"/>
              </w:rPr>
              <w:t xml:space="preserve"> </w:t>
            </w:r>
            <w:r w:rsidR="00CA2B2E" w:rsidRPr="005F5D0D">
              <w:rPr>
                <w:rFonts w:eastAsia="Times New Roman"/>
                <w:iCs/>
                <w:sz w:val="24"/>
                <w:szCs w:val="24"/>
                <w:lang w:eastAsia="lv-LV"/>
              </w:rPr>
              <w:t xml:space="preserve">Lēmumu par licences neizsniegšanu būs iespējams apstrīdēt iestādē. </w:t>
            </w:r>
          </w:p>
          <w:p w14:paraId="05AB77B4" w14:textId="45DD71AB" w:rsidR="00041CAE" w:rsidRPr="005F5D0D" w:rsidRDefault="00CA2B2E" w:rsidP="000B39EA">
            <w:pPr>
              <w:widowControl/>
              <w:spacing w:before="100" w:beforeAutospacing="1" w:after="0" w:line="240" w:lineRule="auto"/>
              <w:ind w:firstLine="392"/>
              <w:jc w:val="both"/>
              <w:rPr>
                <w:rFonts w:eastAsia="Times New Roman"/>
                <w:iCs/>
                <w:sz w:val="24"/>
                <w:szCs w:val="24"/>
                <w:lang w:eastAsia="lv-LV"/>
              </w:rPr>
            </w:pPr>
            <w:r w:rsidRPr="007A56C9">
              <w:rPr>
                <w:rFonts w:eastAsia="Times New Roman"/>
                <w:iCs/>
                <w:sz w:val="24"/>
                <w:szCs w:val="24"/>
                <w:lang w:eastAsia="lv-LV"/>
              </w:rPr>
              <w:t xml:space="preserve">Licence tiks piešķirta </w:t>
            </w:r>
            <w:r w:rsidRPr="0028468D">
              <w:rPr>
                <w:rFonts w:eastAsia="Times New Roman"/>
                <w:iCs/>
                <w:sz w:val="24"/>
                <w:szCs w:val="24"/>
                <w:lang w:eastAsia="lv-LV"/>
              </w:rPr>
              <w:t xml:space="preserve">uz </w:t>
            </w:r>
            <w:r w:rsidR="00211875" w:rsidRPr="0028468D">
              <w:rPr>
                <w:rFonts w:eastAsia="Times New Roman"/>
                <w:iCs/>
                <w:sz w:val="24"/>
                <w:szCs w:val="24"/>
                <w:lang w:eastAsia="lv-LV"/>
              </w:rPr>
              <w:t>pieciem</w:t>
            </w:r>
            <w:r w:rsidRPr="00DC08B8">
              <w:rPr>
                <w:rFonts w:eastAsia="Times New Roman"/>
                <w:iCs/>
                <w:sz w:val="24"/>
                <w:szCs w:val="24"/>
                <w:lang w:eastAsia="lv-LV"/>
              </w:rPr>
              <w:t xml:space="preserve"> gadiem. </w:t>
            </w:r>
            <w:r w:rsidR="000B39EA" w:rsidRPr="00DC08B8">
              <w:rPr>
                <w:rFonts w:eastAsia="Times New Roman"/>
                <w:iCs/>
                <w:sz w:val="24"/>
                <w:szCs w:val="24"/>
                <w:lang w:eastAsia="lv-LV"/>
              </w:rPr>
              <w:t xml:space="preserve">Lai </w:t>
            </w:r>
            <w:r w:rsidR="00122828" w:rsidRPr="00DC08B8">
              <w:rPr>
                <w:rFonts w:eastAsia="Times New Roman"/>
                <w:iCs/>
                <w:sz w:val="24"/>
                <w:szCs w:val="24"/>
                <w:lang w:eastAsia="lv-LV"/>
              </w:rPr>
              <w:t>pārreģistrētu</w:t>
            </w:r>
            <w:r w:rsidR="00122828" w:rsidRPr="0028468D">
              <w:rPr>
                <w:rFonts w:eastAsia="Times New Roman"/>
                <w:iCs/>
                <w:sz w:val="24"/>
                <w:szCs w:val="24"/>
                <w:lang w:eastAsia="lv-LV"/>
              </w:rPr>
              <w:t xml:space="preserve"> </w:t>
            </w:r>
            <w:r w:rsidR="000B39EA" w:rsidRPr="0028468D">
              <w:rPr>
                <w:rFonts w:eastAsia="Times New Roman"/>
                <w:iCs/>
                <w:sz w:val="24"/>
                <w:szCs w:val="24"/>
                <w:lang w:eastAsia="lv-LV"/>
              </w:rPr>
              <w:t xml:space="preserve">licenci, ne </w:t>
            </w:r>
            <w:r w:rsidR="00041CAE" w:rsidRPr="00DC08B8">
              <w:rPr>
                <w:rFonts w:eastAsia="Times New Roman"/>
                <w:iCs/>
                <w:sz w:val="24"/>
                <w:szCs w:val="24"/>
                <w:lang w:eastAsia="lv-LV"/>
              </w:rPr>
              <w:t xml:space="preserve">vēlāk kā mēnesi pirms </w:t>
            </w:r>
            <w:r w:rsidR="000B39EA" w:rsidRPr="00DC08B8">
              <w:rPr>
                <w:rFonts w:eastAsia="Times New Roman"/>
                <w:iCs/>
                <w:sz w:val="24"/>
                <w:szCs w:val="24"/>
                <w:lang w:eastAsia="lv-LV"/>
              </w:rPr>
              <w:t>licences termiņa beigām</w:t>
            </w:r>
            <w:r w:rsidRPr="00DC08B8">
              <w:rPr>
                <w:rFonts w:eastAsia="Times New Roman"/>
                <w:iCs/>
                <w:sz w:val="24"/>
                <w:szCs w:val="24"/>
                <w:lang w:eastAsia="lv-LV"/>
              </w:rPr>
              <w:t xml:space="preserve"> </w:t>
            </w:r>
            <w:r w:rsidR="00955266" w:rsidRPr="00DC08B8">
              <w:rPr>
                <w:rFonts w:eastAsia="Times New Roman"/>
                <w:iCs/>
                <w:sz w:val="24"/>
                <w:szCs w:val="24"/>
                <w:lang w:eastAsia="lv-LV"/>
              </w:rPr>
              <w:t xml:space="preserve">būs </w:t>
            </w:r>
            <w:r w:rsidRPr="00DC08B8">
              <w:rPr>
                <w:rFonts w:eastAsia="Times New Roman"/>
                <w:iCs/>
                <w:sz w:val="24"/>
                <w:szCs w:val="24"/>
                <w:lang w:eastAsia="lv-LV"/>
              </w:rPr>
              <w:t>jāiesniedz atjaunota iekšējās kontroles sistēma</w:t>
            </w:r>
            <w:r w:rsidR="00B5081C" w:rsidRPr="00DC08B8">
              <w:rPr>
                <w:rFonts w:eastAsia="Times New Roman"/>
                <w:iCs/>
                <w:sz w:val="24"/>
                <w:szCs w:val="24"/>
                <w:lang w:eastAsia="lv-LV"/>
              </w:rPr>
              <w:t xml:space="preserve"> un</w:t>
            </w:r>
            <w:r w:rsidRPr="00DC08B8">
              <w:rPr>
                <w:rFonts w:eastAsia="Times New Roman"/>
                <w:iCs/>
                <w:sz w:val="24"/>
                <w:szCs w:val="24"/>
                <w:lang w:eastAsia="lv-LV"/>
              </w:rPr>
              <w:t xml:space="preserve"> pieteikums par </w:t>
            </w:r>
            <w:r w:rsidR="00122828" w:rsidRPr="00DC08B8">
              <w:rPr>
                <w:rFonts w:eastAsia="Times New Roman"/>
                <w:iCs/>
                <w:sz w:val="24"/>
                <w:szCs w:val="24"/>
                <w:lang w:eastAsia="lv-LV"/>
              </w:rPr>
              <w:t>pārreģistrāciju</w:t>
            </w:r>
            <w:r w:rsidRPr="0028468D">
              <w:rPr>
                <w:rFonts w:eastAsia="Times New Roman"/>
                <w:iCs/>
                <w:sz w:val="24"/>
                <w:szCs w:val="24"/>
                <w:lang w:eastAsia="lv-LV"/>
              </w:rPr>
              <w:t>. Juridiskām personām, ku</w:t>
            </w:r>
            <w:r w:rsidR="00A02C88" w:rsidRPr="0028468D">
              <w:rPr>
                <w:rFonts w:eastAsia="Times New Roman"/>
                <w:iCs/>
                <w:sz w:val="24"/>
                <w:szCs w:val="24"/>
                <w:lang w:eastAsia="lv-LV"/>
              </w:rPr>
              <w:t>ras izbeidz darba attiecības ar personu, kas ir norādīta kā vienīgā ārpakalpojuma grāmatveža profesionālās kvalifikācijas prasībām atbilstošā persona, ir mēneša laikā jāsn</w:t>
            </w:r>
            <w:r w:rsidR="00A02C88" w:rsidRPr="00DC08B8">
              <w:rPr>
                <w:rFonts w:eastAsia="Times New Roman"/>
                <w:iCs/>
                <w:sz w:val="24"/>
                <w:szCs w:val="24"/>
                <w:lang w:eastAsia="lv-LV"/>
              </w:rPr>
              <w:t xml:space="preserve">iedz licences </w:t>
            </w:r>
            <w:r w:rsidR="00122828" w:rsidRPr="00DC08B8">
              <w:rPr>
                <w:rFonts w:eastAsia="Times New Roman"/>
                <w:iCs/>
                <w:sz w:val="24"/>
                <w:szCs w:val="24"/>
                <w:lang w:eastAsia="lv-LV"/>
              </w:rPr>
              <w:t>pārreģistrācijas</w:t>
            </w:r>
            <w:r w:rsidR="00122828" w:rsidRPr="0028468D">
              <w:rPr>
                <w:rFonts w:eastAsia="Times New Roman"/>
                <w:iCs/>
                <w:sz w:val="24"/>
                <w:szCs w:val="24"/>
                <w:lang w:eastAsia="lv-LV"/>
              </w:rPr>
              <w:t xml:space="preserve"> </w:t>
            </w:r>
            <w:r w:rsidR="00A02C88" w:rsidRPr="00DC08B8">
              <w:rPr>
                <w:rFonts w:eastAsia="Times New Roman"/>
                <w:iCs/>
                <w:sz w:val="24"/>
                <w:szCs w:val="24"/>
                <w:lang w:eastAsia="lv-LV"/>
              </w:rPr>
              <w:t>iesniegums, norādot citu fizisko personu, kas atbilst licences izsniegšanas nosacījumiem</w:t>
            </w:r>
            <w:r w:rsidR="00041CAE" w:rsidRPr="00DC08B8">
              <w:rPr>
                <w:rFonts w:eastAsia="Times New Roman"/>
                <w:iCs/>
                <w:sz w:val="24"/>
                <w:szCs w:val="24"/>
                <w:lang w:eastAsia="lv-LV"/>
              </w:rPr>
              <w:t>, iesniedzot tās profesionālo kvalifikāciju un pieredzi apliecinošu dokumentu kopijas</w:t>
            </w:r>
            <w:r w:rsidR="00A02C88" w:rsidRPr="00DC08B8">
              <w:rPr>
                <w:rFonts w:eastAsia="Times New Roman"/>
                <w:iCs/>
                <w:sz w:val="24"/>
                <w:szCs w:val="24"/>
                <w:lang w:eastAsia="lv-LV"/>
              </w:rPr>
              <w:t xml:space="preserve">. Pirms licences termiņa beigām </w:t>
            </w:r>
            <w:r w:rsidR="00122828" w:rsidRPr="00DC08B8">
              <w:rPr>
                <w:rFonts w:eastAsia="Times New Roman"/>
                <w:iCs/>
                <w:sz w:val="24"/>
                <w:szCs w:val="24"/>
                <w:lang w:eastAsia="lv-LV"/>
              </w:rPr>
              <w:t>pārreģistrēta</w:t>
            </w:r>
            <w:r w:rsidR="00122828" w:rsidRPr="0028468D">
              <w:rPr>
                <w:rFonts w:eastAsia="Times New Roman"/>
                <w:iCs/>
                <w:sz w:val="24"/>
                <w:szCs w:val="24"/>
                <w:lang w:eastAsia="lv-LV"/>
              </w:rPr>
              <w:t xml:space="preserve"> </w:t>
            </w:r>
            <w:r w:rsidR="00A02C88" w:rsidRPr="0028468D">
              <w:rPr>
                <w:rFonts w:eastAsia="Times New Roman"/>
                <w:iCs/>
                <w:sz w:val="24"/>
                <w:szCs w:val="24"/>
                <w:lang w:eastAsia="lv-LV"/>
              </w:rPr>
              <w:t>licenc</w:t>
            </w:r>
            <w:r w:rsidR="00A02C88" w:rsidRPr="00DC08B8">
              <w:rPr>
                <w:rFonts w:eastAsia="Times New Roman"/>
                <w:iCs/>
                <w:sz w:val="24"/>
                <w:szCs w:val="24"/>
                <w:lang w:eastAsia="lv-LV"/>
              </w:rPr>
              <w:t xml:space="preserve">e tiek pagarināta uz jaunu </w:t>
            </w:r>
            <w:r w:rsidR="001A6D3E" w:rsidRPr="00DC08B8">
              <w:rPr>
                <w:rFonts w:eastAsia="Times New Roman"/>
                <w:iCs/>
                <w:sz w:val="24"/>
                <w:szCs w:val="24"/>
                <w:lang w:eastAsia="lv-LV"/>
              </w:rPr>
              <w:t xml:space="preserve">piecu </w:t>
            </w:r>
            <w:r w:rsidR="00A02C88" w:rsidRPr="00DC08B8">
              <w:rPr>
                <w:rFonts w:eastAsia="Times New Roman"/>
                <w:iCs/>
                <w:sz w:val="24"/>
                <w:szCs w:val="24"/>
                <w:lang w:eastAsia="lv-LV"/>
              </w:rPr>
              <w:t xml:space="preserve">gadu termiņu tikai tad, </w:t>
            </w:r>
            <w:r w:rsidR="00041CAE" w:rsidRPr="00DC08B8">
              <w:rPr>
                <w:rFonts w:eastAsia="Times New Roman"/>
                <w:iCs/>
                <w:sz w:val="24"/>
                <w:szCs w:val="24"/>
                <w:lang w:eastAsia="lv-LV"/>
              </w:rPr>
              <w:t>j</w:t>
            </w:r>
            <w:r w:rsidR="00A02C88" w:rsidRPr="00DC08B8">
              <w:rPr>
                <w:rFonts w:eastAsia="Times New Roman"/>
                <w:iCs/>
                <w:sz w:val="24"/>
                <w:szCs w:val="24"/>
                <w:lang w:eastAsia="lv-LV"/>
              </w:rPr>
              <w:t xml:space="preserve">a papildus </w:t>
            </w:r>
            <w:r w:rsidR="00122828" w:rsidRPr="00DC08B8">
              <w:rPr>
                <w:rFonts w:eastAsia="Times New Roman"/>
                <w:iCs/>
                <w:sz w:val="24"/>
                <w:szCs w:val="24"/>
                <w:lang w:eastAsia="lv-LV"/>
              </w:rPr>
              <w:t>pārreģistrēšanas</w:t>
            </w:r>
            <w:r w:rsidR="00122828" w:rsidRPr="0028468D">
              <w:rPr>
                <w:rFonts w:eastAsia="Times New Roman"/>
                <w:iCs/>
                <w:sz w:val="24"/>
                <w:szCs w:val="24"/>
                <w:lang w:eastAsia="lv-LV"/>
              </w:rPr>
              <w:t xml:space="preserve"> </w:t>
            </w:r>
            <w:r w:rsidR="00A02C88" w:rsidRPr="0028468D">
              <w:rPr>
                <w:rFonts w:eastAsia="Times New Roman"/>
                <w:iCs/>
                <w:sz w:val="24"/>
                <w:szCs w:val="24"/>
                <w:lang w:eastAsia="lv-LV"/>
              </w:rPr>
              <w:t xml:space="preserve">iesniegumam tiek iesniegta atjaunota iekšējās </w:t>
            </w:r>
            <w:r w:rsidR="00A02C88" w:rsidRPr="00DC08B8">
              <w:rPr>
                <w:rFonts w:eastAsia="Times New Roman"/>
                <w:iCs/>
                <w:sz w:val="24"/>
                <w:szCs w:val="24"/>
                <w:lang w:eastAsia="lv-LV"/>
              </w:rPr>
              <w:t>kontroles</w:t>
            </w:r>
            <w:r w:rsidR="00041CAE" w:rsidRPr="00DC08B8">
              <w:rPr>
                <w:rFonts w:eastAsia="Times New Roman"/>
                <w:iCs/>
                <w:sz w:val="24"/>
                <w:szCs w:val="24"/>
                <w:lang w:eastAsia="lv-LV"/>
              </w:rPr>
              <w:t xml:space="preserve"> </w:t>
            </w:r>
            <w:r w:rsidR="004943A1" w:rsidRPr="00DC08B8">
              <w:rPr>
                <w:rFonts w:eastAsia="Times New Roman"/>
                <w:iCs/>
                <w:sz w:val="24"/>
                <w:szCs w:val="24"/>
                <w:lang w:eastAsia="lv-LV"/>
              </w:rPr>
              <w:t xml:space="preserve">sistēma </w:t>
            </w:r>
            <w:r w:rsidR="00041CAE" w:rsidRPr="00DC08B8">
              <w:rPr>
                <w:rFonts w:eastAsia="Times New Roman"/>
                <w:iCs/>
                <w:sz w:val="24"/>
                <w:szCs w:val="24"/>
                <w:lang w:eastAsia="lv-LV"/>
              </w:rPr>
              <w:t xml:space="preserve">un </w:t>
            </w:r>
            <w:r w:rsidR="00E07B72" w:rsidRPr="00DC08B8">
              <w:rPr>
                <w:rFonts w:eastAsia="Times New Roman"/>
                <w:iCs/>
                <w:sz w:val="24"/>
                <w:szCs w:val="24"/>
                <w:lang w:eastAsia="lv-LV"/>
              </w:rPr>
              <w:t>apmaksāta valsts nodeva</w:t>
            </w:r>
            <w:r w:rsidR="00041CAE" w:rsidRPr="00DC08B8">
              <w:rPr>
                <w:rFonts w:eastAsia="Times New Roman"/>
                <w:iCs/>
                <w:sz w:val="24"/>
                <w:szCs w:val="24"/>
                <w:lang w:eastAsia="lv-LV"/>
              </w:rPr>
              <w:t>.</w:t>
            </w:r>
          </w:p>
          <w:p w14:paraId="537F7E1B" w14:textId="7137BF78" w:rsidR="00122828" w:rsidRPr="005F5D0D" w:rsidRDefault="00597822" w:rsidP="00231D32">
            <w:pPr>
              <w:widowControl/>
              <w:spacing w:before="100" w:beforeAutospacing="1" w:after="0" w:line="240" w:lineRule="auto"/>
              <w:ind w:firstLine="392"/>
              <w:jc w:val="both"/>
              <w:rPr>
                <w:rFonts w:eastAsia="Times New Roman"/>
                <w:iCs/>
                <w:sz w:val="24"/>
                <w:szCs w:val="24"/>
                <w:lang w:eastAsia="lv-LV"/>
              </w:rPr>
            </w:pPr>
            <w:r w:rsidRPr="005F5D0D">
              <w:rPr>
                <w:rFonts w:eastAsia="Times New Roman"/>
                <w:iCs/>
                <w:sz w:val="24"/>
                <w:szCs w:val="24"/>
                <w:lang w:eastAsia="lv-LV"/>
              </w:rPr>
              <w:t>Tām personām, kurām būs atbilstoša pieredze</w:t>
            </w:r>
            <w:r w:rsidR="00412EF4" w:rsidRPr="005F5D0D">
              <w:rPr>
                <w:rFonts w:eastAsia="Times New Roman"/>
                <w:iCs/>
                <w:sz w:val="24"/>
                <w:szCs w:val="24"/>
                <w:lang w:eastAsia="lv-LV"/>
              </w:rPr>
              <w:t xml:space="preserve"> grāmatvedības jomā</w:t>
            </w:r>
            <w:r w:rsidRPr="005F5D0D">
              <w:rPr>
                <w:rFonts w:eastAsia="Times New Roman"/>
                <w:iCs/>
                <w:sz w:val="24"/>
                <w:szCs w:val="24"/>
                <w:lang w:eastAsia="lv-LV"/>
              </w:rPr>
              <w:t xml:space="preserve">, taču </w:t>
            </w:r>
            <w:r w:rsidRPr="0028468D">
              <w:rPr>
                <w:rFonts w:eastAsia="Times New Roman"/>
                <w:iCs/>
                <w:sz w:val="24"/>
                <w:szCs w:val="24"/>
                <w:lang w:eastAsia="lv-LV"/>
              </w:rPr>
              <w:t>nebūs atbilstoša profesionālā kvalifikācija,</w:t>
            </w:r>
            <w:r w:rsidR="004D2689" w:rsidRPr="00DC08B8">
              <w:rPr>
                <w:rFonts w:eastAsia="Times New Roman"/>
                <w:iCs/>
                <w:sz w:val="24"/>
                <w:szCs w:val="24"/>
                <w:lang w:eastAsia="lv-LV"/>
              </w:rPr>
              <w:t xml:space="preserve"> tas ir,</w:t>
            </w:r>
            <w:r w:rsidR="001A6D3E" w:rsidRPr="00DC08B8">
              <w:rPr>
                <w:rFonts w:eastAsia="Times New Roman"/>
                <w:iCs/>
                <w:sz w:val="24"/>
                <w:szCs w:val="24"/>
                <w:lang w:eastAsia="lv-LV"/>
              </w:rPr>
              <w:t xml:space="preserve"> vismaz </w:t>
            </w:r>
            <w:r w:rsidR="004D2689" w:rsidRPr="00DC08B8">
              <w:rPr>
                <w:rFonts w:eastAsia="Times New Roman"/>
                <w:iCs/>
                <w:sz w:val="24"/>
                <w:szCs w:val="24"/>
                <w:lang w:eastAsia="lv-LV"/>
              </w:rPr>
              <w:t xml:space="preserve"> grāmatveža ceturtā līmeņa kvalifikācija,</w:t>
            </w:r>
            <w:r w:rsidR="00955266" w:rsidRPr="00DC08B8">
              <w:rPr>
                <w:rFonts w:eastAsia="Times New Roman"/>
                <w:iCs/>
                <w:sz w:val="24"/>
                <w:szCs w:val="24"/>
                <w:lang w:eastAsia="lv-LV"/>
              </w:rPr>
              <w:t xml:space="preserve"> </w:t>
            </w:r>
            <w:r w:rsidRPr="00DC08B8">
              <w:rPr>
                <w:rFonts w:eastAsia="Times New Roman"/>
                <w:iCs/>
                <w:sz w:val="24"/>
                <w:szCs w:val="24"/>
                <w:lang w:eastAsia="lv-LV"/>
              </w:rPr>
              <w:t>būs iespējams turpināt strādāt par ārpakalpojuma grāmatvedi un saņemt licenci, ja tās studēs valsts akreditētā mācību iestādē</w:t>
            </w:r>
            <w:r w:rsidR="00211875" w:rsidRPr="00DC08B8">
              <w:rPr>
                <w:rFonts w:eastAsia="Times New Roman"/>
                <w:iCs/>
                <w:sz w:val="24"/>
                <w:szCs w:val="24"/>
                <w:lang w:eastAsia="lv-LV"/>
              </w:rPr>
              <w:t>.</w:t>
            </w:r>
            <w:r w:rsidR="00FC591A" w:rsidRPr="0028468D">
              <w:rPr>
                <w:rFonts w:eastAsia="Times New Roman"/>
                <w:iCs/>
                <w:sz w:val="24"/>
                <w:szCs w:val="24"/>
                <w:lang w:eastAsia="lv-LV"/>
              </w:rPr>
              <w:t xml:space="preserve"> </w:t>
            </w:r>
            <w:r w:rsidRPr="0028468D">
              <w:rPr>
                <w:rFonts w:eastAsia="Times New Roman"/>
                <w:iCs/>
                <w:sz w:val="24"/>
                <w:szCs w:val="24"/>
                <w:lang w:eastAsia="lv-LV"/>
              </w:rPr>
              <w:t>Ņemot vērā, ka vidējais grāmatvež</w:t>
            </w:r>
            <w:r w:rsidRPr="00DC08B8">
              <w:rPr>
                <w:rFonts w:eastAsia="Times New Roman"/>
                <w:iCs/>
                <w:sz w:val="24"/>
                <w:szCs w:val="24"/>
                <w:lang w:eastAsia="lv-LV"/>
              </w:rPr>
              <w:t xml:space="preserve">a </w:t>
            </w:r>
            <w:r w:rsidR="008076BB" w:rsidRPr="00DC08B8">
              <w:rPr>
                <w:rFonts w:eastAsia="Times New Roman"/>
                <w:iCs/>
                <w:sz w:val="24"/>
                <w:szCs w:val="24"/>
                <w:lang w:eastAsia="lv-LV"/>
              </w:rPr>
              <w:t xml:space="preserve">pirmā līmeņa profesionālās </w:t>
            </w:r>
            <w:r w:rsidR="00412EF4" w:rsidRPr="00DC08B8">
              <w:rPr>
                <w:rFonts w:eastAsia="Times New Roman"/>
                <w:iCs/>
                <w:sz w:val="24"/>
                <w:szCs w:val="24"/>
                <w:lang w:eastAsia="lv-LV"/>
              </w:rPr>
              <w:t>au</w:t>
            </w:r>
            <w:r w:rsidR="003A585F" w:rsidRPr="00DC08B8">
              <w:rPr>
                <w:rFonts w:eastAsia="Times New Roman"/>
                <w:iCs/>
                <w:sz w:val="24"/>
                <w:szCs w:val="24"/>
                <w:lang w:eastAsia="lv-LV"/>
              </w:rPr>
              <w:t>g</w:t>
            </w:r>
            <w:r w:rsidR="00412EF4" w:rsidRPr="00DC08B8">
              <w:rPr>
                <w:rFonts w:eastAsia="Times New Roman"/>
                <w:iCs/>
                <w:sz w:val="24"/>
                <w:szCs w:val="24"/>
                <w:lang w:eastAsia="lv-LV"/>
              </w:rPr>
              <w:t xml:space="preserve">stākās izglītības </w:t>
            </w:r>
            <w:r w:rsidRPr="00DC08B8">
              <w:rPr>
                <w:rFonts w:eastAsia="Times New Roman"/>
                <w:iCs/>
                <w:sz w:val="24"/>
                <w:szCs w:val="24"/>
                <w:lang w:eastAsia="lv-LV"/>
              </w:rPr>
              <w:t xml:space="preserve"> mācību programmas termiņš ir</w:t>
            </w:r>
            <w:r w:rsidR="00955266" w:rsidRPr="00DC08B8">
              <w:rPr>
                <w:rFonts w:eastAsia="Times New Roman"/>
                <w:iCs/>
                <w:sz w:val="24"/>
                <w:szCs w:val="24"/>
                <w:lang w:eastAsia="lv-LV"/>
              </w:rPr>
              <w:t xml:space="preserve"> </w:t>
            </w:r>
            <w:r w:rsidR="00CE62C4" w:rsidRPr="00DC08B8">
              <w:rPr>
                <w:rFonts w:eastAsia="Times New Roman"/>
                <w:iCs/>
                <w:sz w:val="24"/>
                <w:szCs w:val="24"/>
                <w:lang w:eastAsia="lv-LV"/>
              </w:rPr>
              <w:t>2</w:t>
            </w:r>
            <w:r w:rsidRPr="00DC08B8">
              <w:rPr>
                <w:rFonts w:eastAsia="Times New Roman"/>
                <w:iCs/>
                <w:sz w:val="24"/>
                <w:szCs w:val="24"/>
                <w:lang w:eastAsia="lv-LV"/>
              </w:rPr>
              <w:t xml:space="preserve"> </w:t>
            </w:r>
            <w:r w:rsidR="00CE62C4" w:rsidRPr="00DC08B8">
              <w:rPr>
                <w:rFonts w:eastAsia="Times New Roman"/>
                <w:iCs/>
                <w:sz w:val="24"/>
                <w:szCs w:val="24"/>
                <w:lang w:eastAsia="lv-LV"/>
              </w:rPr>
              <w:t xml:space="preserve">-3 </w:t>
            </w:r>
            <w:r w:rsidRPr="00DC08B8">
              <w:rPr>
                <w:rFonts w:eastAsia="Times New Roman"/>
                <w:iCs/>
                <w:sz w:val="24"/>
                <w:szCs w:val="24"/>
                <w:lang w:eastAsia="lv-LV"/>
              </w:rPr>
              <w:t xml:space="preserve">gadi, tad tiesības strādāt par ārpakalpojuma grāmatvedi bez atbilstošas profesionālās kvalifikācijas tiks saglabātas divus gadus pēc pārejas perioda beigām, proti, līdz </w:t>
            </w:r>
            <w:r w:rsidR="00FC591A" w:rsidRPr="00DC08B8">
              <w:rPr>
                <w:rFonts w:eastAsia="Times New Roman"/>
                <w:iCs/>
                <w:sz w:val="24"/>
                <w:szCs w:val="24"/>
                <w:lang w:eastAsia="lv-LV"/>
              </w:rPr>
              <w:t>2024.gada 1.janvārim.</w:t>
            </w:r>
            <w:r w:rsidR="00FE2F23" w:rsidRPr="00DC08B8">
              <w:rPr>
                <w:rFonts w:eastAsia="Times New Roman"/>
                <w:iCs/>
                <w:sz w:val="24"/>
                <w:szCs w:val="24"/>
                <w:lang w:eastAsia="lv-LV"/>
              </w:rPr>
              <w:t xml:space="preserve"> Ja ārpakalpojuma grāmatvedim līdz vecuma pensijas piešķiršanai noteiktā vecuma sasniegšanai atlikuši seši gadi vai mazāk un viņam ir atbilstoša pieredze grāmatvedības ārpakalpojumu sniegšanā, līdz vecuma pensijas piešķiršanai noteiktā vecuma sasniegšanai, bet ne ilgāk kā līdz 2026.gada 1.februārim, viņš var saņemt grāmatvedības ārpakalpojumu sniegšanas licenci arī bez augstākās izglītības iegūšanas.</w:t>
            </w:r>
          </w:p>
          <w:p w14:paraId="6BA5ABF7" w14:textId="257BD8F2" w:rsidR="004943A1" w:rsidRPr="00DC08B8" w:rsidRDefault="004943A1" w:rsidP="000B39EA">
            <w:pPr>
              <w:widowControl/>
              <w:spacing w:before="100" w:beforeAutospacing="1" w:after="0" w:line="240" w:lineRule="auto"/>
              <w:ind w:firstLine="392"/>
              <w:jc w:val="both"/>
              <w:rPr>
                <w:rFonts w:eastAsia="Times New Roman"/>
                <w:iCs/>
                <w:sz w:val="24"/>
                <w:szCs w:val="24"/>
                <w:lang w:eastAsia="lv-LV"/>
              </w:rPr>
            </w:pPr>
            <w:r w:rsidRPr="005F5D0D">
              <w:rPr>
                <w:rFonts w:eastAsia="Times New Roman"/>
                <w:iCs/>
                <w:sz w:val="24"/>
                <w:szCs w:val="24"/>
                <w:lang w:eastAsia="lv-LV"/>
              </w:rPr>
              <w:lastRenderedPageBreak/>
              <w:t xml:space="preserve">Ņemot vērā, ka akadēmiskā izglītība nedod visas nepieciešamās iemaņas, lai persona uzņemtos atbildību patstāvīgi sniegt grāmatvedības ārpakalpojumus, kā arī to, ka grāmatvedības ārpakalpojumu nozarē pastāv </w:t>
            </w:r>
            <w:r w:rsidR="008C7469" w:rsidRPr="005F5D0D">
              <w:rPr>
                <w:rFonts w:eastAsia="Times New Roman"/>
                <w:iCs/>
                <w:sz w:val="24"/>
                <w:szCs w:val="24"/>
                <w:lang w:eastAsia="lv-LV"/>
              </w:rPr>
              <w:t xml:space="preserve">salīdzinoši </w:t>
            </w:r>
            <w:r w:rsidRPr="005F5D0D">
              <w:rPr>
                <w:rFonts w:eastAsia="Times New Roman"/>
                <w:iCs/>
                <w:sz w:val="24"/>
                <w:szCs w:val="24"/>
                <w:lang w:eastAsia="lv-LV"/>
              </w:rPr>
              <w:t xml:space="preserve">augsts NILLTF </w:t>
            </w:r>
            <w:r w:rsidRPr="0028468D">
              <w:rPr>
                <w:rFonts w:eastAsia="Times New Roman"/>
                <w:iCs/>
                <w:sz w:val="24"/>
                <w:szCs w:val="24"/>
                <w:lang w:eastAsia="lv-LV"/>
              </w:rPr>
              <w:t xml:space="preserve">risks, </w:t>
            </w:r>
            <w:r w:rsidR="00C056ED" w:rsidRPr="0028468D">
              <w:rPr>
                <w:rFonts w:eastAsia="Times New Roman"/>
                <w:iCs/>
                <w:sz w:val="24"/>
                <w:szCs w:val="24"/>
                <w:lang w:eastAsia="lv-LV"/>
              </w:rPr>
              <w:t>grāmatvedības ārp</w:t>
            </w:r>
            <w:r w:rsidR="00C056ED" w:rsidRPr="00DC08B8">
              <w:rPr>
                <w:rFonts w:eastAsia="Times New Roman"/>
                <w:iCs/>
                <w:sz w:val="24"/>
                <w:szCs w:val="24"/>
                <w:lang w:eastAsia="lv-LV"/>
              </w:rPr>
              <w:t>akalpojuma sniedzējam</w:t>
            </w:r>
            <w:r w:rsidRPr="00DC08B8">
              <w:rPr>
                <w:rFonts w:eastAsia="Times New Roman"/>
                <w:iCs/>
                <w:sz w:val="24"/>
                <w:szCs w:val="24"/>
                <w:lang w:eastAsia="lv-LV"/>
              </w:rPr>
              <w:t xml:space="preserve"> ir nepieciešams iegūt atbilstošu pieredzi.</w:t>
            </w:r>
            <w:r w:rsidR="00442195" w:rsidRPr="00DC08B8">
              <w:rPr>
                <w:rFonts w:eastAsia="Times New Roman"/>
                <w:iCs/>
                <w:sz w:val="24"/>
                <w:szCs w:val="24"/>
                <w:lang w:eastAsia="lv-LV"/>
              </w:rPr>
              <w:t xml:space="preserve"> Piemēram,</w:t>
            </w:r>
            <w:r w:rsidRPr="00DC08B8">
              <w:rPr>
                <w:rFonts w:eastAsia="Times New Roman"/>
                <w:iCs/>
                <w:sz w:val="24"/>
                <w:szCs w:val="24"/>
                <w:lang w:eastAsia="lv-LV"/>
              </w:rPr>
              <w:t xml:space="preserve"> </w:t>
            </w:r>
            <w:r w:rsidR="00442195" w:rsidRPr="00DC08B8">
              <w:rPr>
                <w:rFonts w:eastAsia="Times New Roman"/>
                <w:iCs/>
                <w:sz w:val="24"/>
                <w:szCs w:val="24"/>
                <w:lang w:eastAsia="lv-LV"/>
              </w:rPr>
              <w:t>p</w:t>
            </w:r>
            <w:r w:rsidR="00C056ED" w:rsidRPr="00DC08B8">
              <w:rPr>
                <w:rFonts w:eastAsia="Times New Roman"/>
                <w:iCs/>
                <w:sz w:val="24"/>
                <w:szCs w:val="24"/>
                <w:lang w:eastAsia="lv-LV"/>
              </w:rPr>
              <w:t xml:space="preserve">ar pieredzi apliecinošu dokumentu var tikt uzskatīts darba līgums par personas nodarbināšanu grāmatveža palīga vai grāmatveža amatā vismaz </w:t>
            </w:r>
            <w:r w:rsidR="006848AA" w:rsidRPr="00DC08B8">
              <w:rPr>
                <w:rFonts w:eastAsia="Times New Roman"/>
                <w:iCs/>
                <w:sz w:val="24"/>
                <w:szCs w:val="24"/>
                <w:lang w:eastAsia="lv-LV"/>
              </w:rPr>
              <w:t xml:space="preserve">trīs </w:t>
            </w:r>
            <w:r w:rsidR="00C056ED" w:rsidRPr="00DC08B8">
              <w:rPr>
                <w:rFonts w:eastAsia="Times New Roman"/>
                <w:iCs/>
                <w:sz w:val="24"/>
                <w:szCs w:val="24"/>
                <w:lang w:eastAsia="lv-LV"/>
              </w:rPr>
              <w:t>gadus</w:t>
            </w:r>
            <w:r w:rsidR="00C056ED" w:rsidRPr="0028468D">
              <w:rPr>
                <w:rFonts w:eastAsia="Times New Roman"/>
                <w:iCs/>
                <w:sz w:val="24"/>
                <w:szCs w:val="24"/>
                <w:lang w:eastAsia="lv-LV"/>
              </w:rPr>
              <w:t xml:space="preserve">. </w:t>
            </w:r>
            <w:r w:rsidR="00C056ED" w:rsidRPr="00DC08B8">
              <w:rPr>
                <w:rFonts w:eastAsia="Times New Roman"/>
                <w:iCs/>
                <w:sz w:val="24"/>
                <w:szCs w:val="24"/>
                <w:lang w:eastAsia="lv-LV"/>
              </w:rPr>
              <w:t xml:space="preserve">Savukārt, ja persona </w:t>
            </w:r>
            <w:r w:rsidR="008B78BC" w:rsidRPr="00DC08B8">
              <w:rPr>
                <w:rFonts w:eastAsia="Times New Roman"/>
                <w:iCs/>
                <w:sz w:val="24"/>
                <w:szCs w:val="24"/>
                <w:lang w:eastAsia="lv-LV"/>
              </w:rPr>
              <w:t xml:space="preserve">pati </w:t>
            </w:r>
            <w:r w:rsidR="00C056ED" w:rsidRPr="00DC08B8">
              <w:rPr>
                <w:rFonts w:eastAsia="Times New Roman"/>
                <w:iCs/>
                <w:sz w:val="24"/>
                <w:szCs w:val="24"/>
                <w:lang w:eastAsia="lv-LV"/>
              </w:rPr>
              <w:t>sniedz grāmatvedības ārpakalpojuma, tad par pieredzi apliecinošu dokumentu var tikt uzskatīts uzņēmuma līgums par grāmatvedības ārpakalpojuma nodrošināšanu</w:t>
            </w:r>
            <w:r w:rsidR="00C056ED" w:rsidRPr="0028468D">
              <w:rPr>
                <w:rFonts w:eastAsia="Times New Roman"/>
                <w:iCs/>
                <w:sz w:val="24"/>
                <w:szCs w:val="24"/>
                <w:lang w:eastAsia="lv-LV"/>
              </w:rPr>
              <w:t>. Tād</w:t>
            </w:r>
            <w:r w:rsidR="0058306D" w:rsidRPr="0028468D">
              <w:rPr>
                <w:rFonts w:eastAsia="Times New Roman"/>
                <w:iCs/>
                <w:sz w:val="24"/>
                <w:szCs w:val="24"/>
                <w:lang w:eastAsia="lv-LV"/>
              </w:rPr>
              <w:t>ē</w:t>
            </w:r>
            <w:r w:rsidR="00C056ED" w:rsidRPr="00DC08B8">
              <w:rPr>
                <w:rFonts w:eastAsia="Times New Roman"/>
                <w:iCs/>
                <w:sz w:val="24"/>
                <w:szCs w:val="24"/>
                <w:lang w:eastAsia="lv-LV"/>
              </w:rPr>
              <w:t>jādi tiks nodrošināta grāmatvedības ārpakalpojuma specifikai un NILLTFN riskam atbilstoša pakalpojumu kvalitāte un samērīgas, viegli izpildāmas prasības tām personām, kuras vēlēsies saņemt licenci grāmatvedības ārpakalpojuma sniegšanai.</w:t>
            </w:r>
            <w:r w:rsidR="002D277C" w:rsidRPr="00DC08B8">
              <w:rPr>
                <w:rFonts w:eastAsia="Times New Roman"/>
                <w:iCs/>
                <w:sz w:val="24"/>
                <w:szCs w:val="24"/>
                <w:lang w:eastAsia="lv-LV"/>
              </w:rPr>
              <w:t xml:space="preserve"> </w:t>
            </w:r>
          </w:p>
          <w:p w14:paraId="54DC58BE" w14:textId="77777777" w:rsidR="00FE47DB" w:rsidRPr="00DC08B8" w:rsidRDefault="000E56B2" w:rsidP="00FE47DB">
            <w:pPr>
              <w:widowControl/>
              <w:spacing w:before="100" w:beforeAutospacing="1" w:after="0" w:line="240" w:lineRule="auto"/>
              <w:ind w:firstLine="392"/>
              <w:jc w:val="both"/>
              <w:rPr>
                <w:rFonts w:eastAsia="Times New Roman"/>
                <w:iCs/>
                <w:sz w:val="24"/>
                <w:szCs w:val="24"/>
                <w:lang w:eastAsia="lv-LV"/>
              </w:rPr>
            </w:pPr>
            <w:r w:rsidRPr="00DC08B8">
              <w:rPr>
                <w:rFonts w:eastAsia="Times New Roman"/>
                <w:iCs/>
                <w:sz w:val="24"/>
                <w:szCs w:val="24"/>
                <w:lang w:eastAsia="lv-LV"/>
              </w:rPr>
              <w:t>Reģistrācijas un prakses uzraudzība pakļauta vispārīgajam Administratīvā procesa likuma regulējumam, kas garantē personas tiesību ievērošanu.</w:t>
            </w:r>
          </w:p>
          <w:p w14:paraId="2445574D" w14:textId="77777777" w:rsidR="00FE47DB" w:rsidRPr="00DC08B8" w:rsidRDefault="000E56B2" w:rsidP="00526AAF">
            <w:pPr>
              <w:widowControl/>
              <w:spacing w:after="0" w:line="240" w:lineRule="auto"/>
              <w:ind w:firstLine="391"/>
              <w:jc w:val="both"/>
              <w:rPr>
                <w:rFonts w:eastAsia="Times New Roman"/>
                <w:iCs/>
                <w:sz w:val="24"/>
                <w:szCs w:val="24"/>
                <w:lang w:eastAsia="lv-LV"/>
              </w:rPr>
            </w:pPr>
            <w:r w:rsidRPr="00DC08B8">
              <w:rPr>
                <w:rFonts w:eastAsia="Times New Roman"/>
                <w:iCs/>
                <w:sz w:val="24"/>
                <w:szCs w:val="24"/>
                <w:lang w:eastAsia="lv-LV"/>
              </w:rPr>
              <w:t xml:space="preserve">Lai grāmatvedības ārpakalpojumu ņēmējs varētu pārliecināties par pakalpojumu sniedzēja tiesībām sniegt grāmatvedības ārpakalpojumu, </w:t>
            </w:r>
            <w:r w:rsidR="00D4618D" w:rsidRPr="00DC08B8">
              <w:rPr>
                <w:rFonts w:eastAsia="Times New Roman"/>
                <w:iCs/>
                <w:sz w:val="24"/>
                <w:szCs w:val="24"/>
                <w:lang w:eastAsia="lv-LV"/>
              </w:rPr>
              <w:t>tiks nodrošināta</w:t>
            </w:r>
            <w:r w:rsidRPr="00DC08B8">
              <w:rPr>
                <w:rFonts w:eastAsia="Times New Roman"/>
                <w:iCs/>
                <w:sz w:val="24"/>
                <w:szCs w:val="24"/>
                <w:lang w:eastAsia="lv-LV"/>
              </w:rPr>
              <w:t xml:space="preserve"> </w:t>
            </w:r>
            <w:r w:rsidR="0029155E" w:rsidRPr="00DC08B8">
              <w:rPr>
                <w:rFonts w:eastAsia="Times New Roman"/>
                <w:iCs/>
                <w:sz w:val="24"/>
                <w:szCs w:val="24"/>
                <w:lang w:eastAsia="lv-LV"/>
              </w:rPr>
              <w:t>VID</w:t>
            </w:r>
            <w:r w:rsidR="00D4618D" w:rsidRPr="00DC08B8">
              <w:rPr>
                <w:rFonts w:eastAsia="Times New Roman"/>
                <w:iCs/>
                <w:sz w:val="24"/>
                <w:szCs w:val="24"/>
                <w:lang w:eastAsia="lv-LV"/>
              </w:rPr>
              <w:t xml:space="preserve"> iespēja</w:t>
            </w:r>
            <w:r w:rsidR="0029155E" w:rsidRPr="00DC08B8">
              <w:rPr>
                <w:rFonts w:eastAsia="Times New Roman"/>
                <w:iCs/>
                <w:sz w:val="24"/>
                <w:szCs w:val="24"/>
                <w:lang w:eastAsia="lv-LV"/>
              </w:rPr>
              <w:t xml:space="preserve"> </w:t>
            </w:r>
            <w:r w:rsidRPr="00DC08B8">
              <w:rPr>
                <w:rFonts w:eastAsia="Times New Roman"/>
                <w:iCs/>
                <w:sz w:val="24"/>
                <w:szCs w:val="24"/>
                <w:lang w:eastAsia="lv-LV"/>
              </w:rPr>
              <w:t>normatīvajos aktos noteiktā tīmekļvietnē uzturēt grāmatvedības ārpakalpojumu sniedzēju reģistru.</w:t>
            </w:r>
          </w:p>
          <w:p w14:paraId="1332FC7E" w14:textId="77777777" w:rsidR="00FE47DB" w:rsidRPr="0028468D" w:rsidRDefault="000E56B2" w:rsidP="00526AAF">
            <w:pPr>
              <w:widowControl/>
              <w:spacing w:after="0" w:line="240" w:lineRule="auto"/>
              <w:ind w:firstLine="391"/>
              <w:jc w:val="both"/>
              <w:rPr>
                <w:rFonts w:eastAsia="Times New Roman"/>
                <w:iCs/>
                <w:sz w:val="24"/>
                <w:szCs w:val="24"/>
                <w:lang w:eastAsia="lv-LV"/>
              </w:rPr>
            </w:pPr>
            <w:r w:rsidRPr="00DC08B8">
              <w:rPr>
                <w:rFonts w:eastAsia="Times New Roman"/>
                <w:iCs/>
                <w:sz w:val="24"/>
                <w:szCs w:val="24"/>
                <w:lang w:eastAsia="lv-LV"/>
              </w:rPr>
              <w:t>Reģistra publiska pieejamībā nodrošinātu galveno funkciju - informēšanu.</w:t>
            </w:r>
            <w:r w:rsidRPr="0028468D">
              <w:rPr>
                <w:rFonts w:eastAsia="Times New Roman"/>
                <w:iCs/>
                <w:sz w:val="24"/>
                <w:szCs w:val="24"/>
                <w:lang w:eastAsia="lv-LV"/>
              </w:rPr>
              <w:t xml:space="preserve"> </w:t>
            </w:r>
          </w:p>
          <w:p w14:paraId="61A75B93" w14:textId="77777777" w:rsidR="00C920AC" w:rsidRPr="005F5D0D" w:rsidRDefault="000E56B2" w:rsidP="00FE47DB">
            <w:pPr>
              <w:widowControl/>
              <w:spacing w:before="100" w:beforeAutospacing="1" w:after="0" w:line="240" w:lineRule="auto"/>
              <w:ind w:firstLine="392"/>
              <w:jc w:val="both"/>
              <w:rPr>
                <w:rFonts w:eastAsia="Times New Roman"/>
                <w:b/>
                <w:iCs/>
                <w:sz w:val="24"/>
                <w:szCs w:val="24"/>
                <w:lang w:eastAsia="lv-LV"/>
              </w:rPr>
            </w:pPr>
            <w:r w:rsidRPr="00DC08B8">
              <w:rPr>
                <w:rFonts w:eastAsia="Times New Roman"/>
                <w:b/>
                <w:iCs/>
                <w:sz w:val="24"/>
                <w:szCs w:val="24"/>
                <w:lang w:eastAsia="lv-LV"/>
              </w:rPr>
              <w:t>Pamattiesību ierobežojuma samērīgum</w:t>
            </w:r>
            <w:r w:rsidRPr="005F5D0D">
              <w:rPr>
                <w:rFonts w:eastAsia="Times New Roman"/>
                <w:b/>
                <w:iCs/>
                <w:sz w:val="24"/>
                <w:szCs w:val="24"/>
                <w:lang w:eastAsia="lv-LV"/>
              </w:rPr>
              <w:t>a pārbaude.</w:t>
            </w:r>
          </w:p>
          <w:p w14:paraId="6C70FF60" w14:textId="2A710999" w:rsidR="00C920AC" w:rsidRPr="005F5D0D" w:rsidRDefault="000E56B2" w:rsidP="00526AAF">
            <w:pPr>
              <w:widowControl/>
              <w:spacing w:after="0" w:line="240" w:lineRule="auto"/>
              <w:ind w:firstLine="391"/>
              <w:jc w:val="both"/>
              <w:rPr>
                <w:rFonts w:eastAsia="Times New Roman"/>
                <w:iCs/>
                <w:sz w:val="24"/>
                <w:szCs w:val="24"/>
                <w:lang w:eastAsia="lv-LV"/>
              </w:rPr>
            </w:pPr>
            <w:r w:rsidRPr="005F5D0D">
              <w:rPr>
                <w:rFonts w:eastAsia="Times New Roman"/>
                <w:iCs/>
                <w:sz w:val="24"/>
                <w:szCs w:val="24"/>
                <w:lang w:eastAsia="lv-LV"/>
              </w:rPr>
              <w:t>Personas ekonomiskās intereses, kas saistītas ar saimnieciskās darbības, tostarp komercdarbības veikšanu un peļņas gūšanu no tās, ir aizsargātas ar Latvijas Republikas Satversmes (turpmāk - Satversme) 105.panta nostiprinātajām tiesībām uz īpašumu. Iejaukšanās komercdarbības veikšanā ir uzskatāma par īpašuma tiesību ierobežojumu</w:t>
            </w:r>
            <w:r w:rsidRPr="005F5D0D">
              <w:rPr>
                <w:rFonts w:eastAsia="Times New Roman"/>
                <w:i/>
                <w:iCs/>
                <w:sz w:val="24"/>
                <w:szCs w:val="24"/>
                <w:vertAlign w:val="superscript"/>
                <w:lang w:eastAsia="lv-LV"/>
              </w:rPr>
              <w:footnoteReference w:id="18"/>
            </w:r>
            <w:r w:rsidRPr="005F5D0D">
              <w:rPr>
                <w:rFonts w:eastAsia="Times New Roman"/>
                <w:i/>
                <w:iCs/>
                <w:sz w:val="24"/>
                <w:szCs w:val="24"/>
                <w:lang w:eastAsia="lv-LV"/>
              </w:rPr>
              <w:t xml:space="preserve">. </w:t>
            </w:r>
            <w:r w:rsidRPr="005F5D0D">
              <w:rPr>
                <w:rFonts w:eastAsia="Times New Roman"/>
                <w:iCs/>
                <w:sz w:val="24"/>
                <w:szCs w:val="24"/>
                <w:lang w:eastAsia="lv-LV"/>
              </w:rPr>
              <w:t xml:space="preserve">Tā kā </w:t>
            </w:r>
            <w:r w:rsidR="0085332A" w:rsidRPr="005F5D0D">
              <w:rPr>
                <w:rFonts w:eastAsia="Times New Roman"/>
                <w:iCs/>
                <w:sz w:val="24"/>
                <w:szCs w:val="24"/>
                <w:lang w:eastAsia="lv-LV"/>
              </w:rPr>
              <w:t>L</w:t>
            </w:r>
            <w:r w:rsidRPr="005F5D0D">
              <w:rPr>
                <w:rFonts w:eastAsia="Times New Roman"/>
                <w:iCs/>
                <w:sz w:val="24"/>
                <w:szCs w:val="24"/>
                <w:lang w:eastAsia="lv-LV"/>
              </w:rPr>
              <w:t>ikumprojekts paredz ierobežojumu grāmatvedības ārpakalpojumus sniegt personām, kas nav Likumprojekta paredzētāja kartībā reģistrēti pakalpojumu sniedzēji, ar Likumprojektu tiek ierobežotas personas tiesības uz īpašumu, proti, tiesības brīvi veikt saimniecisko darbību kā grāmatvedības ārpakalpojumu sniedzējam un gūt no tā peļņu.</w:t>
            </w:r>
          </w:p>
          <w:p w14:paraId="4601F212" w14:textId="0FA3289A" w:rsidR="00C920AC" w:rsidRPr="005F5D0D" w:rsidRDefault="000E56B2" w:rsidP="00526AAF">
            <w:pPr>
              <w:widowControl/>
              <w:spacing w:after="0" w:line="240" w:lineRule="auto"/>
              <w:ind w:firstLine="391"/>
              <w:jc w:val="both"/>
              <w:rPr>
                <w:rFonts w:eastAsia="Times New Roman"/>
                <w:iCs/>
                <w:sz w:val="24"/>
                <w:szCs w:val="24"/>
                <w:lang w:eastAsia="lv-LV"/>
              </w:rPr>
            </w:pPr>
            <w:r w:rsidRPr="005F5D0D">
              <w:rPr>
                <w:rFonts w:eastAsia="Times New Roman"/>
                <w:iCs/>
                <w:sz w:val="24"/>
                <w:szCs w:val="24"/>
                <w:lang w:eastAsia="lv-LV"/>
              </w:rPr>
              <w:t>Tāpat tiek ierobežotas personas tiesības rīkoties ar savu uzņēmumu, proti, uzņēmuma grāmatvedības vešanu pēc t</w:t>
            </w:r>
            <w:r w:rsidR="005F1C68">
              <w:rPr>
                <w:rFonts w:eastAsia="Times New Roman"/>
                <w:iCs/>
                <w:sz w:val="24"/>
                <w:szCs w:val="24"/>
                <w:lang w:eastAsia="lv-LV"/>
              </w:rPr>
              <w:t>ā</w:t>
            </w:r>
            <w:r w:rsidRPr="005F5D0D">
              <w:rPr>
                <w:rFonts w:eastAsia="Times New Roman"/>
                <w:iCs/>
                <w:sz w:val="24"/>
                <w:szCs w:val="24"/>
                <w:lang w:eastAsia="lv-LV"/>
              </w:rPr>
              <w:t>s ieskatiem, uzticot grāmatvedības veikšanu tās brīvi izraudzītam pilnvarniekam. Likumprojekts paredz, ka persona šīm darbībām var pilnvarot tikai Likumprojektā noteiktajā kartībā reģistrētu</w:t>
            </w:r>
            <w:r w:rsidR="00C056ED" w:rsidRPr="005F5D0D">
              <w:rPr>
                <w:rFonts w:eastAsia="Times New Roman"/>
                <w:iCs/>
                <w:sz w:val="24"/>
                <w:szCs w:val="24"/>
                <w:lang w:eastAsia="lv-LV"/>
              </w:rPr>
              <w:t xml:space="preserve"> (licenci saņēmušu)</w:t>
            </w:r>
            <w:r w:rsidRPr="005F5D0D">
              <w:rPr>
                <w:rFonts w:eastAsia="Times New Roman"/>
                <w:iCs/>
                <w:sz w:val="24"/>
                <w:szCs w:val="24"/>
                <w:lang w:eastAsia="lv-LV"/>
              </w:rPr>
              <w:t xml:space="preserve"> pakalpojumu sniedzēju.</w:t>
            </w:r>
          </w:p>
          <w:p w14:paraId="53B08177" w14:textId="3A587983" w:rsidR="00C920AC" w:rsidRPr="005F5D0D" w:rsidRDefault="000E56B2" w:rsidP="00526AAF">
            <w:pPr>
              <w:widowControl/>
              <w:spacing w:after="0" w:line="240" w:lineRule="auto"/>
              <w:ind w:firstLine="391"/>
              <w:jc w:val="both"/>
              <w:rPr>
                <w:rFonts w:eastAsia="Times New Roman"/>
                <w:i/>
                <w:iCs/>
                <w:sz w:val="24"/>
                <w:szCs w:val="24"/>
                <w:lang w:eastAsia="lv-LV"/>
              </w:rPr>
            </w:pPr>
            <w:r w:rsidRPr="005F5D0D">
              <w:rPr>
                <w:rFonts w:eastAsia="Times New Roman"/>
                <w:iCs/>
                <w:sz w:val="24"/>
                <w:szCs w:val="24"/>
                <w:lang w:eastAsia="lv-LV"/>
              </w:rPr>
              <w:t>Šis ierobežojums ir aplūkojams ar</w:t>
            </w:r>
            <w:r w:rsidR="00EA52F3" w:rsidRPr="005F5D0D">
              <w:rPr>
                <w:rFonts w:eastAsia="Times New Roman"/>
                <w:iCs/>
                <w:sz w:val="24"/>
                <w:szCs w:val="24"/>
                <w:lang w:eastAsia="lv-LV"/>
              </w:rPr>
              <w:t>ī</w:t>
            </w:r>
            <w:r w:rsidRPr="005F5D0D">
              <w:rPr>
                <w:rFonts w:eastAsia="Times New Roman"/>
                <w:iCs/>
                <w:sz w:val="24"/>
                <w:szCs w:val="24"/>
                <w:lang w:eastAsia="lv-LV"/>
              </w:rPr>
              <w:t xml:space="preserve"> Satversmes 106.panta, proti, tiesību brīvi izvēlēties nodarbošanos, kontekstā. Šādam pamattiesību ierobežojumam jābūt īpaši pamatotam ar noteiktu leģitīmu mērķi, kā arī </w:t>
            </w:r>
            <w:r w:rsidRPr="005F5D0D">
              <w:rPr>
                <w:rFonts w:eastAsia="Times New Roman"/>
                <w:iCs/>
                <w:sz w:val="24"/>
                <w:szCs w:val="24"/>
                <w:lang w:eastAsia="lv-LV"/>
              </w:rPr>
              <w:lastRenderedPageBreak/>
              <w:t>jābūt samērīgam</w:t>
            </w:r>
            <w:r w:rsidRPr="005F5D0D">
              <w:rPr>
                <w:rFonts w:eastAsia="Times New Roman"/>
                <w:iCs/>
                <w:sz w:val="24"/>
                <w:szCs w:val="24"/>
                <w:vertAlign w:val="superscript"/>
                <w:lang w:eastAsia="lv-LV"/>
              </w:rPr>
              <w:footnoteReference w:id="19"/>
            </w:r>
            <w:r w:rsidRPr="005F5D0D">
              <w:rPr>
                <w:rFonts w:eastAsia="Times New Roman"/>
                <w:i/>
                <w:iCs/>
                <w:sz w:val="24"/>
                <w:szCs w:val="24"/>
                <w:lang w:eastAsia="lv-LV"/>
              </w:rPr>
              <w:t xml:space="preserve">. </w:t>
            </w:r>
            <w:r w:rsidRPr="005F5D0D">
              <w:rPr>
                <w:rFonts w:eastAsia="Times New Roman"/>
                <w:iCs/>
                <w:sz w:val="24"/>
                <w:szCs w:val="24"/>
                <w:lang w:eastAsia="lv-LV"/>
              </w:rPr>
              <w:t>Jāuzsver, ka valsts drīkst iejaukties, nosakot īpašas prasības kādas profesionālās darbības veikšanai, tikai tad, ja tas kalpo noteiktām sabiedrības interesēm, piemēram, citu cilvēku tiesību un sabiedrības drošības aizsardzībai</w:t>
            </w:r>
            <w:r w:rsidRPr="005F5D0D">
              <w:rPr>
                <w:rFonts w:eastAsia="Times New Roman"/>
                <w:iCs/>
                <w:sz w:val="24"/>
                <w:szCs w:val="24"/>
                <w:vertAlign w:val="superscript"/>
                <w:lang w:eastAsia="lv-LV"/>
              </w:rPr>
              <w:footnoteReference w:id="20"/>
            </w:r>
            <w:r w:rsidRPr="005F5D0D">
              <w:rPr>
                <w:rFonts w:eastAsia="Times New Roman"/>
                <w:i/>
                <w:iCs/>
                <w:sz w:val="24"/>
                <w:szCs w:val="24"/>
                <w:lang w:eastAsia="lv-LV"/>
              </w:rPr>
              <w:t>.</w:t>
            </w:r>
          </w:p>
          <w:p w14:paraId="3563A5C5" w14:textId="31D956E9" w:rsidR="00C920AC" w:rsidRPr="00DC08B8" w:rsidRDefault="00C056ED" w:rsidP="00526AAF">
            <w:pPr>
              <w:widowControl/>
              <w:spacing w:after="0" w:line="240" w:lineRule="auto"/>
              <w:ind w:firstLine="391"/>
              <w:jc w:val="both"/>
              <w:rPr>
                <w:rFonts w:eastAsia="Times New Roman"/>
                <w:iCs/>
                <w:sz w:val="24"/>
                <w:szCs w:val="24"/>
                <w:lang w:eastAsia="lv-LV"/>
              </w:rPr>
            </w:pPr>
            <w:r w:rsidRPr="005F5D0D">
              <w:rPr>
                <w:rFonts w:eastAsia="Times New Roman"/>
                <w:iCs/>
                <w:sz w:val="24"/>
                <w:szCs w:val="24"/>
                <w:lang w:eastAsia="lv-LV"/>
              </w:rPr>
              <w:t xml:space="preserve">Ņemot vērā, ka </w:t>
            </w:r>
            <w:r w:rsidR="00E860B7" w:rsidRPr="005F5D0D">
              <w:rPr>
                <w:rFonts w:eastAsia="Times New Roman"/>
                <w:iCs/>
                <w:sz w:val="24"/>
                <w:szCs w:val="24"/>
                <w:lang w:eastAsia="lv-LV"/>
              </w:rPr>
              <w:t xml:space="preserve">nekvalitatīvu grāmatvedības ārpakalpojumu sniegšana var radīt </w:t>
            </w:r>
            <w:r w:rsidR="00E860B7" w:rsidRPr="0028468D">
              <w:rPr>
                <w:rFonts w:eastAsia="Times New Roman"/>
                <w:iCs/>
                <w:sz w:val="24"/>
                <w:szCs w:val="24"/>
                <w:lang w:eastAsia="lv-LV"/>
              </w:rPr>
              <w:t xml:space="preserve">būtiskus zaudējumus trešajām pusēm, kā arī pakalpojumam piemītošo </w:t>
            </w:r>
            <w:r w:rsidR="00E860B7" w:rsidRPr="00DC08B8">
              <w:rPr>
                <w:rFonts w:eastAsia="Times New Roman"/>
                <w:iCs/>
                <w:sz w:val="24"/>
                <w:szCs w:val="24"/>
                <w:lang w:eastAsia="lv-LV"/>
              </w:rPr>
              <w:t>NILL risku</w:t>
            </w:r>
            <w:r w:rsidR="00E860B7" w:rsidRPr="0028468D">
              <w:rPr>
                <w:rFonts w:eastAsia="Times New Roman"/>
                <w:iCs/>
                <w:sz w:val="24"/>
                <w:szCs w:val="24"/>
                <w:lang w:eastAsia="lv-LV"/>
              </w:rPr>
              <w:t>, m</w:t>
            </w:r>
            <w:r w:rsidR="000E56B2" w:rsidRPr="0028468D">
              <w:rPr>
                <w:rFonts w:eastAsia="Times New Roman"/>
                <w:iCs/>
                <w:sz w:val="24"/>
                <w:szCs w:val="24"/>
                <w:lang w:eastAsia="lv-LV"/>
              </w:rPr>
              <w:t xml:space="preserve">inētais tiesību </w:t>
            </w:r>
            <w:r w:rsidR="000E56B2" w:rsidRPr="00DC08B8">
              <w:rPr>
                <w:rFonts w:eastAsia="Times New Roman"/>
                <w:iCs/>
                <w:sz w:val="24"/>
                <w:szCs w:val="24"/>
                <w:lang w:eastAsia="lv-LV"/>
              </w:rPr>
              <w:t>ierobežojums ir attaisnojams, jo tam ir leģitīms mērķis un tas ir samērīgs.</w:t>
            </w:r>
          </w:p>
          <w:p w14:paraId="4ADB53DA" w14:textId="4D89E935" w:rsidR="00C920AC" w:rsidRPr="005F5D0D" w:rsidRDefault="000E56B2" w:rsidP="00526AAF">
            <w:pPr>
              <w:widowControl/>
              <w:spacing w:after="0" w:line="240" w:lineRule="auto"/>
              <w:ind w:firstLine="391"/>
              <w:jc w:val="both"/>
              <w:rPr>
                <w:rFonts w:eastAsia="Times New Roman"/>
                <w:iCs/>
                <w:sz w:val="24"/>
                <w:szCs w:val="24"/>
                <w:lang w:eastAsia="lv-LV"/>
              </w:rPr>
            </w:pPr>
            <w:r w:rsidRPr="00DC08B8">
              <w:rPr>
                <w:rFonts w:eastAsia="Times New Roman"/>
                <w:iCs/>
                <w:sz w:val="24"/>
                <w:szCs w:val="24"/>
                <w:lang w:eastAsia="lv-LV"/>
              </w:rPr>
              <w:t xml:space="preserve">Konkrētajā jomā svarīgi ir tas, ka personas </w:t>
            </w:r>
            <w:r w:rsidR="0085332A" w:rsidRPr="00DC08B8">
              <w:rPr>
                <w:rFonts w:eastAsia="Times New Roman"/>
                <w:iCs/>
                <w:sz w:val="24"/>
                <w:szCs w:val="24"/>
                <w:lang w:eastAsia="lv-LV"/>
              </w:rPr>
              <w:t>spējas</w:t>
            </w:r>
            <w:r w:rsidRPr="00DC08B8">
              <w:rPr>
                <w:rFonts w:eastAsia="Times New Roman"/>
                <w:iCs/>
                <w:sz w:val="24"/>
                <w:szCs w:val="24"/>
                <w:lang w:eastAsia="lv-LV"/>
              </w:rPr>
              <w:t xml:space="preserve"> sniegt grāmatvedības ārpakalpojumus tiek</w:t>
            </w:r>
            <w:r w:rsidRPr="005F5D0D">
              <w:rPr>
                <w:rFonts w:eastAsia="Times New Roman"/>
                <w:iCs/>
                <w:sz w:val="24"/>
                <w:szCs w:val="24"/>
                <w:lang w:eastAsia="lv-LV"/>
              </w:rPr>
              <w:t xml:space="preserve"> apliecināta</w:t>
            </w:r>
            <w:r w:rsidR="0085332A" w:rsidRPr="005F5D0D">
              <w:rPr>
                <w:rFonts w:eastAsia="Times New Roman"/>
                <w:iCs/>
                <w:sz w:val="24"/>
                <w:szCs w:val="24"/>
                <w:lang w:eastAsia="lv-LV"/>
              </w:rPr>
              <w:t>s</w:t>
            </w:r>
            <w:r w:rsidRPr="005F5D0D">
              <w:rPr>
                <w:rFonts w:eastAsia="Times New Roman"/>
                <w:iCs/>
                <w:sz w:val="24"/>
                <w:szCs w:val="24"/>
                <w:lang w:eastAsia="lv-LV"/>
              </w:rPr>
              <w:t xml:space="preserve"> noteiktā veidā, un sabiedrība var būt pārliecināta, ka grāmatvedības ārpakalpojumu sniedzējs spēs pienācīgā kvalitātē izpildīt tam uzticētos pienākumus, kā arī novērsīs noziedzīgi iegūtu līdzekļu legalizācijas un terorisma finansēšanas riskus. Tātad Likumprojektam ir leģitīms mērķis - citu cilvēku tiesību un sabiedrības drošības aizsardzība.</w:t>
            </w:r>
          </w:p>
          <w:p w14:paraId="5B2CB181" w14:textId="77777777" w:rsidR="00C920AC" w:rsidRPr="005F5D0D" w:rsidRDefault="000E56B2" w:rsidP="00526AAF">
            <w:pPr>
              <w:widowControl/>
              <w:spacing w:after="0" w:line="240" w:lineRule="auto"/>
              <w:ind w:firstLine="391"/>
              <w:jc w:val="both"/>
              <w:rPr>
                <w:rFonts w:eastAsia="Times New Roman"/>
                <w:iCs/>
                <w:sz w:val="24"/>
                <w:szCs w:val="24"/>
                <w:lang w:eastAsia="lv-LV"/>
              </w:rPr>
            </w:pPr>
            <w:r w:rsidRPr="005F5D0D">
              <w:rPr>
                <w:rFonts w:eastAsia="Times New Roman"/>
                <w:iCs/>
                <w:sz w:val="24"/>
                <w:szCs w:val="24"/>
                <w:lang w:eastAsia="lv-LV"/>
              </w:rPr>
              <w:t>Likumprojektā iekļautās prasības grāmatvedības ārpakalpojumu sniedzējiem un to uzraudzība mazinās negodīgus darījumus un uzlabos to caurskatāmību, mazinās ēnu ekonomiku un uzlabos nodokļu iekasēšanu, veicinās uzticēšanos valsts pārvaldei un tautsaimniecībai, kā arī paaugstinās sniegtā pakalpojuma kvalitātes standartu.</w:t>
            </w:r>
          </w:p>
          <w:p w14:paraId="5CA27D80" w14:textId="77777777" w:rsidR="00C920AC" w:rsidRPr="005F5D0D" w:rsidRDefault="000E56B2" w:rsidP="00526AAF">
            <w:pPr>
              <w:widowControl/>
              <w:spacing w:after="0" w:line="240" w:lineRule="auto"/>
              <w:ind w:firstLine="391"/>
              <w:jc w:val="both"/>
              <w:rPr>
                <w:rFonts w:eastAsia="Times New Roman"/>
                <w:iCs/>
                <w:sz w:val="24"/>
                <w:szCs w:val="24"/>
                <w:lang w:eastAsia="lv-LV"/>
              </w:rPr>
            </w:pPr>
            <w:r w:rsidRPr="005F5D0D">
              <w:rPr>
                <w:rFonts w:eastAsia="Times New Roman"/>
                <w:iCs/>
                <w:sz w:val="24"/>
                <w:szCs w:val="24"/>
                <w:lang w:eastAsia="lv-LV"/>
              </w:rPr>
              <w:t>Samērīguma princips noteic, ka gadījumos, kad publiskā vara ierobežo personas tiesības un likumiskās intereses, ir jāievēro saprātīgs līdzsvars starp personas un valsts vai sabiedrības interesēm. Lai secinātu, vai samērīguma princips ir ievērots, jānoskaidro, vai likumdevēja izraudzītie līdzekļi ir piemēroti leģitīma mērķa sasniegšanai, vai nav saudzējošāku līdzekļu šā mērķa sasniegšanai un vai likumdevējā rīcība ir atbilstoša.</w:t>
            </w:r>
          </w:p>
          <w:p w14:paraId="60B576F5" w14:textId="77777777" w:rsidR="00C920AC" w:rsidRPr="005F5D0D" w:rsidRDefault="000E56B2" w:rsidP="00C920AC">
            <w:pPr>
              <w:widowControl/>
              <w:spacing w:before="100" w:beforeAutospacing="1" w:after="0" w:line="240" w:lineRule="auto"/>
              <w:ind w:firstLine="392"/>
              <w:jc w:val="both"/>
              <w:rPr>
                <w:rFonts w:eastAsia="Times New Roman"/>
                <w:b/>
                <w:iCs/>
                <w:sz w:val="24"/>
                <w:szCs w:val="24"/>
                <w:lang w:eastAsia="lv-LV"/>
              </w:rPr>
            </w:pPr>
            <w:r w:rsidRPr="005F5D0D">
              <w:rPr>
                <w:rFonts w:eastAsia="Times New Roman"/>
                <w:b/>
                <w:iCs/>
                <w:sz w:val="24"/>
                <w:szCs w:val="24"/>
                <w:lang w:eastAsia="lv-LV"/>
              </w:rPr>
              <w:t>Izraudzītie līdzekļi ir piemēroti leģitīma mērķa sasniegšanai</w:t>
            </w:r>
          </w:p>
          <w:p w14:paraId="2CA17E94" w14:textId="1E6E4FE2" w:rsidR="00C920AC" w:rsidRPr="005F5D0D" w:rsidRDefault="000E56B2" w:rsidP="00526AAF">
            <w:pPr>
              <w:widowControl/>
              <w:spacing w:after="0" w:line="240" w:lineRule="auto"/>
              <w:ind w:firstLine="391"/>
              <w:jc w:val="both"/>
              <w:rPr>
                <w:rFonts w:eastAsia="Times New Roman"/>
                <w:iCs/>
                <w:sz w:val="24"/>
                <w:szCs w:val="24"/>
                <w:lang w:eastAsia="lv-LV"/>
              </w:rPr>
            </w:pPr>
            <w:r w:rsidRPr="005F5D0D">
              <w:rPr>
                <w:rFonts w:eastAsia="Times New Roman"/>
                <w:iCs/>
                <w:sz w:val="24"/>
                <w:szCs w:val="24"/>
                <w:lang w:eastAsia="lv-LV"/>
              </w:rPr>
              <w:t xml:space="preserve">Likumprojektā paredzētās prasības grāmatvedības ārpakalpojumu sniedzējiem reģistrēt savu saimniecisko darbību, kā arī </w:t>
            </w:r>
            <w:r w:rsidR="005F1C68">
              <w:rPr>
                <w:rFonts w:eastAsia="Times New Roman"/>
                <w:iCs/>
                <w:sz w:val="24"/>
                <w:szCs w:val="24"/>
                <w:lang w:eastAsia="lv-LV"/>
              </w:rPr>
              <w:t>saņemt licenci</w:t>
            </w:r>
            <w:r w:rsidRPr="005F5D0D">
              <w:rPr>
                <w:rFonts w:eastAsia="Times New Roman"/>
                <w:iCs/>
                <w:sz w:val="24"/>
                <w:szCs w:val="24"/>
                <w:lang w:eastAsia="lv-LV"/>
              </w:rPr>
              <w:t>, tiešā veidā sekmē Likumprojektā izvirzītā leģitīmā mērķa sasniegšanu noziedzīgi iegūtu līdzekļu un terorisma finansēšanas risku apkarošanas aspektā.</w:t>
            </w:r>
          </w:p>
          <w:p w14:paraId="4A81CAFB" w14:textId="79E8045B" w:rsidR="00C920AC" w:rsidRPr="005F5D0D" w:rsidRDefault="000E56B2" w:rsidP="00526AAF">
            <w:pPr>
              <w:widowControl/>
              <w:spacing w:after="0" w:line="240" w:lineRule="auto"/>
              <w:ind w:firstLine="391"/>
              <w:jc w:val="both"/>
              <w:rPr>
                <w:rFonts w:eastAsia="Times New Roman"/>
                <w:iCs/>
                <w:sz w:val="24"/>
                <w:szCs w:val="24"/>
                <w:lang w:eastAsia="lv-LV"/>
              </w:rPr>
            </w:pPr>
            <w:r w:rsidRPr="005F5D0D">
              <w:rPr>
                <w:rFonts w:eastAsia="Times New Roman"/>
                <w:iCs/>
                <w:sz w:val="24"/>
                <w:szCs w:val="24"/>
                <w:lang w:eastAsia="lv-LV"/>
              </w:rPr>
              <w:t xml:space="preserve">Šie nosacījumi ir </w:t>
            </w:r>
            <w:r w:rsidRPr="0028468D">
              <w:rPr>
                <w:rFonts w:eastAsia="Times New Roman"/>
                <w:iCs/>
                <w:sz w:val="24"/>
                <w:szCs w:val="24"/>
                <w:lang w:eastAsia="lv-LV"/>
              </w:rPr>
              <w:t xml:space="preserve">saderīgi ar </w:t>
            </w:r>
            <w:r w:rsidR="00AF343C" w:rsidRPr="00DC08B8">
              <w:rPr>
                <w:rFonts w:eastAsia="Times New Roman"/>
                <w:iCs/>
                <w:sz w:val="24"/>
                <w:szCs w:val="24"/>
                <w:lang w:eastAsia="lv-LV"/>
              </w:rPr>
              <w:t>NILLTFN</w:t>
            </w:r>
            <w:r w:rsidRPr="0028468D">
              <w:rPr>
                <w:rFonts w:eastAsia="Times New Roman"/>
                <w:iCs/>
                <w:sz w:val="24"/>
                <w:szCs w:val="24"/>
                <w:lang w:eastAsia="lv-LV"/>
              </w:rPr>
              <w:t xml:space="preserve"> likuma prasībām, kā arī ļauj efektīvi realizēt starptautiskās rekomendācijās</w:t>
            </w:r>
            <w:r w:rsidRPr="005F5D0D">
              <w:rPr>
                <w:rFonts w:eastAsia="Times New Roman"/>
                <w:iCs/>
                <w:sz w:val="24"/>
                <w:szCs w:val="24"/>
                <w:lang w:eastAsia="lv-LV"/>
              </w:rPr>
              <w:t xml:space="preserve"> ietvertos principus (FATF 28.rekomendācija).</w:t>
            </w:r>
          </w:p>
          <w:p w14:paraId="7054E981" w14:textId="77777777" w:rsidR="00C920AC" w:rsidRPr="005F5D0D" w:rsidRDefault="00C920AC" w:rsidP="00526AAF">
            <w:pPr>
              <w:widowControl/>
              <w:spacing w:after="0" w:line="240" w:lineRule="auto"/>
              <w:ind w:firstLine="392"/>
              <w:jc w:val="both"/>
              <w:rPr>
                <w:rFonts w:eastAsia="Times New Roman"/>
                <w:iCs/>
                <w:sz w:val="24"/>
                <w:szCs w:val="24"/>
                <w:lang w:eastAsia="lv-LV"/>
              </w:rPr>
            </w:pPr>
          </w:p>
          <w:p w14:paraId="048EF067" w14:textId="2947A47B" w:rsidR="00C920AC" w:rsidRPr="005F5D0D" w:rsidRDefault="000E56B2" w:rsidP="00526AAF">
            <w:pPr>
              <w:widowControl/>
              <w:spacing w:after="0" w:line="240" w:lineRule="auto"/>
              <w:ind w:firstLine="392"/>
              <w:jc w:val="both"/>
              <w:rPr>
                <w:rFonts w:eastAsia="Times New Roman"/>
                <w:iCs/>
                <w:sz w:val="24"/>
                <w:szCs w:val="24"/>
                <w:lang w:eastAsia="lv-LV"/>
              </w:rPr>
            </w:pPr>
            <w:r w:rsidRPr="005F5D0D">
              <w:rPr>
                <w:rFonts w:eastAsia="Times New Roman"/>
                <w:iCs/>
                <w:noProof/>
                <w:sz w:val="24"/>
                <w:szCs w:val="24"/>
                <w:lang w:eastAsia="lv-LV"/>
              </w:rPr>
              <mc:AlternateContent>
                <mc:Choice Requires="wps">
                  <w:drawing>
                    <wp:anchor distT="0" distB="0" distL="114300" distR="114300" simplePos="0" relativeHeight="251664384" behindDoc="0" locked="0" layoutInCell="1" allowOverlap="1" wp14:anchorId="6697E4E4" wp14:editId="6C34E7F3">
                      <wp:simplePos x="0" y="0"/>
                      <wp:positionH relativeFrom="page">
                        <wp:posOffset>1270</wp:posOffset>
                      </wp:positionH>
                      <wp:positionV relativeFrom="paragraph">
                        <wp:posOffset>706755</wp:posOffset>
                      </wp:positionV>
                      <wp:extent cx="0" cy="0"/>
                      <wp:effectExtent l="10795" t="605790" r="8255" b="61150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5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5664FFC5">
                    <v:line w14:anchorId="5CCA3296" id="Line 5"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pt,55.65pt" to=".1pt,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" strokeweight=".08481mm">
                      <w10:wrap anchorx="page"/>
                    </v:line>
                  </w:pict>
                </mc:Fallback>
              </mc:AlternateContent>
            </w:r>
            <w:r w:rsidRPr="005F5D0D">
              <w:rPr>
                <w:rFonts w:eastAsia="Times New Roman"/>
                <w:iCs/>
                <w:sz w:val="24"/>
                <w:szCs w:val="24"/>
                <w:lang w:eastAsia="lv-LV"/>
              </w:rPr>
              <w:t>Savukārt prasības ievērot konkrētu līguma formu</w:t>
            </w:r>
            <w:r w:rsidR="00D058E6">
              <w:rPr>
                <w:rFonts w:eastAsia="Times New Roman"/>
                <w:iCs/>
                <w:sz w:val="24"/>
                <w:szCs w:val="24"/>
                <w:lang w:eastAsia="lv-LV"/>
              </w:rPr>
              <w:t xml:space="preserve">, </w:t>
            </w:r>
            <w:r w:rsidRPr="005F5D0D">
              <w:rPr>
                <w:rFonts w:eastAsia="Times New Roman"/>
                <w:iCs/>
                <w:sz w:val="24"/>
                <w:szCs w:val="24"/>
                <w:lang w:eastAsia="lv-LV"/>
              </w:rPr>
              <w:t xml:space="preserve">veikt atbildīgu darbību ar klienta mantu un tā sniegto informāciju, kā arī celt savu profesionālo kvalifikāciju ļauj sasniegt mērķi </w:t>
            </w:r>
            <w:r w:rsidR="00D058E6">
              <w:rPr>
                <w:rFonts w:eastAsia="Times New Roman"/>
                <w:iCs/>
                <w:sz w:val="24"/>
                <w:szCs w:val="24"/>
                <w:lang w:eastAsia="lv-LV"/>
              </w:rPr>
              <w:t>–</w:t>
            </w:r>
            <w:r w:rsidRPr="005F5D0D">
              <w:rPr>
                <w:rFonts w:eastAsia="Times New Roman"/>
                <w:iCs/>
                <w:sz w:val="24"/>
                <w:szCs w:val="24"/>
                <w:lang w:eastAsia="lv-LV"/>
              </w:rPr>
              <w:t xml:space="preserve"> nodrošināt kvalitatīvus, uzticamus un caurskatāmus grāmatvedības ārpakalpojumus, kas ir visas sabiedrības interesēs. </w:t>
            </w:r>
          </w:p>
          <w:p w14:paraId="7AA960AD" w14:textId="0F6ADD2C" w:rsidR="00C920AC" w:rsidRPr="005F5D0D" w:rsidRDefault="000E56B2" w:rsidP="00526AAF">
            <w:pPr>
              <w:widowControl/>
              <w:spacing w:after="0" w:line="240" w:lineRule="auto"/>
              <w:ind w:firstLine="392"/>
              <w:jc w:val="both"/>
              <w:rPr>
                <w:rFonts w:eastAsia="Times New Roman"/>
                <w:iCs/>
                <w:sz w:val="24"/>
                <w:szCs w:val="24"/>
                <w:lang w:eastAsia="lv-LV"/>
              </w:rPr>
            </w:pPr>
            <w:r w:rsidRPr="005F5D0D">
              <w:rPr>
                <w:rFonts w:eastAsia="Times New Roman"/>
                <w:iCs/>
                <w:sz w:val="24"/>
                <w:szCs w:val="24"/>
                <w:lang w:eastAsia="lv-LV"/>
              </w:rPr>
              <w:t xml:space="preserve">Nav saudzējošāku līdzekļu, kuri sasniegtu mērķi tādā pašā kvalitātē. </w:t>
            </w:r>
            <w:r w:rsidR="0085332A" w:rsidRPr="005F5D0D">
              <w:rPr>
                <w:rFonts w:eastAsia="Times New Roman"/>
                <w:iCs/>
                <w:sz w:val="24"/>
                <w:szCs w:val="24"/>
                <w:lang w:eastAsia="lv-LV"/>
              </w:rPr>
              <w:t xml:space="preserve">Atsevišķās </w:t>
            </w:r>
            <w:r w:rsidRPr="005F5D0D">
              <w:rPr>
                <w:rFonts w:eastAsia="Times New Roman"/>
                <w:iCs/>
                <w:sz w:val="24"/>
                <w:szCs w:val="24"/>
                <w:lang w:eastAsia="lv-LV"/>
              </w:rPr>
              <w:t>Eiropas Savienības dalībvalstīs ir noteiktas daudz stingrākas prasības šāda veida pakalpojumu sniegšanai. Visbiežāk sastopamie reglamentācijas modeļi ir šādi:</w:t>
            </w:r>
          </w:p>
          <w:p w14:paraId="4EEED511" w14:textId="77777777" w:rsidR="00C920AC" w:rsidRPr="005F5D0D" w:rsidRDefault="000E56B2" w:rsidP="00526AAF">
            <w:pPr>
              <w:widowControl/>
              <w:spacing w:after="0" w:line="240" w:lineRule="auto"/>
              <w:ind w:firstLine="391"/>
              <w:jc w:val="both"/>
              <w:rPr>
                <w:rFonts w:eastAsia="Times New Roman"/>
                <w:iCs/>
                <w:sz w:val="24"/>
                <w:szCs w:val="24"/>
                <w:lang w:eastAsia="lv-LV"/>
              </w:rPr>
            </w:pPr>
            <w:r w:rsidRPr="005F5D0D">
              <w:rPr>
                <w:rFonts w:eastAsia="Times New Roman"/>
                <w:iCs/>
                <w:sz w:val="24"/>
                <w:szCs w:val="24"/>
                <w:lang w:eastAsia="lv-LV"/>
              </w:rPr>
              <w:lastRenderedPageBreak/>
              <w:t>"darbības modelis" - ar profesiju saistītas darbības drīkst veikt tikai tas personas, kas ieguvušas profesionālo kvalifikāciju;</w:t>
            </w:r>
          </w:p>
          <w:p w14:paraId="3B70CFB5" w14:textId="77777777" w:rsidR="00C920AC" w:rsidRPr="005F5D0D" w:rsidRDefault="000E56B2" w:rsidP="00526AAF">
            <w:pPr>
              <w:widowControl/>
              <w:spacing w:after="0" w:line="240" w:lineRule="auto"/>
              <w:ind w:firstLine="391"/>
              <w:jc w:val="both"/>
              <w:rPr>
                <w:rFonts w:eastAsia="Times New Roman"/>
                <w:iCs/>
                <w:sz w:val="24"/>
                <w:szCs w:val="24"/>
                <w:lang w:eastAsia="lv-LV"/>
              </w:rPr>
            </w:pPr>
            <w:r w:rsidRPr="005F5D0D">
              <w:rPr>
                <w:rFonts w:eastAsia="Times New Roman"/>
                <w:iCs/>
                <w:sz w:val="24"/>
                <w:szCs w:val="24"/>
                <w:lang w:eastAsia="lv-LV"/>
              </w:rPr>
              <w:t>"nosaukuma modelis" - lai persona uz savu darbību varētu attiecināt profesijas nosaukumu, tai ir jābūt ieguvušai profesionālo kvalifikāciju, bet pašu ar profesiju saistīto darbību bez nosaukuma izmantošanas var veikt jebkurš;</w:t>
            </w:r>
          </w:p>
          <w:p w14:paraId="71DD271F" w14:textId="77777777" w:rsidR="00C920AC" w:rsidRPr="005F5D0D" w:rsidRDefault="000E56B2" w:rsidP="00526AAF">
            <w:pPr>
              <w:widowControl/>
              <w:spacing w:after="0" w:line="240" w:lineRule="auto"/>
              <w:ind w:firstLine="391"/>
              <w:jc w:val="both"/>
              <w:rPr>
                <w:rFonts w:eastAsia="Times New Roman"/>
                <w:iCs/>
                <w:sz w:val="24"/>
                <w:szCs w:val="24"/>
                <w:lang w:eastAsia="lv-LV"/>
              </w:rPr>
            </w:pPr>
            <w:r w:rsidRPr="005F5D0D">
              <w:rPr>
                <w:rFonts w:eastAsia="Times New Roman"/>
                <w:iCs/>
                <w:sz w:val="24"/>
                <w:szCs w:val="24"/>
                <w:lang w:eastAsia="lv-LV"/>
              </w:rPr>
              <w:t>"darbības un nosaukuma modelis" - šis ir visstingrākais modelis, kas prasa profesionālo kvalifikāciju gan darbību veikšanai, gan profesijas nosaukuma lietošanai.</w:t>
            </w:r>
            <w:r w:rsidRPr="005F5D0D">
              <w:rPr>
                <w:rFonts w:eastAsia="Times New Roman"/>
                <w:iCs/>
                <w:sz w:val="24"/>
                <w:szCs w:val="24"/>
                <w:vertAlign w:val="superscript"/>
                <w:lang w:eastAsia="lv-LV"/>
              </w:rPr>
              <w:footnoteReference w:id="21"/>
            </w:r>
            <w:r w:rsidRPr="005F5D0D">
              <w:rPr>
                <w:rFonts w:eastAsia="Times New Roman"/>
                <w:iCs/>
                <w:sz w:val="24"/>
                <w:szCs w:val="24"/>
                <w:lang w:eastAsia="lv-LV"/>
              </w:rPr>
              <w:t xml:space="preserve"> </w:t>
            </w:r>
          </w:p>
          <w:p w14:paraId="51BC9646" w14:textId="77777777" w:rsidR="00C920AC" w:rsidRPr="005F5D0D" w:rsidRDefault="000E56B2" w:rsidP="00526AAF">
            <w:pPr>
              <w:widowControl/>
              <w:spacing w:after="0" w:line="240" w:lineRule="auto"/>
              <w:ind w:firstLine="391"/>
              <w:jc w:val="both"/>
              <w:rPr>
                <w:rFonts w:eastAsia="Times New Roman"/>
                <w:i/>
                <w:iCs/>
                <w:sz w:val="24"/>
                <w:szCs w:val="24"/>
                <w:lang w:eastAsia="lv-LV"/>
              </w:rPr>
            </w:pPr>
            <w:r w:rsidRPr="005F5D0D">
              <w:rPr>
                <w:rFonts w:eastAsia="Times New Roman"/>
                <w:iCs/>
                <w:sz w:val="24"/>
                <w:szCs w:val="24"/>
                <w:lang w:eastAsia="lv-LV"/>
              </w:rPr>
              <w:t>Visbeidzot likumprojekta paredzētie līdzekļi mērķa sasniegšanai ir atbilstoši. Satversmes 106.pants neliedz valstij noteikt prasības, saskaņā ar kurām personai, izvēloties noteiktu nodarbošanos, ir jāapliecina savas spējas un kvalifikācija. Ir pieļaujams pat, piemēram, pieprasīt nokārtot valsts noteiktus pārbaudījumus vai iegūt izglītību valsts atzītā mācību procesā.</w:t>
            </w:r>
            <w:r w:rsidRPr="005F5D0D">
              <w:rPr>
                <w:rFonts w:eastAsia="Times New Roman"/>
                <w:iCs/>
                <w:sz w:val="24"/>
                <w:szCs w:val="24"/>
                <w:vertAlign w:val="superscript"/>
                <w:lang w:eastAsia="lv-LV"/>
              </w:rPr>
              <w:footnoteReference w:id="22"/>
            </w:r>
          </w:p>
          <w:p w14:paraId="4ADDDBA3" w14:textId="3A7A9353" w:rsidR="00C920AC" w:rsidRPr="005F5D0D" w:rsidRDefault="000E56B2" w:rsidP="00526AAF">
            <w:pPr>
              <w:widowControl/>
              <w:spacing w:after="0" w:line="240" w:lineRule="auto"/>
              <w:ind w:firstLine="391"/>
              <w:jc w:val="both"/>
              <w:rPr>
                <w:rFonts w:eastAsia="Times New Roman"/>
                <w:iCs/>
                <w:sz w:val="24"/>
                <w:szCs w:val="24"/>
                <w:lang w:eastAsia="lv-LV"/>
              </w:rPr>
            </w:pPr>
            <w:r w:rsidRPr="005F5D0D">
              <w:rPr>
                <w:rFonts w:eastAsia="Times New Roman"/>
                <w:iCs/>
                <w:sz w:val="24"/>
                <w:szCs w:val="24"/>
                <w:lang w:eastAsia="lv-LV"/>
              </w:rPr>
              <w:t>Likumprojektā ir iekļautas tikai tās prasības, bez kurām nebūtu iespējams efektīvi novērst nelegāli iegūtu līdzekļu legalizācijas un terorisma apkarošanas riskus, kā arī nodrošināt kvalitatīvu pakalpojuma saņemšanu klientiem. Piemēram, Eiropas Cilvēktiesību tiesa neatzina pārkāpumu gadījuma, kad sertificētam grāmatvedim netika piešķirta licence, argumentējot, ka pastāv vispārēja sabiedrības interese, lai ekonomiskajā aktivitāte pastāvētu publiskas garantijas grāmatveža darba uzticamībai, un bija samērīgi liegt piekļuvi nekvalificētiem grāmatvežiem šai profesijai.</w:t>
            </w:r>
            <w:r w:rsidRPr="005F5D0D">
              <w:rPr>
                <w:rFonts w:eastAsia="Times New Roman"/>
                <w:iCs/>
                <w:sz w:val="24"/>
                <w:szCs w:val="24"/>
                <w:vertAlign w:val="superscript"/>
                <w:lang w:eastAsia="lv-LV"/>
              </w:rPr>
              <w:footnoteReference w:id="23"/>
            </w:r>
            <w:r w:rsidRPr="005F5D0D">
              <w:rPr>
                <w:rFonts w:eastAsia="Times New Roman"/>
                <w:iCs/>
                <w:sz w:val="24"/>
                <w:szCs w:val="24"/>
                <w:lang w:eastAsia="lv-LV"/>
              </w:rPr>
              <w:t xml:space="preserve"> Konkrētais likumprojekts neprasa personu sertificēšanu vai citu pārmērīgu prasību ievērošanu, bet ir vērsts uz vispārējas sabiedrības intereses ievērošanu, tādēļ tas ir uzskatāms par atbilstošu.</w:t>
            </w:r>
          </w:p>
          <w:p w14:paraId="795119C1" w14:textId="067AADF5" w:rsidR="000D2356" w:rsidRPr="005F5D0D" w:rsidRDefault="000E56B2" w:rsidP="00D97FBA">
            <w:pPr>
              <w:widowControl/>
              <w:spacing w:after="0" w:line="240" w:lineRule="auto"/>
              <w:ind w:firstLine="391"/>
              <w:jc w:val="both"/>
              <w:rPr>
                <w:rFonts w:eastAsia="Times New Roman"/>
                <w:sz w:val="24"/>
                <w:szCs w:val="24"/>
                <w:lang w:eastAsia="lv-LV"/>
              </w:rPr>
            </w:pPr>
            <w:r w:rsidRPr="005F5D0D">
              <w:rPr>
                <w:rFonts w:eastAsia="Times New Roman"/>
                <w:iCs/>
                <w:sz w:val="24"/>
                <w:szCs w:val="24"/>
                <w:lang w:eastAsia="lv-LV"/>
              </w:rPr>
              <w:t>Tād</w:t>
            </w:r>
            <w:r w:rsidR="00AF343C">
              <w:rPr>
                <w:rFonts w:eastAsia="Times New Roman"/>
                <w:iCs/>
                <w:sz w:val="24"/>
                <w:szCs w:val="24"/>
                <w:lang w:eastAsia="lv-LV"/>
              </w:rPr>
              <w:t>ē</w:t>
            </w:r>
            <w:r w:rsidRPr="005F5D0D">
              <w:rPr>
                <w:rFonts w:eastAsia="Times New Roman"/>
                <w:iCs/>
                <w:sz w:val="24"/>
                <w:szCs w:val="24"/>
                <w:lang w:eastAsia="lv-LV"/>
              </w:rPr>
              <w:t>jādi jāsecina, ka izraudzītie līdzekļi ir piemēroti leģitīma mērķa sasniegšanai, nav saudzējošāku līdzekļu tā sasniegšanai un likumdevējā rīcība ir atbilstoša. Līdz ar to šāds tiesiskais regulējums neuzliek nesamērīgu slogu nevienai personai un tād</w:t>
            </w:r>
            <w:r w:rsidR="00231D32">
              <w:rPr>
                <w:rFonts w:eastAsia="Times New Roman"/>
                <w:iCs/>
                <w:sz w:val="24"/>
                <w:szCs w:val="24"/>
                <w:lang w:eastAsia="lv-LV"/>
              </w:rPr>
              <w:t>ē</w:t>
            </w:r>
            <w:r w:rsidRPr="005F5D0D">
              <w:rPr>
                <w:rFonts w:eastAsia="Times New Roman"/>
                <w:iCs/>
                <w:sz w:val="24"/>
                <w:szCs w:val="24"/>
                <w:lang w:eastAsia="lv-LV"/>
              </w:rPr>
              <w:t>jādi atbilst samērīguma principam.</w:t>
            </w:r>
          </w:p>
        </w:tc>
      </w:tr>
      <w:tr w:rsidR="005F5D0D" w:rsidRPr="005F5D0D" w14:paraId="11F3B1BC" w14:textId="77777777" w:rsidTr="004F4A43">
        <w:trPr>
          <w:tblCellSpacing w:w="15" w:type="dxa"/>
        </w:trPr>
        <w:tc>
          <w:tcPr>
            <w:tcW w:w="455" w:type="dxa"/>
            <w:tcBorders>
              <w:top w:val="outset" w:sz="6" w:space="0" w:color="auto"/>
              <w:left w:val="outset" w:sz="6" w:space="0" w:color="auto"/>
              <w:bottom w:val="outset" w:sz="6" w:space="0" w:color="auto"/>
              <w:right w:val="outset" w:sz="6" w:space="0" w:color="auto"/>
            </w:tcBorders>
            <w:hideMark/>
          </w:tcPr>
          <w:p w14:paraId="76C5B177" w14:textId="1FE5217B" w:rsidR="000D2356" w:rsidRPr="005F5D0D" w:rsidRDefault="000E56B2"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lastRenderedPageBreak/>
              <w:t>l</w:t>
            </w:r>
            <w:r w:rsidR="002C4F06" w:rsidRPr="005F5D0D">
              <w:rPr>
                <w:rFonts w:eastAsia="Times New Roman"/>
                <w:iCs/>
                <w:sz w:val="24"/>
                <w:szCs w:val="24"/>
                <w:lang w:eastAsia="lv-LV"/>
              </w:rPr>
              <w:t>.</w:t>
            </w:r>
          </w:p>
        </w:tc>
        <w:tc>
          <w:tcPr>
            <w:tcW w:w="2002" w:type="dxa"/>
            <w:tcBorders>
              <w:top w:val="outset" w:sz="6" w:space="0" w:color="auto"/>
              <w:left w:val="outset" w:sz="6" w:space="0" w:color="auto"/>
              <w:bottom w:val="outset" w:sz="6" w:space="0" w:color="auto"/>
              <w:right w:val="outset" w:sz="6" w:space="0" w:color="auto"/>
            </w:tcBorders>
            <w:hideMark/>
          </w:tcPr>
          <w:p w14:paraId="193628CE" w14:textId="77777777" w:rsidR="000D2356" w:rsidRPr="005F5D0D" w:rsidRDefault="000E56B2"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Projekta izstrādē iesaistītās institūcijas un publiskas personas kapitālsabiedrības</w:t>
            </w:r>
          </w:p>
        </w:tc>
        <w:tc>
          <w:tcPr>
            <w:tcW w:w="7338" w:type="dxa"/>
            <w:tcBorders>
              <w:top w:val="outset" w:sz="6" w:space="0" w:color="auto"/>
              <w:left w:val="outset" w:sz="6" w:space="0" w:color="auto"/>
              <w:bottom w:val="outset" w:sz="6" w:space="0" w:color="auto"/>
              <w:right w:val="outset" w:sz="6" w:space="0" w:color="auto"/>
            </w:tcBorders>
            <w:hideMark/>
          </w:tcPr>
          <w:p w14:paraId="4DC82301" w14:textId="54FBFD7C" w:rsidR="000D2356" w:rsidRPr="005F5D0D" w:rsidRDefault="000E56B2" w:rsidP="00231D32">
            <w:pPr>
              <w:widowControl/>
              <w:spacing w:before="100" w:beforeAutospacing="1" w:after="0" w:line="240" w:lineRule="auto"/>
              <w:jc w:val="both"/>
              <w:rPr>
                <w:rFonts w:eastAsia="Times New Roman"/>
                <w:sz w:val="24"/>
                <w:szCs w:val="24"/>
                <w:lang w:eastAsia="lv-LV"/>
              </w:rPr>
            </w:pPr>
            <w:r w:rsidRPr="005F5D0D">
              <w:rPr>
                <w:rFonts w:eastAsia="Times New Roman"/>
                <w:iCs/>
                <w:sz w:val="24"/>
                <w:szCs w:val="24"/>
                <w:lang w:eastAsia="lv-LV"/>
              </w:rPr>
              <w:t>Finanšu  ministrija, Finanšu nozares asociācija, Latvijas Republikas Grāmatvežu asociācija</w:t>
            </w:r>
            <w:r w:rsidRPr="0028468D">
              <w:rPr>
                <w:rFonts w:eastAsia="Times New Roman"/>
                <w:iCs/>
                <w:sz w:val="24"/>
                <w:szCs w:val="24"/>
                <w:lang w:eastAsia="lv-LV"/>
              </w:rPr>
              <w:t xml:space="preserve">, </w:t>
            </w:r>
            <w:r w:rsidR="00AF343C" w:rsidRPr="00DC08B8">
              <w:rPr>
                <w:rFonts w:eastAsia="Times New Roman"/>
                <w:iCs/>
                <w:sz w:val="24"/>
                <w:szCs w:val="24"/>
                <w:lang w:eastAsia="lv-LV"/>
              </w:rPr>
              <w:t>VID</w:t>
            </w:r>
          </w:p>
        </w:tc>
      </w:tr>
      <w:tr w:rsidR="005F5D0D" w:rsidRPr="005F5D0D" w14:paraId="53A56237" w14:textId="77777777" w:rsidTr="004F4A43">
        <w:trPr>
          <w:tblCellSpacing w:w="15" w:type="dxa"/>
        </w:trPr>
        <w:tc>
          <w:tcPr>
            <w:tcW w:w="455" w:type="dxa"/>
            <w:tcBorders>
              <w:top w:val="outset" w:sz="6" w:space="0" w:color="auto"/>
              <w:left w:val="outset" w:sz="6" w:space="0" w:color="auto"/>
              <w:bottom w:val="outset" w:sz="6" w:space="0" w:color="auto"/>
              <w:right w:val="outset" w:sz="6" w:space="0" w:color="auto"/>
            </w:tcBorders>
            <w:hideMark/>
          </w:tcPr>
          <w:p w14:paraId="4CF64101" w14:textId="77777777" w:rsidR="000D2356" w:rsidRPr="005F5D0D" w:rsidRDefault="000E56B2"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2.</w:t>
            </w:r>
          </w:p>
        </w:tc>
        <w:tc>
          <w:tcPr>
            <w:tcW w:w="2002" w:type="dxa"/>
            <w:tcBorders>
              <w:top w:val="outset" w:sz="6" w:space="0" w:color="auto"/>
              <w:left w:val="outset" w:sz="6" w:space="0" w:color="auto"/>
              <w:bottom w:val="outset" w:sz="6" w:space="0" w:color="auto"/>
              <w:right w:val="outset" w:sz="6" w:space="0" w:color="auto"/>
            </w:tcBorders>
            <w:hideMark/>
          </w:tcPr>
          <w:p w14:paraId="1E2896B0" w14:textId="77777777" w:rsidR="000D2356" w:rsidRPr="005F5D0D" w:rsidRDefault="000E56B2"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Cita informācija</w:t>
            </w:r>
          </w:p>
        </w:tc>
        <w:tc>
          <w:tcPr>
            <w:tcW w:w="7338" w:type="dxa"/>
            <w:tcBorders>
              <w:top w:val="outset" w:sz="6" w:space="0" w:color="auto"/>
              <w:left w:val="outset" w:sz="6" w:space="0" w:color="auto"/>
              <w:bottom w:val="outset" w:sz="6" w:space="0" w:color="auto"/>
              <w:right w:val="outset" w:sz="6" w:space="0" w:color="auto"/>
            </w:tcBorders>
            <w:hideMark/>
          </w:tcPr>
          <w:p w14:paraId="162990D1" w14:textId="77777777" w:rsidR="000D2356" w:rsidRPr="005F5D0D" w:rsidRDefault="000E56B2"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Nav</w:t>
            </w:r>
          </w:p>
        </w:tc>
      </w:tr>
    </w:tbl>
    <w:p w14:paraId="0AB5ABFB" w14:textId="11D51685" w:rsidR="00050688" w:rsidRDefault="000E56B2" w:rsidP="000D2356">
      <w:pPr>
        <w:widowControl/>
        <w:spacing w:before="100" w:beforeAutospacing="1" w:after="0" w:line="240" w:lineRule="auto"/>
        <w:rPr>
          <w:rFonts w:eastAsia="Times New Roman"/>
          <w:iCs/>
          <w:sz w:val="24"/>
          <w:szCs w:val="24"/>
          <w:lang w:eastAsia="lv-LV"/>
        </w:rPr>
      </w:pPr>
      <w:r w:rsidRPr="005F5D0D">
        <w:rPr>
          <w:rFonts w:eastAsia="Times New Roman"/>
          <w:iCs/>
          <w:sz w:val="24"/>
          <w:szCs w:val="24"/>
          <w:lang w:eastAsia="lv-LV"/>
        </w:rPr>
        <w:t xml:space="preserve">  </w:t>
      </w:r>
    </w:p>
    <w:p w14:paraId="36CDA304" w14:textId="77777777" w:rsidR="00050688" w:rsidRDefault="00050688">
      <w:pPr>
        <w:widowControl/>
        <w:spacing w:after="160" w:line="259" w:lineRule="auto"/>
        <w:rPr>
          <w:rFonts w:eastAsia="Times New Roman"/>
          <w:iCs/>
          <w:sz w:val="24"/>
          <w:szCs w:val="24"/>
          <w:lang w:eastAsia="lv-LV"/>
        </w:rPr>
      </w:pPr>
      <w:r>
        <w:rPr>
          <w:rFonts w:eastAsia="Times New Roman"/>
          <w:iCs/>
          <w:sz w:val="24"/>
          <w:szCs w:val="24"/>
          <w:lang w:eastAsia="lv-LV"/>
        </w:rPr>
        <w:br w:type="page"/>
      </w:r>
    </w:p>
    <w:tbl>
      <w:tblPr>
        <w:tblW w:w="9915"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23"/>
        <w:gridCol w:w="2869"/>
        <w:gridCol w:w="6423"/>
      </w:tblGrid>
      <w:tr w:rsidR="005F5D0D" w:rsidRPr="005F5D0D" w14:paraId="0EFEF14A" w14:textId="77777777" w:rsidTr="004F4A43">
        <w:trPr>
          <w:tblCellSpacing w:w="15" w:type="dxa"/>
        </w:trPr>
        <w:tc>
          <w:tcPr>
            <w:tcW w:w="9855" w:type="dxa"/>
            <w:gridSpan w:val="3"/>
            <w:tcBorders>
              <w:top w:val="outset" w:sz="6" w:space="0" w:color="auto"/>
              <w:left w:val="outset" w:sz="6" w:space="0" w:color="auto"/>
              <w:bottom w:val="outset" w:sz="6" w:space="0" w:color="auto"/>
              <w:right w:val="outset" w:sz="6" w:space="0" w:color="auto"/>
            </w:tcBorders>
            <w:hideMark/>
          </w:tcPr>
          <w:p w14:paraId="7693610C" w14:textId="77777777" w:rsidR="000D2356" w:rsidRPr="005F5D0D" w:rsidRDefault="00AE5EFC" w:rsidP="000D2356">
            <w:pPr>
              <w:widowControl/>
              <w:spacing w:before="100" w:beforeAutospacing="1" w:after="0" w:line="240" w:lineRule="auto"/>
              <w:rPr>
                <w:rFonts w:eastAsia="Times New Roman"/>
                <w:sz w:val="24"/>
                <w:szCs w:val="24"/>
                <w:lang w:eastAsia="lv-LV"/>
              </w:rPr>
            </w:pPr>
            <w:r w:rsidRPr="005F5D0D">
              <w:rPr>
                <w:rFonts w:eastAsia="Times New Roman"/>
                <w:b/>
                <w:bCs/>
                <w:iCs/>
                <w:sz w:val="24"/>
                <w:szCs w:val="24"/>
                <w:lang w:eastAsia="lv-LV"/>
              </w:rPr>
              <w:lastRenderedPageBreak/>
              <w:t>II. Tiesību akta projekta ietekme uz sabiedrību, tautsaimniecības attīstību un administratīvo slogu</w:t>
            </w:r>
          </w:p>
        </w:tc>
      </w:tr>
      <w:tr w:rsidR="005F5D0D" w:rsidRPr="005F5D0D" w14:paraId="151FC9E9" w14:textId="77777777" w:rsidTr="004F4A43">
        <w:trPr>
          <w:tblCellSpacing w:w="15" w:type="dxa"/>
        </w:trPr>
        <w:tc>
          <w:tcPr>
            <w:tcW w:w="578" w:type="dxa"/>
            <w:tcBorders>
              <w:top w:val="outset" w:sz="6" w:space="0" w:color="auto"/>
              <w:left w:val="outset" w:sz="6" w:space="0" w:color="auto"/>
              <w:bottom w:val="outset" w:sz="6" w:space="0" w:color="auto"/>
              <w:right w:val="outset" w:sz="6" w:space="0" w:color="auto"/>
            </w:tcBorders>
            <w:hideMark/>
          </w:tcPr>
          <w:p w14:paraId="657B54F5" w14:textId="77777777" w:rsidR="000D2356" w:rsidRPr="005F5D0D" w:rsidRDefault="00AE5EFC"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1.</w:t>
            </w:r>
          </w:p>
        </w:tc>
        <w:tc>
          <w:tcPr>
            <w:tcW w:w="2839" w:type="dxa"/>
            <w:tcBorders>
              <w:top w:val="outset" w:sz="6" w:space="0" w:color="auto"/>
              <w:left w:val="outset" w:sz="6" w:space="0" w:color="auto"/>
              <w:bottom w:val="outset" w:sz="6" w:space="0" w:color="auto"/>
              <w:right w:val="outset" w:sz="6" w:space="0" w:color="auto"/>
            </w:tcBorders>
            <w:hideMark/>
          </w:tcPr>
          <w:p w14:paraId="47773A3B" w14:textId="77777777" w:rsidR="000D2356" w:rsidRPr="005F5D0D" w:rsidRDefault="00AE5EFC"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Sabiedrības mērķgrupas, kuras tiesiskais regulējums ietekmē vai varētu ietekmēt</w:t>
            </w:r>
          </w:p>
        </w:tc>
        <w:tc>
          <w:tcPr>
            <w:tcW w:w="6378" w:type="dxa"/>
            <w:tcBorders>
              <w:top w:val="outset" w:sz="6" w:space="0" w:color="auto"/>
              <w:left w:val="outset" w:sz="6" w:space="0" w:color="auto"/>
              <w:bottom w:val="outset" w:sz="6" w:space="0" w:color="auto"/>
              <w:right w:val="outset" w:sz="6" w:space="0" w:color="auto"/>
            </w:tcBorders>
            <w:hideMark/>
          </w:tcPr>
          <w:p w14:paraId="4401D39B" w14:textId="77777777" w:rsidR="000D2356" w:rsidRPr="005F5D0D" w:rsidRDefault="00AE5EFC" w:rsidP="00CD7F53">
            <w:pPr>
              <w:widowControl/>
              <w:spacing w:before="100" w:beforeAutospacing="1" w:after="0" w:line="240" w:lineRule="auto"/>
              <w:jc w:val="both"/>
              <w:rPr>
                <w:rFonts w:eastAsia="Times New Roman"/>
                <w:sz w:val="24"/>
                <w:szCs w:val="24"/>
                <w:lang w:eastAsia="lv-LV"/>
              </w:rPr>
            </w:pPr>
            <w:r w:rsidRPr="005F5D0D">
              <w:rPr>
                <w:rFonts w:eastAsia="Times New Roman"/>
                <w:iCs/>
                <w:sz w:val="24"/>
                <w:szCs w:val="24"/>
                <w:lang w:eastAsia="lv-LV"/>
              </w:rPr>
              <w:t xml:space="preserve">Grāmatvedības ārpakalpojumu sniedzēji fiziskas un juridiskas personas, personas, kuras vēlēsies kļūt par grāmatvedības ārpakalpojumu sniedzējiem. </w:t>
            </w:r>
          </w:p>
        </w:tc>
      </w:tr>
      <w:tr w:rsidR="005F5D0D" w:rsidRPr="005F5D0D" w14:paraId="599D021C" w14:textId="77777777" w:rsidTr="004F4A43">
        <w:trPr>
          <w:tblCellSpacing w:w="15" w:type="dxa"/>
        </w:trPr>
        <w:tc>
          <w:tcPr>
            <w:tcW w:w="578" w:type="dxa"/>
            <w:tcBorders>
              <w:top w:val="outset" w:sz="6" w:space="0" w:color="auto"/>
              <w:left w:val="outset" w:sz="6" w:space="0" w:color="auto"/>
              <w:bottom w:val="outset" w:sz="6" w:space="0" w:color="auto"/>
              <w:right w:val="outset" w:sz="6" w:space="0" w:color="auto"/>
            </w:tcBorders>
            <w:hideMark/>
          </w:tcPr>
          <w:p w14:paraId="7F91B8FF" w14:textId="77777777" w:rsidR="000D2356" w:rsidRPr="005F5D0D" w:rsidRDefault="00AE5EFC"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2.</w:t>
            </w:r>
          </w:p>
        </w:tc>
        <w:tc>
          <w:tcPr>
            <w:tcW w:w="2839" w:type="dxa"/>
            <w:tcBorders>
              <w:top w:val="outset" w:sz="6" w:space="0" w:color="auto"/>
              <w:left w:val="outset" w:sz="6" w:space="0" w:color="auto"/>
              <w:bottom w:val="outset" w:sz="6" w:space="0" w:color="auto"/>
              <w:right w:val="outset" w:sz="6" w:space="0" w:color="auto"/>
            </w:tcBorders>
            <w:hideMark/>
          </w:tcPr>
          <w:p w14:paraId="1473082C" w14:textId="77777777" w:rsidR="000D2356" w:rsidRPr="005F5D0D" w:rsidRDefault="00AE5EFC"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Tiesiskā regulējuma ietekme uz tautsaimniecību un administratīvo slogu</w:t>
            </w:r>
          </w:p>
        </w:tc>
        <w:tc>
          <w:tcPr>
            <w:tcW w:w="6378" w:type="dxa"/>
            <w:tcBorders>
              <w:top w:val="outset" w:sz="6" w:space="0" w:color="auto"/>
              <w:left w:val="outset" w:sz="6" w:space="0" w:color="auto"/>
              <w:bottom w:val="outset" w:sz="6" w:space="0" w:color="auto"/>
              <w:right w:val="outset" w:sz="6" w:space="0" w:color="auto"/>
            </w:tcBorders>
            <w:hideMark/>
          </w:tcPr>
          <w:p w14:paraId="1C0D4B71" w14:textId="77777777" w:rsidR="000D2356" w:rsidRPr="005F10EE" w:rsidRDefault="00AE5EFC" w:rsidP="000D2356">
            <w:pPr>
              <w:widowControl/>
              <w:spacing w:before="100" w:beforeAutospacing="1" w:after="0" w:line="240" w:lineRule="auto"/>
              <w:jc w:val="both"/>
              <w:rPr>
                <w:rFonts w:eastAsia="Times New Roman"/>
                <w:sz w:val="24"/>
                <w:szCs w:val="24"/>
                <w:lang w:eastAsia="lv-LV"/>
              </w:rPr>
            </w:pPr>
            <w:r w:rsidRPr="008B78BC">
              <w:rPr>
                <w:rFonts w:eastAsia="Times New Roman"/>
                <w:iCs/>
                <w:sz w:val="24"/>
                <w:szCs w:val="24"/>
                <w:lang w:eastAsia="lv-LV"/>
              </w:rPr>
              <w:t xml:space="preserve">Likumprojekts nodrošina </w:t>
            </w:r>
            <w:r w:rsidR="00CD7F53" w:rsidRPr="008B78BC">
              <w:rPr>
                <w:rFonts w:eastAsia="Times New Roman"/>
                <w:iCs/>
                <w:sz w:val="24"/>
                <w:szCs w:val="24"/>
                <w:lang w:eastAsia="lv-LV"/>
              </w:rPr>
              <w:t>grāmatvedības pakalpojumu nozares</w:t>
            </w:r>
            <w:r w:rsidRPr="008B78BC">
              <w:rPr>
                <w:rFonts w:eastAsia="Times New Roman"/>
                <w:iCs/>
                <w:sz w:val="24"/>
                <w:szCs w:val="24"/>
                <w:lang w:eastAsia="lv-LV"/>
              </w:rPr>
              <w:t xml:space="preserve"> reputācijas uzlabošanu</w:t>
            </w:r>
            <w:r w:rsidR="00CD7F53" w:rsidRPr="003C5BDC">
              <w:rPr>
                <w:rFonts w:eastAsia="Times New Roman"/>
                <w:iCs/>
                <w:sz w:val="24"/>
                <w:szCs w:val="24"/>
                <w:lang w:eastAsia="lv-LV"/>
              </w:rPr>
              <w:t xml:space="preserve">, grāmatvedības dokumentu kvalitātes </w:t>
            </w:r>
            <w:r w:rsidR="00007763" w:rsidRPr="003C5BDC">
              <w:rPr>
                <w:rFonts w:eastAsia="Times New Roman"/>
                <w:iCs/>
                <w:sz w:val="24"/>
                <w:szCs w:val="24"/>
                <w:lang w:eastAsia="lv-LV"/>
              </w:rPr>
              <w:t xml:space="preserve">un publiskās ticamības </w:t>
            </w:r>
            <w:r w:rsidR="00CD7F53" w:rsidRPr="005F10EE">
              <w:rPr>
                <w:rFonts w:eastAsia="Times New Roman"/>
                <w:iCs/>
                <w:sz w:val="24"/>
                <w:szCs w:val="24"/>
                <w:lang w:eastAsia="lv-LV"/>
              </w:rPr>
              <w:t>celšanu</w:t>
            </w:r>
            <w:r w:rsidRPr="005F10EE">
              <w:rPr>
                <w:rFonts w:eastAsia="Times New Roman"/>
                <w:iCs/>
                <w:sz w:val="24"/>
                <w:szCs w:val="24"/>
                <w:lang w:eastAsia="lv-LV"/>
              </w:rPr>
              <w:t xml:space="preserve">, kā arī vērsts uz </w:t>
            </w:r>
            <w:r w:rsidR="00007763" w:rsidRPr="005F10EE">
              <w:rPr>
                <w:rFonts w:eastAsia="Times New Roman"/>
                <w:iCs/>
                <w:sz w:val="24"/>
                <w:szCs w:val="24"/>
                <w:lang w:eastAsia="lv-LV"/>
              </w:rPr>
              <w:t>noziedzīgi iegūtu līdzekļu legalizācijas un terorisma finansēšanas risku mazināšanu</w:t>
            </w:r>
            <w:r w:rsidRPr="005F10EE">
              <w:rPr>
                <w:rFonts w:eastAsia="Times New Roman"/>
                <w:iCs/>
                <w:sz w:val="24"/>
                <w:szCs w:val="24"/>
                <w:lang w:eastAsia="lv-LV"/>
              </w:rPr>
              <w:t>, kas pozitīvi ietekmēs tautsaimniecību kopumā.</w:t>
            </w:r>
          </w:p>
          <w:p w14:paraId="666758F0" w14:textId="693874EF" w:rsidR="006D5F75" w:rsidRPr="005F10EE" w:rsidRDefault="00AE5EFC" w:rsidP="006D5F75">
            <w:pPr>
              <w:spacing w:after="0" w:line="240" w:lineRule="auto"/>
              <w:jc w:val="both"/>
              <w:rPr>
                <w:rFonts w:eastAsia="Times New Roman"/>
                <w:sz w:val="24"/>
                <w:szCs w:val="24"/>
                <w:lang w:eastAsia="lv-LV"/>
              </w:rPr>
            </w:pPr>
            <w:r w:rsidRPr="005F10EE">
              <w:rPr>
                <w:rFonts w:eastAsia="Times New Roman"/>
                <w:sz w:val="24"/>
                <w:szCs w:val="24"/>
                <w:lang w:eastAsia="lv-LV"/>
              </w:rPr>
              <w:t>Administratīvais slogs palielināsies</w:t>
            </w:r>
            <w:r w:rsidR="000E56B2" w:rsidRPr="005F10EE">
              <w:rPr>
                <w:rFonts w:eastAsia="Times New Roman"/>
                <w:sz w:val="24"/>
                <w:szCs w:val="24"/>
                <w:lang w:eastAsia="lv-LV"/>
              </w:rPr>
              <w:t>, tomēr</w:t>
            </w:r>
            <w:r w:rsidR="006D5F75" w:rsidRPr="005F10EE">
              <w:rPr>
                <w:rFonts w:eastAsia="Times New Roman"/>
                <w:sz w:val="24"/>
                <w:szCs w:val="24"/>
                <w:lang w:eastAsia="lv-LV"/>
              </w:rPr>
              <w:t xml:space="preserve"> saskaņā ar VID veiktajiem aprēķiniem grāmatvežu licencēšana varētu radīt fiskālo efektu 3,28 milj. EUR apmērā.</w:t>
            </w:r>
            <w:r w:rsidR="000E56B2" w:rsidRPr="005F10EE">
              <w:rPr>
                <w:rFonts w:eastAsia="Times New Roman"/>
                <w:sz w:val="24"/>
                <w:szCs w:val="24"/>
                <w:lang w:eastAsia="lv-LV"/>
              </w:rPr>
              <w:t xml:space="preserve"> </w:t>
            </w:r>
            <w:r w:rsidR="006D5F75" w:rsidRPr="005F10EE">
              <w:rPr>
                <w:rFonts w:eastAsia="Times New Roman"/>
                <w:sz w:val="24"/>
                <w:szCs w:val="24"/>
                <w:lang w:eastAsia="lv-LV"/>
              </w:rPr>
              <w:t xml:space="preserve">Fiskālā efekta aprēķinam tika ņemti vērā dati par sabiedrībām ar ierobežotu atbildību, par kurām VID rīcībā nav datu par grāmatvedības pakalpojumu sniedzēju un netiek algots grāmatvedības speciālists, bet sabiedrības gada apgrozījums norāda uz pietiekami lielu saimnieciskās darbības aktivitāti, lai būtu nepieciešamība pēc kvalificēta grāmatveža pakalpojumiem. Par 2017.gadu tika konstatēti 2 359 nodokļu maksātāji, kuriem nebija zināms grāmatvedības speciālists un kuru apgrozījums bija diapazonā no 120 000 EUR līdz 500 000 EUR. Atbilstoši darba devēju ziņojumiem tika noteikta grāmatvedības speciālistu darba stundu mediāna jeb sadalījuma viduspunkts  - 122 stundas, kā arī vidējā stundu tarifa likme – 6,4 EUR. līdz ar to potenciālais nedeklarētais grāmatvedības pakalpojumu tirgus tiek novērtēts 22,10 milj. EUR apmērā. Tiek pieņemts, ka mazināmā riska vērtība varētu būt 30% apmērā no potenciālā nedeklarētā grāmatvedības pakalpojumu tirgus radītajiem </w:t>
            </w:r>
            <w:r w:rsidR="00F24ED8" w:rsidRPr="005F10EE">
              <w:rPr>
                <w:rFonts w:eastAsia="Times New Roman"/>
                <w:sz w:val="24"/>
                <w:szCs w:val="24"/>
                <w:lang w:eastAsia="lv-LV"/>
              </w:rPr>
              <w:t xml:space="preserve">valsts sociālās apdrošināšanas obligāto iemaksu (turpmāk – </w:t>
            </w:r>
            <w:r w:rsidR="00955266" w:rsidRPr="005F10EE">
              <w:rPr>
                <w:rFonts w:eastAsia="Times New Roman"/>
                <w:sz w:val="24"/>
                <w:szCs w:val="24"/>
                <w:lang w:eastAsia="lv-LV"/>
              </w:rPr>
              <w:t>VSAOI</w:t>
            </w:r>
            <w:r w:rsidR="00F24ED8" w:rsidRPr="005F10EE">
              <w:rPr>
                <w:rFonts w:eastAsia="Times New Roman"/>
                <w:sz w:val="24"/>
                <w:szCs w:val="24"/>
                <w:lang w:eastAsia="lv-LV"/>
              </w:rPr>
              <w:t>)</w:t>
            </w:r>
            <w:r w:rsidR="00955266" w:rsidRPr="005F10EE">
              <w:rPr>
                <w:rFonts w:eastAsia="Times New Roman"/>
                <w:sz w:val="24"/>
                <w:szCs w:val="24"/>
                <w:lang w:eastAsia="lv-LV"/>
              </w:rPr>
              <w:t xml:space="preserve"> </w:t>
            </w:r>
            <w:r w:rsidR="006D5F75" w:rsidRPr="005F10EE">
              <w:rPr>
                <w:rFonts w:eastAsia="Times New Roman"/>
                <w:sz w:val="24"/>
                <w:szCs w:val="24"/>
                <w:lang w:eastAsia="lv-LV"/>
              </w:rPr>
              <w:t xml:space="preserve">zaudējumiem 7,47 milj. EUR apmērā un IIN zaudējumiem 3,02 milj. EUR apmērā. Līdz ar to fiskālais efekts, ieviešot grāmatvežu </w:t>
            </w:r>
            <w:r w:rsidR="00083E5D" w:rsidRPr="005F10EE">
              <w:rPr>
                <w:rFonts w:eastAsia="Times New Roman"/>
                <w:sz w:val="24"/>
                <w:szCs w:val="24"/>
                <w:lang w:eastAsia="lv-LV"/>
              </w:rPr>
              <w:t xml:space="preserve">licencēšanu </w:t>
            </w:r>
            <w:r w:rsidR="006D5F75" w:rsidRPr="005F10EE">
              <w:rPr>
                <w:rFonts w:eastAsia="Times New Roman"/>
                <w:sz w:val="24"/>
                <w:szCs w:val="24"/>
                <w:lang w:eastAsia="lv-LV"/>
              </w:rPr>
              <w:t xml:space="preserve">un tādējādi veicinot grāmatvedības pakalpojumu sniedzēju tirgus sakārtošanu ir lēšams 3,15 milj. EUR apmērā. </w:t>
            </w:r>
          </w:p>
          <w:p w14:paraId="25CBE8DF" w14:textId="77777777" w:rsidR="006D5F75" w:rsidRPr="005F10EE" w:rsidRDefault="006D5F75" w:rsidP="006D5F75">
            <w:pPr>
              <w:spacing w:after="0" w:line="240" w:lineRule="auto"/>
              <w:jc w:val="both"/>
              <w:rPr>
                <w:rFonts w:eastAsia="Times New Roman"/>
                <w:sz w:val="24"/>
                <w:szCs w:val="24"/>
                <w:highlight w:val="green"/>
                <w:lang w:eastAsia="lv-LV"/>
              </w:rPr>
            </w:pPr>
          </w:p>
          <w:p w14:paraId="1AB18C41" w14:textId="77777777" w:rsidR="006D5F75" w:rsidRPr="003C5BDC" w:rsidRDefault="006D5F75" w:rsidP="006D5F75">
            <w:pPr>
              <w:spacing w:after="0" w:line="240" w:lineRule="auto"/>
              <w:jc w:val="both"/>
              <w:rPr>
                <w:rFonts w:eastAsia="Times New Roman"/>
                <w:sz w:val="24"/>
                <w:szCs w:val="24"/>
                <w:lang w:eastAsia="lv-LV"/>
              </w:rPr>
            </w:pPr>
            <w:r w:rsidRPr="008B78BC">
              <w:rPr>
                <w:rFonts w:eastAsia="Times New Roman"/>
                <w:sz w:val="24"/>
                <w:szCs w:val="24"/>
                <w:lang w:eastAsia="lv-LV"/>
              </w:rPr>
              <w:t>Bez tam paredzētie likumprojekta grozījumi varētu samazināt grāmatvedības pakalpojumu sniedzēju iesaistīšanos PVN krāpnieciskajās shēmās radot iespējamo fiskālo efektu 0,13 milj. EUR apmērā (10% no mazināmās riska vērtības - PVN parāda 1,3 milj. EUR).</w:t>
            </w:r>
          </w:p>
          <w:p w14:paraId="285E59E7" w14:textId="77777777" w:rsidR="006D5F75" w:rsidRPr="005F10EE" w:rsidRDefault="006D5F75" w:rsidP="006D5F75">
            <w:pPr>
              <w:spacing w:after="0" w:line="240" w:lineRule="auto"/>
              <w:jc w:val="both"/>
              <w:rPr>
                <w:rFonts w:eastAsia="Times New Roman"/>
                <w:sz w:val="24"/>
                <w:szCs w:val="24"/>
                <w:lang w:eastAsia="lv-LV"/>
              </w:rPr>
            </w:pPr>
          </w:p>
          <w:p w14:paraId="0C1CF967" w14:textId="62386393" w:rsidR="009A46DC" w:rsidRPr="005F10EE" w:rsidRDefault="006D5F75" w:rsidP="006D5F75">
            <w:pPr>
              <w:spacing w:after="0" w:line="240" w:lineRule="auto"/>
              <w:jc w:val="both"/>
              <w:rPr>
                <w:rFonts w:eastAsia="Times New Roman"/>
                <w:sz w:val="24"/>
                <w:szCs w:val="24"/>
                <w:lang w:eastAsia="lv-LV"/>
              </w:rPr>
            </w:pPr>
            <w:r w:rsidRPr="005F10EE">
              <w:rPr>
                <w:rFonts w:eastAsia="Times New Roman"/>
                <w:sz w:val="24"/>
                <w:szCs w:val="24"/>
                <w:lang w:eastAsia="lv-LV"/>
              </w:rPr>
              <w:t xml:space="preserve">Tādējādi attiecīgo likuma grozījumu kopējais fiskālai efekts tiek lēsts 3,28 milj. EUR apmērā. </w:t>
            </w:r>
          </w:p>
          <w:p w14:paraId="0AD13356" w14:textId="77777777" w:rsidR="00130188" w:rsidRPr="005F10EE" w:rsidRDefault="00130188" w:rsidP="006D5F75">
            <w:pPr>
              <w:spacing w:after="0" w:line="240" w:lineRule="auto"/>
              <w:jc w:val="both"/>
              <w:rPr>
                <w:rFonts w:eastAsia="Times New Roman"/>
                <w:sz w:val="24"/>
                <w:szCs w:val="24"/>
                <w:lang w:eastAsia="lv-LV"/>
              </w:rPr>
            </w:pPr>
          </w:p>
          <w:p w14:paraId="4449ADCA" w14:textId="3B93A196" w:rsidR="000D2356" w:rsidRPr="005F10EE" w:rsidRDefault="0091331F" w:rsidP="00622670">
            <w:pPr>
              <w:widowControl/>
              <w:suppressAutoHyphens/>
              <w:autoSpaceDN w:val="0"/>
              <w:spacing w:after="0" w:line="240" w:lineRule="auto"/>
              <w:jc w:val="both"/>
              <w:textAlignment w:val="baseline"/>
              <w:rPr>
                <w:rFonts w:eastAsia="Times New Roman"/>
                <w:sz w:val="24"/>
                <w:szCs w:val="24"/>
                <w:highlight w:val="green"/>
                <w:lang w:eastAsia="lv-LV"/>
              </w:rPr>
            </w:pPr>
            <w:r w:rsidRPr="00DC08B8">
              <w:rPr>
                <w:rFonts w:eastAsia="Times New Roman"/>
                <w:sz w:val="24"/>
                <w:szCs w:val="24"/>
                <w:lang w:eastAsia="lv-LV"/>
              </w:rPr>
              <w:t>VID</w:t>
            </w:r>
            <w:r w:rsidR="00AE5EFC" w:rsidRPr="008B78BC">
              <w:rPr>
                <w:rFonts w:eastAsia="Times New Roman"/>
                <w:sz w:val="24"/>
                <w:szCs w:val="24"/>
                <w:lang w:eastAsia="lv-LV"/>
              </w:rPr>
              <w:t xml:space="preserve"> būs jānodrošina licences izsniegšana ārpakalpojumu grāmatvežiem</w:t>
            </w:r>
            <w:r w:rsidR="00871657" w:rsidRPr="008B78BC">
              <w:rPr>
                <w:rFonts w:eastAsia="Times New Roman"/>
                <w:sz w:val="24"/>
                <w:szCs w:val="24"/>
                <w:lang w:eastAsia="lv-LV"/>
              </w:rPr>
              <w:t xml:space="preserve"> un to uzraudzība</w:t>
            </w:r>
            <w:r w:rsidR="00622670" w:rsidRPr="008B78BC">
              <w:rPr>
                <w:rFonts w:eastAsia="Times New Roman"/>
                <w:sz w:val="24"/>
                <w:szCs w:val="24"/>
                <w:lang w:eastAsia="lv-LV"/>
              </w:rPr>
              <w:t xml:space="preserve">. </w:t>
            </w:r>
          </w:p>
        </w:tc>
      </w:tr>
      <w:tr w:rsidR="005F5D0D" w:rsidRPr="005F5D0D" w14:paraId="4004C6F3" w14:textId="77777777" w:rsidTr="004F4A43">
        <w:trPr>
          <w:tblCellSpacing w:w="15" w:type="dxa"/>
        </w:trPr>
        <w:tc>
          <w:tcPr>
            <w:tcW w:w="578" w:type="dxa"/>
            <w:tcBorders>
              <w:top w:val="outset" w:sz="6" w:space="0" w:color="auto"/>
              <w:left w:val="outset" w:sz="6" w:space="0" w:color="auto"/>
              <w:bottom w:val="outset" w:sz="6" w:space="0" w:color="auto"/>
              <w:right w:val="outset" w:sz="6" w:space="0" w:color="auto"/>
            </w:tcBorders>
            <w:hideMark/>
          </w:tcPr>
          <w:p w14:paraId="7766E34E" w14:textId="424DA8D2" w:rsidR="000D2356" w:rsidRPr="005F5D0D" w:rsidRDefault="001B05F1" w:rsidP="001B05F1">
            <w:pPr>
              <w:widowControl/>
              <w:spacing w:before="100" w:beforeAutospacing="1" w:after="0" w:line="240" w:lineRule="auto"/>
              <w:rPr>
                <w:rFonts w:eastAsia="Times New Roman"/>
                <w:sz w:val="24"/>
                <w:szCs w:val="24"/>
                <w:lang w:eastAsia="lv-LV"/>
              </w:rPr>
            </w:pPr>
            <w:r>
              <w:rPr>
                <w:rFonts w:eastAsia="Times New Roman"/>
                <w:iCs/>
                <w:sz w:val="24"/>
                <w:szCs w:val="24"/>
                <w:lang w:eastAsia="lv-LV"/>
              </w:rPr>
              <w:lastRenderedPageBreak/>
              <w:t>3.</w:t>
            </w:r>
          </w:p>
        </w:tc>
        <w:tc>
          <w:tcPr>
            <w:tcW w:w="2839" w:type="dxa"/>
            <w:tcBorders>
              <w:top w:val="outset" w:sz="6" w:space="0" w:color="auto"/>
              <w:left w:val="outset" w:sz="6" w:space="0" w:color="auto"/>
              <w:bottom w:val="outset" w:sz="6" w:space="0" w:color="auto"/>
              <w:right w:val="outset" w:sz="6" w:space="0" w:color="auto"/>
            </w:tcBorders>
            <w:hideMark/>
          </w:tcPr>
          <w:p w14:paraId="412B2032" w14:textId="77777777" w:rsidR="000D2356" w:rsidRPr="005F5D0D" w:rsidRDefault="00AE5EFC"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Administratīvo izmaksu monetārs novērtējums</w:t>
            </w:r>
          </w:p>
        </w:tc>
        <w:tc>
          <w:tcPr>
            <w:tcW w:w="6378" w:type="dxa"/>
            <w:tcBorders>
              <w:top w:val="outset" w:sz="6" w:space="0" w:color="auto"/>
              <w:left w:val="outset" w:sz="6" w:space="0" w:color="auto"/>
              <w:bottom w:val="outset" w:sz="6" w:space="0" w:color="auto"/>
              <w:right w:val="outset" w:sz="6" w:space="0" w:color="auto"/>
            </w:tcBorders>
            <w:hideMark/>
          </w:tcPr>
          <w:p w14:paraId="70356421" w14:textId="01172031" w:rsidR="00E07239" w:rsidRPr="005F10EE" w:rsidRDefault="009A5DBD" w:rsidP="005110D0">
            <w:pPr>
              <w:widowControl/>
              <w:spacing w:before="100" w:beforeAutospacing="1" w:after="0" w:line="240" w:lineRule="auto"/>
              <w:jc w:val="both"/>
              <w:rPr>
                <w:sz w:val="24"/>
                <w:szCs w:val="24"/>
              </w:rPr>
            </w:pPr>
            <w:r w:rsidRPr="008B78BC">
              <w:rPr>
                <w:sz w:val="24"/>
                <w:szCs w:val="24"/>
              </w:rPr>
              <w:t>Par licences saņemšanu būs jāmaksā valsts nodeva</w:t>
            </w:r>
            <w:r w:rsidR="00E860B7" w:rsidRPr="008B78BC">
              <w:rPr>
                <w:sz w:val="24"/>
                <w:szCs w:val="24"/>
              </w:rPr>
              <w:t xml:space="preserve"> </w:t>
            </w:r>
            <w:r w:rsidR="00E07239" w:rsidRPr="008B78BC">
              <w:rPr>
                <w:sz w:val="24"/>
                <w:szCs w:val="24"/>
              </w:rPr>
              <w:t>100</w:t>
            </w:r>
            <w:r w:rsidR="00E860B7" w:rsidRPr="008B78BC">
              <w:rPr>
                <w:sz w:val="24"/>
                <w:szCs w:val="24"/>
              </w:rPr>
              <w:t xml:space="preserve"> </w:t>
            </w:r>
            <w:r w:rsidR="009176BD" w:rsidRPr="008B78BC">
              <w:rPr>
                <w:sz w:val="24"/>
                <w:szCs w:val="24"/>
              </w:rPr>
              <w:t>EUR apmērā, kuras izmaksas</w:t>
            </w:r>
            <w:r w:rsidR="00E07239" w:rsidRPr="003C5BDC">
              <w:rPr>
                <w:sz w:val="24"/>
                <w:szCs w:val="24"/>
              </w:rPr>
              <w:t xml:space="preserve"> veido </w:t>
            </w:r>
            <w:r w:rsidR="009176BD" w:rsidRPr="003C5BDC">
              <w:rPr>
                <w:sz w:val="24"/>
                <w:szCs w:val="24"/>
              </w:rPr>
              <w:t>programmatūras izstrāde un uzturēš</w:t>
            </w:r>
            <w:r w:rsidR="009176BD" w:rsidRPr="005F10EE">
              <w:rPr>
                <w:sz w:val="24"/>
                <w:szCs w:val="24"/>
              </w:rPr>
              <w:t>ana, cilvēkresursi un citi saistīti izdevumi.</w:t>
            </w:r>
          </w:p>
          <w:p w14:paraId="27080B5A" w14:textId="29AACB90" w:rsidR="00D058E6" w:rsidRPr="00A266D7" w:rsidRDefault="005110D0" w:rsidP="00843B8C">
            <w:pPr>
              <w:widowControl/>
              <w:spacing w:before="100" w:beforeAutospacing="1" w:after="0" w:line="240" w:lineRule="auto"/>
              <w:jc w:val="both"/>
              <w:rPr>
                <w:rFonts w:eastAsia="Times New Roman"/>
                <w:iCs/>
                <w:sz w:val="24"/>
                <w:szCs w:val="24"/>
                <w:lang w:eastAsia="lv-LV"/>
              </w:rPr>
            </w:pPr>
            <w:r w:rsidRPr="005F10EE">
              <w:rPr>
                <w:rFonts w:eastAsia="Times New Roman"/>
                <w:iCs/>
                <w:sz w:val="24"/>
                <w:szCs w:val="24"/>
                <w:lang w:eastAsia="lv-LV"/>
              </w:rPr>
              <w:t>Papildus norādām, ka VID uzturēta l</w:t>
            </w:r>
            <w:r w:rsidR="00AE5EFC" w:rsidRPr="005F10EE">
              <w:rPr>
                <w:rFonts w:eastAsia="Times New Roman"/>
                <w:iCs/>
                <w:sz w:val="24"/>
                <w:szCs w:val="24"/>
                <w:lang w:eastAsia="lv-LV"/>
              </w:rPr>
              <w:t xml:space="preserve">icencēto grāmatvedības ārpakalpojuma sniedzēju reģistra izstrādes </w:t>
            </w:r>
            <w:r w:rsidR="00AE5EFC" w:rsidRPr="00A266D7">
              <w:rPr>
                <w:rFonts w:eastAsia="Times New Roman"/>
                <w:iCs/>
                <w:sz w:val="24"/>
                <w:szCs w:val="24"/>
                <w:lang w:eastAsia="lv-LV"/>
              </w:rPr>
              <w:t xml:space="preserve">izmaksas ir 41 036 EUR, ikgadējas izmaksas reģistra uzlabojumu veikšanai ir 2 </w:t>
            </w:r>
            <w:r w:rsidR="00FF1CEB" w:rsidRPr="00A266D7">
              <w:rPr>
                <w:rFonts w:eastAsia="Times New Roman"/>
                <w:iCs/>
                <w:sz w:val="24"/>
                <w:szCs w:val="24"/>
                <w:lang w:eastAsia="lv-LV"/>
              </w:rPr>
              <w:t>166</w:t>
            </w:r>
            <w:r w:rsidR="00AE5EFC" w:rsidRPr="00A266D7">
              <w:rPr>
                <w:rFonts w:eastAsia="Times New Roman"/>
                <w:iCs/>
                <w:sz w:val="24"/>
                <w:szCs w:val="24"/>
                <w:lang w:eastAsia="lv-LV"/>
              </w:rPr>
              <w:t xml:space="preserve"> EUR. </w:t>
            </w:r>
          </w:p>
          <w:p w14:paraId="21C28F6B" w14:textId="5C8EAA88" w:rsidR="000D2356" w:rsidRPr="008B78BC" w:rsidRDefault="00630219" w:rsidP="0028468D">
            <w:pPr>
              <w:widowControl/>
              <w:spacing w:before="100" w:beforeAutospacing="1" w:after="0" w:line="240" w:lineRule="auto"/>
              <w:jc w:val="both"/>
              <w:rPr>
                <w:rFonts w:eastAsia="Times New Roman"/>
                <w:sz w:val="24"/>
                <w:szCs w:val="24"/>
                <w:lang w:eastAsia="lv-LV"/>
              </w:rPr>
            </w:pPr>
            <w:r w:rsidRPr="004836EF">
              <w:rPr>
                <w:rFonts w:eastAsia="Times New Roman"/>
                <w:iCs/>
                <w:sz w:val="24"/>
                <w:szCs w:val="24"/>
                <w:lang w:eastAsia="lv-LV"/>
              </w:rPr>
              <w:t xml:space="preserve">VID licences izsniegšanas ārpakalpojumu grāmatvežiem un to </w:t>
            </w:r>
            <w:r w:rsidRPr="003154CE">
              <w:rPr>
                <w:rFonts w:eastAsia="Times New Roman"/>
                <w:iCs/>
                <w:sz w:val="24"/>
                <w:szCs w:val="24"/>
                <w:lang w:eastAsia="lv-LV"/>
              </w:rPr>
              <w:t>uzraudzības nodrošināšanai nepieciešamais papildus finansējums 2020.gadam 45 683 EUR, 2021.gadam 110 957 EUR, 2022.gadam un turpmāk ik gadu 45 683 EUR.</w:t>
            </w:r>
          </w:p>
        </w:tc>
      </w:tr>
      <w:tr w:rsidR="005F5D0D" w:rsidRPr="005F5D0D" w14:paraId="5E3D4697" w14:textId="77777777" w:rsidTr="004F4A43">
        <w:trPr>
          <w:tblCellSpacing w:w="15" w:type="dxa"/>
        </w:trPr>
        <w:tc>
          <w:tcPr>
            <w:tcW w:w="578" w:type="dxa"/>
            <w:tcBorders>
              <w:top w:val="outset" w:sz="6" w:space="0" w:color="auto"/>
              <w:left w:val="outset" w:sz="6" w:space="0" w:color="auto"/>
              <w:bottom w:val="outset" w:sz="6" w:space="0" w:color="auto"/>
              <w:right w:val="outset" w:sz="6" w:space="0" w:color="auto"/>
            </w:tcBorders>
            <w:hideMark/>
          </w:tcPr>
          <w:p w14:paraId="12513245" w14:textId="77777777" w:rsidR="000D2356" w:rsidRPr="005F5D0D" w:rsidRDefault="00AE5EFC"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4.</w:t>
            </w:r>
          </w:p>
        </w:tc>
        <w:tc>
          <w:tcPr>
            <w:tcW w:w="2839" w:type="dxa"/>
            <w:tcBorders>
              <w:top w:val="outset" w:sz="6" w:space="0" w:color="auto"/>
              <w:left w:val="outset" w:sz="6" w:space="0" w:color="auto"/>
              <w:bottom w:val="outset" w:sz="6" w:space="0" w:color="auto"/>
              <w:right w:val="outset" w:sz="6" w:space="0" w:color="auto"/>
            </w:tcBorders>
            <w:hideMark/>
          </w:tcPr>
          <w:p w14:paraId="50023A50" w14:textId="77777777" w:rsidR="000D2356" w:rsidRPr="005F5D0D" w:rsidRDefault="00AE5EFC"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Atbilstības izmaksu monetārs novērtējums</w:t>
            </w:r>
          </w:p>
        </w:tc>
        <w:tc>
          <w:tcPr>
            <w:tcW w:w="6378" w:type="dxa"/>
            <w:tcBorders>
              <w:top w:val="outset" w:sz="6" w:space="0" w:color="auto"/>
              <w:left w:val="outset" w:sz="6" w:space="0" w:color="auto"/>
              <w:bottom w:val="outset" w:sz="6" w:space="0" w:color="auto"/>
              <w:right w:val="outset" w:sz="6" w:space="0" w:color="auto"/>
            </w:tcBorders>
            <w:hideMark/>
          </w:tcPr>
          <w:p w14:paraId="0083E037" w14:textId="77777777" w:rsidR="000D2356" w:rsidRPr="005F5D0D" w:rsidRDefault="00AE5EFC"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Likumprojekts šo jomu neskar</w:t>
            </w:r>
          </w:p>
        </w:tc>
      </w:tr>
      <w:tr w:rsidR="005F5D0D" w:rsidRPr="005F5D0D" w14:paraId="44480EDB" w14:textId="77777777" w:rsidTr="004F4A43">
        <w:trPr>
          <w:tblCellSpacing w:w="15" w:type="dxa"/>
        </w:trPr>
        <w:tc>
          <w:tcPr>
            <w:tcW w:w="578" w:type="dxa"/>
            <w:tcBorders>
              <w:top w:val="outset" w:sz="6" w:space="0" w:color="auto"/>
              <w:left w:val="outset" w:sz="6" w:space="0" w:color="auto"/>
              <w:bottom w:val="outset" w:sz="6" w:space="0" w:color="auto"/>
              <w:right w:val="outset" w:sz="6" w:space="0" w:color="auto"/>
            </w:tcBorders>
            <w:hideMark/>
          </w:tcPr>
          <w:p w14:paraId="6FC9F9ED" w14:textId="77777777" w:rsidR="000D2356" w:rsidRPr="005F5D0D" w:rsidRDefault="00AE5EFC"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5.</w:t>
            </w:r>
          </w:p>
        </w:tc>
        <w:tc>
          <w:tcPr>
            <w:tcW w:w="2839" w:type="dxa"/>
            <w:tcBorders>
              <w:top w:val="outset" w:sz="6" w:space="0" w:color="auto"/>
              <w:left w:val="outset" w:sz="6" w:space="0" w:color="auto"/>
              <w:bottom w:val="outset" w:sz="6" w:space="0" w:color="auto"/>
              <w:right w:val="outset" w:sz="6" w:space="0" w:color="auto"/>
            </w:tcBorders>
            <w:hideMark/>
          </w:tcPr>
          <w:p w14:paraId="3285F40E" w14:textId="77777777" w:rsidR="000D2356" w:rsidRPr="005F5D0D" w:rsidRDefault="00AE5EFC"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Cita informācija</w:t>
            </w:r>
          </w:p>
        </w:tc>
        <w:tc>
          <w:tcPr>
            <w:tcW w:w="6378" w:type="dxa"/>
            <w:tcBorders>
              <w:top w:val="outset" w:sz="6" w:space="0" w:color="auto"/>
              <w:left w:val="outset" w:sz="6" w:space="0" w:color="auto"/>
              <w:bottom w:val="outset" w:sz="6" w:space="0" w:color="auto"/>
              <w:right w:val="outset" w:sz="6" w:space="0" w:color="auto"/>
            </w:tcBorders>
            <w:hideMark/>
          </w:tcPr>
          <w:p w14:paraId="57F099C5" w14:textId="77777777" w:rsidR="000D2356" w:rsidRPr="005F5D0D" w:rsidRDefault="00AE5EFC"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Nav</w:t>
            </w:r>
          </w:p>
        </w:tc>
      </w:tr>
    </w:tbl>
    <w:p w14:paraId="331DBF68" w14:textId="52790284" w:rsidR="00EE107A" w:rsidRDefault="000E56B2" w:rsidP="00EE107A">
      <w:pPr>
        <w:widowControl/>
        <w:spacing w:before="100" w:beforeAutospacing="1" w:after="0" w:line="240" w:lineRule="auto"/>
        <w:rPr>
          <w:rFonts w:eastAsia="Times New Roman"/>
          <w:iCs/>
          <w:sz w:val="24"/>
          <w:szCs w:val="24"/>
          <w:lang w:eastAsia="lv-LV"/>
        </w:rPr>
      </w:pPr>
      <w:r w:rsidRPr="005F5D0D">
        <w:rPr>
          <w:rFonts w:eastAsia="Times New Roman"/>
          <w:iCs/>
          <w:sz w:val="24"/>
          <w:szCs w:val="24"/>
          <w:lang w:eastAsia="lv-LV"/>
        </w:rPr>
        <w:t xml:space="preserve">  </w:t>
      </w:r>
    </w:p>
    <w:tbl>
      <w:tblPr>
        <w:tblW w:w="10624" w:type="dxa"/>
        <w:jc w:val="center"/>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2521"/>
        <w:gridCol w:w="1440"/>
        <w:gridCol w:w="1080"/>
        <w:gridCol w:w="992"/>
        <w:gridCol w:w="1134"/>
        <w:gridCol w:w="992"/>
        <w:gridCol w:w="1134"/>
        <w:gridCol w:w="1331"/>
      </w:tblGrid>
      <w:tr w:rsidR="005F5D0D" w:rsidRPr="005F5D0D" w14:paraId="4078D935" w14:textId="77777777" w:rsidTr="004F4A43">
        <w:trPr>
          <w:tblCellSpacing w:w="15" w:type="dxa"/>
          <w:jc w:val="center"/>
        </w:trPr>
        <w:tc>
          <w:tcPr>
            <w:tcW w:w="10564" w:type="dxa"/>
            <w:gridSpan w:val="8"/>
            <w:tcBorders>
              <w:top w:val="outset" w:sz="6" w:space="0" w:color="auto"/>
              <w:left w:val="outset" w:sz="6" w:space="0" w:color="auto"/>
              <w:bottom w:val="outset" w:sz="6" w:space="0" w:color="auto"/>
              <w:right w:val="outset" w:sz="6" w:space="0" w:color="auto"/>
            </w:tcBorders>
            <w:vAlign w:val="center"/>
            <w:hideMark/>
          </w:tcPr>
          <w:p w14:paraId="02743DF0" w14:textId="44ACEA21" w:rsidR="004D6185" w:rsidRPr="005F5D0D" w:rsidRDefault="00EE107A" w:rsidP="004D6185">
            <w:pPr>
              <w:widowControl/>
              <w:spacing w:before="100" w:beforeAutospacing="1" w:after="0" w:line="240" w:lineRule="auto"/>
              <w:rPr>
                <w:rFonts w:eastAsia="Times New Roman"/>
                <w:b/>
                <w:bCs/>
                <w:iCs/>
                <w:sz w:val="24"/>
                <w:szCs w:val="24"/>
                <w:lang w:eastAsia="lv-LV"/>
              </w:rPr>
            </w:pPr>
            <w:r>
              <w:rPr>
                <w:rFonts w:eastAsia="Times New Roman"/>
                <w:iCs/>
                <w:sz w:val="24"/>
                <w:szCs w:val="24"/>
                <w:lang w:eastAsia="lv-LV"/>
              </w:rPr>
              <w:br w:type="page"/>
            </w:r>
            <w:r w:rsidR="000E56B2" w:rsidRPr="005F5D0D">
              <w:rPr>
                <w:rFonts w:eastAsia="Times New Roman"/>
                <w:b/>
                <w:bCs/>
                <w:iCs/>
                <w:sz w:val="24"/>
                <w:szCs w:val="24"/>
                <w:lang w:eastAsia="lv-LV"/>
              </w:rPr>
              <w:t>III. Tiesību akta projekta ietekme uz valsts budžetu un pašvaldību budžetiem</w:t>
            </w:r>
          </w:p>
        </w:tc>
      </w:tr>
      <w:tr w:rsidR="005F5D0D" w:rsidRPr="00252F96" w14:paraId="43577FF8" w14:textId="77777777" w:rsidTr="004F4A43">
        <w:trPr>
          <w:tblCellSpacing w:w="15" w:type="dxa"/>
          <w:jc w:val="center"/>
        </w:trPr>
        <w:tc>
          <w:tcPr>
            <w:tcW w:w="2476" w:type="dxa"/>
            <w:vMerge w:val="restart"/>
            <w:tcBorders>
              <w:top w:val="outset" w:sz="6" w:space="0" w:color="auto"/>
              <w:left w:val="outset" w:sz="6" w:space="0" w:color="auto"/>
              <w:bottom w:val="outset" w:sz="6" w:space="0" w:color="auto"/>
              <w:right w:val="outset" w:sz="6" w:space="0" w:color="auto"/>
            </w:tcBorders>
            <w:vAlign w:val="center"/>
            <w:hideMark/>
          </w:tcPr>
          <w:p w14:paraId="7731A8DC" w14:textId="77777777" w:rsidR="004D6185" w:rsidRPr="005F5D0D" w:rsidRDefault="000E56B2" w:rsidP="001B4290">
            <w:pPr>
              <w:jc w:val="center"/>
              <w:rPr>
                <w:sz w:val="22"/>
              </w:rPr>
            </w:pPr>
            <w:r w:rsidRPr="005F5D0D">
              <w:rPr>
                <w:sz w:val="22"/>
              </w:rPr>
              <w:t>Rādītāji</w:t>
            </w:r>
          </w:p>
        </w:tc>
        <w:tc>
          <w:tcPr>
            <w:tcW w:w="2490"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4727F243" w14:textId="7A12F2D5" w:rsidR="004D6185" w:rsidRPr="008B78BC" w:rsidRDefault="00473508" w:rsidP="001B4290">
            <w:pPr>
              <w:jc w:val="center"/>
              <w:rPr>
                <w:sz w:val="22"/>
              </w:rPr>
            </w:pPr>
            <w:r w:rsidRPr="008B78BC">
              <w:rPr>
                <w:sz w:val="22"/>
              </w:rPr>
              <w:t>2019</w:t>
            </w:r>
          </w:p>
        </w:tc>
        <w:tc>
          <w:tcPr>
            <w:tcW w:w="5538" w:type="dxa"/>
            <w:gridSpan w:val="5"/>
            <w:tcBorders>
              <w:top w:val="outset" w:sz="6" w:space="0" w:color="auto"/>
              <w:left w:val="outset" w:sz="6" w:space="0" w:color="auto"/>
              <w:bottom w:val="outset" w:sz="6" w:space="0" w:color="auto"/>
              <w:right w:val="outset" w:sz="6" w:space="0" w:color="auto"/>
            </w:tcBorders>
            <w:vAlign w:val="center"/>
            <w:hideMark/>
          </w:tcPr>
          <w:p w14:paraId="6285D55F" w14:textId="77777777" w:rsidR="004D6185" w:rsidRPr="003C5BDC" w:rsidRDefault="000E56B2" w:rsidP="001B4290">
            <w:pPr>
              <w:jc w:val="center"/>
              <w:rPr>
                <w:sz w:val="22"/>
              </w:rPr>
            </w:pPr>
            <w:r w:rsidRPr="003C5BDC">
              <w:rPr>
                <w:sz w:val="22"/>
              </w:rPr>
              <w:t>Turpmākie trīs gadi (</w:t>
            </w:r>
            <w:r w:rsidRPr="003C5BDC">
              <w:rPr>
                <w:i/>
                <w:iCs/>
                <w:sz w:val="22"/>
              </w:rPr>
              <w:t>euro</w:t>
            </w:r>
            <w:r w:rsidRPr="003C5BDC">
              <w:rPr>
                <w:sz w:val="22"/>
              </w:rPr>
              <w:t>)</w:t>
            </w:r>
          </w:p>
        </w:tc>
      </w:tr>
      <w:tr w:rsidR="005F5D0D" w:rsidRPr="00252F96" w14:paraId="546B21CC" w14:textId="77777777" w:rsidTr="004F4A43">
        <w:trPr>
          <w:tblCellSpacing w:w="15" w:type="dxa"/>
          <w:jc w:val="center"/>
        </w:trPr>
        <w:tc>
          <w:tcPr>
            <w:tcW w:w="2476" w:type="dxa"/>
            <w:vMerge/>
            <w:tcBorders>
              <w:top w:val="outset" w:sz="6" w:space="0" w:color="auto"/>
              <w:left w:val="outset" w:sz="6" w:space="0" w:color="auto"/>
              <w:bottom w:val="outset" w:sz="6" w:space="0" w:color="auto"/>
              <w:right w:val="outset" w:sz="6" w:space="0" w:color="auto"/>
            </w:tcBorders>
            <w:vAlign w:val="center"/>
            <w:hideMark/>
          </w:tcPr>
          <w:p w14:paraId="0ED51A7F" w14:textId="77777777" w:rsidR="004D6185" w:rsidRPr="005F5D0D" w:rsidRDefault="004D6185" w:rsidP="001B4290">
            <w:pPr>
              <w:jc w:val="center"/>
              <w:rPr>
                <w:sz w:val="22"/>
              </w:rPr>
            </w:pPr>
          </w:p>
        </w:tc>
        <w:tc>
          <w:tcPr>
            <w:tcW w:w="2490" w:type="dxa"/>
            <w:gridSpan w:val="2"/>
            <w:vMerge/>
            <w:tcBorders>
              <w:top w:val="outset" w:sz="6" w:space="0" w:color="auto"/>
              <w:left w:val="outset" w:sz="6" w:space="0" w:color="auto"/>
              <w:bottom w:val="outset" w:sz="6" w:space="0" w:color="auto"/>
              <w:right w:val="outset" w:sz="6" w:space="0" w:color="auto"/>
            </w:tcBorders>
            <w:vAlign w:val="center"/>
            <w:hideMark/>
          </w:tcPr>
          <w:p w14:paraId="206645F7" w14:textId="77777777" w:rsidR="004D6185" w:rsidRPr="005F10EE" w:rsidRDefault="004D6185" w:rsidP="001B4290">
            <w:pPr>
              <w:jc w:val="center"/>
              <w:rPr>
                <w:sz w:val="22"/>
              </w:rPr>
            </w:pPr>
          </w:p>
        </w:tc>
        <w:tc>
          <w:tcPr>
            <w:tcW w:w="2096" w:type="dxa"/>
            <w:gridSpan w:val="2"/>
            <w:tcBorders>
              <w:top w:val="outset" w:sz="6" w:space="0" w:color="auto"/>
              <w:left w:val="outset" w:sz="6" w:space="0" w:color="auto"/>
              <w:bottom w:val="outset" w:sz="6" w:space="0" w:color="auto"/>
              <w:right w:val="outset" w:sz="6" w:space="0" w:color="auto"/>
            </w:tcBorders>
            <w:vAlign w:val="center"/>
            <w:hideMark/>
          </w:tcPr>
          <w:p w14:paraId="0E96E7AE" w14:textId="43FAC59F" w:rsidR="004D6185" w:rsidRPr="005F10EE" w:rsidRDefault="00473508" w:rsidP="001B4290">
            <w:pPr>
              <w:jc w:val="center"/>
              <w:rPr>
                <w:sz w:val="22"/>
              </w:rPr>
            </w:pPr>
            <w:r w:rsidRPr="005F10EE">
              <w:rPr>
                <w:sz w:val="22"/>
              </w:rPr>
              <w:t>2020</w:t>
            </w:r>
          </w:p>
        </w:tc>
        <w:tc>
          <w:tcPr>
            <w:tcW w:w="2096" w:type="dxa"/>
            <w:gridSpan w:val="2"/>
            <w:tcBorders>
              <w:top w:val="outset" w:sz="6" w:space="0" w:color="auto"/>
              <w:left w:val="outset" w:sz="6" w:space="0" w:color="auto"/>
              <w:bottom w:val="outset" w:sz="6" w:space="0" w:color="auto"/>
              <w:right w:val="outset" w:sz="6" w:space="0" w:color="auto"/>
            </w:tcBorders>
            <w:vAlign w:val="center"/>
            <w:hideMark/>
          </w:tcPr>
          <w:p w14:paraId="4E42B49C" w14:textId="067C4280" w:rsidR="004D6185" w:rsidRPr="005F10EE" w:rsidRDefault="00473508" w:rsidP="001B4290">
            <w:pPr>
              <w:jc w:val="center"/>
              <w:rPr>
                <w:sz w:val="22"/>
              </w:rPr>
            </w:pPr>
            <w:r w:rsidRPr="005F10EE">
              <w:rPr>
                <w:sz w:val="22"/>
              </w:rPr>
              <w:t>2021</w:t>
            </w:r>
          </w:p>
        </w:tc>
        <w:tc>
          <w:tcPr>
            <w:tcW w:w="1286" w:type="dxa"/>
            <w:tcBorders>
              <w:top w:val="outset" w:sz="6" w:space="0" w:color="auto"/>
              <w:left w:val="outset" w:sz="6" w:space="0" w:color="auto"/>
              <w:bottom w:val="outset" w:sz="6" w:space="0" w:color="auto"/>
              <w:right w:val="outset" w:sz="6" w:space="0" w:color="auto"/>
            </w:tcBorders>
            <w:vAlign w:val="center"/>
            <w:hideMark/>
          </w:tcPr>
          <w:p w14:paraId="70179990" w14:textId="680FE4E4" w:rsidR="004D6185" w:rsidRPr="005F10EE" w:rsidRDefault="00473508" w:rsidP="001B4290">
            <w:pPr>
              <w:jc w:val="center"/>
              <w:rPr>
                <w:sz w:val="22"/>
              </w:rPr>
            </w:pPr>
            <w:r w:rsidRPr="005F10EE">
              <w:rPr>
                <w:sz w:val="22"/>
              </w:rPr>
              <w:t>2022</w:t>
            </w:r>
          </w:p>
        </w:tc>
      </w:tr>
      <w:tr w:rsidR="005F5D0D" w:rsidRPr="00252F96" w14:paraId="31BAF812" w14:textId="77777777" w:rsidTr="004F4A43">
        <w:trPr>
          <w:tblCellSpacing w:w="15" w:type="dxa"/>
          <w:jc w:val="center"/>
        </w:trPr>
        <w:tc>
          <w:tcPr>
            <w:tcW w:w="2476" w:type="dxa"/>
            <w:vMerge/>
            <w:tcBorders>
              <w:top w:val="outset" w:sz="6" w:space="0" w:color="auto"/>
              <w:left w:val="outset" w:sz="6" w:space="0" w:color="auto"/>
              <w:bottom w:val="outset" w:sz="6" w:space="0" w:color="auto"/>
              <w:right w:val="outset" w:sz="6" w:space="0" w:color="auto"/>
            </w:tcBorders>
            <w:vAlign w:val="center"/>
            <w:hideMark/>
          </w:tcPr>
          <w:p w14:paraId="2CFC6BF2" w14:textId="77777777" w:rsidR="004D6185" w:rsidRPr="005F5D0D" w:rsidRDefault="004D6185" w:rsidP="001B4290">
            <w:pPr>
              <w:jc w:val="center"/>
              <w:rPr>
                <w:sz w:val="22"/>
              </w:rPr>
            </w:pPr>
          </w:p>
        </w:tc>
        <w:tc>
          <w:tcPr>
            <w:tcW w:w="1410" w:type="dxa"/>
            <w:tcBorders>
              <w:top w:val="outset" w:sz="6" w:space="0" w:color="auto"/>
              <w:left w:val="outset" w:sz="6" w:space="0" w:color="auto"/>
              <w:bottom w:val="outset" w:sz="6" w:space="0" w:color="auto"/>
              <w:right w:val="outset" w:sz="6" w:space="0" w:color="auto"/>
            </w:tcBorders>
            <w:vAlign w:val="center"/>
            <w:hideMark/>
          </w:tcPr>
          <w:p w14:paraId="6AC5FEC6" w14:textId="77777777" w:rsidR="004D6185" w:rsidRPr="008B78BC" w:rsidRDefault="000E56B2" w:rsidP="001B4290">
            <w:pPr>
              <w:jc w:val="center"/>
              <w:rPr>
                <w:sz w:val="22"/>
              </w:rPr>
            </w:pPr>
            <w:r w:rsidRPr="008B78BC">
              <w:rPr>
                <w:sz w:val="22"/>
              </w:rPr>
              <w:t>saskaņā ar valsts budžetu kārtējam gadam</w:t>
            </w:r>
          </w:p>
        </w:tc>
        <w:tc>
          <w:tcPr>
            <w:tcW w:w="1050" w:type="dxa"/>
            <w:tcBorders>
              <w:top w:val="outset" w:sz="6" w:space="0" w:color="auto"/>
              <w:left w:val="outset" w:sz="6" w:space="0" w:color="auto"/>
              <w:bottom w:val="outset" w:sz="6" w:space="0" w:color="auto"/>
              <w:right w:val="outset" w:sz="6" w:space="0" w:color="auto"/>
            </w:tcBorders>
            <w:vAlign w:val="center"/>
            <w:hideMark/>
          </w:tcPr>
          <w:p w14:paraId="48CBE64B" w14:textId="77777777" w:rsidR="004D6185" w:rsidRPr="003C5BDC" w:rsidRDefault="000E56B2" w:rsidP="001B4290">
            <w:pPr>
              <w:jc w:val="center"/>
              <w:rPr>
                <w:sz w:val="22"/>
              </w:rPr>
            </w:pPr>
            <w:r w:rsidRPr="003C5BDC">
              <w:rPr>
                <w:sz w:val="22"/>
              </w:rPr>
              <w:t>izmaiņas kārtējā gadā, salīdzinot ar valsts budžetu kārtējam gadam</w:t>
            </w:r>
          </w:p>
        </w:tc>
        <w:tc>
          <w:tcPr>
            <w:tcW w:w="962" w:type="dxa"/>
            <w:tcBorders>
              <w:top w:val="outset" w:sz="6" w:space="0" w:color="auto"/>
              <w:left w:val="outset" w:sz="6" w:space="0" w:color="auto"/>
              <w:bottom w:val="outset" w:sz="6" w:space="0" w:color="auto"/>
              <w:right w:val="outset" w:sz="6" w:space="0" w:color="auto"/>
            </w:tcBorders>
            <w:vAlign w:val="center"/>
            <w:hideMark/>
          </w:tcPr>
          <w:p w14:paraId="514EA888" w14:textId="77777777" w:rsidR="004D6185" w:rsidRPr="005F10EE" w:rsidRDefault="000E56B2" w:rsidP="001B4290">
            <w:pPr>
              <w:jc w:val="center"/>
              <w:rPr>
                <w:sz w:val="22"/>
              </w:rPr>
            </w:pPr>
            <w:r w:rsidRPr="005F10EE">
              <w:rPr>
                <w:sz w:val="22"/>
              </w:rPr>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1A448B7" w14:textId="33DFE0E5" w:rsidR="004D6185" w:rsidRPr="00DC08B8" w:rsidRDefault="000E56B2">
            <w:pPr>
              <w:jc w:val="center"/>
              <w:rPr>
                <w:sz w:val="22"/>
              </w:rPr>
            </w:pPr>
            <w:r w:rsidRPr="0028468D">
              <w:rPr>
                <w:sz w:val="22"/>
              </w:rPr>
              <w:t xml:space="preserve">izmaiņas, salīdzinot ar vidēja termiņa budžeta ietvaru </w:t>
            </w:r>
            <w:r w:rsidR="003C1A7A" w:rsidRPr="00DC08B8">
              <w:rPr>
                <w:sz w:val="22"/>
              </w:rPr>
              <w:t>2020</w:t>
            </w:r>
            <w:r w:rsidR="00F310E7" w:rsidRPr="00DC08B8">
              <w:rPr>
                <w:sz w:val="22"/>
              </w:rPr>
              <w:t>.</w:t>
            </w:r>
            <w:r w:rsidR="00F310E7" w:rsidRPr="0028468D">
              <w:rPr>
                <w:sz w:val="22"/>
              </w:rPr>
              <w:t xml:space="preserve"> </w:t>
            </w:r>
            <w:r w:rsidRPr="00DC08B8">
              <w:rPr>
                <w:sz w:val="22"/>
              </w:rPr>
              <w:t>gadam</w:t>
            </w:r>
          </w:p>
        </w:tc>
        <w:tc>
          <w:tcPr>
            <w:tcW w:w="962" w:type="dxa"/>
            <w:tcBorders>
              <w:top w:val="outset" w:sz="6" w:space="0" w:color="auto"/>
              <w:left w:val="outset" w:sz="6" w:space="0" w:color="auto"/>
              <w:bottom w:val="outset" w:sz="6" w:space="0" w:color="auto"/>
              <w:right w:val="outset" w:sz="6" w:space="0" w:color="auto"/>
            </w:tcBorders>
            <w:vAlign w:val="center"/>
            <w:hideMark/>
          </w:tcPr>
          <w:p w14:paraId="2686701F" w14:textId="77777777" w:rsidR="004D6185" w:rsidRPr="00DC08B8" w:rsidRDefault="000E56B2" w:rsidP="001B4290">
            <w:pPr>
              <w:jc w:val="center"/>
              <w:rPr>
                <w:sz w:val="22"/>
              </w:rPr>
            </w:pPr>
            <w:r w:rsidRPr="00DC08B8">
              <w:rPr>
                <w:sz w:val="22"/>
              </w:rPr>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E880E5C" w14:textId="2EC39080" w:rsidR="004D6185" w:rsidRPr="00DC08B8" w:rsidRDefault="000E56B2" w:rsidP="001B4290">
            <w:pPr>
              <w:jc w:val="center"/>
              <w:rPr>
                <w:sz w:val="22"/>
              </w:rPr>
            </w:pPr>
            <w:r w:rsidRPr="00DC08B8">
              <w:rPr>
                <w:sz w:val="22"/>
              </w:rPr>
              <w:t xml:space="preserve">izmaiņas, salīdzinot ar vidēja termiņa budžeta ietvaru </w:t>
            </w:r>
            <w:r w:rsidR="001B4290" w:rsidRPr="00DC08B8">
              <w:rPr>
                <w:sz w:val="22"/>
              </w:rPr>
              <w:t>202</w:t>
            </w:r>
            <w:r w:rsidR="003C1A7A" w:rsidRPr="00DC08B8">
              <w:rPr>
                <w:sz w:val="22"/>
              </w:rPr>
              <w:t>1</w:t>
            </w:r>
            <w:r w:rsidR="001B4290" w:rsidRPr="00DC08B8">
              <w:rPr>
                <w:sz w:val="22"/>
              </w:rPr>
              <w:t>.</w:t>
            </w:r>
            <w:r w:rsidRPr="0028468D">
              <w:rPr>
                <w:sz w:val="22"/>
              </w:rPr>
              <w:t xml:space="preserve"> </w:t>
            </w:r>
            <w:r w:rsidRPr="00DC08B8">
              <w:rPr>
                <w:sz w:val="22"/>
              </w:rPr>
              <w:t>gadam</w:t>
            </w:r>
          </w:p>
        </w:tc>
        <w:tc>
          <w:tcPr>
            <w:tcW w:w="1286" w:type="dxa"/>
            <w:tcBorders>
              <w:top w:val="outset" w:sz="6" w:space="0" w:color="auto"/>
              <w:left w:val="outset" w:sz="6" w:space="0" w:color="auto"/>
              <w:bottom w:val="outset" w:sz="6" w:space="0" w:color="auto"/>
              <w:right w:val="outset" w:sz="6" w:space="0" w:color="auto"/>
            </w:tcBorders>
            <w:vAlign w:val="center"/>
            <w:hideMark/>
          </w:tcPr>
          <w:p w14:paraId="149BA2A3" w14:textId="483172BB" w:rsidR="004D6185" w:rsidRPr="00DC08B8" w:rsidRDefault="000E56B2" w:rsidP="001E65CC">
            <w:pPr>
              <w:jc w:val="center"/>
              <w:rPr>
                <w:sz w:val="22"/>
                <w:lang w:val="en-US"/>
              </w:rPr>
            </w:pPr>
            <w:r w:rsidRPr="00DC08B8">
              <w:rPr>
                <w:sz w:val="22"/>
              </w:rPr>
              <w:t xml:space="preserve">izmaiņas, salīdzinot ar vidēja termiņa budžeta ietvaru </w:t>
            </w:r>
            <w:r w:rsidR="001B4290" w:rsidRPr="00DC08B8">
              <w:rPr>
                <w:sz w:val="22"/>
              </w:rPr>
              <w:t>202</w:t>
            </w:r>
            <w:r w:rsidR="00F310E7" w:rsidRPr="00DC08B8">
              <w:rPr>
                <w:sz w:val="22"/>
              </w:rPr>
              <w:t>1</w:t>
            </w:r>
            <w:r w:rsidR="001B4290" w:rsidRPr="0028468D">
              <w:rPr>
                <w:sz w:val="22"/>
              </w:rPr>
              <w:t>.</w:t>
            </w:r>
            <w:r w:rsidRPr="0028468D">
              <w:rPr>
                <w:sz w:val="22"/>
              </w:rPr>
              <w:t xml:space="preserve"> </w:t>
            </w:r>
            <w:r w:rsidRPr="00DC08B8">
              <w:rPr>
                <w:sz w:val="22"/>
              </w:rPr>
              <w:t>gadam</w:t>
            </w:r>
          </w:p>
        </w:tc>
      </w:tr>
      <w:tr w:rsidR="005F5D0D" w:rsidRPr="00252F96" w14:paraId="3DBE40A4" w14:textId="77777777" w:rsidTr="004F4A43">
        <w:trPr>
          <w:tblCellSpacing w:w="15" w:type="dxa"/>
          <w:jc w:val="center"/>
        </w:trPr>
        <w:tc>
          <w:tcPr>
            <w:tcW w:w="2476" w:type="dxa"/>
            <w:tcBorders>
              <w:top w:val="outset" w:sz="6" w:space="0" w:color="auto"/>
              <w:left w:val="outset" w:sz="6" w:space="0" w:color="auto"/>
              <w:bottom w:val="outset" w:sz="6" w:space="0" w:color="auto"/>
              <w:right w:val="outset" w:sz="6" w:space="0" w:color="auto"/>
            </w:tcBorders>
            <w:vAlign w:val="center"/>
            <w:hideMark/>
          </w:tcPr>
          <w:p w14:paraId="6CCB8E7F" w14:textId="77777777" w:rsidR="004D6185" w:rsidRPr="005F5D0D" w:rsidRDefault="000E56B2" w:rsidP="001B4290">
            <w:pPr>
              <w:jc w:val="center"/>
              <w:rPr>
                <w:sz w:val="22"/>
              </w:rPr>
            </w:pPr>
            <w:r w:rsidRPr="005F5D0D">
              <w:rPr>
                <w:sz w:val="22"/>
              </w:rPr>
              <w:t>1</w:t>
            </w:r>
          </w:p>
        </w:tc>
        <w:tc>
          <w:tcPr>
            <w:tcW w:w="1410" w:type="dxa"/>
            <w:tcBorders>
              <w:top w:val="outset" w:sz="6" w:space="0" w:color="auto"/>
              <w:left w:val="outset" w:sz="6" w:space="0" w:color="auto"/>
              <w:bottom w:val="outset" w:sz="6" w:space="0" w:color="auto"/>
              <w:right w:val="outset" w:sz="6" w:space="0" w:color="auto"/>
            </w:tcBorders>
            <w:vAlign w:val="center"/>
            <w:hideMark/>
          </w:tcPr>
          <w:p w14:paraId="582694AC" w14:textId="77777777" w:rsidR="004D6185" w:rsidRPr="008B78BC" w:rsidRDefault="000E56B2" w:rsidP="001B4290">
            <w:pPr>
              <w:jc w:val="center"/>
              <w:rPr>
                <w:sz w:val="22"/>
              </w:rPr>
            </w:pPr>
            <w:r w:rsidRPr="008B78BC">
              <w:rPr>
                <w:sz w:val="22"/>
              </w:rPr>
              <w:t>2</w:t>
            </w:r>
          </w:p>
        </w:tc>
        <w:tc>
          <w:tcPr>
            <w:tcW w:w="1050" w:type="dxa"/>
            <w:tcBorders>
              <w:top w:val="outset" w:sz="6" w:space="0" w:color="auto"/>
              <w:left w:val="outset" w:sz="6" w:space="0" w:color="auto"/>
              <w:bottom w:val="outset" w:sz="6" w:space="0" w:color="auto"/>
              <w:right w:val="outset" w:sz="6" w:space="0" w:color="auto"/>
            </w:tcBorders>
            <w:vAlign w:val="center"/>
            <w:hideMark/>
          </w:tcPr>
          <w:p w14:paraId="5B22721C" w14:textId="77777777" w:rsidR="004D6185" w:rsidRPr="003C5BDC" w:rsidRDefault="000E56B2" w:rsidP="001B4290">
            <w:pPr>
              <w:jc w:val="center"/>
              <w:rPr>
                <w:sz w:val="22"/>
              </w:rPr>
            </w:pPr>
            <w:r w:rsidRPr="003C5BDC">
              <w:rPr>
                <w:sz w:val="22"/>
              </w:rPr>
              <w:t>3</w:t>
            </w:r>
          </w:p>
        </w:tc>
        <w:tc>
          <w:tcPr>
            <w:tcW w:w="962" w:type="dxa"/>
            <w:tcBorders>
              <w:top w:val="outset" w:sz="6" w:space="0" w:color="auto"/>
              <w:left w:val="outset" w:sz="6" w:space="0" w:color="auto"/>
              <w:bottom w:val="outset" w:sz="6" w:space="0" w:color="auto"/>
              <w:right w:val="outset" w:sz="6" w:space="0" w:color="auto"/>
            </w:tcBorders>
            <w:vAlign w:val="center"/>
            <w:hideMark/>
          </w:tcPr>
          <w:p w14:paraId="53807E07" w14:textId="77777777" w:rsidR="004D6185" w:rsidRPr="005F10EE" w:rsidRDefault="000E56B2" w:rsidP="001B4290">
            <w:pPr>
              <w:jc w:val="center"/>
              <w:rPr>
                <w:sz w:val="22"/>
              </w:rPr>
            </w:pPr>
            <w:r w:rsidRPr="005F10EE">
              <w:rPr>
                <w:sz w:val="22"/>
              </w:rPr>
              <w:t>4</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36FB4EE" w14:textId="77777777" w:rsidR="004D6185" w:rsidRPr="005F10EE" w:rsidRDefault="000E56B2" w:rsidP="001B4290">
            <w:pPr>
              <w:jc w:val="center"/>
              <w:rPr>
                <w:sz w:val="22"/>
              </w:rPr>
            </w:pPr>
            <w:r w:rsidRPr="005F10EE">
              <w:rPr>
                <w:sz w:val="22"/>
              </w:rPr>
              <w:t>5</w:t>
            </w:r>
          </w:p>
        </w:tc>
        <w:tc>
          <w:tcPr>
            <w:tcW w:w="962" w:type="dxa"/>
            <w:tcBorders>
              <w:top w:val="outset" w:sz="6" w:space="0" w:color="auto"/>
              <w:left w:val="outset" w:sz="6" w:space="0" w:color="auto"/>
              <w:bottom w:val="outset" w:sz="6" w:space="0" w:color="auto"/>
              <w:right w:val="outset" w:sz="6" w:space="0" w:color="auto"/>
            </w:tcBorders>
            <w:vAlign w:val="center"/>
            <w:hideMark/>
          </w:tcPr>
          <w:p w14:paraId="6F7CAE87" w14:textId="77777777" w:rsidR="004D6185" w:rsidRPr="005F10EE" w:rsidRDefault="000E56B2" w:rsidP="001B4290">
            <w:pPr>
              <w:jc w:val="center"/>
              <w:rPr>
                <w:sz w:val="22"/>
              </w:rPr>
            </w:pPr>
            <w:r w:rsidRPr="005F10EE">
              <w:rPr>
                <w:sz w:val="22"/>
              </w:rPr>
              <w:t>6</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D40675B" w14:textId="77777777" w:rsidR="004D6185" w:rsidRPr="005F10EE" w:rsidRDefault="000E56B2" w:rsidP="001B4290">
            <w:pPr>
              <w:jc w:val="center"/>
              <w:rPr>
                <w:sz w:val="22"/>
              </w:rPr>
            </w:pPr>
            <w:r w:rsidRPr="005F10EE">
              <w:rPr>
                <w:sz w:val="22"/>
              </w:rPr>
              <w:t>7</w:t>
            </w:r>
          </w:p>
        </w:tc>
        <w:tc>
          <w:tcPr>
            <w:tcW w:w="1286" w:type="dxa"/>
            <w:tcBorders>
              <w:top w:val="outset" w:sz="6" w:space="0" w:color="auto"/>
              <w:left w:val="outset" w:sz="6" w:space="0" w:color="auto"/>
              <w:bottom w:val="outset" w:sz="6" w:space="0" w:color="auto"/>
              <w:right w:val="outset" w:sz="6" w:space="0" w:color="auto"/>
            </w:tcBorders>
            <w:vAlign w:val="center"/>
            <w:hideMark/>
          </w:tcPr>
          <w:p w14:paraId="4AC9E0B4" w14:textId="77777777" w:rsidR="004D6185" w:rsidRPr="005F10EE" w:rsidRDefault="000E56B2" w:rsidP="001B4290">
            <w:pPr>
              <w:jc w:val="center"/>
              <w:rPr>
                <w:sz w:val="22"/>
              </w:rPr>
            </w:pPr>
            <w:r w:rsidRPr="005F10EE">
              <w:rPr>
                <w:sz w:val="22"/>
              </w:rPr>
              <w:t>8</w:t>
            </w:r>
          </w:p>
        </w:tc>
      </w:tr>
      <w:tr w:rsidR="00630219" w:rsidRPr="003154CE" w14:paraId="2525E832" w14:textId="77777777" w:rsidTr="004F4A43">
        <w:trPr>
          <w:tblCellSpacing w:w="15" w:type="dxa"/>
          <w:jc w:val="center"/>
        </w:trPr>
        <w:tc>
          <w:tcPr>
            <w:tcW w:w="2476" w:type="dxa"/>
            <w:tcBorders>
              <w:top w:val="outset" w:sz="6" w:space="0" w:color="auto"/>
              <w:left w:val="outset" w:sz="6" w:space="0" w:color="auto"/>
              <w:bottom w:val="outset" w:sz="6" w:space="0" w:color="auto"/>
              <w:right w:val="outset" w:sz="6" w:space="0" w:color="auto"/>
            </w:tcBorders>
            <w:vAlign w:val="center"/>
            <w:hideMark/>
          </w:tcPr>
          <w:p w14:paraId="46C2B8F5" w14:textId="77777777" w:rsidR="00630219" w:rsidRPr="005F5D0D" w:rsidRDefault="00630219" w:rsidP="00630219">
            <w:pPr>
              <w:rPr>
                <w:sz w:val="22"/>
              </w:rPr>
            </w:pPr>
            <w:r w:rsidRPr="005F5D0D">
              <w:rPr>
                <w:sz w:val="22"/>
              </w:rPr>
              <w:t>1. Budžeta ieņēmumi</w:t>
            </w:r>
          </w:p>
        </w:tc>
        <w:tc>
          <w:tcPr>
            <w:tcW w:w="1410" w:type="dxa"/>
            <w:tcBorders>
              <w:top w:val="outset" w:sz="6" w:space="0" w:color="auto"/>
              <w:left w:val="outset" w:sz="6" w:space="0" w:color="auto"/>
              <w:bottom w:val="outset" w:sz="6" w:space="0" w:color="auto"/>
              <w:right w:val="outset" w:sz="6" w:space="0" w:color="auto"/>
            </w:tcBorders>
            <w:vAlign w:val="center"/>
            <w:hideMark/>
          </w:tcPr>
          <w:p w14:paraId="373E5FA1" w14:textId="78D68252" w:rsidR="00630219" w:rsidRPr="003154CE" w:rsidRDefault="00630219" w:rsidP="00630219">
            <w:pPr>
              <w:jc w:val="center"/>
              <w:rPr>
                <w:sz w:val="22"/>
              </w:rPr>
            </w:pPr>
            <w:r w:rsidRPr="003154CE">
              <w:rPr>
                <w:sz w:val="22"/>
              </w:rPr>
              <w:t>0</w:t>
            </w:r>
          </w:p>
        </w:tc>
        <w:tc>
          <w:tcPr>
            <w:tcW w:w="1050" w:type="dxa"/>
            <w:tcBorders>
              <w:top w:val="outset" w:sz="6" w:space="0" w:color="auto"/>
              <w:left w:val="outset" w:sz="6" w:space="0" w:color="auto"/>
              <w:bottom w:val="outset" w:sz="6" w:space="0" w:color="auto"/>
              <w:right w:val="outset" w:sz="6" w:space="0" w:color="auto"/>
            </w:tcBorders>
            <w:vAlign w:val="center"/>
            <w:hideMark/>
          </w:tcPr>
          <w:p w14:paraId="6EE7680C" w14:textId="6E00B73A" w:rsidR="00630219" w:rsidRPr="003154CE" w:rsidRDefault="00630219" w:rsidP="00630219">
            <w:pPr>
              <w:jc w:val="center"/>
              <w:rPr>
                <w:sz w:val="22"/>
              </w:rPr>
            </w:pPr>
            <w:r w:rsidRPr="003154CE">
              <w:rPr>
                <w:sz w:val="22"/>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3E8F75EB" w14:textId="155A1440" w:rsidR="00630219" w:rsidRPr="003154CE" w:rsidRDefault="00630219" w:rsidP="00630219">
            <w:pPr>
              <w:jc w:val="center"/>
              <w:rPr>
                <w:sz w:val="22"/>
              </w:rPr>
            </w:pPr>
            <w:r w:rsidRPr="003154CE">
              <w:rPr>
                <w:sz w:val="22"/>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0AB7F08" w14:textId="740E4C78" w:rsidR="00630219" w:rsidRPr="003154CE" w:rsidRDefault="00630219" w:rsidP="00630219">
            <w:pPr>
              <w:jc w:val="center"/>
              <w:rPr>
                <w:color w:val="FF0000"/>
                <w:sz w:val="22"/>
              </w:rPr>
            </w:pPr>
            <w:r w:rsidRPr="003154CE">
              <w:rPr>
                <w:sz w:val="22"/>
              </w:rPr>
              <w:t>3 034 000</w:t>
            </w:r>
          </w:p>
        </w:tc>
        <w:tc>
          <w:tcPr>
            <w:tcW w:w="962" w:type="dxa"/>
            <w:tcBorders>
              <w:top w:val="outset" w:sz="6" w:space="0" w:color="auto"/>
              <w:left w:val="outset" w:sz="6" w:space="0" w:color="auto"/>
              <w:bottom w:val="outset" w:sz="6" w:space="0" w:color="auto"/>
              <w:right w:val="outset" w:sz="6" w:space="0" w:color="auto"/>
            </w:tcBorders>
            <w:vAlign w:val="center"/>
            <w:hideMark/>
          </w:tcPr>
          <w:p w14:paraId="6E351465" w14:textId="6E972F34" w:rsidR="00630219" w:rsidRPr="003154CE" w:rsidRDefault="00630219" w:rsidP="00630219">
            <w:pPr>
              <w:jc w:val="center"/>
              <w:rPr>
                <w:color w:val="FF0000"/>
                <w:sz w:val="22"/>
              </w:rPr>
            </w:pPr>
            <w:r w:rsidRPr="003154CE">
              <w:rPr>
                <w:sz w:val="22"/>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55C5344" w14:textId="0907C8FD" w:rsidR="00630219" w:rsidRPr="003154CE" w:rsidRDefault="00630219" w:rsidP="00630219">
            <w:pPr>
              <w:jc w:val="center"/>
              <w:rPr>
                <w:color w:val="FF0000"/>
                <w:sz w:val="22"/>
              </w:rPr>
            </w:pPr>
            <w:r w:rsidRPr="003154CE">
              <w:rPr>
                <w:sz w:val="22"/>
              </w:rPr>
              <w:t>3 473 200</w:t>
            </w:r>
          </w:p>
        </w:tc>
        <w:tc>
          <w:tcPr>
            <w:tcW w:w="1286" w:type="dxa"/>
            <w:tcBorders>
              <w:top w:val="outset" w:sz="6" w:space="0" w:color="auto"/>
              <w:left w:val="outset" w:sz="6" w:space="0" w:color="auto"/>
              <w:bottom w:val="outset" w:sz="6" w:space="0" w:color="auto"/>
              <w:right w:val="outset" w:sz="6" w:space="0" w:color="auto"/>
            </w:tcBorders>
            <w:vAlign w:val="center"/>
            <w:hideMark/>
          </w:tcPr>
          <w:p w14:paraId="41F312D2" w14:textId="0B93EF88" w:rsidR="00630219" w:rsidRPr="003154CE" w:rsidRDefault="00630219" w:rsidP="00630219">
            <w:pPr>
              <w:jc w:val="center"/>
              <w:rPr>
                <w:color w:val="FF0000"/>
                <w:sz w:val="22"/>
              </w:rPr>
            </w:pPr>
            <w:r w:rsidRPr="003154CE">
              <w:rPr>
                <w:sz w:val="22"/>
              </w:rPr>
              <w:t>2 968 800</w:t>
            </w:r>
          </w:p>
        </w:tc>
      </w:tr>
      <w:tr w:rsidR="00630219" w:rsidRPr="003154CE" w14:paraId="40B50155" w14:textId="77777777" w:rsidTr="004F4A43">
        <w:trPr>
          <w:tblCellSpacing w:w="15" w:type="dxa"/>
          <w:jc w:val="center"/>
        </w:trPr>
        <w:tc>
          <w:tcPr>
            <w:tcW w:w="2476" w:type="dxa"/>
            <w:tcBorders>
              <w:top w:val="outset" w:sz="6" w:space="0" w:color="auto"/>
              <w:left w:val="outset" w:sz="6" w:space="0" w:color="auto"/>
              <w:bottom w:val="outset" w:sz="6" w:space="0" w:color="auto"/>
              <w:right w:val="outset" w:sz="6" w:space="0" w:color="auto"/>
            </w:tcBorders>
            <w:vAlign w:val="center"/>
            <w:hideMark/>
          </w:tcPr>
          <w:p w14:paraId="3A497AD7" w14:textId="77777777" w:rsidR="00630219" w:rsidRPr="005F5D0D" w:rsidRDefault="00630219" w:rsidP="00630219">
            <w:pPr>
              <w:rPr>
                <w:sz w:val="22"/>
              </w:rPr>
            </w:pPr>
            <w:r w:rsidRPr="005F5D0D">
              <w:rPr>
                <w:sz w:val="22"/>
              </w:rPr>
              <w:t>1.1. valsts pamatbudžets, tai skaitā ieņēmumi no maksas pakalpojumiem un citi pašu ieņēmumi</w:t>
            </w:r>
          </w:p>
        </w:tc>
        <w:tc>
          <w:tcPr>
            <w:tcW w:w="1410" w:type="dxa"/>
            <w:tcBorders>
              <w:top w:val="outset" w:sz="6" w:space="0" w:color="auto"/>
              <w:left w:val="outset" w:sz="6" w:space="0" w:color="auto"/>
              <w:bottom w:val="outset" w:sz="6" w:space="0" w:color="auto"/>
              <w:right w:val="outset" w:sz="6" w:space="0" w:color="auto"/>
            </w:tcBorders>
            <w:vAlign w:val="center"/>
            <w:hideMark/>
          </w:tcPr>
          <w:p w14:paraId="2FFA582F" w14:textId="7EC77AA4" w:rsidR="00630219" w:rsidRPr="003154CE" w:rsidRDefault="00630219" w:rsidP="00630219">
            <w:pPr>
              <w:jc w:val="center"/>
              <w:rPr>
                <w:sz w:val="22"/>
              </w:rPr>
            </w:pPr>
            <w:r w:rsidRPr="003154CE">
              <w:rPr>
                <w:sz w:val="22"/>
              </w:rPr>
              <w:t>0</w:t>
            </w:r>
          </w:p>
        </w:tc>
        <w:tc>
          <w:tcPr>
            <w:tcW w:w="1050" w:type="dxa"/>
            <w:tcBorders>
              <w:top w:val="outset" w:sz="6" w:space="0" w:color="auto"/>
              <w:left w:val="outset" w:sz="6" w:space="0" w:color="auto"/>
              <w:bottom w:val="outset" w:sz="6" w:space="0" w:color="auto"/>
              <w:right w:val="outset" w:sz="6" w:space="0" w:color="auto"/>
            </w:tcBorders>
            <w:vAlign w:val="center"/>
            <w:hideMark/>
          </w:tcPr>
          <w:p w14:paraId="3215C0E4" w14:textId="60A4A35D" w:rsidR="00630219" w:rsidRPr="003154CE" w:rsidRDefault="00630219" w:rsidP="00630219">
            <w:pPr>
              <w:jc w:val="center"/>
              <w:rPr>
                <w:sz w:val="22"/>
              </w:rPr>
            </w:pPr>
            <w:r w:rsidRPr="003154CE">
              <w:rPr>
                <w:sz w:val="22"/>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0795BF0D" w14:textId="7D83AFEA" w:rsidR="00630219" w:rsidRPr="003154CE" w:rsidRDefault="00630219" w:rsidP="00630219">
            <w:pPr>
              <w:jc w:val="center"/>
              <w:rPr>
                <w:sz w:val="22"/>
              </w:rPr>
            </w:pPr>
            <w:r w:rsidRPr="003154CE">
              <w:rPr>
                <w:sz w:val="22"/>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6CF0F7F" w14:textId="751B4C9A" w:rsidR="00630219" w:rsidRPr="003154CE" w:rsidRDefault="00630219" w:rsidP="00630219">
            <w:pPr>
              <w:jc w:val="center"/>
              <w:rPr>
                <w:color w:val="FF0000"/>
                <w:sz w:val="22"/>
              </w:rPr>
            </w:pPr>
            <w:r w:rsidRPr="003154CE">
              <w:rPr>
                <w:sz w:val="22"/>
              </w:rPr>
              <w:t>456 000</w:t>
            </w:r>
          </w:p>
        </w:tc>
        <w:tc>
          <w:tcPr>
            <w:tcW w:w="962" w:type="dxa"/>
            <w:tcBorders>
              <w:top w:val="outset" w:sz="6" w:space="0" w:color="auto"/>
              <w:left w:val="outset" w:sz="6" w:space="0" w:color="auto"/>
              <w:bottom w:val="outset" w:sz="6" w:space="0" w:color="auto"/>
              <w:right w:val="outset" w:sz="6" w:space="0" w:color="auto"/>
            </w:tcBorders>
            <w:vAlign w:val="center"/>
            <w:hideMark/>
          </w:tcPr>
          <w:p w14:paraId="20923057" w14:textId="20710AF7" w:rsidR="00630219" w:rsidRPr="003154CE" w:rsidRDefault="00630219" w:rsidP="00630219">
            <w:pPr>
              <w:jc w:val="center"/>
              <w:rPr>
                <w:color w:val="FF0000"/>
                <w:sz w:val="22"/>
              </w:rPr>
            </w:pPr>
            <w:r w:rsidRPr="003154CE">
              <w:rPr>
                <w:sz w:val="22"/>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3552BBC" w14:textId="41542DB6" w:rsidR="00630219" w:rsidRPr="003154CE" w:rsidRDefault="00630219" w:rsidP="00630219">
            <w:pPr>
              <w:jc w:val="center"/>
              <w:rPr>
                <w:color w:val="FF0000"/>
                <w:sz w:val="22"/>
              </w:rPr>
            </w:pPr>
            <w:r w:rsidRPr="003154CE">
              <w:rPr>
                <w:sz w:val="22"/>
              </w:rPr>
              <w:t xml:space="preserve">895 200 </w:t>
            </w:r>
          </w:p>
        </w:tc>
        <w:tc>
          <w:tcPr>
            <w:tcW w:w="1286" w:type="dxa"/>
            <w:tcBorders>
              <w:top w:val="outset" w:sz="6" w:space="0" w:color="auto"/>
              <w:left w:val="outset" w:sz="6" w:space="0" w:color="auto"/>
              <w:bottom w:val="outset" w:sz="6" w:space="0" w:color="auto"/>
              <w:right w:val="outset" w:sz="6" w:space="0" w:color="auto"/>
            </w:tcBorders>
            <w:vAlign w:val="center"/>
            <w:hideMark/>
          </w:tcPr>
          <w:p w14:paraId="157B92A2" w14:textId="6DD221A7" w:rsidR="00630219" w:rsidRPr="003154CE" w:rsidRDefault="00630219" w:rsidP="00630219">
            <w:pPr>
              <w:jc w:val="center"/>
              <w:rPr>
                <w:color w:val="FF0000"/>
                <w:sz w:val="22"/>
              </w:rPr>
            </w:pPr>
            <w:r w:rsidRPr="003154CE">
              <w:rPr>
                <w:sz w:val="22"/>
              </w:rPr>
              <w:t> 390 800</w:t>
            </w:r>
          </w:p>
        </w:tc>
      </w:tr>
      <w:tr w:rsidR="00630219" w:rsidRPr="003154CE" w14:paraId="01596FEF" w14:textId="77777777" w:rsidTr="004F4A43">
        <w:trPr>
          <w:tblCellSpacing w:w="15" w:type="dxa"/>
          <w:jc w:val="center"/>
        </w:trPr>
        <w:tc>
          <w:tcPr>
            <w:tcW w:w="2476" w:type="dxa"/>
            <w:tcBorders>
              <w:top w:val="outset" w:sz="6" w:space="0" w:color="auto"/>
              <w:left w:val="outset" w:sz="6" w:space="0" w:color="auto"/>
              <w:bottom w:val="outset" w:sz="6" w:space="0" w:color="auto"/>
              <w:right w:val="outset" w:sz="6" w:space="0" w:color="auto"/>
            </w:tcBorders>
            <w:vAlign w:val="center"/>
            <w:hideMark/>
          </w:tcPr>
          <w:p w14:paraId="7B00E15B" w14:textId="77777777" w:rsidR="00630219" w:rsidRPr="005F5D0D" w:rsidRDefault="00630219" w:rsidP="00630219">
            <w:pPr>
              <w:rPr>
                <w:sz w:val="22"/>
              </w:rPr>
            </w:pPr>
            <w:r w:rsidRPr="005F5D0D">
              <w:rPr>
                <w:sz w:val="22"/>
              </w:rPr>
              <w:t>1.2. valsts speciālais budžets</w:t>
            </w:r>
          </w:p>
        </w:tc>
        <w:tc>
          <w:tcPr>
            <w:tcW w:w="1410" w:type="dxa"/>
            <w:tcBorders>
              <w:top w:val="outset" w:sz="6" w:space="0" w:color="auto"/>
              <w:left w:val="outset" w:sz="6" w:space="0" w:color="auto"/>
              <w:bottom w:val="outset" w:sz="6" w:space="0" w:color="auto"/>
              <w:right w:val="outset" w:sz="6" w:space="0" w:color="auto"/>
            </w:tcBorders>
            <w:vAlign w:val="center"/>
            <w:hideMark/>
          </w:tcPr>
          <w:p w14:paraId="6BD26B33" w14:textId="14AC1CD5" w:rsidR="00630219" w:rsidRPr="003154CE" w:rsidRDefault="00630219" w:rsidP="00630219">
            <w:pPr>
              <w:jc w:val="center"/>
              <w:rPr>
                <w:sz w:val="22"/>
              </w:rPr>
            </w:pPr>
            <w:r w:rsidRPr="003154CE">
              <w:rPr>
                <w:sz w:val="22"/>
              </w:rPr>
              <w:t>0</w:t>
            </w:r>
          </w:p>
        </w:tc>
        <w:tc>
          <w:tcPr>
            <w:tcW w:w="1050" w:type="dxa"/>
            <w:tcBorders>
              <w:top w:val="outset" w:sz="6" w:space="0" w:color="auto"/>
              <w:left w:val="outset" w:sz="6" w:space="0" w:color="auto"/>
              <w:bottom w:val="outset" w:sz="6" w:space="0" w:color="auto"/>
              <w:right w:val="outset" w:sz="6" w:space="0" w:color="auto"/>
            </w:tcBorders>
            <w:vAlign w:val="center"/>
            <w:hideMark/>
          </w:tcPr>
          <w:p w14:paraId="02676936" w14:textId="4BF80A76" w:rsidR="00630219" w:rsidRPr="003154CE" w:rsidRDefault="00630219" w:rsidP="00630219">
            <w:pPr>
              <w:jc w:val="center"/>
              <w:rPr>
                <w:sz w:val="22"/>
              </w:rPr>
            </w:pPr>
            <w:r w:rsidRPr="003154CE">
              <w:rPr>
                <w:sz w:val="22"/>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543BDC76" w14:textId="372423DA" w:rsidR="00630219" w:rsidRPr="003154CE" w:rsidRDefault="00630219" w:rsidP="00630219">
            <w:pPr>
              <w:jc w:val="center"/>
              <w:rPr>
                <w:sz w:val="22"/>
              </w:rPr>
            </w:pPr>
            <w:r w:rsidRPr="003154CE">
              <w:rPr>
                <w:sz w:val="22"/>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7857C47" w14:textId="506CAF62" w:rsidR="00630219" w:rsidRPr="003154CE" w:rsidRDefault="00630219" w:rsidP="00630219">
            <w:pPr>
              <w:jc w:val="center"/>
              <w:rPr>
                <w:sz w:val="22"/>
              </w:rPr>
            </w:pPr>
            <w:r w:rsidRPr="003154CE">
              <w:rPr>
                <w:sz w:val="22"/>
              </w:rPr>
              <w:t>1 850 000</w:t>
            </w:r>
          </w:p>
        </w:tc>
        <w:tc>
          <w:tcPr>
            <w:tcW w:w="962" w:type="dxa"/>
            <w:tcBorders>
              <w:top w:val="outset" w:sz="6" w:space="0" w:color="auto"/>
              <w:left w:val="outset" w:sz="6" w:space="0" w:color="auto"/>
              <w:bottom w:val="outset" w:sz="6" w:space="0" w:color="auto"/>
              <w:right w:val="outset" w:sz="6" w:space="0" w:color="auto"/>
            </w:tcBorders>
            <w:vAlign w:val="center"/>
            <w:hideMark/>
          </w:tcPr>
          <w:p w14:paraId="76FD7F5D" w14:textId="7FA944EA" w:rsidR="00630219" w:rsidRPr="003154CE" w:rsidRDefault="00630219" w:rsidP="00630219">
            <w:pPr>
              <w:jc w:val="center"/>
              <w:rPr>
                <w:sz w:val="22"/>
              </w:rPr>
            </w:pPr>
            <w:r w:rsidRPr="003154CE">
              <w:rPr>
                <w:sz w:val="22"/>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60C0F3D" w14:textId="0BDE095F" w:rsidR="00630219" w:rsidRPr="003154CE" w:rsidRDefault="00630219" w:rsidP="00630219">
            <w:pPr>
              <w:jc w:val="center"/>
              <w:rPr>
                <w:sz w:val="22"/>
              </w:rPr>
            </w:pPr>
            <w:r w:rsidRPr="003154CE">
              <w:rPr>
                <w:sz w:val="22"/>
              </w:rPr>
              <w:t>1 850 000</w:t>
            </w:r>
          </w:p>
        </w:tc>
        <w:tc>
          <w:tcPr>
            <w:tcW w:w="1286" w:type="dxa"/>
            <w:tcBorders>
              <w:top w:val="outset" w:sz="6" w:space="0" w:color="auto"/>
              <w:left w:val="outset" w:sz="6" w:space="0" w:color="auto"/>
              <w:bottom w:val="outset" w:sz="6" w:space="0" w:color="auto"/>
              <w:right w:val="outset" w:sz="6" w:space="0" w:color="auto"/>
            </w:tcBorders>
            <w:vAlign w:val="center"/>
            <w:hideMark/>
          </w:tcPr>
          <w:p w14:paraId="47B18C20" w14:textId="66505806" w:rsidR="00630219" w:rsidRPr="003154CE" w:rsidRDefault="00630219" w:rsidP="00630219">
            <w:pPr>
              <w:jc w:val="center"/>
              <w:rPr>
                <w:sz w:val="22"/>
              </w:rPr>
            </w:pPr>
            <w:r w:rsidRPr="003154CE">
              <w:rPr>
                <w:sz w:val="22"/>
              </w:rPr>
              <w:t>1 850 000</w:t>
            </w:r>
          </w:p>
        </w:tc>
      </w:tr>
      <w:tr w:rsidR="00630219" w:rsidRPr="003154CE" w14:paraId="6C8C242A" w14:textId="77777777" w:rsidTr="004F4A43">
        <w:trPr>
          <w:tblCellSpacing w:w="15" w:type="dxa"/>
          <w:jc w:val="center"/>
        </w:trPr>
        <w:tc>
          <w:tcPr>
            <w:tcW w:w="2476" w:type="dxa"/>
            <w:tcBorders>
              <w:top w:val="outset" w:sz="6" w:space="0" w:color="auto"/>
              <w:left w:val="outset" w:sz="6" w:space="0" w:color="auto"/>
              <w:bottom w:val="outset" w:sz="6" w:space="0" w:color="auto"/>
              <w:right w:val="outset" w:sz="6" w:space="0" w:color="auto"/>
            </w:tcBorders>
            <w:vAlign w:val="center"/>
            <w:hideMark/>
          </w:tcPr>
          <w:p w14:paraId="5F27E22A" w14:textId="77777777" w:rsidR="00630219" w:rsidRPr="005F5D0D" w:rsidRDefault="00630219" w:rsidP="00630219">
            <w:pPr>
              <w:rPr>
                <w:sz w:val="22"/>
              </w:rPr>
            </w:pPr>
            <w:r w:rsidRPr="005F5D0D">
              <w:rPr>
                <w:sz w:val="22"/>
              </w:rPr>
              <w:lastRenderedPageBreak/>
              <w:t>1.3. pašvaldību budžets</w:t>
            </w:r>
          </w:p>
        </w:tc>
        <w:tc>
          <w:tcPr>
            <w:tcW w:w="1410" w:type="dxa"/>
            <w:tcBorders>
              <w:top w:val="outset" w:sz="6" w:space="0" w:color="auto"/>
              <w:left w:val="outset" w:sz="6" w:space="0" w:color="auto"/>
              <w:bottom w:val="outset" w:sz="6" w:space="0" w:color="auto"/>
              <w:right w:val="outset" w:sz="6" w:space="0" w:color="auto"/>
            </w:tcBorders>
            <w:vAlign w:val="center"/>
            <w:hideMark/>
          </w:tcPr>
          <w:p w14:paraId="181C43E5" w14:textId="4945B638" w:rsidR="00630219" w:rsidRPr="003154CE" w:rsidRDefault="00630219" w:rsidP="00630219">
            <w:pPr>
              <w:jc w:val="center"/>
              <w:rPr>
                <w:sz w:val="22"/>
              </w:rPr>
            </w:pPr>
            <w:r w:rsidRPr="003154CE">
              <w:rPr>
                <w:sz w:val="22"/>
              </w:rPr>
              <w:t>0</w:t>
            </w:r>
          </w:p>
        </w:tc>
        <w:tc>
          <w:tcPr>
            <w:tcW w:w="1050" w:type="dxa"/>
            <w:tcBorders>
              <w:top w:val="outset" w:sz="6" w:space="0" w:color="auto"/>
              <w:left w:val="outset" w:sz="6" w:space="0" w:color="auto"/>
              <w:bottom w:val="outset" w:sz="6" w:space="0" w:color="auto"/>
              <w:right w:val="outset" w:sz="6" w:space="0" w:color="auto"/>
            </w:tcBorders>
            <w:vAlign w:val="center"/>
            <w:hideMark/>
          </w:tcPr>
          <w:p w14:paraId="0F6576F2" w14:textId="61FF69E9" w:rsidR="00630219" w:rsidRPr="003154CE" w:rsidRDefault="00630219" w:rsidP="00630219">
            <w:pPr>
              <w:jc w:val="center"/>
              <w:rPr>
                <w:sz w:val="22"/>
              </w:rPr>
            </w:pPr>
            <w:r w:rsidRPr="003154CE">
              <w:rPr>
                <w:sz w:val="22"/>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4290D1B8" w14:textId="6B5DEEB1" w:rsidR="00630219" w:rsidRPr="003154CE" w:rsidRDefault="00630219" w:rsidP="00630219">
            <w:pPr>
              <w:jc w:val="center"/>
              <w:rPr>
                <w:sz w:val="22"/>
              </w:rPr>
            </w:pPr>
            <w:r w:rsidRPr="003154CE">
              <w:rPr>
                <w:sz w:val="22"/>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8CA5556" w14:textId="0AB97683" w:rsidR="00630219" w:rsidRPr="003154CE" w:rsidRDefault="00630219" w:rsidP="00630219">
            <w:pPr>
              <w:jc w:val="center"/>
              <w:rPr>
                <w:sz w:val="22"/>
              </w:rPr>
            </w:pPr>
            <w:r w:rsidRPr="003154CE">
              <w:rPr>
                <w:sz w:val="22"/>
              </w:rPr>
              <w:t>728 000</w:t>
            </w:r>
          </w:p>
        </w:tc>
        <w:tc>
          <w:tcPr>
            <w:tcW w:w="962" w:type="dxa"/>
            <w:tcBorders>
              <w:top w:val="outset" w:sz="6" w:space="0" w:color="auto"/>
              <w:left w:val="outset" w:sz="6" w:space="0" w:color="auto"/>
              <w:bottom w:val="outset" w:sz="6" w:space="0" w:color="auto"/>
              <w:right w:val="outset" w:sz="6" w:space="0" w:color="auto"/>
            </w:tcBorders>
            <w:vAlign w:val="center"/>
            <w:hideMark/>
          </w:tcPr>
          <w:p w14:paraId="1538A7C0" w14:textId="24C5FDBD" w:rsidR="00630219" w:rsidRPr="003154CE" w:rsidRDefault="00630219" w:rsidP="00630219">
            <w:pPr>
              <w:jc w:val="center"/>
              <w:rPr>
                <w:sz w:val="22"/>
              </w:rPr>
            </w:pPr>
            <w:r w:rsidRPr="003154CE">
              <w:rPr>
                <w:sz w:val="22"/>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9882C9E" w14:textId="5E8FBE15" w:rsidR="00630219" w:rsidRPr="003154CE" w:rsidRDefault="00630219" w:rsidP="00630219">
            <w:pPr>
              <w:jc w:val="center"/>
              <w:rPr>
                <w:sz w:val="22"/>
              </w:rPr>
            </w:pPr>
            <w:r w:rsidRPr="003154CE">
              <w:rPr>
                <w:sz w:val="22"/>
              </w:rPr>
              <w:t>728 000</w:t>
            </w:r>
          </w:p>
        </w:tc>
        <w:tc>
          <w:tcPr>
            <w:tcW w:w="1286" w:type="dxa"/>
            <w:tcBorders>
              <w:top w:val="outset" w:sz="6" w:space="0" w:color="auto"/>
              <w:left w:val="outset" w:sz="6" w:space="0" w:color="auto"/>
              <w:bottom w:val="outset" w:sz="6" w:space="0" w:color="auto"/>
              <w:right w:val="outset" w:sz="6" w:space="0" w:color="auto"/>
            </w:tcBorders>
            <w:vAlign w:val="center"/>
            <w:hideMark/>
          </w:tcPr>
          <w:p w14:paraId="38248842" w14:textId="73461798" w:rsidR="00630219" w:rsidRPr="003154CE" w:rsidRDefault="00630219" w:rsidP="00630219">
            <w:pPr>
              <w:jc w:val="center"/>
              <w:rPr>
                <w:sz w:val="22"/>
              </w:rPr>
            </w:pPr>
            <w:r w:rsidRPr="003154CE">
              <w:rPr>
                <w:sz w:val="22"/>
              </w:rPr>
              <w:t>728 000</w:t>
            </w:r>
          </w:p>
        </w:tc>
      </w:tr>
      <w:tr w:rsidR="00630219" w:rsidRPr="003154CE" w14:paraId="55D85157" w14:textId="77777777" w:rsidTr="004F4A43">
        <w:trPr>
          <w:tblCellSpacing w:w="15" w:type="dxa"/>
          <w:jc w:val="center"/>
        </w:trPr>
        <w:tc>
          <w:tcPr>
            <w:tcW w:w="2476" w:type="dxa"/>
            <w:tcBorders>
              <w:top w:val="outset" w:sz="6" w:space="0" w:color="auto"/>
              <w:left w:val="outset" w:sz="6" w:space="0" w:color="auto"/>
              <w:bottom w:val="outset" w:sz="6" w:space="0" w:color="auto"/>
              <w:right w:val="outset" w:sz="6" w:space="0" w:color="auto"/>
            </w:tcBorders>
            <w:vAlign w:val="center"/>
            <w:hideMark/>
          </w:tcPr>
          <w:p w14:paraId="57545771" w14:textId="77777777" w:rsidR="00630219" w:rsidRPr="005F5D0D" w:rsidRDefault="00630219" w:rsidP="00630219">
            <w:pPr>
              <w:rPr>
                <w:sz w:val="22"/>
              </w:rPr>
            </w:pPr>
            <w:r w:rsidRPr="005F5D0D">
              <w:rPr>
                <w:sz w:val="22"/>
              </w:rPr>
              <w:t>2. Budžeta izdevumi</w:t>
            </w:r>
          </w:p>
        </w:tc>
        <w:tc>
          <w:tcPr>
            <w:tcW w:w="1410" w:type="dxa"/>
            <w:tcBorders>
              <w:top w:val="outset" w:sz="6" w:space="0" w:color="auto"/>
              <w:left w:val="outset" w:sz="6" w:space="0" w:color="auto"/>
              <w:bottom w:val="outset" w:sz="6" w:space="0" w:color="auto"/>
              <w:right w:val="outset" w:sz="6" w:space="0" w:color="auto"/>
            </w:tcBorders>
            <w:vAlign w:val="center"/>
            <w:hideMark/>
          </w:tcPr>
          <w:p w14:paraId="59AB7160" w14:textId="2FE8C393" w:rsidR="00630219" w:rsidRPr="003154CE" w:rsidRDefault="00630219" w:rsidP="00630219">
            <w:pPr>
              <w:jc w:val="center"/>
              <w:rPr>
                <w:sz w:val="22"/>
              </w:rPr>
            </w:pPr>
            <w:r w:rsidRPr="003154CE">
              <w:rPr>
                <w:sz w:val="22"/>
              </w:rPr>
              <w:t>0</w:t>
            </w:r>
          </w:p>
        </w:tc>
        <w:tc>
          <w:tcPr>
            <w:tcW w:w="1050" w:type="dxa"/>
            <w:tcBorders>
              <w:top w:val="outset" w:sz="6" w:space="0" w:color="auto"/>
              <w:left w:val="outset" w:sz="6" w:space="0" w:color="auto"/>
              <w:bottom w:val="outset" w:sz="6" w:space="0" w:color="auto"/>
              <w:right w:val="outset" w:sz="6" w:space="0" w:color="auto"/>
            </w:tcBorders>
            <w:vAlign w:val="center"/>
            <w:hideMark/>
          </w:tcPr>
          <w:p w14:paraId="21295C39" w14:textId="12314A21" w:rsidR="00630219" w:rsidRPr="003154CE" w:rsidRDefault="00630219" w:rsidP="00630219">
            <w:pPr>
              <w:jc w:val="center"/>
              <w:rPr>
                <w:sz w:val="22"/>
              </w:rPr>
            </w:pPr>
            <w:r w:rsidRPr="003154CE">
              <w:rPr>
                <w:sz w:val="22"/>
              </w:rPr>
              <w:t>41 036</w:t>
            </w:r>
          </w:p>
        </w:tc>
        <w:tc>
          <w:tcPr>
            <w:tcW w:w="962" w:type="dxa"/>
            <w:tcBorders>
              <w:top w:val="outset" w:sz="6" w:space="0" w:color="auto"/>
              <w:left w:val="outset" w:sz="6" w:space="0" w:color="auto"/>
              <w:bottom w:val="outset" w:sz="6" w:space="0" w:color="auto"/>
              <w:right w:val="outset" w:sz="6" w:space="0" w:color="auto"/>
            </w:tcBorders>
            <w:vAlign w:val="center"/>
            <w:hideMark/>
          </w:tcPr>
          <w:p w14:paraId="4AC3C335" w14:textId="701BA041" w:rsidR="00630219" w:rsidRPr="003154CE" w:rsidRDefault="00630219" w:rsidP="00630219">
            <w:pPr>
              <w:jc w:val="center"/>
              <w:rPr>
                <w:sz w:val="22"/>
              </w:rPr>
            </w:pPr>
            <w:r w:rsidRPr="003154CE">
              <w:rPr>
                <w:sz w:val="22"/>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324B38D" w14:textId="1CCC1292" w:rsidR="00630219" w:rsidRPr="003154CE" w:rsidRDefault="00630219" w:rsidP="00630219">
            <w:pPr>
              <w:jc w:val="center"/>
              <w:rPr>
                <w:color w:val="FF0000"/>
                <w:sz w:val="22"/>
              </w:rPr>
            </w:pPr>
            <w:r w:rsidRPr="003154CE">
              <w:rPr>
                <w:sz w:val="22"/>
              </w:rPr>
              <w:t>45 683</w:t>
            </w:r>
          </w:p>
        </w:tc>
        <w:tc>
          <w:tcPr>
            <w:tcW w:w="962" w:type="dxa"/>
            <w:tcBorders>
              <w:top w:val="outset" w:sz="6" w:space="0" w:color="auto"/>
              <w:left w:val="outset" w:sz="6" w:space="0" w:color="auto"/>
              <w:bottom w:val="outset" w:sz="6" w:space="0" w:color="auto"/>
              <w:right w:val="outset" w:sz="6" w:space="0" w:color="auto"/>
            </w:tcBorders>
            <w:vAlign w:val="center"/>
            <w:hideMark/>
          </w:tcPr>
          <w:p w14:paraId="42090642" w14:textId="4D407336" w:rsidR="00630219" w:rsidRPr="003154CE" w:rsidRDefault="00630219" w:rsidP="00630219">
            <w:pPr>
              <w:jc w:val="center"/>
              <w:rPr>
                <w:color w:val="FF0000"/>
                <w:sz w:val="22"/>
              </w:rPr>
            </w:pPr>
            <w:r w:rsidRPr="003154CE">
              <w:rPr>
                <w:sz w:val="22"/>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F41EA3D" w14:textId="152407A6" w:rsidR="00630219" w:rsidRPr="003154CE" w:rsidRDefault="00630219" w:rsidP="00630219">
            <w:pPr>
              <w:jc w:val="center"/>
              <w:rPr>
                <w:color w:val="FF0000"/>
                <w:sz w:val="22"/>
              </w:rPr>
            </w:pPr>
            <w:r w:rsidRPr="003154CE">
              <w:rPr>
                <w:sz w:val="22"/>
              </w:rPr>
              <w:t>110 957</w:t>
            </w:r>
          </w:p>
        </w:tc>
        <w:tc>
          <w:tcPr>
            <w:tcW w:w="1286" w:type="dxa"/>
            <w:tcBorders>
              <w:top w:val="outset" w:sz="6" w:space="0" w:color="auto"/>
              <w:left w:val="outset" w:sz="6" w:space="0" w:color="auto"/>
              <w:bottom w:val="outset" w:sz="6" w:space="0" w:color="auto"/>
              <w:right w:val="outset" w:sz="6" w:space="0" w:color="auto"/>
            </w:tcBorders>
            <w:vAlign w:val="center"/>
            <w:hideMark/>
          </w:tcPr>
          <w:p w14:paraId="4EC42550" w14:textId="760F3C39" w:rsidR="00630219" w:rsidRPr="003154CE" w:rsidRDefault="00630219" w:rsidP="00630219">
            <w:pPr>
              <w:jc w:val="center"/>
              <w:rPr>
                <w:color w:val="FF0000"/>
                <w:sz w:val="22"/>
              </w:rPr>
            </w:pPr>
            <w:r w:rsidRPr="003154CE">
              <w:rPr>
                <w:sz w:val="22"/>
              </w:rPr>
              <w:t>45 683</w:t>
            </w:r>
          </w:p>
        </w:tc>
      </w:tr>
      <w:tr w:rsidR="00630219" w:rsidRPr="003154CE" w14:paraId="1CC63C5F" w14:textId="77777777" w:rsidTr="004F4A43">
        <w:trPr>
          <w:tblCellSpacing w:w="15" w:type="dxa"/>
          <w:jc w:val="center"/>
        </w:trPr>
        <w:tc>
          <w:tcPr>
            <w:tcW w:w="2476" w:type="dxa"/>
            <w:tcBorders>
              <w:top w:val="outset" w:sz="6" w:space="0" w:color="auto"/>
              <w:left w:val="outset" w:sz="6" w:space="0" w:color="auto"/>
              <w:bottom w:val="outset" w:sz="6" w:space="0" w:color="auto"/>
              <w:right w:val="outset" w:sz="6" w:space="0" w:color="auto"/>
            </w:tcBorders>
            <w:vAlign w:val="center"/>
            <w:hideMark/>
          </w:tcPr>
          <w:p w14:paraId="66B56A4B" w14:textId="77777777" w:rsidR="00630219" w:rsidRPr="005F5D0D" w:rsidRDefault="00630219" w:rsidP="00630219">
            <w:pPr>
              <w:rPr>
                <w:sz w:val="22"/>
              </w:rPr>
            </w:pPr>
            <w:r w:rsidRPr="005F5D0D">
              <w:rPr>
                <w:sz w:val="22"/>
              </w:rPr>
              <w:t>2.1. valsts pamatbudžets</w:t>
            </w:r>
          </w:p>
        </w:tc>
        <w:tc>
          <w:tcPr>
            <w:tcW w:w="1410" w:type="dxa"/>
            <w:tcBorders>
              <w:top w:val="outset" w:sz="6" w:space="0" w:color="auto"/>
              <w:left w:val="outset" w:sz="6" w:space="0" w:color="auto"/>
              <w:bottom w:val="outset" w:sz="6" w:space="0" w:color="auto"/>
              <w:right w:val="outset" w:sz="6" w:space="0" w:color="auto"/>
            </w:tcBorders>
            <w:vAlign w:val="center"/>
            <w:hideMark/>
          </w:tcPr>
          <w:p w14:paraId="58BBAA78" w14:textId="590342ED" w:rsidR="00630219" w:rsidRPr="003154CE" w:rsidRDefault="00630219" w:rsidP="00630219">
            <w:pPr>
              <w:jc w:val="center"/>
              <w:rPr>
                <w:sz w:val="22"/>
              </w:rPr>
            </w:pPr>
            <w:r w:rsidRPr="003154CE">
              <w:rPr>
                <w:sz w:val="22"/>
              </w:rPr>
              <w:t>0</w:t>
            </w:r>
          </w:p>
        </w:tc>
        <w:tc>
          <w:tcPr>
            <w:tcW w:w="1050" w:type="dxa"/>
            <w:tcBorders>
              <w:top w:val="outset" w:sz="6" w:space="0" w:color="auto"/>
              <w:left w:val="outset" w:sz="6" w:space="0" w:color="auto"/>
              <w:bottom w:val="outset" w:sz="6" w:space="0" w:color="auto"/>
              <w:right w:val="outset" w:sz="6" w:space="0" w:color="auto"/>
            </w:tcBorders>
            <w:vAlign w:val="center"/>
            <w:hideMark/>
          </w:tcPr>
          <w:p w14:paraId="328794A9" w14:textId="3457B2A9" w:rsidR="00630219" w:rsidRPr="003154CE" w:rsidRDefault="00630219" w:rsidP="00630219">
            <w:pPr>
              <w:jc w:val="center"/>
              <w:rPr>
                <w:sz w:val="22"/>
              </w:rPr>
            </w:pPr>
            <w:r w:rsidRPr="003154CE">
              <w:rPr>
                <w:sz w:val="22"/>
              </w:rPr>
              <w:t>41 036</w:t>
            </w:r>
          </w:p>
        </w:tc>
        <w:tc>
          <w:tcPr>
            <w:tcW w:w="962" w:type="dxa"/>
            <w:tcBorders>
              <w:top w:val="outset" w:sz="6" w:space="0" w:color="auto"/>
              <w:left w:val="outset" w:sz="6" w:space="0" w:color="auto"/>
              <w:bottom w:val="outset" w:sz="6" w:space="0" w:color="auto"/>
              <w:right w:val="outset" w:sz="6" w:space="0" w:color="auto"/>
            </w:tcBorders>
            <w:vAlign w:val="center"/>
            <w:hideMark/>
          </w:tcPr>
          <w:p w14:paraId="165EF3C9" w14:textId="4631FE20" w:rsidR="00630219" w:rsidRPr="003154CE" w:rsidRDefault="00630219" w:rsidP="00630219">
            <w:pPr>
              <w:jc w:val="center"/>
              <w:rPr>
                <w:sz w:val="22"/>
              </w:rPr>
            </w:pPr>
            <w:r w:rsidRPr="003154CE">
              <w:rPr>
                <w:sz w:val="22"/>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3BB1812" w14:textId="189DB0F4" w:rsidR="00630219" w:rsidRPr="003154CE" w:rsidRDefault="00630219" w:rsidP="00630219">
            <w:pPr>
              <w:jc w:val="center"/>
              <w:rPr>
                <w:color w:val="FF0000"/>
                <w:sz w:val="22"/>
              </w:rPr>
            </w:pPr>
            <w:r w:rsidRPr="003154CE">
              <w:rPr>
                <w:sz w:val="22"/>
              </w:rPr>
              <w:t>45 683</w:t>
            </w:r>
          </w:p>
        </w:tc>
        <w:tc>
          <w:tcPr>
            <w:tcW w:w="962" w:type="dxa"/>
            <w:tcBorders>
              <w:top w:val="outset" w:sz="6" w:space="0" w:color="auto"/>
              <w:left w:val="outset" w:sz="6" w:space="0" w:color="auto"/>
              <w:bottom w:val="outset" w:sz="6" w:space="0" w:color="auto"/>
              <w:right w:val="outset" w:sz="6" w:space="0" w:color="auto"/>
            </w:tcBorders>
            <w:vAlign w:val="center"/>
            <w:hideMark/>
          </w:tcPr>
          <w:p w14:paraId="4B975144" w14:textId="5E2C8DC5" w:rsidR="00630219" w:rsidRPr="003154CE" w:rsidRDefault="00630219" w:rsidP="00630219">
            <w:pPr>
              <w:jc w:val="center"/>
              <w:rPr>
                <w:color w:val="FF0000"/>
                <w:sz w:val="22"/>
              </w:rPr>
            </w:pPr>
            <w:r w:rsidRPr="003154CE">
              <w:rPr>
                <w:sz w:val="22"/>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71578AB" w14:textId="50156CC2" w:rsidR="00630219" w:rsidRPr="003154CE" w:rsidRDefault="00630219" w:rsidP="00630219">
            <w:pPr>
              <w:jc w:val="center"/>
              <w:rPr>
                <w:color w:val="FF0000"/>
                <w:sz w:val="22"/>
              </w:rPr>
            </w:pPr>
            <w:r w:rsidRPr="003154CE">
              <w:rPr>
                <w:sz w:val="22"/>
              </w:rPr>
              <w:t>110 957</w:t>
            </w:r>
          </w:p>
        </w:tc>
        <w:tc>
          <w:tcPr>
            <w:tcW w:w="1286" w:type="dxa"/>
            <w:tcBorders>
              <w:top w:val="outset" w:sz="6" w:space="0" w:color="auto"/>
              <w:left w:val="outset" w:sz="6" w:space="0" w:color="auto"/>
              <w:bottom w:val="outset" w:sz="6" w:space="0" w:color="auto"/>
              <w:right w:val="outset" w:sz="6" w:space="0" w:color="auto"/>
            </w:tcBorders>
            <w:vAlign w:val="center"/>
            <w:hideMark/>
          </w:tcPr>
          <w:p w14:paraId="5DC2FF3A" w14:textId="773D04DB" w:rsidR="00630219" w:rsidRPr="003154CE" w:rsidRDefault="00630219" w:rsidP="00630219">
            <w:pPr>
              <w:jc w:val="center"/>
              <w:rPr>
                <w:color w:val="FF0000"/>
                <w:sz w:val="22"/>
              </w:rPr>
            </w:pPr>
            <w:r w:rsidRPr="003154CE">
              <w:rPr>
                <w:sz w:val="22"/>
              </w:rPr>
              <w:t>45 683</w:t>
            </w:r>
          </w:p>
        </w:tc>
      </w:tr>
      <w:tr w:rsidR="00630219" w:rsidRPr="003154CE" w14:paraId="3B086E3F" w14:textId="77777777" w:rsidTr="004F4A43">
        <w:trPr>
          <w:tblCellSpacing w:w="15" w:type="dxa"/>
          <w:jc w:val="center"/>
        </w:trPr>
        <w:tc>
          <w:tcPr>
            <w:tcW w:w="2476" w:type="dxa"/>
            <w:tcBorders>
              <w:top w:val="outset" w:sz="6" w:space="0" w:color="auto"/>
              <w:left w:val="outset" w:sz="6" w:space="0" w:color="auto"/>
              <w:bottom w:val="outset" w:sz="6" w:space="0" w:color="auto"/>
              <w:right w:val="outset" w:sz="6" w:space="0" w:color="auto"/>
            </w:tcBorders>
            <w:vAlign w:val="center"/>
          </w:tcPr>
          <w:p w14:paraId="7C06DC5A" w14:textId="77777777" w:rsidR="00630219" w:rsidRPr="005F5D0D" w:rsidRDefault="00630219" w:rsidP="00630219">
            <w:pPr>
              <w:rPr>
                <w:sz w:val="22"/>
              </w:rPr>
            </w:pPr>
            <w:r w:rsidRPr="005F5D0D">
              <w:rPr>
                <w:sz w:val="22"/>
              </w:rPr>
              <w:t>2.2. valsts speciālais budžets</w:t>
            </w:r>
          </w:p>
        </w:tc>
        <w:tc>
          <w:tcPr>
            <w:tcW w:w="1410" w:type="dxa"/>
            <w:tcBorders>
              <w:top w:val="outset" w:sz="6" w:space="0" w:color="auto"/>
              <w:left w:val="outset" w:sz="6" w:space="0" w:color="auto"/>
              <w:bottom w:val="outset" w:sz="6" w:space="0" w:color="auto"/>
              <w:right w:val="outset" w:sz="6" w:space="0" w:color="auto"/>
            </w:tcBorders>
            <w:vAlign w:val="center"/>
          </w:tcPr>
          <w:p w14:paraId="2E4072B7" w14:textId="6B6F8117" w:rsidR="00630219" w:rsidRPr="003154CE" w:rsidRDefault="00630219" w:rsidP="00630219">
            <w:pPr>
              <w:jc w:val="center"/>
              <w:rPr>
                <w:sz w:val="22"/>
              </w:rPr>
            </w:pPr>
            <w:r w:rsidRPr="003154CE">
              <w:rPr>
                <w:sz w:val="22"/>
              </w:rPr>
              <w:t>0</w:t>
            </w:r>
          </w:p>
        </w:tc>
        <w:tc>
          <w:tcPr>
            <w:tcW w:w="1050" w:type="dxa"/>
            <w:tcBorders>
              <w:top w:val="outset" w:sz="6" w:space="0" w:color="auto"/>
              <w:left w:val="outset" w:sz="6" w:space="0" w:color="auto"/>
              <w:bottom w:val="outset" w:sz="6" w:space="0" w:color="auto"/>
              <w:right w:val="outset" w:sz="6" w:space="0" w:color="auto"/>
            </w:tcBorders>
            <w:vAlign w:val="center"/>
          </w:tcPr>
          <w:p w14:paraId="797DA06E" w14:textId="48EE5F71" w:rsidR="00630219" w:rsidRPr="003154CE" w:rsidRDefault="00630219" w:rsidP="00630219">
            <w:pPr>
              <w:jc w:val="center"/>
              <w:rPr>
                <w:sz w:val="22"/>
              </w:rPr>
            </w:pPr>
            <w:r w:rsidRPr="003154CE">
              <w:rPr>
                <w:sz w:val="22"/>
              </w:rPr>
              <w:t>0</w:t>
            </w:r>
          </w:p>
        </w:tc>
        <w:tc>
          <w:tcPr>
            <w:tcW w:w="962" w:type="dxa"/>
            <w:tcBorders>
              <w:top w:val="outset" w:sz="6" w:space="0" w:color="auto"/>
              <w:left w:val="outset" w:sz="6" w:space="0" w:color="auto"/>
              <w:bottom w:val="outset" w:sz="6" w:space="0" w:color="auto"/>
              <w:right w:val="outset" w:sz="6" w:space="0" w:color="auto"/>
            </w:tcBorders>
            <w:vAlign w:val="center"/>
          </w:tcPr>
          <w:p w14:paraId="6380A6E0" w14:textId="02ED8521" w:rsidR="00630219" w:rsidRPr="003154CE" w:rsidRDefault="00630219" w:rsidP="00630219">
            <w:pPr>
              <w:jc w:val="center"/>
              <w:rPr>
                <w:sz w:val="22"/>
              </w:rPr>
            </w:pPr>
            <w:r w:rsidRPr="003154CE">
              <w:rPr>
                <w:sz w:val="22"/>
              </w:rPr>
              <w:t>0</w:t>
            </w:r>
          </w:p>
        </w:tc>
        <w:tc>
          <w:tcPr>
            <w:tcW w:w="1104" w:type="dxa"/>
            <w:tcBorders>
              <w:top w:val="outset" w:sz="6" w:space="0" w:color="auto"/>
              <w:left w:val="outset" w:sz="6" w:space="0" w:color="auto"/>
              <w:bottom w:val="outset" w:sz="6" w:space="0" w:color="auto"/>
              <w:right w:val="outset" w:sz="6" w:space="0" w:color="auto"/>
            </w:tcBorders>
            <w:vAlign w:val="center"/>
          </w:tcPr>
          <w:p w14:paraId="598ED696" w14:textId="7409EA01" w:rsidR="00630219" w:rsidRPr="003154CE" w:rsidRDefault="00630219" w:rsidP="00630219">
            <w:pPr>
              <w:jc w:val="center"/>
              <w:rPr>
                <w:sz w:val="22"/>
              </w:rPr>
            </w:pPr>
            <w:r w:rsidRPr="003154CE">
              <w:rPr>
                <w:sz w:val="22"/>
              </w:rPr>
              <w:t>0</w:t>
            </w:r>
          </w:p>
        </w:tc>
        <w:tc>
          <w:tcPr>
            <w:tcW w:w="962" w:type="dxa"/>
            <w:tcBorders>
              <w:top w:val="outset" w:sz="6" w:space="0" w:color="auto"/>
              <w:left w:val="outset" w:sz="6" w:space="0" w:color="auto"/>
              <w:bottom w:val="outset" w:sz="6" w:space="0" w:color="auto"/>
              <w:right w:val="outset" w:sz="6" w:space="0" w:color="auto"/>
            </w:tcBorders>
            <w:vAlign w:val="center"/>
          </w:tcPr>
          <w:p w14:paraId="57CB11F5" w14:textId="61C28657" w:rsidR="00630219" w:rsidRPr="003154CE" w:rsidRDefault="00630219" w:rsidP="00630219">
            <w:pPr>
              <w:jc w:val="center"/>
              <w:rPr>
                <w:sz w:val="22"/>
              </w:rPr>
            </w:pPr>
            <w:r w:rsidRPr="003154CE">
              <w:rPr>
                <w:sz w:val="22"/>
              </w:rPr>
              <w:t>0</w:t>
            </w:r>
          </w:p>
        </w:tc>
        <w:tc>
          <w:tcPr>
            <w:tcW w:w="1104" w:type="dxa"/>
            <w:tcBorders>
              <w:top w:val="outset" w:sz="6" w:space="0" w:color="auto"/>
              <w:left w:val="outset" w:sz="6" w:space="0" w:color="auto"/>
              <w:bottom w:val="outset" w:sz="6" w:space="0" w:color="auto"/>
              <w:right w:val="outset" w:sz="6" w:space="0" w:color="auto"/>
            </w:tcBorders>
            <w:vAlign w:val="center"/>
          </w:tcPr>
          <w:p w14:paraId="247CB933" w14:textId="2786CA0F" w:rsidR="00630219" w:rsidRPr="003154CE" w:rsidRDefault="00630219" w:rsidP="00630219">
            <w:pPr>
              <w:jc w:val="center"/>
              <w:rPr>
                <w:sz w:val="22"/>
              </w:rPr>
            </w:pPr>
            <w:r w:rsidRPr="003154CE">
              <w:rPr>
                <w:sz w:val="22"/>
              </w:rPr>
              <w:t>0</w:t>
            </w:r>
          </w:p>
        </w:tc>
        <w:tc>
          <w:tcPr>
            <w:tcW w:w="1286" w:type="dxa"/>
            <w:tcBorders>
              <w:top w:val="outset" w:sz="6" w:space="0" w:color="auto"/>
              <w:left w:val="outset" w:sz="6" w:space="0" w:color="auto"/>
              <w:bottom w:val="outset" w:sz="6" w:space="0" w:color="auto"/>
              <w:right w:val="outset" w:sz="6" w:space="0" w:color="auto"/>
            </w:tcBorders>
            <w:vAlign w:val="center"/>
          </w:tcPr>
          <w:p w14:paraId="5FD9A128" w14:textId="69F3D498" w:rsidR="00630219" w:rsidRPr="003154CE" w:rsidRDefault="00630219" w:rsidP="00630219">
            <w:pPr>
              <w:jc w:val="center"/>
              <w:rPr>
                <w:sz w:val="22"/>
              </w:rPr>
            </w:pPr>
            <w:r w:rsidRPr="003154CE">
              <w:rPr>
                <w:sz w:val="22"/>
              </w:rPr>
              <w:t>0</w:t>
            </w:r>
          </w:p>
        </w:tc>
      </w:tr>
      <w:tr w:rsidR="00630219" w:rsidRPr="003154CE" w14:paraId="4E4299E7" w14:textId="77777777" w:rsidTr="004F4A43">
        <w:trPr>
          <w:tblCellSpacing w:w="15" w:type="dxa"/>
          <w:jc w:val="center"/>
        </w:trPr>
        <w:tc>
          <w:tcPr>
            <w:tcW w:w="2476" w:type="dxa"/>
            <w:tcBorders>
              <w:top w:val="outset" w:sz="6" w:space="0" w:color="auto"/>
              <w:left w:val="outset" w:sz="6" w:space="0" w:color="auto"/>
              <w:bottom w:val="outset" w:sz="6" w:space="0" w:color="auto"/>
              <w:right w:val="outset" w:sz="6" w:space="0" w:color="auto"/>
            </w:tcBorders>
            <w:vAlign w:val="center"/>
          </w:tcPr>
          <w:p w14:paraId="4D7A443F" w14:textId="77777777" w:rsidR="00630219" w:rsidRPr="005F5D0D" w:rsidRDefault="00630219" w:rsidP="00630219">
            <w:pPr>
              <w:rPr>
                <w:sz w:val="22"/>
              </w:rPr>
            </w:pPr>
            <w:r w:rsidRPr="005F5D0D">
              <w:rPr>
                <w:sz w:val="22"/>
              </w:rPr>
              <w:t>2.3. pašvaldību budžets</w:t>
            </w:r>
          </w:p>
        </w:tc>
        <w:tc>
          <w:tcPr>
            <w:tcW w:w="1410" w:type="dxa"/>
            <w:tcBorders>
              <w:top w:val="outset" w:sz="6" w:space="0" w:color="auto"/>
              <w:left w:val="outset" w:sz="6" w:space="0" w:color="auto"/>
              <w:bottom w:val="outset" w:sz="6" w:space="0" w:color="auto"/>
              <w:right w:val="outset" w:sz="6" w:space="0" w:color="auto"/>
            </w:tcBorders>
            <w:vAlign w:val="center"/>
          </w:tcPr>
          <w:p w14:paraId="66990B29" w14:textId="24DB5415" w:rsidR="00630219" w:rsidRPr="003154CE" w:rsidRDefault="00630219" w:rsidP="00630219">
            <w:pPr>
              <w:jc w:val="center"/>
              <w:rPr>
                <w:sz w:val="22"/>
              </w:rPr>
            </w:pPr>
            <w:r w:rsidRPr="003154CE">
              <w:rPr>
                <w:sz w:val="22"/>
              </w:rPr>
              <w:t>0</w:t>
            </w:r>
          </w:p>
        </w:tc>
        <w:tc>
          <w:tcPr>
            <w:tcW w:w="1050" w:type="dxa"/>
            <w:tcBorders>
              <w:top w:val="outset" w:sz="6" w:space="0" w:color="auto"/>
              <w:left w:val="outset" w:sz="6" w:space="0" w:color="auto"/>
              <w:bottom w:val="outset" w:sz="6" w:space="0" w:color="auto"/>
              <w:right w:val="outset" w:sz="6" w:space="0" w:color="auto"/>
            </w:tcBorders>
            <w:vAlign w:val="center"/>
          </w:tcPr>
          <w:p w14:paraId="184E21C7" w14:textId="578BB514" w:rsidR="00630219" w:rsidRPr="003154CE" w:rsidRDefault="00630219" w:rsidP="00630219">
            <w:pPr>
              <w:jc w:val="center"/>
              <w:rPr>
                <w:sz w:val="22"/>
              </w:rPr>
            </w:pPr>
            <w:r w:rsidRPr="003154CE">
              <w:rPr>
                <w:sz w:val="22"/>
              </w:rPr>
              <w:t>0</w:t>
            </w:r>
          </w:p>
        </w:tc>
        <w:tc>
          <w:tcPr>
            <w:tcW w:w="962" w:type="dxa"/>
            <w:tcBorders>
              <w:top w:val="outset" w:sz="6" w:space="0" w:color="auto"/>
              <w:left w:val="outset" w:sz="6" w:space="0" w:color="auto"/>
              <w:bottom w:val="outset" w:sz="6" w:space="0" w:color="auto"/>
              <w:right w:val="outset" w:sz="6" w:space="0" w:color="auto"/>
            </w:tcBorders>
            <w:vAlign w:val="center"/>
          </w:tcPr>
          <w:p w14:paraId="087288C4" w14:textId="3615D296" w:rsidR="00630219" w:rsidRPr="003154CE" w:rsidRDefault="00630219" w:rsidP="00630219">
            <w:pPr>
              <w:jc w:val="center"/>
              <w:rPr>
                <w:sz w:val="22"/>
              </w:rPr>
            </w:pPr>
            <w:r w:rsidRPr="003154CE">
              <w:rPr>
                <w:sz w:val="22"/>
              </w:rPr>
              <w:t>0</w:t>
            </w:r>
          </w:p>
        </w:tc>
        <w:tc>
          <w:tcPr>
            <w:tcW w:w="1104" w:type="dxa"/>
            <w:tcBorders>
              <w:top w:val="outset" w:sz="6" w:space="0" w:color="auto"/>
              <w:left w:val="outset" w:sz="6" w:space="0" w:color="auto"/>
              <w:bottom w:val="outset" w:sz="6" w:space="0" w:color="auto"/>
              <w:right w:val="outset" w:sz="6" w:space="0" w:color="auto"/>
            </w:tcBorders>
            <w:vAlign w:val="center"/>
          </w:tcPr>
          <w:p w14:paraId="2CF586E5" w14:textId="7414D142" w:rsidR="00630219" w:rsidRPr="003154CE" w:rsidRDefault="00630219" w:rsidP="00630219">
            <w:pPr>
              <w:jc w:val="center"/>
              <w:rPr>
                <w:sz w:val="22"/>
              </w:rPr>
            </w:pPr>
            <w:r w:rsidRPr="003154CE">
              <w:rPr>
                <w:sz w:val="22"/>
              </w:rPr>
              <w:t>0</w:t>
            </w:r>
          </w:p>
        </w:tc>
        <w:tc>
          <w:tcPr>
            <w:tcW w:w="962" w:type="dxa"/>
            <w:tcBorders>
              <w:top w:val="outset" w:sz="6" w:space="0" w:color="auto"/>
              <w:left w:val="outset" w:sz="6" w:space="0" w:color="auto"/>
              <w:bottom w:val="outset" w:sz="6" w:space="0" w:color="auto"/>
              <w:right w:val="outset" w:sz="6" w:space="0" w:color="auto"/>
            </w:tcBorders>
            <w:vAlign w:val="center"/>
          </w:tcPr>
          <w:p w14:paraId="6244C1CD" w14:textId="48F02E52" w:rsidR="00630219" w:rsidRPr="003154CE" w:rsidRDefault="00630219" w:rsidP="00630219">
            <w:pPr>
              <w:jc w:val="center"/>
              <w:rPr>
                <w:sz w:val="22"/>
              </w:rPr>
            </w:pPr>
            <w:r w:rsidRPr="003154CE">
              <w:rPr>
                <w:sz w:val="22"/>
              </w:rPr>
              <w:t>0</w:t>
            </w:r>
          </w:p>
        </w:tc>
        <w:tc>
          <w:tcPr>
            <w:tcW w:w="1104" w:type="dxa"/>
            <w:tcBorders>
              <w:top w:val="outset" w:sz="6" w:space="0" w:color="auto"/>
              <w:left w:val="outset" w:sz="6" w:space="0" w:color="auto"/>
              <w:bottom w:val="outset" w:sz="6" w:space="0" w:color="auto"/>
              <w:right w:val="outset" w:sz="6" w:space="0" w:color="auto"/>
            </w:tcBorders>
            <w:vAlign w:val="center"/>
          </w:tcPr>
          <w:p w14:paraId="02CBC1AC" w14:textId="181F5A5C" w:rsidR="00630219" w:rsidRPr="003154CE" w:rsidRDefault="00630219" w:rsidP="00630219">
            <w:pPr>
              <w:jc w:val="center"/>
              <w:rPr>
                <w:sz w:val="22"/>
              </w:rPr>
            </w:pPr>
            <w:r w:rsidRPr="003154CE">
              <w:rPr>
                <w:sz w:val="22"/>
              </w:rPr>
              <w:t>0</w:t>
            </w:r>
          </w:p>
        </w:tc>
        <w:tc>
          <w:tcPr>
            <w:tcW w:w="1286" w:type="dxa"/>
            <w:tcBorders>
              <w:top w:val="outset" w:sz="6" w:space="0" w:color="auto"/>
              <w:left w:val="outset" w:sz="6" w:space="0" w:color="auto"/>
              <w:bottom w:val="outset" w:sz="6" w:space="0" w:color="auto"/>
              <w:right w:val="outset" w:sz="6" w:space="0" w:color="auto"/>
            </w:tcBorders>
            <w:vAlign w:val="center"/>
          </w:tcPr>
          <w:p w14:paraId="5DD1A20C" w14:textId="204E47D2" w:rsidR="00630219" w:rsidRPr="003154CE" w:rsidRDefault="00630219" w:rsidP="00630219">
            <w:pPr>
              <w:jc w:val="center"/>
              <w:rPr>
                <w:sz w:val="22"/>
              </w:rPr>
            </w:pPr>
            <w:r w:rsidRPr="003154CE">
              <w:rPr>
                <w:sz w:val="22"/>
              </w:rPr>
              <w:t>0</w:t>
            </w:r>
          </w:p>
        </w:tc>
      </w:tr>
      <w:tr w:rsidR="00630219" w:rsidRPr="003154CE" w14:paraId="222180BC" w14:textId="77777777" w:rsidTr="004F4A43">
        <w:trPr>
          <w:tblCellSpacing w:w="15" w:type="dxa"/>
          <w:jc w:val="center"/>
        </w:trPr>
        <w:tc>
          <w:tcPr>
            <w:tcW w:w="2476" w:type="dxa"/>
            <w:tcBorders>
              <w:top w:val="outset" w:sz="6" w:space="0" w:color="auto"/>
              <w:left w:val="outset" w:sz="6" w:space="0" w:color="auto"/>
              <w:bottom w:val="outset" w:sz="6" w:space="0" w:color="auto"/>
              <w:right w:val="outset" w:sz="6" w:space="0" w:color="auto"/>
            </w:tcBorders>
            <w:vAlign w:val="center"/>
            <w:hideMark/>
          </w:tcPr>
          <w:p w14:paraId="6C1700D7" w14:textId="77777777" w:rsidR="00630219" w:rsidRPr="005F5D0D" w:rsidRDefault="00630219" w:rsidP="00630219">
            <w:pPr>
              <w:rPr>
                <w:sz w:val="22"/>
              </w:rPr>
            </w:pPr>
            <w:r w:rsidRPr="005F5D0D">
              <w:rPr>
                <w:sz w:val="22"/>
              </w:rPr>
              <w:t>3. Finansiālā ietekme</w:t>
            </w:r>
          </w:p>
        </w:tc>
        <w:tc>
          <w:tcPr>
            <w:tcW w:w="1410" w:type="dxa"/>
            <w:tcBorders>
              <w:top w:val="outset" w:sz="6" w:space="0" w:color="auto"/>
              <w:left w:val="outset" w:sz="6" w:space="0" w:color="auto"/>
              <w:bottom w:val="outset" w:sz="6" w:space="0" w:color="auto"/>
              <w:right w:val="outset" w:sz="6" w:space="0" w:color="auto"/>
            </w:tcBorders>
            <w:vAlign w:val="center"/>
            <w:hideMark/>
          </w:tcPr>
          <w:p w14:paraId="498834B6" w14:textId="2C9A8ACB" w:rsidR="00630219" w:rsidRPr="003154CE" w:rsidRDefault="00630219" w:rsidP="00630219">
            <w:pPr>
              <w:jc w:val="center"/>
              <w:rPr>
                <w:sz w:val="22"/>
              </w:rPr>
            </w:pPr>
            <w:r w:rsidRPr="003154CE">
              <w:rPr>
                <w:rFonts w:eastAsia="Times New Roman"/>
                <w:spacing w:val="-2"/>
                <w:sz w:val="22"/>
                <w:lang w:eastAsia="lv-LV"/>
              </w:rPr>
              <w:t>0</w:t>
            </w:r>
          </w:p>
        </w:tc>
        <w:tc>
          <w:tcPr>
            <w:tcW w:w="1050" w:type="dxa"/>
            <w:tcBorders>
              <w:top w:val="outset" w:sz="6" w:space="0" w:color="auto"/>
              <w:left w:val="outset" w:sz="6" w:space="0" w:color="auto"/>
              <w:bottom w:val="outset" w:sz="6" w:space="0" w:color="auto"/>
              <w:right w:val="outset" w:sz="6" w:space="0" w:color="auto"/>
            </w:tcBorders>
            <w:hideMark/>
          </w:tcPr>
          <w:p w14:paraId="095B06A8" w14:textId="796E75DE" w:rsidR="00630219" w:rsidRPr="003154CE" w:rsidRDefault="00630219" w:rsidP="00630219">
            <w:pPr>
              <w:jc w:val="center"/>
              <w:rPr>
                <w:sz w:val="22"/>
              </w:rPr>
            </w:pPr>
            <w:r w:rsidRPr="003154CE">
              <w:rPr>
                <w:rFonts w:eastAsia="Times New Roman"/>
                <w:spacing w:val="-2"/>
                <w:sz w:val="22"/>
                <w:lang w:eastAsia="lv-LV"/>
              </w:rPr>
              <w:t>0</w:t>
            </w:r>
          </w:p>
        </w:tc>
        <w:tc>
          <w:tcPr>
            <w:tcW w:w="962" w:type="dxa"/>
            <w:tcBorders>
              <w:top w:val="outset" w:sz="6" w:space="0" w:color="auto"/>
              <w:left w:val="outset" w:sz="6" w:space="0" w:color="auto"/>
              <w:bottom w:val="outset" w:sz="6" w:space="0" w:color="auto"/>
              <w:right w:val="outset" w:sz="6" w:space="0" w:color="auto"/>
            </w:tcBorders>
            <w:hideMark/>
          </w:tcPr>
          <w:p w14:paraId="041B1B06" w14:textId="07B093A3" w:rsidR="00630219" w:rsidRPr="003154CE" w:rsidRDefault="00630219" w:rsidP="00630219">
            <w:pPr>
              <w:jc w:val="center"/>
              <w:rPr>
                <w:sz w:val="22"/>
              </w:rPr>
            </w:pPr>
            <w:r w:rsidRPr="003154CE">
              <w:rPr>
                <w:rFonts w:eastAsia="Times New Roman"/>
                <w:spacing w:val="-2"/>
                <w:sz w:val="22"/>
                <w:lang w:eastAsia="lv-LV"/>
              </w:rPr>
              <w:t>0</w:t>
            </w:r>
          </w:p>
        </w:tc>
        <w:tc>
          <w:tcPr>
            <w:tcW w:w="1104" w:type="dxa"/>
            <w:tcBorders>
              <w:top w:val="outset" w:sz="6" w:space="0" w:color="auto"/>
              <w:left w:val="outset" w:sz="6" w:space="0" w:color="auto"/>
              <w:bottom w:val="outset" w:sz="6" w:space="0" w:color="auto"/>
              <w:right w:val="outset" w:sz="6" w:space="0" w:color="auto"/>
            </w:tcBorders>
            <w:hideMark/>
          </w:tcPr>
          <w:p w14:paraId="1EE86D4E" w14:textId="0CF609D5" w:rsidR="00630219" w:rsidRPr="003154CE" w:rsidRDefault="00630219" w:rsidP="00630219">
            <w:pPr>
              <w:jc w:val="center"/>
              <w:rPr>
                <w:color w:val="FF0000"/>
                <w:sz w:val="22"/>
              </w:rPr>
            </w:pPr>
            <w:r w:rsidRPr="003154CE">
              <w:rPr>
                <w:rFonts w:eastAsia="Times New Roman"/>
                <w:spacing w:val="-2"/>
                <w:sz w:val="22"/>
                <w:lang w:eastAsia="lv-LV"/>
              </w:rPr>
              <w:t>2 988 317</w:t>
            </w:r>
          </w:p>
        </w:tc>
        <w:tc>
          <w:tcPr>
            <w:tcW w:w="962" w:type="dxa"/>
            <w:tcBorders>
              <w:top w:val="outset" w:sz="6" w:space="0" w:color="auto"/>
              <w:left w:val="outset" w:sz="6" w:space="0" w:color="auto"/>
              <w:bottom w:val="outset" w:sz="6" w:space="0" w:color="auto"/>
              <w:right w:val="outset" w:sz="6" w:space="0" w:color="auto"/>
            </w:tcBorders>
            <w:hideMark/>
          </w:tcPr>
          <w:p w14:paraId="55B5FEAF" w14:textId="20D48F50" w:rsidR="00630219" w:rsidRPr="003154CE" w:rsidRDefault="00630219" w:rsidP="00630219">
            <w:pPr>
              <w:jc w:val="center"/>
              <w:rPr>
                <w:color w:val="FF0000"/>
                <w:sz w:val="22"/>
              </w:rPr>
            </w:pPr>
            <w:r w:rsidRPr="003154CE">
              <w:rPr>
                <w:rFonts w:eastAsia="Times New Roman"/>
                <w:spacing w:val="-2"/>
                <w:sz w:val="22"/>
                <w:lang w:eastAsia="lv-LV"/>
              </w:rPr>
              <w:t>0</w:t>
            </w:r>
          </w:p>
        </w:tc>
        <w:tc>
          <w:tcPr>
            <w:tcW w:w="1104" w:type="dxa"/>
            <w:tcBorders>
              <w:top w:val="outset" w:sz="6" w:space="0" w:color="auto"/>
              <w:left w:val="outset" w:sz="6" w:space="0" w:color="auto"/>
              <w:bottom w:val="outset" w:sz="6" w:space="0" w:color="auto"/>
              <w:right w:val="outset" w:sz="6" w:space="0" w:color="auto"/>
            </w:tcBorders>
            <w:hideMark/>
          </w:tcPr>
          <w:p w14:paraId="41F86600" w14:textId="058DB5D5" w:rsidR="00630219" w:rsidRPr="003154CE" w:rsidRDefault="00630219" w:rsidP="00630219">
            <w:pPr>
              <w:jc w:val="center"/>
              <w:rPr>
                <w:color w:val="FF0000"/>
                <w:sz w:val="22"/>
              </w:rPr>
            </w:pPr>
            <w:r w:rsidRPr="003154CE">
              <w:rPr>
                <w:rFonts w:eastAsia="Times New Roman"/>
                <w:spacing w:val="-2"/>
                <w:sz w:val="22"/>
                <w:lang w:eastAsia="lv-LV"/>
              </w:rPr>
              <w:t>3 362 243</w:t>
            </w:r>
          </w:p>
        </w:tc>
        <w:tc>
          <w:tcPr>
            <w:tcW w:w="1286" w:type="dxa"/>
            <w:tcBorders>
              <w:top w:val="outset" w:sz="6" w:space="0" w:color="auto"/>
              <w:left w:val="outset" w:sz="6" w:space="0" w:color="auto"/>
              <w:bottom w:val="outset" w:sz="6" w:space="0" w:color="auto"/>
              <w:right w:val="outset" w:sz="6" w:space="0" w:color="auto"/>
            </w:tcBorders>
            <w:hideMark/>
          </w:tcPr>
          <w:p w14:paraId="716DF373" w14:textId="1D682101" w:rsidR="00630219" w:rsidRPr="003154CE" w:rsidRDefault="00630219" w:rsidP="00630219">
            <w:pPr>
              <w:jc w:val="center"/>
              <w:rPr>
                <w:color w:val="FF0000"/>
                <w:sz w:val="22"/>
              </w:rPr>
            </w:pPr>
            <w:r w:rsidRPr="003154CE">
              <w:rPr>
                <w:rFonts w:eastAsia="Times New Roman"/>
                <w:spacing w:val="-2"/>
                <w:sz w:val="22"/>
                <w:lang w:eastAsia="lv-LV"/>
              </w:rPr>
              <w:t>2 923 117</w:t>
            </w:r>
          </w:p>
        </w:tc>
      </w:tr>
      <w:tr w:rsidR="00630219" w:rsidRPr="003154CE" w14:paraId="7025EF81" w14:textId="77777777" w:rsidTr="004F4A43">
        <w:trPr>
          <w:tblCellSpacing w:w="15" w:type="dxa"/>
          <w:jc w:val="center"/>
        </w:trPr>
        <w:tc>
          <w:tcPr>
            <w:tcW w:w="2476" w:type="dxa"/>
            <w:tcBorders>
              <w:top w:val="outset" w:sz="6" w:space="0" w:color="auto"/>
              <w:left w:val="outset" w:sz="6" w:space="0" w:color="auto"/>
              <w:bottom w:val="outset" w:sz="6" w:space="0" w:color="auto"/>
              <w:right w:val="outset" w:sz="6" w:space="0" w:color="auto"/>
            </w:tcBorders>
            <w:vAlign w:val="center"/>
            <w:hideMark/>
          </w:tcPr>
          <w:p w14:paraId="7A546CCF" w14:textId="77777777" w:rsidR="00630219" w:rsidRPr="005F5D0D" w:rsidRDefault="00630219" w:rsidP="00630219">
            <w:pPr>
              <w:rPr>
                <w:sz w:val="22"/>
              </w:rPr>
            </w:pPr>
            <w:r w:rsidRPr="005F5D0D">
              <w:rPr>
                <w:sz w:val="22"/>
              </w:rPr>
              <w:t>3.1. valsts pamatbudžets</w:t>
            </w:r>
          </w:p>
        </w:tc>
        <w:tc>
          <w:tcPr>
            <w:tcW w:w="1410" w:type="dxa"/>
            <w:tcBorders>
              <w:top w:val="outset" w:sz="6" w:space="0" w:color="auto"/>
              <w:left w:val="outset" w:sz="6" w:space="0" w:color="auto"/>
              <w:bottom w:val="outset" w:sz="6" w:space="0" w:color="auto"/>
              <w:right w:val="outset" w:sz="6" w:space="0" w:color="auto"/>
            </w:tcBorders>
            <w:vAlign w:val="center"/>
            <w:hideMark/>
          </w:tcPr>
          <w:p w14:paraId="13DF2A1A" w14:textId="6E7758E7" w:rsidR="00630219" w:rsidRPr="003154CE" w:rsidRDefault="00630219" w:rsidP="00630219">
            <w:pPr>
              <w:jc w:val="center"/>
              <w:rPr>
                <w:sz w:val="22"/>
              </w:rPr>
            </w:pPr>
            <w:r w:rsidRPr="003154CE">
              <w:rPr>
                <w:rFonts w:eastAsia="Times New Roman"/>
                <w:spacing w:val="-2"/>
                <w:sz w:val="22"/>
                <w:lang w:eastAsia="lv-LV"/>
              </w:rPr>
              <w:t>0</w:t>
            </w:r>
          </w:p>
        </w:tc>
        <w:tc>
          <w:tcPr>
            <w:tcW w:w="1050" w:type="dxa"/>
            <w:tcBorders>
              <w:top w:val="outset" w:sz="6" w:space="0" w:color="auto"/>
              <w:left w:val="outset" w:sz="6" w:space="0" w:color="auto"/>
              <w:bottom w:val="outset" w:sz="6" w:space="0" w:color="auto"/>
              <w:right w:val="outset" w:sz="6" w:space="0" w:color="auto"/>
            </w:tcBorders>
            <w:hideMark/>
          </w:tcPr>
          <w:p w14:paraId="735EE64F" w14:textId="0A646D1F" w:rsidR="00630219" w:rsidRPr="003154CE" w:rsidRDefault="00630219" w:rsidP="00630219">
            <w:pPr>
              <w:jc w:val="center"/>
              <w:rPr>
                <w:sz w:val="22"/>
              </w:rPr>
            </w:pPr>
            <w:r w:rsidRPr="003154CE">
              <w:rPr>
                <w:rFonts w:eastAsia="Times New Roman"/>
                <w:spacing w:val="-2"/>
                <w:sz w:val="22"/>
                <w:lang w:eastAsia="lv-LV"/>
              </w:rPr>
              <w:t>0</w:t>
            </w:r>
          </w:p>
        </w:tc>
        <w:tc>
          <w:tcPr>
            <w:tcW w:w="962" w:type="dxa"/>
            <w:tcBorders>
              <w:top w:val="outset" w:sz="6" w:space="0" w:color="auto"/>
              <w:left w:val="outset" w:sz="6" w:space="0" w:color="auto"/>
              <w:bottom w:val="outset" w:sz="6" w:space="0" w:color="auto"/>
              <w:right w:val="outset" w:sz="6" w:space="0" w:color="auto"/>
            </w:tcBorders>
            <w:hideMark/>
          </w:tcPr>
          <w:p w14:paraId="1AB64DC0" w14:textId="244BAC29" w:rsidR="00630219" w:rsidRPr="003154CE" w:rsidRDefault="00630219" w:rsidP="00630219">
            <w:pPr>
              <w:jc w:val="center"/>
              <w:rPr>
                <w:sz w:val="22"/>
              </w:rPr>
            </w:pPr>
            <w:r w:rsidRPr="003154CE">
              <w:rPr>
                <w:rFonts w:eastAsia="Times New Roman"/>
                <w:spacing w:val="-2"/>
                <w:sz w:val="22"/>
                <w:lang w:eastAsia="lv-LV"/>
              </w:rPr>
              <w:t>0</w:t>
            </w:r>
          </w:p>
        </w:tc>
        <w:tc>
          <w:tcPr>
            <w:tcW w:w="1104" w:type="dxa"/>
            <w:tcBorders>
              <w:top w:val="outset" w:sz="6" w:space="0" w:color="auto"/>
              <w:left w:val="outset" w:sz="6" w:space="0" w:color="auto"/>
              <w:bottom w:val="outset" w:sz="6" w:space="0" w:color="auto"/>
              <w:right w:val="outset" w:sz="6" w:space="0" w:color="auto"/>
            </w:tcBorders>
            <w:hideMark/>
          </w:tcPr>
          <w:p w14:paraId="5ED18BB3" w14:textId="72632466" w:rsidR="00630219" w:rsidRPr="003154CE" w:rsidRDefault="00630219" w:rsidP="00630219">
            <w:pPr>
              <w:jc w:val="center"/>
              <w:rPr>
                <w:color w:val="FF0000"/>
                <w:sz w:val="22"/>
              </w:rPr>
            </w:pPr>
            <w:r w:rsidRPr="003154CE">
              <w:rPr>
                <w:rFonts w:eastAsia="Times New Roman"/>
                <w:spacing w:val="-2"/>
                <w:sz w:val="22"/>
                <w:lang w:eastAsia="lv-LV"/>
              </w:rPr>
              <w:t>410 317</w:t>
            </w:r>
          </w:p>
        </w:tc>
        <w:tc>
          <w:tcPr>
            <w:tcW w:w="962" w:type="dxa"/>
            <w:tcBorders>
              <w:top w:val="outset" w:sz="6" w:space="0" w:color="auto"/>
              <w:left w:val="outset" w:sz="6" w:space="0" w:color="auto"/>
              <w:bottom w:val="outset" w:sz="6" w:space="0" w:color="auto"/>
              <w:right w:val="outset" w:sz="6" w:space="0" w:color="auto"/>
            </w:tcBorders>
            <w:hideMark/>
          </w:tcPr>
          <w:p w14:paraId="27E940C6" w14:textId="04650150" w:rsidR="00630219" w:rsidRPr="003154CE" w:rsidRDefault="00630219" w:rsidP="00630219">
            <w:pPr>
              <w:jc w:val="center"/>
              <w:rPr>
                <w:color w:val="FF0000"/>
                <w:sz w:val="22"/>
              </w:rPr>
            </w:pPr>
            <w:r w:rsidRPr="003154CE">
              <w:rPr>
                <w:rFonts w:eastAsia="Times New Roman"/>
                <w:spacing w:val="-2"/>
                <w:sz w:val="22"/>
                <w:lang w:eastAsia="lv-LV"/>
              </w:rPr>
              <w:t>0</w:t>
            </w:r>
          </w:p>
        </w:tc>
        <w:tc>
          <w:tcPr>
            <w:tcW w:w="1104" w:type="dxa"/>
            <w:tcBorders>
              <w:top w:val="outset" w:sz="6" w:space="0" w:color="auto"/>
              <w:left w:val="outset" w:sz="6" w:space="0" w:color="auto"/>
              <w:bottom w:val="outset" w:sz="6" w:space="0" w:color="auto"/>
              <w:right w:val="outset" w:sz="6" w:space="0" w:color="auto"/>
            </w:tcBorders>
            <w:hideMark/>
          </w:tcPr>
          <w:p w14:paraId="3A66B13D" w14:textId="6318C3B9" w:rsidR="00630219" w:rsidRPr="003154CE" w:rsidRDefault="00630219" w:rsidP="00630219">
            <w:pPr>
              <w:jc w:val="center"/>
              <w:rPr>
                <w:color w:val="FF0000"/>
                <w:sz w:val="22"/>
              </w:rPr>
            </w:pPr>
            <w:r w:rsidRPr="003154CE">
              <w:rPr>
                <w:rFonts w:eastAsia="Times New Roman"/>
                <w:spacing w:val="-2"/>
                <w:sz w:val="22"/>
                <w:lang w:eastAsia="lv-LV"/>
              </w:rPr>
              <w:t>784 243</w:t>
            </w:r>
          </w:p>
        </w:tc>
        <w:tc>
          <w:tcPr>
            <w:tcW w:w="1286" w:type="dxa"/>
            <w:tcBorders>
              <w:top w:val="outset" w:sz="6" w:space="0" w:color="auto"/>
              <w:left w:val="outset" w:sz="6" w:space="0" w:color="auto"/>
              <w:bottom w:val="outset" w:sz="6" w:space="0" w:color="auto"/>
              <w:right w:val="outset" w:sz="6" w:space="0" w:color="auto"/>
            </w:tcBorders>
            <w:hideMark/>
          </w:tcPr>
          <w:p w14:paraId="10AA4BAD" w14:textId="14C66059" w:rsidR="00630219" w:rsidRPr="003154CE" w:rsidRDefault="00630219" w:rsidP="00630219">
            <w:pPr>
              <w:jc w:val="center"/>
              <w:rPr>
                <w:color w:val="FF0000"/>
                <w:sz w:val="22"/>
              </w:rPr>
            </w:pPr>
            <w:r w:rsidRPr="003154CE">
              <w:rPr>
                <w:rFonts w:eastAsia="Times New Roman"/>
                <w:spacing w:val="-2"/>
                <w:sz w:val="22"/>
                <w:lang w:eastAsia="lv-LV"/>
              </w:rPr>
              <w:t>345 117</w:t>
            </w:r>
          </w:p>
        </w:tc>
      </w:tr>
      <w:tr w:rsidR="0000492E" w:rsidRPr="003154CE" w14:paraId="51B228C3" w14:textId="77777777" w:rsidTr="004F4A43">
        <w:trPr>
          <w:tblCellSpacing w:w="15" w:type="dxa"/>
          <w:jc w:val="center"/>
        </w:trPr>
        <w:tc>
          <w:tcPr>
            <w:tcW w:w="2476" w:type="dxa"/>
            <w:tcBorders>
              <w:top w:val="outset" w:sz="6" w:space="0" w:color="auto"/>
              <w:left w:val="outset" w:sz="6" w:space="0" w:color="auto"/>
              <w:bottom w:val="outset" w:sz="6" w:space="0" w:color="auto"/>
              <w:right w:val="outset" w:sz="6" w:space="0" w:color="auto"/>
            </w:tcBorders>
            <w:vAlign w:val="center"/>
            <w:hideMark/>
          </w:tcPr>
          <w:p w14:paraId="7A6228E3" w14:textId="77777777" w:rsidR="0000492E" w:rsidRPr="005F5D0D" w:rsidRDefault="0000492E" w:rsidP="0000492E">
            <w:pPr>
              <w:rPr>
                <w:sz w:val="22"/>
              </w:rPr>
            </w:pPr>
            <w:r w:rsidRPr="005F5D0D">
              <w:rPr>
                <w:sz w:val="22"/>
              </w:rPr>
              <w:t>3.2. speciālais budžets</w:t>
            </w:r>
          </w:p>
        </w:tc>
        <w:tc>
          <w:tcPr>
            <w:tcW w:w="1410" w:type="dxa"/>
            <w:tcBorders>
              <w:top w:val="outset" w:sz="6" w:space="0" w:color="auto"/>
              <w:left w:val="outset" w:sz="6" w:space="0" w:color="auto"/>
              <w:bottom w:val="outset" w:sz="6" w:space="0" w:color="auto"/>
              <w:right w:val="outset" w:sz="6" w:space="0" w:color="auto"/>
            </w:tcBorders>
            <w:vAlign w:val="center"/>
            <w:hideMark/>
          </w:tcPr>
          <w:p w14:paraId="22C78494" w14:textId="1F537148" w:rsidR="0000492E" w:rsidRPr="003154CE" w:rsidRDefault="0000492E" w:rsidP="0000492E">
            <w:pPr>
              <w:jc w:val="center"/>
              <w:rPr>
                <w:sz w:val="22"/>
              </w:rPr>
            </w:pPr>
            <w:r w:rsidRPr="003154CE">
              <w:rPr>
                <w:rFonts w:eastAsia="Times New Roman"/>
                <w:spacing w:val="-2"/>
                <w:sz w:val="22"/>
                <w:lang w:eastAsia="lv-LV"/>
              </w:rPr>
              <w:t>0</w:t>
            </w:r>
          </w:p>
        </w:tc>
        <w:tc>
          <w:tcPr>
            <w:tcW w:w="1050" w:type="dxa"/>
            <w:tcBorders>
              <w:top w:val="outset" w:sz="6" w:space="0" w:color="auto"/>
              <w:left w:val="outset" w:sz="6" w:space="0" w:color="auto"/>
              <w:bottom w:val="outset" w:sz="6" w:space="0" w:color="auto"/>
              <w:right w:val="outset" w:sz="6" w:space="0" w:color="auto"/>
            </w:tcBorders>
            <w:hideMark/>
          </w:tcPr>
          <w:p w14:paraId="5B35DBD5" w14:textId="5F2D8E14" w:rsidR="0000492E" w:rsidRPr="003154CE" w:rsidRDefault="0000492E" w:rsidP="0000492E">
            <w:pPr>
              <w:jc w:val="center"/>
              <w:rPr>
                <w:sz w:val="22"/>
              </w:rPr>
            </w:pPr>
            <w:r w:rsidRPr="003154CE">
              <w:rPr>
                <w:rFonts w:eastAsia="Times New Roman"/>
                <w:spacing w:val="-2"/>
                <w:sz w:val="22"/>
                <w:lang w:eastAsia="lv-LV"/>
              </w:rPr>
              <w:t>0</w:t>
            </w:r>
          </w:p>
        </w:tc>
        <w:tc>
          <w:tcPr>
            <w:tcW w:w="962" w:type="dxa"/>
            <w:tcBorders>
              <w:top w:val="outset" w:sz="6" w:space="0" w:color="auto"/>
              <w:left w:val="outset" w:sz="6" w:space="0" w:color="auto"/>
              <w:bottom w:val="outset" w:sz="6" w:space="0" w:color="auto"/>
              <w:right w:val="outset" w:sz="6" w:space="0" w:color="auto"/>
            </w:tcBorders>
            <w:hideMark/>
          </w:tcPr>
          <w:p w14:paraId="3C3F71D1" w14:textId="71B07492" w:rsidR="0000492E" w:rsidRPr="003154CE" w:rsidRDefault="0000492E" w:rsidP="0000492E">
            <w:pPr>
              <w:jc w:val="center"/>
              <w:rPr>
                <w:sz w:val="22"/>
              </w:rPr>
            </w:pPr>
            <w:r w:rsidRPr="003154CE">
              <w:rPr>
                <w:rFonts w:eastAsia="Times New Roman"/>
                <w:spacing w:val="-2"/>
                <w:sz w:val="22"/>
                <w:lang w:eastAsia="lv-LV"/>
              </w:rPr>
              <w:t>0</w:t>
            </w:r>
          </w:p>
        </w:tc>
        <w:tc>
          <w:tcPr>
            <w:tcW w:w="1104" w:type="dxa"/>
            <w:tcBorders>
              <w:top w:val="outset" w:sz="6" w:space="0" w:color="auto"/>
              <w:left w:val="outset" w:sz="6" w:space="0" w:color="auto"/>
              <w:bottom w:val="outset" w:sz="6" w:space="0" w:color="auto"/>
              <w:right w:val="outset" w:sz="6" w:space="0" w:color="auto"/>
            </w:tcBorders>
            <w:hideMark/>
          </w:tcPr>
          <w:p w14:paraId="68FE26EE" w14:textId="6EBAAB50" w:rsidR="0000492E" w:rsidRPr="003154CE" w:rsidRDefault="0000492E" w:rsidP="0000492E">
            <w:pPr>
              <w:jc w:val="center"/>
              <w:rPr>
                <w:sz w:val="22"/>
              </w:rPr>
            </w:pPr>
            <w:r w:rsidRPr="003154CE">
              <w:rPr>
                <w:rFonts w:eastAsia="Times New Roman"/>
                <w:spacing w:val="-2"/>
                <w:sz w:val="22"/>
                <w:lang w:eastAsia="lv-LV"/>
              </w:rPr>
              <w:t>1 850 000</w:t>
            </w:r>
          </w:p>
        </w:tc>
        <w:tc>
          <w:tcPr>
            <w:tcW w:w="962" w:type="dxa"/>
            <w:tcBorders>
              <w:top w:val="outset" w:sz="6" w:space="0" w:color="auto"/>
              <w:left w:val="outset" w:sz="6" w:space="0" w:color="auto"/>
              <w:bottom w:val="outset" w:sz="6" w:space="0" w:color="auto"/>
              <w:right w:val="outset" w:sz="6" w:space="0" w:color="auto"/>
            </w:tcBorders>
            <w:hideMark/>
          </w:tcPr>
          <w:p w14:paraId="792867A7" w14:textId="0A4B1F57" w:rsidR="0000492E" w:rsidRPr="003154CE" w:rsidRDefault="0000492E" w:rsidP="0000492E">
            <w:pPr>
              <w:jc w:val="center"/>
              <w:rPr>
                <w:sz w:val="22"/>
              </w:rPr>
            </w:pPr>
            <w:r w:rsidRPr="003154CE">
              <w:rPr>
                <w:rFonts w:eastAsia="Times New Roman"/>
                <w:spacing w:val="-2"/>
                <w:sz w:val="22"/>
                <w:lang w:eastAsia="lv-LV"/>
              </w:rPr>
              <w:t>0</w:t>
            </w:r>
          </w:p>
        </w:tc>
        <w:tc>
          <w:tcPr>
            <w:tcW w:w="1104" w:type="dxa"/>
            <w:tcBorders>
              <w:top w:val="outset" w:sz="6" w:space="0" w:color="auto"/>
              <w:left w:val="outset" w:sz="6" w:space="0" w:color="auto"/>
              <w:bottom w:val="outset" w:sz="6" w:space="0" w:color="auto"/>
              <w:right w:val="outset" w:sz="6" w:space="0" w:color="auto"/>
            </w:tcBorders>
            <w:hideMark/>
          </w:tcPr>
          <w:p w14:paraId="1E1D60CA" w14:textId="7EFE0912" w:rsidR="0000492E" w:rsidRPr="003154CE" w:rsidRDefault="0000492E" w:rsidP="0000492E">
            <w:pPr>
              <w:jc w:val="center"/>
              <w:rPr>
                <w:sz w:val="22"/>
              </w:rPr>
            </w:pPr>
            <w:r w:rsidRPr="003154CE">
              <w:rPr>
                <w:rFonts w:eastAsia="Times New Roman"/>
                <w:spacing w:val="-2"/>
                <w:sz w:val="22"/>
                <w:lang w:eastAsia="lv-LV"/>
              </w:rPr>
              <w:t>1 850 000</w:t>
            </w:r>
          </w:p>
        </w:tc>
        <w:tc>
          <w:tcPr>
            <w:tcW w:w="1286" w:type="dxa"/>
            <w:tcBorders>
              <w:top w:val="outset" w:sz="6" w:space="0" w:color="auto"/>
              <w:left w:val="outset" w:sz="6" w:space="0" w:color="auto"/>
              <w:bottom w:val="outset" w:sz="6" w:space="0" w:color="auto"/>
              <w:right w:val="outset" w:sz="6" w:space="0" w:color="auto"/>
            </w:tcBorders>
            <w:hideMark/>
          </w:tcPr>
          <w:p w14:paraId="6816E73E" w14:textId="72AEE7C7" w:rsidR="0000492E" w:rsidRPr="003154CE" w:rsidRDefault="0000492E" w:rsidP="0000492E">
            <w:pPr>
              <w:jc w:val="center"/>
              <w:rPr>
                <w:sz w:val="22"/>
              </w:rPr>
            </w:pPr>
            <w:r w:rsidRPr="003154CE">
              <w:rPr>
                <w:rFonts w:eastAsia="Times New Roman"/>
                <w:spacing w:val="-2"/>
                <w:sz w:val="22"/>
                <w:lang w:eastAsia="lv-LV"/>
              </w:rPr>
              <w:t>1 850 00</w:t>
            </w:r>
          </w:p>
        </w:tc>
      </w:tr>
      <w:tr w:rsidR="0000492E" w:rsidRPr="003154CE" w14:paraId="383F80FD" w14:textId="77777777" w:rsidTr="004F4A43">
        <w:trPr>
          <w:tblCellSpacing w:w="15" w:type="dxa"/>
          <w:jc w:val="center"/>
        </w:trPr>
        <w:tc>
          <w:tcPr>
            <w:tcW w:w="2476" w:type="dxa"/>
            <w:tcBorders>
              <w:top w:val="outset" w:sz="6" w:space="0" w:color="auto"/>
              <w:left w:val="outset" w:sz="6" w:space="0" w:color="auto"/>
              <w:bottom w:val="outset" w:sz="6" w:space="0" w:color="auto"/>
              <w:right w:val="outset" w:sz="6" w:space="0" w:color="auto"/>
            </w:tcBorders>
            <w:vAlign w:val="center"/>
            <w:hideMark/>
          </w:tcPr>
          <w:p w14:paraId="3AD2A89E" w14:textId="77777777" w:rsidR="0000492E" w:rsidRPr="005F5D0D" w:rsidRDefault="0000492E" w:rsidP="0000492E">
            <w:pPr>
              <w:rPr>
                <w:sz w:val="22"/>
              </w:rPr>
            </w:pPr>
            <w:r w:rsidRPr="005F5D0D">
              <w:rPr>
                <w:sz w:val="22"/>
              </w:rPr>
              <w:t>3.3. pašvaldību budžets</w:t>
            </w:r>
          </w:p>
        </w:tc>
        <w:tc>
          <w:tcPr>
            <w:tcW w:w="1410" w:type="dxa"/>
            <w:tcBorders>
              <w:top w:val="outset" w:sz="6" w:space="0" w:color="auto"/>
              <w:left w:val="outset" w:sz="6" w:space="0" w:color="auto"/>
              <w:bottom w:val="outset" w:sz="6" w:space="0" w:color="auto"/>
              <w:right w:val="outset" w:sz="6" w:space="0" w:color="auto"/>
            </w:tcBorders>
            <w:vAlign w:val="center"/>
            <w:hideMark/>
          </w:tcPr>
          <w:p w14:paraId="3E9B7ED4" w14:textId="371A0960" w:rsidR="0000492E" w:rsidRPr="003154CE" w:rsidRDefault="0000492E" w:rsidP="0000492E">
            <w:pPr>
              <w:jc w:val="center"/>
              <w:rPr>
                <w:sz w:val="22"/>
              </w:rPr>
            </w:pPr>
            <w:r w:rsidRPr="003154CE">
              <w:rPr>
                <w:rFonts w:eastAsia="Times New Roman"/>
                <w:spacing w:val="-2"/>
                <w:sz w:val="22"/>
                <w:lang w:eastAsia="lv-LV"/>
              </w:rPr>
              <w:t>0</w:t>
            </w:r>
          </w:p>
        </w:tc>
        <w:tc>
          <w:tcPr>
            <w:tcW w:w="1050" w:type="dxa"/>
            <w:tcBorders>
              <w:top w:val="outset" w:sz="6" w:space="0" w:color="auto"/>
              <w:left w:val="outset" w:sz="6" w:space="0" w:color="auto"/>
              <w:bottom w:val="outset" w:sz="6" w:space="0" w:color="auto"/>
              <w:right w:val="outset" w:sz="6" w:space="0" w:color="auto"/>
            </w:tcBorders>
            <w:hideMark/>
          </w:tcPr>
          <w:p w14:paraId="6E5D6527" w14:textId="7CE67486" w:rsidR="0000492E" w:rsidRPr="003154CE" w:rsidRDefault="0000492E" w:rsidP="0000492E">
            <w:pPr>
              <w:jc w:val="center"/>
              <w:rPr>
                <w:sz w:val="22"/>
              </w:rPr>
            </w:pPr>
            <w:r w:rsidRPr="003154CE">
              <w:rPr>
                <w:rFonts w:eastAsia="Times New Roman"/>
                <w:spacing w:val="-2"/>
                <w:sz w:val="22"/>
                <w:lang w:eastAsia="lv-LV"/>
              </w:rPr>
              <w:t>0</w:t>
            </w:r>
          </w:p>
        </w:tc>
        <w:tc>
          <w:tcPr>
            <w:tcW w:w="962" w:type="dxa"/>
            <w:tcBorders>
              <w:top w:val="outset" w:sz="6" w:space="0" w:color="auto"/>
              <w:left w:val="outset" w:sz="6" w:space="0" w:color="auto"/>
              <w:bottom w:val="outset" w:sz="6" w:space="0" w:color="auto"/>
              <w:right w:val="outset" w:sz="6" w:space="0" w:color="auto"/>
            </w:tcBorders>
            <w:hideMark/>
          </w:tcPr>
          <w:p w14:paraId="0FFE76B7" w14:textId="301131EA" w:rsidR="0000492E" w:rsidRPr="003154CE" w:rsidRDefault="0000492E" w:rsidP="0000492E">
            <w:pPr>
              <w:jc w:val="center"/>
              <w:rPr>
                <w:sz w:val="22"/>
              </w:rPr>
            </w:pPr>
            <w:r w:rsidRPr="003154CE">
              <w:rPr>
                <w:rFonts w:eastAsia="Times New Roman"/>
                <w:spacing w:val="-2"/>
                <w:sz w:val="22"/>
                <w:lang w:eastAsia="lv-LV"/>
              </w:rPr>
              <w:t>0</w:t>
            </w:r>
          </w:p>
        </w:tc>
        <w:tc>
          <w:tcPr>
            <w:tcW w:w="1104" w:type="dxa"/>
            <w:tcBorders>
              <w:top w:val="outset" w:sz="6" w:space="0" w:color="auto"/>
              <w:left w:val="outset" w:sz="6" w:space="0" w:color="auto"/>
              <w:bottom w:val="outset" w:sz="6" w:space="0" w:color="auto"/>
              <w:right w:val="outset" w:sz="6" w:space="0" w:color="auto"/>
            </w:tcBorders>
            <w:hideMark/>
          </w:tcPr>
          <w:p w14:paraId="301D1389" w14:textId="3AFEC164" w:rsidR="0000492E" w:rsidRPr="003154CE" w:rsidRDefault="0000492E" w:rsidP="0000492E">
            <w:pPr>
              <w:jc w:val="center"/>
              <w:rPr>
                <w:sz w:val="22"/>
              </w:rPr>
            </w:pPr>
            <w:r w:rsidRPr="003154CE">
              <w:rPr>
                <w:rFonts w:eastAsia="Times New Roman"/>
                <w:spacing w:val="-2"/>
                <w:sz w:val="22"/>
                <w:lang w:eastAsia="lv-LV"/>
              </w:rPr>
              <w:t>728 000</w:t>
            </w:r>
          </w:p>
        </w:tc>
        <w:tc>
          <w:tcPr>
            <w:tcW w:w="962" w:type="dxa"/>
            <w:tcBorders>
              <w:top w:val="outset" w:sz="6" w:space="0" w:color="auto"/>
              <w:left w:val="outset" w:sz="6" w:space="0" w:color="auto"/>
              <w:bottom w:val="outset" w:sz="6" w:space="0" w:color="auto"/>
              <w:right w:val="outset" w:sz="6" w:space="0" w:color="auto"/>
            </w:tcBorders>
            <w:hideMark/>
          </w:tcPr>
          <w:p w14:paraId="66834C6E" w14:textId="5A4DFC28" w:rsidR="0000492E" w:rsidRPr="003154CE" w:rsidRDefault="0000492E" w:rsidP="0000492E">
            <w:pPr>
              <w:jc w:val="center"/>
              <w:rPr>
                <w:sz w:val="22"/>
              </w:rPr>
            </w:pPr>
            <w:r w:rsidRPr="003154CE">
              <w:rPr>
                <w:rFonts w:eastAsia="Times New Roman"/>
                <w:spacing w:val="-2"/>
                <w:sz w:val="22"/>
                <w:lang w:eastAsia="lv-LV"/>
              </w:rPr>
              <w:t>0</w:t>
            </w:r>
          </w:p>
        </w:tc>
        <w:tc>
          <w:tcPr>
            <w:tcW w:w="1104" w:type="dxa"/>
            <w:tcBorders>
              <w:top w:val="outset" w:sz="6" w:space="0" w:color="auto"/>
              <w:left w:val="outset" w:sz="6" w:space="0" w:color="auto"/>
              <w:bottom w:val="outset" w:sz="6" w:space="0" w:color="auto"/>
              <w:right w:val="outset" w:sz="6" w:space="0" w:color="auto"/>
            </w:tcBorders>
            <w:hideMark/>
          </w:tcPr>
          <w:p w14:paraId="5617F3BF" w14:textId="7CCF7AC5" w:rsidR="0000492E" w:rsidRPr="003154CE" w:rsidRDefault="0000492E" w:rsidP="0000492E">
            <w:pPr>
              <w:jc w:val="center"/>
              <w:rPr>
                <w:sz w:val="22"/>
              </w:rPr>
            </w:pPr>
            <w:r w:rsidRPr="003154CE">
              <w:rPr>
                <w:rFonts w:eastAsia="Times New Roman"/>
                <w:spacing w:val="-2"/>
                <w:sz w:val="22"/>
                <w:lang w:eastAsia="lv-LV"/>
              </w:rPr>
              <w:t>728 000</w:t>
            </w:r>
          </w:p>
        </w:tc>
        <w:tc>
          <w:tcPr>
            <w:tcW w:w="1286" w:type="dxa"/>
            <w:tcBorders>
              <w:top w:val="outset" w:sz="6" w:space="0" w:color="auto"/>
              <w:left w:val="outset" w:sz="6" w:space="0" w:color="auto"/>
              <w:bottom w:val="outset" w:sz="6" w:space="0" w:color="auto"/>
              <w:right w:val="outset" w:sz="6" w:space="0" w:color="auto"/>
            </w:tcBorders>
            <w:hideMark/>
          </w:tcPr>
          <w:p w14:paraId="6FEED3C8" w14:textId="3EA5DB84" w:rsidR="0000492E" w:rsidRPr="003154CE" w:rsidRDefault="0000492E" w:rsidP="0000492E">
            <w:pPr>
              <w:jc w:val="center"/>
              <w:rPr>
                <w:sz w:val="22"/>
              </w:rPr>
            </w:pPr>
            <w:r w:rsidRPr="003154CE">
              <w:rPr>
                <w:rFonts w:eastAsia="Times New Roman"/>
                <w:spacing w:val="-2"/>
                <w:sz w:val="22"/>
                <w:lang w:eastAsia="lv-LV"/>
              </w:rPr>
              <w:t>728 000</w:t>
            </w:r>
          </w:p>
        </w:tc>
      </w:tr>
      <w:tr w:rsidR="0000492E" w:rsidRPr="003154CE" w14:paraId="045A3549" w14:textId="77777777" w:rsidTr="004F4A43">
        <w:trPr>
          <w:tblCellSpacing w:w="15" w:type="dxa"/>
          <w:jc w:val="center"/>
        </w:trPr>
        <w:tc>
          <w:tcPr>
            <w:tcW w:w="2476" w:type="dxa"/>
            <w:tcBorders>
              <w:top w:val="outset" w:sz="6" w:space="0" w:color="auto"/>
              <w:left w:val="outset" w:sz="6" w:space="0" w:color="auto"/>
              <w:bottom w:val="outset" w:sz="6" w:space="0" w:color="auto"/>
              <w:right w:val="outset" w:sz="6" w:space="0" w:color="auto"/>
            </w:tcBorders>
            <w:vAlign w:val="center"/>
            <w:hideMark/>
          </w:tcPr>
          <w:p w14:paraId="774441F3" w14:textId="77777777" w:rsidR="0000492E" w:rsidRPr="005F5D0D" w:rsidRDefault="0000492E" w:rsidP="0000492E">
            <w:pPr>
              <w:rPr>
                <w:sz w:val="22"/>
              </w:rPr>
            </w:pPr>
            <w:r w:rsidRPr="005F5D0D">
              <w:rPr>
                <w:sz w:val="22"/>
              </w:rPr>
              <w:t>4. Finanšu līdzekļi papildu izdevumu finansēšanai (kompensējošu izdevumu samazinājumu norāda ar "+" zīmi)</w:t>
            </w:r>
          </w:p>
        </w:tc>
        <w:tc>
          <w:tcPr>
            <w:tcW w:w="1410" w:type="dxa"/>
            <w:tcBorders>
              <w:top w:val="outset" w:sz="6" w:space="0" w:color="auto"/>
              <w:left w:val="outset" w:sz="6" w:space="0" w:color="auto"/>
              <w:bottom w:val="outset" w:sz="6" w:space="0" w:color="auto"/>
              <w:right w:val="outset" w:sz="6" w:space="0" w:color="auto"/>
            </w:tcBorders>
            <w:vAlign w:val="center"/>
            <w:hideMark/>
          </w:tcPr>
          <w:p w14:paraId="10A2F187" w14:textId="4ECAF6AB" w:rsidR="0000492E" w:rsidRPr="003154CE" w:rsidRDefault="0000492E" w:rsidP="0000492E">
            <w:pPr>
              <w:jc w:val="center"/>
              <w:rPr>
                <w:sz w:val="22"/>
              </w:rPr>
            </w:pPr>
            <w:r w:rsidRPr="003154CE">
              <w:rPr>
                <w:rFonts w:eastAsia="Times New Roman"/>
                <w:spacing w:val="-2"/>
                <w:sz w:val="22"/>
                <w:lang w:eastAsia="lv-LV"/>
              </w:rPr>
              <w:t>0</w:t>
            </w:r>
          </w:p>
        </w:tc>
        <w:tc>
          <w:tcPr>
            <w:tcW w:w="1050" w:type="dxa"/>
            <w:tcBorders>
              <w:top w:val="outset" w:sz="6" w:space="0" w:color="auto"/>
              <w:left w:val="outset" w:sz="6" w:space="0" w:color="auto"/>
              <w:bottom w:val="outset" w:sz="6" w:space="0" w:color="auto"/>
              <w:right w:val="outset" w:sz="6" w:space="0" w:color="auto"/>
            </w:tcBorders>
            <w:vAlign w:val="center"/>
            <w:hideMark/>
          </w:tcPr>
          <w:p w14:paraId="56189166" w14:textId="5B65EDC3" w:rsidR="0000492E" w:rsidRPr="003154CE" w:rsidRDefault="0000492E" w:rsidP="0000492E">
            <w:pPr>
              <w:jc w:val="center"/>
              <w:rPr>
                <w:sz w:val="22"/>
              </w:rPr>
            </w:pPr>
            <w:r w:rsidRPr="003154CE">
              <w:rPr>
                <w:rFonts w:eastAsia="Times New Roman"/>
                <w:spacing w:val="-2"/>
                <w:sz w:val="22"/>
                <w:lang w:eastAsia="lv-LV"/>
              </w:rPr>
              <w:t>41 036</w:t>
            </w:r>
          </w:p>
        </w:tc>
        <w:tc>
          <w:tcPr>
            <w:tcW w:w="962" w:type="dxa"/>
            <w:tcBorders>
              <w:top w:val="outset" w:sz="6" w:space="0" w:color="auto"/>
              <w:left w:val="outset" w:sz="6" w:space="0" w:color="auto"/>
              <w:bottom w:val="outset" w:sz="6" w:space="0" w:color="auto"/>
              <w:right w:val="outset" w:sz="6" w:space="0" w:color="auto"/>
            </w:tcBorders>
            <w:vAlign w:val="center"/>
            <w:hideMark/>
          </w:tcPr>
          <w:p w14:paraId="078EC93B" w14:textId="705F4467" w:rsidR="0000492E" w:rsidRPr="003154CE" w:rsidRDefault="0000492E" w:rsidP="0000492E">
            <w:pPr>
              <w:jc w:val="center"/>
              <w:rPr>
                <w:sz w:val="22"/>
              </w:rPr>
            </w:pPr>
            <w:r w:rsidRPr="003154CE">
              <w:rPr>
                <w:rFonts w:eastAsia="Times New Roman"/>
                <w:spacing w:val="-2"/>
                <w:sz w:val="22"/>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BCA8160" w14:textId="7BE32BD8" w:rsidR="0000492E" w:rsidRPr="003154CE" w:rsidRDefault="0000492E" w:rsidP="0000492E">
            <w:pPr>
              <w:jc w:val="center"/>
              <w:rPr>
                <w:sz w:val="22"/>
              </w:rPr>
            </w:pPr>
            <w:r w:rsidRPr="003154CE">
              <w:rPr>
                <w:rFonts w:eastAsia="Times New Roman"/>
                <w:spacing w:val="-2"/>
                <w:sz w:val="22"/>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72D20867" w14:textId="5515F5F4" w:rsidR="0000492E" w:rsidRPr="003154CE" w:rsidRDefault="0000492E" w:rsidP="0000492E">
            <w:pPr>
              <w:jc w:val="center"/>
              <w:rPr>
                <w:sz w:val="22"/>
              </w:rPr>
            </w:pPr>
            <w:r w:rsidRPr="003154CE">
              <w:rPr>
                <w:rFonts w:eastAsia="Times New Roman"/>
                <w:spacing w:val="-2"/>
                <w:sz w:val="22"/>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E995106" w14:textId="46896E7A" w:rsidR="0000492E" w:rsidRPr="003154CE" w:rsidRDefault="0000492E" w:rsidP="0000492E">
            <w:pPr>
              <w:jc w:val="center"/>
              <w:rPr>
                <w:sz w:val="22"/>
              </w:rPr>
            </w:pPr>
            <w:r w:rsidRPr="003154CE">
              <w:rPr>
                <w:rFonts w:eastAsia="Times New Roman"/>
                <w:spacing w:val="-2"/>
                <w:sz w:val="22"/>
                <w:lang w:eastAsia="lv-LV"/>
              </w:rPr>
              <w:t>0</w:t>
            </w:r>
          </w:p>
        </w:tc>
        <w:tc>
          <w:tcPr>
            <w:tcW w:w="1286" w:type="dxa"/>
            <w:tcBorders>
              <w:top w:val="outset" w:sz="6" w:space="0" w:color="auto"/>
              <w:left w:val="outset" w:sz="6" w:space="0" w:color="auto"/>
              <w:bottom w:val="outset" w:sz="6" w:space="0" w:color="auto"/>
              <w:right w:val="outset" w:sz="6" w:space="0" w:color="auto"/>
            </w:tcBorders>
            <w:vAlign w:val="center"/>
            <w:hideMark/>
          </w:tcPr>
          <w:p w14:paraId="5AC64BE3" w14:textId="21601A2F" w:rsidR="0000492E" w:rsidRPr="003154CE" w:rsidRDefault="0000492E" w:rsidP="0000492E">
            <w:pPr>
              <w:jc w:val="center"/>
              <w:rPr>
                <w:sz w:val="22"/>
              </w:rPr>
            </w:pPr>
            <w:r w:rsidRPr="003154CE">
              <w:rPr>
                <w:rFonts w:eastAsia="Times New Roman"/>
                <w:spacing w:val="-2"/>
                <w:sz w:val="22"/>
                <w:lang w:eastAsia="lv-LV"/>
              </w:rPr>
              <w:t>0</w:t>
            </w:r>
          </w:p>
        </w:tc>
      </w:tr>
      <w:tr w:rsidR="00630219" w:rsidRPr="003154CE" w14:paraId="60CE2F78" w14:textId="77777777" w:rsidTr="00630219">
        <w:trPr>
          <w:trHeight w:val="640"/>
          <w:tblCellSpacing w:w="15" w:type="dxa"/>
          <w:jc w:val="center"/>
        </w:trPr>
        <w:tc>
          <w:tcPr>
            <w:tcW w:w="2476" w:type="dxa"/>
            <w:tcBorders>
              <w:top w:val="outset" w:sz="6" w:space="0" w:color="auto"/>
              <w:left w:val="outset" w:sz="6" w:space="0" w:color="auto"/>
              <w:bottom w:val="outset" w:sz="6" w:space="0" w:color="auto"/>
              <w:right w:val="outset" w:sz="6" w:space="0" w:color="auto"/>
            </w:tcBorders>
            <w:vAlign w:val="center"/>
            <w:hideMark/>
          </w:tcPr>
          <w:p w14:paraId="13BAE1A0" w14:textId="77777777" w:rsidR="00630219" w:rsidRPr="005F5D0D" w:rsidRDefault="00630219" w:rsidP="00630219">
            <w:pPr>
              <w:rPr>
                <w:sz w:val="22"/>
              </w:rPr>
            </w:pPr>
            <w:r w:rsidRPr="005F5D0D">
              <w:rPr>
                <w:sz w:val="22"/>
              </w:rPr>
              <w:t>5. Precizēta finansiālā ietekme</w:t>
            </w:r>
          </w:p>
        </w:tc>
        <w:tc>
          <w:tcPr>
            <w:tcW w:w="1410" w:type="dxa"/>
            <w:vMerge w:val="restart"/>
            <w:tcBorders>
              <w:top w:val="outset" w:sz="6" w:space="0" w:color="auto"/>
              <w:left w:val="outset" w:sz="6" w:space="0" w:color="auto"/>
              <w:right w:val="outset" w:sz="6" w:space="0" w:color="auto"/>
            </w:tcBorders>
            <w:vAlign w:val="center"/>
            <w:hideMark/>
          </w:tcPr>
          <w:p w14:paraId="4B260047" w14:textId="7BA72BF4" w:rsidR="00630219" w:rsidRPr="003154CE" w:rsidRDefault="00630219" w:rsidP="00630219">
            <w:pPr>
              <w:jc w:val="center"/>
              <w:rPr>
                <w:rFonts w:eastAsia="Times New Roman"/>
                <w:spacing w:val="-2"/>
                <w:sz w:val="22"/>
                <w:lang w:eastAsia="lv-LV"/>
              </w:rPr>
            </w:pPr>
            <w:r w:rsidRPr="003154CE">
              <w:rPr>
                <w:rFonts w:eastAsia="Times New Roman"/>
                <w:spacing w:val="-2"/>
                <w:sz w:val="22"/>
                <w:lang w:eastAsia="lv-LV"/>
              </w:rPr>
              <w:t>X</w:t>
            </w:r>
          </w:p>
        </w:tc>
        <w:tc>
          <w:tcPr>
            <w:tcW w:w="1050" w:type="dxa"/>
            <w:tcBorders>
              <w:top w:val="outset" w:sz="6" w:space="0" w:color="auto"/>
              <w:left w:val="outset" w:sz="6" w:space="0" w:color="auto"/>
              <w:bottom w:val="outset" w:sz="6" w:space="0" w:color="auto"/>
              <w:right w:val="outset" w:sz="6" w:space="0" w:color="auto"/>
            </w:tcBorders>
            <w:vAlign w:val="center"/>
            <w:hideMark/>
          </w:tcPr>
          <w:p w14:paraId="7CF7CE32" w14:textId="6E06FDC8" w:rsidR="00630219" w:rsidRPr="003154CE" w:rsidRDefault="00630219" w:rsidP="00630219">
            <w:pPr>
              <w:jc w:val="center"/>
              <w:rPr>
                <w:rFonts w:eastAsia="Times New Roman"/>
                <w:spacing w:val="-2"/>
                <w:sz w:val="22"/>
                <w:lang w:eastAsia="lv-LV"/>
              </w:rPr>
            </w:pPr>
            <w:r w:rsidRPr="003154CE">
              <w:rPr>
                <w:rFonts w:eastAsia="Times New Roman"/>
                <w:spacing w:val="-2"/>
                <w:sz w:val="22"/>
                <w:lang w:eastAsia="lv-LV"/>
              </w:rPr>
              <w:t>0</w:t>
            </w:r>
          </w:p>
        </w:tc>
        <w:tc>
          <w:tcPr>
            <w:tcW w:w="962" w:type="dxa"/>
            <w:vMerge w:val="restart"/>
            <w:tcBorders>
              <w:top w:val="outset" w:sz="6" w:space="0" w:color="auto"/>
              <w:left w:val="outset" w:sz="6" w:space="0" w:color="auto"/>
              <w:right w:val="outset" w:sz="6" w:space="0" w:color="auto"/>
            </w:tcBorders>
            <w:vAlign w:val="center"/>
            <w:hideMark/>
          </w:tcPr>
          <w:p w14:paraId="0B0E03C4" w14:textId="77777777" w:rsidR="00630219" w:rsidRPr="003154CE" w:rsidRDefault="00630219" w:rsidP="00630219">
            <w:pPr>
              <w:jc w:val="center"/>
              <w:rPr>
                <w:rFonts w:eastAsia="Times New Roman"/>
                <w:spacing w:val="-2"/>
                <w:sz w:val="22"/>
                <w:lang w:eastAsia="lv-LV"/>
              </w:rPr>
            </w:pPr>
          </w:p>
          <w:p w14:paraId="33B33BE3" w14:textId="77777777" w:rsidR="00630219" w:rsidRPr="003154CE" w:rsidRDefault="00630219" w:rsidP="00630219">
            <w:pPr>
              <w:jc w:val="center"/>
              <w:rPr>
                <w:rFonts w:eastAsia="Times New Roman"/>
                <w:spacing w:val="-2"/>
                <w:sz w:val="22"/>
                <w:lang w:eastAsia="lv-LV"/>
              </w:rPr>
            </w:pPr>
            <w:r w:rsidRPr="003154CE">
              <w:rPr>
                <w:rFonts w:eastAsia="Times New Roman"/>
                <w:spacing w:val="-2"/>
                <w:sz w:val="22"/>
                <w:lang w:eastAsia="lv-LV"/>
              </w:rPr>
              <w:t>X</w:t>
            </w:r>
          </w:p>
          <w:p w14:paraId="0DD4AE23" w14:textId="77777777" w:rsidR="00630219" w:rsidRPr="003154CE" w:rsidRDefault="00630219" w:rsidP="00630219">
            <w:pPr>
              <w:jc w:val="center"/>
              <w:rPr>
                <w:rFonts w:eastAsia="Times New Roman"/>
                <w:spacing w:val="-2"/>
                <w:sz w:val="22"/>
                <w:lang w:eastAsia="lv-LV"/>
              </w:rPr>
            </w:pPr>
          </w:p>
        </w:tc>
        <w:tc>
          <w:tcPr>
            <w:tcW w:w="1104" w:type="dxa"/>
            <w:tcBorders>
              <w:top w:val="outset" w:sz="6" w:space="0" w:color="auto"/>
              <w:left w:val="outset" w:sz="6" w:space="0" w:color="auto"/>
              <w:bottom w:val="outset" w:sz="6" w:space="0" w:color="auto"/>
              <w:right w:val="outset" w:sz="6" w:space="0" w:color="auto"/>
            </w:tcBorders>
            <w:hideMark/>
          </w:tcPr>
          <w:p w14:paraId="4B87C207" w14:textId="50AF797A" w:rsidR="00630219" w:rsidRPr="003154CE" w:rsidRDefault="00630219" w:rsidP="00630219">
            <w:pPr>
              <w:jc w:val="center"/>
              <w:rPr>
                <w:color w:val="FF0000"/>
                <w:sz w:val="22"/>
              </w:rPr>
            </w:pPr>
            <w:r w:rsidRPr="003154CE">
              <w:rPr>
                <w:rFonts w:eastAsia="Times New Roman"/>
                <w:spacing w:val="-2"/>
                <w:sz w:val="22"/>
                <w:lang w:eastAsia="lv-LV"/>
              </w:rPr>
              <w:t>2 988 317</w:t>
            </w:r>
          </w:p>
        </w:tc>
        <w:tc>
          <w:tcPr>
            <w:tcW w:w="962" w:type="dxa"/>
            <w:vMerge w:val="restart"/>
            <w:tcBorders>
              <w:top w:val="outset" w:sz="6" w:space="0" w:color="auto"/>
              <w:left w:val="outset" w:sz="6" w:space="0" w:color="auto"/>
              <w:right w:val="outset" w:sz="6" w:space="0" w:color="auto"/>
            </w:tcBorders>
            <w:hideMark/>
          </w:tcPr>
          <w:p w14:paraId="421ECAD7" w14:textId="77777777" w:rsidR="00630219" w:rsidRPr="003154CE" w:rsidRDefault="00630219" w:rsidP="00630219">
            <w:pPr>
              <w:jc w:val="center"/>
              <w:rPr>
                <w:sz w:val="22"/>
              </w:rPr>
            </w:pPr>
          </w:p>
          <w:p w14:paraId="32588388" w14:textId="77777777" w:rsidR="00630219" w:rsidRPr="003154CE" w:rsidRDefault="00630219" w:rsidP="00630219">
            <w:pPr>
              <w:jc w:val="center"/>
              <w:rPr>
                <w:sz w:val="22"/>
              </w:rPr>
            </w:pPr>
          </w:p>
          <w:p w14:paraId="08BAC1B1" w14:textId="77777777" w:rsidR="00630219" w:rsidRPr="003154CE" w:rsidRDefault="00630219" w:rsidP="00630219">
            <w:pPr>
              <w:jc w:val="center"/>
              <w:rPr>
                <w:sz w:val="22"/>
              </w:rPr>
            </w:pPr>
          </w:p>
          <w:p w14:paraId="0326B259" w14:textId="7FA54923" w:rsidR="00630219" w:rsidRPr="003154CE" w:rsidRDefault="00630219" w:rsidP="00630219">
            <w:pPr>
              <w:jc w:val="center"/>
              <w:rPr>
                <w:sz w:val="22"/>
              </w:rPr>
            </w:pPr>
            <w:r w:rsidRPr="003154CE">
              <w:rPr>
                <w:sz w:val="22"/>
              </w:rPr>
              <w:t>X</w:t>
            </w:r>
          </w:p>
        </w:tc>
        <w:tc>
          <w:tcPr>
            <w:tcW w:w="1104" w:type="dxa"/>
            <w:tcBorders>
              <w:top w:val="outset" w:sz="6" w:space="0" w:color="auto"/>
              <w:left w:val="outset" w:sz="6" w:space="0" w:color="auto"/>
              <w:bottom w:val="outset" w:sz="6" w:space="0" w:color="auto"/>
              <w:right w:val="outset" w:sz="6" w:space="0" w:color="auto"/>
            </w:tcBorders>
            <w:hideMark/>
          </w:tcPr>
          <w:p w14:paraId="29612246" w14:textId="5B205205" w:rsidR="00630219" w:rsidRPr="003154CE" w:rsidRDefault="00630219" w:rsidP="00630219">
            <w:pPr>
              <w:jc w:val="center"/>
              <w:rPr>
                <w:color w:val="FF0000"/>
                <w:sz w:val="22"/>
              </w:rPr>
            </w:pPr>
            <w:r w:rsidRPr="003154CE">
              <w:rPr>
                <w:rFonts w:eastAsia="Times New Roman"/>
                <w:spacing w:val="-2"/>
                <w:sz w:val="22"/>
                <w:lang w:eastAsia="lv-LV"/>
              </w:rPr>
              <w:t>3 362 243</w:t>
            </w:r>
          </w:p>
        </w:tc>
        <w:tc>
          <w:tcPr>
            <w:tcW w:w="1286" w:type="dxa"/>
            <w:tcBorders>
              <w:top w:val="outset" w:sz="6" w:space="0" w:color="auto"/>
              <w:left w:val="outset" w:sz="6" w:space="0" w:color="auto"/>
              <w:bottom w:val="outset" w:sz="6" w:space="0" w:color="auto"/>
              <w:right w:val="outset" w:sz="6" w:space="0" w:color="auto"/>
            </w:tcBorders>
            <w:hideMark/>
          </w:tcPr>
          <w:p w14:paraId="767E27EA" w14:textId="0A413203" w:rsidR="00630219" w:rsidRPr="003154CE" w:rsidRDefault="00630219" w:rsidP="00630219">
            <w:pPr>
              <w:jc w:val="center"/>
              <w:rPr>
                <w:color w:val="FF0000"/>
                <w:sz w:val="22"/>
              </w:rPr>
            </w:pPr>
            <w:r w:rsidRPr="003154CE">
              <w:rPr>
                <w:rFonts w:eastAsia="Times New Roman"/>
                <w:spacing w:val="-2"/>
                <w:sz w:val="22"/>
                <w:lang w:eastAsia="lv-LV"/>
              </w:rPr>
              <w:t>2 923 117</w:t>
            </w:r>
          </w:p>
        </w:tc>
      </w:tr>
      <w:tr w:rsidR="00630219" w:rsidRPr="003154CE" w14:paraId="77173839" w14:textId="77777777" w:rsidTr="00630219">
        <w:trPr>
          <w:tblCellSpacing w:w="15" w:type="dxa"/>
          <w:jc w:val="center"/>
        </w:trPr>
        <w:tc>
          <w:tcPr>
            <w:tcW w:w="2476" w:type="dxa"/>
            <w:tcBorders>
              <w:top w:val="outset" w:sz="6" w:space="0" w:color="auto"/>
              <w:left w:val="outset" w:sz="6" w:space="0" w:color="auto"/>
              <w:bottom w:val="outset" w:sz="6" w:space="0" w:color="auto"/>
              <w:right w:val="outset" w:sz="6" w:space="0" w:color="auto"/>
            </w:tcBorders>
            <w:vAlign w:val="center"/>
            <w:hideMark/>
          </w:tcPr>
          <w:p w14:paraId="61000B59" w14:textId="77777777" w:rsidR="00630219" w:rsidRPr="005F5D0D" w:rsidRDefault="00630219" w:rsidP="00630219">
            <w:pPr>
              <w:rPr>
                <w:sz w:val="22"/>
              </w:rPr>
            </w:pPr>
            <w:r w:rsidRPr="005F5D0D">
              <w:rPr>
                <w:sz w:val="22"/>
              </w:rPr>
              <w:t>5.1. valsts pamatbudžets</w:t>
            </w:r>
          </w:p>
        </w:tc>
        <w:tc>
          <w:tcPr>
            <w:tcW w:w="1410" w:type="dxa"/>
            <w:vMerge/>
            <w:tcBorders>
              <w:left w:val="outset" w:sz="6" w:space="0" w:color="auto"/>
              <w:right w:val="outset" w:sz="6" w:space="0" w:color="auto"/>
            </w:tcBorders>
            <w:vAlign w:val="center"/>
            <w:hideMark/>
          </w:tcPr>
          <w:p w14:paraId="59C03FBB" w14:textId="77777777" w:rsidR="00630219" w:rsidRPr="003154CE" w:rsidRDefault="00630219" w:rsidP="00630219">
            <w:pPr>
              <w:jc w:val="center"/>
              <w:rPr>
                <w:sz w:val="22"/>
              </w:rPr>
            </w:pPr>
          </w:p>
        </w:tc>
        <w:tc>
          <w:tcPr>
            <w:tcW w:w="1050" w:type="dxa"/>
            <w:tcBorders>
              <w:top w:val="outset" w:sz="6" w:space="0" w:color="auto"/>
              <w:left w:val="outset" w:sz="6" w:space="0" w:color="auto"/>
              <w:bottom w:val="outset" w:sz="6" w:space="0" w:color="auto"/>
              <w:right w:val="outset" w:sz="6" w:space="0" w:color="auto"/>
            </w:tcBorders>
            <w:vAlign w:val="center"/>
            <w:hideMark/>
          </w:tcPr>
          <w:p w14:paraId="3F59C013" w14:textId="45AD18E8" w:rsidR="00630219" w:rsidRPr="003154CE" w:rsidRDefault="00630219" w:rsidP="00630219">
            <w:pPr>
              <w:jc w:val="center"/>
              <w:rPr>
                <w:sz w:val="22"/>
              </w:rPr>
            </w:pPr>
            <w:r w:rsidRPr="003154CE">
              <w:rPr>
                <w:rFonts w:eastAsia="Times New Roman"/>
                <w:spacing w:val="-2"/>
                <w:sz w:val="22"/>
                <w:lang w:eastAsia="lv-LV"/>
              </w:rPr>
              <w:t>0</w:t>
            </w:r>
          </w:p>
        </w:tc>
        <w:tc>
          <w:tcPr>
            <w:tcW w:w="962" w:type="dxa"/>
            <w:vMerge/>
            <w:tcBorders>
              <w:left w:val="outset" w:sz="6" w:space="0" w:color="auto"/>
              <w:right w:val="outset" w:sz="6" w:space="0" w:color="auto"/>
            </w:tcBorders>
            <w:vAlign w:val="center"/>
            <w:hideMark/>
          </w:tcPr>
          <w:p w14:paraId="712A7C41" w14:textId="77777777" w:rsidR="00630219" w:rsidRPr="003154CE" w:rsidRDefault="00630219" w:rsidP="00630219">
            <w:pPr>
              <w:jc w:val="center"/>
              <w:rPr>
                <w:sz w:val="22"/>
              </w:rPr>
            </w:pPr>
          </w:p>
        </w:tc>
        <w:tc>
          <w:tcPr>
            <w:tcW w:w="1104" w:type="dxa"/>
            <w:tcBorders>
              <w:top w:val="outset" w:sz="6" w:space="0" w:color="auto"/>
              <w:left w:val="outset" w:sz="6" w:space="0" w:color="auto"/>
              <w:bottom w:val="outset" w:sz="6" w:space="0" w:color="auto"/>
              <w:right w:val="outset" w:sz="6" w:space="0" w:color="auto"/>
            </w:tcBorders>
            <w:hideMark/>
          </w:tcPr>
          <w:p w14:paraId="05EDC446" w14:textId="608DA8FE" w:rsidR="00630219" w:rsidRPr="003154CE" w:rsidRDefault="00630219" w:rsidP="00630219">
            <w:pPr>
              <w:jc w:val="center"/>
              <w:rPr>
                <w:color w:val="FF0000"/>
                <w:sz w:val="22"/>
              </w:rPr>
            </w:pPr>
            <w:r w:rsidRPr="003154CE">
              <w:rPr>
                <w:rFonts w:eastAsia="Times New Roman"/>
                <w:spacing w:val="-2"/>
                <w:sz w:val="22"/>
                <w:lang w:eastAsia="lv-LV"/>
              </w:rPr>
              <w:t>410 317</w:t>
            </w:r>
          </w:p>
        </w:tc>
        <w:tc>
          <w:tcPr>
            <w:tcW w:w="962" w:type="dxa"/>
            <w:vMerge/>
            <w:tcBorders>
              <w:left w:val="outset" w:sz="6" w:space="0" w:color="auto"/>
              <w:right w:val="outset" w:sz="6" w:space="0" w:color="auto"/>
            </w:tcBorders>
            <w:hideMark/>
          </w:tcPr>
          <w:p w14:paraId="0D8F723F" w14:textId="77777777" w:rsidR="00630219" w:rsidRPr="003154CE" w:rsidRDefault="00630219" w:rsidP="00630219">
            <w:pPr>
              <w:jc w:val="center"/>
              <w:rPr>
                <w:sz w:val="22"/>
              </w:rPr>
            </w:pPr>
          </w:p>
        </w:tc>
        <w:tc>
          <w:tcPr>
            <w:tcW w:w="1104" w:type="dxa"/>
            <w:tcBorders>
              <w:top w:val="outset" w:sz="6" w:space="0" w:color="auto"/>
              <w:left w:val="outset" w:sz="6" w:space="0" w:color="auto"/>
              <w:bottom w:val="outset" w:sz="6" w:space="0" w:color="auto"/>
              <w:right w:val="outset" w:sz="6" w:space="0" w:color="auto"/>
            </w:tcBorders>
            <w:hideMark/>
          </w:tcPr>
          <w:p w14:paraId="531E92EF" w14:textId="4BEC6CDD" w:rsidR="00630219" w:rsidRPr="003154CE" w:rsidRDefault="00630219" w:rsidP="00630219">
            <w:pPr>
              <w:jc w:val="center"/>
              <w:rPr>
                <w:color w:val="FF0000"/>
                <w:sz w:val="22"/>
              </w:rPr>
            </w:pPr>
            <w:r w:rsidRPr="003154CE">
              <w:rPr>
                <w:rFonts w:eastAsia="Times New Roman"/>
                <w:spacing w:val="-2"/>
                <w:sz w:val="22"/>
                <w:lang w:eastAsia="lv-LV"/>
              </w:rPr>
              <w:t>784 243</w:t>
            </w:r>
          </w:p>
        </w:tc>
        <w:tc>
          <w:tcPr>
            <w:tcW w:w="1286" w:type="dxa"/>
            <w:tcBorders>
              <w:top w:val="outset" w:sz="6" w:space="0" w:color="auto"/>
              <w:left w:val="outset" w:sz="6" w:space="0" w:color="auto"/>
              <w:bottom w:val="outset" w:sz="6" w:space="0" w:color="auto"/>
              <w:right w:val="outset" w:sz="6" w:space="0" w:color="auto"/>
            </w:tcBorders>
            <w:hideMark/>
          </w:tcPr>
          <w:p w14:paraId="56F7AF91" w14:textId="09A3E4CB" w:rsidR="00630219" w:rsidRPr="003154CE" w:rsidRDefault="00630219" w:rsidP="00630219">
            <w:pPr>
              <w:jc w:val="center"/>
              <w:rPr>
                <w:color w:val="FF0000"/>
                <w:sz w:val="22"/>
              </w:rPr>
            </w:pPr>
            <w:r w:rsidRPr="003154CE">
              <w:rPr>
                <w:rFonts w:eastAsia="Times New Roman"/>
                <w:spacing w:val="-2"/>
                <w:sz w:val="22"/>
                <w:lang w:eastAsia="lv-LV"/>
              </w:rPr>
              <w:t>345 117</w:t>
            </w:r>
          </w:p>
        </w:tc>
      </w:tr>
      <w:tr w:rsidR="00630219" w:rsidRPr="003154CE" w14:paraId="41CA5B45" w14:textId="77777777" w:rsidTr="00630219">
        <w:trPr>
          <w:tblCellSpacing w:w="15" w:type="dxa"/>
          <w:jc w:val="center"/>
        </w:trPr>
        <w:tc>
          <w:tcPr>
            <w:tcW w:w="2476" w:type="dxa"/>
            <w:tcBorders>
              <w:top w:val="outset" w:sz="6" w:space="0" w:color="auto"/>
              <w:left w:val="outset" w:sz="6" w:space="0" w:color="auto"/>
              <w:bottom w:val="outset" w:sz="6" w:space="0" w:color="auto"/>
              <w:right w:val="outset" w:sz="6" w:space="0" w:color="auto"/>
            </w:tcBorders>
            <w:vAlign w:val="center"/>
          </w:tcPr>
          <w:p w14:paraId="7DB377CC" w14:textId="77777777" w:rsidR="00630219" w:rsidRPr="005F5D0D" w:rsidRDefault="00630219" w:rsidP="00630219">
            <w:pPr>
              <w:rPr>
                <w:sz w:val="22"/>
              </w:rPr>
            </w:pPr>
          </w:p>
        </w:tc>
        <w:tc>
          <w:tcPr>
            <w:tcW w:w="1410" w:type="dxa"/>
            <w:vMerge/>
            <w:tcBorders>
              <w:left w:val="outset" w:sz="6" w:space="0" w:color="auto"/>
              <w:right w:val="outset" w:sz="6" w:space="0" w:color="auto"/>
            </w:tcBorders>
            <w:vAlign w:val="center"/>
          </w:tcPr>
          <w:p w14:paraId="6907B5C8" w14:textId="77777777" w:rsidR="00630219" w:rsidRPr="003154CE" w:rsidRDefault="00630219" w:rsidP="00630219">
            <w:pPr>
              <w:jc w:val="center"/>
              <w:rPr>
                <w:sz w:val="22"/>
              </w:rPr>
            </w:pPr>
          </w:p>
        </w:tc>
        <w:tc>
          <w:tcPr>
            <w:tcW w:w="1050" w:type="dxa"/>
            <w:tcBorders>
              <w:top w:val="outset" w:sz="6" w:space="0" w:color="auto"/>
              <w:left w:val="outset" w:sz="6" w:space="0" w:color="auto"/>
              <w:bottom w:val="outset" w:sz="6" w:space="0" w:color="auto"/>
              <w:right w:val="outset" w:sz="6" w:space="0" w:color="auto"/>
            </w:tcBorders>
            <w:vAlign w:val="center"/>
          </w:tcPr>
          <w:p w14:paraId="67D5B06A" w14:textId="77777777" w:rsidR="00630219" w:rsidRPr="003154CE" w:rsidRDefault="00630219" w:rsidP="00630219">
            <w:pPr>
              <w:jc w:val="center"/>
              <w:rPr>
                <w:rFonts w:eastAsia="Times New Roman"/>
                <w:spacing w:val="-2"/>
                <w:sz w:val="22"/>
                <w:lang w:eastAsia="lv-LV"/>
              </w:rPr>
            </w:pPr>
          </w:p>
        </w:tc>
        <w:tc>
          <w:tcPr>
            <w:tcW w:w="962" w:type="dxa"/>
            <w:vMerge/>
            <w:tcBorders>
              <w:left w:val="outset" w:sz="6" w:space="0" w:color="auto"/>
              <w:right w:val="outset" w:sz="6" w:space="0" w:color="auto"/>
            </w:tcBorders>
            <w:vAlign w:val="center"/>
          </w:tcPr>
          <w:p w14:paraId="0BDDCEE4" w14:textId="77777777" w:rsidR="00630219" w:rsidRPr="003154CE" w:rsidRDefault="00630219" w:rsidP="00630219">
            <w:pPr>
              <w:jc w:val="center"/>
              <w:rPr>
                <w:sz w:val="22"/>
              </w:rPr>
            </w:pPr>
          </w:p>
        </w:tc>
        <w:tc>
          <w:tcPr>
            <w:tcW w:w="1104" w:type="dxa"/>
            <w:tcBorders>
              <w:top w:val="outset" w:sz="6" w:space="0" w:color="auto"/>
              <w:left w:val="outset" w:sz="6" w:space="0" w:color="auto"/>
              <w:bottom w:val="outset" w:sz="6" w:space="0" w:color="auto"/>
              <w:right w:val="outset" w:sz="6" w:space="0" w:color="auto"/>
            </w:tcBorders>
          </w:tcPr>
          <w:p w14:paraId="5756C862" w14:textId="6F8CEEF3" w:rsidR="00630219" w:rsidRPr="003154CE" w:rsidRDefault="00630219" w:rsidP="00630219">
            <w:pPr>
              <w:jc w:val="center"/>
              <w:rPr>
                <w:rFonts w:eastAsia="Times New Roman"/>
                <w:spacing w:val="-2"/>
                <w:sz w:val="22"/>
                <w:lang w:eastAsia="lv-LV"/>
              </w:rPr>
            </w:pPr>
            <w:r w:rsidRPr="003154CE">
              <w:rPr>
                <w:rFonts w:eastAsia="Times New Roman"/>
                <w:spacing w:val="-2"/>
                <w:sz w:val="22"/>
                <w:lang w:eastAsia="lv-LV"/>
              </w:rPr>
              <w:t>1 850 000</w:t>
            </w:r>
          </w:p>
        </w:tc>
        <w:tc>
          <w:tcPr>
            <w:tcW w:w="962" w:type="dxa"/>
            <w:vMerge/>
            <w:tcBorders>
              <w:left w:val="outset" w:sz="6" w:space="0" w:color="auto"/>
              <w:right w:val="outset" w:sz="6" w:space="0" w:color="auto"/>
            </w:tcBorders>
          </w:tcPr>
          <w:p w14:paraId="37524359" w14:textId="77777777" w:rsidR="00630219" w:rsidRPr="003154CE" w:rsidRDefault="00630219" w:rsidP="00630219">
            <w:pPr>
              <w:jc w:val="center"/>
              <w:rPr>
                <w:sz w:val="22"/>
              </w:rPr>
            </w:pPr>
          </w:p>
        </w:tc>
        <w:tc>
          <w:tcPr>
            <w:tcW w:w="1104" w:type="dxa"/>
            <w:tcBorders>
              <w:top w:val="outset" w:sz="6" w:space="0" w:color="auto"/>
              <w:left w:val="outset" w:sz="6" w:space="0" w:color="auto"/>
              <w:bottom w:val="outset" w:sz="6" w:space="0" w:color="auto"/>
              <w:right w:val="outset" w:sz="6" w:space="0" w:color="auto"/>
            </w:tcBorders>
          </w:tcPr>
          <w:p w14:paraId="69EE8ED0" w14:textId="0CB7CAC1" w:rsidR="00630219" w:rsidRPr="003154CE" w:rsidRDefault="00630219" w:rsidP="00630219">
            <w:pPr>
              <w:jc w:val="center"/>
              <w:rPr>
                <w:rFonts w:eastAsia="Times New Roman"/>
                <w:spacing w:val="-2"/>
                <w:sz w:val="22"/>
                <w:lang w:eastAsia="lv-LV"/>
              </w:rPr>
            </w:pPr>
            <w:r w:rsidRPr="003154CE">
              <w:rPr>
                <w:rFonts w:eastAsia="Times New Roman"/>
                <w:spacing w:val="-2"/>
                <w:sz w:val="22"/>
                <w:lang w:eastAsia="lv-LV"/>
              </w:rPr>
              <w:t>1 850 000</w:t>
            </w:r>
          </w:p>
        </w:tc>
        <w:tc>
          <w:tcPr>
            <w:tcW w:w="1286" w:type="dxa"/>
            <w:tcBorders>
              <w:top w:val="outset" w:sz="6" w:space="0" w:color="auto"/>
              <w:left w:val="outset" w:sz="6" w:space="0" w:color="auto"/>
              <w:bottom w:val="outset" w:sz="6" w:space="0" w:color="auto"/>
              <w:right w:val="outset" w:sz="6" w:space="0" w:color="auto"/>
            </w:tcBorders>
          </w:tcPr>
          <w:p w14:paraId="7FE9A776" w14:textId="01EA05F0" w:rsidR="00630219" w:rsidRPr="003154CE" w:rsidRDefault="00630219" w:rsidP="00630219">
            <w:pPr>
              <w:jc w:val="center"/>
              <w:rPr>
                <w:rFonts w:eastAsia="Times New Roman"/>
                <w:spacing w:val="-2"/>
                <w:sz w:val="22"/>
                <w:lang w:eastAsia="lv-LV"/>
              </w:rPr>
            </w:pPr>
            <w:r w:rsidRPr="003154CE">
              <w:rPr>
                <w:rFonts w:eastAsia="Times New Roman"/>
                <w:spacing w:val="-2"/>
                <w:sz w:val="22"/>
                <w:lang w:eastAsia="lv-LV"/>
              </w:rPr>
              <w:t>1 850 00</w:t>
            </w:r>
          </w:p>
        </w:tc>
      </w:tr>
      <w:tr w:rsidR="00630219" w:rsidRPr="003154CE" w14:paraId="5BAE6B79" w14:textId="77777777" w:rsidTr="00630219">
        <w:trPr>
          <w:tblCellSpacing w:w="15" w:type="dxa"/>
          <w:jc w:val="center"/>
        </w:trPr>
        <w:tc>
          <w:tcPr>
            <w:tcW w:w="2476" w:type="dxa"/>
            <w:tcBorders>
              <w:top w:val="outset" w:sz="6" w:space="0" w:color="auto"/>
              <w:left w:val="outset" w:sz="6" w:space="0" w:color="auto"/>
              <w:bottom w:val="outset" w:sz="6" w:space="0" w:color="auto"/>
              <w:right w:val="outset" w:sz="6" w:space="0" w:color="auto"/>
            </w:tcBorders>
            <w:vAlign w:val="center"/>
            <w:hideMark/>
          </w:tcPr>
          <w:p w14:paraId="50D4C7C9" w14:textId="77777777" w:rsidR="00630219" w:rsidRPr="005F5D0D" w:rsidRDefault="00630219" w:rsidP="00630219">
            <w:pPr>
              <w:rPr>
                <w:sz w:val="22"/>
              </w:rPr>
            </w:pPr>
            <w:r w:rsidRPr="005F5D0D">
              <w:rPr>
                <w:sz w:val="22"/>
              </w:rPr>
              <w:t>5.2. speciālais budžets</w:t>
            </w:r>
          </w:p>
        </w:tc>
        <w:tc>
          <w:tcPr>
            <w:tcW w:w="1410" w:type="dxa"/>
            <w:vMerge/>
            <w:tcBorders>
              <w:left w:val="outset" w:sz="6" w:space="0" w:color="auto"/>
              <w:right w:val="outset" w:sz="6" w:space="0" w:color="auto"/>
            </w:tcBorders>
            <w:vAlign w:val="center"/>
            <w:hideMark/>
          </w:tcPr>
          <w:p w14:paraId="0E014536" w14:textId="77777777" w:rsidR="00630219" w:rsidRPr="003154CE" w:rsidRDefault="00630219" w:rsidP="00630219">
            <w:pPr>
              <w:rPr>
                <w:sz w:val="22"/>
              </w:rPr>
            </w:pPr>
          </w:p>
        </w:tc>
        <w:tc>
          <w:tcPr>
            <w:tcW w:w="1050" w:type="dxa"/>
            <w:tcBorders>
              <w:top w:val="outset" w:sz="6" w:space="0" w:color="auto"/>
              <w:left w:val="outset" w:sz="6" w:space="0" w:color="auto"/>
              <w:bottom w:val="outset" w:sz="6" w:space="0" w:color="auto"/>
              <w:right w:val="outset" w:sz="6" w:space="0" w:color="auto"/>
            </w:tcBorders>
            <w:vAlign w:val="center"/>
            <w:hideMark/>
          </w:tcPr>
          <w:p w14:paraId="61C8DE44" w14:textId="3CAD209F" w:rsidR="00630219" w:rsidRPr="003154CE" w:rsidRDefault="00630219" w:rsidP="00630219">
            <w:pPr>
              <w:jc w:val="center"/>
              <w:rPr>
                <w:sz w:val="22"/>
              </w:rPr>
            </w:pPr>
            <w:r w:rsidRPr="003154CE">
              <w:rPr>
                <w:rFonts w:eastAsia="Times New Roman"/>
                <w:spacing w:val="-2"/>
                <w:sz w:val="22"/>
                <w:lang w:eastAsia="lv-LV"/>
              </w:rPr>
              <w:t>0</w:t>
            </w:r>
          </w:p>
        </w:tc>
        <w:tc>
          <w:tcPr>
            <w:tcW w:w="962" w:type="dxa"/>
            <w:vMerge/>
            <w:tcBorders>
              <w:left w:val="outset" w:sz="6" w:space="0" w:color="auto"/>
              <w:right w:val="outset" w:sz="6" w:space="0" w:color="auto"/>
            </w:tcBorders>
            <w:vAlign w:val="center"/>
            <w:hideMark/>
          </w:tcPr>
          <w:p w14:paraId="7203B2A3" w14:textId="77777777" w:rsidR="00630219" w:rsidRPr="003154CE" w:rsidRDefault="00630219" w:rsidP="00630219">
            <w:pPr>
              <w:jc w:val="center"/>
              <w:rPr>
                <w:sz w:val="22"/>
              </w:rPr>
            </w:pPr>
          </w:p>
        </w:tc>
        <w:tc>
          <w:tcPr>
            <w:tcW w:w="1104" w:type="dxa"/>
            <w:tcBorders>
              <w:top w:val="outset" w:sz="6" w:space="0" w:color="auto"/>
              <w:left w:val="outset" w:sz="6" w:space="0" w:color="auto"/>
              <w:bottom w:val="outset" w:sz="6" w:space="0" w:color="auto"/>
              <w:right w:val="outset" w:sz="6" w:space="0" w:color="auto"/>
            </w:tcBorders>
            <w:hideMark/>
          </w:tcPr>
          <w:p w14:paraId="12E9128D" w14:textId="38594518" w:rsidR="00630219" w:rsidRPr="003154CE" w:rsidRDefault="00630219" w:rsidP="00630219">
            <w:pPr>
              <w:jc w:val="center"/>
              <w:rPr>
                <w:sz w:val="22"/>
              </w:rPr>
            </w:pPr>
            <w:r w:rsidRPr="003154CE">
              <w:rPr>
                <w:rFonts w:eastAsia="Times New Roman"/>
                <w:spacing w:val="-2"/>
                <w:sz w:val="22"/>
                <w:lang w:eastAsia="lv-LV"/>
              </w:rPr>
              <w:t>728 000</w:t>
            </w:r>
          </w:p>
        </w:tc>
        <w:tc>
          <w:tcPr>
            <w:tcW w:w="962" w:type="dxa"/>
            <w:vMerge/>
            <w:tcBorders>
              <w:left w:val="outset" w:sz="6" w:space="0" w:color="auto"/>
              <w:right w:val="outset" w:sz="6" w:space="0" w:color="auto"/>
            </w:tcBorders>
            <w:hideMark/>
          </w:tcPr>
          <w:p w14:paraId="12795E1A" w14:textId="77777777" w:rsidR="00630219" w:rsidRPr="003154CE" w:rsidRDefault="00630219" w:rsidP="00630219">
            <w:pPr>
              <w:jc w:val="center"/>
              <w:rPr>
                <w:sz w:val="22"/>
              </w:rPr>
            </w:pPr>
          </w:p>
        </w:tc>
        <w:tc>
          <w:tcPr>
            <w:tcW w:w="1104" w:type="dxa"/>
            <w:tcBorders>
              <w:top w:val="outset" w:sz="6" w:space="0" w:color="auto"/>
              <w:left w:val="outset" w:sz="6" w:space="0" w:color="auto"/>
              <w:bottom w:val="outset" w:sz="6" w:space="0" w:color="auto"/>
              <w:right w:val="outset" w:sz="6" w:space="0" w:color="auto"/>
            </w:tcBorders>
            <w:hideMark/>
          </w:tcPr>
          <w:p w14:paraId="551BCBBC" w14:textId="014643AB" w:rsidR="00630219" w:rsidRPr="003154CE" w:rsidRDefault="00630219" w:rsidP="00630219">
            <w:pPr>
              <w:jc w:val="center"/>
              <w:rPr>
                <w:sz w:val="22"/>
              </w:rPr>
            </w:pPr>
            <w:r w:rsidRPr="003154CE">
              <w:rPr>
                <w:rFonts w:eastAsia="Times New Roman"/>
                <w:spacing w:val="-2"/>
                <w:sz w:val="22"/>
                <w:lang w:eastAsia="lv-LV"/>
              </w:rPr>
              <w:t>728 000</w:t>
            </w:r>
          </w:p>
        </w:tc>
        <w:tc>
          <w:tcPr>
            <w:tcW w:w="1286" w:type="dxa"/>
            <w:tcBorders>
              <w:top w:val="outset" w:sz="6" w:space="0" w:color="auto"/>
              <w:left w:val="outset" w:sz="6" w:space="0" w:color="auto"/>
              <w:bottom w:val="outset" w:sz="6" w:space="0" w:color="auto"/>
              <w:right w:val="outset" w:sz="6" w:space="0" w:color="auto"/>
            </w:tcBorders>
            <w:hideMark/>
          </w:tcPr>
          <w:p w14:paraId="2663BF4B" w14:textId="01DEA578" w:rsidR="00630219" w:rsidRPr="003154CE" w:rsidRDefault="00630219" w:rsidP="00630219">
            <w:pPr>
              <w:jc w:val="center"/>
              <w:rPr>
                <w:sz w:val="22"/>
              </w:rPr>
            </w:pPr>
            <w:r w:rsidRPr="003154CE">
              <w:rPr>
                <w:rFonts w:eastAsia="Times New Roman"/>
                <w:spacing w:val="-2"/>
                <w:sz w:val="22"/>
                <w:lang w:eastAsia="lv-LV"/>
              </w:rPr>
              <w:t>728 000</w:t>
            </w:r>
          </w:p>
        </w:tc>
      </w:tr>
      <w:tr w:rsidR="00630219" w:rsidRPr="003154CE" w14:paraId="731E90EA" w14:textId="77777777" w:rsidTr="00630219">
        <w:trPr>
          <w:trHeight w:val="447"/>
          <w:tblCellSpacing w:w="15" w:type="dxa"/>
          <w:jc w:val="center"/>
        </w:trPr>
        <w:tc>
          <w:tcPr>
            <w:tcW w:w="2476" w:type="dxa"/>
            <w:tcBorders>
              <w:top w:val="outset" w:sz="6" w:space="0" w:color="auto"/>
              <w:left w:val="outset" w:sz="6" w:space="0" w:color="auto"/>
              <w:bottom w:val="outset" w:sz="6" w:space="0" w:color="auto"/>
              <w:right w:val="outset" w:sz="6" w:space="0" w:color="auto"/>
            </w:tcBorders>
            <w:vAlign w:val="center"/>
            <w:hideMark/>
          </w:tcPr>
          <w:p w14:paraId="4D5DE8E2" w14:textId="77777777" w:rsidR="00630219" w:rsidRPr="005F5D0D" w:rsidRDefault="00630219" w:rsidP="00630219">
            <w:pPr>
              <w:rPr>
                <w:sz w:val="22"/>
              </w:rPr>
            </w:pPr>
            <w:r w:rsidRPr="005F5D0D">
              <w:rPr>
                <w:sz w:val="22"/>
              </w:rPr>
              <w:t>5.3. pašvaldību budžets</w:t>
            </w:r>
          </w:p>
        </w:tc>
        <w:tc>
          <w:tcPr>
            <w:tcW w:w="1410" w:type="dxa"/>
            <w:vMerge/>
            <w:tcBorders>
              <w:left w:val="outset" w:sz="6" w:space="0" w:color="auto"/>
              <w:bottom w:val="outset" w:sz="6" w:space="0" w:color="auto"/>
              <w:right w:val="outset" w:sz="6" w:space="0" w:color="auto"/>
            </w:tcBorders>
            <w:vAlign w:val="center"/>
            <w:hideMark/>
          </w:tcPr>
          <w:p w14:paraId="26BBFD78" w14:textId="77777777" w:rsidR="00630219" w:rsidRPr="003154CE" w:rsidRDefault="00630219" w:rsidP="00630219">
            <w:pPr>
              <w:rPr>
                <w:sz w:val="22"/>
              </w:rPr>
            </w:pPr>
          </w:p>
        </w:tc>
        <w:tc>
          <w:tcPr>
            <w:tcW w:w="1050" w:type="dxa"/>
            <w:tcBorders>
              <w:top w:val="outset" w:sz="6" w:space="0" w:color="auto"/>
              <w:left w:val="outset" w:sz="6" w:space="0" w:color="auto"/>
              <w:bottom w:val="outset" w:sz="6" w:space="0" w:color="auto"/>
              <w:right w:val="outset" w:sz="6" w:space="0" w:color="auto"/>
            </w:tcBorders>
            <w:vAlign w:val="center"/>
            <w:hideMark/>
          </w:tcPr>
          <w:p w14:paraId="14F7B67E" w14:textId="5DB68515" w:rsidR="00630219" w:rsidRPr="003154CE" w:rsidRDefault="00630219" w:rsidP="00630219">
            <w:pPr>
              <w:jc w:val="center"/>
              <w:rPr>
                <w:sz w:val="22"/>
              </w:rPr>
            </w:pPr>
            <w:r w:rsidRPr="003154CE">
              <w:rPr>
                <w:rFonts w:eastAsia="Times New Roman"/>
                <w:spacing w:val="-2"/>
                <w:sz w:val="22"/>
                <w:lang w:eastAsia="lv-LV"/>
              </w:rPr>
              <w:t>0</w:t>
            </w:r>
          </w:p>
        </w:tc>
        <w:tc>
          <w:tcPr>
            <w:tcW w:w="962" w:type="dxa"/>
            <w:vMerge/>
            <w:tcBorders>
              <w:left w:val="outset" w:sz="6" w:space="0" w:color="auto"/>
              <w:bottom w:val="outset" w:sz="6" w:space="0" w:color="auto"/>
              <w:right w:val="outset" w:sz="6" w:space="0" w:color="auto"/>
            </w:tcBorders>
            <w:vAlign w:val="center"/>
            <w:hideMark/>
          </w:tcPr>
          <w:p w14:paraId="7E20C7B3" w14:textId="77777777" w:rsidR="00630219" w:rsidRPr="003154CE" w:rsidRDefault="00630219" w:rsidP="00630219">
            <w:pPr>
              <w:jc w:val="center"/>
              <w:rPr>
                <w:sz w:val="22"/>
              </w:rPr>
            </w:pPr>
          </w:p>
        </w:tc>
        <w:tc>
          <w:tcPr>
            <w:tcW w:w="1104" w:type="dxa"/>
            <w:tcBorders>
              <w:top w:val="outset" w:sz="6" w:space="0" w:color="auto"/>
              <w:left w:val="outset" w:sz="6" w:space="0" w:color="auto"/>
              <w:bottom w:val="outset" w:sz="6" w:space="0" w:color="auto"/>
              <w:right w:val="outset" w:sz="6" w:space="0" w:color="auto"/>
            </w:tcBorders>
            <w:hideMark/>
          </w:tcPr>
          <w:p w14:paraId="4A9A2C9E" w14:textId="77EC0BE6" w:rsidR="00630219" w:rsidRPr="003154CE" w:rsidRDefault="00630219" w:rsidP="00630219">
            <w:pPr>
              <w:jc w:val="center"/>
              <w:rPr>
                <w:sz w:val="22"/>
              </w:rPr>
            </w:pPr>
            <w:r w:rsidRPr="003154CE">
              <w:rPr>
                <w:rFonts w:eastAsia="Times New Roman"/>
                <w:spacing w:val="-2"/>
                <w:sz w:val="22"/>
                <w:lang w:eastAsia="lv-LV"/>
              </w:rPr>
              <w:t>2 988 317</w:t>
            </w:r>
          </w:p>
        </w:tc>
        <w:tc>
          <w:tcPr>
            <w:tcW w:w="962" w:type="dxa"/>
            <w:vMerge/>
            <w:tcBorders>
              <w:left w:val="outset" w:sz="6" w:space="0" w:color="auto"/>
              <w:bottom w:val="outset" w:sz="6" w:space="0" w:color="auto"/>
              <w:right w:val="outset" w:sz="6" w:space="0" w:color="auto"/>
            </w:tcBorders>
            <w:hideMark/>
          </w:tcPr>
          <w:p w14:paraId="17AE765A" w14:textId="77777777" w:rsidR="00630219" w:rsidRPr="003154CE" w:rsidRDefault="00630219" w:rsidP="00630219">
            <w:pPr>
              <w:jc w:val="center"/>
              <w:rPr>
                <w:sz w:val="22"/>
              </w:rPr>
            </w:pPr>
          </w:p>
        </w:tc>
        <w:tc>
          <w:tcPr>
            <w:tcW w:w="1104" w:type="dxa"/>
            <w:tcBorders>
              <w:top w:val="outset" w:sz="6" w:space="0" w:color="auto"/>
              <w:left w:val="outset" w:sz="6" w:space="0" w:color="auto"/>
              <w:bottom w:val="outset" w:sz="6" w:space="0" w:color="auto"/>
              <w:right w:val="outset" w:sz="6" w:space="0" w:color="auto"/>
            </w:tcBorders>
            <w:hideMark/>
          </w:tcPr>
          <w:p w14:paraId="1AFF2314" w14:textId="2507CA5F" w:rsidR="00630219" w:rsidRPr="003154CE" w:rsidRDefault="00630219" w:rsidP="00630219">
            <w:pPr>
              <w:jc w:val="center"/>
              <w:rPr>
                <w:sz w:val="22"/>
              </w:rPr>
            </w:pPr>
            <w:r w:rsidRPr="003154CE">
              <w:rPr>
                <w:rFonts w:eastAsia="Times New Roman"/>
                <w:spacing w:val="-2"/>
                <w:sz w:val="22"/>
                <w:lang w:eastAsia="lv-LV"/>
              </w:rPr>
              <w:t>3 362 243</w:t>
            </w:r>
          </w:p>
        </w:tc>
        <w:tc>
          <w:tcPr>
            <w:tcW w:w="1286" w:type="dxa"/>
            <w:tcBorders>
              <w:top w:val="outset" w:sz="6" w:space="0" w:color="auto"/>
              <w:left w:val="outset" w:sz="6" w:space="0" w:color="auto"/>
              <w:bottom w:val="outset" w:sz="6" w:space="0" w:color="auto"/>
              <w:right w:val="outset" w:sz="6" w:space="0" w:color="auto"/>
            </w:tcBorders>
            <w:hideMark/>
          </w:tcPr>
          <w:p w14:paraId="48F17B93" w14:textId="7EFCAE53" w:rsidR="00630219" w:rsidRPr="003154CE" w:rsidRDefault="00630219" w:rsidP="00630219">
            <w:pPr>
              <w:jc w:val="center"/>
              <w:rPr>
                <w:sz w:val="22"/>
              </w:rPr>
            </w:pPr>
            <w:r w:rsidRPr="003154CE">
              <w:rPr>
                <w:rFonts w:eastAsia="Times New Roman"/>
                <w:spacing w:val="-2"/>
                <w:sz w:val="22"/>
                <w:lang w:eastAsia="lv-LV"/>
              </w:rPr>
              <w:t>2 923 117</w:t>
            </w:r>
          </w:p>
        </w:tc>
      </w:tr>
      <w:tr w:rsidR="005F5D0D" w:rsidRPr="003154CE" w14:paraId="6AE5BA06" w14:textId="77777777" w:rsidTr="004F4A43">
        <w:trPr>
          <w:trHeight w:val="2515"/>
          <w:tblCellSpacing w:w="15" w:type="dxa"/>
          <w:jc w:val="center"/>
        </w:trPr>
        <w:tc>
          <w:tcPr>
            <w:tcW w:w="2476" w:type="dxa"/>
            <w:tcBorders>
              <w:top w:val="outset" w:sz="6" w:space="0" w:color="auto"/>
              <w:left w:val="outset" w:sz="6" w:space="0" w:color="auto"/>
              <w:bottom w:val="outset" w:sz="6" w:space="0" w:color="auto"/>
              <w:right w:val="outset" w:sz="6" w:space="0" w:color="auto"/>
            </w:tcBorders>
            <w:vAlign w:val="center"/>
            <w:hideMark/>
          </w:tcPr>
          <w:p w14:paraId="76AA4B07" w14:textId="77777777" w:rsidR="003B1E11" w:rsidRPr="005F5D0D" w:rsidRDefault="000E56B2" w:rsidP="003B1E11">
            <w:pPr>
              <w:rPr>
                <w:sz w:val="24"/>
                <w:szCs w:val="24"/>
              </w:rPr>
            </w:pPr>
            <w:r w:rsidRPr="005F5D0D">
              <w:rPr>
                <w:sz w:val="24"/>
                <w:szCs w:val="24"/>
              </w:rPr>
              <w:t>6. Detalizēts ieņēmumu un izdevumu aprēķins (ja nepieciešams, detalizētu ieņēmumu un izdevumu aprēķinu var pievienot anotācijas pielikumā)</w:t>
            </w:r>
          </w:p>
        </w:tc>
        <w:tc>
          <w:tcPr>
            <w:tcW w:w="8058" w:type="dxa"/>
            <w:gridSpan w:val="7"/>
            <w:vMerge w:val="restart"/>
            <w:tcBorders>
              <w:top w:val="outset" w:sz="6" w:space="0" w:color="auto"/>
              <w:left w:val="outset" w:sz="6" w:space="0" w:color="auto"/>
              <w:bottom w:val="outset" w:sz="6" w:space="0" w:color="auto"/>
              <w:right w:val="outset" w:sz="6" w:space="0" w:color="auto"/>
            </w:tcBorders>
            <w:vAlign w:val="center"/>
            <w:hideMark/>
          </w:tcPr>
          <w:p w14:paraId="06A0D198" w14:textId="4D15546E" w:rsidR="00A66A00" w:rsidRPr="003154CE" w:rsidRDefault="00A66A00" w:rsidP="00A66A00">
            <w:pPr>
              <w:spacing w:after="0" w:line="240" w:lineRule="auto"/>
              <w:jc w:val="both"/>
              <w:rPr>
                <w:rFonts w:eastAsia="Times New Roman"/>
                <w:sz w:val="24"/>
                <w:szCs w:val="24"/>
                <w:lang w:eastAsia="lv-LV"/>
              </w:rPr>
            </w:pPr>
            <w:r w:rsidRPr="003154CE">
              <w:rPr>
                <w:rFonts w:eastAsia="Times New Roman"/>
                <w:sz w:val="24"/>
                <w:szCs w:val="24"/>
                <w:lang w:eastAsia="lv-LV"/>
              </w:rPr>
              <w:t xml:space="preserve">Fiskālā efekta aprēķinam tika ņemti vērā dati par sabiedrībām ar ierobežotu atbildību, par kurām VID rīcībā nav datu par grāmatvedības pakalpojumu sniedzēju un netiek algots grāmatvedības speciālists, bet sabiedrības gada apgrozījums norāda uz pietiekami lielu saimnieciskās darbības aktivitāti, lai būtu nepieciešamība pēc kvalificēta grāmatveža pakalpojumiem. Par 2017.gadu tika konstatēti 2 359 nodokļu maksātāji, kuriem nebija zināms grāmatvedības speciālists un kuru apgrozījums bija diapazonā no 120 000 EUR līdz 500 000 EUR. Atbilstoši darba devēju ziņojumiem tika noteikta grāmatvedības speciālistu darba stundu mediāna jeb sadalījuma viduspunkts  - 122 stundas, kā arī vidējā stundu tarifa likme – 6,4 EUR. </w:t>
            </w:r>
            <w:r w:rsidR="00CC3FB4" w:rsidRPr="003154CE">
              <w:rPr>
                <w:rFonts w:eastAsia="Times New Roman"/>
                <w:sz w:val="24"/>
                <w:szCs w:val="24"/>
                <w:lang w:eastAsia="lv-LV"/>
              </w:rPr>
              <w:t>L</w:t>
            </w:r>
            <w:r w:rsidRPr="003154CE">
              <w:rPr>
                <w:rFonts w:eastAsia="Times New Roman"/>
                <w:sz w:val="24"/>
                <w:szCs w:val="24"/>
                <w:lang w:eastAsia="lv-LV"/>
              </w:rPr>
              <w:t xml:space="preserve">īdz ar to </w:t>
            </w:r>
            <w:r w:rsidRPr="003154CE">
              <w:rPr>
                <w:rFonts w:eastAsia="Times New Roman"/>
                <w:sz w:val="24"/>
                <w:szCs w:val="24"/>
                <w:lang w:eastAsia="lv-LV"/>
              </w:rPr>
              <w:lastRenderedPageBreak/>
              <w:t>potenciālais nedeklarētais grāmatvedības pakalpojumu tirgus tiek novērtēts 22,10 milj. EUR apmērā. Tiek pieņemts, ka mazināmā riska vērtība varētu būt 30% apmērā no potenciālā nedeklarētā grāmatvedības pakalpojumu tirgus radītajiem VSAO</w:t>
            </w:r>
            <w:r w:rsidR="00DA19CE" w:rsidRPr="003154CE">
              <w:rPr>
                <w:rFonts w:eastAsia="Times New Roman"/>
                <w:sz w:val="24"/>
                <w:szCs w:val="24"/>
                <w:lang w:eastAsia="lv-LV"/>
              </w:rPr>
              <w:t>I</w:t>
            </w:r>
            <w:r w:rsidRPr="003154CE">
              <w:rPr>
                <w:rFonts w:eastAsia="Times New Roman"/>
                <w:sz w:val="24"/>
                <w:szCs w:val="24"/>
                <w:lang w:eastAsia="lv-LV"/>
              </w:rPr>
              <w:t xml:space="preserve"> zaudējumiem 7,47 milj. EUR apmērā un IIN zaudējumiem 3,02 milj. EUR apmērā. Līdz ar to fiskālais efekts, ieviešot grāmatvežu sertificēšanu un tādējādi veicinot grāmatvedības pakalpojumu sniedzēju tirgus sakārtošanu ir lēšams 3,15 milj. EUR apmērā. </w:t>
            </w:r>
          </w:p>
          <w:p w14:paraId="62955795" w14:textId="77777777" w:rsidR="00A66A00" w:rsidRPr="003154CE" w:rsidRDefault="00A66A00" w:rsidP="00A66A00">
            <w:pPr>
              <w:spacing w:after="0" w:line="240" w:lineRule="auto"/>
              <w:jc w:val="both"/>
              <w:rPr>
                <w:rFonts w:eastAsia="Times New Roman"/>
                <w:sz w:val="24"/>
                <w:szCs w:val="24"/>
                <w:lang w:eastAsia="lv-LV"/>
              </w:rPr>
            </w:pPr>
          </w:p>
          <w:p w14:paraId="164DE525" w14:textId="77777777" w:rsidR="00A66A00" w:rsidRPr="003154CE" w:rsidRDefault="00A66A00" w:rsidP="00A66A00">
            <w:pPr>
              <w:spacing w:after="0" w:line="240" w:lineRule="auto"/>
              <w:jc w:val="both"/>
              <w:rPr>
                <w:rFonts w:eastAsia="Times New Roman"/>
                <w:sz w:val="24"/>
                <w:szCs w:val="24"/>
                <w:lang w:eastAsia="lv-LV"/>
              </w:rPr>
            </w:pPr>
            <w:r w:rsidRPr="003154CE">
              <w:rPr>
                <w:rFonts w:eastAsia="Times New Roman"/>
                <w:sz w:val="24"/>
                <w:szCs w:val="24"/>
                <w:lang w:eastAsia="lv-LV"/>
              </w:rPr>
              <w:t>Bez tam paredzētie likumprojekta grozījumi varētu samazināt grāmatvedības pakalpojumu sniedzēju iesaistīšanos PVN krāpnieciskajās shēmās radot iespējamo fiskālo efektu 0,13 milj. EUR apmērā (10% no mazināmās riska vērtības - PVN parāda 1,3 milj. EUR).</w:t>
            </w:r>
          </w:p>
          <w:p w14:paraId="455C7324" w14:textId="77777777" w:rsidR="00A66A00" w:rsidRPr="003154CE" w:rsidRDefault="00A66A00" w:rsidP="00A66A00">
            <w:pPr>
              <w:spacing w:after="0" w:line="240" w:lineRule="auto"/>
              <w:jc w:val="both"/>
              <w:rPr>
                <w:rFonts w:eastAsia="Times New Roman"/>
                <w:sz w:val="24"/>
                <w:szCs w:val="24"/>
                <w:lang w:eastAsia="lv-LV"/>
              </w:rPr>
            </w:pPr>
          </w:p>
          <w:p w14:paraId="0B271A10" w14:textId="441E0902" w:rsidR="00F80488" w:rsidRPr="003154CE" w:rsidRDefault="00A66A00" w:rsidP="00CD532A">
            <w:pPr>
              <w:spacing w:after="0" w:line="240" w:lineRule="auto"/>
              <w:jc w:val="both"/>
              <w:rPr>
                <w:rFonts w:eastAsia="Times New Roman"/>
                <w:sz w:val="24"/>
                <w:szCs w:val="24"/>
                <w:lang w:eastAsia="lv-LV"/>
              </w:rPr>
            </w:pPr>
            <w:r w:rsidRPr="003154CE">
              <w:rPr>
                <w:rFonts w:eastAsia="Times New Roman"/>
                <w:sz w:val="24"/>
                <w:szCs w:val="24"/>
                <w:lang w:eastAsia="lv-LV"/>
              </w:rPr>
              <w:t>Tādējādi attiecīgo likuma grozījumu kopējais fiskālai efekts tie</w:t>
            </w:r>
            <w:r w:rsidR="008E4180" w:rsidRPr="003154CE">
              <w:rPr>
                <w:rFonts w:eastAsia="Times New Roman"/>
                <w:sz w:val="24"/>
                <w:szCs w:val="24"/>
                <w:lang w:eastAsia="lv-LV"/>
              </w:rPr>
              <w:t xml:space="preserve">k lēsts 3,28 milj. EUR apmērā. </w:t>
            </w:r>
          </w:p>
          <w:p w14:paraId="0F39EBA2" w14:textId="77777777" w:rsidR="00CC3FB4" w:rsidRPr="003154CE" w:rsidRDefault="00CC3FB4" w:rsidP="00CC3FB4">
            <w:pPr>
              <w:spacing w:after="0" w:line="240" w:lineRule="auto"/>
              <w:jc w:val="center"/>
              <w:rPr>
                <w:rFonts w:eastAsia="Times New Roman"/>
                <w:b/>
                <w:sz w:val="24"/>
                <w:szCs w:val="24"/>
                <w:lang w:eastAsia="lv-LV"/>
              </w:rPr>
            </w:pPr>
            <w:r w:rsidRPr="003154CE">
              <w:rPr>
                <w:rFonts w:eastAsia="Times New Roman"/>
                <w:b/>
                <w:sz w:val="24"/>
                <w:szCs w:val="24"/>
                <w:lang w:eastAsia="lv-LV"/>
              </w:rPr>
              <w:t>Fiskālā ietekme, milj. EUR</w:t>
            </w:r>
          </w:p>
          <w:tbl>
            <w:tblPr>
              <w:tblW w:w="7893" w:type="dxa"/>
              <w:tblLayout w:type="fixed"/>
              <w:tblLook w:val="04A0" w:firstRow="1" w:lastRow="0" w:firstColumn="1" w:lastColumn="0" w:noHBand="0" w:noVBand="1"/>
            </w:tblPr>
            <w:tblGrid>
              <w:gridCol w:w="2800"/>
              <w:gridCol w:w="1833"/>
              <w:gridCol w:w="1701"/>
              <w:gridCol w:w="1559"/>
            </w:tblGrid>
            <w:tr w:rsidR="00CC3FB4" w:rsidRPr="003154CE" w14:paraId="2EEBA1E4" w14:textId="77777777" w:rsidTr="004F4A43">
              <w:trPr>
                <w:trHeight w:val="315"/>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11646B" w14:textId="77777777" w:rsidR="00CC3FB4" w:rsidRPr="003154CE" w:rsidRDefault="00CC3FB4" w:rsidP="00CC3FB4">
                  <w:pPr>
                    <w:widowControl/>
                    <w:spacing w:after="0" w:line="240" w:lineRule="auto"/>
                    <w:rPr>
                      <w:rFonts w:eastAsia="Times New Roman"/>
                      <w:color w:val="000000"/>
                      <w:sz w:val="24"/>
                      <w:szCs w:val="24"/>
                      <w:lang w:eastAsia="lv-LV"/>
                    </w:rPr>
                  </w:pPr>
                  <w:r w:rsidRPr="003154CE">
                    <w:rPr>
                      <w:rFonts w:eastAsia="Times New Roman"/>
                      <w:color w:val="000000"/>
                      <w:sz w:val="24"/>
                      <w:szCs w:val="24"/>
                      <w:lang w:eastAsia="lv-LV"/>
                    </w:rPr>
                    <w:t> </w:t>
                  </w:r>
                </w:p>
              </w:tc>
              <w:tc>
                <w:tcPr>
                  <w:tcW w:w="1833" w:type="dxa"/>
                  <w:tcBorders>
                    <w:top w:val="single" w:sz="4" w:space="0" w:color="auto"/>
                    <w:left w:val="nil"/>
                    <w:bottom w:val="single" w:sz="4" w:space="0" w:color="auto"/>
                    <w:right w:val="single" w:sz="4" w:space="0" w:color="auto"/>
                  </w:tcBorders>
                  <w:shd w:val="clear" w:color="auto" w:fill="auto"/>
                  <w:noWrap/>
                  <w:vAlign w:val="bottom"/>
                  <w:hideMark/>
                </w:tcPr>
                <w:p w14:paraId="02462A0D" w14:textId="77777777" w:rsidR="00CC3FB4" w:rsidRPr="003154CE" w:rsidRDefault="00CC3FB4" w:rsidP="00CC3FB4">
                  <w:pPr>
                    <w:widowControl/>
                    <w:spacing w:after="0" w:line="240" w:lineRule="auto"/>
                    <w:jc w:val="center"/>
                    <w:rPr>
                      <w:rFonts w:eastAsia="Times New Roman"/>
                      <w:color w:val="000000"/>
                      <w:sz w:val="24"/>
                      <w:szCs w:val="24"/>
                      <w:lang w:eastAsia="lv-LV"/>
                    </w:rPr>
                  </w:pPr>
                  <w:r w:rsidRPr="003154CE">
                    <w:rPr>
                      <w:rFonts w:eastAsia="Times New Roman"/>
                      <w:color w:val="000000"/>
                      <w:sz w:val="24"/>
                      <w:szCs w:val="24"/>
                      <w:lang w:eastAsia="lv-LV"/>
                    </w:rPr>
                    <w:t>2020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58C7EBA5" w14:textId="77777777" w:rsidR="00CC3FB4" w:rsidRPr="003154CE" w:rsidRDefault="00CC3FB4" w:rsidP="00CC3FB4">
                  <w:pPr>
                    <w:widowControl/>
                    <w:spacing w:after="0" w:line="240" w:lineRule="auto"/>
                    <w:jc w:val="center"/>
                    <w:rPr>
                      <w:rFonts w:eastAsia="Times New Roman"/>
                      <w:color w:val="000000"/>
                      <w:sz w:val="24"/>
                      <w:szCs w:val="24"/>
                      <w:lang w:eastAsia="lv-LV"/>
                    </w:rPr>
                  </w:pPr>
                  <w:r w:rsidRPr="003154CE">
                    <w:rPr>
                      <w:rFonts w:eastAsia="Times New Roman"/>
                      <w:color w:val="000000"/>
                      <w:sz w:val="24"/>
                      <w:szCs w:val="24"/>
                      <w:lang w:eastAsia="lv-LV"/>
                    </w:rPr>
                    <w:t>2021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8A7F842" w14:textId="77777777" w:rsidR="00CC3FB4" w:rsidRPr="003154CE" w:rsidRDefault="00CC3FB4" w:rsidP="00CC3FB4">
                  <w:pPr>
                    <w:widowControl/>
                    <w:spacing w:after="0" w:line="240" w:lineRule="auto"/>
                    <w:jc w:val="center"/>
                    <w:rPr>
                      <w:rFonts w:eastAsia="Times New Roman"/>
                      <w:color w:val="000000"/>
                      <w:sz w:val="24"/>
                      <w:szCs w:val="24"/>
                      <w:lang w:eastAsia="lv-LV"/>
                    </w:rPr>
                  </w:pPr>
                  <w:r w:rsidRPr="003154CE">
                    <w:rPr>
                      <w:rFonts w:eastAsia="Times New Roman"/>
                      <w:color w:val="000000"/>
                      <w:sz w:val="24"/>
                      <w:szCs w:val="24"/>
                      <w:lang w:eastAsia="lv-LV"/>
                    </w:rPr>
                    <w:t>2022</w:t>
                  </w:r>
                </w:p>
              </w:tc>
            </w:tr>
            <w:tr w:rsidR="00CC3FB4" w:rsidRPr="003154CE" w14:paraId="66F14554" w14:textId="77777777" w:rsidTr="004F4A43">
              <w:trPr>
                <w:trHeight w:val="315"/>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20AE7E39" w14:textId="77777777" w:rsidR="00CC3FB4" w:rsidRPr="003154CE" w:rsidRDefault="00CC3FB4" w:rsidP="00CC3FB4">
                  <w:pPr>
                    <w:widowControl/>
                    <w:spacing w:after="0" w:line="240" w:lineRule="auto"/>
                    <w:rPr>
                      <w:rFonts w:eastAsia="Times New Roman"/>
                      <w:color w:val="000000"/>
                      <w:sz w:val="24"/>
                      <w:szCs w:val="24"/>
                      <w:lang w:eastAsia="lv-LV"/>
                    </w:rPr>
                  </w:pPr>
                  <w:r w:rsidRPr="003154CE">
                    <w:rPr>
                      <w:rFonts w:eastAsia="Times New Roman"/>
                      <w:color w:val="000000"/>
                      <w:sz w:val="24"/>
                      <w:szCs w:val="24"/>
                      <w:lang w:eastAsia="lv-LV"/>
                    </w:rPr>
                    <w:t>PVN</w:t>
                  </w:r>
                </w:p>
              </w:tc>
              <w:tc>
                <w:tcPr>
                  <w:tcW w:w="1833" w:type="dxa"/>
                  <w:tcBorders>
                    <w:top w:val="nil"/>
                    <w:left w:val="nil"/>
                    <w:bottom w:val="single" w:sz="4" w:space="0" w:color="auto"/>
                    <w:right w:val="single" w:sz="4" w:space="0" w:color="auto"/>
                  </w:tcBorders>
                  <w:shd w:val="clear" w:color="auto" w:fill="auto"/>
                  <w:noWrap/>
                  <w:vAlign w:val="bottom"/>
                  <w:hideMark/>
                </w:tcPr>
                <w:p w14:paraId="612D14BD" w14:textId="77777777" w:rsidR="00CC3FB4" w:rsidRPr="003154CE" w:rsidRDefault="00CC3FB4" w:rsidP="00CC3FB4">
                  <w:pPr>
                    <w:widowControl/>
                    <w:spacing w:after="0" w:line="240" w:lineRule="auto"/>
                    <w:jc w:val="right"/>
                    <w:rPr>
                      <w:rFonts w:eastAsia="Times New Roman"/>
                      <w:color w:val="000000"/>
                      <w:sz w:val="24"/>
                      <w:szCs w:val="24"/>
                      <w:lang w:eastAsia="lv-LV"/>
                    </w:rPr>
                  </w:pPr>
                  <w:r w:rsidRPr="003154CE">
                    <w:rPr>
                      <w:rFonts w:eastAsia="Times New Roman"/>
                      <w:color w:val="000000"/>
                      <w:sz w:val="24"/>
                      <w:szCs w:val="24"/>
                      <w:lang w:eastAsia="lv-LV"/>
                    </w:rPr>
                    <w:t>0,130</w:t>
                  </w:r>
                </w:p>
              </w:tc>
              <w:tc>
                <w:tcPr>
                  <w:tcW w:w="1701" w:type="dxa"/>
                  <w:tcBorders>
                    <w:top w:val="nil"/>
                    <w:left w:val="nil"/>
                    <w:bottom w:val="single" w:sz="4" w:space="0" w:color="auto"/>
                    <w:right w:val="single" w:sz="4" w:space="0" w:color="auto"/>
                  </w:tcBorders>
                  <w:shd w:val="clear" w:color="auto" w:fill="auto"/>
                  <w:noWrap/>
                  <w:vAlign w:val="bottom"/>
                  <w:hideMark/>
                </w:tcPr>
                <w:p w14:paraId="1981942B" w14:textId="77777777" w:rsidR="00CC3FB4" w:rsidRPr="003154CE" w:rsidRDefault="00CC3FB4" w:rsidP="00CC3FB4">
                  <w:pPr>
                    <w:widowControl/>
                    <w:spacing w:after="0" w:line="240" w:lineRule="auto"/>
                    <w:jc w:val="right"/>
                    <w:rPr>
                      <w:rFonts w:eastAsia="Times New Roman"/>
                      <w:color w:val="000000"/>
                      <w:sz w:val="24"/>
                      <w:szCs w:val="24"/>
                      <w:lang w:eastAsia="lv-LV"/>
                    </w:rPr>
                  </w:pPr>
                  <w:r w:rsidRPr="003154CE">
                    <w:rPr>
                      <w:rFonts w:eastAsia="Times New Roman"/>
                      <w:color w:val="000000"/>
                      <w:sz w:val="24"/>
                      <w:szCs w:val="24"/>
                      <w:lang w:eastAsia="lv-LV"/>
                    </w:rPr>
                    <w:t>0,130</w:t>
                  </w:r>
                </w:p>
              </w:tc>
              <w:tc>
                <w:tcPr>
                  <w:tcW w:w="1559" w:type="dxa"/>
                  <w:tcBorders>
                    <w:top w:val="nil"/>
                    <w:left w:val="nil"/>
                    <w:bottom w:val="single" w:sz="4" w:space="0" w:color="auto"/>
                    <w:right w:val="single" w:sz="4" w:space="0" w:color="auto"/>
                  </w:tcBorders>
                  <w:shd w:val="clear" w:color="auto" w:fill="auto"/>
                  <w:noWrap/>
                  <w:vAlign w:val="bottom"/>
                  <w:hideMark/>
                </w:tcPr>
                <w:p w14:paraId="1B1DF29E" w14:textId="77777777" w:rsidR="00CC3FB4" w:rsidRPr="003154CE" w:rsidRDefault="00CC3FB4" w:rsidP="00CC3FB4">
                  <w:pPr>
                    <w:widowControl/>
                    <w:spacing w:after="0" w:line="240" w:lineRule="auto"/>
                    <w:jc w:val="right"/>
                    <w:rPr>
                      <w:rFonts w:eastAsia="Times New Roman"/>
                      <w:color w:val="000000"/>
                      <w:sz w:val="24"/>
                      <w:szCs w:val="24"/>
                      <w:lang w:eastAsia="lv-LV"/>
                    </w:rPr>
                  </w:pPr>
                  <w:r w:rsidRPr="003154CE">
                    <w:rPr>
                      <w:rFonts w:eastAsia="Times New Roman"/>
                      <w:color w:val="000000"/>
                      <w:sz w:val="24"/>
                      <w:szCs w:val="24"/>
                      <w:lang w:eastAsia="lv-LV"/>
                    </w:rPr>
                    <w:t>0,130</w:t>
                  </w:r>
                </w:p>
              </w:tc>
            </w:tr>
            <w:tr w:rsidR="00CC3FB4" w:rsidRPr="003154CE" w14:paraId="346B6F4E" w14:textId="77777777" w:rsidTr="004F4A43">
              <w:trPr>
                <w:trHeight w:val="315"/>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50FD8E9E" w14:textId="77777777" w:rsidR="00CC3FB4" w:rsidRPr="003154CE" w:rsidRDefault="00CC3FB4" w:rsidP="00CC3FB4">
                  <w:pPr>
                    <w:widowControl/>
                    <w:spacing w:after="0" w:line="240" w:lineRule="auto"/>
                    <w:rPr>
                      <w:rFonts w:eastAsia="Times New Roman"/>
                      <w:color w:val="000000"/>
                      <w:sz w:val="24"/>
                      <w:szCs w:val="24"/>
                      <w:lang w:eastAsia="lv-LV"/>
                    </w:rPr>
                  </w:pPr>
                  <w:r w:rsidRPr="003154CE">
                    <w:rPr>
                      <w:rFonts w:eastAsia="Times New Roman"/>
                      <w:color w:val="000000"/>
                      <w:sz w:val="24"/>
                      <w:szCs w:val="24"/>
                      <w:lang w:eastAsia="lv-LV"/>
                    </w:rPr>
                    <w:t>IIN, t.sk.,</w:t>
                  </w:r>
                </w:p>
              </w:tc>
              <w:tc>
                <w:tcPr>
                  <w:tcW w:w="1833" w:type="dxa"/>
                  <w:tcBorders>
                    <w:top w:val="nil"/>
                    <w:left w:val="nil"/>
                    <w:bottom w:val="single" w:sz="4" w:space="0" w:color="auto"/>
                    <w:right w:val="single" w:sz="4" w:space="0" w:color="auto"/>
                  </w:tcBorders>
                  <w:shd w:val="clear" w:color="auto" w:fill="auto"/>
                  <w:noWrap/>
                  <w:vAlign w:val="bottom"/>
                  <w:hideMark/>
                </w:tcPr>
                <w:p w14:paraId="2A551AD7" w14:textId="77777777" w:rsidR="00CC3FB4" w:rsidRPr="003154CE" w:rsidRDefault="00CC3FB4" w:rsidP="00CC3FB4">
                  <w:pPr>
                    <w:widowControl/>
                    <w:spacing w:after="0" w:line="240" w:lineRule="auto"/>
                    <w:jc w:val="right"/>
                    <w:rPr>
                      <w:rFonts w:eastAsia="Times New Roman"/>
                      <w:color w:val="000000"/>
                      <w:sz w:val="24"/>
                      <w:szCs w:val="24"/>
                      <w:lang w:eastAsia="lv-LV"/>
                    </w:rPr>
                  </w:pPr>
                  <w:r w:rsidRPr="003154CE">
                    <w:rPr>
                      <w:rFonts w:eastAsia="Times New Roman"/>
                      <w:color w:val="000000"/>
                      <w:sz w:val="24"/>
                      <w:szCs w:val="24"/>
                      <w:lang w:eastAsia="lv-LV"/>
                    </w:rPr>
                    <w:t>0,910</w:t>
                  </w:r>
                </w:p>
              </w:tc>
              <w:tc>
                <w:tcPr>
                  <w:tcW w:w="1701" w:type="dxa"/>
                  <w:tcBorders>
                    <w:top w:val="nil"/>
                    <w:left w:val="nil"/>
                    <w:bottom w:val="single" w:sz="4" w:space="0" w:color="auto"/>
                    <w:right w:val="single" w:sz="4" w:space="0" w:color="auto"/>
                  </w:tcBorders>
                  <w:shd w:val="clear" w:color="auto" w:fill="auto"/>
                  <w:noWrap/>
                  <w:vAlign w:val="bottom"/>
                  <w:hideMark/>
                </w:tcPr>
                <w:p w14:paraId="1DF382F9" w14:textId="77777777" w:rsidR="00CC3FB4" w:rsidRPr="003154CE" w:rsidRDefault="00CC3FB4" w:rsidP="00CC3FB4">
                  <w:pPr>
                    <w:widowControl/>
                    <w:spacing w:after="0" w:line="240" w:lineRule="auto"/>
                    <w:jc w:val="right"/>
                    <w:rPr>
                      <w:rFonts w:eastAsia="Times New Roman"/>
                      <w:color w:val="000000"/>
                      <w:sz w:val="24"/>
                      <w:szCs w:val="24"/>
                      <w:lang w:eastAsia="lv-LV"/>
                    </w:rPr>
                  </w:pPr>
                  <w:r w:rsidRPr="003154CE">
                    <w:rPr>
                      <w:rFonts w:eastAsia="Times New Roman"/>
                      <w:color w:val="000000"/>
                      <w:sz w:val="24"/>
                      <w:szCs w:val="24"/>
                      <w:lang w:eastAsia="lv-LV"/>
                    </w:rPr>
                    <w:t>0,910</w:t>
                  </w:r>
                </w:p>
              </w:tc>
              <w:tc>
                <w:tcPr>
                  <w:tcW w:w="1559" w:type="dxa"/>
                  <w:tcBorders>
                    <w:top w:val="nil"/>
                    <w:left w:val="nil"/>
                    <w:bottom w:val="single" w:sz="4" w:space="0" w:color="auto"/>
                    <w:right w:val="single" w:sz="4" w:space="0" w:color="auto"/>
                  </w:tcBorders>
                  <w:shd w:val="clear" w:color="auto" w:fill="auto"/>
                  <w:noWrap/>
                  <w:vAlign w:val="bottom"/>
                  <w:hideMark/>
                </w:tcPr>
                <w:p w14:paraId="21F44E45" w14:textId="77777777" w:rsidR="00CC3FB4" w:rsidRPr="003154CE" w:rsidRDefault="00CC3FB4" w:rsidP="00CC3FB4">
                  <w:pPr>
                    <w:widowControl/>
                    <w:spacing w:after="0" w:line="240" w:lineRule="auto"/>
                    <w:jc w:val="right"/>
                    <w:rPr>
                      <w:rFonts w:eastAsia="Times New Roman"/>
                      <w:color w:val="000000"/>
                      <w:sz w:val="24"/>
                      <w:szCs w:val="24"/>
                      <w:lang w:eastAsia="lv-LV"/>
                    </w:rPr>
                  </w:pPr>
                  <w:r w:rsidRPr="003154CE">
                    <w:rPr>
                      <w:rFonts w:eastAsia="Times New Roman"/>
                      <w:color w:val="000000"/>
                      <w:sz w:val="24"/>
                      <w:szCs w:val="24"/>
                      <w:lang w:eastAsia="lv-LV"/>
                    </w:rPr>
                    <w:t>0,910</w:t>
                  </w:r>
                </w:p>
              </w:tc>
            </w:tr>
            <w:tr w:rsidR="00CC3FB4" w:rsidRPr="003154CE" w14:paraId="5FD5E641" w14:textId="77777777" w:rsidTr="004F4A43">
              <w:trPr>
                <w:trHeight w:val="315"/>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1899CCB2" w14:textId="77777777" w:rsidR="00CC3FB4" w:rsidRPr="003154CE" w:rsidRDefault="00CC3FB4" w:rsidP="00CC3FB4">
                  <w:pPr>
                    <w:widowControl/>
                    <w:spacing w:after="0" w:line="240" w:lineRule="auto"/>
                    <w:jc w:val="right"/>
                    <w:rPr>
                      <w:rFonts w:eastAsia="Times New Roman"/>
                      <w:i/>
                      <w:iCs/>
                      <w:color w:val="000000"/>
                      <w:sz w:val="20"/>
                      <w:szCs w:val="20"/>
                      <w:lang w:eastAsia="lv-LV"/>
                    </w:rPr>
                  </w:pPr>
                  <w:r w:rsidRPr="003154CE">
                    <w:rPr>
                      <w:rFonts w:eastAsia="Times New Roman"/>
                      <w:i/>
                      <w:iCs/>
                      <w:color w:val="000000"/>
                      <w:sz w:val="20"/>
                      <w:szCs w:val="20"/>
                      <w:lang w:eastAsia="lv-LV"/>
                    </w:rPr>
                    <w:t>valsts pamatbudžets</w:t>
                  </w:r>
                </w:p>
              </w:tc>
              <w:tc>
                <w:tcPr>
                  <w:tcW w:w="1833" w:type="dxa"/>
                  <w:tcBorders>
                    <w:top w:val="nil"/>
                    <w:left w:val="nil"/>
                    <w:bottom w:val="single" w:sz="4" w:space="0" w:color="auto"/>
                    <w:right w:val="single" w:sz="4" w:space="0" w:color="auto"/>
                  </w:tcBorders>
                  <w:shd w:val="clear" w:color="auto" w:fill="auto"/>
                  <w:noWrap/>
                  <w:vAlign w:val="bottom"/>
                  <w:hideMark/>
                </w:tcPr>
                <w:p w14:paraId="5F4E7578" w14:textId="77777777" w:rsidR="00CC3FB4" w:rsidRPr="003154CE" w:rsidRDefault="00CC3FB4" w:rsidP="00CC3FB4">
                  <w:pPr>
                    <w:widowControl/>
                    <w:spacing w:after="0" w:line="240" w:lineRule="auto"/>
                    <w:jc w:val="right"/>
                    <w:rPr>
                      <w:rFonts w:eastAsia="Times New Roman"/>
                      <w:i/>
                      <w:iCs/>
                      <w:color w:val="000000"/>
                      <w:sz w:val="20"/>
                      <w:szCs w:val="20"/>
                      <w:lang w:eastAsia="lv-LV"/>
                    </w:rPr>
                  </w:pPr>
                  <w:r w:rsidRPr="003154CE">
                    <w:rPr>
                      <w:rFonts w:eastAsia="Times New Roman"/>
                      <w:i/>
                      <w:iCs/>
                      <w:color w:val="000000"/>
                      <w:sz w:val="20"/>
                      <w:szCs w:val="20"/>
                      <w:lang w:eastAsia="lv-LV"/>
                    </w:rPr>
                    <w:t>0,182</w:t>
                  </w:r>
                </w:p>
              </w:tc>
              <w:tc>
                <w:tcPr>
                  <w:tcW w:w="1701" w:type="dxa"/>
                  <w:tcBorders>
                    <w:top w:val="nil"/>
                    <w:left w:val="nil"/>
                    <w:bottom w:val="single" w:sz="4" w:space="0" w:color="auto"/>
                    <w:right w:val="single" w:sz="4" w:space="0" w:color="auto"/>
                  </w:tcBorders>
                  <w:shd w:val="clear" w:color="auto" w:fill="auto"/>
                  <w:noWrap/>
                  <w:vAlign w:val="bottom"/>
                  <w:hideMark/>
                </w:tcPr>
                <w:p w14:paraId="5FFD6E42" w14:textId="77777777" w:rsidR="00CC3FB4" w:rsidRPr="003154CE" w:rsidRDefault="00CC3FB4" w:rsidP="00CC3FB4">
                  <w:pPr>
                    <w:widowControl/>
                    <w:spacing w:after="0" w:line="240" w:lineRule="auto"/>
                    <w:jc w:val="right"/>
                    <w:rPr>
                      <w:rFonts w:eastAsia="Times New Roman"/>
                      <w:i/>
                      <w:iCs/>
                      <w:color w:val="000000"/>
                      <w:sz w:val="20"/>
                      <w:szCs w:val="20"/>
                      <w:lang w:eastAsia="lv-LV"/>
                    </w:rPr>
                  </w:pPr>
                  <w:r w:rsidRPr="003154CE">
                    <w:rPr>
                      <w:rFonts w:eastAsia="Times New Roman"/>
                      <w:i/>
                      <w:iCs/>
                      <w:color w:val="000000"/>
                      <w:sz w:val="20"/>
                      <w:szCs w:val="20"/>
                      <w:lang w:eastAsia="lv-LV"/>
                    </w:rPr>
                    <w:t>0,182</w:t>
                  </w:r>
                </w:p>
              </w:tc>
              <w:tc>
                <w:tcPr>
                  <w:tcW w:w="1559" w:type="dxa"/>
                  <w:tcBorders>
                    <w:top w:val="nil"/>
                    <w:left w:val="nil"/>
                    <w:bottom w:val="single" w:sz="4" w:space="0" w:color="auto"/>
                    <w:right w:val="single" w:sz="4" w:space="0" w:color="auto"/>
                  </w:tcBorders>
                  <w:shd w:val="clear" w:color="auto" w:fill="auto"/>
                  <w:noWrap/>
                  <w:vAlign w:val="bottom"/>
                  <w:hideMark/>
                </w:tcPr>
                <w:p w14:paraId="187BC8E0" w14:textId="77777777" w:rsidR="00CC3FB4" w:rsidRPr="003154CE" w:rsidRDefault="00CC3FB4" w:rsidP="00CC3FB4">
                  <w:pPr>
                    <w:widowControl/>
                    <w:spacing w:after="0" w:line="240" w:lineRule="auto"/>
                    <w:jc w:val="right"/>
                    <w:rPr>
                      <w:rFonts w:eastAsia="Times New Roman"/>
                      <w:i/>
                      <w:iCs/>
                      <w:color w:val="000000"/>
                      <w:sz w:val="20"/>
                      <w:szCs w:val="20"/>
                      <w:lang w:eastAsia="lv-LV"/>
                    </w:rPr>
                  </w:pPr>
                  <w:r w:rsidRPr="003154CE">
                    <w:rPr>
                      <w:rFonts w:eastAsia="Times New Roman"/>
                      <w:i/>
                      <w:iCs/>
                      <w:color w:val="000000"/>
                      <w:sz w:val="20"/>
                      <w:szCs w:val="20"/>
                      <w:lang w:eastAsia="lv-LV"/>
                    </w:rPr>
                    <w:t>0,182</w:t>
                  </w:r>
                </w:p>
              </w:tc>
            </w:tr>
            <w:tr w:rsidR="00CC3FB4" w:rsidRPr="003154CE" w14:paraId="235D530F" w14:textId="77777777" w:rsidTr="004F4A43">
              <w:trPr>
                <w:trHeight w:val="315"/>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2BEF4440" w14:textId="77777777" w:rsidR="00CC3FB4" w:rsidRPr="003154CE" w:rsidRDefault="00CC3FB4" w:rsidP="00CC3FB4">
                  <w:pPr>
                    <w:widowControl/>
                    <w:spacing w:after="0" w:line="240" w:lineRule="auto"/>
                    <w:jc w:val="right"/>
                    <w:rPr>
                      <w:rFonts w:eastAsia="Times New Roman"/>
                      <w:i/>
                      <w:iCs/>
                      <w:color w:val="000000"/>
                      <w:sz w:val="20"/>
                      <w:szCs w:val="20"/>
                      <w:lang w:eastAsia="lv-LV"/>
                    </w:rPr>
                  </w:pPr>
                  <w:r w:rsidRPr="003154CE">
                    <w:rPr>
                      <w:rFonts w:eastAsia="Times New Roman"/>
                      <w:i/>
                      <w:iCs/>
                      <w:color w:val="000000"/>
                      <w:sz w:val="20"/>
                      <w:szCs w:val="20"/>
                      <w:lang w:eastAsia="lv-LV"/>
                    </w:rPr>
                    <w:t>pašvaldību budžets</w:t>
                  </w:r>
                </w:p>
              </w:tc>
              <w:tc>
                <w:tcPr>
                  <w:tcW w:w="1833" w:type="dxa"/>
                  <w:tcBorders>
                    <w:top w:val="nil"/>
                    <w:left w:val="nil"/>
                    <w:bottom w:val="single" w:sz="4" w:space="0" w:color="auto"/>
                    <w:right w:val="single" w:sz="4" w:space="0" w:color="auto"/>
                  </w:tcBorders>
                  <w:shd w:val="clear" w:color="auto" w:fill="auto"/>
                  <w:noWrap/>
                  <w:vAlign w:val="bottom"/>
                  <w:hideMark/>
                </w:tcPr>
                <w:p w14:paraId="151A0FAA" w14:textId="77777777" w:rsidR="00CC3FB4" w:rsidRPr="003154CE" w:rsidRDefault="00CC3FB4" w:rsidP="00CC3FB4">
                  <w:pPr>
                    <w:widowControl/>
                    <w:spacing w:after="0" w:line="240" w:lineRule="auto"/>
                    <w:jc w:val="right"/>
                    <w:rPr>
                      <w:rFonts w:eastAsia="Times New Roman"/>
                      <w:i/>
                      <w:iCs/>
                      <w:color w:val="000000"/>
                      <w:sz w:val="20"/>
                      <w:szCs w:val="20"/>
                      <w:lang w:eastAsia="lv-LV"/>
                    </w:rPr>
                  </w:pPr>
                  <w:r w:rsidRPr="003154CE">
                    <w:rPr>
                      <w:rFonts w:eastAsia="Times New Roman"/>
                      <w:i/>
                      <w:iCs/>
                      <w:color w:val="000000"/>
                      <w:sz w:val="20"/>
                      <w:szCs w:val="20"/>
                      <w:lang w:eastAsia="lv-LV"/>
                    </w:rPr>
                    <w:t>0,728</w:t>
                  </w:r>
                </w:p>
              </w:tc>
              <w:tc>
                <w:tcPr>
                  <w:tcW w:w="1701" w:type="dxa"/>
                  <w:tcBorders>
                    <w:top w:val="nil"/>
                    <w:left w:val="nil"/>
                    <w:bottom w:val="single" w:sz="4" w:space="0" w:color="auto"/>
                    <w:right w:val="single" w:sz="4" w:space="0" w:color="auto"/>
                  </w:tcBorders>
                  <w:shd w:val="clear" w:color="auto" w:fill="auto"/>
                  <w:noWrap/>
                  <w:vAlign w:val="bottom"/>
                  <w:hideMark/>
                </w:tcPr>
                <w:p w14:paraId="23D79A04" w14:textId="77777777" w:rsidR="00CC3FB4" w:rsidRPr="003154CE" w:rsidRDefault="00CC3FB4" w:rsidP="00CC3FB4">
                  <w:pPr>
                    <w:widowControl/>
                    <w:spacing w:after="0" w:line="240" w:lineRule="auto"/>
                    <w:jc w:val="right"/>
                    <w:rPr>
                      <w:rFonts w:eastAsia="Times New Roman"/>
                      <w:i/>
                      <w:iCs/>
                      <w:color w:val="000000"/>
                      <w:sz w:val="20"/>
                      <w:szCs w:val="20"/>
                      <w:lang w:eastAsia="lv-LV"/>
                    </w:rPr>
                  </w:pPr>
                  <w:r w:rsidRPr="003154CE">
                    <w:rPr>
                      <w:rFonts w:eastAsia="Times New Roman"/>
                      <w:i/>
                      <w:iCs/>
                      <w:color w:val="000000"/>
                      <w:sz w:val="20"/>
                      <w:szCs w:val="20"/>
                      <w:lang w:eastAsia="lv-LV"/>
                    </w:rPr>
                    <w:t>0,728</w:t>
                  </w:r>
                </w:p>
              </w:tc>
              <w:tc>
                <w:tcPr>
                  <w:tcW w:w="1559" w:type="dxa"/>
                  <w:tcBorders>
                    <w:top w:val="nil"/>
                    <w:left w:val="nil"/>
                    <w:bottom w:val="single" w:sz="4" w:space="0" w:color="auto"/>
                    <w:right w:val="single" w:sz="4" w:space="0" w:color="auto"/>
                  </w:tcBorders>
                  <w:shd w:val="clear" w:color="auto" w:fill="auto"/>
                  <w:noWrap/>
                  <w:vAlign w:val="bottom"/>
                  <w:hideMark/>
                </w:tcPr>
                <w:p w14:paraId="213C5A34" w14:textId="77777777" w:rsidR="00CC3FB4" w:rsidRPr="003154CE" w:rsidRDefault="00CC3FB4" w:rsidP="00CC3FB4">
                  <w:pPr>
                    <w:widowControl/>
                    <w:spacing w:after="0" w:line="240" w:lineRule="auto"/>
                    <w:jc w:val="right"/>
                    <w:rPr>
                      <w:rFonts w:eastAsia="Times New Roman"/>
                      <w:i/>
                      <w:iCs/>
                      <w:color w:val="000000"/>
                      <w:sz w:val="20"/>
                      <w:szCs w:val="20"/>
                      <w:lang w:eastAsia="lv-LV"/>
                    </w:rPr>
                  </w:pPr>
                  <w:r w:rsidRPr="003154CE">
                    <w:rPr>
                      <w:rFonts w:eastAsia="Times New Roman"/>
                      <w:i/>
                      <w:iCs/>
                      <w:color w:val="000000"/>
                      <w:sz w:val="20"/>
                      <w:szCs w:val="20"/>
                      <w:lang w:eastAsia="lv-LV"/>
                    </w:rPr>
                    <w:t>0,728</w:t>
                  </w:r>
                </w:p>
              </w:tc>
            </w:tr>
            <w:tr w:rsidR="00CC3FB4" w:rsidRPr="003154CE" w14:paraId="38FDC5B6" w14:textId="77777777" w:rsidTr="004F4A43">
              <w:trPr>
                <w:trHeight w:val="315"/>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4E483BF1" w14:textId="77777777" w:rsidR="00CC3FB4" w:rsidRPr="003154CE" w:rsidRDefault="00CC3FB4" w:rsidP="00CC3FB4">
                  <w:pPr>
                    <w:widowControl/>
                    <w:spacing w:after="0" w:line="240" w:lineRule="auto"/>
                    <w:rPr>
                      <w:rFonts w:eastAsia="Times New Roman"/>
                      <w:color w:val="000000"/>
                      <w:sz w:val="24"/>
                      <w:szCs w:val="24"/>
                      <w:lang w:eastAsia="lv-LV"/>
                    </w:rPr>
                  </w:pPr>
                  <w:r w:rsidRPr="003154CE">
                    <w:rPr>
                      <w:rFonts w:eastAsia="Times New Roman"/>
                      <w:color w:val="000000"/>
                      <w:sz w:val="24"/>
                      <w:szCs w:val="24"/>
                      <w:lang w:eastAsia="lv-LV"/>
                    </w:rPr>
                    <w:t>SOC</w:t>
                  </w:r>
                </w:p>
              </w:tc>
              <w:tc>
                <w:tcPr>
                  <w:tcW w:w="1833" w:type="dxa"/>
                  <w:tcBorders>
                    <w:top w:val="nil"/>
                    <w:left w:val="nil"/>
                    <w:bottom w:val="single" w:sz="4" w:space="0" w:color="auto"/>
                    <w:right w:val="single" w:sz="4" w:space="0" w:color="auto"/>
                  </w:tcBorders>
                  <w:shd w:val="clear" w:color="auto" w:fill="auto"/>
                  <w:noWrap/>
                  <w:vAlign w:val="bottom"/>
                  <w:hideMark/>
                </w:tcPr>
                <w:p w14:paraId="4430700E" w14:textId="77777777" w:rsidR="00CC3FB4" w:rsidRPr="003154CE" w:rsidRDefault="00CC3FB4" w:rsidP="00CC3FB4">
                  <w:pPr>
                    <w:widowControl/>
                    <w:spacing w:after="0" w:line="240" w:lineRule="auto"/>
                    <w:jc w:val="right"/>
                    <w:rPr>
                      <w:rFonts w:eastAsia="Times New Roman"/>
                      <w:color w:val="000000"/>
                      <w:sz w:val="24"/>
                      <w:szCs w:val="24"/>
                      <w:lang w:eastAsia="lv-LV"/>
                    </w:rPr>
                  </w:pPr>
                  <w:r w:rsidRPr="003154CE">
                    <w:rPr>
                      <w:rFonts w:eastAsia="Times New Roman"/>
                      <w:color w:val="000000"/>
                      <w:sz w:val="24"/>
                      <w:szCs w:val="24"/>
                      <w:lang w:eastAsia="lv-LV"/>
                    </w:rPr>
                    <w:t>2,240</w:t>
                  </w:r>
                </w:p>
              </w:tc>
              <w:tc>
                <w:tcPr>
                  <w:tcW w:w="1701" w:type="dxa"/>
                  <w:tcBorders>
                    <w:top w:val="nil"/>
                    <w:left w:val="nil"/>
                    <w:bottom w:val="single" w:sz="4" w:space="0" w:color="auto"/>
                    <w:right w:val="single" w:sz="4" w:space="0" w:color="auto"/>
                  </w:tcBorders>
                  <w:shd w:val="clear" w:color="auto" w:fill="auto"/>
                  <w:noWrap/>
                  <w:vAlign w:val="bottom"/>
                  <w:hideMark/>
                </w:tcPr>
                <w:p w14:paraId="1147AB52" w14:textId="77777777" w:rsidR="00CC3FB4" w:rsidRPr="003154CE" w:rsidRDefault="00CC3FB4" w:rsidP="00CC3FB4">
                  <w:pPr>
                    <w:widowControl/>
                    <w:spacing w:after="0" w:line="240" w:lineRule="auto"/>
                    <w:jc w:val="right"/>
                    <w:rPr>
                      <w:rFonts w:eastAsia="Times New Roman"/>
                      <w:color w:val="000000"/>
                      <w:sz w:val="24"/>
                      <w:szCs w:val="24"/>
                      <w:lang w:eastAsia="lv-LV"/>
                    </w:rPr>
                  </w:pPr>
                  <w:r w:rsidRPr="003154CE">
                    <w:rPr>
                      <w:rFonts w:eastAsia="Times New Roman"/>
                      <w:color w:val="000000"/>
                      <w:sz w:val="24"/>
                      <w:szCs w:val="24"/>
                      <w:lang w:eastAsia="lv-LV"/>
                    </w:rPr>
                    <w:t>2,240</w:t>
                  </w:r>
                </w:p>
              </w:tc>
              <w:tc>
                <w:tcPr>
                  <w:tcW w:w="1559" w:type="dxa"/>
                  <w:tcBorders>
                    <w:top w:val="nil"/>
                    <w:left w:val="nil"/>
                    <w:bottom w:val="single" w:sz="4" w:space="0" w:color="auto"/>
                    <w:right w:val="single" w:sz="4" w:space="0" w:color="auto"/>
                  </w:tcBorders>
                  <w:shd w:val="clear" w:color="auto" w:fill="auto"/>
                  <w:noWrap/>
                  <w:vAlign w:val="bottom"/>
                  <w:hideMark/>
                </w:tcPr>
                <w:p w14:paraId="0584214A" w14:textId="77777777" w:rsidR="00CC3FB4" w:rsidRPr="003154CE" w:rsidRDefault="00CC3FB4" w:rsidP="00CC3FB4">
                  <w:pPr>
                    <w:widowControl/>
                    <w:spacing w:after="0" w:line="240" w:lineRule="auto"/>
                    <w:jc w:val="right"/>
                    <w:rPr>
                      <w:rFonts w:eastAsia="Times New Roman"/>
                      <w:color w:val="000000"/>
                      <w:sz w:val="24"/>
                      <w:szCs w:val="24"/>
                      <w:lang w:eastAsia="lv-LV"/>
                    </w:rPr>
                  </w:pPr>
                  <w:r w:rsidRPr="003154CE">
                    <w:rPr>
                      <w:rFonts w:eastAsia="Times New Roman"/>
                      <w:color w:val="000000"/>
                      <w:sz w:val="24"/>
                      <w:szCs w:val="24"/>
                      <w:lang w:eastAsia="lv-LV"/>
                    </w:rPr>
                    <w:t>2,240</w:t>
                  </w:r>
                </w:p>
              </w:tc>
            </w:tr>
            <w:tr w:rsidR="00CC3FB4" w:rsidRPr="003154CE" w14:paraId="10B9CAA1" w14:textId="77777777" w:rsidTr="004F4A43">
              <w:trPr>
                <w:trHeight w:val="315"/>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7A96A8F0" w14:textId="77777777" w:rsidR="00CC3FB4" w:rsidRPr="003154CE" w:rsidRDefault="00CC3FB4" w:rsidP="00CC3FB4">
                  <w:pPr>
                    <w:widowControl/>
                    <w:spacing w:after="0" w:line="240" w:lineRule="auto"/>
                    <w:jc w:val="right"/>
                    <w:rPr>
                      <w:rFonts w:eastAsia="Times New Roman"/>
                      <w:i/>
                      <w:iCs/>
                      <w:color w:val="000000"/>
                      <w:sz w:val="20"/>
                      <w:szCs w:val="20"/>
                      <w:lang w:eastAsia="lv-LV"/>
                    </w:rPr>
                  </w:pPr>
                  <w:r w:rsidRPr="003154CE">
                    <w:rPr>
                      <w:rFonts w:eastAsia="Times New Roman"/>
                      <w:i/>
                      <w:iCs/>
                      <w:color w:val="000000"/>
                      <w:sz w:val="20"/>
                      <w:szCs w:val="20"/>
                      <w:lang w:eastAsia="lv-LV"/>
                    </w:rPr>
                    <w:t>valsts speciālais budžets</w:t>
                  </w:r>
                </w:p>
              </w:tc>
              <w:tc>
                <w:tcPr>
                  <w:tcW w:w="1833" w:type="dxa"/>
                  <w:tcBorders>
                    <w:top w:val="nil"/>
                    <w:left w:val="nil"/>
                    <w:bottom w:val="single" w:sz="4" w:space="0" w:color="auto"/>
                    <w:right w:val="single" w:sz="4" w:space="0" w:color="auto"/>
                  </w:tcBorders>
                  <w:shd w:val="clear" w:color="auto" w:fill="auto"/>
                  <w:noWrap/>
                  <w:vAlign w:val="bottom"/>
                  <w:hideMark/>
                </w:tcPr>
                <w:p w14:paraId="00DBE685" w14:textId="77777777" w:rsidR="00CC3FB4" w:rsidRPr="003154CE" w:rsidRDefault="00CC3FB4" w:rsidP="00CC3FB4">
                  <w:pPr>
                    <w:widowControl/>
                    <w:spacing w:after="0" w:line="240" w:lineRule="auto"/>
                    <w:jc w:val="right"/>
                    <w:rPr>
                      <w:rFonts w:eastAsia="Times New Roman"/>
                      <w:i/>
                      <w:iCs/>
                      <w:color w:val="000000"/>
                      <w:sz w:val="20"/>
                      <w:szCs w:val="20"/>
                      <w:lang w:eastAsia="lv-LV"/>
                    </w:rPr>
                  </w:pPr>
                  <w:r w:rsidRPr="003154CE">
                    <w:rPr>
                      <w:rFonts w:eastAsia="Times New Roman"/>
                      <w:i/>
                      <w:iCs/>
                      <w:color w:val="000000"/>
                      <w:sz w:val="20"/>
                      <w:szCs w:val="20"/>
                      <w:lang w:eastAsia="lv-LV"/>
                    </w:rPr>
                    <w:t>1,850</w:t>
                  </w:r>
                </w:p>
              </w:tc>
              <w:tc>
                <w:tcPr>
                  <w:tcW w:w="1701" w:type="dxa"/>
                  <w:tcBorders>
                    <w:top w:val="nil"/>
                    <w:left w:val="nil"/>
                    <w:bottom w:val="single" w:sz="4" w:space="0" w:color="auto"/>
                    <w:right w:val="single" w:sz="4" w:space="0" w:color="auto"/>
                  </w:tcBorders>
                  <w:shd w:val="clear" w:color="auto" w:fill="auto"/>
                  <w:noWrap/>
                  <w:vAlign w:val="bottom"/>
                  <w:hideMark/>
                </w:tcPr>
                <w:p w14:paraId="0F271C04" w14:textId="77777777" w:rsidR="00CC3FB4" w:rsidRPr="003154CE" w:rsidRDefault="00CC3FB4" w:rsidP="00CC3FB4">
                  <w:pPr>
                    <w:widowControl/>
                    <w:spacing w:after="0" w:line="240" w:lineRule="auto"/>
                    <w:jc w:val="right"/>
                    <w:rPr>
                      <w:rFonts w:eastAsia="Times New Roman"/>
                      <w:i/>
                      <w:iCs/>
                      <w:color w:val="000000"/>
                      <w:sz w:val="20"/>
                      <w:szCs w:val="20"/>
                      <w:lang w:eastAsia="lv-LV"/>
                    </w:rPr>
                  </w:pPr>
                  <w:r w:rsidRPr="003154CE">
                    <w:rPr>
                      <w:rFonts w:eastAsia="Times New Roman"/>
                      <w:i/>
                      <w:iCs/>
                      <w:color w:val="000000"/>
                      <w:sz w:val="20"/>
                      <w:szCs w:val="20"/>
                      <w:lang w:eastAsia="lv-LV"/>
                    </w:rPr>
                    <w:t>1,850</w:t>
                  </w:r>
                </w:p>
              </w:tc>
              <w:tc>
                <w:tcPr>
                  <w:tcW w:w="1559" w:type="dxa"/>
                  <w:tcBorders>
                    <w:top w:val="nil"/>
                    <w:left w:val="nil"/>
                    <w:bottom w:val="single" w:sz="4" w:space="0" w:color="auto"/>
                    <w:right w:val="single" w:sz="4" w:space="0" w:color="auto"/>
                  </w:tcBorders>
                  <w:shd w:val="clear" w:color="auto" w:fill="auto"/>
                  <w:noWrap/>
                  <w:vAlign w:val="bottom"/>
                  <w:hideMark/>
                </w:tcPr>
                <w:p w14:paraId="6A6A728F" w14:textId="77777777" w:rsidR="00CC3FB4" w:rsidRPr="003154CE" w:rsidRDefault="00CC3FB4" w:rsidP="00CC3FB4">
                  <w:pPr>
                    <w:widowControl/>
                    <w:spacing w:after="0" w:line="240" w:lineRule="auto"/>
                    <w:jc w:val="right"/>
                    <w:rPr>
                      <w:rFonts w:eastAsia="Times New Roman"/>
                      <w:i/>
                      <w:iCs/>
                      <w:color w:val="000000"/>
                      <w:sz w:val="20"/>
                      <w:szCs w:val="20"/>
                      <w:lang w:eastAsia="lv-LV"/>
                    </w:rPr>
                  </w:pPr>
                  <w:r w:rsidRPr="003154CE">
                    <w:rPr>
                      <w:rFonts w:eastAsia="Times New Roman"/>
                      <w:i/>
                      <w:iCs/>
                      <w:color w:val="000000"/>
                      <w:sz w:val="20"/>
                      <w:szCs w:val="20"/>
                      <w:lang w:eastAsia="lv-LV"/>
                    </w:rPr>
                    <w:t>1,850</w:t>
                  </w:r>
                </w:p>
              </w:tc>
            </w:tr>
            <w:tr w:rsidR="00CC3FB4" w:rsidRPr="003154CE" w14:paraId="1CE3B400" w14:textId="77777777" w:rsidTr="004F4A43">
              <w:trPr>
                <w:trHeight w:val="315"/>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429F4939" w14:textId="77777777" w:rsidR="00CC3FB4" w:rsidRPr="003154CE" w:rsidRDefault="00CC3FB4" w:rsidP="00CC3FB4">
                  <w:pPr>
                    <w:widowControl/>
                    <w:spacing w:after="0" w:line="240" w:lineRule="auto"/>
                    <w:jc w:val="right"/>
                    <w:rPr>
                      <w:rFonts w:eastAsia="Times New Roman"/>
                      <w:i/>
                      <w:iCs/>
                      <w:color w:val="000000"/>
                      <w:sz w:val="20"/>
                      <w:szCs w:val="20"/>
                      <w:lang w:eastAsia="lv-LV"/>
                    </w:rPr>
                  </w:pPr>
                  <w:r w:rsidRPr="003154CE">
                    <w:rPr>
                      <w:rFonts w:eastAsia="Times New Roman"/>
                      <w:i/>
                      <w:iCs/>
                      <w:color w:val="000000"/>
                      <w:sz w:val="20"/>
                      <w:szCs w:val="20"/>
                      <w:lang w:eastAsia="lv-LV"/>
                    </w:rPr>
                    <w:t>iemaksas 2.pensiju līmenī</w:t>
                  </w:r>
                </w:p>
              </w:tc>
              <w:tc>
                <w:tcPr>
                  <w:tcW w:w="1833" w:type="dxa"/>
                  <w:tcBorders>
                    <w:top w:val="nil"/>
                    <w:left w:val="nil"/>
                    <w:bottom w:val="single" w:sz="4" w:space="0" w:color="auto"/>
                    <w:right w:val="single" w:sz="4" w:space="0" w:color="auto"/>
                  </w:tcBorders>
                  <w:shd w:val="clear" w:color="auto" w:fill="auto"/>
                  <w:noWrap/>
                  <w:vAlign w:val="bottom"/>
                  <w:hideMark/>
                </w:tcPr>
                <w:p w14:paraId="73C8D52A" w14:textId="77777777" w:rsidR="00CC3FB4" w:rsidRPr="003154CE" w:rsidRDefault="00CC3FB4" w:rsidP="00CC3FB4">
                  <w:pPr>
                    <w:widowControl/>
                    <w:spacing w:after="0" w:line="240" w:lineRule="auto"/>
                    <w:jc w:val="right"/>
                    <w:rPr>
                      <w:rFonts w:eastAsia="Times New Roman"/>
                      <w:i/>
                      <w:iCs/>
                      <w:color w:val="000000"/>
                      <w:sz w:val="20"/>
                      <w:szCs w:val="20"/>
                      <w:lang w:eastAsia="lv-LV"/>
                    </w:rPr>
                  </w:pPr>
                  <w:r w:rsidRPr="003154CE">
                    <w:rPr>
                      <w:rFonts w:eastAsia="Times New Roman"/>
                      <w:i/>
                      <w:iCs/>
                      <w:color w:val="000000"/>
                      <w:sz w:val="20"/>
                      <w:szCs w:val="20"/>
                      <w:lang w:eastAsia="lv-LV"/>
                    </w:rPr>
                    <w:t>0,390</w:t>
                  </w:r>
                </w:p>
              </w:tc>
              <w:tc>
                <w:tcPr>
                  <w:tcW w:w="1701" w:type="dxa"/>
                  <w:tcBorders>
                    <w:top w:val="nil"/>
                    <w:left w:val="nil"/>
                    <w:bottom w:val="single" w:sz="4" w:space="0" w:color="auto"/>
                    <w:right w:val="single" w:sz="4" w:space="0" w:color="auto"/>
                  </w:tcBorders>
                  <w:shd w:val="clear" w:color="auto" w:fill="auto"/>
                  <w:noWrap/>
                  <w:vAlign w:val="bottom"/>
                  <w:hideMark/>
                </w:tcPr>
                <w:p w14:paraId="7AA694B4" w14:textId="77777777" w:rsidR="00CC3FB4" w:rsidRPr="003154CE" w:rsidRDefault="00CC3FB4" w:rsidP="00CC3FB4">
                  <w:pPr>
                    <w:widowControl/>
                    <w:spacing w:after="0" w:line="240" w:lineRule="auto"/>
                    <w:jc w:val="right"/>
                    <w:rPr>
                      <w:rFonts w:eastAsia="Times New Roman"/>
                      <w:i/>
                      <w:iCs/>
                      <w:color w:val="000000"/>
                      <w:sz w:val="20"/>
                      <w:szCs w:val="20"/>
                      <w:lang w:eastAsia="lv-LV"/>
                    </w:rPr>
                  </w:pPr>
                  <w:r w:rsidRPr="003154CE">
                    <w:rPr>
                      <w:rFonts w:eastAsia="Times New Roman"/>
                      <w:i/>
                      <w:iCs/>
                      <w:color w:val="000000"/>
                      <w:sz w:val="20"/>
                      <w:szCs w:val="20"/>
                      <w:lang w:eastAsia="lv-LV"/>
                    </w:rPr>
                    <w:t>0,390</w:t>
                  </w:r>
                </w:p>
              </w:tc>
              <w:tc>
                <w:tcPr>
                  <w:tcW w:w="1559" w:type="dxa"/>
                  <w:tcBorders>
                    <w:top w:val="nil"/>
                    <w:left w:val="nil"/>
                    <w:bottom w:val="single" w:sz="4" w:space="0" w:color="auto"/>
                    <w:right w:val="single" w:sz="4" w:space="0" w:color="auto"/>
                  </w:tcBorders>
                  <w:shd w:val="clear" w:color="auto" w:fill="auto"/>
                  <w:noWrap/>
                  <w:vAlign w:val="bottom"/>
                  <w:hideMark/>
                </w:tcPr>
                <w:p w14:paraId="63A3C5AF" w14:textId="77777777" w:rsidR="00CC3FB4" w:rsidRPr="003154CE" w:rsidRDefault="00CC3FB4" w:rsidP="00CC3FB4">
                  <w:pPr>
                    <w:widowControl/>
                    <w:spacing w:after="0" w:line="240" w:lineRule="auto"/>
                    <w:jc w:val="right"/>
                    <w:rPr>
                      <w:rFonts w:eastAsia="Times New Roman"/>
                      <w:i/>
                      <w:iCs/>
                      <w:color w:val="000000"/>
                      <w:sz w:val="20"/>
                      <w:szCs w:val="20"/>
                      <w:lang w:eastAsia="lv-LV"/>
                    </w:rPr>
                  </w:pPr>
                  <w:r w:rsidRPr="003154CE">
                    <w:rPr>
                      <w:rFonts w:eastAsia="Times New Roman"/>
                      <w:i/>
                      <w:iCs/>
                      <w:color w:val="000000"/>
                      <w:sz w:val="20"/>
                      <w:szCs w:val="20"/>
                      <w:lang w:eastAsia="lv-LV"/>
                    </w:rPr>
                    <w:t>0,390</w:t>
                  </w:r>
                </w:p>
              </w:tc>
            </w:tr>
            <w:tr w:rsidR="00CC3FB4" w:rsidRPr="003154CE" w14:paraId="45FB5FAD" w14:textId="77777777" w:rsidTr="004F4A43">
              <w:trPr>
                <w:trHeight w:val="315"/>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667D2D47" w14:textId="77777777" w:rsidR="00CC3FB4" w:rsidRPr="003154CE" w:rsidRDefault="00CC3FB4" w:rsidP="00CC3FB4">
                  <w:pPr>
                    <w:widowControl/>
                    <w:spacing w:after="0" w:line="240" w:lineRule="auto"/>
                    <w:rPr>
                      <w:rFonts w:eastAsia="Times New Roman"/>
                      <w:b/>
                      <w:bCs/>
                      <w:color w:val="000000"/>
                      <w:sz w:val="24"/>
                      <w:szCs w:val="24"/>
                      <w:lang w:eastAsia="lv-LV"/>
                    </w:rPr>
                  </w:pPr>
                  <w:r w:rsidRPr="003154CE">
                    <w:rPr>
                      <w:rFonts w:eastAsia="Times New Roman"/>
                      <w:b/>
                      <w:bCs/>
                      <w:color w:val="000000"/>
                      <w:sz w:val="24"/>
                      <w:szCs w:val="24"/>
                      <w:lang w:eastAsia="lv-LV"/>
                    </w:rPr>
                    <w:t>Kopā</w:t>
                  </w:r>
                </w:p>
              </w:tc>
              <w:tc>
                <w:tcPr>
                  <w:tcW w:w="1833" w:type="dxa"/>
                  <w:tcBorders>
                    <w:top w:val="nil"/>
                    <w:left w:val="nil"/>
                    <w:bottom w:val="single" w:sz="4" w:space="0" w:color="auto"/>
                    <w:right w:val="single" w:sz="4" w:space="0" w:color="auto"/>
                  </w:tcBorders>
                  <w:shd w:val="clear" w:color="auto" w:fill="auto"/>
                  <w:noWrap/>
                  <w:vAlign w:val="bottom"/>
                  <w:hideMark/>
                </w:tcPr>
                <w:p w14:paraId="6B3EEF5B" w14:textId="77777777" w:rsidR="00CC3FB4" w:rsidRPr="003154CE" w:rsidRDefault="00CC3FB4" w:rsidP="00CC3FB4">
                  <w:pPr>
                    <w:widowControl/>
                    <w:spacing w:after="0" w:line="240" w:lineRule="auto"/>
                    <w:jc w:val="right"/>
                    <w:rPr>
                      <w:rFonts w:eastAsia="Times New Roman"/>
                      <w:b/>
                      <w:bCs/>
                      <w:color w:val="000000"/>
                      <w:sz w:val="24"/>
                      <w:szCs w:val="24"/>
                      <w:lang w:eastAsia="lv-LV"/>
                    </w:rPr>
                  </w:pPr>
                  <w:r w:rsidRPr="003154CE">
                    <w:rPr>
                      <w:rFonts w:eastAsia="Times New Roman"/>
                      <w:b/>
                      <w:bCs/>
                      <w:color w:val="000000"/>
                      <w:sz w:val="24"/>
                      <w:szCs w:val="24"/>
                      <w:lang w:eastAsia="lv-LV"/>
                    </w:rPr>
                    <w:t>3,280</w:t>
                  </w:r>
                </w:p>
              </w:tc>
              <w:tc>
                <w:tcPr>
                  <w:tcW w:w="1701" w:type="dxa"/>
                  <w:tcBorders>
                    <w:top w:val="nil"/>
                    <w:left w:val="nil"/>
                    <w:bottom w:val="single" w:sz="4" w:space="0" w:color="auto"/>
                    <w:right w:val="single" w:sz="4" w:space="0" w:color="auto"/>
                  </w:tcBorders>
                  <w:shd w:val="clear" w:color="auto" w:fill="auto"/>
                  <w:noWrap/>
                  <w:vAlign w:val="bottom"/>
                  <w:hideMark/>
                </w:tcPr>
                <w:p w14:paraId="68716BD8" w14:textId="77777777" w:rsidR="00CC3FB4" w:rsidRPr="003154CE" w:rsidRDefault="00CC3FB4" w:rsidP="00CC3FB4">
                  <w:pPr>
                    <w:widowControl/>
                    <w:spacing w:after="0" w:line="240" w:lineRule="auto"/>
                    <w:jc w:val="right"/>
                    <w:rPr>
                      <w:rFonts w:eastAsia="Times New Roman"/>
                      <w:b/>
                      <w:bCs/>
                      <w:color w:val="000000"/>
                      <w:sz w:val="24"/>
                      <w:szCs w:val="24"/>
                      <w:lang w:eastAsia="lv-LV"/>
                    </w:rPr>
                  </w:pPr>
                  <w:r w:rsidRPr="003154CE">
                    <w:rPr>
                      <w:rFonts w:eastAsia="Times New Roman"/>
                      <w:b/>
                      <w:bCs/>
                      <w:color w:val="000000"/>
                      <w:sz w:val="24"/>
                      <w:szCs w:val="24"/>
                      <w:lang w:eastAsia="lv-LV"/>
                    </w:rPr>
                    <w:t>3,280</w:t>
                  </w:r>
                </w:p>
              </w:tc>
              <w:tc>
                <w:tcPr>
                  <w:tcW w:w="1559" w:type="dxa"/>
                  <w:tcBorders>
                    <w:top w:val="nil"/>
                    <w:left w:val="nil"/>
                    <w:bottom w:val="single" w:sz="4" w:space="0" w:color="auto"/>
                    <w:right w:val="single" w:sz="4" w:space="0" w:color="auto"/>
                  </w:tcBorders>
                  <w:shd w:val="clear" w:color="auto" w:fill="auto"/>
                  <w:noWrap/>
                  <w:vAlign w:val="bottom"/>
                  <w:hideMark/>
                </w:tcPr>
                <w:p w14:paraId="62432BFC" w14:textId="77777777" w:rsidR="00CC3FB4" w:rsidRPr="003154CE" w:rsidRDefault="00CC3FB4" w:rsidP="00CC3FB4">
                  <w:pPr>
                    <w:widowControl/>
                    <w:spacing w:after="0" w:line="240" w:lineRule="auto"/>
                    <w:jc w:val="right"/>
                    <w:rPr>
                      <w:rFonts w:eastAsia="Times New Roman"/>
                      <w:b/>
                      <w:bCs/>
                      <w:color w:val="000000"/>
                      <w:sz w:val="24"/>
                      <w:szCs w:val="24"/>
                      <w:lang w:eastAsia="lv-LV"/>
                    </w:rPr>
                  </w:pPr>
                  <w:r w:rsidRPr="003154CE">
                    <w:rPr>
                      <w:rFonts w:eastAsia="Times New Roman"/>
                      <w:b/>
                      <w:bCs/>
                      <w:color w:val="000000"/>
                      <w:sz w:val="24"/>
                      <w:szCs w:val="24"/>
                      <w:lang w:eastAsia="lv-LV"/>
                    </w:rPr>
                    <w:t>3,280</w:t>
                  </w:r>
                </w:p>
              </w:tc>
            </w:tr>
          </w:tbl>
          <w:p w14:paraId="4F4C6293" w14:textId="77777777" w:rsidR="00CC3FB4" w:rsidRPr="003154CE" w:rsidRDefault="00CC3FB4" w:rsidP="00CD532A">
            <w:pPr>
              <w:spacing w:after="0" w:line="240" w:lineRule="auto"/>
              <w:jc w:val="both"/>
              <w:rPr>
                <w:rFonts w:eastAsia="Times New Roman"/>
                <w:sz w:val="24"/>
                <w:szCs w:val="24"/>
                <w:lang w:eastAsia="lv-LV"/>
              </w:rPr>
            </w:pPr>
          </w:p>
          <w:p w14:paraId="0C4DBF00" w14:textId="1B44C8AF" w:rsidR="003C3652" w:rsidRPr="003154CE" w:rsidRDefault="003C3652" w:rsidP="003C3652">
            <w:pPr>
              <w:spacing w:after="0" w:line="240" w:lineRule="auto"/>
              <w:jc w:val="both"/>
              <w:rPr>
                <w:sz w:val="24"/>
                <w:szCs w:val="24"/>
              </w:rPr>
            </w:pPr>
            <w:r w:rsidRPr="003154CE">
              <w:rPr>
                <w:sz w:val="24"/>
                <w:szCs w:val="24"/>
              </w:rPr>
              <w:t xml:space="preserve">Ieņēmumi no vienas valsts nodevas par grāmatvedības ārpakalpojuma licences izsniegšanu plānoti 100 EUR apmērā. Pašlaik VID ir reģistrēti aptuveni 7 200 grāmatvedības ārpakalpojumu sniedzēji. Plānots, ka pārejas perioda ietvaros pirmajā gadā licencēto grāmatvedības ārpakalpojuma sniedzēju skaits būs 1 440 (20% no kopējā tirgus dalībnieku skaita), tādējādi tas veidos budžeta ieņēmums </w:t>
            </w:r>
            <w:r w:rsidRPr="003154CE">
              <w:rPr>
                <w:sz w:val="24"/>
                <w:szCs w:val="24"/>
              </w:rPr>
              <w:br/>
              <w:t>144 000 EUR apmērā. Savukārt 2021.gadā licences būs jāizsniedz pārējiem 5 760 tirgus dalībniekiem, tādējādi tas veidos budžeta ieņēmumus 576 000 EUR. Papildus jānorāda, ka uzraudzības procesā licences varēs tikt anulētas un par atkārtotu licenču saņemšu būs atkal jāmaksā valsts nodeva. Ņemot vērā grāmatvedības ārpakalpojumu nozarē konstatēto pārkāpumu īpatsvaru, aptuveni 5% no tirgus dalībniekiem tiek konstatēti būtiski NILLTFN likuma normu pārkāpumi. Tādējādi 2021. gadā iespējamais atkārtoti izsniegto licenču skaits ir 72 (5% no izsniegtajām 1440 licencēm), kas veido papildus valsts budžeta ieņēmumus 7 200 EUR apmērā, savukārt 2022. gadā iespējamais atkārtoti izsniegto licenču skaits ir 288 (5% no izsniegtajām 5 760 licencēm), kas veido papildus valsts budžeta ieņēmumus 28 800 EUR apmērā.</w:t>
            </w:r>
          </w:p>
          <w:p w14:paraId="1DA513EE" w14:textId="77777777" w:rsidR="003C3652" w:rsidRPr="003154CE" w:rsidRDefault="003C3652" w:rsidP="003C3652">
            <w:pPr>
              <w:spacing w:after="0" w:line="240" w:lineRule="auto"/>
              <w:jc w:val="both"/>
              <w:rPr>
                <w:sz w:val="24"/>
                <w:szCs w:val="24"/>
              </w:rPr>
            </w:pPr>
            <w:r w:rsidRPr="003154CE">
              <w:rPr>
                <w:sz w:val="24"/>
                <w:szCs w:val="24"/>
              </w:rPr>
              <w:t>Atbilstoši plānotajai licenču izsniegšanas intensitātei, 2020. gadā VID būs nepieciešams no iekšējiem resursiem novirzīt divas amata vietas licencēšanas procesa nodrošināšanai, savukārt 2021.gadā, VID būs nepieciešams no iekšējiem resursiem novirzīt papildus 3 amata vietas licenču izsniegšanai.</w:t>
            </w:r>
          </w:p>
          <w:p w14:paraId="60FA5C63" w14:textId="77777777" w:rsidR="003C3652" w:rsidRPr="003154CE" w:rsidRDefault="003C3652" w:rsidP="003C3652">
            <w:pPr>
              <w:spacing w:after="0" w:line="240" w:lineRule="auto"/>
              <w:jc w:val="both"/>
              <w:rPr>
                <w:sz w:val="24"/>
                <w:szCs w:val="24"/>
              </w:rPr>
            </w:pPr>
            <w:r w:rsidRPr="003154CE">
              <w:rPr>
                <w:sz w:val="24"/>
                <w:szCs w:val="24"/>
              </w:rPr>
              <w:t xml:space="preserve">Pēc pārejas perioda beigām 2022.gada 1. februārī, tiek plānots vidēji vienā gadā izsniegt 500 licences (jaunu licenču izsniegšana, anulētu licenču atjaunošana, </w:t>
            </w:r>
            <w:r w:rsidRPr="003154CE">
              <w:rPr>
                <w:sz w:val="24"/>
                <w:szCs w:val="24"/>
              </w:rPr>
              <w:lastRenderedPageBreak/>
              <w:t xml:space="preserve">licenču pārreģistrācija), kas veido papildus valsts budžeta ieņēmumus 50 000 EUR apmērā. </w:t>
            </w:r>
          </w:p>
          <w:p w14:paraId="7FB73460" w14:textId="77777777" w:rsidR="003C3652" w:rsidRPr="003154CE" w:rsidRDefault="003C3652" w:rsidP="003C3652">
            <w:pPr>
              <w:spacing w:after="0" w:line="240" w:lineRule="auto"/>
              <w:jc w:val="both"/>
              <w:rPr>
                <w:sz w:val="24"/>
                <w:szCs w:val="24"/>
              </w:rPr>
            </w:pPr>
            <w:r w:rsidRPr="003154CE">
              <w:rPr>
                <w:sz w:val="24"/>
                <w:szCs w:val="24"/>
              </w:rPr>
              <w:t>Sākot ar 2022.gadu VID licences izsniegšanai ārpakalpojumu grāmatvežiem un to uzraudzības nodrošināšanai no iekšējiem resursiem novirzīs divas amata vietas.</w:t>
            </w:r>
          </w:p>
          <w:p w14:paraId="32615517" w14:textId="77777777" w:rsidR="003C3652" w:rsidRPr="003154CE" w:rsidRDefault="003C3652" w:rsidP="003C3652">
            <w:pPr>
              <w:spacing w:after="0" w:line="240" w:lineRule="auto"/>
              <w:jc w:val="both"/>
              <w:rPr>
                <w:sz w:val="24"/>
                <w:szCs w:val="24"/>
              </w:rPr>
            </w:pPr>
          </w:p>
          <w:p w14:paraId="5B0A23E7" w14:textId="77777777" w:rsidR="003C3652" w:rsidRPr="003154CE" w:rsidRDefault="003C3652" w:rsidP="003C3652">
            <w:pPr>
              <w:spacing w:after="0" w:line="240" w:lineRule="auto"/>
              <w:contextualSpacing/>
              <w:jc w:val="both"/>
              <w:rPr>
                <w:rFonts w:eastAsia="Times New Roman"/>
                <w:sz w:val="24"/>
                <w:szCs w:val="24"/>
                <w:lang w:eastAsia="lv-LV"/>
              </w:rPr>
            </w:pPr>
            <w:r w:rsidRPr="003154CE">
              <w:rPr>
                <w:rFonts w:eastAsia="Times New Roman"/>
                <w:sz w:val="24"/>
                <w:szCs w:val="24"/>
                <w:lang w:eastAsia="lv-LV"/>
              </w:rPr>
              <w:t>VID licences izsniegšanas ārpakalpojumu grāmatvežiem un to uzraudzības nodrošināšanai tiek novirzītas amata vietas no citām VID struktūrvienībām, nosakot mēnešalgas atbilstoši MK skalas maksimumam un piešķirot piemaksu par personisko darba ieguldījumu un darba kvalitāti 10% apmērā no mēnešalgas. Papildus nepieciešamais finansējums ir aprēķināts kā starpība starp VID citu struktūrvienību amata vietām noteikto mēnešalgu un MK skalas maksimumu. Papildus darbinieku motivēšanai aprēķināts finansējums piemaksas par sensitīvo amatu, piemaksas par personisko darba ieguldījumu un darba kvalitāti 10% no jaunās mēnešalgas, ikgadējās prēmijas un atvaļinājuma pabalsta noteikšanai.</w:t>
            </w:r>
          </w:p>
          <w:p w14:paraId="2F1038E0" w14:textId="77777777" w:rsidR="003C3652" w:rsidRPr="003154CE" w:rsidRDefault="003C3652" w:rsidP="003C3652">
            <w:pPr>
              <w:spacing w:after="0" w:line="240" w:lineRule="auto"/>
              <w:jc w:val="both"/>
              <w:rPr>
                <w:sz w:val="24"/>
                <w:szCs w:val="24"/>
              </w:rPr>
            </w:pPr>
            <w:r w:rsidRPr="003154CE">
              <w:rPr>
                <w:sz w:val="24"/>
                <w:szCs w:val="24"/>
              </w:rPr>
              <w:t> </w:t>
            </w:r>
          </w:p>
          <w:p w14:paraId="1C62A8B1" w14:textId="77777777" w:rsidR="003C3652" w:rsidRPr="003154CE" w:rsidRDefault="003C3652" w:rsidP="003C3652">
            <w:pPr>
              <w:spacing w:after="0" w:line="240" w:lineRule="auto"/>
              <w:jc w:val="both"/>
              <w:rPr>
                <w:rFonts w:eastAsia="Times New Roman"/>
                <w:sz w:val="24"/>
                <w:szCs w:val="24"/>
                <w:lang w:eastAsia="lv-LV"/>
              </w:rPr>
            </w:pPr>
            <w:r w:rsidRPr="003154CE">
              <w:rPr>
                <w:rFonts w:eastAsia="Times New Roman"/>
                <w:sz w:val="24"/>
                <w:szCs w:val="24"/>
                <w:lang w:eastAsia="lv-LV"/>
              </w:rPr>
              <w:t xml:space="preserve">Nepieciešamo izmaiņu iestrādei VID informācijas sistēmās 2019.gadā nepieciešams finansējums Finanšu ministrijas budžeta programmā 33.00.00 “Valsts ieņēmumu un muitas politikas nodrošināšana” </w:t>
            </w:r>
            <w:r w:rsidRPr="003154CE">
              <w:rPr>
                <w:rFonts w:eastAsia="Times New Roman"/>
                <w:b/>
                <w:sz w:val="24"/>
                <w:szCs w:val="24"/>
                <w:lang w:eastAsia="lv-LV"/>
              </w:rPr>
              <w:t>41 036</w:t>
            </w:r>
            <w:r w:rsidRPr="003154CE">
              <w:rPr>
                <w:rFonts w:eastAsia="Times New Roman"/>
                <w:sz w:val="24"/>
                <w:szCs w:val="24"/>
                <w:lang w:eastAsia="lv-LV"/>
              </w:rPr>
              <w:t xml:space="preserve"> </w:t>
            </w:r>
            <w:r w:rsidRPr="003154CE">
              <w:rPr>
                <w:rFonts w:eastAsia="Times New Roman"/>
                <w:b/>
                <w:sz w:val="24"/>
                <w:szCs w:val="24"/>
                <w:lang w:eastAsia="lv-LV"/>
              </w:rPr>
              <w:t>EUR</w:t>
            </w:r>
            <w:r w:rsidRPr="003154CE">
              <w:rPr>
                <w:rFonts w:eastAsia="Times New Roman"/>
                <w:sz w:val="24"/>
                <w:szCs w:val="24"/>
                <w:lang w:eastAsia="lv-LV"/>
              </w:rPr>
              <w:t xml:space="preserve"> apmērā, tajā skaitā izmaiņu ieviešanai:</w:t>
            </w:r>
          </w:p>
          <w:tbl>
            <w:tblPr>
              <w:tblW w:w="7891" w:type="dxa"/>
              <w:tblLayout w:type="fixed"/>
              <w:tblCellMar>
                <w:left w:w="0" w:type="dxa"/>
                <w:right w:w="0" w:type="dxa"/>
              </w:tblCellMar>
              <w:tblLook w:val="04A0" w:firstRow="1" w:lastRow="0" w:firstColumn="1" w:lastColumn="0" w:noHBand="0" w:noVBand="1"/>
            </w:tblPr>
            <w:tblGrid>
              <w:gridCol w:w="2363"/>
              <w:gridCol w:w="2409"/>
              <w:gridCol w:w="1560"/>
              <w:gridCol w:w="1559"/>
            </w:tblGrid>
            <w:tr w:rsidR="003C3652" w:rsidRPr="003154CE" w14:paraId="35208E1E" w14:textId="77777777" w:rsidTr="00F3709C">
              <w:trPr>
                <w:trHeight w:val="1260"/>
              </w:trPr>
              <w:tc>
                <w:tcPr>
                  <w:tcW w:w="23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EE5470" w14:textId="77777777" w:rsidR="003C3652" w:rsidRPr="003154CE" w:rsidRDefault="003C3652" w:rsidP="003C3652">
                  <w:pPr>
                    <w:jc w:val="center"/>
                    <w:rPr>
                      <w:b/>
                      <w:bCs/>
                      <w:sz w:val="24"/>
                      <w:szCs w:val="24"/>
                      <w:lang w:eastAsia="lv-LV"/>
                    </w:rPr>
                  </w:pPr>
                  <w:r w:rsidRPr="003154CE">
                    <w:rPr>
                      <w:b/>
                      <w:bCs/>
                      <w:sz w:val="24"/>
                      <w:szCs w:val="24"/>
                      <w:lang w:eastAsia="lv-LV"/>
                    </w:rPr>
                    <w:t>Informācijas sistēma</w:t>
                  </w: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52A00C3" w14:textId="77777777" w:rsidR="003C3652" w:rsidRPr="003154CE" w:rsidRDefault="003C3652" w:rsidP="003C3652">
                  <w:pPr>
                    <w:jc w:val="center"/>
                    <w:rPr>
                      <w:b/>
                      <w:bCs/>
                      <w:color w:val="000000"/>
                      <w:sz w:val="24"/>
                      <w:szCs w:val="24"/>
                      <w:lang w:eastAsia="lv-LV"/>
                    </w:rPr>
                  </w:pPr>
                  <w:r w:rsidRPr="003154CE">
                    <w:rPr>
                      <w:b/>
                      <w:bCs/>
                      <w:color w:val="000000"/>
                      <w:sz w:val="24"/>
                      <w:szCs w:val="24"/>
                      <w:lang w:eastAsia="lv-LV"/>
                    </w:rPr>
                    <w:t>Vienas persondienas izmaksas, EUR ar PVN</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76C1BE4" w14:textId="77777777" w:rsidR="003C3652" w:rsidRPr="003154CE" w:rsidRDefault="003C3652" w:rsidP="003C3652">
                  <w:pPr>
                    <w:jc w:val="center"/>
                    <w:rPr>
                      <w:b/>
                      <w:bCs/>
                      <w:color w:val="000000"/>
                      <w:sz w:val="24"/>
                      <w:szCs w:val="24"/>
                      <w:lang w:eastAsia="lv-LV"/>
                    </w:rPr>
                  </w:pPr>
                  <w:r w:rsidRPr="003154CE">
                    <w:rPr>
                      <w:b/>
                      <w:bCs/>
                      <w:color w:val="000000"/>
                      <w:sz w:val="24"/>
                      <w:szCs w:val="24"/>
                      <w:lang w:eastAsia="lv-LV"/>
                    </w:rPr>
                    <w:t>Persondienu skaits</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976FEFB" w14:textId="77777777" w:rsidR="003C3652" w:rsidRPr="003154CE" w:rsidRDefault="003C3652" w:rsidP="003C3652">
                  <w:pPr>
                    <w:jc w:val="center"/>
                    <w:rPr>
                      <w:b/>
                      <w:bCs/>
                      <w:color w:val="000000"/>
                      <w:sz w:val="24"/>
                      <w:szCs w:val="24"/>
                      <w:lang w:eastAsia="lv-LV"/>
                    </w:rPr>
                  </w:pPr>
                  <w:r w:rsidRPr="003154CE">
                    <w:rPr>
                      <w:b/>
                      <w:bCs/>
                      <w:color w:val="000000"/>
                      <w:sz w:val="24"/>
                      <w:szCs w:val="24"/>
                      <w:lang w:eastAsia="lv-LV"/>
                    </w:rPr>
                    <w:t>Izmaksas, EUR ar PVN</w:t>
                  </w:r>
                </w:p>
              </w:tc>
            </w:tr>
            <w:tr w:rsidR="003C3652" w:rsidRPr="003154CE" w14:paraId="0D7FC035" w14:textId="77777777" w:rsidTr="00F3709C">
              <w:trPr>
                <w:trHeight w:val="315"/>
              </w:trPr>
              <w:tc>
                <w:tcPr>
                  <w:tcW w:w="2363"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14:paraId="3CF8F1CF" w14:textId="77777777" w:rsidR="003C3652" w:rsidRPr="003154CE" w:rsidRDefault="003C3652" w:rsidP="003C3652">
                  <w:pPr>
                    <w:rPr>
                      <w:color w:val="000000"/>
                      <w:sz w:val="24"/>
                      <w:szCs w:val="24"/>
                      <w:lang w:eastAsia="lv-LV"/>
                    </w:rPr>
                  </w:pPr>
                  <w:r w:rsidRPr="003154CE">
                    <w:rPr>
                      <w:color w:val="000000"/>
                      <w:sz w:val="24"/>
                      <w:szCs w:val="24"/>
                      <w:lang w:eastAsia="lv-LV"/>
                    </w:rPr>
                    <w:t>Nodokļu informācijas sistēma</w:t>
                  </w:r>
                </w:p>
              </w:tc>
              <w:tc>
                <w:tcPr>
                  <w:tcW w:w="24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5617508" w14:textId="77777777" w:rsidR="003C3652" w:rsidRPr="003154CE" w:rsidRDefault="003C3652" w:rsidP="003C3652">
                  <w:pPr>
                    <w:jc w:val="center"/>
                    <w:rPr>
                      <w:color w:val="000000"/>
                      <w:sz w:val="24"/>
                      <w:szCs w:val="24"/>
                      <w:lang w:eastAsia="lv-LV"/>
                    </w:rPr>
                  </w:pPr>
                  <w:r w:rsidRPr="003154CE">
                    <w:rPr>
                      <w:color w:val="000000"/>
                      <w:sz w:val="24"/>
                      <w:szCs w:val="24"/>
                      <w:lang w:eastAsia="lv-LV"/>
                    </w:rPr>
                    <w:t>453,75</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6D37DC8" w14:textId="77777777" w:rsidR="003C3652" w:rsidRPr="003154CE" w:rsidRDefault="003C3652" w:rsidP="003C3652">
                  <w:pPr>
                    <w:jc w:val="center"/>
                    <w:rPr>
                      <w:color w:val="000000"/>
                      <w:sz w:val="24"/>
                      <w:szCs w:val="24"/>
                      <w:lang w:eastAsia="lv-LV"/>
                    </w:rPr>
                  </w:pPr>
                  <w:r w:rsidRPr="003154CE">
                    <w:rPr>
                      <w:color w:val="000000"/>
                      <w:sz w:val="24"/>
                      <w:szCs w:val="24"/>
                      <w:lang w:eastAsia="lv-LV"/>
                    </w:rPr>
                    <w:t>46</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A8D659B" w14:textId="77777777" w:rsidR="003C3652" w:rsidRPr="003154CE" w:rsidRDefault="003C3652" w:rsidP="003C3652">
                  <w:pPr>
                    <w:jc w:val="center"/>
                    <w:rPr>
                      <w:color w:val="000000"/>
                      <w:sz w:val="24"/>
                      <w:szCs w:val="24"/>
                      <w:lang w:eastAsia="lv-LV"/>
                    </w:rPr>
                  </w:pPr>
                  <w:r w:rsidRPr="003154CE">
                    <w:rPr>
                      <w:color w:val="000000"/>
                      <w:sz w:val="24"/>
                      <w:szCs w:val="24"/>
                      <w:lang w:eastAsia="lv-LV"/>
                    </w:rPr>
                    <w:t>20 873</w:t>
                  </w:r>
                </w:p>
              </w:tc>
            </w:tr>
            <w:tr w:rsidR="003C3652" w:rsidRPr="003154CE" w14:paraId="1B2A8B41" w14:textId="77777777" w:rsidTr="00F3709C">
              <w:trPr>
                <w:trHeight w:val="315"/>
              </w:trPr>
              <w:tc>
                <w:tcPr>
                  <w:tcW w:w="2363"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14:paraId="78FD5D02" w14:textId="77777777" w:rsidR="003C3652" w:rsidRPr="003154CE" w:rsidRDefault="003C3652" w:rsidP="003C3652">
                  <w:pPr>
                    <w:rPr>
                      <w:color w:val="000000"/>
                      <w:sz w:val="24"/>
                      <w:szCs w:val="24"/>
                      <w:lang w:eastAsia="lv-LV"/>
                    </w:rPr>
                  </w:pPr>
                  <w:r w:rsidRPr="003154CE">
                    <w:rPr>
                      <w:color w:val="000000"/>
                      <w:sz w:val="24"/>
                      <w:szCs w:val="24"/>
                      <w:lang w:eastAsia="lv-LV"/>
                    </w:rPr>
                    <w:t>Elektroniskās deklarēšanas sistēma</w:t>
                  </w:r>
                </w:p>
              </w:tc>
              <w:tc>
                <w:tcPr>
                  <w:tcW w:w="24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AE618ED" w14:textId="77777777" w:rsidR="003C3652" w:rsidRPr="003154CE" w:rsidRDefault="003C3652" w:rsidP="003C3652">
                  <w:pPr>
                    <w:jc w:val="center"/>
                    <w:rPr>
                      <w:color w:val="000000"/>
                      <w:sz w:val="24"/>
                      <w:szCs w:val="24"/>
                      <w:lang w:eastAsia="lv-LV"/>
                    </w:rPr>
                  </w:pPr>
                  <w:r w:rsidRPr="003154CE">
                    <w:rPr>
                      <w:color w:val="000000"/>
                      <w:sz w:val="24"/>
                      <w:szCs w:val="24"/>
                      <w:lang w:eastAsia="lv-LV"/>
                    </w:rPr>
                    <w:t>320,05</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8571809" w14:textId="77777777" w:rsidR="003C3652" w:rsidRPr="003154CE" w:rsidRDefault="003C3652" w:rsidP="003C3652">
                  <w:pPr>
                    <w:jc w:val="center"/>
                    <w:rPr>
                      <w:color w:val="000000"/>
                      <w:sz w:val="24"/>
                      <w:szCs w:val="24"/>
                      <w:lang w:eastAsia="lv-LV"/>
                    </w:rPr>
                  </w:pPr>
                  <w:r w:rsidRPr="003154CE">
                    <w:rPr>
                      <w:color w:val="000000"/>
                      <w:sz w:val="24"/>
                      <w:szCs w:val="24"/>
                      <w:lang w:eastAsia="lv-LV"/>
                    </w:rPr>
                    <w:t>63</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041E63E" w14:textId="77777777" w:rsidR="003C3652" w:rsidRPr="003154CE" w:rsidRDefault="003C3652" w:rsidP="003C3652">
                  <w:pPr>
                    <w:jc w:val="center"/>
                    <w:rPr>
                      <w:color w:val="000000"/>
                      <w:sz w:val="24"/>
                      <w:szCs w:val="24"/>
                      <w:lang w:eastAsia="lv-LV"/>
                    </w:rPr>
                  </w:pPr>
                  <w:r w:rsidRPr="003154CE">
                    <w:rPr>
                      <w:color w:val="000000"/>
                      <w:sz w:val="24"/>
                      <w:szCs w:val="24"/>
                      <w:lang w:eastAsia="lv-LV"/>
                    </w:rPr>
                    <w:t>20 163</w:t>
                  </w:r>
                </w:p>
              </w:tc>
            </w:tr>
            <w:tr w:rsidR="003C3652" w:rsidRPr="003154CE" w14:paraId="1690F3F1" w14:textId="77777777" w:rsidTr="00F3709C">
              <w:trPr>
                <w:trHeight w:val="315"/>
              </w:trPr>
              <w:tc>
                <w:tcPr>
                  <w:tcW w:w="23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2CEEF7" w14:textId="77777777" w:rsidR="003C3652" w:rsidRPr="003154CE" w:rsidRDefault="003C3652" w:rsidP="003C3652">
                  <w:pPr>
                    <w:jc w:val="right"/>
                    <w:rPr>
                      <w:b/>
                      <w:bCs/>
                      <w:color w:val="000000"/>
                      <w:sz w:val="24"/>
                      <w:szCs w:val="24"/>
                      <w:lang w:eastAsia="lv-LV"/>
                    </w:rPr>
                  </w:pPr>
                  <w:r w:rsidRPr="003154CE">
                    <w:rPr>
                      <w:b/>
                      <w:bCs/>
                      <w:color w:val="000000"/>
                      <w:sz w:val="24"/>
                      <w:szCs w:val="24"/>
                      <w:lang w:eastAsia="lv-LV"/>
                    </w:rPr>
                    <w:t>Kopā</w:t>
                  </w:r>
                </w:p>
              </w:tc>
              <w:tc>
                <w:tcPr>
                  <w:tcW w:w="24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8D855F8" w14:textId="77777777" w:rsidR="003C3652" w:rsidRPr="003154CE" w:rsidRDefault="003C3652" w:rsidP="003C3652">
                  <w:pPr>
                    <w:jc w:val="center"/>
                    <w:rPr>
                      <w:b/>
                      <w:bCs/>
                      <w:color w:val="1F497D"/>
                      <w:sz w:val="24"/>
                      <w:szCs w:val="24"/>
                      <w:lang w:eastAsia="lv-LV"/>
                    </w:rPr>
                  </w:pP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E66D592" w14:textId="77777777" w:rsidR="003C3652" w:rsidRPr="003154CE" w:rsidRDefault="003C3652" w:rsidP="003C3652">
                  <w:pPr>
                    <w:jc w:val="center"/>
                    <w:rPr>
                      <w:b/>
                      <w:bCs/>
                      <w:sz w:val="24"/>
                      <w:szCs w:val="24"/>
                      <w:lang w:eastAsia="lv-LV"/>
                    </w:rPr>
                  </w:pPr>
                  <w:r w:rsidRPr="003154CE">
                    <w:rPr>
                      <w:b/>
                      <w:bCs/>
                      <w:sz w:val="24"/>
                      <w:szCs w:val="24"/>
                      <w:lang w:eastAsia="lv-LV"/>
                    </w:rPr>
                    <w:t>109</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A1C3102" w14:textId="77777777" w:rsidR="003C3652" w:rsidRPr="003154CE" w:rsidRDefault="003C3652" w:rsidP="003C3652">
                  <w:pPr>
                    <w:jc w:val="center"/>
                    <w:rPr>
                      <w:b/>
                      <w:bCs/>
                      <w:sz w:val="24"/>
                      <w:szCs w:val="24"/>
                      <w:lang w:eastAsia="lv-LV"/>
                    </w:rPr>
                  </w:pPr>
                  <w:r w:rsidRPr="003154CE">
                    <w:rPr>
                      <w:b/>
                      <w:bCs/>
                      <w:sz w:val="24"/>
                      <w:szCs w:val="24"/>
                      <w:lang w:eastAsia="lv-LV"/>
                    </w:rPr>
                    <w:t>41 036</w:t>
                  </w:r>
                </w:p>
              </w:tc>
            </w:tr>
          </w:tbl>
          <w:p w14:paraId="51EB32B3" w14:textId="77777777" w:rsidR="003C3652" w:rsidRPr="003154CE" w:rsidRDefault="003C3652" w:rsidP="003C3652">
            <w:pPr>
              <w:spacing w:after="0" w:line="240" w:lineRule="auto"/>
              <w:contextualSpacing/>
              <w:rPr>
                <w:rFonts w:cs="Calibri"/>
                <w:sz w:val="24"/>
                <w:szCs w:val="24"/>
                <w:lang w:eastAsia="lv-LV"/>
              </w:rPr>
            </w:pPr>
            <w:r w:rsidRPr="003154CE" w:rsidDel="00374E63">
              <w:rPr>
                <w:rFonts w:cs="Calibri"/>
                <w:sz w:val="24"/>
                <w:szCs w:val="24"/>
                <w:lang w:eastAsia="lv-LV"/>
              </w:rPr>
              <w:t xml:space="preserve"> </w:t>
            </w:r>
          </w:p>
          <w:p w14:paraId="4704E82D" w14:textId="77777777" w:rsidR="003C3652" w:rsidRPr="003154CE" w:rsidRDefault="003C3652" w:rsidP="003C3652">
            <w:pPr>
              <w:spacing w:after="0" w:line="240" w:lineRule="auto"/>
              <w:contextualSpacing/>
              <w:jc w:val="both"/>
              <w:rPr>
                <w:rFonts w:eastAsia="Times New Roman"/>
                <w:sz w:val="24"/>
                <w:szCs w:val="24"/>
                <w:lang w:eastAsia="lv-LV"/>
              </w:rPr>
            </w:pPr>
            <w:r w:rsidRPr="003154CE">
              <w:rPr>
                <w:rFonts w:eastAsia="Times New Roman"/>
                <w:sz w:val="24"/>
                <w:szCs w:val="24"/>
                <w:lang w:eastAsia="lv-LV"/>
              </w:rPr>
              <w:t xml:space="preserve">Pēc izmaiņu veikšanas, to uzturēšanai 2020.gadā un turpmāk ik gadu nepieciešams finansējums </w:t>
            </w:r>
            <w:r w:rsidRPr="003154CE">
              <w:rPr>
                <w:rFonts w:eastAsia="Times New Roman"/>
                <w:b/>
                <w:sz w:val="24"/>
                <w:szCs w:val="24"/>
                <w:lang w:eastAsia="lv-LV"/>
              </w:rPr>
              <w:t xml:space="preserve">2 166 EUR </w:t>
            </w:r>
            <w:r w:rsidRPr="003154CE">
              <w:rPr>
                <w:rFonts w:eastAsia="Times New Roman"/>
                <w:sz w:val="24"/>
                <w:szCs w:val="24"/>
                <w:lang w:eastAsia="lv-LV"/>
              </w:rPr>
              <w:t>apmērā, t.sk.:</w:t>
            </w:r>
          </w:p>
          <w:p w14:paraId="224BD673" w14:textId="77777777" w:rsidR="003C3652" w:rsidRPr="003154CE" w:rsidRDefault="003C3652" w:rsidP="003C3652">
            <w:pPr>
              <w:spacing w:after="0" w:line="240" w:lineRule="auto"/>
              <w:ind w:firstLine="530"/>
              <w:contextualSpacing/>
              <w:jc w:val="both"/>
              <w:rPr>
                <w:rFonts w:eastAsia="Times New Roman"/>
                <w:sz w:val="24"/>
                <w:szCs w:val="24"/>
                <w:lang w:eastAsia="lv-LV"/>
              </w:rPr>
            </w:pPr>
            <w:r w:rsidRPr="003154CE">
              <w:rPr>
                <w:rFonts w:eastAsia="Times New Roman"/>
                <w:sz w:val="24"/>
                <w:szCs w:val="24"/>
                <w:lang w:eastAsia="lv-LV"/>
              </w:rPr>
              <w:t>•</w:t>
            </w:r>
            <w:r w:rsidRPr="003154CE">
              <w:rPr>
                <w:rFonts w:eastAsia="Times New Roman"/>
                <w:sz w:val="24"/>
                <w:szCs w:val="24"/>
                <w:lang w:eastAsia="lv-LV"/>
              </w:rPr>
              <w:tab/>
              <w:t>3% no kopējām ieviešanas izmaksām (1 231 EUR);</w:t>
            </w:r>
          </w:p>
          <w:p w14:paraId="526EB3EC" w14:textId="77777777" w:rsidR="003C3652" w:rsidRPr="003154CE" w:rsidRDefault="003C3652" w:rsidP="003C3652">
            <w:pPr>
              <w:spacing w:after="0" w:line="240" w:lineRule="auto"/>
              <w:ind w:firstLine="530"/>
              <w:contextualSpacing/>
              <w:jc w:val="both"/>
              <w:rPr>
                <w:rFonts w:eastAsia="Times New Roman"/>
                <w:sz w:val="24"/>
                <w:szCs w:val="24"/>
                <w:lang w:eastAsia="lv-LV"/>
              </w:rPr>
            </w:pPr>
            <w:r w:rsidRPr="003154CE">
              <w:rPr>
                <w:rFonts w:eastAsia="Times New Roman"/>
                <w:sz w:val="24"/>
                <w:szCs w:val="24"/>
                <w:lang w:eastAsia="lv-LV"/>
              </w:rPr>
              <w:t>•</w:t>
            </w:r>
            <w:r w:rsidRPr="003154CE">
              <w:rPr>
                <w:rFonts w:eastAsia="Times New Roman"/>
                <w:sz w:val="24"/>
                <w:szCs w:val="24"/>
                <w:lang w:eastAsia="lv-LV"/>
              </w:rPr>
              <w:tab/>
              <w:t>1% no Oracle datubāzes licences gada uzturēšanas maksas (935 EUR).</w:t>
            </w:r>
          </w:p>
          <w:p w14:paraId="7BF93CC6" w14:textId="77777777" w:rsidR="003C3652" w:rsidRPr="003154CE" w:rsidRDefault="003C3652" w:rsidP="003C3652">
            <w:pPr>
              <w:spacing w:after="0" w:line="240" w:lineRule="auto"/>
              <w:contextualSpacing/>
              <w:rPr>
                <w:rFonts w:eastAsia="Times New Roman"/>
                <w:sz w:val="24"/>
                <w:szCs w:val="24"/>
                <w:lang w:eastAsia="lv-LV"/>
              </w:rPr>
            </w:pPr>
          </w:p>
          <w:p w14:paraId="239D622E" w14:textId="77777777" w:rsidR="003C3652" w:rsidRPr="003154CE" w:rsidRDefault="003C3652" w:rsidP="003C3652">
            <w:pPr>
              <w:spacing w:after="0" w:line="240" w:lineRule="auto"/>
              <w:jc w:val="both"/>
              <w:rPr>
                <w:rFonts w:eastAsia="Times New Roman"/>
                <w:sz w:val="24"/>
                <w:szCs w:val="24"/>
                <w:lang w:eastAsia="lv-LV"/>
              </w:rPr>
            </w:pPr>
            <w:r w:rsidRPr="003154CE">
              <w:rPr>
                <w:rFonts w:eastAsia="Times New Roman"/>
                <w:sz w:val="24"/>
                <w:szCs w:val="24"/>
                <w:lang w:eastAsia="lv-LV"/>
              </w:rPr>
              <w:t>Izdevumi, kas saistīti ar papildus funkciju izpildi:</w:t>
            </w:r>
          </w:p>
          <w:p w14:paraId="67CC4810" w14:textId="77777777" w:rsidR="003C3652" w:rsidRPr="003154CE" w:rsidRDefault="003C3652" w:rsidP="003C3652">
            <w:pPr>
              <w:pStyle w:val="ListParagraph"/>
              <w:numPr>
                <w:ilvl w:val="0"/>
                <w:numId w:val="15"/>
              </w:numPr>
              <w:spacing w:after="0" w:line="240" w:lineRule="auto"/>
              <w:jc w:val="both"/>
              <w:rPr>
                <w:rFonts w:eastAsia="Times New Roman"/>
                <w:sz w:val="24"/>
                <w:szCs w:val="24"/>
                <w:lang w:eastAsia="lv-LV"/>
              </w:rPr>
            </w:pPr>
            <w:r w:rsidRPr="003154CE">
              <w:rPr>
                <w:rFonts w:eastAsia="Times New Roman"/>
                <w:sz w:val="24"/>
                <w:szCs w:val="24"/>
                <w:lang w:eastAsia="lv-LV"/>
              </w:rPr>
              <w:t xml:space="preserve"> 2020.gadā 45 683 EUR t.sk.:</w:t>
            </w:r>
          </w:p>
          <w:p w14:paraId="22F58759" w14:textId="0D5F3CB6" w:rsidR="003C3652" w:rsidRPr="003154CE" w:rsidRDefault="003C3652" w:rsidP="003C3652">
            <w:pPr>
              <w:pStyle w:val="ListParagraph"/>
              <w:spacing w:after="0" w:line="240" w:lineRule="auto"/>
              <w:ind w:left="360"/>
              <w:jc w:val="both"/>
              <w:rPr>
                <w:rFonts w:eastAsia="Times New Roman"/>
                <w:sz w:val="24"/>
                <w:szCs w:val="24"/>
                <w:lang w:eastAsia="lv-LV"/>
              </w:rPr>
            </w:pPr>
            <w:r w:rsidRPr="003154CE">
              <w:rPr>
                <w:rFonts w:eastAsia="Times New Roman"/>
                <w:sz w:val="24"/>
                <w:szCs w:val="24"/>
                <w:lang w:eastAsia="lv-LV"/>
              </w:rPr>
              <w:t>o 2 galveno juristu (21.saime, IV līmenis, 11.mēnešalgu grupa, 3.kategorija) atlīdzības izdevumi 43 517 EUR, t.sk. atalgojums 32 791 EUR, darba devēja valsts sociālās apdrošināšanas ob</w:t>
            </w:r>
            <w:r w:rsidR="003154CE" w:rsidRPr="003154CE">
              <w:rPr>
                <w:rFonts w:eastAsia="Times New Roman"/>
                <w:sz w:val="24"/>
                <w:szCs w:val="24"/>
                <w:lang w:eastAsia="lv-LV"/>
              </w:rPr>
              <w:t xml:space="preserve">ligātās </w:t>
            </w:r>
            <w:r w:rsidR="003154CE" w:rsidRPr="00110471">
              <w:rPr>
                <w:rFonts w:eastAsia="Times New Roman"/>
                <w:sz w:val="24"/>
                <w:szCs w:val="24"/>
                <w:lang w:eastAsia="lv-LV"/>
              </w:rPr>
              <w:t>iemaksas 8 44</w:t>
            </w:r>
            <w:r w:rsidRPr="00110471">
              <w:rPr>
                <w:rFonts w:eastAsia="Times New Roman"/>
                <w:sz w:val="24"/>
                <w:szCs w:val="24"/>
                <w:lang w:eastAsia="lv-LV"/>
              </w:rPr>
              <w:t>8</w:t>
            </w:r>
            <w:r w:rsidRPr="003154CE">
              <w:rPr>
                <w:rFonts w:eastAsia="Times New Roman"/>
                <w:sz w:val="24"/>
                <w:szCs w:val="24"/>
                <w:lang w:eastAsia="lv-LV"/>
              </w:rPr>
              <w:t xml:space="preserve"> EUR, sociālās garantijas 2 278 EUR;</w:t>
            </w:r>
          </w:p>
          <w:p w14:paraId="40562CA3" w14:textId="77777777" w:rsidR="003C3652" w:rsidRPr="003154CE" w:rsidRDefault="003C3652" w:rsidP="003C3652">
            <w:pPr>
              <w:pStyle w:val="ListParagraph"/>
              <w:spacing w:after="0" w:line="240" w:lineRule="auto"/>
              <w:ind w:left="360"/>
              <w:jc w:val="both"/>
              <w:rPr>
                <w:rFonts w:eastAsia="Times New Roman"/>
                <w:sz w:val="24"/>
                <w:szCs w:val="24"/>
                <w:lang w:eastAsia="lv-LV"/>
              </w:rPr>
            </w:pPr>
            <w:r w:rsidRPr="003154CE">
              <w:rPr>
                <w:rFonts w:eastAsia="Times New Roman"/>
                <w:sz w:val="24"/>
                <w:szCs w:val="24"/>
                <w:lang w:eastAsia="lv-LV"/>
              </w:rPr>
              <w:t>o informācijas sistēmās veikto izmaiņu uzturēšanas izdevumi 2 166 EUR;</w:t>
            </w:r>
          </w:p>
          <w:p w14:paraId="44FB31BF" w14:textId="77777777" w:rsidR="003C3652" w:rsidRPr="003154CE" w:rsidRDefault="003C3652" w:rsidP="003C3652">
            <w:pPr>
              <w:pStyle w:val="ListParagraph"/>
              <w:numPr>
                <w:ilvl w:val="0"/>
                <w:numId w:val="15"/>
              </w:numPr>
              <w:spacing w:after="0" w:line="240" w:lineRule="auto"/>
              <w:jc w:val="both"/>
              <w:rPr>
                <w:rFonts w:eastAsia="Times New Roman"/>
                <w:sz w:val="24"/>
                <w:szCs w:val="24"/>
                <w:lang w:eastAsia="lv-LV"/>
              </w:rPr>
            </w:pPr>
            <w:r w:rsidRPr="003154CE">
              <w:rPr>
                <w:rFonts w:eastAsia="Times New Roman"/>
                <w:sz w:val="24"/>
                <w:szCs w:val="24"/>
                <w:lang w:eastAsia="lv-LV"/>
              </w:rPr>
              <w:t>2021.gadā  110 957 EUR t.sk.:</w:t>
            </w:r>
          </w:p>
          <w:p w14:paraId="73B03FA1" w14:textId="77777777" w:rsidR="003C3652" w:rsidRPr="003154CE" w:rsidRDefault="003C3652" w:rsidP="003C3652">
            <w:pPr>
              <w:pStyle w:val="ListParagraph"/>
              <w:spacing w:after="0" w:line="240" w:lineRule="auto"/>
              <w:ind w:left="360"/>
              <w:jc w:val="both"/>
              <w:rPr>
                <w:rFonts w:eastAsia="Times New Roman"/>
                <w:sz w:val="24"/>
                <w:szCs w:val="24"/>
                <w:lang w:eastAsia="lv-LV"/>
              </w:rPr>
            </w:pPr>
            <w:r w:rsidRPr="003154CE">
              <w:rPr>
                <w:rFonts w:eastAsia="Times New Roman"/>
                <w:sz w:val="24"/>
                <w:szCs w:val="24"/>
                <w:lang w:eastAsia="lv-LV"/>
              </w:rPr>
              <w:t xml:space="preserve">o 5 galveno juristu (21.saime, IV līmenis, 11.mēnešalgu grupa, 3.kategorija) atlīdzības izdevumi 108 791 EUR, t.sk. atalgojums 81 977 EUR, darba devēja valsts sociālās apdrošināšanas obligātās iemaksas 21 120 EUR, sociālās </w:t>
            </w:r>
            <w:r w:rsidRPr="003154CE">
              <w:rPr>
                <w:rFonts w:eastAsia="Times New Roman"/>
                <w:sz w:val="24"/>
                <w:szCs w:val="24"/>
                <w:lang w:eastAsia="lv-LV"/>
              </w:rPr>
              <w:lastRenderedPageBreak/>
              <w:t>garantijas 5 694 EUR;</w:t>
            </w:r>
          </w:p>
          <w:p w14:paraId="4B85FC1F" w14:textId="77777777" w:rsidR="003C3652" w:rsidRPr="003154CE" w:rsidRDefault="003C3652" w:rsidP="003C3652">
            <w:pPr>
              <w:pStyle w:val="ListParagraph"/>
              <w:spacing w:after="0" w:line="240" w:lineRule="auto"/>
              <w:ind w:left="360"/>
              <w:jc w:val="both"/>
              <w:rPr>
                <w:rFonts w:eastAsia="Times New Roman"/>
                <w:sz w:val="24"/>
                <w:szCs w:val="24"/>
                <w:lang w:eastAsia="lv-LV"/>
              </w:rPr>
            </w:pPr>
            <w:r w:rsidRPr="003154CE">
              <w:rPr>
                <w:rFonts w:eastAsia="Times New Roman"/>
                <w:sz w:val="24"/>
                <w:szCs w:val="24"/>
                <w:lang w:eastAsia="lv-LV"/>
              </w:rPr>
              <w:t>o informācijas sistēmās veikto izmaiņu uzturēšanas izdevumi 2 166 EUR.</w:t>
            </w:r>
          </w:p>
          <w:p w14:paraId="6E261C2F" w14:textId="77777777" w:rsidR="003C3652" w:rsidRPr="003154CE" w:rsidRDefault="003C3652" w:rsidP="003C3652">
            <w:pPr>
              <w:pStyle w:val="ListParagraph"/>
              <w:numPr>
                <w:ilvl w:val="0"/>
                <w:numId w:val="15"/>
              </w:numPr>
              <w:spacing w:after="0" w:line="240" w:lineRule="auto"/>
              <w:jc w:val="both"/>
              <w:rPr>
                <w:rFonts w:eastAsia="Times New Roman"/>
                <w:sz w:val="24"/>
                <w:szCs w:val="24"/>
                <w:lang w:eastAsia="lv-LV"/>
              </w:rPr>
            </w:pPr>
            <w:r w:rsidRPr="003154CE">
              <w:rPr>
                <w:rFonts w:eastAsia="Times New Roman"/>
                <w:sz w:val="24"/>
                <w:szCs w:val="24"/>
                <w:lang w:eastAsia="lv-LV"/>
              </w:rPr>
              <w:t>2022.gadā  un turpmāk ik gadu 45 683 EUR t.sk.:</w:t>
            </w:r>
          </w:p>
          <w:p w14:paraId="471418A1" w14:textId="689317A4" w:rsidR="003C3652" w:rsidRPr="003154CE" w:rsidRDefault="003C3652" w:rsidP="003C3652">
            <w:pPr>
              <w:pStyle w:val="ListParagraph"/>
              <w:spacing w:after="0" w:line="240" w:lineRule="auto"/>
              <w:ind w:left="360"/>
              <w:jc w:val="both"/>
              <w:rPr>
                <w:rFonts w:eastAsia="Times New Roman"/>
                <w:sz w:val="24"/>
                <w:szCs w:val="24"/>
                <w:lang w:eastAsia="lv-LV"/>
              </w:rPr>
            </w:pPr>
            <w:r w:rsidRPr="003154CE">
              <w:rPr>
                <w:rFonts w:eastAsia="Times New Roman"/>
                <w:sz w:val="24"/>
                <w:szCs w:val="24"/>
                <w:lang w:eastAsia="lv-LV"/>
              </w:rPr>
              <w:t xml:space="preserve">o 2 galveno juristu (21.saime, IV līmenis, 11.mēnešalgu grupa, 3.kategorija) atlīdzības izdevumi 43 517 EUR, t.sk. atalgojums 32 791 EUR, darba devēja valsts sociālās apdrošināšanas obligātās iemaksas </w:t>
            </w:r>
            <w:r w:rsidRPr="00110471">
              <w:rPr>
                <w:rFonts w:eastAsia="Times New Roman"/>
                <w:sz w:val="24"/>
                <w:szCs w:val="24"/>
                <w:lang w:eastAsia="lv-LV"/>
              </w:rPr>
              <w:t>8 4</w:t>
            </w:r>
            <w:r w:rsidR="003154CE" w:rsidRPr="00110471">
              <w:rPr>
                <w:rFonts w:eastAsia="Times New Roman"/>
                <w:sz w:val="24"/>
                <w:szCs w:val="24"/>
                <w:lang w:eastAsia="lv-LV"/>
              </w:rPr>
              <w:t>4</w:t>
            </w:r>
            <w:r w:rsidRPr="00110471">
              <w:rPr>
                <w:rFonts w:eastAsia="Times New Roman"/>
                <w:sz w:val="24"/>
                <w:szCs w:val="24"/>
                <w:lang w:eastAsia="lv-LV"/>
              </w:rPr>
              <w:t>8</w:t>
            </w:r>
            <w:r w:rsidRPr="003154CE">
              <w:rPr>
                <w:rFonts w:eastAsia="Times New Roman"/>
                <w:sz w:val="24"/>
                <w:szCs w:val="24"/>
                <w:lang w:eastAsia="lv-LV"/>
              </w:rPr>
              <w:t xml:space="preserve"> EUR, sociālās garantijas 2 278 EUR;</w:t>
            </w:r>
          </w:p>
          <w:p w14:paraId="1923FC56" w14:textId="6901C582" w:rsidR="009F3800" w:rsidRPr="003154CE" w:rsidRDefault="003C3652" w:rsidP="003C3652">
            <w:pPr>
              <w:spacing w:after="0" w:line="240" w:lineRule="auto"/>
              <w:jc w:val="both"/>
              <w:rPr>
                <w:rFonts w:eastAsia="Times New Roman"/>
                <w:sz w:val="24"/>
                <w:szCs w:val="24"/>
                <w:lang w:eastAsia="lv-LV"/>
              </w:rPr>
            </w:pPr>
            <w:r w:rsidRPr="003154CE">
              <w:rPr>
                <w:rFonts w:eastAsia="Times New Roman"/>
                <w:sz w:val="24"/>
                <w:szCs w:val="24"/>
                <w:lang w:eastAsia="lv-LV"/>
              </w:rPr>
              <w:t xml:space="preserve">     o informācijas sistēmās veikto izmaiņu uzturēšanas izdevumi 2 166 EUR</w:t>
            </w:r>
            <w:r w:rsidR="009F3800" w:rsidRPr="003154CE">
              <w:rPr>
                <w:rFonts w:eastAsia="Times New Roman"/>
                <w:sz w:val="24"/>
                <w:szCs w:val="24"/>
                <w:lang w:eastAsia="lv-LV"/>
              </w:rPr>
              <w:t>.</w:t>
            </w:r>
          </w:p>
          <w:p w14:paraId="3CD5A347" w14:textId="2BB6A4B3" w:rsidR="00FF1CEB" w:rsidRPr="003154CE" w:rsidRDefault="00FF1CEB">
            <w:pPr>
              <w:spacing w:after="0" w:line="240" w:lineRule="auto"/>
              <w:jc w:val="both"/>
              <w:rPr>
                <w:sz w:val="24"/>
                <w:szCs w:val="24"/>
              </w:rPr>
            </w:pPr>
          </w:p>
        </w:tc>
      </w:tr>
      <w:tr w:rsidR="005F5D0D" w:rsidRPr="005F5D0D" w14:paraId="48CAA11B" w14:textId="77777777" w:rsidTr="004F4A43">
        <w:trPr>
          <w:tblCellSpacing w:w="15" w:type="dxa"/>
          <w:jc w:val="center"/>
        </w:trPr>
        <w:tc>
          <w:tcPr>
            <w:tcW w:w="2476" w:type="dxa"/>
            <w:tcBorders>
              <w:top w:val="outset" w:sz="6" w:space="0" w:color="auto"/>
              <w:left w:val="outset" w:sz="6" w:space="0" w:color="auto"/>
              <w:bottom w:val="outset" w:sz="6" w:space="0" w:color="auto"/>
              <w:right w:val="outset" w:sz="6" w:space="0" w:color="auto"/>
            </w:tcBorders>
            <w:vAlign w:val="center"/>
            <w:hideMark/>
          </w:tcPr>
          <w:p w14:paraId="0A1E7337" w14:textId="5022107B" w:rsidR="003B1E11" w:rsidRPr="005F5D0D" w:rsidRDefault="000E56B2" w:rsidP="003B1E11">
            <w:pPr>
              <w:rPr>
                <w:sz w:val="24"/>
                <w:szCs w:val="24"/>
              </w:rPr>
            </w:pPr>
            <w:r w:rsidRPr="005F5D0D">
              <w:rPr>
                <w:sz w:val="24"/>
                <w:szCs w:val="24"/>
              </w:rPr>
              <w:lastRenderedPageBreak/>
              <w:t>6.1. detalizēts ieņēmumu aprēķins</w:t>
            </w:r>
          </w:p>
        </w:tc>
        <w:tc>
          <w:tcPr>
            <w:tcW w:w="8058" w:type="dxa"/>
            <w:gridSpan w:val="7"/>
            <w:vMerge/>
            <w:tcBorders>
              <w:top w:val="outset" w:sz="6" w:space="0" w:color="auto"/>
              <w:left w:val="outset" w:sz="6" w:space="0" w:color="auto"/>
              <w:bottom w:val="outset" w:sz="6" w:space="0" w:color="auto"/>
              <w:right w:val="outset" w:sz="6" w:space="0" w:color="auto"/>
            </w:tcBorders>
            <w:vAlign w:val="center"/>
            <w:hideMark/>
          </w:tcPr>
          <w:p w14:paraId="4D36C259" w14:textId="77777777" w:rsidR="003B1E11" w:rsidRPr="003154CE" w:rsidRDefault="003B1E11" w:rsidP="003B1E11">
            <w:pPr>
              <w:rPr>
                <w:sz w:val="24"/>
                <w:szCs w:val="24"/>
              </w:rPr>
            </w:pPr>
          </w:p>
        </w:tc>
      </w:tr>
      <w:tr w:rsidR="005F5D0D" w:rsidRPr="005F5D0D" w14:paraId="5A4705EC" w14:textId="77777777" w:rsidTr="004F4A43">
        <w:trPr>
          <w:tblCellSpacing w:w="15" w:type="dxa"/>
          <w:jc w:val="center"/>
        </w:trPr>
        <w:tc>
          <w:tcPr>
            <w:tcW w:w="2476" w:type="dxa"/>
            <w:tcBorders>
              <w:top w:val="outset" w:sz="6" w:space="0" w:color="auto"/>
              <w:left w:val="outset" w:sz="6" w:space="0" w:color="auto"/>
              <w:bottom w:val="outset" w:sz="6" w:space="0" w:color="auto"/>
              <w:right w:val="outset" w:sz="6" w:space="0" w:color="auto"/>
            </w:tcBorders>
            <w:vAlign w:val="center"/>
            <w:hideMark/>
          </w:tcPr>
          <w:p w14:paraId="20935B4F" w14:textId="77777777" w:rsidR="003B1E11" w:rsidRPr="005F5D0D" w:rsidRDefault="000E56B2" w:rsidP="003B1E11">
            <w:pPr>
              <w:rPr>
                <w:sz w:val="24"/>
                <w:szCs w:val="24"/>
              </w:rPr>
            </w:pPr>
            <w:r w:rsidRPr="005F5D0D">
              <w:rPr>
                <w:sz w:val="24"/>
                <w:szCs w:val="24"/>
              </w:rPr>
              <w:t>6.2. detalizēts izdevumu aprēķins</w:t>
            </w:r>
          </w:p>
        </w:tc>
        <w:tc>
          <w:tcPr>
            <w:tcW w:w="8058" w:type="dxa"/>
            <w:gridSpan w:val="7"/>
            <w:vMerge/>
            <w:tcBorders>
              <w:top w:val="outset" w:sz="6" w:space="0" w:color="auto"/>
              <w:left w:val="outset" w:sz="6" w:space="0" w:color="auto"/>
              <w:bottom w:val="outset" w:sz="6" w:space="0" w:color="auto"/>
              <w:right w:val="outset" w:sz="6" w:space="0" w:color="auto"/>
            </w:tcBorders>
            <w:vAlign w:val="center"/>
            <w:hideMark/>
          </w:tcPr>
          <w:p w14:paraId="502298A6" w14:textId="77777777" w:rsidR="003B1E11" w:rsidRPr="003154CE" w:rsidRDefault="003B1E11" w:rsidP="003B1E11">
            <w:pPr>
              <w:rPr>
                <w:sz w:val="24"/>
                <w:szCs w:val="24"/>
              </w:rPr>
            </w:pPr>
          </w:p>
        </w:tc>
      </w:tr>
      <w:tr w:rsidR="005F5D0D" w:rsidRPr="005F5D0D" w14:paraId="3DEE93EE" w14:textId="77777777" w:rsidTr="004F4A43">
        <w:trPr>
          <w:tblCellSpacing w:w="15" w:type="dxa"/>
          <w:jc w:val="center"/>
        </w:trPr>
        <w:tc>
          <w:tcPr>
            <w:tcW w:w="2476" w:type="dxa"/>
            <w:tcBorders>
              <w:top w:val="outset" w:sz="6" w:space="0" w:color="auto"/>
              <w:left w:val="outset" w:sz="6" w:space="0" w:color="auto"/>
              <w:bottom w:val="outset" w:sz="6" w:space="0" w:color="auto"/>
              <w:right w:val="outset" w:sz="6" w:space="0" w:color="auto"/>
            </w:tcBorders>
            <w:vAlign w:val="center"/>
            <w:hideMark/>
          </w:tcPr>
          <w:p w14:paraId="71BB24F8" w14:textId="77777777" w:rsidR="003B1E11" w:rsidRPr="005F5D0D" w:rsidRDefault="000E56B2" w:rsidP="003B1E11">
            <w:pPr>
              <w:rPr>
                <w:sz w:val="24"/>
                <w:szCs w:val="24"/>
              </w:rPr>
            </w:pPr>
            <w:r w:rsidRPr="005F5D0D">
              <w:rPr>
                <w:sz w:val="24"/>
                <w:szCs w:val="24"/>
              </w:rPr>
              <w:lastRenderedPageBreak/>
              <w:t>7. Amata vietu skaita izmaiņas</w:t>
            </w:r>
          </w:p>
        </w:tc>
        <w:tc>
          <w:tcPr>
            <w:tcW w:w="8058" w:type="dxa"/>
            <w:gridSpan w:val="7"/>
            <w:tcBorders>
              <w:top w:val="outset" w:sz="6" w:space="0" w:color="auto"/>
              <w:left w:val="outset" w:sz="6" w:space="0" w:color="auto"/>
              <w:bottom w:val="outset" w:sz="6" w:space="0" w:color="auto"/>
              <w:right w:val="outset" w:sz="6" w:space="0" w:color="auto"/>
            </w:tcBorders>
            <w:vAlign w:val="center"/>
            <w:hideMark/>
          </w:tcPr>
          <w:p w14:paraId="33863010" w14:textId="0D961343" w:rsidR="003B1E11" w:rsidRPr="003154CE" w:rsidRDefault="003C3652" w:rsidP="003C3652">
            <w:pPr>
              <w:spacing w:after="0" w:line="240" w:lineRule="auto"/>
              <w:jc w:val="both"/>
              <w:rPr>
                <w:sz w:val="24"/>
                <w:szCs w:val="24"/>
              </w:rPr>
            </w:pPr>
            <w:r w:rsidRPr="003154CE">
              <w:rPr>
                <w:sz w:val="24"/>
                <w:szCs w:val="24"/>
              </w:rPr>
              <w:t>Tiks izveidotas 5 jaunas amata vietas, nepalielinot kopējo amata vietu skaitu Valsts ieņēmumu dienestā.</w:t>
            </w:r>
          </w:p>
        </w:tc>
      </w:tr>
      <w:tr w:rsidR="005F5D0D" w:rsidRPr="005F5D0D" w14:paraId="5B6A36D6" w14:textId="77777777" w:rsidTr="004F4A43">
        <w:trPr>
          <w:tblCellSpacing w:w="15" w:type="dxa"/>
          <w:jc w:val="center"/>
        </w:trPr>
        <w:tc>
          <w:tcPr>
            <w:tcW w:w="2476" w:type="dxa"/>
            <w:tcBorders>
              <w:top w:val="outset" w:sz="6" w:space="0" w:color="auto"/>
              <w:left w:val="outset" w:sz="6" w:space="0" w:color="auto"/>
              <w:bottom w:val="outset" w:sz="6" w:space="0" w:color="auto"/>
              <w:right w:val="outset" w:sz="6" w:space="0" w:color="auto"/>
            </w:tcBorders>
            <w:vAlign w:val="center"/>
            <w:hideMark/>
          </w:tcPr>
          <w:p w14:paraId="04ADDB32" w14:textId="77777777" w:rsidR="003B1E11" w:rsidRPr="005F5D0D" w:rsidRDefault="000E56B2" w:rsidP="003B1E11">
            <w:pPr>
              <w:rPr>
                <w:sz w:val="24"/>
                <w:szCs w:val="24"/>
              </w:rPr>
            </w:pPr>
            <w:r w:rsidRPr="005F5D0D">
              <w:rPr>
                <w:sz w:val="24"/>
                <w:szCs w:val="24"/>
              </w:rPr>
              <w:t>8. Cita informācija</w:t>
            </w:r>
          </w:p>
        </w:tc>
        <w:tc>
          <w:tcPr>
            <w:tcW w:w="8058" w:type="dxa"/>
            <w:gridSpan w:val="7"/>
            <w:tcBorders>
              <w:top w:val="outset" w:sz="6" w:space="0" w:color="auto"/>
              <w:left w:val="outset" w:sz="6" w:space="0" w:color="auto"/>
              <w:bottom w:val="outset" w:sz="6" w:space="0" w:color="auto"/>
              <w:right w:val="outset" w:sz="6" w:space="0" w:color="auto"/>
            </w:tcBorders>
            <w:vAlign w:val="center"/>
            <w:hideMark/>
          </w:tcPr>
          <w:p w14:paraId="54EB9E63" w14:textId="77777777" w:rsidR="003C3652" w:rsidRPr="003154CE" w:rsidRDefault="003C3652" w:rsidP="003C3652">
            <w:pPr>
              <w:spacing w:after="0" w:line="240" w:lineRule="auto"/>
              <w:jc w:val="both"/>
              <w:rPr>
                <w:sz w:val="24"/>
                <w:szCs w:val="24"/>
              </w:rPr>
            </w:pPr>
            <w:r w:rsidRPr="003154CE">
              <w:rPr>
                <w:sz w:val="24"/>
                <w:szCs w:val="24"/>
              </w:rPr>
              <w:t xml:space="preserve">Izmaiņu iestrādei VID informācijas sistēmās nepieciešamais finansējums 2019.gadā </w:t>
            </w:r>
            <w:r w:rsidRPr="003154CE">
              <w:rPr>
                <w:b/>
                <w:sz w:val="24"/>
                <w:szCs w:val="24"/>
              </w:rPr>
              <w:t>41 036 EUR</w:t>
            </w:r>
            <w:r w:rsidRPr="003154CE">
              <w:rPr>
                <w:sz w:val="24"/>
                <w:szCs w:val="24"/>
              </w:rPr>
              <w:t xml:space="preserve"> apmērā tiks nodrošināts Finanšu ministrijas budžeta programmas 33.00.00 “Valsts ieņēmumu un muitas politikas nodrošināšana” ietvaros.</w:t>
            </w:r>
          </w:p>
          <w:p w14:paraId="1CBEB674" w14:textId="4D9CAE6B" w:rsidR="00D915E3" w:rsidRPr="003154CE" w:rsidRDefault="003C3652" w:rsidP="00790A4A">
            <w:pPr>
              <w:spacing w:after="0" w:line="240" w:lineRule="auto"/>
              <w:jc w:val="both"/>
              <w:rPr>
                <w:sz w:val="24"/>
                <w:szCs w:val="24"/>
              </w:rPr>
            </w:pPr>
            <w:r w:rsidRPr="003154CE">
              <w:rPr>
                <w:sz w:val="24"/>
                <w:szCs w:val="24"/>
              </w:rPr>
              <w:t>Finanšu ministrijai pēc grozījumu likumā “Par grāmatvedību” pieņemšanas palielināt ieņēmumu prognozi no valsts nodevas par grāmatvedības ārpakalpojuma sniedzēju licencēšanu 2020. gadā 144 000 euro, 2021.gadā 583 200 euro, 2022.gadā 78 800 euro, 2023. un turpmākajiem gadiem par 50 000 euro ik gadu, vienlaikus palielinot dotāciju no vispārējiem ieņēmumiem un izdevumus Finanšu ministrijas budžeta programmā 33.00.00 “Valsts ieņēmumu un muitas politikas nodrošināšana” 2020.gadam 45 683 EUR, 2021.gadam  110 957 EUR, 2022.gadam un turpmākajiem gadiem 45 683 EUR apmērā ik gadu, lai Valsts ieņēmumu dienests nodrošinātu grāmatvedības ārpakalpojuma sniedzēju licencēšanu.</w:t>
            </w:r>
          </w:p>
        </w:tc>
      </w:tr>
    </w:tbl>
    <w:p w14:paraId="14C6A083" w14:textId="77777777" w:rsidR="00666D74" w:rsidRPr="005F5D0D" w:rsidRDefault="00666D74" w:rsidP="000D2356">
      <w:pPr>
        <w:widowControl/>
        <w:spacing w:before="100" w:beforeAutospacing="1" w:after="0" w:line="240" w:lineRule="auto"/>
        <w:rPr>
          <w:rFonts w:eastAsia="Times New Roman"/>
          <w:iCs/>
          <w:sz w:val="24"/>
          <w:szCs w:val="24"/>
          <w:lang w:eastAsia="lv-LV"/>
        </w:rPr>
      </w:pPr>
    </w:p>
    <w:tbl>
      <w:tblPr>
        <w:tblW w:w="10773" w:type="dxa"/>
        <w:tblCellSpacing w:w="15" w:type="dxa"/>
        <w:tblInd w:w="-57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25"/>
        <w:gridCol w:w="3493"/>
        <w:gridCol w:w="6855"/>
      </w:tblGrid>
      <w:tr w:rsidR="005F5D0D" w:rsidRPr="005F5D0D" w14:paraId="189F2668" w14:textId="77777777" w:rsidTr="004F4A43">
        <w:trPr>
          <w:tblCellSpacing w:w="15" w:type="dxa"/>
        </w:trPr>
        <w:tc>
          <w:tcPr>
            <w:tcW w:w="10713" w:type="dxa"/>
            <w:gridSpan w:val="3"/>
            <w:tcBorders>
              <w:top w:val="outset" w:sz="6" w:space="0" w:color="auto"/>
              <w:left w:val="outset" w:sz="6" w:space="0" w:color="auto"/>
              <w:bottom w:val="outset" w:sz="6" w:space="0" w:color="auto"/>
              <w:right w:val="outset" w:sz="6" w:space="0" w:color="auto"/>
            </w:tcBorders>
            <w:hideMark/>
          </w:tcPr>
          <w:p w14:paraId="2308833B" w14:textId="77777777" w:rsidR="004D6185" w:rsidRPr="005F5D0D" w:rsidRDefault="000E56B2" w:rsidP="004D6185">
            <w:pPr>
              <w:widowControl/>
              <w:spacing w:before="100" w:beforeAutospacing="1" w:after="0" w:line="240" w:lineRule="auto"/>
              <w:rPr>
                <w:rFonts w:eastAsia="Times New Roman"/>
                <w:b/>
                <w:bCs/>
                <w:iCs/>
                <w:sz w:val="24"/>
                <w:szCs w:val="24"/>
                <w:lang w:eastAsia="lv-LV"/>
              </w:rPr>
            </w:pPr>
            <w:r w:rsidRPr="005F5D0D">
              <w:rPr>
                <w:rFonts w:eastAsia="Times New Roman"/>
                <w:b/>
                <w:bCs/>
                <w:iCs/>
                <w:sz w:val="24"/>
                <w:szCs w:val="24"/>
                <w:lang w:eastAsia="lv-LV"/>
              </w:rPr>
              <w:t>IV. Tiesību akta projekta ietekme uz spēkā esošo tiesību normu sistēmu</w:t>
            </w:r>
          </w:p>
        </w:tc>
      </w:tr>
      <w:tr w:rsidR="005F5D0D" w:rsidRPr="005F5D0D" w14:paraId="57A163E7" w14:textId="77777777" w:rsidTr="004F4A43">
        <w:trPr>
          <w:tblCellSpacing w:w="15" w:type="dxa"/>
        </w:trPr>
        <w:tc>
          <w:tcPr>
            <w:tcW w:w="380" w:type="dxa"/>
            <w:tcBorders>
              <w:top w:val="outset" w:sz="6" w:space="0" w:color="auto"/>
              <w:left w:val="outset" w:sz="6" w:space="0" w:color="auto"/>
              <w:bottom w:val="outset" w:sz="6" w:space="0" w:color="auto"/>
              <w:right w:val="outset" w:sz="6" w:space="0" w:color="auto"/>
            </w:tcBorders>
            <w:hideMark/>
          </w:tcPr>
          <w:p w14:paraId="2C91318F" w14:textId="77777777" w:rsidR="004D6185" w:rsidRPr="005F5D0D" w:rsidRDefault="000E56B2" w:rsidP="008B01AB">
            <w:pPr>
              <w:spacing w:before="100" w:beforeAutospacing="1" w:after="100" w:afterAutospacing="1" w:line="240" w:lineRule="auto"/>
              <w:rPr>
                <w:rFonts w:eastAsia="Times New Roman"/>
                <w:sz w:val="24"/>
                <w:szCs w:val="24"/>
                <w:lang w:eastAsia="lv-LV"/>
              </w:rPr>
            </w:pPr>
            <w:r w:rsidRPr="005F5D0D">
              <w:rPr>
                <w:rFonts w:eastAsia="Times New Roman"/>
                <w:sz w:val="24"/>
                <w:szCs w:val="24"/>
                <w:lang w:eastAsia="lv-LV"/>
              </w:rPr>
              <w:t>1.</w:t>
            </w:r>
          </w:p>
        </w:tc>
        <w:tc>
          <w:tcPr>
            <w:tcW w:w="3463" w:type="dxa"/>
            <w:tcBorders>
              <w:top w:val="outset" w:sz="6" w:space="0" w:color="auto"/>
              <w:left w:val="outset" w:sz="6" w:space="0" w:color="auto"/>
              <w:bottom w:val="outset" w:sz="6" w:space="0" w:color="auto"/>
              <w:right w:val="outset" w:sz="6" w:space="0" w:color="auto"/>
            </w:tcBorders>
            <w:hideMark/>
          </w:tcPr>
          <w:p w14:paraId="59270341" w14:textId="77777777" w:rsidR="004D6185" w:rsidRPr="005F5D0D" w:rsidRDefault="000E56B2" w:rsidP="00A86B6B">
            <w:pPr>
              <w:spacing w:after="0" w:line="240" w:lineRule="auto"/>
              <w:rPr>
                <w:rFonts w:eastAsia="Times New Roman"/>
                <w:sz w:val="24"/>
                <w:szCs w:val="24"/>
                <w:lang w:eastAsia="lv-LV"/>
              </w:rPr>
            </w:pPr>
            <w:r w:rsidRPr="005F5D0D">
              <w:rPr>
                <w:rFonts w:eastAsia="Times New Roman"/>
                <w:sz w:val="24"/>
                <w:szCs w:val="24"/>
                <w:lang w:eastAsia="lv-LV"/>
              </w:rPr>
              <w:t>Saistītie tiesību aktu projekti</w:t>
            </w:r>
          </w:p>
        </w:tc>
        <w:tc>
          <w:tcPr>
            <w:tcW w:w="6810" w:type="dxa"/>
            <w:tcBorders>
              <w:top w:val="outset" w:sz="6" w:space="0" w:color="auto"/>
              <w:left w:val="outset" w:sz="6" w:space="0" w:color="auto"/>
              <w:bottom w:val="outset" w:sz="6" w:space="0" w:color="auto"/>
              <w:right w:val="outset" w:sz="6" w:space="0" w:color="auto"/>
            </w:tcBorders>
            <w:hideMark/>
          </w:tcPr>
          <w:p w14:paraId="2F628ABC" w14:textId="1175721C" w:rsidR="0035751F" w:rsidRPr="005F5D0D" w:rsidRDefault="0055659A" w:rsidP="0055659A">
            <w:pPr>
              <w:spacing w:after="0" w:line="240" w:lineRule="auto"/>
              <w:jc w:val="both"/>
              <w:rPr>
                <w:rFonts w:eastAsia="Times New Roman"/>
                <w:sz w:val="24"/>
                <w:szCs w:val="24"/>
                <w:lang w:eastAsia="lv-LV"/>
              </w:rPr>
            </w:pPr>
            <w:r>
              <w:rPr>
                <w:iCs/>
                <w:sz w:val="24"/>
                <w:szCs w:val="24"/>
              </w:rPr>
              <w:t xml:space="preserve">Finanšu ministrijai </w:t>
            </w:r>
            <w:r w:rsidR="00677776" w:rsidRPr="005F5D0D">
              <w:rPr>
                <w:rFonts w:eastAsia="Times New Roman"/>
                <w:sz w:val="24"/>
                <w:szCs w:val="24"/>
                <w:lang w:eastAsia="lv-LV"/>
              </w:rPr>
              <w:t xml:space="preserve">jāizstrādā </w:t>
            </w:r>
            <w:r w:rsidRPr="005F5D0D">
              <w:rPr>
                <w:rFonts w:eastAsia="Times New Roman"/>
                <w:sz w:val="24"/>
                <w:szCs w:val="24"/>
                <w:lang w:eastAsia="lv-LV"/>
              </w:rPr>
              <w:t xml:space="preserve">Ministru kabineta </w:t>
            </w:r>
            <w:r w:rsidR="00677776" w:rsidRPr="005F5D0D">
              <w:rPr>
                <w:rFonts w:eastAsia="Times New Roman"/>
                <w:sz w:val="24"/>
                <w:szCs w:val="24"/>
                <w:lang w:eastAsia="lv-LV"/>
              </w:rPr>
              <w:t>noteikumu projekts</w:t>
            </w:r>
            <w:r w:rsidR="00145861">
              <w:rPr>
                <w:rFonts w:eastAsia="Times New Roman"/>
                <w:sz w:val="24"/>
                <w:szCs w:val="24"/>
                <w:lang w:eastAsia="lv-LV"/>
              </w:rPr>
              <w:t xml:space="preserve"> (saskaņā ar likuma “Par grāmatvedību” 15,</w:t>
            </w:r>
            <w:r w:rsidR="00145861">
              <w:rPr>
                <w:rFonts w:eastAsia="Times New Roman"/>
                <w:sz w:val="24"/>
                <w:szCs w:val="24"/>
                <w:vertAlign w:val="superscript"/>
                <w:lang w:eastAsia="lv-LV"/>
              </w:rPr>
              <w:t xml:space="preserve">3 </w:t>
            </w:r>
            <w:r w:rsidR="00145861">
              <w:rPr>
                <w:rFonts w:eastAsia="Times New Roman"/>
                <w:sz w:val="24"/>
                <w:szCs w:val="24"/>
                <w:lang w:eastAsia="lv-LV"/>
              </w:rPr>
              <w:t>panta trešo</w:t>
            </w:r>
            <w:r w:rsidR="00D04D09">
              <w:rPr>
                <w:rFonts w:eastAsia="Times New Roman"/>
                <w:sz w:val="24"/>
                <w:szCs w:val="24"/>
                <w:lang w:eastAsia="lv-LV"/>
              </w:rPr>
              <w:t xml:space="preserve"> un ceturto</w:t>
            </w:r>
            <w:r w:rsidR="00145861">
              <w:rPr>
                <w:rFonts w:eastAsia="Times New Roman"/>
                <w:sz w:val="24"/>
                <w:szCs w:val="24"/>
                <w:lang w:eastAsia="lv-LV"/>
              </w:rPr>
              <w:t xml:space="preserve"> daļu)</w:t>
            </w:r>
            <w:r w:rsidR="00677776" w:rsidRPr="005F5D0D">
              <w:rPr>
                <w:rFonts w:eastAsia="Times New Roman"/>
                <w:sz w:val="24"/>
                <w:szCs w:val="24"/>
                <w:lang w:eastAsia="lv-LV"/>
              </w:rPr>
              <w:t>, aptverot šādus jautājumus attiecībā uz ārpakalpojumu grāmatvežu licencēšanu</w:t>
            </w:r>
          </w:p>
          <w:p w14:paraId="4A0B873D" w14:textId="58B3409A" w:rsidR="0035751F" w:rsidRPr="005F5D0D" w:rsidRDefault="0035751F" w:rsidP="00D97FBA">
            <w:pPr>
              <w:spacing w:after="0" w:line="240" w:lineRule="auto"/>
              <w:ind w:left="170" w:hanging="170"/>
              <w:jc w:val="both"/>
              <w:rPr>
                <w:sz w:val="24"/>
                <w:szCs w:val="24"/>
              </w:rPr>
            </w:pPr>
            <w:r w:rsidRPr="003154CE">
              <w:rPr>
                <w:sz w:val="26"/>
                <w:szCs w:val="26"/>
              </w:rPr>
              <w:t>-</w:t>
            </w:r>
            <w:r w:rsidR="008C294F" w:rsidRPr="003154CE">
              <w:rPr>
                <w:sz w:val="26"/>
                <w:szCs w:val="26"/>
              </w:rPr>
              <w:t xml:space="preserve"> </w:t>
            </w:r>
            <w:r w:rsidRPr="003154CE">
              <w:rPr>
                <w:sz w:val="24"/>
                <w:szCs w:val="24"/>
              </w:rPr>
              <w:t>licences izsniegšanas, atjaunošanas,</w:t>
            </w:r>
            <w:r w:rsidR="00113B3F" w:rsidRPr="003154CE">
              <w:rPr>
                <w:sz w:val="24"/>
                <w:szCs w:val="24"/>
              </w:rPr>
              <w:t xml:space="preserve"> pārreģistrācijas</w:t>
            </w:r>
            <w:r w:rsidR="00231D32" w:rsidRPr="003154CE">
              <w:rPr>
                <w:sz w:val="24"/>
                <w:szCs w:val="24"/>
              </w:rPr>
              <w:t>,</w:t>
            </w:r>
            <w:r w:rsidRPr="003154CE">
              <w:rPr>
                <w:sz w:val="24"/>
                <w:szCs w:val="24"/>
              </w:rPr>
              <w:t xml:space="preserve"> apturēšanas</w:t>
            </w:r>
            <w:r w:rsidR="008C294F" w:rsidRPr="005F5D0D">
              <w:rPr>
                <w:sz w:val="24"/>
                <w:szCs w:val="24"/>
              </w:rPr>
              <w:t xml:space="preserve"> </w:t>
            </w:r>
            <w:r w:rsidRPr="005F5D0D">
              <w:rPr>
                <w:sz w:val="24"/>
                <w:szCs w:val="24"/>
              </w:rPr>
              <w:t>un anulēšanas kārtību;</w:t>
            </w:r>
          </w:p>
          <w:p w14:paraId="050383E3" w14:textId="7354448B" w:rsidR="0035751F" w:rsidRPr="005F5D0D" w:rsidRDefault="0035751F" w:rsidP="00D97FBA">
            <w:pPr>
              <w:widowControl/>
              <w:spacing w:after="0" w:line="240" w:lineRule="auto"/>
              <w:ind w:left="164" w:hanging="170"/>
              <w:jc w:val="both"/>
              <w:rPr>
                <w:sz w:val="24"/>
                <w:szCs w:val="24"/>
              </w:rPr>
            </w:pPr>
            <w:r w:rsidRPr="005F5D0D">
              <w:rPr>
                <w:sz w:val="24"/>
                <w:szCs w:val="24"/>
              </w:rPr>
              <w:t>-</w:t>
            </w:r>
            <w:r w:rsidR="008C294F" w:rsidRPr="005F5D0D">
              <w:rPr>
                <w:sz w:val="24"/>
                <w:szCs w:val="24"/>
              </w:rPr>
              <w:t xml:space="preserve"> </w:t>
            </w:r>
            <w:r w:rsidRPr="005F5D0D">
              <w:rPr>
                <w:sz w:val="24"/>
                <w:szCs w:val="24"/>
              </w:rPr>
              <w:t xml:space="preserve">ierobežojumus licences saņemšanai, licences izsniedzošās institūcijas lēmumu apstrīdēšanas kārtību; </w:t>
            </w:r>
          </w:p>
          <w:p w14:paraId="72E7493E" w14:textId="16712026" w:rsidR="0035751F" w:rsidRPr="005F5D0D" w:rsidRDefault="0035751F" w:rsidP="00D97FBA">
            <w:pPr>
              <w:widowControl/>
              <w:spacing w:after="0" w:line="240" w:lineRule="auto"/>
              <w:jc w:val="both"/>
              <w:rPr>
                <w:sz w:val="26"/>
                <w:szCs w:val="26"/>
              </w:rPr>
            </w:pPr>
            <w:r w:rsidRPr="005F5D0D">
              <w:rPr>
                <w:sz w:val="24"/>
                <w:szCs w:val="24"/>
              </w:rPr>
              <w:t>-</w:t>
            </w:r>
            <w:r w:rsidR="008C294F" w:rsidRPr="005F5D0D">
              <w:rPr>
                <w:sz w:val="24"/>
                <w:szCs w:val="24"/>
              </w:rPr>
              <w:t xml:space="preserve"> </w:t>
            </w:r>
            <w:r w:rsidRPr="005F5D0D">
              <w:rPr>
                <w:sz w:val="24"/>
                <w:szCs w:val="24"/>
              </w:rPr>
              <w:t>valsts nodevas apmēru un maksāšanas kārtību</w:t>
            </w:r>
            <w:r w:rsidRPr="005F5D0D">
              <w:rPr>
                <w:sz w:val="26"/>
                <w:szCs w:val="26"/>
              </w:rPr>
              <w:t xml:space="preserve">. </w:t>
            </w:r>
          </w:p>
          <w:p w14:paraId="01D4B145" w14:textId="460E497B" w:rsidR="004D6185" w:rsidRPr="005F5D0D" w:rsidRDefault="004D6185" w:rsidP="00D97FBA">
            <w:pPr>
              <w:rPr>
                <w:lang w:eastAsia="lv-LV"/>
              </w:rPr>
            </w:pPr>
          </w:p>
        </w:tc>
      </w:tr>
      <w:tr w:rsidR="005F5D0D" w:rsidRPr="005F5D0D" w14:paraId="5841807F" w14:textId="77777777" w:rsidTr="004F4A43">
        <w:trPr>
          <w:tblCellSpacing w:w="15" w:type="dxa"/>
        </w:trPr>
        <w:tc>
          <w:tcPr>
            <w:tcW w:w="380" w:type="dxa"/>
            <w:tcBorders>
              <w:top w:val="outset" w:sz="6" w:space="0" w:color="auto"/>
              <w:left w:val="outset" w:sz="6" w:space="0" w:color="auto"/>
              <w:bottom w:val="outset" w:sz="6" w:space="0" w:color="auto"/>
              <w:right w:val="outset" w:sz="6" w:space="0" w:color="auto"/>
            </w:tcBorders>
            <w:hideMark/>
          </w:tcPr>
          <w:p w14:paraId="65828BD4" w14:textId="77777777" w:rsidR="004D6185" w:rsidRPr="005F5D0D" w:rsidRDefault="000E56B2" w:rsidP="008B01AB">
            <w:pPr>
              <w:spacing w:before="100" w:beforeAutospacing="1" w:after="100" w:afterAutospacing="1" w:line="240" w:lineRule="auto"/>
              <w:rPr>
                <w:rFonts w:eastAsia="Times New Roman"/>
                <w:sz w:val="24"/>
                <w:szCs w:val="24"/>
                <w:lang w:eastAsia="lv-LV"/>
              </w:rPr>
            </w:pPr>
            <w:r w:rsidRPr="005F5D0D">
              <w:rPr>
                <w:rFonts w:eastAsia="Times New Roman"/>
                <w:sz w:val="24"/>
                <w:szCs w:val="24"/>
                <w:lang w:eastAsia="lv-LV"/>
              </w:rPr>
              <w:t>2.</w:t>
            </w:r>
          </w:p>
        </w:tc>
        <w:tc>
          <w:tcPr>
            <w:tcW w:w="3463" w:type="dxa"/>
            <w:tcBorders>
              <w:top w:val="outset" w:sz="6" w:space="0" w:color="auto"/>
              <w:left w:val="outset" w:sz="6" w:space="0" w:color="auto"/>
              <w:bottom w:val="outset" w:sz="6" w:space="0" w:color="auto"/>
              <w:right w:val="outset" w:sz="6" w:space="0" w:color="auto"/>
            </w:tcBorders>
            <w:hideMark/>
          </w:tcPr>
          <w:p w14:paraId="5C3B3EF9" w14:textId="77777777" w:rsidR="004D6185" w:rsidRPr="005F5D0D" w:rsidRDefault="000E56B2" w:rsidP="00A86B6B">
            <w:pPr>
              <w:spacing w:after="0" w:line="240" w:lineRule="auto"/>
              <w:rPr>
                <w:rFonts w:eastAsia="Times New Roman"/>
                <w:sz w:val="24"/>
                <w:szCs w:val="24"/>
                <w:lang w:eastAsia="lv-LV"/>
              </w:rPr>
            </w:pPr>
            <w:r w:rsidRPr="005F5D0D">
              <w:rPr>
                <w:rFonts w:eastAsia="Times New Roman"/>
                <w:sz w:val="24"/>
                <w:szCs w:val="24"/>
                <w:lang w:eastAsia="lv-LV"/>
              </w:rPr>
              <w:t>Atbildīgā institūcija</w:t>
            </w:r>
          </w:p>
        </w:tc>
        <w:tc>
          <w:tcPr>
            <w:tcW w:w="6810" w:type="dxa"/>
            <w:tcBorders>
              <w:top w:val="outset" w:sz="6" w:space="0" w:color="auto"/>
              <w:left w:val="outset" w:sz="6" w:space="0" w:color="auto"/>
              <w:bottom w:val="outset" w:sz="6" w:space="0" w:color="auto"/>
              <w:right w:val="outset" w:sz="6" w:space="0" w:color="auto"/>
            </w:tcBorders>
            <w:hideMark/>
          </w:tcPr>
          <w:p w14:paraId="67EBB311" w14:textId="77777777" w:rsidR="004D6185" w:rsidRPr="005F5D0D" w:rsidRDefault="000E56B2" w:rsidP="00D97FBA">
            <w:pPr>
              <w:spacing w:after="0" w:line="240" w:lineRule="auto"/>
              <w:rPr>
                <w:rFonts w:eastAsia="Times New Roman"/>
                <w:sz w:val="24"/>
                <w:szCs w:val="24"/>
                <w:lang w:eastAsia="lv-LV"/>
              </w:rPr>
            </w:pPr>
            <w:r w:rsidRPr="005F5D0D">
              <w:rPr>
                <w:rFonts w:eastAsia="Times New Roman"/>
                <w:sz w:val="24"/>
                <w:szCs w:val="24"/>
                <w:lang w:eastAsia="lv-LV"/>
              </w:rPr>
              <w:t>Finanšu ministrija</w:t>
            </w:r>
          </w:p>
        </w:tc>
      </w:tr>
      <w:tr w:rsidR="005F5D0D" w:rsidRPr="005F5D0D" w14:paraId="3E75A6E7" w14:textId="77777777" w:rsidTr="004F4A43">
        <w:trPr>
          <w:tblCellSpacing w:w="15" w:type="dxa"/>
        </w:trPr>
        <w:tc>
          <w:tcPr>
            <w:tcW w:w="380" w:type="dxa"/>
            <w:tcBorders>
              <w:top w:val="outset" w:sz="6" w:space="0" w:color="auto"/>
              <w:left w:val="outset" w:sz="6" w:space="0" w:color="auto"/>
              <w:bottom w:val="outset" w:sz="6" w:space="0" w:color="auto"/>
              <w:right w:val="outset" w:sz="6" w:space="0" w:color="auto"/>
            </w:tcBorders>
            <w:hideMark/>
          </w:tcPr>
          <w:p w14:paraId="63EB6280" w14:textId="77777777" w:rsidR="004D6185" w:rsidRPr="005F5D0D" w:rsidRDefault="000E56B2" w:rsidP="008B01AB">
            <w:pPr>
              <w:spacing w:before="100" w:beforeAutospacing="1" w:after="100" w:afterAutospacing="1" w:line="240" w:lineRule="auto"/>
              <w:rPr>
                <w:rFonts w:eastAsia="Times New Roman"/>
                <w:sz w:val="24"/>
                <w:szCs w:val="24"/>
                <w:lang w:eastAsia="lv-LV"/>
              </w:rPr>
            </w:pPr>
            <w:r w:rsidRPr="005F5D0D">
              <w:rPr>
                <w:rFonts w:eastAsia="Times New Roman"/>
                <w:sz w:val="24"/>
                <w:szCs w:val="24"/>
                <w:lang w:eastAsia="lv-LV"/>
              </w:rPr>
              <w:t>3.</w:t>
            </w:r>
          </w:p>
        </w:tc>
        <w:tc>
          <w:tcPr>
            <w:tcW w:w="3463" w:type="dxa"/>
            <w:tcBorders>
              <w:top w:val="outset" w:sz="6" w:space="0" w:color="auto"/>
              <w:left w:val="outset" w:sz="6" w:space="0" w:color="auto"/>
              <w:bottom w:val="outset" w:sz="6" w:space="0" w:color="auto"/>
              <w:right w:val="outset" w:sz="6" w:space="0" w:color="auto"/>
            </w:tcBorders>
            <w:hideMark/>
          </w:tcPr>
          <w:p w14:paraId="582EA496" w14:textId="77777777" w:rsidR="004D6185" w:rsidRPr="005F5D0D" w:rsidRDefault="000E56B2" w:rsidP="00A86B6B">
            <w:pPr>
              <w:spacing w:after="0" w:line="240" w:lineRule="auto"/>
              <w:rPr>
                <w:rFonts w:eastAsia="Times New Roman"/>
                <w:sz w:val="24"/>
                <w:szCs w:val="24"/>
                <w:lang w:eastAsia="lv-LV"/>
              </w:rPr>
            </w:pPr>
            <w:r w:rsidRPr="005F5D0D">
              <w:rPr>
                <w:rFonts w:eastAsia="Times New Roman"/>
                <w:sz w:val="24"/>
                <w:szCs w:val="24"/>
                <w:lang w:eastAsia="lv-LV"/>
              </w:rPr>
              <w:t>Cita informācija</w:t>
            </w:r>
          </w:p>
        </w:tc>
        <w:tc>
          <w:tcPr>
            <w:tcW w:w="6810" w:type="dxa"/>
            <w:tcBorders>
              <w:top w:val="outset" w:sz="6" w:space="0" w:color="auto"/>
              <w:left w:val="outset" w:sz="6" w:space="0" w:color="auto"/>
              <w:bottom w:val="outset" w:sz="6" w:space="0" w:color="auto"/>
              <w:right w:val="outset" w:sz="6" w:space="0" w:color="auto"/>
            </w:tcBorders>
            <w:hideMark/>
          </w:tcPr>
          <w:p w14:paraId="106CF167" w14:textId="77777777" w:rsidR="004D6185" w:rsidRPr="005F5D0D" w:rsidRDefault="000E56B2" w:rsidP="00A86B6B">
            <w:pPr>
              <w:spacing w:after="0" w:line="240" w:lineRule="auto"/>
              <w:rPr>
                <w:rFonts w:eastAsia="Times New Roman"/>
                <w:sz w:val="24"/>
                <w:szCs w:val="24"/>
                <w:lang w:eastAsia="lv-LV"/>
              </w:rPr>
            </w:pPr>
            <w:r w:rsidRPr="005F5D0D">
              <w:rPr>
                <w:rFonts w:eastAsia="Times New Roman"/>
                <w:sz w:val="24"/>
                <w:szCs w:val="24"/>
                <w:lang w:eastAsia="lv-LV"/>
              </w:rPr>
              <w:t>Nav</w:t>
            </w:r>
          </w:p>
        </w:tc>
      </w:tr>
    </w:tbl>
    <w:p w14:paraId="4290C562" w14:textId="77777777" w:rsidR="000D2356" w:rsidRPr="005F5D0D" w:rsidRDefault="000E56B2"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 xml:space="preserve">  </w:t>
      </w:r>
    </w:p>
    <w:tbl>
      <w:tblPr>
        <w:tblW w:w="10773" w:type="dxa"/>
        <w:tblCellSpacing w:w="15" w:type="dxa"/>
        <w:tblInd w:w="-57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25"/>
        <w:gridCol w:w="3544"/>
        <w:gridCol w:w="6804"/>
      </w:tblGrid>
      <w:tr w:rsidR="005F5D0D" w:rsidRPr="005F5D0D" w14:paraId="29DDFABE" w14:textId="77777777" w:rsidTr="004F4A43">
        <w:trPr>
          <w:tblCellSpacing w:w="15" w:type="dxa"/>
        </w:trPr>
        <w:tc>
          <w:tcPr>
            <w:tcW w:w="10713" w:type="dxa"/>
            <w:gridSpan w:val="3"/>
            <w:tcBorders>
              <w:top w:val="outset" w:sz="6" w:space="0" w:color="auto"/>
              <w:left w:val="outset" w:sz="6" w:space="0" w:color="auto"/>
              <w:bottom w:val="outset" w:sz="6" w:space="0" w:color="auto"/>
              <w:right w:val="outset" w:sz="6" w:space="0" w:color="auto"/>
            </w:tcBorders>
            <w:hideMark/>
          </w:tcPr>
          <w:p w14:paraId="46F115CC" w14:textId="77777777" w:rsidR="000D2356" w:rsidRPr="005F5D0D" w:rsidRDefault="000E56B2" w:rsidP="000D2356">
            <w:pPr>
              <w:widowControl/>
              <w:spacing w:before="100" w:beforeAutospacing="1" w:after="0" w:line="240" w:lineRule="auto"/>
              <w:rPr>
                <w:rFonts w:eastAsia="Times New Roman"/>
                <w:sz w:val="24"/>
                <w:szCs w:val="24"/>
                <w:lang w:eastAsia="lv-LV"/>
              </w:rPr>
            </w:pPr>
            <w:r w:rsidRPr="005F5D0D">
              <w:rPr>
                <w:rFonts w:eastAsia="Times New Roman"/>
                <w:b/>
                <w:bCs/>
                <w:iCs/>
                <w:sz w:val="24"/>
                <w:szCs w:val="24"/>
                <w:lang w:eastAsia="lv-LV"/>
              </w:rPr>
              <w:t>V. Tiesību akta projekta atbilstība Latvijas Republikas starptautiskajām saistībām</w:t>
            </w:r>
          </w:p>
        </w:tc>
      </w:tr>
      <w:tr w:rsidR="005F5D0D" w:rsidRPr="005F5D0D" w14:paraId="3B8A524B" w14:textId="77777777" w:rsidTr="004F4A43">
        <w:trPr>
          <w:tblCellSpacing w:w="15" w:type="dxa"/>
        </w:trPr>
        <w:tc>
          <w:tcPr>
            <w:tcW w:w="380" w:type="dxa"/>
            <w:tcBorders>
              <w:top w:val="outset" w:sz="6" w:space="0" w:color="auto"/>
              <w:left w:val="outset" w:sz="6" w:space="0" w:color="auto"/>
              <w:bottom w:val="outset" w:sz="6" w:space="0" w:color="auto"/>
              <w:right w:val="outset" w:sz="6" w:space="0" w:color="auto"/>
            </w:tcBorders>
            <w:hideMark/>
          </w:tcPr>
          <w:p w14:paraId="736569E7" w14:textId="77777777" w:rsidR="008072B1" w:rsidRPr="005F5D0D" w:rsidRDefault="008072B1" w:rsidP="006C6CF5">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1.</w:t>
            </w:r>
          </w:p>
        </w:tc>
        <w:tc>
          <w:tcPr>
            <w:tcW w:w="3514" w:type="dxa"/>
            <w:tcBorders>
              <w:top w:val="outset" w:sz="6" w:space="0" w:color="auto"/>
              <w:left w:val="outset" w:sz="6" w:space="0" w:color="auto"/>
              <w:bottom w:val="outset" w:sz="6" w:space="0" w:color="auto"/>
              <w:right w:val="outset" w:sz="6" w:space="0" w:color="auto"/>
            </w:tcBorders>
            <w:hideMark/>
          </w:tcPr>
          <w:p w14:paraId="149CAAFF" w14:textId="08E921B0" w:rsidR="008072B1" w:rsidRPr="005F5D0D" w:rsidRDefault="008072B1" w:rsidP="006C6CF5">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Saistības pret Eiropas Savienību</w:t>
            </w:r>
          </w:p>
        </w:tc>
        <w:tc>
          <w:tcPr>
            <w:tcW w:w="6759" w:type="dxa"/>
            <w:tcBorders>
              <w:top w:val="outset" w:sz="6" w:space="0" w:color="auto"/>
              <w:left w:val="outset" w:sz="6" w:space="0" w:color="auto"/>
              <w:bottom w:val="outset" w:sz="6" w:space="0" w:color="auto"/>
              <w:right w:val="outset" w:sz="6" w:space="0" w:color="auto"/>
            </w:tcBorders>
            <w:hideMark/>
          </w:tcPr>
          <w:p w14:paraId="5958B7A6" w14:textId="575BAF51" w:rsidR="008072B1" w:rsidRPr="005F5D0D" w:rsidRDefault="008072B1" w:rsidP="008B01AB">
            <w:pPr>
              <w:widowControl/>
              <w:spacing w:before="100" w:beforeAutospacing="1" w:after="0" w:line="240" w:lineRule="auto"/>
              <w:jc w:val="both"/>
              <w:rPr>
                <w:rFonts w:eastAsia="Times New Roman"/>
                <w:sz w:val="24"/>
                <w:szCs w:val="24"/>
                <w:lang w:eastAsia="lv-LV"/>
              </w:rPr>
            </w:pPr>
            <w:r w:rsidRPr="005F5D0D">
              <w:rPr>
                <w:rFonts w:eastAsia="Times New Roman"/>
                <w:iCs/>
                <w:sz w:val="24"/>
                <w:szCs w:val="24"/>
                <w:lang w:eastAsia="lv-LV"/>
              </w:rPr>
              <w:t xml:space="preserve">Likumprojekts izstrādāts, lai nodrošinātu atbilstību Eiropas Parlamenta un Padomes 2015.gada 20.maija Direktīvas (ES) </w:t>
            </w:r>
            <w:r w:rsidRPr="005F5D0D">
              <w:rPr>
                <w:rFonts w:eastAsia="Times New Roman"/>
                <w:iCs/>
                <w:sz w:val="24"/>
                <w:szCs w:val="24"/>
                <w:lang w:eastAsia="lv-LV"/>
              </w:rPr>
              <w:lastRenderedPageBreak/>
              <w:t>2015/849 par to, lai nepieļautu finanšu sistēmas izmantošanu nelikumīgi iegūtu līdzekļu legalizēšanai vai teroristu finansēšanai, un ar ko groza Eiropas Parlamenta un Padomes Regulu (ES) Nr.684/2012 un atceļ Eiropas Parlamenta un Padomes Direktīvu 2005/60/EK un Komisijas Direktīvu 2006/70/EK 47. panta 3.punkta prasībām. Projekts pēc saskaņošanas tiks paziņots Eiropas Komisijai un Eiropas Savienības dalībvalstīm komentāru sniegšanai atbilstoši Eiropas Parlamenta un Padomes 2006.gada 28.decembra Direktīvā 2006/123/EK par pakalpojumiem iekšējā tirgū un Brīvas pakalpojumu sniegšanas likuma 15.pantā septītajā daļā noteiktajam.</w:t>
            </w:r>
          </w:p>
        </w:tc>
      </w:tr>
      <w:tr w:rsidR="005F5D0D" w:rsidRPr="005F5D0D" w14:paraId="1912D772" w14:textId="77777777" w:rsidTr="004F4A43">
        <w:trPr>
          <w:tblCellSpacing w:w="15" w:type="dxa"/>
        </w:trPr>
        <w:tc>
          <w:tcPr>
            <w:tcW w:w="380" w:type="dxa"/>
            <w:tcBorders>
              <w:top w:val="outset" w:sz="6" w:space="0" w:color="auto"/>
              <w:left w:val="outset" w:sz="6" w:space="0" w:color="auto"/>
              <w:bottom w:val="outset" w:sz="6" w:space="0" w:color="auto"/>
              <w:right w:val="outset" w:sz="6" w:space="0" w:color="auto"/>
            </w:tcBorders>
            <w:hideMark/>
          </w:tcPr>
          <w:p w14:paraId="4483CBCE" w14:textId="77777777" w:rsidR="008072B1" w:rsidRPr="005F5D0D" w:rsidRDefault="008072B1" w:rsidP="006C6CF5">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lastRenderedPageBreak/>
              <w:t>2.</w:t>
            </w:r>
          </w:p>
        </w:tc>
        <w:tc>
          <w:tcPr>
            <w:tcW w:w="3514" w:type="dxa"/>
            <w:tcBorders>
              <w:top w:val="outset" w:sz="6" w:space="0" w:color="auto"/>
              <w:left w:val="outset" w:sz="6" w:space="0" w:color="auto"/>
              <w:bottom w:val="outset" w:sz="6" w:space="0" w:color="auto"/>
              <w:right w:val="outset" w:sz="6" w:space="0" w:color="auto"/>
            </w:tcBorders>
            <w:hideMark/>
          </w:tcPr>
          <w:p w14:paraId="0F2E7F65" w14:textId="4A93D741" w:rsidR="008072B1" w:rsidRPr="005F5D0D" w:rsidRDefault="008072B1" w:rsidP="006C6CF5">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Citas starptautiskās saistības</w:t>
            </w:r>
          </w:p>
        </w:tc>
        <w:tc>
          <w:tcPr>
            <w:tcW w:w="6759" w:type="dxa"/>
            <w:tcBorders>
              <w:top w:val="outset" w:sz="6" w:space="0" w:color="auto"/>
              <w:left w:val="outset" w:sz="6" w:space="0" w:color="auto"/>
              <w:bottom w:val="outset" w:sz="6" w:space="0" w:color="auto"/>
              <w:right w:val="outset" w:sz="6" w:space="0" w:color="auto"/>
            </w:tcBorders>
            <w:hideMark/>
          </w:tcPr>
          <w:p w14:paraId="05DA0C34" w14:textId="1D07A924" w:rsidR="008072B1" w:rsidRPr="005F5D0D" w:rsidRDefault="00CD6C1C" w:rsidP="006C6CF5">
            <w:pPr>
              <w:widowControl/>
              <w:spacing w:before="100" w:beforeAutospacing="1" w:after="0" w:line="240" w:lineRule="auto"/>
              <w:jc w:val="both"/>
              <w:rPr>
                <w:rFonts w:eastAsia="Times New Roman"/>
                <w:sz w:val="24"/>
                <w:szCs w:val="24"/>
                <w:lang w:eastAsia="lv-LV"/>
              </w:rPr>
            </w:pPr>
            <w:r w:rsidRPr="005F5D0D">
              <w:rPr>
                <w:rFonts w:eastAsia="Times New Roman"/>
                <w:iCs/>
                <w:sz w:val="24"/>
                <w:szCs w:val="24"/>
                <w:lang w:eastAsia="lv-LV"/>
              </w:rPr>
              <w:t xml:space="preserve">Likumprojekts izstrādāts, lai nodrošinātu atbilstību FATF 2012.gada februārī apstiprinātajām rekomendācijām, proti, lai ieviestu </w:t>
            </w:r>
            <w:r w:rsidR="00A24B49" w:rsidRPr="005F5D0D">
              <w:rPr>
                <w:rFonts w:eastAsia="Times New Roman"/>
                <w:iCs/>
                <w:sz w:val="24"/>
                <w:szCs w:val="24"/>
                <w:lang w:eastAsia="lv-LV"/>
              </w:rPr>
              <w:t xml:space="preserve">FATF </w:t>
            </w:r>
            <w:r w:rsidRPr="005F5D0D">
              <w:rPr>
                <w:rFonts w:eastAsia="Times New Roman"/>
                <w:iCs/>
                <w:sz w:val="24"/>
                <w:szCs w:val="24"/>
                <w:lang w:eastAsia="lv-LV"/>
              </w:rPr>
              <w:t>28. rekomendāciju</w:t>
            </w:r>
          </w:p>
        </w:tc>
      </w:tr>
      <w:tr w:rsidR="005F5D0D" w:rsidRPr="005F5D0D" w14:paraId="76D3AF0D" w14:textId="77777777" w:rsidTr="004F4A43">
        <w:trPr>
          <w:tblCellSpacing w:w="15" w:type="dxa"/>
        </w:trPr>
        <w:tc>
          <w:tcPr>
            <w:tcW w:w="380" w:type="dxa"/>
            <w:tcBorders>
              <w:top w:val="outset" w:sz="6" w:space="0" w:color="auto"/>
              <w:left w:val="outset" w:sz="6" w:space="0" w:color="auto"/>
              <w:bottom w:val="outset" w:sz="6" w:space="0" w:color="auto"/>
              <w:right w:val="outset" w:sz="6" w:space="0" w:color="auto"/>
            </w:tcBorders>
            <w:hideMark/>
          </w:tcPr>
          <w:p w14:paraId="02DFFEDE" w14:textId="77777777" w:rsidR="008072B1" w:rsidRPr="005F5D0D" w:rsidRDefault="008072B1" w:rsidP="006C6CF5">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3.</w:t>
            </w:r>
          </w:p>
        </w:tc>
        <w:tc>
          <w:tcPr>
            <w:tcW w:w="3514" w:type="dxa"/>
            <w:tcBorders>
              <w:top w:val="outset" w:sz="6" w:space="0" w:color="auto"/>
              <w:left w:val="outset" w:sz="6" w:space="0" w:color="auto"/>
              <w:bottom w:val="outset" w:sz="6" w:space="0" w:color="auto"/>
              <w:right w:val="outset" w:sz="6" w:space="0" w:color="auto"/>
            </w:tcBorders>
            <w:hideMark/>
          </w:tcPr>
          <w:p w14:paraId="664144F1" w14:textId="17F18757" w:rsidR="008072B1" w:rsidRPr="005F5D0D" w:rsidRDefault="008072B1" w:rsidP="006C6CF5">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Cita informācija</w:t>
            </w:r>
          </w:p>
        </w:tc>
        <w:tc>
          <w:tcPr>
            <w:tcW w:w="6759" w:type="dxa"/>
            <w:tcBorders>
              <w:top w:val="outset" w:sz="6" w:space="0" w:color="auto"/>
              <w:left w:val="outset" w:sz="6" w:space="0" w:color="auto"/>
              <w:bottom w:val="outset" w:sz="6" w:space="0" w:color="auto"/>
              <w:right w:val="outset" w:sz="6" w:space="0" w:color="auto"/>
            </w:tcBorders>
            <w:hideMark/>
          </w:tcPr>
          <w:p w14:paraId="70FEB787" w14:textId="42AD0A20" w:rsidR="008072B1" w:rsidRPr="005F5D0D" w:rsidRDefault="00CD6C1C" w:rsidP="006C6CF5">
            <w:pPr>
              <w:widowControl/>
              <w:spacing w:before="100" w:beforeAutospacing="1" w:after="0" w:line="240" w:lineRule="auto"/>
              <w:jc w:val="both"/>
              <w:rPr>
                <w:rFonts w:eastAsia="Times New Roman"/>
                <w:sz w:val="24"/>
                <w:szCs w:val="24"/>
                <w:lang w:eastAsia="lv-LV"/>
              </w:rPr>
            </w:pPr>
            <w:r w:rsidRPr="005F5D0D">
              <w:rPr>
                <w:rFonts w:eastAsia="Times New Roman"/>
                <w:iCs/>
                <w:sz w:val="24"/>
                <w:szCs w:val="24"/>
                <w:lang w:eastAsia="lv-LV"/>
              </w:rPr>
              <w:t>Ar Likumprojektu paredzēts ieviest Moneyval rekomendācijas.</w:t>
            </w:r>
            <w:r w:rsidR="008072B1" w:rsidRPr="005F5D0D">
              <w:rPr>
                <w:rFonts w:eastAsia="Times New Roman"/>
                <w:iCs/>
                <w:sz w:val="24"/>
                <w:szCs w:val="24"/>
                <w:lang w:eastAsia="lv-LV"/>
              </w:rPr>
              <w:t xml:space="preserve"> </w:t>
            </w:r>
          </w:p>
        </w:tc>
      </w:tr>
    </w:tbl>
    <w:p w14:paraId="107A3314" w14:textId="4F0460E4" w:rsidR="000D2356" w:rsidRPr="005F5D0D" w:rsidRDefault="000D2356" w:rsidP="000D2356">
      <w:pPr>
        <w:widowControl/>
        <w:spacing w:before="100" w:beforeAutospacing="1" w:after="0" w:line="240" w:lineRule="auto"/>
        <w:rPr>
          <w:rFonts w:eastAsia="Times New Roman"/>
          <w:sz w:val="24"/>
          <w:szCs w:val="24"/>
          <w:lang w:eastAsia="lv-LV"/>
        </w:rPr>
      </w:pPr>
    </w:p>
    <w:tbl>
      <w:tblPr>
        <w:tblW w:w="10773" w:type="dxa"/>
        <w:tblCellSpacing w:w="15" w:type="dxa"/>
        <w:tblInd w:w="-57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2"/>
        <w:gridCol w:w="1868"/>
        <w:gridCol w:w="8573"/>
      </w:tblGrid>
      <w:tr w:rsidR="005F5D0D" w:rsidRPr="005F5D0D" w14:paraId="7888E3B4" w14:textId="77777777" w:rsidTr="004F4A43">
        <w:trPr>
          <w:tblCellSpacing w:w="15" w:type="dxa"/>
        </w:trPr>
        <w:tc>
          <w:tcPr>
            <w:tcW w:w="10713" w:type="dxa"/>
            <w:gridSpan w:val="3"/>
            <w:tcBorders>
              <w:top w:val="outset" w:sz="6" w:space="0" w:color="auto"/>
              <w:left w:val="outset" w:sz="6" w:space="0" w:color="auto"/>
              <w:bottom w:val="outset" w:sz="6" w:space="0" w:color="auto"/>
              <w:right w:val="outset" w:sz="6" w:space="0" w:color="auto"/>
            </w:tcBorders>
            <w:hideMark/>
          </w:tcPr>
          <w:p w14:paraId="3B06376B" w14:textId="77777777" w:rsidR="000D2356" w:rsidRPr="005F5D0D" w:rsidRDefault="000E56B2" w:rsidP="000D2356">
            <w:pPr>
              <w:widowControl/>
              <w:spacing w:before="100" w:beforeAutospacing="1" w:after="0" w:line="240" w:lineRule="auto"/>
              <w:rPr>
                <w:rFonts w:eastAsia="Times New Roman"/>
                <w:sz w:val="24"/>
                <w:szCs w:val="24"/>
                <w:lang w:eastAsia="lv-LV"/>
              </w:rPr>
            </w:pPr>
            <w:r w:rsidRPr="005F5D0D">
              <w:rPr>
                <w:rFonts w:eastAsia="Times New Roman"/>
                <w:b/>
                <w:bCs/>
                <w:iCs/>
                <w:sz w:val="24"/>
                <w:szCs w:val="24"/>
                <w:lang w:eastAsia="lv-LV"/>
              </w:rPr>
              <w:t>VI. Sabiedrības līdzdalība un komunikācijas aktivitātes</w:t>
            </w:r>
          </w:p>
        </w:tc>
      </w:tr>
      <w:tr w:rsidR="005F5D0D" w:rsidRPr="005F5D0D" w14:paraId="29D5ABBC" w14:textId="77777777" w:rsidTr="004F4A43">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36945672" w14:textId="77777777" w:rsidR="000D2356" w:rsidRPr="005F5D0D" w:rsidRDefault="000E56B2"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1.</w:t>
            </w:r>
          </w:p>
        </w:tc>
        <w:tc>
          <w:tcPr>
            <w:tcW w:w="3469" w:type="dxa"/>
            <w:tcBorders>
              <w:top w:val="outset" w:sz="6" w:space="0" w:color="auto"/>
              <w:left w:val="outset" w:sz="6" w:space="0" w:color="auto"/>
              <w:bottom w:val="outset" w:sz="6" w:space="0" w:color="auto"/>
              <w:right w:val="outset" w:sz="6" w:space="0" w:color="auto"/>
            </w:tcBorders>
            <w:hideMark/>
          </w:tcPr>
          <w:p w14:paraId="73C5162C" w14:textId="77777777" w:rsidR="000D2356" w:rsidRPr="005F5D0D" w:rsidRDefault="000E56B2"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Plānotās sabiedrības līdzdalības un komunikācijas aktivitātes saistībā ar projektu</w:t>
            </w:r>
          </w:p>
        </w:tc>
        <w:tc>
          <w:tcPr>
            <w:tcW w:w="6816" w:type="dxa"/>
            <w:tcBorders>
              <w:top w:val="outset" w:sz="6" w:space="0" w:color="auto"/>
              <w:left w:val="outset" w:sz="6" w:space="0" w:color="auto"/>
              <w:bottom w:val="outset" w:sz="6" w:space="0" w:color="auto"/>
              <w:right w:val="outset" w:sz="6" w:space="0" w:color="auto"/>
            </w:tcBorders>
            <w:hideMark/>
          </w:tcPr>
          <w:p w14:paraId="534E13FB" w14:textId="77777777" w:rsidR="0093589D" w:rsidRPr="005B6C53" w:rsidRDefault="000E56B2" w:rsidP="0043469C">
            <w:pPr>
              <w:widowControl/>
              <w:spacing w:before="100" w:beforeAutospacing="1" w:after="0" w:line="240" w:lineRule="auto"/>
              <w:rPr>
                <w:rFonts w:eastAsia="Times New Roman"/>
                <w:iCs/>
                <w:sz w:val="24"/>
                <w:szCs w:val="24"/>
                <w:lang w:eastAsia="lv-LV"/>
              </w:rPr>
            </w:pPr>
            <w:r w:rsidRPr="005B6C53">
              <w:rPr>
                <w:rFonts w:eastAsia="Times New Roman"/>
                <w:iCs/>
                <w:sz w:val="24"/>
                <w:szCs w:val="24"/>
                <w:lang w:eastAsia="lv-LV"/>
              </w:rPr>
              <w:t xml:space="preserve">Likumprojekta izstrādes gaitā notika konsultācijas ar Latvijas </w:t>
            </w:r>
            <w:r w:rsidR="0050380A" w:rsidRPr="005B6C53">
              <w:rPr>
                <w:rFonts w:eastAsia="Times New Roman"/>
                <w:iCs/>
                <w:sz w:val="24"/>
                <w:szCs w:val="24"/>
                <w:lang w:eastAsia="lv-LV"/>
              </w:rPr>
              <w:t>Republikas Grāmatvežu</w:t>
            </w:r>
            <w:r w:rsidRPr="005B6C53">
              <w:rPr>
                <w:rFonts w:eastAsia="Times New Roman"/>
                <w:iCs/>
                <w:sz w:val="24"/>
                <w:szCs w:val="24"/>
                <w:lang w:eastAsia="lv-LV"/>
              </w:rPr>
              <w:t xml:space="preserve"> asociāciju, </w:t>
            </w:r>
            <w:r w:rsidR="0050380A" w:rsidRPr="005B6C53">
              <w:rPr>
                <w:rFonts w:eastAsia="Times New Roman"/>
                <w:iCs/>
                <w:sz w:val="24"/>
                <w:szCs w:val="24"/>
                <w:lang w:eastAsia="lv-LV"/>
              </w:rPr>
              <w:t>Finanšu nozares asociāciju</w:t>
            </w:r>
            <w:r w:rsidR="00DD0EEC" w:rsidRPr="005B6C53">
              <w:rPr>
                <w:rFonts w:eastAsia="Times New Roman"/>
                <w:iCs/>
                <w:sz w:val="24"/>
                <w:szCs w:val="24"/>
                <w:lang w:eastAsia="lv-LV"/>
              </w:rPr>
              <w:t>.</w:t>
            </w:r>
          </w:p>
          <w:p w14:paraId="7DC07238" w14:textId="6E53E415" w:rsidR="000B0186" w:rsidRPr="005B6C53" w:rsidRDefault="0041728B" w:rsidP="003D519C">
            <w:pPr>
              <w:widowControl/>
              <w:spacing w:before="100" w:beforeAutospacing="1" w:after="0" w:line="240" w:lineRule="auto"/>
              <w:rPr>
                <w:rFonts w:eastAsia="Times New Roman"/>
                <w:iCs/>
                <w:sz w:val="24"/>
                <w:szCs w:val="24"/>
                <w:lang w:eastAsia="lv-LV"/>
              </w:rPr>
            </w:pPr>
            <w:r w:rsidRPr="005B6C53">
              <w:rPr>
                <w:rFonts w:eastAsia="Times New Roman"/>
                <w:iCs/>
                <w:sz w:val="24"/>
                <w:szCs w:val="24"/>
                <w:lang w:eastAsia="lv-LV"/>
              </w:rPr>
              <w:t>Uzziņa</w:t>
            </w:r>
            <w:r w:rsidR="0093589D" w:rsidRPr="005B6C53">
              <w:rPr>
                <w:rFonts w:eastAsia="Times New Roman"/>
                <w:iCs/>
                <w:sz w:val="24"/>
                <w:szCs w:val="24"/>
                <w:lang w:eastAsia="lv-LV"/>
              </w:rPr>
              <w:t xml:space="preserve"> par </w:t>
            </w:r>
            <w:r w:rsidR="003D519C" w:rsidRPr="005B6C53">
              <w:rPr>
                <w:rFonts w:eastAsia="Times New Roman"/>
                <w:iCs/>
                <w:sz w:val="24"/>
                <w:szCs w:val="24"/>
                <w:lang w:eastAsia="lv-LV"/>
              </w:rPr>
              <w:t>likum</w:t>
            </w:r>
            <w:r w:rsidR="0093589D" w:rsidRPr="005B6C53">
              <w:rPr>
                <w:rFonts w:eastAsia="Times New Roman"/>
                <w:iCs/>
                <w:sz w:val="24"/>
                <w:szCs w:val="24"/>
                <w:lang w:eastAsia="lv-LV"/>
              </w:rPr>
              <w:t>projektu publicēta</w:t>
            </w:r>
            <w:r w:rsidR="003D519C" w:rsidRPr="005B6C53">
              <w:rPr>
                <w:rFonts w:eastAsia="Times New Roman"/>
                <w:iCs/>
                <w:sz w:val="24"/>
                <w:szCs w:val="24"/>
                <w:lang w:eastAsia="lv-LV"/>
              </w:rPr>
              <w:t xml:space="preserve"> </w:t>
            </w:r>
            <w:r w:rsidR="0093589D" w:rsidRPr="005B6C53">
              <w:rPr>
                <w:rFonts w:eastAsia="Times New Roman"/>
                <w:iCs/>
                <w:sz w:val="24"/>
                <w:szCs w:val="24"/>
                <w:lang w:eastAsia="lv-LV"/>
              </w:rPr>
              <w:t>Finanšu ministrijas tīmekļa vietnē</w:t>
            </w:r>
            <w:r w:rsidRPr="005B6C53">
              <w:rPr>
                <w:rFonts w:eastAsia="Times New Roman"/>
                <w:iCs/>
                <w:sz w:val="24"/>
                <w:szCs w:val="24"/>
                <w:lang w:eastAsia="lv-LV"/>
              </w:rPr>
              <w:t xml:space="preserve"> 2019.gada 8.aprīlī</w:t>
            </w:r>
            <w:r w:rsidR="0093589D" w:rsidRPr="005B6C53">
              <w:rPr>
                <w:rFonts w:eastAsia="Times New Roman"/>
                <w:iCs/>
                <w:sz w:val="24"/>
                <w:szCs w:val="24"/>
                <w:lang w:eastAsia="lv-LV"/>
              </w:rPr>
              <w:t xml:space="preserve">: </w:t>
            </w:r>
          </w:p>
          <w:p w14:paraId="2361E7C7" w14:textId="7FBE6A2F" w:rsidR="003C263B" w:rsidRPr="005B6C53" w:rsidRDefault="009D27A7" w:rsidP="003D519C">
            <w:pPr>
              <w:widowControl/>
              <w:spacing w:before="100" w:beforeAutospacing="1" w:after="0" w:line="240" w:lineRule="auto"/>
              <w:rPr>
                <w:rFonts w:eastAsia="Times New Roman"/>
                <w:iCs/>
                <w:sz w:val="20"/>
                <w:szCs w:val="20"/>
                <w:lang w:eastAsia="lv-LV"/>
              </w:rPr>
            </w:pPr>
            <w:hyperlink r:id="rId11" w:anchor="project553" w:history="1">
              <w:r w:rsidR="003C263B" w:rsidRPr="005B6C53">
                <w:rPr>
                  <w:rStyle w:val="Hyperlink"/>
                  <w:sz w:val="20"/>
                  <w:szCs w:val="20"/>
                </w:rPr>
                <w:t>http://www.fm.gov.lv/lv/sabiedribas_lidzdaliba/tiesibu_aktu_projekti/gramatvedibas_politika#project553</w:t>
              </w:r>
            </w:hyperlink>
          </w:p>
          <w:p w14:paraId="1627F88C" w14:textId="1CAE79FC" w:rsidR="005B6C53" w:rsidRDefault="003D519C" w:rsidP="00353616">
            <w:pPr>
              <w:widowControl/>
              <w:tabs>
                <w:tab w:val="left" w:pos="4905"/>
              </w:tabs>
              <w:spacing w:before="100" w:beforeAutospacing="1" w:after="0" w:line="240" w:lineRule="auto"/>
              <w:rPr>
                <w:rFonts w:eastAsia="Times New Roman"/>
                <w:iCs/>
                <w:sz w:val="24"/>
                <w:szCs w:val="24"/>
                <w:lang w:eastAsia="lv-LV"/>
              </w:rPr>
            </w:pPr>
            <w:r w:rsidRPr="005B6C53">
              <w:rPr>
                <w:rFonts w:eastAsia="Times New Roman"/>
                <w:iCs/>
                <w:sz w:val="24"/>
                <w:szCs w:val="24"/>
                <w:lang w:eastAsia="lv-LV"/>
              </w:rPr>
              <w:t xml:space="preserve">kā arī Valsts kancelejas tīmekļa vietnē: </w:t>
            </w:r>
            <w:r w:rsidR="00353616">
              <w:rPr>
                <w:rFonts w:eastAsia="Times New Roman"/>
                <w:iCs/>
                <w:sz w:val="24"/>
                <w:szCs w:val="24"/>
                <w:lang w:eastAsia="lv-LV"/>
              </w:rPr>
              <w:tab/>
            </w:r>
          </w:p>
          <w:p w14:paraId="6AF0901D" w14:textId="172B9743" w:rsidR="000D2356" w:rsidRPr="005B6C53" w:rsidRDefault="009D27A7" w:rsidP="003C263B">
            <w:pPr>
              <w:widowControl/>
              <w:spacing w:before="100" w:beforeAutospacing="1" w:after="0" w:line="240" w:lineRule="auto"/>
              <w:rPr>
                <w:rFonts w:eastAsia="Times New Roman"/>
                <w:sz w:val="24"/>
                <w:szCs w:val="24"/>
                <w:lang w:eastAsia="lv-LV"/>
              </w:rPr>
            </w:pPr>
            <w:hyperlink r:id="rId12" w:history="1">
              <w:r w:rsidR="003C263B" w:rsidRPr="005B6C53">
                <w:rPr>
                  <w:rStyle w:val="Hyperlink"/>
                  <w:sz w:val="24"/>
                  <w:szCs w:val="24"/>
                </w:rPr>
                <w:t>https://www.mk.gov.lv/content/ministru-kabineta-diskusiju-dokumenti</w:t>
              </w:r>
            </w:hyperlink>
          </w:p>
        </w:tc>
      </w:tr>
      <w:tr w:rsidR="005F5D0D" w:rsidRPr="005F5D0D" w14:paraId="793512F5" w14:textId="77777777" w:rsidTr="004F4A43">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052A273D" w14:textId="77777777" w:rsidR="000D2356" w:rsidRPr="005F5D0D" w:rsidRDefault="000E56B2"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2.</w:t>
            </w:r>
          </w:p>
        </w:tc>
        <w:tc>
          <w:tcPr>
            <w:tcW w:w="3469" w:type="dxa"/>
            <w:tcBorders>
              <w:top w:val="outset" w:sz="6" w:space="0" w:color="auto"/>
              <w:left w:val="outset" w:sz="6" w:space="0" w:color="auto"/>
              <w:bottom w:val="outset" w:sz="6" w:space="0" w:color="auto"/>
              <w:right w:val="outset" w:sz="6" w:space="0" w:color="auto"/>
            </w:tcBorders>
            <w:hideMark/>
          </w:tcPr>
          <w:p w14:paraId="3D2FFDC4" w14:textId="77777777" w:rsidR="000D2356" w:rsidRPr="005F5D0D" w:rsidRDefault="000E56B2"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Sabiedrības līdzdalība projekta izstrādē</w:t>
            </w:r>
          </w:p>
        </w:tc>
        <w:tc>
          <w:tcPr>
            <w:tcW w:w="6816" w:type="dxa"/>
            <w:tcBorders>
              <w:top w:val="outset" w:sz="6" w:space="0" w:color="auto"/>
              <w:left w:val="outset" w:sz="6" w:space="0" w:color="auto"/>
              <w:bottom w:val="outset" w:sz="6" w:space="0" w:color="auto"/>
              <w:right w:val="outset" w:sz="6" w:space="0" w:color="auto"/>
            </w:tcBorders>
            <w:hideMark/>
          </w:tcPr>
          <w:p w14:paraId="7527214A" w14:textId="68BC869B" w:rsidR="000D2356" w:rsidRPr="005F5D0D" w:rsidRDefault="000E56B2">
            <w:pPr>
              <w:widowControl/>
              <w:spacing w:before="100" w:beforeAutospacing="1" w:after="0" w:line="240" w:lineRule="auto"/>
              <w:jc w:val="both"/>
              <w:rPr>
                <w:rFonts w:eastAsia="Times New Roman"/>
                <w:sz w:val="24"/>
                <w:szCs w:val="24"/>
                <w:lang w:eastAsia="lv-LV"/>
              </w:rPr>
            </w:pPr>
            <w:r w:rsidRPr="005F5D0D">
              <w:rPr>
                <w:rFonts w:eastAsia="Times New Roman"/>
                <w:iCs/>
                <w:sz w:val="24"/>
                <w:szCs w:val="24"/>
                <w:lang w:eastAsia="lv-LV"/>
              </w:rPr>
              <w:t xml:space="preserve">Likumprojekta izstrādes gaitā </w:t>
            </w:r>
            <w:r w:rsidR="0050380A" w:rsidRPr="005F5D0D">
              <w:rPr>
                <w:rFonts w:eastAsia="Times New Roman"/>
                <w:iCs/>
                <w:sz w:val="24"/>
                <w:szCs w:val="24"/>
                <w:lang w:eastAsia="lv-LV"/>
              </w:rPr>
              <w:t>Latvijas Republikas Grāmatvežu asociācija, Finanšu nozares asociācija un</w:t>
            </w:r>
            <w:r w:rsidR="00366ED7">
              <w:rPr>
                <w:rFonts w:eastAsia="Times New Roman"/>
                <w:iCs/>
                <w:sz w:val="24"/>
                <w:szCs w:val="24"/>
                <w:lang w:eastAsia="lv-LV"/>
              </w:rPr>
              <w:t xml:space="preserve"> </w:t>
            </w:r>
            <w:r w:rsidR="008F0125">
              <w:rPr>
                <w:rFonts w:eastAsia="Times New Roman"/>
                <w:iCs/>
                <w:sz w:val="24"/>
                <w:szCs w:val="24"/>
                <w:lang w:eastAsia="lv-LV"/>
              </w:rPr>
              <w:t xml:space="preserve">citi sabiedrības pārstāvji </w:t>
            </w:r>
            <w:r w:rsidRPr="005F5D0D">
              <w:rPr>
                <w:rFonts w:eastAsia="Times New Roman"/>
                <w:iCs/>
                <w:sz w:val="24"/>
                <w:szCs w:val="24"/>
                <w:lang w:eastAsia="lv-LV"/>
              </w:rPr>
              <w:t>izteica priekšlikumus</w:t>
            </w:r>
            <w:r w:rsidR="0093589D" w:rsidRPr="0093589D">
              <w:rPr>
                <w:rFonts w:eastAsia="Times New Roman"/>
                <w:iCs/>
                <w:sz w:val="24"/>
                <w:szCs w:val="24"/>
                <w:lang w:eastAsia="lv-LV"/>
              </w:rPr>
              <w:t>, kas ņemti vē</w:t>
            </w:r>
            <w:r w:rsidR="0093589D">
              <w:rPr>
                <w:rFonts w:eastAsia="Times New Roman"/>
                <w:iCs/>
                <w:sz w:val="24"/>
                <w:szCs w:val="24"/>
                <w:lang w:eastAsia="lv-LV"/>
              </w:rPr>
              <w:t>r</w:t>
            </w:r>
            <w:r w:rsidR="0093589D" w:rsidRPr="0093589D">
              <w:rPr>
                <w:rFonts w:eastAsia="Times New Roman"/>
                <w:iCs/>
                <w:sz w:val="24"/>
                <w:szCs w:val="24"/>
                <w:lang w:eastAsia="lv-LV"/>
              </w:rPr>
              <w:t>ā likumprojekta izstrādes gaitā.</w:t>
            </w:r>
            <w:r w:rsidRPr="005F5D0D">
              <w:rPr>
                <w:rFonts w:eastAsia="Times New Roman"/>
                <w:iCs/>
                <w:sz w:val="24"/>
                <w:szCs w:val="24"/>
                <w:lang w:eastAsia="lv-LV"/>
              </w:rPr>
              <w:t>.</w:t>
            </w:r>
          </w:p>
        </w:tc>
      </w:tr>
      <w:tr w:rsidR="005F5D0D" w:rsidRPr="005F5D0D" w14:paraId="18585A04" w14:textId="77777777" w:rsidTr="004F4A43">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0425439C" w14:textId="77777777" w:rsidR="000D2356" w:rsidRPr="005F5D0D" w:rsidRDefault="000E56B2"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3.</w:t>
            </w:r>
          </w:p>
        </w:tc>
        <w:tc>
          <w:tcPr>
            <w:tcW w:w="3469" w:type="dxa"/>
            <w:tcBorders>
              <w:top w:val="outset" w:sz="6" w:space="0" w:color="auto"/>
              <w:left w:val="outset" w:sz="6" w:space="0" w:color="auto"/>
              <w:bottom w:val="outset" w:sz="6" w:space="0" w:color="auto"/>
              <w:right w:val="outset" w:sz="6" w:space="0" w:color="auto"/>
            </w:tcBorders>
            <w:hideMark/>
          </w:tcPr>
          <w:p w14:paraId="249F5BDD" w14:textId="77777777" w:rsidR="000D2356" w:rsidRPr="005F5D0D" w:rsidRDefault="000E56B2"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Sabiedrības līdzdalības rezultāti</w:t>
            </w:r>
          </w:p>
        </w:tc>
        <w:tc>
          <w:tcPr>
            <w:tcW w:w="6816" w:type="dxa"/>
            <w:tcBorders>
              <w:top w:val="outset" w:sz="6" w:space="0" w:color="auto"/>
              <w:left w:val="outset" w:sz="6" w:space="0" w:color="auto"/>
              <w:bottom w:val="outset" w:sz="6" w:space="0" w:color="auto"/>
              <w:right w:val="outset" w:sz="6" w:space="0" w:color="auto"/>
            </w:tcBorders>
            <w:hideMark/>
          </w:tcPr>
          <w:p w14:paraId="1093FCDD" w14:textId="5701481C" w:rsidR="000D2356" w:rsidRPr="005F5D0D" w:rsidRDefault="000E56B2" w:rsidP="0043469C">
            <w:pPr>
              <w:widowControl/>
              <w:spacing w:before="100" w:beforeAutospacing="1" w:after="0" w:line="240" w:lineRule="auto"/>
              <w:jc w:val="both"/>
              <w:rPr>
                <w:rFonts w:eastAsia="Times New Roman"/>
                <w:sz w:val="24"/>
                <w:szCs w:val="24"/>
                <w:lang w:eastAsia="lv-LV"/>
              </w:rPr>
            </w:pPr>
            <w:r w:rsidRPr="005F5D0D">
              <w:rPr>
                <w:rFonts w:eastAsia="Times New Roman"/>
                <w:iCs/>
                <w:sz w:val="24"/>
                <w:szCs w:val="24"/>
                <w:lang w:eastAsia="lv-LV"/>
              </w:rPr>
              <w:t xml:space="preserve">Latvijas Republikas Grāmatvežu asociācijas, Finanšu nozares asociācijas piedāvātie priekšlikumi ir pārrunāti un  ņemti vērā. Minētās iestādes atbalsta likumprojekta tālāku virzību. </w:t>
            </w:r>
            <w:r w:rsidR="00DD0EEC" w:rsidRPr="00DD0EEC">
              <w:rPr>
                <w:rFonts w:eastAsia="Times New Roman"/>
                <w:iCs/>
                <w:sz w:val="24"/>
                <w:szCs w:val="24"/>
                <w:lang w:eastAsia="lv-LV"/>
              </w:rPr>
              <w:t>Ņemot vērā būtiskākos sabiedrības pārstāvju priekšlikumus, ir pagarināts pārejas periods licences saņemšanai, kā arī noteiktas citas profesionālās kvalifikācijas, kas atbilst minimālajam grāmatvedības ārpakalpojuma sniedzēja profesionālās kvalifikācijas standartam.</w:t>
            </w:r>
          </w:p>
        </w:tc>
      </w:tr>
      <w:tr w:rsidR="005F5D0D" w:rsidRPr="005F5D0D" w14:paraId="24A83F73" w14:textId="77777777" w:rsidTr="004F4A43">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108219FB" w14:textId="77777777" w:rsidR="000D2356" w:rsidRPr="005F5D0D" w:rsidRDefault="000E56B2"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4.</w:t>
            </w:r>
          </w:p>
        </w:tc>
        <w:tc>
          <w:tcPr>
            <w:tcW w:w="3469" w:type="dxa"/>
            <w:tcBorders>
              <w:top w:val="outset" w:sz="6" w:space="0" w:color="auto"/>
              <w:left w:val="outset" w:sz="6" w:space="0" w:color="auto"/>
              <w:bottom w:val="outset" w:sz="6" w:space="0" w:color="auto"/>
              <w:right w:val="outset" w:sz="6" w:space="0" w:color="auto"/>
            </w:tcBorders>
            <w:hideMark/>
          </w:tcPr>
          <w:p w14:paraId="6A2B7372" w14:textId="77777777" w:rsidR="000D2356" w:rsidRPr="005F5D0D" w:rsidRDefault="000E56B2"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Cita informācija</w:t>
            </w:r>
          </w:p>
        </w:tc>
        <w:tc>
          <w:tcPr>
            <w:tcW w:w="6816" w:type="dxa"/>
            <w:tcBorders>
              <w:top w:val="outset" w:sz="6" w:space="0" w:color="auto"/>
              <w:left w:val="outset" w:sz="6" w:space="0" w:color="auto"/>
              <w:bottom w:val="outset" w:sz="6" w:space="0" w:color="auto"/>
              <w:right w:val="outset" w:sz="6" w:space="0" w:color="auto"/>
            </w:tcBorders>
            <w:hideMark/>
          </w:tcPr>
          <w:p w14:paraId="1FF8BE46" w14:textId="77777777" w:rsidR="000D2356" w:rsidRPr="005F5D0D" w:rsidRDefault="000E56B2"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Nav</w:t>
            </w:r>
          </w:p>
        </w:tc>
      </w:tr>
    </w:tbl>
    <w:p w14:paraId="6596E535" w14:textId="77777777" w:rsidR="000D2356" w:rsidRPr="005F5D0D" w:rsidRDefault="000E56B2"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 xml:space="preserve">  </w:t>
      </w:r>
    </w:p>
    <w:tbl>
      <w:tblPr>
        <w:tblW w:w="10491" w:type="dxa"/>
        <w:tblCellSpacing w:w="15" w:type="dxa"/>
        <w:tblInd w:w="-1001"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09"/>
        <w:gridCol w:w="3686"/>
        <w:gridCol w:w="6096"/>
      </w:tblGrid>
      <w:tr w:rsidR="005F5D0D" w:rsidRPr="005F5D0D" w14:paraId="118F4540" w14:textId="77777777" w:rsidTr="008B01AB">
        <w:trPr>
          <w:tblCellSpacing w:w="15" w:type="dxa"/>
        </w:trPr>
        <w:tc>
          <w:tcPr>
            <w:tcW w:w="10431" w:type="dxa"/>
            <w:gridSpan w:val="3"/>
            <w:tcBorders>
              <w:top w:val="outset" w:sz="6" w:space="0" w:color="auto"/>
              <w:left w:val="outset" w:sz="6" w:space="0" w:color="auto"/>
              <w:bottom w:val="outset" w:sz="6" w:space="0" w:color="auto"/>
              <w:right w:val="outset" w:sz="6" w:space="0" w:color="auto"/>
            </w:tcBorders>
            <w:hideMark/>
          </w:tcPr>
          <w:p w14:paraId="68E41890" w14:textId="77777777" w:rsidR="000D2356" w:rsidRPr="005F5D0D" w:rsidRDefault="000E56B2" w:rsidP="000D2356">
            <w:pPr>
              <w:widowControl/>
              <w:spacing w:before="100" w:beforeAutospacing="1" w:after="0" w:line="240" w:lineRule="auto"/>
              <w:rPr>
                <w:rFonts w:eastAsia="Times New Roman"/>
                <w:sz w:val="24"/>
                <w:szCs w:val="24"/>
                <w:lang w:eastAsia="lv-LV"/>
              </w:rPr>
            </w:pPr>
            <w:r w:rsidRPr="005F5D0D">
              <w:rPr>
                <w:rFonts w:eastAsia="Times New Roman"/>
                <w:b/>
                <w:bCs/>
                <w:iCs/>
                <w:sz w:val="24"/>
                <w:szCs w:val="24"/>
                <w:lang w:eastAsia="lv-LV"/>
              </w:rPr>
              <w:t xml:space="preserve">VII. </w:t>
            </w:r>
            <w:r w:rsidR="00820DC6" w:rsidRPr="005F5D0D">
              <w:rPr>
                <w:rFonts w:eastAsia="Times New Roman"/>
                <w:b/>
                <w:bCs/>
                <w:iCs/>
                <w:sz w:val="24"/>
                <w:szCs w:val="24"/>
                <w:lang w:eastAsia="lv-LV"/>
              </w:rPr>
              <w:t xml:space="preserve">  </w:t>
            </w:r>
            <w:r w:rsidRPr="005F5D0D">
              <w:rPr>
                <w:rFonts w:eastAsia="Times New Roman"/>
                <w:b/>
                <w:bCs/>
                <w:iCs/>
                <w:sz w:val="24"/>
                <w:szCs w:val="24"/>
                <w:lang w:eastAsia="lv-LV"/>
              </w:rPr>
              <w:t>Tiesību akta projekta izpildes nodrošināšana un tās ietekme uz institūcijām</w:t>
            </w:r>
          </w:p>
        </w:tc>
      </w:tr>
      <w:tr w:rsidR="005F5D0D" w:rsidRPr="005F5D0D" w14:paraId="4DA947AC" w14:textId="77777777" w:rsidTr="00D97FBA">
        <w:trPr>
          <w:tblCellSpacing w:w="15" w:type="dxa"/>
        </w:trPr>
        <w:tc>
          <w:tcPr>
            <w:tcW w:w="664" w:type="dxa"/>
            <w:tcBorders>
              <w:top w:val="outset" w:sz="6" w:space="0" w:color="auto"/>
              <w:left w:val="outset" w:sz="6" w:space="0" w:color="auto"/>
              <w:bottom w:val="outset" w:sz="6" w:space="0" w:color="auto"/>
              <w:right w:val="outset" w:sz="6" w:space="0" w:color="auto"/>
            </w:tcBorders>
            <w:hideMark/>
          </w:tcPr>
          <w:p w14:paraId="4060622B" w14:textId="77777777" w:rsidR="000D2356" w:rsidRPr="005F5D0D" w:rsidRDefault="000E56B2"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1.</w:t>
            </w:r>
          </w:p>
        </w:tc>
        <w:tc>
          <w:tcPr>
            <w:tcW w:w="3656" w:type="dxa"/>
            <w:tcBorders>
              <w:top w:val="outset" w:sz="6" w:space="0" w:color="auto"/>
              <w:left w:val="outset" w:sz="6" w:space="0" w:color="auto"/>
              <w:bottom w:val="outset" w:sz="6" w:space="0" w:color="auto"/>
              <w:right w:val="outset" w:sz="6" w:space="0" w:color="auto"/>
            </w:tcBorders>
            <w:hideMark/>
          </w:tcPr>
          <w:p w14:paraId="4CA2F51F" w14:textId="77777777" w:rsidR="000D2356" w:rsidRPr="005F5D0D" w:rsidRDefault="000E56B2"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Projekta izpildē iesaistītās institūcijas</w:t>
            </w:r>
          </w:p>
        </w:tc>
        <w:tc>
          <w:tcPr>
            <w:tcW w:w="6051" w:type="dxa"/>
            <w:tcBorders>
              <w:top w:val="outset" w:sz="6" w:space="0" w:color="auto"/>
              <w:left w:val="outset" w:sz="6" w:space="0" w:color="auto"/>
              <w:bottom w:val="outset" w:sz="6" w:space="0" w:color="auto"/>
              <w:right w:val="outset" w:sz="6" w:space="0" w:color="auto"/>
            </w:tcBorders>
            <w:hideMark/>
          </w:tcPr>
          <w:p w14:paraId="22A27683" w14:textId="6FC22A2F" w:rsidR="000D2356" w:rsidRPr="005F5D0D" w:rsidRDefault="000E56B2" w:rsidP="00231D32">
            <w:pPr>
              <w:widowControl/>
              <w:spacing w:before="100" w:beforeAutospacing="1" w:after="0" w:line="240" w:lineRule="auto"/>
              <w:jc w:val="both"/>
              <w:rPr>
                <w:rFonts w:eastAsia="Times New Roman"/>
                <w:sz w:val="24"/>
                <w:szCs w:val="24"/>
                <w:lang w:eastAsia="lv-LV"/>
              </w:rPr>
            </w:pPr>
            <w:r w:rsidRPr="005F5D0D">
              <w:rPr>
                <w:rFonts w:eastAsia="Times New Roman"/>
                <w:iCs/>
                <w:sz w:val="24"/>
                <w:szCs w:val="24"/>
                <w:lang w:eastAsia="lv-LV"/>
              </w:rPr>
              <w:t>Finanšu ministrija</w:t>
            </w:r>
            <w:r w:rsidRPr="00DC08B8">
              <w:rPr>
                <w:rFonts w:eastAsia="Times New Roman"/>
                <w:iCs/>
                <w:sz w:val="24"/>
                <w:szCs w:val="24"/>
                <w:lang w:eastAsia="lv-LV"/>
              </w:rPr>
              <w:t xml:space="preserve">, </w:t>
            </w:r>
            <w:r w:rsidR="00231D32" w:rsidRPr="00DC08B8">
              <w:rPr>
                <w:rFonts w:eastAsia="Times New Roman"/>
                <w:iCs/>
                <w:sz w:val="24"/>
                <w:szCs w:val="24"/>
                <w:lang w:eastAsia="lv-LV"/>
              </w:rPr>
              <w:t>VID</w:t>
            </w:r>
            <w:r w:rsidR="00491F13" w:rsidRPr="00DC08B8">
              <w:rPr>
                <w:rFonts w:eastAsia="Times New Roman"/>
                <w:iCs/>
                <w:sz w:val="24"/>
                <w:szCs w:val="24"/>
                <w:lang w:eastAsia="lv-LV"/>
              </w:rPr>
              <w:t>.</w:t>
            </w:r>
          </w:p>
        </w:tc>
      </w:tr>
      <w:tr w:rsidR="005F5D0D" w:rsidRPr="005F5D0D" w14:paraId="3C6A310D" w14:textId="77777777" w:rsidTr="00D97FBA">
        <w:trPr>
          <w:tblCellSpacing w:w="15" w:type="dxa"/>
        </w:trPr>
        <w:tc>
          <w:tcPr>
            <w:tcW w:w="664" w:type="dxa"/>
            <w:tcBorders>
              <w:top w:val="outset" w:sz="6" w:space="0" w:color="auto"/>
              <w:left w:val="outset" w:sz="6" w:space="0" w:color="auto"/>
              <w:bottom w:val="outset" w:sz="6" w:space="0" w:color="auto"/>
              <w:right w:val="outset" w:sz="6" w:space="0" w:color="auto"/>
            </w:tcBorders>
            <w:hideMark/>
          </w:tcPr>
          <w:p w14:paraId="520797D3" w14:textId="5166B954" w:rsidR="000D2356" w:rsidRPr="005F5D0D" w:rsidRDefault="000E56B2" w:rsidP="00D05347">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2.</w:t>
            </w:r>
            <w:r w:rsidR="00D05347" w:rsidRPr="005F5D0D" w:rsidDel="00D05347">
              <w:rPr>
                <w:rFonts w:eastAsia="Times New Roman"/>
                <w:sz w:val="24"/>
                <w:szCs w:val="24"/>
                <w:lang w:eastAsia="lv-LV"/>
              </w:rPr>
              <w:t xml:space="preserve"> </w:t>
            </w:r>
          </w:p>
        </w:tc>
        <w:tc>
          <w:tcPr>
            <w:tcW w:w="3656" w:type="dxa"/>
            <w:tcBorders>
              <w:top w:val="outset" w:sz="6" w:space="0" w:color="auto"/>
              <w:left w:val="outset" w:sz="6" w:space="0" w:color="auto"/>
              <w:bottom w:val="outset" w:sz="6" w:space="0" w:color="auto"/>
              <w:right w:val="outset" w:sz="6" w:space="0" w:color="auto"/>
            </w:tcBorders>
            <w:hideMark/>
          </w:tcPr>
          <w:p w14:paraId="1EB3F228" w14:textId="77777777" w:rsidR="000D2356" w:rsidRPr="005F5D0D" w:rsidRDefault="000E56B2"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 xml:space="preserve">Projekta izpildes ietekme uz pārvaldes funkcijām un </w:t>
            </w:r>
            <w:r w:rsidRPr="005F5D0D">
              <w:rPr>
                <w:rFonts w:eastAsia="Times New Roman"/>
                <w:iCs/>
                <w:sz w:val="24"/>
                <w:szCs w:val="24"/>
                <w:lang w:eastAsia="lv-LV"/>
              </w:rPr>
              <w:lastRenderedPageBreak/>
              <w:t>institucionālo struktūru.</w:t>
            </w:r>
            <w:r w:rsidRPr="005F5D0D">
              <w:rPr>
                <w:rFonts w:eastAsia="Times New Roman"/>
                <w:iCs/>
                <w:sz w:val="24"/>
                <w:szCs w:val="24"/>
                <w:lang w:eastAsia="lv-LV"/>
              </w:rPr>
              <w:br/>
              <w:t>Jaunu institūciju izveide, esošu institūciju likvidācija vai reorganizācija, to ietekme uz institūcijas cilvēkresursiem</w:t>
            </w:r>
          </w:p>
        </w:tc>
        <w:tc>
          <w:tcPr>
            <w:tcW w:w="6051" w:type="dxa"/>
            <w:tcBorders>
              <w:top w:val="outset" w:sz="6" w:space="0" w:color="auto"/>
              <w:left w:val="outset" w:sz="6" w:space="0" w:color="auto"/>
              <w:bottom w:val="outset" w:sz="6" w:space="0" w:color="auto"/>
              <w:right w:val="outset" w:sz="6" w:space="0" w:color="auto"/>
            </w:tcBorders>
            <w:hideMark/>
          </w:tcPr>
          <w:p w14:paraId="785DAAB1" w14:textId="00E16AA4" w:rsidR="000D2356" w:rsidRPr="005F5D0D" w:rsidRDefault="000E56B2" w:rsidP="00595FE6">
            <w:pPr>
              <w:widowControl/>
              <w:spacing w:before="100" w:beforeAutospacing="1" w:after="0" w:line="240" w:lineRule="auto"/>
              <w:jc w:val="both"/>
              <w:rPr>
                <w:rFonts w:eastAsia="Times New Roman"/>
                <w:sz w:val="24"/>
                <w:szCs w:val="24"/>
                <w:lang w:eastAsia="lv-LV"/>
              </w:rPr>
            </w:pPr>
            <w:r w:rsidRPr="005F5D0D">
              <w:rPr>
                <w:rFonts w:eastAsia="Times New Roman"/>
                <w:iCs/>
                <w:sz w:val="24"/>
                <w:szCs w:val="24"/>
                <w:lang w:eastAsia="lv-LV"/>
              </w:rPr>
              <w:lastRenderedPageBreak/>
              <w:t xml:space="preserve">Nav plānota jaunu institūciju izveide, esošu institūciju likvidācija vai reorganizācija. </w:t>
            </w:r>
            <w:r w:rsidR="00DD0EEC" w:rsidRPr="00DD0EEC">
              <w:rPr>
                <w:rFonts w:eastAsia="Times New Roman"/>
                <w:iCs/>
                <w:sz w:val="24"/>
                <w:szCs w:val="24"/>
                <w:lang w:eastAsia="lv-LV"/>
              </w:rPr>
              <w:t xml:space="preserve">Ar grāmatvedības </w:t>
            </w:r>
            <w:r w:rsidR="00DD0EEC" w:rsidRPr="00DD0EEC">
              <w:rPr>
                <w:rFonts w:eastAsia="Times New Roman"/>
                <w:iCs/>
                <w:sz w:val="24"/>
                <w:szCs w:val="24"/>
                <w:lang w:eastAsia="lv-LV"/>
              </w:rPr>
              <w:lastRenderedPageBreak/>
              <w:t>ārpakalpojuma sniedzēju licencēšanas ieviešanu tie</w:t>
            </w:r>
            <w:r w:rsidR="00DD0EEC">
              <w:rPr>
                <w:rFonts w:eastAsia="Times New Roman"/>
                <w:iCs/>
                <w:sz w:val="24"/>
                <w:szCs w:val="24"/>
                <w:lang w:eastAsia="lv-LV"/>
              </w:rPr>
              <w:t>k paplašināts VID uzdevumu loks</w:t>
            </w:r>
            <w:r w:rsidR="00DD0EEC" w:rsidRPr="00DD0EEC">
              <w:rPr>
                <w:rFonts w:eastAsia="Times New Roman"/>
                <w:iCs/>
                <w:sz w:val="24"/>
                <w:szCs w:val="24"/>
                <w:lang w:eastAsia="lv-LV"/>
              </w:rPr>
              <w:t>. Licencēšanas uzdevumu izpildei VID ir nepieciešams izstrādāt un uzturēt licencēto grāmatvedības ārpakalpojumu sniedzēju reģistru un izsniegt licences grāmatvedības</w:t>
            </w:r>
            <w:r w:rsidR="00595FE6">
              <w:rPr>
                <w:rFonts w:eastAsia="Times New Roman"/>
                <w:iCs/>
                <w:sz w:val="24"/>
                <w:szCs w:val="24"/>
                <w:lang w:eastAsia="lv-LV"/>
              </w:rPr>
              <w:t xml:space="preserve"> ārpakalpojumu sniedzējiem.</w:t>
            </w:r>
          </w:p>
        </w:tc>
      </w:tr>
      <w:tr w:rsidR="005F5D0D" w:rsidRPr="005F5D0D" w14:paraId="0AD6B4ED" w14:textId="77777777" w:rsidTr="00D97FBA">
        <w:trPr>
          <w:tblCellSpacing w:w="15" w:type="dxa"/>
        </w:trPr>
        <w:tc>
          <w:tcPr>
            <w:tcW w:w="664" w:type="dxa"/>
            <w:tcBorders>
              <w:top w:val="outset" w:sz="6" w:space="0" w:color="auto"/>
              <w:left w:val="outset" w:sz="6" w:space="0" w:color="auto"/>
              <w:bottom w:val="outset" w:sz="6" w:space="0" w:color="auto"/>
              <w:right w:val="outset" w:sz="6" w:space="0" w:color="auto"/>
            </w:tcBorders>
            <w:hideMark/>
          </w:tcPr>
          <w:p w14:paraId="50E8972A" w14:textId="77777777" w:rsidR="000D2356" w:rsidRPr="005F5D0D" w:rsidRDefault="000E56B2"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lastRenderedPageBreak/>
              <w:t>3.</w:t>
            </w:r>
          </w:p>
        </w:tc>
        <w:tc>
          <w:tcPr>
            <w:tcW w:w="3656" w:type="dxa"/>
            <w:tcBorders>
              <w:top w:val="outset" w:sz="6" w:space="0" w:color="auto"/>
              <w:left w:val="outset" w:sz="6" w:space="0" w:color="auto"/>
              <w:bottom w:val="outset" w:sz="6" w:space="0" w:color="auto"/>
              <w:right w:val="outset" w:sz="6" w:space="0" w:color="auto"/>
            </w:tcBorders>
            <w:hideMark/>
          </w:tcPr>
          <w:p w14:paraId="05FBFF20" w14:textId="77777777" w:rsidR="000D2356" w:rsidRPr="005F5D0D" w:rsidRDefault="000E56B2"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Cita informācija</w:t>
            </w:r>
          </w:p>
        </w:tc>
        <w:tc>
          <w:tcPr>
            <w:tcW w:w="6051" w:type="dxa"/>
            <w:tcBorders>
              <w:top w:val="outset" w:sz="6" w:space="0" w:color="auto"/>
              <w:left w:val="outset" w:sz="6" w:space="0" w:color="auto"/>
              <w:bottom w:val="outset" w:sz="6" w:space="0" w:color="auto"/>
              <w:right w:val="outset" w:sz="6" w:space="0" w:color="auto"/>
            </w:tcBorders>
            <w:hideMark/>
          </w:tcPr>
          <w:p w14:paraId="2F773270" w14:textId="77777777" w:rsidR="000D2356" w:rsidRPr="005F5D0D" w:rsidRDefault="000E56B2"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Nav</w:t>
            </w:r>
          </w:p>
        </w:tc>
      </w:tr>
    </w:tbl>
    <w:p w14:paraId="0538AEE0" w14:textId="4048F04F" w:rsidR="003A585F" w:rsidRPr="005F5D0D" w:rsidRDefault="003A585F" w:rsidP="00401D74">
      <w:pPr>
        <w:widowControl/>
        <w:spacing w:before="100" w:beforeAutospacing="1" w:after="100" w:afterAutospacing="1" w:line="240" w:lineRule="auto"/>
        <w:jc w:val="both"/>
        <w:rPr>
          <w:rFonts w:eastAsia="Times New Roman"/>
          <w:sz w:val="24"/>
          <w:szCs w:val="24"/>
          <w:lang w:eastAsia="lv-LV"/>
        </w:rPr>
      </w:pPr>
      <w:bookmarkStart w:id="3" w:name="c"/>
      <w:bookmarkEnd w:id="3"/>
    </w:p>
    <w:p w14:paraId="4937E7BB" w14:textId="4B020892" w:rsidR="003A585F" w:rsidRPr="005F5D0D" w:rsidRDefault="003A585F" w:rsidP="00401D74">
      <w:pPr>
        <w:widowControl/>
        <w:spacing w:before="100" w:beforeAutospacing="1" w:after="100" w:afterAutospacing="1" w:line="240" w:lineRule="auto"/>
        <w:jc w:val="both"/>
        <w:rPr>
          <w:rFonts w:eastAsia="Times New Roman"/>
          <w:sz w:val="24"/>
          <w:szCs w:val="24"/>
          <w:lang w:eastAsia="lv-LV"/>
        </w:rPr>
      </w:pPr>
      <w:r w:rsidRPr="005F5D0D">
        <w:rPr>
          <w:rFonts w:eastAsia="Times New Roman"/>
          <w:sz w:val="24"/>
          <w:szCs w:val="24"/>
          <w:lang w:eastAsia="lv-LV"/>
        </w:rPr>
        <w:t>Finanšu ministrs                                                                                                                     J.Reirs</w:t>
      </w:r>
    </w:p>
    <w:p w14:paraId="583383A2" w14:textId="574F1D0B" w:rsidR="003A585F" w:rsidRPr="005F5D0D" w:rsidRDefault="003A585F" w:rsidP="003B7D2D">
      <w:pPr>
        <w:widowControl/>
        <w:spacing w:after="160" w:line="259" w:lineRule="auto"/>
        <w:rPr>
          <w:rFonts w:eastAsia="Times New Roman"/>
          <w:sz w:val="24"/>
          <w:szCs w:val="24"/>
          <w:lang w:eastAsia="lv-LV"/>
        </w:rPr>
      </w:pPr>
    </w:p>
    <w:p w14:paraId="111A00AC" w14:textId="4F7F74AA" w:rsidR="003A585F" w:rsidRPr="005F5D0D" w:rsidRDefault="003A585F" w:rsidP="00536275">
      <w:pPr>
        <w:widowControl/>
        <w:spacing w:after="0" w:line="240" w:lineRule="auto"/>
        <w:rPr>
          <w:rFonts w:eastAsia="Times New Roman"/>
          <w:sz w:val="24"/>
          <w:szCs w:val="24"/>
          <w:lang w:eastAsia="lv-LV"/>
        </w:rPr>
      </w:pPr>
      <w:r w:rsidRPr="005F5D0D">
        <w:rPr>
          <w:rFonts w:eastAsia="Times New Roman"/>
          <w:sz w:val="24"/>
          <w:szCs w:val="24"/>
          <w:lang w:eastAsia="lv-LV"/>
        </w:rPr>
        <w:t xml:space="preserve">A.Aizupietis, </w:t>
      </w:r>
      <w:r w:rsidR="00067691" w:rsidRPr="005F5D0D">
        <w:rPr>
          <w:rFonts w:eastAsia="Times New Roman"/>
          <w:sz w:val="24"/>
          <w:szCs w:val="24"/>
          <w:lang w:eastAsia="lv-LV"/>
        </w:rPr>
        <w:t>67122499</w:t>
      </w:r>
    </w:p>
    <w:p w14:paraId="287644C4" w14:textId="365230E2" w:rsidR="003A585F" w:rsidRPr="005F5D0D" w:rsidRDefault="009D27A7" w:rsidP="005F5D0D">
      <w:pPr>
        <w:widowControl/>
        <w:spacing w:after="0" w:line="240" w:lineRule="auto"/>
        <w:rPr>
          <w:rFonts w:eastAsia="Times New Roman"/>
          <w:sz w:val="24"/>
          <w:szCs w:val="24"/>
          <w:lang w:eastAsia="lv-LV"/>
        </w:rPr>
      </w:pPr>
      <w:hyperlink r:id="rId13" w:history="1">
        <w:r w:rsidR="003A585F" w:rsidRPr="005F5D0D">
          <w:rPr>
            <w:rStyle w:val="Hyperlink"/>
            <w:rFonts w:eastAsia="Times New Roman"/>
            <w:color w:val="auto"/>
            <w:sz w:val="24"/>
            <w:szCs w:val="24"/>
            <w:lang w:eastAsia="lv-LV"/>
          </w:rPr>
          <w:t>Artis.Aizupietis@vid.gov.lv</w:t>
        </w:r>
      </w:hyperlink>
    </w:p>
    <w:sectPr w:rsidR="003A585F" w:rsidRPr="005F5D0D" w:rsidSect="00050688">
      <w:headerReference w:type="default" r:id="rId14"/>
      <w:footerReference w:type="default" r:id="rId15"/>
      <w:footerReference w:type="first" r:id="rId16"/>
      <w:pgSz w:w="11906" w:h="16838"/>
      <w:pgMar w:top="1134" w:right="1134" w:bottom="1134"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659443" w14:textId="77777777" w:rsidR="009D27A7" w:rsidRDefault="009D27A7">
      <w:pPr>
        <w:spacing w:after="0" w:line="240" w:lineRule="auto"/>
      </w:pPr>
      <w:r>
        <w:separator/>
      </w:r>
    </w:p>
  </w:endnote>
  <w:endnote w:type="continuationSeparator" w:id="0">
    <w:p w14:paraId="76CBE3AF" w14:textId="77777777" w:rsidR="009D27A7" w:rsidRDefault="009D2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BA"/>
    <w:family w:val="swiss"/>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AE917" w14:textId="4392213B" w:rsidR="00630219" w:rsidRDefault="00630219">
    <w:pPr>
      <w:pStyle w:val="Footer"/>
    </w:pPr>
    <w:r w:rsidRPr="004562FC">
      <w:rPr>
        <w:sz w:val="20"/>
        <w:szCs w:val="20"/>
      </w:rPr>
      <w:t>FMAnot_</w:t>
    </w:r>
    <w:r>
      <w:rPr>
        <w:sz w:val="20"/>
        <w:szCs w:val="20"/>
      </w:rPr>
      <w:t>10052019</w:t>
    </w:r>
    <w:r w:rsidRPr="004562FC">
      <w:rPr>
        <w:sz w:val="20"/>
        <w:szCs w:val="20"/>
      </w:rPr>
      <w:t>_Groz_Par_gramatvedibu_anotācija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B8759" w14:textId="5FD0D5ED" w:rsidR="00630219" w:rsidRPr="004562FC" w:rsidRDefault="00630219">
    <w:pPr>
      <w:pStyle w:val="Footer"/>
      <w:rPr>
        <w:sz w:val="20"/>
        <w:szCs w:val="20"/>
      </w:rPr>
    </w:pPr>
    <w:r w:rsidRPr="004562FC">
      <w:rPr>
        <w:sz w:val="20"/>
        <w:szCs w:val="20"/>
      </w:rPr>
      <w:t>FMAnot_</w:t>
    </w:r>
    <w:r>
      <w:rPr>
        <w:sz w:val="20"/>
        <w:szCs w:val="20"/>
      </w:rPr>
      <w:t>10052019</w:t>
    </w:r>
    <w:r w:rsidRPr="004562FC">
      <w:rPr>
        <w:sz w:val="20"/>
        <w:szCs w:val="20"/>
      </w:rPr>
      <w:t>_Groz_Par_gramatvedibu_anotācija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D8DA0" w14:textId="77777777" w:rsidR="009D27A7" w:rsidRDefault="009D27A7" w:rsidP="003E486F">
      <w:pPr>
        <w:spacing w:after="0" w:line="240" w:lineRule="auto"/>
      </w:pPr>
      <w:r>
        <w:separator/>
      </w:r>
    </w:p>
  </w:footnote>
  <w:footnote w:type="continuationSeparator" w:id="0">
    <w:p w14:paraId="716ADE93" w14:textId="77777777" w:rsidR="009D27A7" w:rsidRDefault="009D27A7" w:rsidP="003E486F">
      <w:pPr>
        <w:spacing w:after="0" w:line="240" w:lineRule="auto"/>
      </w:pPr>
      <w:r>
        <w:continuationSeparator/>
      </w:r>
    </w:p>
  </w:footnote>
  <w:footnote w:id="1">
    <w:p w14:paraId="223DE6F9" w14:textId="77777777" w:rsidR="00630219" w:rsidRPr="00027FCA" w:rsidRDefault="00630219" w:rsidP="00526AAF">
      <w:pPr>
        <w:pStyle w:val="FootnoteText"/>
        <w:ind w:left="113" w:hanging="113"/>
        <w:rPr>
          <w:lang w:val="lv-LV"/>
        </w:rPr>
      </w:pPr>
      <w:r>
        <w:rPr>
          <w:rStyle w:val="FootnoteReference"/>
        </w:rPr>
        <w:footnoteRef/>
      </w:r>
      <w:r>
        <w:rPr>
          <w:lang w:val="lv-LV"/>
        </w:rPr>
        <w:t xml:space="preserve"> </w:t>
      </w:r>
      <w:r w:rsidRPr="000A2DFF">
        <w:rPr>
          <w:lang w:val="lv-LV"/>
        </w:rPr>
        <w:t>Latvijas nacionālā nelegāli iegūtu līdzekļu legalizācijas un terorisma finansēšanas risku novērtējuma</w:t>
      </w:r>
      <w:r w:rsidRPr="00FC4F80">
        <w:rPr>
          <w:lang w:val="lv-LV"/>
        </w:rPr>
        <w:t xml:space="preserve"> 8.3.22.</w:t>
      </w:r>
      <w:r>
        <w:rPr>
          <w:lang w:val="lv-LV"/>
        </w:rPr>
        <w:t>punkts 92.lpp</w:t>
      </w:r>
    </w:p>
  </w:footnote>
  <w:footnote w:id="2">
    <w:p w14:paraId="3BD2ABC9" w14:textId="77777777" w:rsidR="00630219" w:rsidRPr="00027FCA" w:rsidRDefault="00630219" w:rsidP="00526AAF">
      <w:pPr>
        <w:pStyle w:val="FootnoteText"/>
        <w:ind w:left="113" w:hanging="113"/>
        <w:rPr>
          <w:lang w:val="lv-LV"/>
        </w:rPr>
      </w:pPr>
      <w:r>
        <w:rPr>
          <w:rStyle w:val="FootnoteReference"/>
        </w:rPr>
        <w:footnoteRef/>
      </w:r>
      <w:r>
        <w:rPr>
          <w:lang w:val="lv-LV"/>
        </w:rPr>
        <w:t xml:space="preserve"> </w:t>
      </w:r>
      <w:r w:rsidRPr="000A2DFF">
        <w:rPr>
          <w:lang w:val="lv-LV"/>
        </w:rPr>
        <w:t>Latvijas nacionālā nelegāli iegūtu līdzekļu legalizācijas un terorisma finansēšanas risku novērtējuma</w:t>
      </w:r>
      <w:r>
        <w:rPr>
          <w:lang w:val="lv-LV"/>
        </w:rPr>
        <w:t xml:space="preserve"> 8.3.7.punkts 90. lpp</w:t>
      </w:r>
    </w:p>
  </w:footnote>
  <w:footnote w:id="3">
    <w:p w14:paraId="1C1502E2" w14:textId="77777777" w:rsidR="00630219" w:rsidRPr="00C911D6" w:rsidRDefault="00630219" w:rsidP="00526AAF">
      <w:pPr>
        <w:pStyle w:val="FootnoteText"/>
        <w:ind w:left="113" w:hanging="113"/>
        <w:rPr>
          <w:lang w:val="lv-LV"/>
        </w:rPr>
      </w:pPr>
      <w:r>
        <w:rPr>
          <w:rStyle w:val="FootnoteReference"/>
        </w:rPr>
        <w:footnoteRef/>
      </w:r>
      <w:r>
        <w:rPr>
          <w:lang w:val="lv-LV"/>
        </w:rPr>
        <w:t xml:space="preserve"> </w:t>
      </w:r>
      <w:r w:rsidRPr="000A2DFF">
        <w:rPr>
          <w:lang w:val="lv-LV"/>
        </w:rPr>
        <w:t>Latvijas nacionālā nelegāli iegūtu līdzekļu legalizācijas un terorisma finansēšanas risku novērtējuma</w:t>
      </w:r>
      <w:r w:rsidRPr="00C911D6">
        <w:rPr>
          <w:lang w:val="lv-LV"/>
        </w:rPr>
        <w:t xml:space="preserve"> 8.3.40.punkts</w:t>
      </w:r>
    </w:p>
  </w:footnote>
  <w:footnote w:id="4">
    <w:p w14:paraId="6D1C48CD" w14:textId="77777777" w:rsidR="00630219" w:rsidRPr="008A572F" w:rsidRDefault="00630219" w:rsidP="003E486F">
      <w:pPr>
        <w:pStyle w:val="FootnoteText"/>
        <w:rPr>
          <w:lang w:val="lv-LV"/>
        </w:rPr>
      </w:pPr>
      <w:r>
        <w:rPr>
          <w:rStyle w:val="FootnoteReference"/>
        </w:rPr>
        <w:footnoteRef/>
      </w:r>
      <w:r>
        <w:rPr>
          <w:lang w:val="lv-LV"/>
        </w:rPr>
        <w:t xml:space="preserve">Noziedzīgi iegūtu līdzekļu legalizācijas un terorisma finansēšanas novēršanas likuma Sākotnējās ietekmes novērtējuma ziņojums no 17.05.2017.pieejams: </w:t>
      </w:r>
      <w:r w:rsidRPr="00A81324">
        <w:rPr>
          <w:lang w:val="lv-LV"/>
        </w:rPr>
        <w:t>tap.mk.gov.lv/doc/2017_06/FMAnot_190517_NILLTFNL.1035.docx</w:t>
      </w:r>
    </w:p>
  </w:footnote>
  <w:footnote w:id="5">
    <w:p w14:paraId="7121E338" w14:textId="77777777" w:rsidR="00630219" w:rsidRPr="00CC6B80" w:rsidRDefault="00630219" w:rsidP="00514773">
      <w:pPr>
        <w:pStyle w:val="FootnoteText"/>
      </w:pPr>
      <w:r>
        <w:rPr>
          <w:rStyle w:val="FootnoteReference"/>
        </w:rPr>
        <w:footnoteRef/>
      </w:r>
      <w:r>
        <w:t xml:space="preserve"> </w:t>
      </w:r>
      <w:r>
        <w:rPr>
          <w:lang w:val="lv-LV"/>
        </w:rPr>
        <w:t xml:space="preserve">Moneyval 4.kārtas ziņojums 262.lpp., pieejams: </w:t>
      </w:r>
      <w:r w:rsidRPr="00A60BB5">
        <w:rPr>
          <w:lang w:val="lv-LV"/>
        </w:rPr>
        <w:t>https://rm.coe.int/report-on-fourth-assessment-visit-anti-money-laundering-and-combating-/1680716b9f</w:t>
      </w:r>
    </w:p>
  </w:footnote>
  <w:footnote w:id="6">
    <w:p w14:paraId="3C16DA33" w14:textId="77777777" w:rsidR="00630219" w:rsidRPr="00CC6B80" w:rsidRDefault="00630219" w:rsidP="00514773">
      <w:pPr>
        <w:pStyle w:val="FootnoteText"/>
      </w:pPr>
      <w:r>
        <w:rPr>
          <w:rStyle w:val="FootnoteReference"/>
        </w:rPr>
        <w:footnoteRef/>
      </w:r>
      <w:r>
        <w:rPr>
          <w:lang w:val="lv-LV"/>
        </w:rPr>
        <w:t xml:space="preserve">Moneyval 5.kārtas ziņojums </w:t>
      </w:r>
      <w:r>
        <w:t xml:space="preserve">90.lpp., pieejams:  </w:t>
      </w:r>
      <w:r w:rsidRPr="00CC6B80">
        <w:t>https://rm.coe.int/moneyval-2018-8-5th-round-mer-latvia/16808ce61b</w:t>
      </w:r>
    </w:p>
  </w:footnote>
  <w:footnote w:id="7">
    <w:p w14:paraId="53BD9DEF" w14:textId="77777777" w:rsidR="00630219" w:rsidRPr="008A572F" w:rsidRDefault="00630219" w:rsidP="00514773">
      <w:pPr>
        <w:pStyle w:val="FootnoteText"/>
        <w:rPr>
          <w:lang w:val="lv-LV"/>
        </w:rPr>
      </w:pPr>
      <w:r>
        <w:rPr>
          <w:rStyle w:val="FootnoteReference"/>
        </w:rPr>
        <w:footnoteRef/>
      </w:r>
      <w:r w:rsidRPr="008A572F">
        <w:rPr>
          <w:lang w:val="lv-LV"/>
        </w:rPr>
        <w:t xml:space="preserve"> </w:t>
      </w:r>
      <w:r>
        <w:rPr>
          <w:lang w:val="lv-LV"/>
        </w:rPr>
        <w:t xml:space="preserve">Finanšu darījumu darba grupas (FATF) rekomendācijas. 28.rekomendācija 87.lpp. pieejamas: </w:t>
      </w:r>
      <w:r w:rsidRPr="00A81324">
        <w:rPr>
          <w:lang w:val="lv-LV"/>
        </w:rPr>
        <w:t>https://www.vid.gov.lv/sites/default/files/fatf_rekomendacijas_lv.pdf</w:t>
      </w:r>
      <w:r>
        <w:rPr>
          <w:lang w:val="lv-LV"/>
        </w:rPr>
        <w:t xml:space="preserve"> </w:t>
      </w:r>
    </w:p>
  </w:footnote>
  <w:footnote w:id="8">
    <w:p w14:paraId="2C60B7A3" w14:textId="6347173F" w:rsidR="00630219" w:rsidRPr="008A572F" w:rsidRDefault="00630219" w:rsidP="00514773">
      <w:pPr>
        <w:pStyle w:val="FootnoteText"/>
        <w:rPr>
          <w:lang w:val="lv-LV"/>
        </w:rPr>
      </w:pPr>
      <w:r>
        <w:rPr>
          <w:rStyle w:val="FootnoteReference"/>
        </w:rPr>
        <w:footnoteRef/>
      </w:r>
      <w:r w:rsidRPr="008A572F">
        <w:rPr>
          <w:lang w:val="lv-LV"/>
        </w:rPr>
        <w:t xml:space="preserve"> </w:t>
      </w:r>
      <w:r>
        <w:rPr>
          <w:lang w:val="lv-LV"/>
        </w:rPr>
        <w:t xml:space="preserve">Finašu vadības darba grupas rekomendācijas uz riska balstīta pieejā grāmatvežiem. 23.punkts 5.lpp. pieejams: </w:t>
      </w:r>
      <w:r w:rsidRPr="00737036">
        <w:rPr>
          <w:lang w:val="lv-LV"/>
        </w:rPr>
        <w:t>http://www.fatf-gafi.org/media/fatf/documents/reports/RBA%20for%20accountants.pdf</w:t>
      </w:r>
    </w:p>
  </w:footnote>
  <w:footnote w:id="9">
    <w:p w14:paraId="1571AB94" w14:textId="25352985" w:rsidR="00630219" w:rsidRPr="00D46C2F" w:rsidRDefault="00630219" w:rsidP="00D46C2F">
      <w:pPr>
        <w:pStyle w:val="FootnoteText"/>
        <w:rPr>
          <w:lang w:val="lv-LV"/>
        </w:rPr>
      </w:pPr>
      <w:r>
        <w:rPr>
          <w:rStyle w:val="FootnoteReference"/>
        </w:rPr>
        <w:footnoteRef/>
      </w:r>
      <w:r>
        <w:rPr>
          <w:lang w:val="lv-LV"/>
        </w:rPr>
        <w:t xml:space="preserve">Finašu vadības darba grupas 40. rekomendācijas. 87.lpp. pieejams: </w:t>
      </w:r>
      <w:r w:rsidRPr="00B20E4C">
        <w:rPr>
          <w:lang w:val="lv-LV"/>
        </w:rPr>
        <w:t>https://www.vid.gov.lv/sites/default/files/fatf_rekomendacijas_lv.pdf</w:t>
      </w:r>
      <w:r w:rsidRPr="00D46C2F">
        <w:rPr>
          <w:lang w:val="lv-LV"/>
        </w:rPr>
        <w:t xml:space="preserve"> </w:t>
      </w:r>
    </w:p>
  </w:footnote>
  <w:footnote w:id="10">
    <w:p w14:paraId="5D1CF90B" w14:textId="77777777" w:rsidR="00630219" w:rsidRPr="00526AAF" w:rsidRDefault="00630219">
      <w:pPr>
        <w:pStyle w:val="FootnoteText"/>
        <w:rPr>
          <w:lang w:val="lv-LV"/>
        </w:rPr>
      </w:pPr>
      <w:r>
        <w:rPr>
          <w:rStyle w:val="FootnoteReference"/>
        </w:rPr>
        <w:footnoteRef/>
      </w:r>
      <w:r w:rsidRPr="00526AAF">
        <w:rPr>
          <w:lang w:val="lv-LV"/>
        </w:rPr>
        <w:t xml:space="preserve"> </w:t>
      </w:r>
      <w:r w:rsidRPr="00EA513F">
        <w:rPr>
          <w:lang w:val="lv-LV"/>
        </w:rPr>
        <w:t>Atbildes vēstules projekts Latvijas Republikas Grāmatvežu asociācijai par grāmatvežu profesiju pieejams: tap.mk.gov.lv/doc/2005/FMVest_120711_par_gram_prof.1347.doc</w:t>
      </w:r>
      <w:r>
        <w:rPr>
          <w:lang w:val="lv-LV"/>
        </w:rPr>
        <w:t xml:space="preserve"> 4-lpp.</w:t>
      </w:r>
    </w:p>
  </w:footnote>
  <w:footnote w:id="11">
    <w:p w14:paraId="3B8AFB6E" w14:textId="77777777" w:rsidR="00630219" w:rsidRPr="00B20136" w:rsidRDefault="00630219" w:rsidP="001977BC">
      <w:pPr>
        <w:pStyle w:val="FootnoteText"/>
        <w:rPr>
          <w:lang w:val="lv-LV"/>
        </w:rPr>
      </w:pPr>
      <w:r>
        <w:rPr>
          <w:rStyle w:val="FootnoteReference"/>
        </w:rPr>
        <w:footnoteRef/>
      </w:r>
      <w:r w:rsidRPr="008A572F">
        <w:rPr>
          <w:lang w:val="lv-LV"/>
        </w:rPr>
        <w:t>Law a</w:t>
      </w:r>
      <w:r>
        <w:t>nd Kim” (2005.) Specialization and Regulation: The Rise of Professionals and the Emergence of  Occupational Licensing Regulation citēts no: KOMISIJAS PAZIŅOJUMS EIROPAS PARLAMENTAM, PADOMEI UN  EIROPAS EKONOMIKAS UN SOCIĀLO LIETU KOMITEJAI par valstu noteikumu par piekļuvi profesijām izvērtēšanu</w:t>
      </w:r>
    </w:p>
  </w:footnote>
  <w:footnote w:id="12">
    <w:p w14:paraId="5DDC7C08" w14:textId="77777777" w:rsidR="00630219" w:rsidRPr="00B77F93" w:rsidRDefault="00630219" w:rsidP="00327AF7">
      <w:pPr>
        <w:pStyle w:val="FootnoteText"/>
        <w:rPr>
          <w:lang w:val="lv-LV"/>
        </w:rPr>
      </w:pPr>
      <w:r>
        <w:rPr>
          <w:rStyle w:val="FootnoteReference"/>
        </w:rPr>
        <w:footnoteRef/>
      </w:r>
      <w:r>
        <w:rPr>
          <w:lang w:val="lv-LV"/>
        </w:rPr>
        <w:t xml:space="preserve">Ponomarjovs Andrejs </w:t>
      </w:r>
      <w:r w:rsidRPr="00D818C8">
        <w:rPr>
          <w:lang w:val="lv-LV"/>
        </w:rPr>
        <w:t>Grāmatvežu un revidentu profesionālā ētika: apmācības metodes</w:t>
      </w:r>
      <w:r>
        <w:rPr>
          <w:lang w:val="lv-LV"/>
        </w:rPr>
        <w:t>., Publikācija., pieejama:</w:t>
      </w:r>
      <w:r w:rsidRPr="00D818C8">
        <w:rPr>
          <w:lang w:val="lv-LV"/>
        </w:rPr>
        <w:t xml:space="preserve"> </w:t>
      </w:r>
      <w:r w:rsidRPr="00B77F93">
        <w:rPr>
          <w:lang w:val="lv-LV"/>
        </w:rPr>
        <w:t>http://www.lrga.lv/lrga-jaunumi/gramatvezu-un-revidentu-profesionala-etika-apmacibas-metodes.html</w:t>
      </w:r>
    </w:p>
  </w:footnote>
  <w:footnote w:id="13">
    <w:p w14:paraId="6E8F2D46" w14:textId="77777777" w:rsidR="00630219" w:rsidRPr="008A572F" w:rsidRDefault="00630219" w:rsidP="00C2228F">
      <w:pPr>
        <w:pStyle w:val="FootnoteText"/>
        <w:rPr>
          <w:lang w:val="lv-LV"/>
        </w:rPr>
      </w:pPr>
      <w:r>
        <w:rPr>
          <w:rStyle w:val="FootnoteReference"/>
        </w:rPr>
        <w:footnoteRef/>
      </w:r>
      <w:r w:rsidRPr="008A572F">
        <w:rPr>
          <w:lang w:val="lv-LV"/>
        </w:rPr>
        <w:t>Likumprojekta Nr. 720/Lp12 grozījumi likumā “Par grāmatvedību” anot</w:t>
      </w:r>
      <w:r>
        <w:rPr>
          <w:lang w:val="lv-LV"/>
        </w:rPr>
        <w:t xml:space="preserve">ācija pieejama: </w:t>
      </w:r>
      <w:r w:rsidRPr="00824893">
        <w:rPr>
          <w:lang w:val="lv-LV"/>
        </w:rPr>
        <w:t>http://titania.saeima.lv/LIVS12/saeimalivs12.nsf/0/5798E60069668FEBC225804C00214D86?OpenDocument</w:t>
      </w:r>
      <w:r w:rsidRPr="008A572F">
        <w:rPr>
          <w:lang w:val="lv-LV"/>
        </w:rPr>
        <w:t xml:space="preserve"> </w:t>
      </w:r>
    </w:p>
  </w:footnote>
  <w:footnote w:id="14">
    <w:p w14:paraId="05C8C5A1" w14:textId="77777777" w:rsidR="00630219" w:rsidRPr="008A572F" w:rsidRDefault="00630219" w:rsidP="00C2228F">
      <w:pPr>
        <w:pStyle w:val="FootnoteText"/>
        <w:rPr>
          <w:lang w:val="lv-LV"/>
        </w:rPr>
      </w:pPr>
      <w:r>
        <w:rPr>
          <w:rStyle w:val="FootnoteReference"/>
        </w:rPr>
        <w:footnoteRef/>
      </w:r>
      <w:r w:rsidRPr="008A572F">
        <w:rPr>
          <w:lang w:val="lv-LV"/>
        </w:rPr>
        <w:t xml:space="preserve"> Likumprojekta  Nr. 916/Lp12 grozījumi likumā “Par grāmatvedību” anot</w:t>
      </w:r>
      <w:r>
        <w:rPr>
          <w:lang w:val="lv-LV"/>
        </w:rPr>
        <w:t xml:space="preserve">ācija pieejama: </w:t>
      </w:r>
      <w:r w:rsidRPr="00AB3DA6">
        <w:rPr>
          <w:lang w:val="lv-LV"/>
        </w:rPr>
        <w:t>http://titania.saeima.lv/LIVS12/saeimalivs12.nsf/0/305D704E86EEF27CC225812C00263A14?OpenDocument</w:t>
      </w:r>
    </w:p>
  </w:footnote>
  <w:footnote w:id="15">
    <w:p w14:paraId="2B68C6E4" w14:textId="77777777" w:rsidR="00630219" w:rsidRPr="000401BB" w:rsidRDefault="00630219" w:rsidP="00147CBC">
      <w:pPr>
        <w:pStyle w:val="FootnoteText"/>
        <w:rPr>
          <w:lang w:val="lv-LV"/>
        </w:rPr>
      </w:pPr>
      <w:r>
        <w:rPr>
          <w:rStyle w:val="FootnoteReference"/>
        </w:rPr>
        <w:footnoteRef/>
      </w:r>
      <w:r>
        <w:rPr>
          <w:lang w:val="lv-LV"/>
        </w:rPr>
        <w:t xml:space="preserve">Līgums par Eiropas Savienību Pieejams: </w:t>
      </w:r>
      <w:r w:rsidRPr="000401BB">
        <w:rPr>
          <w:lang w:val="lv-LV"/>
        </w:rPr>
        <w:t>https://www.ecb.europa.eu/ecb/legal/pdf/oj_c_2016_202_full_lv_txt.pdf</w:t>
      </w:r>
    </w:p>
  </w:footnote>
  <w:footnote w:id="16">
    <w:p w14:paraId="6DA2DEBC" w14:textId="77777777" w:rsidR="00630219" w:rsidRPr="00585593" w:rsidRDefault="00630219" w:rsidP="00147CBC">
      <w:pPr>
        <w:pStyle w:val="FootnoteText"/>
        <w:rPr>
          <w:lang w:val="lv-LV"/>
        </w:rPr>
      </w:pPr>
      <w:r>
        <w:rPr>
          <w:rStyle w:val="FootnoteReference"/>
        </w:rPr>
        <w:footnoteRef/>
      </w:r>
      <w:r>
        <w:t>OPINION OF ADVOCATE GENERAL JACOBS., pieejams:</w:t>
      </w:r>
      <w:r w:rsidRPr="00C57197">
        <w:t>http://curia.europa.eu/juris/showPdf.jsf;jsessionid=9ea7d2dc30d8fbc932b132b34ec9a430deabb39d2a05.e34KaxiLc3qMb40Rch0SaxyPaxb0?text=&amp;docid=97177&amp;pageIndex=0&amp;doclang=EN&amp;mode=lst&amp;dir=&amp;occ=first&amp;part=1&amp;cid=493313</w:t>
      </w:r>
    </w:p>
  </w:footnote>
  <w:footnote w:id="17">
    <w:p w14:paraId="1C47D533" w14:textId="77777777" w:rsidR="00630219" w:rsidRPr="00526AAF" w:rsidRDefault="00630219">
      <w:pPr>
        <w:pStyle w:val="FootnoteText"/>
        <w:rPr>
          <w:lang w:val="lv-LV"/>
        </w:rPr>
      </w:pPr>
      <w:r>
        <w:rPr>
          <w:rStyle w:val="FootnoteReference"/>
        </w:rPr>
        <w:footnoteRef/>
      </w:r>
      <w:r w:rsidRPr="00526AAF">
        <w:rPr>
          <w:sz w:val="22"/>
          <w:szCs w:val="22"/>
          <w:lang w:val="lv-LV"/>
        </w:rPr>
        <w:t xml:space="preserve">Atbildes vēstules projekts Latvijas Republikas Grāmatvežu asociācijai par grāmatvežu profesiju pieejams: </w:t>
      </w:r>
      <w:r w:rsidRPr="00962CFE">
        <w:rPr>
          <w:sz w:val="22"/>
          <w:szCs w:val="22"/>
          <w:lang w:val="lv-LV"/>
        </w:rPr>
        <w:t>tap.mk.gov.lv/doc/2005/FMVest_120711_par_gram_prof.1347.do</w:t>
      </w:r>
      <w:r>
        <w:rPr>
          <w:sz w:val="22"/>
          <w:szCs w:val="22"/>
          <w:lang w:val="lv-LV"/>
        </w:rPr>
        <w:t>c</w:t>
      </w:r>
    </w:p>
  </w:footnote>
  <w:footnote w:id="18">
    <w:p w14:paraId="0ACAC598" w14:textId="120D9B6E" w:rsidR="00630219" w:rsidRPr="008A572F" w:rsidRDefault="00630219" w:rsidP="00C10172">
      <w:pPr>
        <w:pStyle w:val="FootnoteText"/>
        <w:rPr>
          <w:lang w:val="lv-LV"/>
        </w:rPr>
      </w:pPr>
      <w:r>
        <w:rPr>
          <w:rStyle w:val="FootnoteReference"/>
        </w:rPr>
        <w:footnoteRef/>
      </w:r>
      <w:r w:rsidRPr="00E429A2">
        <w:t>Satversmes tiesas 2</w:t>
      </w:r>
      <w:r>
        <w:t>014.gada 12.decembra spriedums lietā</w:t>
      </w:r>
      <w:r w:rsidRPr="00E429A2">
        <w:t xml:space="preserve"> </w:t>
      </w:r>
      <w:r>
        <w:t>Nr. 2013-21-03 10.1.-10.2.punkts</w:t>
      </w:r>
    </w:p>
  </w:footnote>
  <w:footnote w:id="19">
    <w:p w14:paraId="200B1750" w14:textId="77777777" w:rsidR="00630219" w:rsidRPr="008A572F" w:rsidRDefault="00630219" w:rsidP="00C10172">
      <w:pPr>
        <w:pStyle w:val="FootnoteText"/>
        <w:rPr>
          <w:lang w:val="lv-LV"/>
        </w:rPr>
      </w:pPr>
      <w:r>
        <w:rPr>
          <w:rStyle w:val="FootnoteReference"/>
        </w:rPr>
        <w:footnoteRef/>
      </w:r>
      <w:r w:rsidRPr="001B2C66">
        <w:t>Satversmes tiesa</w:t>
      </w:r>
      <w:r>
        <w:t>s 2014.gada 7.jūlija spriedums lietā Nr.2013-17-01 22.punkts</w:t>
      </w:r>
    </w:p>
  </w:footnote>
  <w:footnote w:id="20">
    <w:p w14:paraId="648A094A" w14:textId="77777777" w:rsidR="00630219" w:rsidRPr="008A572F" w:rsidRDefault="00630219" w:rsidP="00C10172">
      <w:pPr>
        <w:pStyle w:val="FootnoteText"/>
        <w:rPr>
          <w:lang w:val="lv-LV"/>
        </w:rPr>
      </w:pPr>
      <w:r>
        <w:rPr>
          <w:rStyle w:val="FootnoteReference"/>
        </w:rPr>
        <w:footnoteRef/>
      </w:r>
      <w:r w:rsidRPr="001B2C66">
        <w:t>Satversmes tiesas 2</w:t>
      </w:r>
      <w:r>
        <w:t>010.gada 18.februāra spriedums lietā</w:t>
      </w:r>
      <w:r w:rsidRPr="001B2C66">
        <w:t xml:space="preserve"> Nr.2009-74-01 14. un 17.pu</w:t>
      </w:r>
      <w:r>
        <w:t>nkts</w:t>
      </w:r>
    </w:p>
  </w:footnote>
  <w:footnote w:id="21">
    <w:p w14:paraId="1E9342B0" w14:textId="77777777" w:rsidR="00630219" w:rsidRPr="002F3EC1" w:rsidRDefault="00630219" w:rsidP="00526AAF">
      <w:pPr>
        <w:pStyle w:val="FootnoteText"/>
        <w:ind w:left="113" w:hanging="113"/>
        <w:rPr>
          <w:lang w:val="lv-LV"/>
        </w:rPr>
      </w:pPr>
      <w:r>
        <w:rPr>
          <w:rStyle w:val="FootnoteReference"/>
        </w:rPr>
        <w:footnoteRef/>
      </w:r>
      <w:r w:rsidRPr="002F3EC1">
        <w:t xml:space="preserve">European Commission. Mutual evaluation of </w:t>
      </w:r>
      <w:r>
        <w:t>regulated professions</w:t>
      </w:r>
      <w:r w:rsidRPr="002F3EC1">
        <w:t xml:space="preserve"> - Overview of the regulatory framework in the real estate sector. Ref Ares(2016)813465 - 16/02/2016, p. 4-5</w:t>
      </w:r>
    </w:p>
  </w:footnote>
  <w:footnote w:id="22">
    <w:p w14:paraId="12721582" w14:textId="77777777" w:rsidR="00630219" w:rsidRPr="002F3EC1" w:rsidRDefault="00630219" w:rsidP="00526AAF">
      <w:pPr>
        <w:pStyle w:val="FootnoteText"/>
        <w:ind w:left="113" w:hanging="113"/>
        <w:rPr>
          <w:lang w:val="lv-LV"/>
        </w:rPr>
      </w:pPr>
      <w:r>
        <w:rPr>
          <w:rStyle w:val="FootnoteReference"/>
        </w:rPr>
        <w:footnoteRef/>
      </w:r>
      <w:r w:rsidRPr="00193CAA">
        <w:rPr>
          <w:w w:val="105"/>
          <w:lang w:val="lv-LV"/>
        </w:rPr>
        <w:t xml:space="preserve">Satversmes tiesas </w:t>
      </w:r>
      <w:r>
        <w:rPr>
          <w:w w:val="105"/>
          <w:lang w:val="lv-LV"/>
        </w:rPr>
        <w:t>2007. gada 1. novembra spriedums</w:t>
      </w:r>
      <w:r w:rsidRPr="00193CAA">
        <w:rPr>
          <w:w w:val="105"/>
          <w:lang w:val="lv-LV"/>
        </w:rPr>
        <w:t xml:space="preserve"> </w:t>
      </w:r>
      <w:r>
        <w:rPr>
          <w:w w:val="105"/>
          <w:lang w:val="lv-LV"/>
        </w:rPr>
        <w:t>lietā</w:t>
      </w:r>
      <w:r w:rsidRPr="00193CAA">
        <w:rPr>
          <w:w w:val="105"/>
          <w:lang w:val="lv-LV"/>
        </w:rPr>
        <w:t xml:space="preserve"> Nr. 2007-08-01 7.</w:t>
      </w:r>
      <w:r>
        <w:rPr>
          <w:w w:val="105"/>
          <w:lang w:val="lv-LV"/>
        </w:rPr>
        <w:t>punkts</w:t>
      </w:r>
    </w:p>
  </w:footnote>
  <w:footnote w:id="23">
    <w:p w14:paraId="3DAFDF37" w14:textId="77777777" w:rsidR="00630219" w:rsidRPr="002F3EC1" w:rsidRDefault="00630219" w:rsidP="00526AAF">
      <w:pPr>
        <w:pStyle w:val="FootnoteText"/>
        <w:ind w:left="113" w:hanging="113"/>
        <w:rPr>
          <w:lang w:val="lv-LV"/>
        </w:rPr>
      </w:pPr>
      <w:r>
        <w:rPr>
          <w:rStyle w:val="FootnoteReference"/>
        </w:rPr>
        <w:footnoteRef/>
      </w:r>
      <w:r>
        <w:t xml:space="preserve"> </w:t>
      </w:r>
      <w:r w:rsidRPr="002F3EC1">
        <w:t>EC</w:t>
      </w:r>
      <w:r>
        <w:t xml:space="preserve">T 1986.gada 26.jūnija </w:t>
      </w:r>
      <w:r w:rsidRPr="00526AAF">
        <w:rPr>
          <w:lang w:val="lv-LV"/>
        </w:rPr>
        <w:t>spriedums</w:t>
      </w:r>
      <w:r>
        <w:t xml:space="preserve"> </w:t>
      </w:r>
      <w:r w:rsidRPr="00526AAF">
        <w:rPr>
          <w:lang w:val="lv-LV"/>
        </w:rPr>
        <w:t>lietā</w:t>
      </w:r>
      <w:r w:rsidRPr="002F3EC1">
        <w:t xml:space="preserve"> Van Marie and Others v.</w:t>
      </w:r>
      <w:r>
        <w:t xml:space="preserve"> The Netherlands 39. - 44.punkts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2476461"/>
      <w:docPartObj>
        <w:docPartGallery w:val="Page Numbers (Top of Page)"/>
        <w:docPartUnique/>
      </w:docPartObj>
    </w:sdtPr>
    <w:sdtEndPr>
      <w:rPr>
        <w:noProof/>
      </w:rPr>
    </w:sdtEndPr>
    <w:sdtContent>
      <w:p w14:paraId="76BF6940" w14:textId="1A330746" w:rsidR="00630219" w:rsidRDefault="00630219">
        <w:pPr>
          <w:pStyle w:val="Header"/>
          <w:jc w:val="center"/>
        </w:pPr>
        <w:r>
          <w:fldChar w:fldCharType="begin"/>
        </w:r>
        <w:r>
          <w:instrText xml:space="preserve"> PAGE   \* MERGEFORMAT </w:instrText>
        </w:r>
        <w:r>
          <w:fldChar w:fldCharType="separate"/>
        </w:r>
        <w:r w:rsidR="00461052">
          <w:rPr>
            <w:noProof/>
          </w:rPr>
          <w:t>21</w:t>
        </w:r>
        <w:r>
          <w:rPr>
            <w:noProof/>
          </w:rPr>
          <w:fldChar w:fldCharType="end"/>
        </w:r>
      </w:p>
    </w:sdtContent>
  </w:sdt>
  <w:p w14:paraId="2835A9A6" w14:textId="77777777" w:rsidR="00630219" w:rsidRDefault="006302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3D05"/>
    <w:multiLevelType w:val="hybridMultilevel"/>
    <w:tmpl w:val="21B4607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 w15:restartNumberingAfterBreak="0">
    <w:nsid w:val="10734E16"/>
    <w:multiLevelType w:val="hybridMultilevel"/>
    <w:tmpl w:val="599056D6"/>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1">
    <w:nsid w:val="167076C1"/>
    <w:multiLevelType w:val="hybridMultilevel"/>
    <w:tmpl w:val="2DC40FCA"/>
    <w:lvl w:ilvl="0" w:tplc="50960658">
      <w:numFmt w:val="bullet"/>
      <w:lvlText w:val=""/>
      <w:lvlJc w:val="left"/>
      <w:pPr>
        <w:ind w:left="752" w:hanging="360"/>
      </w:pPr>
      <w:rPr>
        <w:rFonts w:ascii="Symbol" w:eastAsia="Times New Roman" w:hAnsi="Symbol" w:cs="Times New Roman" w:hint="default"/>
      </w:rPr>
    </w:lvl>
    <w:lvl w:ilvl="1" w:tplc="C3E482CA" w:tentative="1">
      <w:start w:val="1"/>
      <w:numFmt w:val="bullet"/>
      <w:lvlText w:val="o"/>
      <w:lvlJc w:val="left"/>
      <w:pPr>
        <w:ind w:left="1472" w:hanging="360"/>
      </w:pPr>
      <w:rPr>
        <w:rFonts w:ascii="Courier New" w:hAnsi="Courier New" w:cs="Courier New" w:hint="default"/>
      </w:rPr>
    </w:lvl>
    <w:lvl w:ilvl="2" w:tplc="1DEEA268" w:tentative="1">
      <w:start w:val="1"/>
      <w:numFmt w:val="bullet"/>
      <w:lvlText w:val=""/>
      <w:lvlJc w:val="left"/>
      <w:pPr>
        <w:ind w:left="2192" w:hanging="360"/>
      </w:pPr>
      <w:rPr>
        <w:rFonts w:ascii="Wingdings" w:hAnsi="Wingdings" w:hint="default"/>
      </w:rPr>
    </w:lvl>
    <w:lvl w:ilvl="3" w:tplc="FC6410E4" w:tentative="1">
      <w:start w:val="1"/>
      <w:numFmt w:val="bullet"/>
      <w:lvlText w:val=""/>
      <w:lvlJc w:val="left"/>
      <w:pPr>
        <w:ind w:left="2912" w:hanging="360"/>
      </w:pPr>
      <w:rPr>
        <w:rFonts w:ascii="Symbol" w:hAnsi="Symbol" w:hint="default"/>
      </w:rPr>
    </w:lvl>
    <w:lvl w:ilvl="4" w:tplc="3F40F630" w:tentative="1">
      <w:start w:val="1"/>
      <w:numFmt w:val="bullet"/>
      <w:lvlText w:val="o"/>
      <w:lvlJc w:val="left"/>
      <w:pPr>
        <w:ind w:left="3632" w:hanging="360"/>
      </w:pPr>
      <w:rPr>
        <w:rFonts w:ascii="Courier New" w:hAnsi="Courier New" w:cs="Courier New" w:hint="default"/>
      </w:rPr>
    </w:lvl>
    <w:lvl w:ilvl="5" w:tplc="28B037C2" w:tentative="1">
      <w:start w:val="1"/>
      <w:numFmt w:val="bullet"/>
      <w:lvlText w:val=""/>
      <w:lvlJc w:val="left"/>
      <w:pPr>
        <w:ind w:left="4352" w:hanging="360"/>
      </w:pPr>
      <w:rPr>
        <w:rFonts w:ascii="Wingdings" w:hAnsi="Wingdings" w:hint="default"/>
      </w:rPr>
    </w:lvl>
    <w:lvl w:ilvl="6" w:tplc="9DF2C47A" w:tentative="1">
      <w:start w:val="1"/>
      <w:numFmt w:val="bullet"/>
      <w:lvlText w:val=""/>
      <w:lvlJc w:val="left"/>
      <w:pPr>
        <w:ind w:left="5072" w:hanging="360"/>
      </w:pPr>
      <w:rPr>
        <w:rFonts w:ascii="Symbol" w:hAnsi="Symbol" w:hint="default"/>
      </w:rPr>
    </w:lvl>
    <w:lvl w:ilvl="7" w:tplc="1FEC2638" w:tentative="1">
      <w:start w:val="1"/>
      <w:numFmt w:val="bullet"/>
      <w:lvlText w:val="o"/>
      <w:lvlJc w:val="left"/>
      <w:pPr>
        <w:ind w:left="5792" w:hanging="360"/>
      </w:pPr>
      <w:rPr>
        <w:rFonts w:ascii="Courier New" w:hAnsi="Courier New" w:cs="Courier New" w:hint="default"/>
      </w:rPr>
    </w:lvl>
    <w:lvl w:ilvl="8" w:tplc="AD9E06CA" w:tentative="1">
      <w:start w:val="1"/>
      <w:numFmt w:val="bullet"/>
      <w:lvlText w:val=""/>
      <w:lvlJc w:val="left"/>
      <w:pPr>
        <w:ind w:left="6512" w:hanging="360"/>
      </w:pPr>
      <w:rPr>
        <w:rFonts w:ascii="Wingdings" w:hAnsi="Wingdings" w:hint="default"/>
      </w:rPr>
    </w:lvl>
  </w:abstractNum>
  <w:abstractNum w:abstractNumId="3" w15:restartNumberingAfterBreak="0">
    <w:nsid w:val="208B3B68"/>
    <w:multiLevelType w:val="hybridMultilevel"/>
    <w:tmpl w:val="7AA0DA9A"/>
    <w:lvl w:ilvl="0" w:tplc="791A72B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1">
    <w:nsid w:val="239A71BE"/>
    <w:multiLevelType w:val="hybridMultilevel"/>
    <w:tmpl w:val="B560B63E"/>
    <w:lvl w:ilvl="0" w:tplc="0A0484EA">
      <w:start w:val="1"/>
      <w:numFmt w:val="bullet"/>
      <w:lvlText w:val=""/>
      <w:lvlJc w:val="left"/>
      <w:pPr>
        <w:ind w:left="720" w:hanging="360"/>
      </w:pPr>
      <w:rPr>
        <w:rFonts w:ascii="Symbol" w:hAnsi="Symbol" w:hint="default"/>
      </w:rPr>
    </w:lvl>
    <w:lvl w:ilvl="1" w:tplc="6422D620" w:tentative="1">
      <w:start w:val="1"/>
      <w:numFmt w:val="bullet"/>
      <w:lvlText w:val="o"/>
      <w:lvlJc w:val="left"/>
      <w:pPr>
        <w:ind w:left="1440" w:hanging="360"/>
      </w:pPr>
      <w:rPr>
        <w:rFonts w:ascii="Courier New" w:hAnsi="Courier New" w:cs="Courier New" w:hint="default"/>
      </w:rPr>
    </w:lvl>
    <w:lvl w:ilvl="2" w:tplc="02C8F210" w:tentative="1">
      <w:start w:val="1"/>
      <w:numFmt w:val="bullet"/>
      <w:lvlText w:val=""/>
      <w:lvlJc w:val="left"/>
      <w:pPr>
        <w:ind w:left="2160" w:hanging="360"/>
      </w:pPr>
      <w:rPr>
        <w:rFonts w:ascii="Wingdings" w:hAnsi="Wingdings" w:hint="default"/>
      </w:rPr>
    </w:lvl>
    <w:lvl w:ilvl="3" w:tplc="FDA2ECE8" w:tentative="1">
      <w:start w:val="1"/>
      <w:numFmt w:val="bullet"/>
      <w:lvlText w:val=""/>
      <w:lvlJc w:val="left"/>
      <w:pPr>
        <w:ind w:left="2880" w:hanging="360"/>
      </w:pPr>
      <w:rPr>
        <w:rFonts w:ascii="Symbol" w:hAnsi="Symbol" w:hint="default"/>
      </w:rPr>
    </w:lvl>
    <w:lvl w:ilvl="4" w:tplc="30BAD3C0" w:tentative="1">
      <w:start w:val="1"/>
      <w:numFmt w:val="bullet"/>
      <w:lvlText w:val="o"/>
      <w:lvlJc w:val="left"/>
      <w:pPr>
        <w:ind w:left="3600" w:hanging="360"/>
      </w:pPr>
      <w:rPr>
        <w:rFonts w:ascii="Courier New" w:hAnsi="Courier New" w:cs="Courier New" w:hint="default"/>
      </w:rPr>
    </w:lvl>
    <w:lvl w:ilvl="5" w:tplc="0448B376" w:tentative="1">
      <w:start w:val="1"/>
      <w:numFmt w:val="bullet"/>
      <w:lvlText w:val=""/>
      <w:lvlJc w:val="left"/>
      <w:pPr>
        <w:ind w:left="4320" w:hanging="360"/>
      </w:pPr>
      <w:rPr>
        <w:rFonts w:ascii="Wingdings" w:hAnsi="Wingdings" w:hint="default"/>
      </w:rPr>
    </w:lvl>
    <w:lvl w:ilvl="6" w:tplc="33325E70" w:tentative="1">
      <w:start w:val="1"/>
      <w:numFmt w:val="bullet"/>
      <w:lvlText w:val=""/>
      <w:lvlJc w:val="left"/>
      <w:pPr>
        <w:ind w:left="5040" w:hanging="360"/>
      </w:pPr>
      <w:rPr>
        <w:rFonts w:ascii="Symbol" w:hAnsi="Symbol" w:hint="default"/>
      </w:rPr>
    </w:lvl>
    <w:lvl w:ilvl="7" w:tplc="427E42E0" w:tentative="1">
      <w:start w:val="1"/>
      <w:numFmt w:val="bullet"/>
      <w:lvlText w:val="o"/>
      <w:lvlJc w:val="left"/>
      <w:pPr>
        <w:ind w:left="5760" w:hanging="360"/>
      </w:pPr>
      <w:rPr>
        <w:rFonts w:ascii="Courier New" w:hAnsi="Courier New" w:cs="Courier New" w:hint="default"/>
      </w:rPr>
    </w:lvl>
    <w:lvl w:ilvl="8" w:tplc="E9DADD82" w:tentative="1">
      <w:start w:val="1"/>
      <w:numFmt w:val="bullet"/>
      <w:lvlText w:val=""/>
      <w:lvlJc w:val="left"/>
      <w:pPr>
        <w:ind w:left="6480" w:hanging="360"/>
      </w:pPr>
      <w:rPr>
        <w:rFonts w:ascii="Wingdings" w:hAnsi="Wingdings" w:hint="default"/>
      </w:rPr>
    </w:lvl>
  </w:abstractNum>
  <w:abstractNum w:abstractNumId="5" w15:restartNumberingAfterBreak="1">
    <w:nsid w:val="39AA74DB"/>
    <w:multiLevelType w:val="hybridMultilevel"/>
    <w:tmpl w:val="26005BF0"/>
    <w:lvl w:ilvl="0" w:tplc="8C540922">
      <w:start w:val="1"/>
      <w:numFmt w:val="lowerLetter"/>
      <w:lvlText w:val="%1)"/>
      <w:lvlJc w:val="left"/>
      <w:pPr>
        <w:ind w:left="2160" w:hanging="360"/>
      </w:pPr>
    </w:lvl>
    <w:lvl w:ilvl="1" w:tplc="A8320896" w:tentative="1">
      <w:start w:val="1"/>
      <w:numFmt w:val="lowerLetter"/>
      <w:lvlText w:val="%2."/>
      <w:lvlJc w:val="left"/>
      <w:pPr>
        <w:ind w:left="2880" w:hanging="360"/>
      </w:pPr>
    </w:lvl>
    <w:lvl w:ilvl="2" w:tplc="C8CCC8D4" w:tentative="1">
      <w:start w:val="1"/>
      <w:numFmt w:val="lowerRoman"/>
      <w:lvlText w:val="%3."/>
      <w:lvlJc w:val="right"/>
      <w:pPr>
        <w:ind w:left="3600" w:hanging="180"/>
      </w:pPr>
    </w:lvl>
    <w:lvl w:ilvl="3" w:tplc="0158CED4" w:tentative="1">
      <w:start w:val="1"/>
      <w:numFmt w:val="decimal"/>
      <w:lvlText w:val="%4."/>
      <w:lvlJc w:val="left"/>
      <w:pPr>
        <w:ind w:left="4320" w:hanging="360"/>
      </w:pPr>
    </w:lvl>
    <w:lvl w:ilvl="4" w:tplc="13C4BEB4" w:tentative="1">
      <w:start w:val="1"/>
      <w:numFmt w:val="lowerLetter"/>
      <w:lvlText w:val="%5."/>
      <w:lvlJc w:val="left"/>
      <w:pPr>
        <w:ind w:left="5040" w:hanging="360"/>
      </w:pPr>
    </w:lvl>
    <w:lvl w:ilvl="5" w:tplc="9162F74E" w:tentative="1">
      <w:start w:val="1"/>
      <w:numFmt w:val="lowerRoman"/>
      <w:lvlText w:val="%6."/>
      <w:lvlJc w:val="right"/>
      <w:pPr>
        <w:ind w:left="5760" w:hanging="180"/>
      </w:pPr>
    </w:lvl>
    <w:lvl w:ilvl="6" w:tplc="2CE489BC" w:tentative="1">
      <w:start w:val="1"/>
      <w:numFmt w:val="decimal"/>
      <w:lvlText w:val="%7."/>
      <w:lvlJc w:val="left"/>
      <w:pPr>
        <w:ind w:left="6480" w:hanging="360"/>
      </w:pPr>
    </w:lvl>
    <w:lvl w:ilvl="7" w:tplc="715082AC" w:tentative="1">
      <w:start w:val="1"/>
      <w:numFmt w:val="lowerLetter"/>
      <w:lvlText w:val="%8."/>
      <w:lvlJc w:val="left"/>
      <w:pPr>
        <w:ind w:left="7200" w:hanging="360"/>
      </w:pPr>
    </w:lvl>
    <w:lvl w:ilvl="8" w:tplc="649E586C" w:tentative="1">
      <w:start w:val="1"/>
      <w:numFmt w:val="lowerRoman"/>
      <w:lvlText w:val="%9."/>
      <w:lvlJc w:val="right"/>
      <w:pPr>
        <w:ind w:left="7920" w:hanging="180"/>
      </w:pPr>
    </w:lvl>
  </w:abstractNum>
  <w:abstractNum w:abstractNumId="6" w15:restartNumberingAfterBreak="1">
    <w:nsid w:val="3B18483D"/>
    <w:multiLevelType w:val="hybridMultilevel"/>
    <w:tmpl w:val="FD763BDE"/>
    <w:lvl w:ilvl="0" w:tplc="1A64B65C">
      <w:start w:val="1"/>
      <w:numFmt w:val="bullet"/>
      <w:lvlText w:val=""/>
      <w:lvlJc w:val="left"/>
      <w:pPr>
        <w:ind w:left="720" w:hanging="360"/>
      </w:pPr>
      <w:rPr>
        <w:rFonts w:ascii="Symbol" w:hAnsi="Symbol" w:hint="default"/>
      </w:rPr>
    </w:lvl>
    <w:lvl w:ilvl="1" w:tplc="55529676" w:tentative="1">
      <w:start w:val="1"/>
      <w:numFmt w:val="bullet"/>
      <w:lvlText w:val="o"/>
      <w:lvlJc w:val="left"/>
      <w:pPr>
        <w:ind w:left="1440" w:hanging="360"/>
      </w:pPr>
      <w:rPr>
        <w:rFonts w:ascii="Courier New" w:hAnsi="Courier New" w:cs="Courier New" w:hint="default"/>
      </w:rPr>
    </w:lvl>
    <w:lvl w:ilvl="2" w:tplc="D40EACDE" w:tentative="1">
      <w:start w:val="1"/>
      <w:numFmt w:val="bullet"/>
      <w:lvlText w:val=""/>
      <w:lvlJc w:val="left"/>
      <w:pPr>
        <w:ind w:left="2160" w:hanging="360"/>
      </w:pPr>
      <w:rPr>
        <w:rFonts w:ascii="Wingdings" w:hAnsi="Wingdings" w:hint="default"/>
      </w:rPr>
    </w:lvl>
    <w:lvl w:ilvl="3" w:tplc="2B8C0792" w:tentative="1">
      <w:start w:val="1"/>
      <w:numFmt w:val="bullet"/>
      <w:lvlText w:val=""/>
      <w:lvlJc w:val="left"/>
      <w:pPr>
        <w:ind w:left="2880" w:hanging="360"/>
      </w:pPr>
      <w:rPr>
        <w:rFonts w:ascii="Symbol" w:hAnsi="Symbol" w:hint="default"/>
      </w:rPr>
    </w:lvl>
    <w:lvl w:ilvl="4" w:tplc="D8A4B4EA" w:tentative="1">
      <w:start w:val="1"/>
      <w:numFmt w:val="bullet"/>
      <w:lvlText w:val="o"/>
      <w:lvlJc w:val="left"/>
      <w:pPr>
        <w:ind w:left="3600" w:hanging="360"/>
      </w:pPr>
      <w:rPr>
        <w:rFonts w:ascii="Courier New" w:hAnsi="Courier New" w:cs="Courier New" w:hint="default"/>
      </w:rPr>
    </w:lvl>
    <w:lvl w:ilvl="5" w:tplc="EC7CE416" w:tentative="1">
      <w:start w:val="1"/>
      <w:numFmt w:val="bullet"/>
      <w:lvlText w:val=""/>
      <w:lvlJc w:val="left"/>
      <w:pPr>
        <w:ind w:left="4320" w:hanging="360"/>
      </w:pPr>
      <w:rPr>
        <w:rFonts w:ascii="Wingdings" w:hAnsi="Wingdings" w:hint="default"/>
      </w:rPr>
    </w:lvl>
    <w:lvl w:ilvl="6" w:tplc="C0FAD7D6" w:tentative="1">
      <w:start w:val="1"/>
      <w:numFmt w:val="bullet"/>
      <w:lvlText w:val=""/>
      <w:lvlJc w:val="left"/>
      <w:pPr>
        <w:ind w:left="5040" w:hanging="360"/>
      </w:pPr>
      <w:rPr>
        <w:rFonts w:ascii="Symbol" w:hAnsi="Symbol" w:hint="default"/>
      </w:rPr>
    </w:lvl>
    <w:lvl w:ilvl="7" w:tplc="CBA4D61E" w:tentative="1">
      <w:start w:val="1"/>
      <w:numFmt w:val="bullet"/>
      <w:lvlText w:val="o"/>
      <w:lvlJc w:val="left"/>
      <w:pPr>
        <w:ind w:left="5760" w:hanging="360"/>
      </w:pPr>
      <w:rPr>
        <w:rFonts w:ascii="Courier New" w:hAnsi="Courier New" w:cs="Courier New" w:hint="default"/>
      </w:rPr>
    </w:lvl>
    <w:lvl w:ilvl="8" w:tplc="BF582F16" w:tentative="1">
      <w:start w:val="1"/>
      <w:numFmt w:val="bullet"/>
      <w:lvlText w:val=""/>
      <w:lvlJc w:val="left"/>
      <w:pPr>
        <w:ind w:left="6480" w:hanging="360"/>
      </w:pPr>
      <w:rPr>
        <w:rFonts w:ascii="Wingdings" w:hAnsi="Wingdings" w:hint="default"/>
      </w:rPr>
    </w:lvl>
  </w:abstractNum>
  <w:abstractNum w:abstractNumId="7" w15:restartNumberingAfterBreak="1">
    <w:nsid w:val="479F5182"/>
    <w:multiLevelType w:val="hybridMultilevel"/>
    <w:tmpl w:val="1644A354"/>
    <w:lvl w:ilvl="0" w:tplc="8A1E4174">
      <w:numFmt w:val="bullet"/>
      <w:lvlText w:val="-"/>
      <w:lvlJc w:val="left"/>
      <w:pPr>
        <w:ind w:left="720" w:hanging="360"/>
      </w:pPr>
      <w:rPr>
        <w:rFonts w:ascii="Times New Roman" w:eastAsia="Times New Roman" w:hAnsi="Times New Roman" w:cs="Times New Roman" w:hint="default"/>
      </w:rPr>
    </w:lvl>
    <w:lvl w:ilvl="1" w:tplc="5B4E59E0" w:tentative="1">
      <w:start w:val="1"/>
      <w:numFmt w:val="bullet"/>
      <w:lvlText w:val="o"/>
      <w:lvlJc w:val="left"/>
      <w:pPr>
        <w:ind w:left="1440" w:hanging="360"/>
      </w:pPr>
      <w:rPr>
        <w:rFonts w:ascii="Courier New" w:hAnsi="Courier New" w:cs="Courier New" w:hint="default"/>
      </w:rPr>
    </w:lvl>
    <w:lvl w:ilvl="2" w:tplc="63C2A82C" w:tentative="1">
      <w:start w:val="1"/>
      <w:numFmt w:val="bullet"/>
      <w:lvlText w:val=""/>
      <w:lvlJc w:val="left"/>
      <w:pPr>
        <w:ind w:left="2160" w:hanging="360"/>
      </w:pPr>
      <w:rPr>
        <w:rFonts w:ascii="Wingdings" w:hAnsi="Wingdings" w:hint="default"/>
      </w:rPr>
    </w:lvl>
    <w:lvl w:ilvl="3" w:tplc="54F22EA2" w:tentative="1">
      <w:start w:val="1"/>
      <w:numFmt w:val="bullet"/>
      <w:lvlText w:val=""/>
      <w:lvlJc w:val="left"/>
      <w:pPr>
        <w:ind w:left="2880" w:hanging="360"/>
      </w:pPr>
      <w:rPr>
        <w:rFonts w:ascii="Symbol" w:hAnsi="Symbol" w:hint="default"/>
      </w:rPr>
    </w:lvl>
    <w:lvl w:ilvl="4" w:tplc="7A76A13E" w:tentative="1">
      <w:start w:val="1"/>
      <w:numFmt w:val="bullet"/>
      <w:lvlText w:val="o"/>
      <w:lvlJc w:val="left"/>
      <w:pPr>
        <w:ind w:left="3600" w:hanging="360"/>
      </w:pPr>
      <w:rPr>
        <w:rFonts w:ascii="Courier New" w:hAnsi="Courier New" w:cs="Courier New" w:hint="default"/>
      </w:rPr>
    </w:lvl>
    <w:lvl w:ilvl="5" w:tplc="4F18D394" w:tentative="1">
      <w:start w:val="1"/>
      <w:numFmt w:val="bullet"/>
      <w:lvlText w:val=""/>
      <w:lvlJc w:val="left"/>
      <w:pPr>
        <w:ind w:left="4320" w:hanging="360"/>
      </w:pPr>
      <w:rPr>
        <w:rFonts w:ascii="Wingdings" w:hAnsi="Wingdings" w:hint="default"/>
      </w:rPr>
    </w:lvl>
    <w:lvl w:ilvl="6" w:tplc="8EC6B996" w:tentative="1">
      <w:start w:val="1"/>
      <w:numFmt w:val="bullet"/>
      <w:lvlText w:val=""/>
      <w:lvlJc w:val="left"/>
      <w:pPr>
        <w:ind w:left="5040" w:hanging="360"/>
      </w:pPr>
      <w:rPr>
        <w:rFonts w:ascii="Symbol" w:hAnsi="Symbol" w:hint="default"/>
      </w:rPr>
    </w:lvl>
    <w:lvl w:ilvl="7" w:tplc="2398F8B2" w:tentative="1">
      <w:start w:val="1"/>
      <w:numFmt w:val="bullet"/>
      <w:lvlText w:val="o"/>
      <w:lvlJc w:val="left"/>
      <w:pPr>
        <w:ind w:left="5760" w:hanging="360"/>
      </w:pPr>
      <w:rPr>
        <w:rFonts w:ascii="Courier New" w:hAnsi="Courier New" w:cs="Courier New" w:hint="default"/>
      </w:rPr>
    </w:lvl>
    <w:lvl w:ilvl="8" w:tplc="7D3E379E" w:tentative="1">
      <w:start w:val="1"/>
      <w:numFmt w:val="bullet"/>
      <w:lvlText w:val=""/>
      <w:lvlJc w:val="left"/>
      <w:pPr>
        <w:ind w:left="6480" w:hanging="360"/>
      </w:pPr>
      <w:rPr>
        <w:rFonts w:ascii="Wingdings" w:hAnsi="Wingdings" w:hint="default"/>
      </w:rPr>
    </w:lvl>
  </w:abstractNum>
  <w:abstractNum w:abstractNumId="8" w15:restartNumberingAfterBreak="1">
    <w:nsid w:val="4B164369"/>
    <w:multiLevelType w:val="hybridMultilevel"/>
    <w:tmpl w:val="B9CAE868"/>
    <w:lvl w:ilvl="0" w:tplc="9142F8FC">
      <w:start w:val="1"/>
      <w:numFmt w:val="bullet"/>
      <w:lvlText w:val=""/>
      <w:lvlJc w:val="left"/>
      <w:pPr>
        <w:ind w:left="1112" w:hanging="360"/>
      </w:pPr>
      <w:rPr>
        <w:rFonts w:ascii="Symbol" w:hAnsi="Symbol" w:hint="default"/>
      </w:rPr>
    </w:lvl>
    <w:lvl w:ilvl="1" w:tplc="91D2873A" w:tentative="1">
      <w:start w:val="1"/>
      <w:numFmt w:val="bullet"/>
      <w:lvlText w:val="o"/>
      <w:lvlJc w:val="left"/>
      <w:pPr>
        <w:ind w:left="1832" w:hanging="360"/>
      </w:pPr>
      <w:rPr>
        <w:rFonts w:ascii="Courier New" w:hAnsi="Courier New" w:cs="Courier New" w:hint="default"/>
      </w:rPr>
    </w:lvl>
    <w:lvl w:ilvl="2" w:tplc="447E2808" w:tentative="1">
      <w:start w:val="1"/>
      <w:numFmt w:val="bullet"/>
      <w:lvlText w:val=""/>
      <w:lvlJc w:val="left"/>
      <w:pPr>
        <w:ind w:left="2552" w:hanging="360"/>
      </w:pPr>
      <w:rPr>
        <w:rFonts w:ascii="Wingdings" w:hAnsi="Wingdings" w:hint="default"/>
      </w:rPr>
    </w:lvl>
    <w:lvl w:ilvl="3" w:tplc="0C0471B6" w:tentative="1">
      <w:start w:val="1"/>
      <w:numFmt w:val="bullet"/>
      <w:lvlText w:val=""/>
      <w:lvlJc w:val="left"/>
      <w:pPr>
        <w:ind w:left="3272" w:hanging="360"/>
      </w:pPr>
      <w:rPr>
        <w:rFonts w:ascii="Symbol" w:hAnsi="Symbol" w:hint="default"/>
      </w:rPr>
    </w:lvl>
    <w:lvl w:ilvl="4" w:tplc="BA9A5406" w:tentative="1">
      <w:start w:val="1"/>
      <w:numFmt w:val="bullet"/>
      <w:lvlText w:val="o"/>
      <w:lvlJc w:val="left"/>
      <w:pPr>
        <w:ind w:left="3992" w:hanging="360"/>
      </w:pPr>
      <w:rPr>
        <w:rFonts w:ascii="Courier New" w:hAnsi="Courier New" w:cs="Courier New" w:hint="default"/>
      </w:rPr>
    </w:lvl>
    <w:lvl w:ilvl="5" w:tplc="EEB88AC2" w:tentative="1">
      <w:start w:val="1"/>
      <w:numFmt w:val="bullet"/>
      <w:lvlText w:val=""/>
      <w:lvlJc w:val="left"/>
      <w:pPr>
        <w:ind w:left="4712" w:hanging="360"/>
      </w:pPr>
      <w:rPr>
        <w:rFonts w:ascii="Wingdings" w:hAnsi="Wingdings" w:hint="default"/>
      </w:rPr>
    </w:lvl>
    <w:lvl w:ilvl="6" w:tplc="A72254EC" w:tentative="1">
      <w:start w:val="1"/>
      <w:numFmt w:val="bullet"/>
      <w:lvlText w:val=""/>
      <w:lvlJc w:val="left"/>
      <w:pPr>
        <w:ind w:left="5432" w:hanging="360"/>
      </w:pPr>
      <w:rPr>
        <w:rFonts w:ascii="Symbol" w:hAnsi="Symbol" w:hint="default"/>
      </w:rPr>
    </w:lvl>
    <w:lvl w:ilvl="7" w:tplc="5A3AFC38" w:tentative="1">
      <w:start w:val="1"/>
      <w:numFmt w:val="bullet"/>
      <w:lvlText w:val="o"/>
      <w:lvlJc w:val="left"/>
      <w:pPr>
        <w:ind w:left="6152" w:hanging="360"/>
      </w:pPr>
      <w:rPr>
        <w:rFonts w:ascii="Courier New" w:hAnsi="Courier New" w:cs="Courier New" w:hint="default"/>
      </w:rPr>
    </w:lvl>
    <w:lvl w:ilvl="8" w:tplc="7CDCA386" w:tentative="1">
      <w:start w:val="1"/>
      <w:numFmt w:val="bullet"/>
      <w:lvlText w:val=""/>
      <w:lvlJc w:val="left"/>
      <w:pPr>
        <w:ind w:left="6872" w:hanging="360"/>
      </w:pPr>
      <w:rPr>
        <w:rFonts w:ascii="Wingdings" w:hAnsi="Wingdings" w:hint="default"/>
      </w:rPr>
    </w:lvl>
  </w:abstractNum>
  <w:abstractNum w:abstractNumId="9" w15:restartNumberingAfterBreak="1">
    <w:nsid w:val="5A16569A"/>
    <w:multiLevelType w:val="hybridMultilevel"/>
    <w:tmpl w:val="A18E7574"/>
    <w:lvl w:ilvl="0" w:tplc="475274A2">
      <w:start w:val="2015"/>
      <w:numFmt w:val="bullet"/>
      <w:lvlText w:val="-"/>
      <w:lvlJc w:val="left"/>
      <w:pPr>
        <w:ind w:left="1080" w:hanging="360"/>
      </w:pPr>
      <w:rPr>
        <w:rFonts w:ascii="Times New Roman" w:eastAsia="Times New Roman" w:hAnsi="Times New Roman" w:cs="Times New Roman" w:hint="default"/>
      </w:rPr>
    </w:lvl>
    <w:lvl w:ilvl="1" w:tplc="D1567BD4">
      <w:start w:val="1"/>
      <w:numFmt w:val="bullet"/>
      <w:lvlText w:val="o"/>
      <w:lvlJc w:val="left"/>
      <w:pPr>
        <w:ind w:left="1800" w:hanging="360"/>
      </w:pPr>
      <w:rPr>
        <w:rFonts w:ascii="Courier New" w:hAnsi="Courier New" w:cs="Courier New" w:hint="default"/>
      </w:rPr>
    </w:lvl>
    <w:lvl w:ilvl="2" w:tplc="D0EEBB22" w:tentative="1">
      <w:start w:val="1"/>
      <w:numFmt w:val="bullet"/>
      <w:lvlText w:val=""/>
      <w:lvlJc w:val="left"/>
      <w:pPr>
        <w:ind w:left="2520" w:hanging="360"/>
      </w:pPr>
      <w:rPr>
        <w:rFonts w:ascii="Wingdings" w:hAnsi="Wingdings" w:hint="default"/>
      </w:rPr>
    </w:lvl>
    <w:lvl w:ilvl="3" w:tplc="B58E7AF8" w:tentative="1">
      <w:start w:val="1"/>
      <w:numFmt w:val="bullet"/>
      <w:lvlText w:val=""/>
      <w:lvlJc w:val="left"/>
      <w:pPr>
        <w:ind w:left="3240" w:hanging="360"/>
      </w:pPr>
      <w:rPr>
        <w:rFonts w:ascii="Symbol" w:hAnsi="Symbol" w:hint="default"/>
      </w:rPr>
    </w:lvl>
    <w:lvl w:ilvl="4" w:tplc="E4808194" w:tentative="1">
      <w:start w:val="1"/>
      <w:numFmt w:val="bullet"/>
      <w:lvlText w:val="o"/>
      <w:lvlJc w:val="left"/>
      <w:pPr>
        <w:ind w:left="3960" w:hanging="360"/>
      </w:pPr>
      <w:rPr>
        <w:rFonts w:ascii="Courier New" w:hAnsi="Courier New" w:cs="Courier New" w:hint="default"/>
      </w:rPr>
    </w:lvl>
    <w:lvl w:ilvl="5" w:tplc="9A08AE3E" w:tentative="1">
      <w:start w:val="1"/>
      <w:numFmt w:val="bullet"/>
      <w:lvlText w:val=""/>
      <w:lvlJc w:val="left"/>
      <w:pPr>
        <w:ind w:left="4680" w:hanging="360"/>
      </w:pPr>
      <w:rPr>
        <w:rFonts w:ascii="Wingdings" w:hAnsi="Wingdings" w:hint="default"/>
      </w:rPr>
    </w:lvl>
    <w:lvl w:ilvl="6" w:tplc="26502552" w:tentative="1">
      <w:start w:val="1"/>
      <w:numFmt w:val="bullet"/>
      <w:lvlText w:val=""/>
      <w:lvlJc w:val="left"/>
      <w:pPr>
        <w:ind w:left="5400" w:hanging="360"/>
      </w:pPr>
      <w:rPr>
        <w:rFonts w:ascii="Symbol" w:hAnsi="Symbol" w:hint="default"/>
      </w:rPr>
    </w:lvl>
    <w:lvl w:ilvl="7" w:tplc="01CE815A" w:tentative="1">
      <w:start w:val="1"/>
      <w:numFmt w:val="bullet"/>
      <w:lvlText w:val="o"/>
      <w:lvlJc w:val="left"/>
      <w:pPr>
        <w:ind w:left="6120" w:hanging="360"/>
      </w:pPr>
      <w:rPr>
        <w:rFonts w:ascii="Courier New" w:hAnsi="Courier New" w:cs="Courier New" w:hint="default"/>
      </w:rPr>
    </w:lvl>
    <w:lvl w:ilvl="8" w:tplc="01D0D476" w:tentative="1">
      <w:start w:val="1"/>
      <w:numFmt w:val="bullet"/>
      <w:lvlText w:val=""/>
      <w:lvlJc w:val="left"/>
      <w:pPr>
        <w:ind w:left="6840" w:hanging="360"/>
      </w:pPr>
      <w:rPr>
        <w:rFonts w:ascii="Wingdings" w:hAnsi="Wingdings" w:hint="default"/>
      </w:rPr>
    </w:lvl>
  </w:abstractNum>
  <w:abstractNum w:abstractNumId="10" w15:restartNumberingAfterBreak="1">
    <w:nsid w:val="6DEB10BA"/>
    <w:multiLevelType w:val="hybridMultilevel"/>
    <w:tmpl w:val="BB5AEE8C"/>
    <w:lvl w:ilvl="0" w:tplc="140096E2">
      <w:start w:val="1"/>
      <w:numFmt w:val="bullet"/>
      <w:lvlText w:val=""/>
      <w:lvlJc w:val="left"/>
      <w:pPr>
        <w:ind w:left="720" w:hanging="360"/>
      </w:pPr>
      <w:rPr>
        <w:rFonts w:ascii="Symbol" w:hAnsi="Symbol" w:hint="default"/>
      </w:rPr>
    </w:lvl>
    <w:lvl w:ilvl="1" w:tplc="CC44EB82" w:tentative="1">
      <w:start w:val="1"/>
      <w:numFmt w:val="bullet"/>
      <w:lvlText w:val="o"/>
      <w:lvlJc w:val="left"/>
      <w:pPr>
        <w:ind w:left="1440" w:hanging="360"/>
      </w:pPr>
      <w:rPr>
        <w:rFonts w:ascii="Courier New" w:hAnsi="Courier New" w:cs="Courier New" w:hint="default"/>
      </w:rPr>
    </w:lvl>
    <w:lvl w:ilvl="2" w:tplc="7C8444BA" w:tentative="1">
      <w:start w:val="1"/>
      <w:numFmt w:val="bullet"/>
      <w:lvlText w:val=""/>
      <w:lvlJc w:val="left"/>
      <w:pPr>
        <w:ind w:left="2160" w:hanging="360"/>
      </w:pPr>
      <w:rPr>
        <w:rFonts w:ascii="Wingdings" w:hAnsi="Wingdings" w:hint="default"/>
      </w:rPr>
    </w:lvl>
    <w:lvl w:ilvl="3" w:tplc="26829650" w:tentative="1">
      <w:start w:val="1"/>
      <w:numFmt w:val="bullet"/>
      <w:lvlText w:val=""/>
      <w:lvlJc w:val="left"/>
      <w:pPr>
        <w:ind w:left="2880" w:hanging="360"/>
      </w:pPr>
      <w:rPr>
        <w:rFonts w:ascii="Symbol" w:hAnsi="Symbol" w:hint="default"/>
      </w:rPr>
    </w:lvl>
    <w:lvl w:ilvl="4" w:tplc="E8465B08" w:tentative="1">
      <w:start w:val="1"/>
      <w:numFmt w:val="bullet"/>
      <w:lvlText w:val="o"/>
      <w:lvlJc w:val="left"/>
      <w:pPr>
        <w:ind w:left="3600" w:hanging="360"/>
      </w:pPr>
      <w:rPr>
        <w:rFonts w:ascii="Courier New" w:hAnsi="Courier New" w:cs="Courier New" w:hint="default"/>
      </w:rPr>
    </w:lvl>
    <w:lvl w:ilvl="5" w:tplc="AB4AD6D2" w:tentative="1">
      <w:start w:val="1"/>
      <w:numFmt w:val="bullet"/>
      <w:lvlText w:val=""/>
      <w:lvlJc w:val="left"/>
      <w:pPr>
        <w:ind w:left="4320" w:hanging="360"/>
      </w:pPr>
      <w:rPr>
        <w:rFonts w:ascii="Wingdings" w:hAnsi="Wingdings" w:hint="default"/>
      </w:rPr>
    </w:lvl>
    <w:lvl w:ilvl="6" w:tplc="F4A61572" w:tentative="1">
      <w:start w:val="1"/>
      <w:numFmt w:val="bullet"/>
      <w:lvlText w:val=""/>
      <w:lvlJc w:val="left"/>
      <w:pPr>
        <w:ind w:left="5040" w:hanging="360"/>
      </w:pPr>
      <w:rPr>
        <w:rFonts w:ascii="Symbol" w:hAnsi="Symbol" w:hint="default"/>
      </w:rPr>
    </w:lvl>
    <w:lvl w:ilvl="7" w:tplc="FE384F06" w:tentative="1">
      <w:start w:val="1"/>
      <w:numFmt w:val="bullet"/>
      <w:lvlText w:val="o"/>
      <w:lvlJc w:val="left"/>
      <w:pPr>
        <w:ind w:left="5760" w:hanging="360"/>
      </w:pPr>
      <w:rPr>
        <w:rFonts w:ascii="Courier New" w:hAnsi="Courier New" w:cs="Courier New" w:hint="default"/>
      </w:rPr>
    </w:lvl>
    <w:lvl w:ilvl="8" w:tplc="0A584EC2" w:tentative="1">
      <w:start w:val="1"/>
      <w:numFmt w:val="bullet"/>
      <w:lvlText w:val=""/>
      <w:lvlJc w:val="left"/>
      <w:pPr>
        <w:ind w:left="6480" w:hanging="360"/>
      </w:pPr>
      <w:rPr>
        <w:rFonts w:ascii="Wingdings" w:hAnsi="Wingdings" w:hint="default"/>
      </w:rPr>
    </w:lvl>
  </w:abstractNum>
  <w:abstractNum w:abstractNumId="11" w15:restartNumberingAfterBreak="0">
    <w:nsid w:val="71A10188"/>
    <w:multiLevelType w:val="hybridMultilevel"/>
    <w:tmpl w:val="B5F89F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1">
    <w:nsid w:val="74954E78"/>
    <w:multiLevelType w:val="hybridMultilevel"/>
    <w:tmpl w:val="5432788A"/>
    <w:lvl w:ilvl="0" w:tplc="D2B02538">
      <w:start w:val="1"/>
      <w:numFmt w:val="lowerLetter"/>
      <w:lvlText w:val="%1)"/>
      <w:lvlJc w:val="left"/>
      <w:pPr>
        <w:ind w:left="1854" w:hanging="360"/>
      </w:pPr>
    </w:lvl>
    <w:lvl w:ilvl="1" w:tplc="3F9463C0" w:tentative="1">
      <w:start w:val="1"/>
      <w:numFmt w:val="lowerLetter"/>
      <w:lvlText w:val="%2."/>
      <w:lvlJc w:val="left"/>
      <w:pPr>
        <w:ind w:left="2574" w:hanging="360"/>
      </w:pPr>
    </w:lvl>
    <w:lvl w:ilvl="2" w:tplc="4ACAAA92" w:tentative="1">
      <w:start w:val="1"/>
      <w:numFmt w:val="lowerRoman"/>
      <w:lvlText w:val="%3."/>
      <w:lvlJc w:val="right"/>
      <w:pPr>
        <w:ind w:left="3294" w:hanging="180"/>
      </w:pPr>
    </w:lvl>
    <w:lvl w:ilvl="3" w:tplc="52002FEA" w:tentative="1">
      <w:start w:val="1"/>
      <w:numFmt w:val="decimal"/>
      <w:lvlText w:val="%4."/>
      <w:lvlJc w:val="left"/>
      <w:pPr>
        <w:ind w:left="4014" w:hanging="360"/>
      </w:pPr>
    </w:lvl>
    <w:lvl w:ilvl="4" w:tplc="8B2EFCF8" w:tentative="1">
      <w:start w:val="1"/>
      <w:numFmt w:val="lowerLetter"/>
      <w:lvlText w:val="%5."/>
      <w:lvlJc w:val="left"/>
      <w:pPr>
        <w:ind w:left="4734" w:hanging="360"/>
      </w:pPr>
    </w:lvl>
    <w:lvl w:ilvl="5" w:tplc="580885CA" w:tentative="1">
      <w:start w:val="1"/>
      <w:numFmt w:val="lowerRoman"/>
      <w:lvlText w:val="%6."/>
      <w:lvlJc w:val="right"/>
      <w:pPr>
        <w:ind w:left="5454" w:hanging="180"/>
      </w:pPr>
    </w:lvl>
    <w:lvl w:ilvl="6" w:tplc="FC38B0C2" w:tentative="1">
      <w:start w:val="1"/>
      <w:numFmt w:val="decimal"/>
      <w:lvlText w:val="%7."/>
      <w:lvlJc w:val="left"/>
      <w:pPr>
        <w:ind w:left="6174" w:hanging="360"/>
      </w:pPr>
    </w:lvl>
    <w:lvl w:ilvl="7" w:tplc="AF1AF590" w:tentative="1">
      <w:start w:val="1"/>
      <w:numFmt w:val="lowerLetter"/>
      <w:lvlText w:val="%8."/>
      <w:lvlJc w:val="left"/>
      <w:pPr>
        <w:ind w:left="6894" w:hanging="360"/>
      </w:pPr>
    </w:lvl>
    <w:lvl w:ilvl="8" w:tplc="39E8F8A0" w:tentative="1">
      <w:start w:val="1"/>
      <w:numFmt w:val="lowerRoman"/>
      <w:lvlText w:val="%9."/>
      <w:lvlJc w:val="right"/>
      <w:pPr>
        <w:ind w:left="7614" w:hanging="180"/>
      </w:pPr>
    </w:lvl>
  </w:abstractNum>
  <w:abstractNum w:abstractNumId="13" w15:restartNumberingAfterBreak="0">
    <w:nsid w:val="74BA4CE5"/>
    <w:multiLevelType w:val="hybridMultilevel"/>
    <w:tmpl w:val="AE48A85E"/>
    <w:lvl w:ilvl="0" w:tplc="C854FBCC">
      <w:start w:val="1"/>
      <w:numFmt w:val="decimal"/>
      <w:lvlText w:val="%1)"/>
      <w:lvlJc w:val="left"/>
      <w:pPr>
        <w:ind w:left="1070"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1">
    <w:nsid w:val="7C7E4B14"/>
    <w:multiLevelType w:val="hybridMultilevel"/>
    <w:tmpl w:val="C3788E3A"/>
    <w:lvl w:ilvl="0" w:tplc="867246C4">
      <w:start w:val="1"/>
      <w:numFmt w:val="decimal"/>
      <w:lvlText w:val="%1)"/>
      <w:lvlJc w:val="left"/>
      <w:pPr>
        <w:ind w:left="927" w:hanging="360"/>
      </w:pPr>
      <w:rPr>
        <w:rFonts w:hint="default"/>
      </w:rPr>
    </w:lvl>
    <w:lvl w:ilvl="1" w:tplc="27F663C8" w:tentative="1">
      <w:start w:val="1"/>
      <w:numFmt w:val="lowerLetter"/>
      <w:lvlText w:val="%2."/>
      <w:lvlJc w:val="left"/>
      <w:pPr>
        <w:ind w:left="1647" w:hanging="360"/>
      </w:pPr>
    </w:lvl>
    <w:lvl w:ilvl="2" w:tplc="6B10BA36" w:tentative="1">
      <w:start w:val="1"/>
      <w:numFmt w:val="lowerRoman"/>
      <w:lvlText w:val="%3."/>
      <w:lvlJc w:val="right"/>
      <w:pPr>
        <w:ind w:left="2367" w:hanging="180"/>
      </w:pPr>
    </w:lvl>
    <w:lvl w:ilvl="3" w:tplc="36C0C16E" w:tentative="1">
      <w:start w:val="1"/>
      <w:numFmt w:val="decimal"/>
      <w:lvlText w:val="%4."/>
      <w:lvlJc w:val="left"/>
      <w:pPr>
        <w:ind w:left="3087" w:hanging="360"/>
      </w:pPr>
    </w:lvl>
    <w:lvl w:ilvl="4" w:tplc="261C53FE" w:tentative="1">
      <w:start w:val="1"/>
      <w:numFmt w:val="lowerLetter"/>
      <w:lvlText w:val="%5."/>
      <w:lvlJc w:val="left"/>
      <w:pPr>
        <w:ind w:left="3807" w:hanging="360"/>
      </w:pPr>
    </w:lvl>
    <w:lvl w:ilvl="5" w:tplc="9F9480CC" w:tentative="1">
      <w:start w:val="1"/>
      <w:numFmt w:val="lowerRoman"/>
      <w:lvlText w:val="%6."/>
      <w:lvlJc w:val="right"/>
      <w:pPr>
        <w:ind w:left="4527" w:hanging="180"/>
      </w:pPr>
    </w:lvl>
    <w:lvl w:ilvl="6" w:tplc="88F2498A" w:tentative="1">
      <w:start w:val="1"/>
      <w:numFmt w:val="decimal"/>
      <w:lvlText w:val="%7."/>
      <w:lvlJc w:val="left"/>
      <w:pPr>
        <w:ind w:left="5247" w:hanging="360"/>
      </w:pPr>
    </w:lvl>
    <w:lvl w:ilvl="7" w:tplc="B11A9ECC" w:tentative="1">
      <w:start w:val="1"/>
      <w:numFmt w:val="lowerLetter"/>
      <w:lvlText w:val="%8."/>
      <w:lvlJc w:val="left"/>
      <w:pPr>
        <w:ind w:left="5967" w:hanging="360"/>
      </w:pPr>
    </w:lvl>
    <w:lvl w:ilvl="8" w:tplc="77F8FC66" w:tentative="1">
      <w:start w:val="1"/>
      <w:numFmt w:val="lowerRoman"/>
      <w:lvlText w:val="%9."/>
      <w:lvlJc w:val="right"/>
      <w:pPr>
        <w:ind w:left="6687" w:hanging="180"/>
      </w:pPr>
    </w:lvl>
  </w:abstractNum>
  <w:num w:numId="1">
    <w:abstractNumId w:val="5"/>
  </w:num>
  <w:num w:numId="2">
    <w:abstractNumId w:val="12"/>
  </w:num>
  <w:num w:numId="3">
    <w:abstractNumId w:val="9"/>
  </w:num>
  <w:num w:numId="4">
    <w:abstractNumId w:val="10"/>
  </w:num>
  <w:num w:numId="5">
    <w:abstractNumId w:val="7"/>
  </w:num>
  <w:num w:numId="6">
    <w:abstractNumId w:val="6"/>
  </w:num>
  <w:num w:numId="7">
    <w:abstractNumId w:val="14"/>
  </w:num>
  <w:num w:numId="8">
    <w:abstractNumId w:val="8"/>
  </w:num>
  <w:num w:numId="9">
    <w:abstractNumId w:val="2"/>
  </w:num>
  <w:num w:numId="10">
    <w:abstractNumId w:val="4"/>
  </w:num>
  <w:num w:numId="11">
    <w:abstractNumId w:val="11"/>
  </w:num>
  <w:num w:numId="12">
    <w:abstractNumId w:val="13"/>
  </w:num>
  <w:num w:numId="13">
    <w:abstractNumId w:val="3"/>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356"/>
    <w:rsid w:val="0000359D"/>
    <w:rsid w:val="0000424D"/>
    <w:rsid w:val="0000492E"/>
    <w:rsid w:val="00006376"/>
    <w:rsid w:val="00007763"/>
    <w:rsid w:val="00011964"/>
    <w:rsid w:val="00020A3F"/>
    <w:rsid w:val="0002488A"/>
    <w:rsid w:val="00025604"/>
    <w:rsid w:val="00027BBD"/>
    <w:rsid w:val="00027FCA"/>
    <w:rsid w:val="000401BB"/>
    <w:rsid w:val="00041CAE"/>
    <w:rsid w:val="0004687A"/>
    <w:rsid w:val="00050688"/>
    <w:rsid w:val="0005440F"/>
    <w:rsid w:val="00054947"/>
    <w:rsid w:val="00067691"/>
    <w:rsid w:val="00072943"/>
    <w:rsid w:val="00075283"/>
    <w:rsid w:val="00077ECD"/>
    <w:rsid w:val="00080419"/>
    <w:rsid w:val="00080BEF"/>
    <w:rsid w:val="00083E5D"/>
    <w:rsid w:val="000869AF"/>
    <w:rsid w:val="000875DC"/>
    <w:rsid w:val="00097420"/>
    <w:rsid w:val="000A2DFF"/>
    <w:rsid w:val="000A41B3"/>
    <w:rsid w:val="000A5E1F"/>
    <w:rsid w:val="000B0186"/>
    <w:rsid w:val="000B0883"/>
    <w:rsid w:val="000B1784"/>
    <w:rsid w:val="000B1A3F"/>
    <w:rsid w:val="000B39EA"/>
    <w:rsid w:val="000C2C26"/>
    <w:rsid w:val="000C2CDA"/>
    <w:rsid w:val="000C50D9"/>
    <w:rsid w:val="000D20F8"/>
    <w:rsid w:val="000D2356"/>
    <w:rsid w:val="000D3CA3"/>
    <w:rsid w:val="000E565A"/>
    <w:rsid w:val="000E56B2"/>
    <w:rsid w:val="000F6946"/>
    <w:rsid w:val="00110471"/>
    <w:rsid w:val="0011061B"/>
    <w:rsid w:val="00113B3F"/>
    <w:rsid w:val="00117C4B"/>
    <w:rsid w:val="0012015D"/>
    <w:rsid w:val="00122828"/>
    <w:rsid w:val="0012397B"/>
    <w:rsid w:val="00124F82"/>
    <w:rsid w:val="0012589C"/>
    <w:rsid w:val="00127E48"/>
    <w:rsid w:val="00127FEB"/>
    <w:rsid w:val="0013017C"/>
    <w:rsid w:val="00130188"/>
    <w:rsid w:val="00141B77"/>
    <w:rsid w:val="001437F7"/>
    <w:rsid w:val="00145861"/>
    <w:rsid w:val="00145E67"/>
    <w:rsid w:val="00147A2A"/>
    <w:rsid w:val="00147CBC"/>
    <w:rsid w:val="00151992"/>
    <w:rsid w:val="00161446"/>
    <w:rsid w:val="0016201C"/>
    <w:rsid w:val="001666AE"/>
    <w:rsid w:val="00167198"/>
    <w:rsid w:val="00170F0F"/>
    <w:rsid w:val="00173E26"/>
    <w:rsid w:val="00180D8B"/>
    <w:rsid w:val="0018270D"/>
    <w:rsid w:val="00182939"/>
    <w:rsid w:val="001911DF"/>
    <w:rsid w:val="00193CAA"/>
    <w:rsid w:val="001977BC"/>
    <w:rsid w:val="001A65B3"/>
    <w:rsid w:val="001A6D3E"/>
    <w:rsid w:val="001B05F1"/>
    <w:rsid w:val="001B2C66"/>
    <w:rsid w:val="001B4290"/>
    <w:rsid w:val="001B7769"/>
    <w:rsid w:val="001C653C"/>
    <w:rsid w:val="001D0B12"/>
    <w:rsid w:val="001E22BF"/>
    <w:rsid w:val="001E65CC"/>
    <w:rsid w:val="001E7EAE"/>
    <w:rsid w:val="001F4BD3"/>
    <w:rsid w:val="001F71B8"/>
    <w:rsid w:val="0020075B"/>
    <w:rsid w:val="002011AC"/>
    <w:rsid w:val="00206145"/>
    <w:rsid w:val="00211875"/>
    <w:rsid w:val="00211CBE"/>
    <w:rsid w:val="00211D61"/>
    <w:rsid w:val="00212C7A"/>
    <w:rsid w:val="0022502D"/>
    <w:rsid w:val="0022677F"/>
    <w:rsid w:val="00231D32"/>
    <w:rsid w:val="002419D4"/>
    <w:rsid w:val="00246B68"/>
    <w:rsid w:val="00251157"/>
    <w:rsid w:val="00252F96"/>
    <w:rsid w:val="0025359B"/>
    <w:rsid w:val="00254AA5"/>
    <w:rsid w:val="002604A3"/>
    <w:rsid w:val="00261A12"/>
    <w:rsid w:val="00274AB9"/>
    <w:rsid w:val="0028468D"/>
    <w:rsid w:val="0028517C"/>
    <w:rsid w:val="002851FA"/>
    <w:rsid w:val="00285559"/>
    <w:rsid w:val="0029155E"/>
    <w:rsid w:val="002B0119"/>
    <w:rsid w:val="002B0D99"/>
    <w:rsid w:val="002B7DF9"/>
    <w:rsid w:val="002B7F9B"/>
    <w:rsid w:val="002C4F06"/>
    <w:rsid w:val="002D1910"/>
    <w:rsid w:val="002D277C"/>
    <w:rsid w:val="002E1215"/>
    <w:rsid w:val="002F052E"/>
    <w:rsid w:val="002F3EC1"/>
    <w:rsid w:val="003020F9"/>
    <w:rsid w:val="003154CE"/>
    <w:rsid w:val="00316668"/>
    <w:rsid w:val="00316E68"/>
    <w:rsid w:val="00322A5F"/>
    <w:rsid w:val="003270EE"/>
    <w:rsid w:val="00327AF7"/>
    <w:rsid w:val="00333AC3"/>
    <w:rsid w:val="00337C0A"/>
    <w:rsid w:val="00353616"/>
    <w:rsid w:val="00356A4E"/>
    <w:rsid w:val="0035751F"/>
    <w:rsid w:val="00360E7F"/>
    <w:rsid w:val="0036444C"/>
    <w:rsid w:val="00366ED7"/>
    <w:rsid w:val="00367518"/>
    <w:rsid w:val="0037634A"/>
    <w:rsid w:val="003811DD"/>
    <w:rsid w:val="003849D8"/>
    <w:rsid w:val="00390DEA"/>
    <w:rsid w:val="003A0230"/>
    <w:rsid w:val="003A585F"/>
    <w:rsid w:val="003A5FB0"/>
    <w:rsid w:val="003B1E11"/>
    <w:rsid w:val="003B259F"/>
    <w:rsid w:val="003B59F3"/>
    <w:rsid w:val="003B765F"/>
    <w:rsid w:val="003B7D2D"/>
    <w:rsid w:val="003C1A7A"/>
    <w:rsid w:val="003C263B"/>
    <w:rsid w:val="003C3652"/>
    <w:rsid w:val="003C556E"/>
    <w:rsid w:val="003C56BA"/>
    <w:rsid w:val="003C5BDC"/>
    <w:rsid w:val="003D00A0"/>
    <w:rsid w:val="003D519C"/>
    <w:rsid w:val="003D69FC"/>
    <w:rsid w:val="003E1757"/>
    <w:rsid w:val="003E486F"/>
    <w:rsid w:val="003E732F"/>
    <w:rsid w:val="00401D74"/>
    <w:rsid w:val="0040519F"/>
    <w:rsid w:val="00410AB9"/>
    <w:rsid w:val="00410CA1"/>
    <w:rsid w:val="00412EF4"/>
    <w:rsid w:val="00413D04"/>
    <w:rsid w:val="00414ED4"/>
    <w:rsid w:val="0041728B"/>
    <w:rsid w:val="00422D48"/>
    <w:rsid w:val="00424D2D"/>
    <w:rsid w:val="00425126"/>
    <w:rsid w:val="0043469C"/>
    <w:rsid w:val="00436C8B"/>
    <w:rsid w:val="00442195"/>
    <w:rsid w:val="004562FC"/>
    <w:rsid w:val="00461052"/>
    <w:rsid w:val="00463625"/>
    <w:rsid w:val="0046510C"/>
    <w:rsid w:val="00473508"/>
    <w:rsid w:val="0047482A"/>
    <w:rsid w:val="00484BCA"/>
    <w:rsid w:val="004915CE"/>
    <w:rsid w:val="00491AFE"/>
    <w:rsid w:val="00491F13"/>
    <w:rsid w:val="00493BD9"/>
    <w:rsid w:val="004943A1"/>
    <w:rsid w:val="004A0EFD"/>
    <w:rsid w:val="004A2C42"/>
    <w:rsid w:val="004A75C9"/>
    <w:rsid w:val="004B0CD9"/>
    <w:rsid w:val="004C2971"/>
    <w:rsid w:val="004C7385"/>
    <w:rsid w:val="004D1184"/>
    <w:rsid w:val="004D2689"/>
    <w:rsid w:val="004D3780"/>
    <w:rsid w:val="004D3D28"/>
    <w:rsid w:val="004D6185"/>
    <w:rsid w:val="004E5D75"/>
    <w:rsid w:val="004E7037"/>
    <w:rsid w:val="004E7307"/>
    <w:rsid w:val="004E744C"/>
    <w:rsid w:val="004F4A43"/>
    <w:rsid w:val="00503796"/>
    <w:rsid w:val="0050380A"/>
    <w:rsid w:val="00504A44"/>
    <w:rsid w:val="005110D0"/>
    <w:rsid w:val="0051143D"/>
    <w:rsid w:val="00514341"/>
    <w:rsid w:val="00514773"/>
    <w:rsid w:val="005152C8"/>
    <w:rsid w:val="005262E8"/>
    <w:rsid w:val="00526AAF"/>
    <w:rsid w:val="00530821"/>
    <w:rsid w:val="00536275"/>
    <w:rsid w:val="00543EB4"/>
    <w:rsid w:val="00546019"/>
    <w:rsid w:val="005534CD"/>
    <w:rsid w:val="0055644C"/>
    <w:rsid w:val="0055659A"/>
    <w:rsid w:val="00560370"/>
    <w:rsid w:val="00566DE2"/>
    <w:rsid w:val="00570E7B"/>
    <w:rsid w:val="00574775"/>
    <w:rsid w:val="0058306D"/>
    <w:rsid w:val="00584415"/>
    <w:rsid w:val="00585593"/>
    <w:rsid w:val="0059135F"/>
    <w:rsid w:val="00593D91"/>
    <w:rsid w:val="00595431"/>
    <w:rsid w:val="00595FE6"/>
    <w:rsid w:val="00597822"/>
    <w:rsid w:val="005A0B97"/>
    <w:rsid w:val="005B5A95"/>
    <w:rsid w:val="005B6C53"/>
    <w:rsid w:val="005C1469"/>
    <w:rsid w:val="005C4CB0"/>
    <w:rsid w:val="005C63C5"/>
    <w:rsid w:val="005D12B9"/>
    <w:rsid w:val="005D2A5D"/>
    <w:rsid w:val="005D5486"/>
    <w:rsid w:val="005E30E5"/>
    <w:rsid w:val="005E55FC"/>
    <w:rsid w:val="005F10EE"/>
    <w:rsid w:val="005F1C68"/>
    <w:rsid w:val="005F5D0D"/>
    <w:rsid w:val="00601730"/>
    <w:rsid w:val="0060339D"/>
    <w:rsid w:val="00610481"/>
    <w:rsid w:val="00613160"/>
    <w:rsid w:val="006203BA"/>
    <w:rsid w:val="00622670"/>
    <w:rsid w:val="00622E9B"/>
    <w:rsid w:val="00625F88"/>
    <w:rsid w:val="00630219"/>
    <w:rsid w:val="006320EA"/>
    <w:rsid w:val="00633233"/>
    <w:rsid w:val="006358E6"/>
    <w:rsid w:val="00644E6C"/>
    <w:rsid w:val="0064683D"/>
    <w:rsid w:val="006533D0"/>
    <w:rsid w:val="00655F68"/>
    <w:rsid w:val="00666D74"/>
    <w:rsid w:val="00667723"/>
    <w:rsid w:val="00674024"/>
    <w:rsid w:val="00677776"/>
    <w:rsid w:val="00682EED"/>
    <w:rsid w:val="006848AA"/>
    <w:rsid w:val="00695F2C"/>
    <w:rsid w:val="00696BFA"/>
    <w:rsid w:val="006A19CA"/>
    <w:rsid w:val="006A6DBE"/>
    <w:rsid w:val="006B01AF"/>
    <w:rsid w:val="006C275E"/>
    <w:rsid w:val="006C6CF5"/>
    <w:rsid w:val="006C6FEC"/>
    <w:rsid w:val="006D02D5"/>
    <w:rsid w:val="006D3615"/>
    <w:rsid w:val="006D4F52"/>
    <w:rsid w:val="006D5F75"/>
    <w:rsid w:val="006D6B06"/>
    <w:rsid w:val="006E3B9E"/>
    <w:rsid w:val="006E4267"/>
    <w:rsid w:val="006F3D18"/>
    <w:rsid w:val="006F7079"/>
    <w:rsid w:val="007146EA"/>
    <w:rsid w:val="00717668"/>
    <w:rsid w:val="0072412A"/>
    <w:rsid w:val="00726D05"/>
    <w:rsid w:val="0073192D"/>
    <w:rsid w:val="00734015"/>
    <w:rsid w:val="00737036"/>
    <w:rsid w:val="007431F4"/>
    <w:rsid w:val="00743365"/>
    <w:rsid w:val="00747E9D"/>
    <w:rsid w:val="00750B3D"/>
    <w:rsid w:val="00752629"/>
    <w:rsid w:val="007714AB"/>
    <w:rsid w:val="007721CC"/>
    <w:rsid w:val="00774709"/>
    <w:rsid w:val="00790A4A"/>
    <w:rsid w:val="0079222D"/>
    <w:rsid w:val="007A0390"/>
    <w:rsid w:val="007A5610"/>
    <w:rsid w:val="007A56C9"/>
    <w:rsid w:val="007B5256"/>
    <w:rsid w:val="007B59DC"/>
    <w:rsid w:val="007C0A43"/>
    <w:rsid w:val="007C132C"/>
    <w:rsid w:val="007C3BDC"/>
    <w:rsid w:val="007D6A9D"/>
    <w:rsid w:val="007E2BB8"/>
    <w:rsid w:val="007E6C52"/>
    <w:rsid w:val="007F770E"/>
    <w:rsid w:val="00805715"/>
    <w:rsid w:val="00805B0A"/>
    <w:rsid w:val="008072B1"/>
    <w:rsid w:val="008076BB"/>
    <w:rsid w:val="00807807"/>
    <w:rsid w:val="00820D37"/>
    <w:rsid w:val="00820DC6"/>
    <w:rsid w:val="0082177C"/>
    <w:rsid w:val="00821CCC"/>
    <w:rsid w:val="00824893"/>
    <w:rsid w:val="00835BC2"/>
    <w:rsid w:val="00835C05"/>
    <w:rsid w:val="0083718F"/>
    <w:rsid w:val="00841459"/>
    <w:rsid w:val="00843B8C"/>
    <w:rsid w:val="0084427A"/>
    <w:rsid w:val="0085332A"/>
    <w:rsid w:val="008547A8"/>
    <w:rsid w:val="008616DD"/>
    <w:rsid w:val="00871453"/>
    <w:rsid w:val="00871657"/>
    <w:rsid w:val="00872DA2"/>
    <w:rsid w:val="0087518F"/>
    <w:rsid w:val="008A1F54"/>
    <w:rsid w:val="008A572F"/>
    <w:rsid w:val="008A5AA9"/>
    <w:rsid w:val="008A782A"/>
    <w:rsid w:val="008B01AB"/>
    <w:rsid w:val="008B78BC"/>
    <w:rsid w:val="008C2567"/>
    <w:rsid w:val="008C294F"/>
    <w:rsid w:val="008C7469"/>
    <w:rsid w:val="008D23F7"/>
    <w:rsid w:val="008E239D"/>
    <w:rsid w:val="008E4180"/>
    <w:rsid w:val="008E7E9E"/>
    <w:rsid w:val="008F0091"/>
    <w:rsid w:val="008F0125"/>
    <w:rsid w:val="008F4D36"/>
    <w:rsid w:val="008F6BDF"/>
    <w:rsid w:val="008F76BF"/>
    <w:rsid w:val="009048C7"/>
    <w:rsid w:val="00904ECE"/>
    <w:rsid w:val="0091175F"/>
    <w:rsid w:val="0091331F"/>
    <w:rsid w:val="009176BD"/>
    <w:rsid w:val="00923495"/>
    <w:rsid w:val="00926C71"/>
    <w:rsid w:val="00930EE6"/>
    <w:rsid w:val="0093109A"/>
    <w:rsid w:val="009351BA"/>
    <w:rsid w:val="0093589D"/>
    <w:rsid w:val="009410E0"/>
    <w:rsid w:val="00942F82"/>
    <w:rsid w:val="00946021"/>
    <w:rsid w:val="0094683E"/>
    <w:rsid w:val="009534D5"/>
    <w:rsid w:val="00955266"/>
    <w:rsid w:val="00956328"/>
    <w:rsid w:val="00961B6B"/>
    <w:rsid w:val="00962CFE"/>
    <w:rsid w:val="0096383E"/>
    <w:rsid w:val="00986ACB"/>
    <w:rsid w:val="00986E4E"/>
    <w:rsid w:val="00991F5F"/>
    <w:rsid w:val="00993AED"/>
    <w:rsid w:val="0099605F"/>
    <w:rsid w:val="00996E83"/>
    <w:rsid w:val="009A1BD8"/>
    <w:rsid w:val="009A46DC"/>
    <w:rsid w:val="009A5DBD"/>
    <w:rsid w:val="009A7F01"/>
    <w:rsid w:val="009B41B1"/>
    <w:rsid w:val="009B54A2"/>
    <w:rsid w:val="009B69EF"/>
    <w:rsid w:val="009D0BF4"/>
    <w:rsid w:val="009D10A3"/>
    <w:rsid w:val="009D27A7"/>
    <w:rsid w:val="009D5D18"/>
    <w:rsid w:val="009E0D20"/>
    <w:rsid w:val="009E663A"/>
    <w:rsid w:val="009F2F36"/>
    <w:rsid w:val="009F302B"/>
    <w:rsid w:val="009F31F0"/>
    <w:rsid w:val="009F3800"/>
    <w:rsid w:val="00A01EE1"/>
    <w:rsid w:val="00A02C88"/>
    <w:rsid w:val="00A10F50"/>
    <w:rsid w:val="00A13012"/>
    <w:rsid w:val="00A152E2"/>
    <w:rsid w:val="00A24B49"/>
    <w:rsid w:val="00A266D7"/>
    <w:rsid w:val="00A318F5"/>
    <w:rsid w:val="00A60BB5"/>
    <w:rsid w:val="00A668BD"/>
    <w:rsid w:val="00A66A00"/>
    <w:rsid w:val="00A73AD7"/>
    <w:rsid w:val="00A81324"/>
    <w:rsid w:val="00A849FC"/>
    <w:rsid w:val="00A8610A"/>
    <w:rsid w:val="00A86B6B"/>
    <w:rsid w:val="00A87168"/>
    <w:rsid w:val="00A9066F"/>
    <w:rsid w:val="00A93689"/>
    <w:rsid w:val="00A95E9D"/>
    <w:rsid w:val="00A95FC4"/>
    <w:rsid w:val="00AA1594"/>
    <w:rsid w:val="00AA5CE8"/>
    <w:rsid w:val="00AA6900"/>
    <w:rsid w:val="00AB3DA6"/>
    <w:rsid w:val="00AD5AE7"/>
    <w:rsid w:val="00AD7D52"/>
    <w:rsid w:val="00AE086B"/>
    <w:rsid w:val="00AE1F1C"/>
    <w:rsid w:val="00AE5EFC"/>
    <w:rsid w:val="00AF2058"/>
    <w:rsid w:val="00AF325E"/>
    <w:rsid w:val="00AF343C"/>
    <w:rsid w:val="00AF4066"/>
    <w:rsid w:val="00AF612C"/>
    <w:rsid w:val="00AF616C"/>
    <w:rsid w:val="00AF6E55"/>
    <w:rsid w:val="00B20136"/>
    <w:rsid w:val="00B20E4C"/>
    <w:rsid w:val="00B33FB3"/>
    <w:rsid w:val="00B36821"/>
    <w:rsid w:val="00B429C7"/>
    <w:rsid w:val="00B44C79"/>
    <w:rsid w:val="00B5081C"/>
    <w:rsid w:val="00B555EA"/>
    <w:rsid w:val="00B565F9"/>
    <w:rsid w:val="00B65EBA"/>
    <w:rsid w:val="00B719A0"/>
    <w:rsid w:val="00B719A6"/>
    <w:rsid w:val="00B72255"/>
    <w:rsid w:val="00B77F93"/>
    <w:rsid w:val="00B84FFC"/>
    <w:rsid w:val="00B87900"/>
    <w:rsid w:val="00B95F59"/>
    <w:rsid w:val="00BA2BF0"/>
    <w:rsid w:val="00BA3427"/>
    <w:rsid w:val="00BA78D2"/>
    <w:rsid w:val="00BA7ED6"/>
    <w:rsid w:val="00BC61A5"/>
    <w:rsid w:val="00BE03E1"/>
    <w:rsid w:val="00BF77F0"/>
    <w:rsid w:val="00C00355"/>
    <w:rsid w:val="00C0062D"/>
    <w:rsid w:val="00C056ED"/>
    <w:rsid w:val="00C10172"/>
    <w:rsid w:val="00C2228F"/>
    <w:rsid w:val="00C24471"/>
    <w:rsid w:val="00C24CF6"/>
    <w:rsid w:val="00C27452"/>
    <w:rsid w:val="00C3086F"/>
    <w:rsid w:val="00C31C8C"/>
    <w:rsid w:val="00C320E1"/>
    <w:rsid w:val="00C340E2"/>
    <w:rsid w:val="00C35BD8"/>
    <w:rsid w:val="00C46531"/>
    <w:rsid w:val="00C502EC"/>
    <w:rsid w:val="00C55597"/>
    <w:rsid w:val="00C56F2B"/>
    <w:rsid w:val="00C57197"/>
    <w:rsid w:val="00C6641E"/>
    <w:rsid w:val="00C911D6"/>
    <w:rsid w:val="00C91569"/>
    <w:rsid w:val="00C920AC"/>
    <w:rsid w:val="00C92B17"/>
    <w:rsid w:val="00C948FF"/>
    <w:rsid w:val="00C973F2"/>
    <w:rsid w:val="00CA1702"/>
    <w:rsid w:val="00CA2B2E"/>
    <w:rsid w:val="00CA6D81"/>
    <w:rsid w:val="00CB0549"/>
    <w:rsid w:val="00CB4A08"/>
    <w:rsid w:val="00CC27E5"/>
    <w:rsid w:val="00CC3FB4"/>
    <w:rsid w:val="00CC6B80"/>
    <w:rsid w:val="00CD532A"/>
    <w:rsid w:val="00CD6C1C"/>
    <w:rsid w:val="00CD7F53"/>
    <w:rsid w:val="00CE05C1"/>
    <w:rsid w:val="00CE1F49"/>
    <w:rsid w:val="00CE425E"/>
    <w:rsid w:val="00CE5A7D"/>
    <w:rsid w:val="00CE62C4"/>
    <w:rsid w:val="00CF153A"/>
    <w:rsid w:val="00CF67FD"/>
    <w:rsid w:val="00D00478"/>
    <w:rsid w:val="00D031BF"/>
    <w:rsid w:val="00D04D09"/>
    <w:rsid w:val="00D05347"/>
    <w:rsid w:val="00D058E6"/>
    <w:rsid w:val="00D12B42"/>
    <w:rsid w:val="00D157A9"/>
    <w:rsid w:val="00D1735C"/>
    <w:rsid w:val="00D175AE"/>
    <w:rsid w:val="00D17968"/>
    <w:rsid w:val="00D22F3A"/>
    <w:rsid w:val="00D22F92"/>
    <w:rsid w:val="00D25CD4"/>
    <w:rsid w:val="00D26B51"/>
    <w:rsid w:val="00D3302E"/>
    <w:rsid w:val="00D34BC9"/>
    <w:rsid w:val="00D358A5"/>
    <w:rsid w:val="00D41183"/>
    <w:rsid w:val="00D42091"/>
    <w:rsid w:val="00D4408D"/>
    <w:rsid w:val="00D4618D"/>
    <w:rsid w:val="00D46C2F"/>
    <w:rsid w:val="00D557A3"/>
    <w:rsid w:val="00D56489"/>
    <w:rsid w:val="00D649FD"/>
    <w:rsid w:val="00D769C3"/>
    <w:rsid w:val="00D818C8"/>
    <w:rsid w:val="00D831A7"/>
    <w:rsid w:val="00D915E3"/>
    <w:rsid w:val="00D97ADB"/>
    <w:rsid w:val="00D97FBA"/>
    <w:rsid w:val="00DA19CE"/>
    <w:rsid w:val="00DA29F9"/>
    <w:rsid w:val="00DA4E92"/>
    <w:rsid w:val="00DB1F08"/>
    <w:rsid w:val="00DB215F"/>
    <w:rsid w:val="00DC049F"/>
    <w:rsid w:val="00DC08B8"/>
    <w:rsid w:val="00DC7DFB"/>
    <w:rsid w:val="00DD0EEC"/>
    <w:rsid w:val="00DE4462"/>
    <w:rsid w:val="00DF360B"/>
    <w:rsid w:val="00DF7C4B"/>
    <w:rsid w:val="00E07239"/>
    <w:rsid w:val="00E07B72"/>
    <w:rsid w:val="00E1041D"/>
    <w:rsid w:val="00E24628"/>
    <w:rsid w:val="00E24A84"/>
    <w:rsid w:val="00E24BD3"/>
    <w:rsid w:val="00E24FD9"/>
    <w:rsid w:val="00E312B1"/>
    <w:rsid w:val="00E3182F"/>
    <w:rsid w:val="00E33E54"/>
    <w:rsid w:val="00E429A2"/>
    <w:rsid w:val="00E55DB9"/>
    <w:rsid w:val="00E73483"/>
    <w:rsid w:val="00E75D9A"/>
    <w:rsid w:val="00E84F54"/>
    <w:rsid w:val="00E860B7"/>
    <w:rsid w:val="00E92937"/>
    <w:rsid w:val="00EA09AE"/>
    <w:rsid w:val="00EA0D55"/>
    <w:rsid w:val="00EA244E"/>
    <w:rsid w:val="00EA513F"/>
    <w:rsid w:val="00EA52F3"/>
    <w:rsid w:val="00EB0E61"/>
    <w:rsid w:val="00EB5096"/>
    <w:rsid w:val="00EB5202"/>
    <w:rsid w:val="00EB5216"/>
    <w:rsid w:val="00EC1F92"/>
    <w:rsid w:val="00EC5F19"/>
    <w:rsid w:val="00ED416F"/>
    <w:rsid w:val="00EE107A"/>
    <w:rsid w:val="00EE14E1"/>
    <w:rsid w:val="00EE18D1"/>
    <w:rsid w:val="00EE1BEE"/>
    <w:rsid w:val="00EE60A9"/>
    <w:rsid w:val="00EE62E8"/>
    <w:rsid w:val="00EF0DFD"/>
    <w:rsid w:val="00EF2CBC"/>
    <w:rsid w:val="00EF326A"/>
    <w:rsid w:val="00EF5818"/>
    <w:rsid w:val="00EF78B2"/>
    <w:rsid w:val="00F1033D"/>
    <w:rsid w:val="00F141FA"/>
    <w:rsid w:val="00F24ED8"/>
    <w:rsid w:val="00F25DB5"/>
    <w:rsid w:val="00F310E7"/>
    <w:rsid w:val="00F3278B"/>
    <w:rsid w:val="00F4691A"/>
    <w:rsid w:val="00F46B08"/>
    <w:rsid w:val="00F7555E"/>
    <w:rsid w:val="00F75B6C"/>
    <w:rsid w:val="00F80488"/>
    <w:rsid w:val="00F82EEC"/>
    <w:rsid w:val="00F966BB"/>
    <w:rsid w:val="00FA0062"/>
    <w:rsid w:val="00FA43F4"/>
    <w:rsid w:val="00FA4D23"/>
    <w:rsid w:val="00FB3C70"/>
    <w:rsid w:val="00FC3E3B"/>
    <w:rsid w:val="00FC4EB9"/>
    <w:rsid w:val="00FC4F80"/>
    <w:rsid w:val="00FC591A"/>
    <w:rsid w:val="00FD363A"/>
    <w:rsid w:val="00FE03D9"/>
    <w:rsid w:val="00FE2F23"/>
    <w:rsid w:val="00FE47DB"/>
    <w:rsid w:val="00FE49FA"/>
    <w:rsid w:val="00FE6984"/>
    <w:rsid w:val="00FF1CEB"/>
    <w:rsid w:val="00FF34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9CAFC"/>
  <w15:chartTrackingRefBased/>
  <w15:docId w15:val="{0728D3D6-9629-49D9-8AB4-09113BD25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97B"/>
    <w:pPr>
      <w:widowControl w:val="0"/>
      <w:spacing w:after="200" w:line="276" w:lineRule="auto"/>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356"/>
    <w:pPr>
      <w:widowControl/>
      <w:spacing w:before="100" w:beforeAutospacing="1" w:after="100" w:afterAutospacing="1" w:line="240" w:lineRule="auto"/>
    </w:pPr>
    <w:rPr>
      <w:rFonts w:eastAsia="Times New Roman"/>
      <w:sz w:val="24"/>
      <w:szCs w:val="24"/>
      <w:lang w:eastAsia="lv-LV"/>
    </w:rPr>
  </w:style>
  <w:style w:type="character" w:customStyle="1" w:styleId="HeaderChar">
    <w:name w:val="Header Char"/>
    <w:basedOn w:val="DefaultParagraphFont"/>
    <w:link w:val="Header"/>
    <w:uiPriority w:val="99"/>
    <w:rsid w:val="000D2356"/>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semiHidden/>
    <w:unhideWhenUsed/>
    <w:rsid w:val="000D2356"/>
    <w:pPr>
      <w:widowControl/>
      <w:spacing w:before="100" w:beforeAutospacing="1" w:after="100" w:afterAutospacing="1" w:line="240" w:lineRule="auto"/>
    </w:pPr>
    <w:rPr>
      <w:rFonts w:eastAsia="Times New Roman"/>
      <w:sz w:val="24"/>
      <w:szCs w:val="24"/>
      <w:lang w:eastAsia="lv-LV"/>
    </w:rPr>
  </w:style>
  <w:style w:type="character" w:customStyle="1" w:styleId="BodyTextChar">
    <w:name w:val="Body Text Char"/>
    <w:basedOn w:val="DefaultParagraphFont"/>
    <w:link w:val="BodyText"/>
    <w:uiPriority w:val="99"/>
    <w:semiHidden/>
    <w:rsid w:val="000D2356"/>
    <w:rPr>
      <w:rFonts w:ascii="Times New Roman" w:eastAsia="Times New Roman" w:hAnsi="Times New Roman" w:cs="Times New Roman"/>
      <w:sz w:val="24"/>
      <w:szCs w:val="24"/>
      <w:lang w:eastAsia="lv-LV"/>
    </w:rPr>
  </w:style>
  <w:style w:type="paragraph" w:styleId="BodyTextIndent2">
    <w:name w:val="Body Text Indent 2"/>
    <w:basedOn w:val="Normal"/>
    <w:link w:val="BodyTextIndent2Char"/>
    <w:uiPriority w:val="99"/>
    <w:semiHidden/>
    <w:unhideWhenUsed/>
    <w:rsid w:val="000D2356"/>
    <w:pPr>
      <w:widowControl/>
      <w:spacing w:before="100" w:beforeAutospacing="1" w:after="100" w:afterAutospacing="1" w:line="240" w:lineRule="auto"/>
    </w:pPr>
    <w:rPr>
      <w:rFonts w:eastAsia="Times New Roman"/>
      <w:sz w:val="24"/>
      <w:szCs w:val="24"/>
      <w:lang w:eastAsia="lv-LV"/>
    </w:rPr>
  </w:style>
  <w:style w:type="character" w:customStyle="1" w:styleId="BodyTextIndent2Char">
    <w:name w:val="Body Text Indent 2 Char"/>
    <w:basedOn w:val="DefaultParagraphFont"/>
    <w:link w:val="BodyTextIndent2"/>
    <w:uiPriority w:val="99"/>
    <w:semiHidden/>
    <w:rsid w:val="000D2356"/>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0D2356"/>
    <w:rPr>
      <w:b/>
      <w:bCs/>
    </w:rPr>
  </w:style>
  <w:style w:type="character" w:styleId="Hyperlink">
    <w:name w:val="Hyperlink"/>
    <w:basedOn w:val="DefaultParagraphFont"/>
    <w:uiPriority w:val="99"/>
    <w:unhideWhenUsed/>
    <w:rsid w:val="000D2356"/>
    <w:rPr>
      <w:color w:val="0000FF"/>
      <w:u w:val="single"/>
    </w:rPr>
  </w:style>
  <w:style w:type="paragraph" w:customStyle="1" w:styleId="naisvisr">
    <w:name w:val="naisvisr"/>
    <w:basedOn w:val="Normal"/>
    <w:rsid w:val="000D2356"/>
    <w:pPr>
      <w:widowControl/>
      <w:spacing w:before="100" w:beforeAutospacing="1" w:after="100" w:afterAutospacing="1" w:line="240" w:lineRule="auto"/>
    </w:pPr>
    <w:rPr>
      <w:rFonts w:eastAsia="Times New Roman"/>
      <w:sz w:val="24"/>
      <w:szCs w:val="24"/>
      <w:lang w:eastAsia="lv-LV"/>
    </w:rPr>
  </w:style>
  <w:style w:type="paragraph" w:styleId="NormalWeb">
    <w:name w:val="Normal (Web)"/>
    <w:basedOn w:val="Normal"/>
    <w:uiPriority w:val="99"/>
    <w:unhideWhenUsed/>
    <w:rsid w:val="000D2356"/>
    <w:pPr>
      <w:widowControl/>
      <w:spacing w:before="100" w:beforeAutospacing="1" w:after="100" w:afterAutospacing="1" w:line="240" w:lineRule="auto"/>
    </w:pPr>
    <w:rPr>
      <w:rFonts w:eastAsia="Times New Roman"/>
      <w:sz w:val="24"/>
      <w:szCs w:val="24"/>
      <w:lang w:eastAsia="lv-LV"/>
    </w:rPr>
  </w:style>
  <w:style w:type="paragraph" w:styleId="FootnoteText">
    <w:name w:val="footnote text"/>
    <w:basedOn w:val="Normal"/>
    <w:link w:val="FootnoteTextChar"/>
    <w:uiPriority w:val="99"/>
    <w:semiHidden/>
    <w:unhideWhenUsed/>
    <w:rsid w:val="003E486F"/>
    <w:pPr>
      <w:autoSpaceDE w:val="0"/>
      <w:autoSpaceDN w:val="0"/>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semiHidden/>
    <w:rsid w:val="003E486F"/>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3E486F"/>
    <w:rPr>
      <w:vertAlign w:val="superscript"/>
    </w:rPr>
  </w:style>
  <w:style w:type="character" w:styleId="CommentReference">
    <w:name w:val="annotation reference"/>
    <w:basedOn w:val="DefaultParagraphFont"/>
    <w:uiPriority w:val="99"/>
    <w:semiHidden/>
    <w:unhideWhenUsed/>
    <w:rsid w:val="00D818C8"/>
    <w:rPr>
      <w:sz w:val="16"/>
      <w:szCs w:val="16"/>
    </w:rPr>
  </w:style>
  <w:style w:type="paragraph" w:styleId="CommentText">
    <w:name w:val="annotation text"/>
    <w:basedOn w:val="Normal"/>
    <w:link w:val="CommentTextChar"/>
    <w:uiPriority w:val="99"/>
    <w:semiHidden/>
    <w:unhideWhenUsed/>
    <w:rsid w:val="00D818C8"/>
    <w:pPr>
      <w:spacing w:line="240" w:lineRule="auto"/>
    </w:pPr>
    <w:rPr>
      <w:sz w:val="20"/>
      <w:szCs w:val="20"/>
    </w:rPr>
  </w:style>
  <w:style w:type="character" w:customStyle="1" w:styleId="CommentTextChar">
    <w:name w:val="Comment Text Char"/>
    <w:basedOn w:val="DefaultParagraphFont"/>
    <w:link w:val="CommentText"/>
    <w:uiPriority w:val="99"/>
    <w:semiHidden/>
    <w:rsid w:val="00D818C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818C8"/>
    <w:rPr>
      <w:b/>
      <w:bCs/>
    </w:rPr>
  </w:style>
  <w:style w:type="character" w:customStyle="1" w:styleId="CommentSubjectChar">
    <w:name w:val="Comment Subject Char"/>
    <w:basedOn w:val="CommentTextChar"/>
    <w:link w:val="CommentSubject"/>
    <w:uiPriority w:val="99"/>
    <w:semiHidden/>
    <w:rsid w:val="00D818C8"/>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D818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8C8"/>
    <w:rPr>
      <w:rFonts w:ascii="Segoe UI" w:hAnsi="Segoe UI" w:cs="Segoe UI"/>
      <w:sz w:val="18"/>
      <w:szCs w:val="18"/>
    </w:rPr>
  </w:style>
  <w:style w:type="paragraph" w:styleId="ListParagraph">
    <w:name w:val="List Paragraph"/>
    <w:basedOn w:val="Normal"/>
    <w:uiPriority w:val="34"/>
    <w:qFormat/>
    <w:rsid w:val="00993AED"/>
    <w:pPr>
      <w:ind w:left="720"/>
      <w:contextualSpacing/>
    </w:pPr>
  </w:style>
  <w:style w:type="paragraph" w:styleId="Revision">
    <w:name w:val="Revision"/>
    <w:hidden/>
    <w:uiPriority w:val="99"/>
    <w:semiHidden/>
    <w:rsid w:val="0084427A"/>
    <w:pPr>
      <w:spacing w:after="0" w:line="240" w:lineRule="auto"/>
    </w:pPr>
    <w:rPr>
      <w:rFonts w:ascii="Times New Roman" w:hAnsi="Times New Roman" w:cs="Times New Roman"/>
      <w:sz w:val="28"/>
    </w:rPr>
  </w:style>
  <w:style w:type="paragraph" w:customStyle="1" w:styleId="tv213">
    <w:name w:val="tv213"/>
    <w:basedOn w:val="Normal"/>
    <w:rsid w:val="009A7F01"/>
    <w:pPr>
      <w:widowControl/>
      <w:spacing w:before="100" w:beforeAutospacing="1" w:after="100" w:afterAutospacing="1" w:line="240" w:lineRule="auto"/>
    </w:pPr>
    <w:rPr>
      <w:rFonts w:eastAsia="Times New Roman"/>
      <w:sz w:val="24"/>
      <w:szCs w:val="24"/>
      <w:lang w:eastAsia="lv-LV"/>
    </w:rPr>
  </w:style>
  <w:style w:type="paragraph" w:styleId="Footer">
    <w:name w:val="footer"/>
    <w:basedOn w:val="Normal"/>
    <w:link w:val="FooterChar"/>
    <w:uiPriority w:val="99"/>
    <w:unhideWhenUsed/>
    <w:rsid w:val="008A1F54"/>
    <w:pPr>
      <w:tabs>
        <w:tab w:val="center" w:pos="4153"/>
        <w:tab w:val="right" w:pos="8306"/>
      </w:tabs>
      <w:spacing w:after="0" w:line="240" w:lineRule="auto"/>
    </w:pPr>
  </w:style>
  <w:style w:type="character" w:customStyle="1" w:styleId="FooterChar">
    <w:name w:val="Footer Char"/>
    <w:basedOn w:val="DefaultParagraphFont"/>
    <w:link w:val="Footer"/>
    <w:uiPriority w:val="99"/>
    <w:rsid w:val="008A1F54"/>
    <w:rPr>
      <w:rFonts w:ascii="Times New Roman" w:hAnsi="Times New Roman" w:cs="Times New Roman"/>
      <w:sz w:val="28"/>
    </w:rPr>
  </w:style>
  <w:style w:type="paragraph" w:styleId="NoSpacing">
    <w:name w:val="No Spacing"/>
    <w:uiPriority w:val="1"/>
    <w:qFormat/>
    <w:rsid w:val="006E4267"/>
    <w:pPr>
      <w:spacing w:after="0" w:line="240" w:lineRule="auto"/>
    </w:pPr>
    <w:rPr>
      <w:rFonts w:ascii="Calibri" w:hAnsi="Calibri" w:cs="Times New Roman"/>
    </w:rPr>
  </w:style>
  <w:style w:type="paragraph" w:customStyle="1" w:styleId="tvhtml">
    <w:name w:val="tv_html"/>
    <w:basedOn w:val="Normal"/>
    <w:rsid w:val="006C6FEC"/>
    <w:pPr>
      <w:widowControl/>
      <w:spacing w:before="100" w:beforeAutospacing="1" w:after="100" w:afterAutospacing="1" w:line="240" w:lineRule="auto"/>
    </w:pPr>
    <w:rPr>
      <w:rFonts w:eastAsia="Times New Roman"/>
      <w:sz w:val="24"/>
      <w:szCs w:val="24"/>
      <w:lang w:eastAsia="lv-LV"/>
    </w:rPr>
  </w:style>
  <w:style w:type="character" w:styleId="FollowedHyperlink">
    <w:name w:val="FollowedHyperlink"/>
    <w:basedOn w:val="DefaultParagraphFont"/>
    <w:uiPriority w:val="99"/>
    <w:semiHidden/>
    <w:unhideWhenUsed/>
    <w:rsid w:val="005B6C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310">
      <w:bodyDiv w:val="1"/>
      <w:marLeft w:val="0"/>
      <w:marRight w:val="0"/>
      <w:marTop w:val="0"/>
      <w:marBottom w:val="0"/>
      <w:divBdr>
        <w:top w:val="none" w:sz="0" w:space="0" w:color="auto"/>
        <w:left w:val="none" w:sz="0" w:space="0" w:color="auto"/>
        <w:bottom w:val="none" w:sz="0" w:space="0" w:color="auto"/>
        <w:right w:val="none" w:sz="0" w:space="0" w:color="auto"/>
      </w:divBdr>
    </w:div>
    <w:div w:id="116221692">
      <w:bodyDiv w:val="1"/>
      <w:marLeft w:val="0"/>
      <w:marRight w:val="0"/>
      <w:marTop w:val="0"/>
      <w:marBottom w:val="0"/>
      <w:divBdr>
        <w:top w:val="none" w:sz="0" w:space="0" w:color="auto"/>
        <w:left w:val="none" w:sz="0" w:space="0" w:color="auto"/>
        <w:bottom w:val="none" w:sz="0" w:space="0" w:color="auto"/>
        <w:right w:val="none" w:sz="0" w:space="0" w:color="auto"/>
      </w:divBdr>
    </w:div>
    <w:div w:id="157157384">
      <w:bodyDiv w:val="1"/>
      <w:marLeft w:val="0"/>
      <w:marRight w:val="0"/>
      <w:marTop w:val="0"/>
      <w:marBottom w:val="0"/>
      <w:divBdr>
        <w:top w:val="none" w:sz="0" w:space="0" w:color="auto"/>
        <w:left w:val="none" w:sz="0" w:space="0" w:color="auto"/>
        <w:bottom w:val="none" w:sz="0" w:space="0" w:color="auto"/>
        <w:right w:val="none" w:sz="0" w:space="0" w:color="auto"/>
      </w:divBdr>
    </w:div>
    <w:div w:id="177812276">
      <w:bodyDiv w:val="1"/>
      <w:marLeft w:val="0"/>
      <w:marRight w:val="0"/>
      <w:marTop w:val="0"/>
      <w:marBottom w:val="0"/>
      <w:divBdr>
        <w:top w:val="none" w:sz="0" w:space="0" w:color="auto"/>
        <w:left w:val="none" w:sz="0" w:space="0" w:color="auto"/>
        <w:bottom w:val="none" w:sz="0" w:space="0" w:color="auto"/>
        <w:right w:val="none" w:sz="0" w:space="0" w:color="auto"/>
      </w:divBdr>
    </w:div>
    <w:div w:id="884021247">
      <w:bodyDiv w:val="1"/>
      <w:marLeft w:val="0"/>
      <w:marRight w:val="0"/>
      <w:marTop w:val="0"/>
      <w:marBottom w:val="0"/>
      <w:divBdr>
        <w:top w:val="none" w:sz="0" w:space="0" w:color="auto"/>
        <w:left w:val="none" w:sz="0" w:space="0" w:color="auto"/>
        <w:bottom w:val="none" w:sz="0" w:space="0" w:color="auto"/>
        <w:right w:val="none" w:sz="0" w:space="0" w:color="auto"/>
      </w:divBdr>
    </w:div>
    <w:div w:id="895354761">
      <w:bodyDiv w:val="1"/>
      <w:marLeft w:val="0"/>
      <w:marRight w:val="0"/>
      <w:marTop w:val="0"/>
      <w:marBottom w:val="0"/>
      <w:divBdr>
        <w:top w:val="none" w:sz="0" w:space="0" w:color="auto"/>
        <w:left w:val="none" w:sz="0" w:space="0" w:color="auto"/>
        <w:bottom w:val="none" w:sz="0" w:space="0" w:color="auto"/>
        <w:right w:val="none" w:sz="0" w:space="0" w:color="auto"/>
      </w:divBdr>
    </w:div>
    <w:div w:id="950284066">
      <w:bodyDiv w:val="1"/>
      <w:marLeft w:val="0"/>
      <w:marRight w:val="0"/>
      <w:marTop w:val="0"/>
      <w:marBottom w:val="0"/>
      <w:divBdr>
        <w:top w:val="none" w:sz="0" w:space="0" w:color="auto"/>
        <w:left w:val="none" w:sz="0" w:space="0" w:color="auto"/>
        <w:bottom w:val="none" w:sz="0" w:space="0" w:color="auto"/>
        <w:right w:val="none" w:sz="0" w:space="0" w:color="auto"/>
      </w:divBdr>
    </w:div>
    <w:div w:id="1047682124">
      <w:bodyDiv w:val="1"/>
      <w:marLeft w:val="0"/>
      <w:marRight w:val="0"/>
      <w:marTop w:val="0"/>
      <w:marBottom w:val="0"/>
      <w:divBdr>
        <w:top w:val="none" w:sz="0" w:space="0" w:color="auto"/>
        <w:left w:val="none" w:sz="0" w:space="0" w:color="auto"/>
        <w:bottom w:val="none" w:sz="0" w:space="0" w:color="auto"/>
        <w:right w:val="none" w:sz="0" w:space="0" w:color="auto"/>
      </w:divBdr>
    </w:div>
    <w:div w:id="1071462209">
      <w:bodyDiv w:val="1"/>
      <w:marLeft w:val="0"/>
      <w:marRight w:val="0"/>
      <w:marTop w:val="0"/>
      <w:marBottom w:val="0"/>
      <w:divBdr>
        <w:top w:val="none" w:sz="0" w:space="0" w:color="auto"/>
        <w:left w:val="none" w:sz="0" w:space="0" w:color="auto"/>
        <w:bottom w:val="none" w:sz="0" w:space="0" w:color="auto"/>
        <w:right w:val="none" w:sz="0" w:space="0" w:color="auto"/>
      </w:divBdr>
    </w:div>
    <w:div w:id="1137186473">
      <w:bodyDiv w:val="1"/>
      <w:marLeft w:val="0"/>
      <w:marRight w:val="0"/>
      <w:marTop w:val="0"/>
      <w:marBottom w:val="0"/>
      <w:divBdr>
        <w:top w:val="none" w:sz="0" w:space="0" w:color="auto"/>
        <w:left w:val="none" w:sz="0" w:space="0" w:color="auto"/>
        <w:bottom w:val="none" w:sz="0" w:space="0" w:color="auto"/>
        <w:right w:val="none" w:sz="0" w:space="0" w:color="auto"/>
      </w:divBdr>
    </w:div>
    <w:div w:id="1339038427">
      <w:bodyDiv w:val="1"/>
      <w:marLeft w:val="0"/>
      <w:marRight w:val="0"/>
      <w:marTop w:val="0"/>
      <w:marBottom w:val="0"/>
      <w:divBdr>
        <w:top w:val="none" w:sz="0" w:space="0" w:color="auto"/>
        <w:left w:val="none" w:sz="0" w:space="0" w:color="auto"/>
        <w:bottom w:val="none" w:sz="0" w:space="0" w:color="auto"/>
        <w:right w:val="none" w:sz="0" w:space="0" w:color="auto"/>
      </w:divBdr>
    </w:div>
    <w:div w:id="1642270644">
      <w:bodyDiv w:val="1"/>
      <w:marLeft w:val="0"/>
      <w:marRight w:val="0"/>
      <w:marTop w:val="0"/>
      <w:marBottom w:val="0"/>
      <w:divBdr>
        <w:top w:val="none" w:sz="0" w:space="0" w:color="auto"/>
        <w:left w:val="none" w:sz="0" w:space="0" w:color="auto"/>
        <w:bottom w:val="none" w:sz="0" w:space="0" w:color="auto"/>
        <w:right w:val="none" w:sz="0" w:space="0" w:color="auto"/>
      </w:divBdr>
    </w:div>
    <w:div w:id="1850293804">
      <w:bodyDiv w:val="1"/>
      <w:marLeft w:val="0"/>
      <w:marRight w:val="0"/>
      <w:marTop w:val="0"/>
      <w:marBottom w:val="0"/>
      <w:divBdr>
        <w:top w:val="none" w:sz="0" w:space="0" w:color="auto"/>
        <w:left w:val="none" w:sz="0" w:space="0" w:color="auto"/>
        <w:bottom w:val="none" w:sz="0" w:space="0" w:color="auto"/>
        <w:right w:val="none" w:sz="0" w:space="0" w:color="auto"/>
      </w:divBdr>
    </w:div>
    <w:div w:id="192336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rtis.Aizupietis@vid.gov.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k.gov.lv/content/ministru-kabineta-diskusiju-dokument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m.gov.lv/lv/sabiedribas_lidzdaliba/tiesibu_aktu_projekti/gramatvedibas_politik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 Rudzīte (VID)</Vad_x012b_t_x0101_js>
    <TAP xmlns="49b0bb89-35b3-4114-9b1c-a376ef2ba045">85</TAP>
    <Kategorija xmlns="2e5bb04e-596e-45bd-9003-43ca78b1ba16">Anotācija</Kategorij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8D7D8-0400-4BAD-AE58-ED1F2EAF4CC9}">
  <ds:schemaRefs>
    <ds:schemaRef ds:uri="http://schemas.microsoft.com/sharepoint/v3/contenttype/forms"/>
  </ds:schemaRefs>
</ds:datastoreItem>
</file>

<file path=customXml/itemProps2.xml><?xml version="1.0" encoding="utf-8"?>
<ds:datastoreItem xmlns:ds="http://schemas.openxmlformats.org/officeDocument/2006/customXml" ds:itemID="{4468AF36-5EAE-4EE9-9335-5D7CABCE3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1626EA-3006-4232-B2C2-1BB9CA9637E4}">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4.xml><?xml version="1.0" encoding="utf-8"?>
<ds:datastoreItem xmlns:ds="http://schemas.openxmlformats.org/officeDocument/2006/customXml" ds:itemID="{770F5937-75A8-4C34-BA01-49CDBFA34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40443</Words>
  <Characters>23053</Characters>
  <Application>Microsoft Office Word</Application>
  <DocSecurity>0</DocSecurity>
  <Lines>192</Lines>
  <Paragraphs>126</Paragraphs>
  <ScaleCrop>false</ScaleCrop>
  <HeadingPairs>
    <vt:vector size="2" baseType="variant">
      <vt:variant>
        <vt:lpstr>Title</vt:lpstr>
      </vt:variant>
      <vt:variant>
        <vt:i4>1</vt:i4>
      </vt:variant>
    </vt:vector>
  </HeadingPairs>
  <TitlesOfParts>
    <vt:vector size="1" baseType="lpstr">
      <vt:lpstr>Likumprojekta “Grozījumi likumā Par grāmatvedību” sākotnējās ietekmes novērtējuma ziņojums (anotācija)</vt:lpstr>
    </vt:vector>
  </TitlesOfParts>
  <Manager>A.Rudzīte</Manager>
  <Company>Valsts ieņēmumu dienests/Finanšu ministrija</Company>
  <LinksUpToDate>false</LinksUpToDate>
  <CharactersWithSpaces>63370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grāmatvedību” sākotnējās ietekmes novērtējuma ziņojums (anotācija)</dc:title>
  <dc:subject>anotācija</dc:subject>
  <dc:creator>A. Aizupietis (VID)</dc:creator>
  <cp:keywords/>
  <dc:description>A.Aizupietis, 67122499_x000d_
Artis.Aizupietis@vid.gov.lv</dc:description>
  <cp:lastModifiedBy>Inguna Dancīte</cp:lastModifiedBy>
  <cp:revision>2</cp:revision>
  <cp:lastPrinted>2019-06-06T09:10:00Z</cp:lastPrinted>
  <dcterms:created xsi:type="dcterms:W3CDTF">2019-07-15T06:59:00Z</dcterms:created>
  <dcterms:modified xsi:type="dcterms:W3CDTF">2019-07-15T06:59:00Z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