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D0B2" w14:textId="77777777" w:rsidR="003A5748" w:rsidRPr="003A5748" w:rsidRDefault="003A5748" w:rsidP="003A5748">
      <w:pPr>
        <w:tabs>
          <w:tab w:val="left" w:pos="6663"/>
        </w:tabs>
        <w:rPr>
          <w:rFonts w:ascii="Times New Roman" w:hAnsi="Times New Roman"/>
          <w:sz w:val="28"/>
          <w:szCs w:val="28"/>
        </w:rPr>
      </w:pPr>
    </w:p>
    <w:p w14:paraId="365EF359" w14:textId="77777777" w:rsidR="003A5748" w:rsidRPr="003A5748" w:rsidRDefault="003A5748" w:rsidP="003A5748">
      <w:pPr>
        <w:tabs>
          <w:tab w:val="left" w:pos="6663"/>
        </w:tabs>
        <w:rPr>
          <w:rFonts w:ascii="Times New Roman" w:hAnsi="Times New Roman"/>
          <w:sz w:val="28"/>
          <w:szCs w:val="28"/>
        </w:rPr>
      </w:pPr>
    </w:p>
    <w:p w14:paraId="28F68E99" w14:textId="365E9298" w:rsidR="003A5748" w:rsidRPr="003A5748" w:rsidRDefault="003A5748" w:rsidP="003A5748">
      <w:pPr>
        <w:tabs>
          <w:tab w:val="left" w:pos="6663"/>
        </w:tabs>
        <w:rPr>
          <w:rFonts w:ascii="Times New Roman" w:hAnsi="Times New Roman"/>
          <w:sz w:val="28"/>
          <w:szCs w:val="28"/>
        </w:rPr>
      </w:pPr>
      <w:r w:rsidRPr="003A5748">
        <w:rPr>
          <w:rFonts w:ascii="Times New Roman" w:hAnsi="Times New Roman"/>
          <w:sz w:val="28"/>
          <w:szCs w:val="28"/>
        </w:rPr>
        <w:t xml:space="preserve">2019. gada </w:t>
      </w:r>
      <w:r w:rsidR="00C85140">
        <w:rPr>
          <w:rFonts w:ascii="Times New Roman" w:hAnsi="Times New Roman"/>
          <w:sz w:val="28"/>
          <w:szCs w:val="28"/>
        </w:rPr>
        <w:t>2. jūlijā</w:t>
      </w:r>
      <w:r w:rsidRPr="003A5748">
        <w:rPr>
          <w:rFonts w:ascii="Times New Roman" w:hAnsi="Times New Roman"/>
          <w:sz w:val="28"/>
          <w:szCs w:val="28"/>
        </w:rPr>
        <w:tab/>
        <w:t>Noteikumi Nr.</w:t>
      </w:r>
      <w:r w:rsidR="00C85140">
        <w:rPr>
          <w:rFonts w:ascii="Times New Roman" w:hAnsi="Times New Roman"/>
          <w:sz w:val="28"/>
          <w:szCs w:val="28"/>
        </w:rPr>
        <w:t> 284</w:t>
      </w:r>
    </w:p>
    <w:p w14:paraId="15C953D5" w14:textId="220E084C" w:rsidR="003A5748" w:rsidRPr="003A5748" w:rsidRDefault="003A5748" w:rsidP="003A5748">
      <w:pPr>
        <w:tabs>
          <w:tab w:val="left" w:pos="6663"/>
        </w:tabs>
        <w:rPr>
          <w:rFonts w:ascii="Times New Roman" w:hAnsi="Times New Roman"/>
          <w:sz w:val="28"/>
          <w:szCs w:val="28"/>
        </w:rPr>
      </w:pPr>
      <w:r w:rsidRPr="003A5748">
        <w:rPr>
          <w:rFonts w:ascii="Times New Roman" w:hAnsi="Times New Roman"/>
          <w:sz w:val="28"/>
          <w:szCs w:val="28"/>
        </w:rPr>
        <w:t>Rīgā</w:t>
      </w:r>
      <w:r w:rsidRPr="003A5748">
        <w:rPr>
          <w:rFonts w:ascii="Times New Roman" w:hAnsi="Times New Roman"/>
          <w:sz w:val="28"/>
          <w:szCs w:val="28"/>
        </w:rPr>
        <w:tab/>
        <w:t>(prot. Nr. </w:t>
      </w:r>
      <w:r w:rsidR="00C85140">
        <w:rPr>
          <w:rFonts w:ascii="Times New Roman" w:hAnsi="Times New Roman"/>
          <w:sz w:val="28"/>
          <w:szCs w:val="28"/>
        </w:rPr>
        <w:t>31</w:t>
      </w:r>
      <w:r w:rsidRPr="003A5748">
        <w:rPr>
          <w:rFonts w:ascii="Times New Roman" w:hAnsi="Times New Roman"/>
          <w:sz w:val="28"/>
          <w:szCs w:val="28"/>
        </w:rPr>
        <w:t> </w:t>
      </w:r>
      <w:r w:rsidR="00C85140">
        <w:rPr>
          <w:rFonts w:ascii="Times New Roman" w:hAnsi="Times New Roman"/>
          <w:sz w:val="28"/>
          <w:szCs w:val="28"/>
        </w:rPr>
        <w:t>5</w:t>
      </w:r>
      <w:bookmarkStart w:id="0" w:name="_GoBack"/>
      <w:bookmarkEnd w:id="0"/>
      <w:r w:rsidRPr="003A5748">
        <w:rPr>
          <w:rFonts w:ascii="Times New Roman" w:hAnsi="Times New Roman"/>
          <w:sz w:val="28"/>
          <w:szCs w:val="28"/>
        </w:rPr>
        <w:t>. §)</w:t>
      </w:r>
    </w:p>
    <w:p w14:paraId="3AD08028" w14:textId="3A1A95EE" w:rsidR="00452DA4" w:rsidRPr="003A5748" w:rsidRDefault="00452DA4" w:rsidP="003A5748">
      <w:pPr>
        <w:ind w:right="-199"/>
        <w:rPr>
          <w:rFonts w:ascii="Times New Roman" w:hAnsi="Times New Roman"/>
          <w:bCs/>
          <w:sz w:val="28"/>
          <w:szCs w:val="28"/>
        </w:rPr>
      </w:pPr>
    </w:p>
    <w:p w14:paraId="6BD164BB" w14:textId="59898D05" w:rsidR="00452DA4" w:rsidRPr="003A5748" w:rsidRDefault="00452DA4" w:rsidP="003A5748">
      <w:pPr>
        <w:ind w:right="-199"/>
        <w:jc w:val="center"/>
        <w:rPr>
          <w:rFonts w:ascii="Times New Roman" w:eastAsia="Times New Roman" w:hAnsi="Times New Roman"/>
          <w:b/>
          <w:bCs/>
          <w:sz w:val="28"/>
          <w:szCs w:val="28"/>
          <w:lang w:eastAsia="lv-LV"/>
        </w:rPr>
      </w:pPr>
      <w:r w:rsidRPr="003A5748">
        <w:rPr>
          <w:rFonts w:ascii="Times New Roman" w:eastAsia="Times New Roman" w:hAnsi="Times New Roman"/>
          <w:b/>
          <w:bCs/>
          <w:sz w:val="28"/>
          <w:szCs w:val="28"/>
          <w:lang w:eastAsia="lv-LV"/>
        </w:rPr>
        <w:t>Grozījumi Ministru kabineta 2013</w:t>
      </w:r>
      <w:r w:rsidR="003A5748" w:rsidRPr="003A5748">
        <w:rPr>
          <w:rFonts w:ascii="Times New Roman" w:eastAsia="Times New Roman" w:hAnsi="Times New Roman"/>
          <w:b/>
          <w:bCs/>
          <w:sz w:val="28"/>
          <w:szCs w:val="28"/>
          <w:lang w:eastAsia="lv-LV"/>
        </w:rPr>
        <w:t>. g</w:t>
      </w:r>
      <w:r w:rsidRPr="003A5748">
        <w:rPr>
          <w:rFonts w:ascii="Times New Roman" w:eastAsia="Times New Roman" w:hAnsi="Times New Roman"/>
          <w:b/>
          <w:bCs/>
          <w:sz w:val="28"/>
          <w:szCs w:val="28"/>
          <w:lang w:eastAsia="lv-LV"/>
        </w:rPr>
        <w:t>ada 3</w:t>
      </w:r>
      <w:r w:rsidR="003A5748" w:rsidRPr="003A5748">
        <w:rPr>
          <w:rFonts w:ascii="Times New Roman" w:eastAsia="Times New Roman" w:hAnsi="Times New Roman"/>
          <w:b/>
          <w:bCs/>
          <w:sz w:val="28"/>
          <w:szCs w:val="28"/>
          <w:lang w:eastAsia="lv-LV"/>
        </w:rPr>
        <w:t>. j</w:t>
      </w:r>
      <w:r w:rsidRPr="003A5748">
        <w:rPr>
          <w:rFonts w:ascii="Times New Roman" w:eastAsia="Times New Roman" w:hAnsi="Times New Roman"/>
          <w:b/>
          <w:bCs/>
          <w:sz w:val="28"/>
          <w:szCs w:val="28"/>
          <w:lang w:eastAsia="lv-LV"/>
        </w:rPr>
        <w:t>anvāra noteikumos Nr.</w:t>
      </w:r>
      <w:r w:rsidR="00864B35">
        <w:rPr>
          <w:rFonts w:ascii="Times New Roman" w:eastAsia="Times New Roman" w:hAnsi="Times New Roman"/>
          <w:b/>
          <w:bCs/>
          <w:sz w:val="28"/>
          <w:szCs w:val="28"/>
          <w:lang w:eastAsia="lv-LV"/>
        </w:rPr>
        <w:t> </w:t>
      </w:r>
      <w:r w:rsidRPr="003A5748">
        <w:rPr>
          <w:rFonts w:ascii="Times New Roman" w:eastAsia="Times New Roman" w:hAnsi="Times New Roman"/>
          <w:b/>
          <w:bCs/>
          <w:sz w:val="28"/>
          <w:szCs w:val="28"/>
          <w:lang w:eastAsia="lv-LV"/>
        </w:rPr>
        <w:t xml:space="preserve">17 </w:t>
      </w:r>
      <w:r w:rsidR="003A5748" w:rsidRPr="003A5748">
        <w:rPr>
          <w:rFonts w:ascii="Times New Roman" w:eastAsia="Times New Roman" w:hAnsi="Times New Roman"/>
          <w:b/>
          <w:bCs/>
          <w:sz w:val="28"/>
          <w:szCs w:val="28"/>
          <w:lang w:eastAsia="lv-LV"/>
        </w:rPr>
        <w:t>"</w:t>
      </w:r>
      <w:r w:rsidRPr="003A5748">
        <w:rPr>
          <w:rFonts w:ascii="Times New Roman" w:eastAsia="Times New Roman" w:hAnsi="Times New Roman"/>
          <w:b/>
          <w:bCs/>
          <w:sz w:val="28"/>
          <w:szCs w:val="28"/>
          <w:lang w:eastAsia="lv-LV"/>
        </w:rPr>
        <w:t>Pievienotās vērtības nodokļa likuma normu piemērošanas kārtība un atsevišķas prasības pievienotās vērtības nodokļa maksāšanai un administrēšanai</w:t>
      </w:r>
      <w:r w:rsidR="003A5748" w:rsidRPr="003A5748">
        <w:rPr>
          <w:rFonts w:ascii="Times New Roman" w:eastAsia="Times New Roman" w:hAnsi="Times New Roman"/>
          <w:b/>
          <w:bCs/>
          <w:sz w:val="28"/>
          <w:szCs w:val="28"/>
          <w:lang w:eastAsia="lv-LV"/>
        </w:rPr>
        <w:t>"</w:t>
      </w:r>
    </w:p>
    <w:p w14:paraId="5B1250D8" w14:textId="77777777" w:rsidR="00452DA4" w:rsidRPr="003A5748" w:rsidRDefault="00452DA4" w:rsidP="003A5748">
      <w:pPr>
        <w:pStyle w:val="naislab"/>
        <w:spacing w:before="0" w:after="0"/>
        <w:ind w:right="-199" w:firstLine="851"/>
        <w:jc w:val="both"/>
        <w:rPr>
          <w:sz w:val="28"/>
          <w:szCs w:val="28"/>
        </w:rPr>
      </w:pPr>
    </w:p>
    <w:p w14:paraId="68B4527F" w14:textId="77777777"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Izdoti saskaņā ar Pievienotās vērtības nodokļa likuma</w:t>
      </w:r>
    </w:p>
    <w:p w14:paraId="68CDBEC8" w14:textId="06C7F640"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40</w:t>
      </w:r>
      <w:r w:rsidR="003A5748" w:rsidRPr="003A5748">
        <w:rPr>
          <w:rFonts w:eastAsia="Calibri"/>
          <w:sz w:val="28"/>
          <w:szCs w:val="28"/>
          <w:lang w:eastAsia="en-US"/>
        </w:rPr>
        <w:t>. p</w:t>
      </w:r>
      <w:r w:rsidRPr="003A5748">
        <w:rPr>
          <w:rFonts w:eastAsia="Calibri"/>
          <w:sz w:val="28"/>
          <w:szCs w:val="28"/>
          <w:lang w:eastAsia="en-US"/>
        </w:rPr>
        <w:t>anta astoto daļu, 45</w:t>
      </w:r>
      <w:r w:rsidR="003A5748" w:rsidRPr="003A5748">
        <w:rPr>
          <w:rFonts w:eastAsia="Calibri"/>
          <w:sz w:val="28"/>
          <w:szCs w:val="28"/>
          <w:lang w:eastAsia="en-US"/>
        </w:rPr>
        <w:t>. p</w:t>
      </w:r>
      <w:r w:rsidRPr="003A5748">
        <w:rPr>
          <w:rFonts w:eastAsia="Calibri"/>
          <w:sz w:val="28"/>
          <w:szCs w:val="28"/>
          <w:lang w:eastAsia="en-US"/>
        </w:rPr>
        <w:t>anta sesto daļu,</w:t>
      </w:r>
    </w:p>
    <w:p w14:paraId="381CE708" w14:textId="0D629B41"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46</w:t>
      </w:r>
      <w:r w:rsidR="003A5748" w:rsidRPr="003A5748">
        <w:rPr>
          <w:rFonts w:eastAsia="Calibri"/>
          <w:sz w:val="28"/>
          <w:szCs w:val="28"/>
          <w:lang w:eastAsia="en-US"/>
        </w:rPr>
        <w:t>. p</w:t>
      </w:r>
      <w:r w:rsidRPr="003A5748">
        <w:rPr>
          <w:rFonts w:eastAsia="Calibri"/>
          <w:sz w:val="28"/>
          <w:szCs w:val="28"/>
          <w:lang w:eastAsia="en-US"/>
        </w:rPr>
        <w:t>anta otro daļu, 49</w:t>
      </w:r>
      <w:r w:rsidR="003A5748" w:rsidRPr="003A5748">
        <w:rPr>
          <w:rFonts w:eastAsia="Calibri"/>
          <w:sz w:val="28"/>
          <w:szCs w:val="28"/>
          <w:lang w:eastAsia="en-US"/>
        </w:rPr>
        <w:t>. p</w:t>
      </w:r>
      <w:r w:rsidRPr="003A5748">
        <w:rPr>
          <w:rFonts w:eastAsia="Calibri"/>
          <w:sz w:val="28"/>
          <w:szCs w:val="28"/>
          <w:lang w:eastAsia="en-US"/>
        </w:rPr>
        <w:t>anta ceturto daļu,</w:t>
      </w:r>
    </w:p>
    <w:p w14:paraId="47D7F8B8" w14:textId="25B23347"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51</w:t>
      </w:r>
      <w:r w:rsidR="003A5748" w:rsidRPr="003A5748">
        <w:rPr>
          <w:rFonts w:eastAsia="Calibri"/>
          <w:sz w:val="28"/>
          <w:szCs w:val="28"/>
          <w:lang w:eastAsia="en-US"/>
        </w:rPr>
        <w:t>. p</w:t>
      </w:r>
      <w:r w:rsidRPr="003A5748">
        <w:rPr>
          <w:rFonts w:eastAsia="Calibri"/>
          <w:sz w:val="28"/>
          <w:szCs w:val="28"/>
          <w:lang w:eastAsia="en-US"/>
        </w:rPr>
        <w:t>anta otro daļu, 52</w:t>
      </w:r>
      <w:r w:rsidR="003A5748" w:rsidRPr="003A5748">
        <w:rPr>
          <w:rFonts w:eastAsia="Calibri"/>
          <w:sz w:val="28"/>
          <w:szCs w:val="28"/>
          <w:lang w:eastAsia="en-US"/>
        </w:rPr>
        <w:t>. p</w:t>
      </w:r>
      <w:r w:rsidRPr="003A5748">
        <w:rPr>
          <w:rFonts w:eastAsia="Calibri"/>
          <w:sz w:val="28"/>
          <w:szCs w:val="28"/>
          <w:lang w:eastAsia="en-US"/>
        </w:rPr>
        <w:t>anta pirmās daļas</w:t>
      </w:r>
    </w:p>
    <w:p w14:paraId="436D8A61" w14:textId="62670E73"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3</w:t>
      </w:r>
      <w:r w:rsidR="003A5748" w:rsidRPr="003A5748">
        <w:rPr>
          <w:rFonts w:eastAsia="Calibri"/>
          <w:sz w:val="28"/>
          <w:szCs w:val="28"/>
          <w:lang w:eastAsia="en-US"/>
        </w:rPr>
        <w:t>. p</w:t>
      </w:r>
      <w:r w:rsidRPr="003A5748">
        <w:rPr>
          <w:rFonts w:eastAsia="Calibri"/>
          <w:sz w:val="28"/>
          <w:szCs w:val="28"/>
          <w:lang w:eastAsia="en-US"/>
        </w:rPr>
        <w:t xml:space="preserve">unkta </w:t>
      </w:r>
      <w:r w:rsidR="003A5748" w:rsidRPr="003A5748">
        <w:rPr>
          <w:rFonts w:eastAsia="Calibri"/>
          <w:sz w:val="28"/>
          <w:szCs w:val="28"/>
          <w:lang w:eastAsia="en-US"/>
        </w:rPr>
        <w:t>"</w:t>
      </w:r>
      <w:r w:rsidRPr="003A5748">
        <w:rPr>
          <w:rFonts w:eastAsia="Calibri"/>
          <w:sz w:val="28"/>
          <w:szCs w:val="28"/>
          <w:lang w:eastAsia="en-US"/>
        </w:rPr>
        <w:t>a</w:t>
      </w:r>
      <w:r w:rsidR="003A5748" w:rsidRPr="003A5748">
        <w:rPr>
          <w:rFonts w:eastAsia="Calibri"/>
          <w:sz w:val="28"/>
          <w:szCs w:val="28"/>
          <w:lang w:eastAsia="en-US"/>
        </w:rPr>
        <w:t>"</w:t>
      </w:r>
      <w:r w:rsidRPr="003A5748">
        <w:rPr>
          <w:rFonts w:eastAsia="Calibri"/>
          <w:sz w:val="28"/>
          <w:szCs w:val="28"/>
          <w:lang w:eastAsia="en-US"/>
        </w:rPr>
        <w:t xml:space="preserve"> apakšpunktu, 52</w:t>
      </w:r>
      <w:r w:rsidR="003A5748" w:rsidRPr="003A5748">
        <w:rPr>
          <w:rFonts w:eastAsia="Calibri"/>
          <w:sz w:val="28"/>
          <w:szCs w:val="28"/>
          <w:lang w:eastAsia="en-US"/>
        </w:rPr>
        <w:t>. p</w:t>
      </w:r>
      <w:r w:rsidRPr="003A5748">
        <w:rPr>
          <w:rFonts w:eastAsia="Calibri"/>
          <w:sz w:val="28"/>
          <w:szCs w:val="28"/>
          <w:lang w:eastAsia="en-US"/>
        </w:rPr>
        <w:t>anta ceturto daļu,</w:t>
      </w:r>
    </w:p>
    <w:p w14:paraId="5C62756A" w14:textId="3AF04689"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65</w:t>
      </w:r>
      <w:r w:rsidR="003A5748" w:rsidRPr="003A5748">
        <w:rPr>
          <w:rFonts w:eastAsia="Calibri"/>
          <w:sz w:val="28"/>
          <w:szCs w:val="28"/>
          <w:lang w:eastAsia="en-US"/>
        </w:rPr>
        <w:t>. p</w:t>
      </w:r>
      <w:r w:rsidRPr="003A5748">
        <w:rPr>
          <w:rFonts w:eastAsia="Calibri"/>
          <w:sz w:val="28"/>
          <w:szCs w:val="28"/>
          <w:lang w:eastAsia="en-US"/>
        </w:rPr>
        <w:t>anta trešo daļu, 66</w:t>
      </w:r>
      <w:r w:rsidR="003A5748" w:rsidRPr="003A5748">
        <w:rPr>
          <w:rFonts w:eastAsia="Calibri"/>
          <w:sz w:val="28"/>
          <w:szCs w:val="28"/>
          <w:lang w:eastAsia="en-US"/>
        </w:rPr>
        <w:t>. p</w:t>
      </w:r>
      <w:r w:rsidRPr="003A5748">
        <w:rPr>
          <w:rFonts w:eastAsia="Calibri"/>
          <w:sz w:val="28"/>
          <w:szCs w:val="28"/>
          <w:lang w:eastAsia="en-US"/>
        </w:rPr>
        <w:t>anta astoto daļu,</w:t>
      </w:r>
    </w:p>
    <w:p w14:paraId="483F5CF7" w14:textId="2D9EF0E9"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72</w:t>
      </w:r>
      <w:r w:rsidR="003A5748" w:rsidRPr="003A5748">
        <w:rPr>
          <w:rFonts w:eastAsia="Calibri"/>
          <w:sz w:val="28"/>
          <w:szCs w:val="28"/>
          <w:lang w:eastAsia="en-US"/>
        </w:rPr>
        <w:t>. p</w:t>
      </w:r>
      <w:r w:rsidRPr="003A5748">
        <w:rPr>
          <w:rFonts w:eastAsia="Calibri"/>
          <w:sz w:val="28"/>
          <w:szCs w:val="28"/>
          <w:lang w:eastAsia="en-US"/>
        </w:rPr>
        <w:t>anta otro daļu, 85</w:t>
      </w:r>
      <w:r w:rsidR="003A5748" w:rsidRPr="003A5748">
        <w:rPr>
          <w:rFonts w:eastAsia="Calibri"/>
          <w:sz w:val="28"/>
          <w:szCs w:val="28"/>
          <w:lang w:eastAsia="en-US"/>
        </w:rPr>
        <w:t>. p</w:t>
      </w:r>
      <w:r w:rsidRPr="003A5748">
        <w:rPr>
          <w:rFonts w:eastAsia="Calibri"/>
          <w:sz w:val="28"/>
          <w:szCs w:val="28"/>
          <w:lang w:eastAsia="en-US"/>
        </w:rPr>
        <w:t>anta astotās daļas</w:t>
      </w:r>
    </w:p>
    <w:p w14:paraId="41DE5A6E" w14:textId="1A52E1DA"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1. un 3</w:t>
      </w:r>
      <w:r w:rsidR="003A5748" w:rsidRPr="003A5748">
        <w:rPr>
          <w:rFonts w:eastAsia="Calibri"/>
          <w:sz w:val="28"/>
          <w:szCs w:val="28"/>
          <w:lang w:eastAsia="en-US"/>
        </w:rPr>
        <w:t>. p</w:t>
      </w:r>
      <w:r w:rsidRPr="003A5748">
        <w:rPr>
          <w:rFonts w:eastAsia="Calibri"/>
          <w:sz w:val="28"/>
          <w:szCs w:val="28"/>
          <w:lang w:eastAsia="en-US"/>
        </w:rPr>
        <w:t>unktu, 107</w:t>
      </w:r>
      <w:r w:rsidR="003A5748" w:rsidRPr="003A5748">
        <w:rPr>
          <w:rFonts w:eastAsia="Calibri"/>
          <w:sz w:val="28"/>
          <w:szCs w:val="28"/>
          <w:lang w:eastAsia="en-US"/>
        </w:rPr>
        <w:t>. p</w:t>
      </w:r>
      <w:r w:rsidRPr="003A5748">
        <w:rPr>
          <w:rFonts w:eastAsia="Calibri"/>
          <w:sz w:val="28"/>
          <w:szCs w:val="28"/>
          <w:lang w:eastAsia="en-US"/>
        </w:rPr>
        <w:t>antu, 117</w:t>
      </w:r>
      <w:r w:rsidR="003A5748" w:rsidRPr="003A5748">
        <w:rPr>
          <w:rFonts w:eastAsia="Calibri"/>
          <w:sz w:val="28"/>
          <w:szCs w:val="28"/>
          <w:lang w:eastAsia="en-US"/>
        </w:rPr>
        <w:t>. p</w:t>
      </w:r>
      <w:r w:rsidRPr="003A5748">
        <w:rPr>
          <w:rFonts w:eastAsia="Calibri"/>
          <w:sz w:val="28"/>
          <w:szCs w:val="28"/>
          <w:lang w:eastAsia="en-US"/>
        </w:rPr>
        <w:t>anta devīto daļu,</w:t>
      </w:r>
    </w:p>
    <w:p w14:paraId="0A3FFA9E" w14:textId="439E6427"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129</w:t>
      </w:r>
      <w:r w:rsidR="003A5748" w:rsidRPr="003A5748">
        <w:rPr>
          <w:rFonts w:eastAsia="Calibri"/>
          <w:sz w:val="28"/>
          <w:szCs w:val="28"/>
          <w:lang w:eastAsia="en-US"/>
        </w:rPr>
        <w:t>. p</w:t>
      </w:r>
      <w:r w:rsidRPr="003A5748">
        <w:rPr>
          <w:rFonts w:eastAsia="Calibri"/>
          <w:sz w:val="28"/>
          <w:szCs w:val="28"/>
          <w:lang w:eastAsia="en-US"/>
        </w:rPr>
        <w:t>anta vienpadsmito daļu, 134</w:t>
      </w:r>
      <w:r w:rsidR="003A5748" w:rsidRPr="003A5748">
        <w:rPr>
          <w:rFonts w:eastAsia="Calibri"/>
          <w:sz w:val="28"/>
          <w:szCs w:val="28"/>
          <w:lang w:eastAsia="en-US"/>
        </w:rPr>
        <w:t>. p</w:t>
      </w:r>
      <w:r w:rsidRPr="003A5748">
        <w:rPr>
          <w:rFonts w:eastAsia="Calibri"/>
          <w:sz w:val="28"/>
          <w:szCs w:val="28"/>
          <w:lang w:eastAsia="en-US"/>
        </w:rPr>
        <w:t>anta ceturto daļu,</w:t>
      </w:r>
    </w:p>
    <w:p w14:paraId="537E2BE8" w14:textId="5C62B627" w:rsidR="00452DA4" w:rsidRPr="003A5748" w:rsidRDefault="00452DA4" w:rsidP="003A5748">
      <w:pPr>
        <w:pStyle w:val="naislab"/>
        <w:spacing w:before="0" w:after="0"/>
        <w:ind w:right="-199" w:firstLine="851"/>
        <w:rPr>
          <w:rFonts w:eastAsia="Calibri"/>
          <w:sz w:val="28"/>
          <w:szCs w:val="28"/>
          <w:lang w:eastAsia="en-US"/>
        </w:rPr>
      </w:pPr>
      <w:r w:rsidRPr="003A5748">
        <w:rPr>
          <w:rFonts w:eastAsia="Calibri"/>
          <w:sz w:val="28"/>
          <w:szCs w:val="28"/>
          <w:lang w:eastAsia="en-US"/>
        </w:rPr>
        <w:t>138</w:t>
      </w:r>
      <w:r w:rsidR="003A5748" w:rsidRPr="003A5748">
        <w:rPr>
          <w:rFonts w:eastAsia="Calibri"/>
          <w:sz w:val="28"/>
          <w:szCs w:val="28"/>
          <w:lang w:eastAsia="en-US"/>
        </w:rPr>
        <w:t>. p</w:t>
      </w:r>
      <w:r w:rsidRPr="003A5748">
        <w:rPr>
          <w:rFonts w:eastAsia="Calibri"/>
          <w:sz w:val="28"/>
          <w:szCs w:val="28"/>
          <w:lang w:eastAsia="en-US"/>
        </w:rPr>
        <w:t>anta divdesmit trešo daļu, 140.</w:t>
      </w:r>
      <w:r w:rsidRPr="003A5748">
        <w:rPr>
          <w:rFonts w:eastAsia="Calibri"/>
          <w:sz w:val="28"/>
          <w:szCs w:val="28"/>
          <w:vertAlign w:val="superscript"/>
          <w:lang w:eastAsia="en-US"/>
        </w:rPr>
        <w:t>1</w:t>
      </w:r>
      <w:r w:rsidRPr="003A5748">
        <w:rPr>
          <w:rFonts w:eastAsia="Calibri"/>
          <w:sz w:val="28"/>
          <w:szCs w:val="28"/>
          <w:lang w:eastAsia="en-US"/>
        </w:rPr>
        <w:t xml:space="preserve"> panta četrpadsmitās daļas</w:t>
      </w:r>
    </w:p>
    <w:p w14:paraId="246EC8BA" w14:textId="01040936" w:rsidR="00A16662" w:rsidRPr="003A5748" w:rsidRDefault="00452DA4" w:rsidP="003A5748">
      <w:pPr>
        <w:pStyle w:val="naislab"/>
        <w:spacing w:before="0" w:after="0"/>
        <w:ind w:right="-199" w:firstLine="851"/>
        <w:rPr>
          <w:sz w:val="28"/>
          <w:szCs w:val="28"/>
        </w:rPr>
      </w:pPr>
      <w:r w:rsidRPr="003A5748">
        <w:rPr>
          <w:rFonts w:eastAsia="Calibri"/>
          <w:sz w:val="28"/>
          <w:szCs w:val="28"/>
          <w:lang w:eastAsia="en-US"/>
        </w:rPr>
        <w:t>1., 2. un 3</w:t>
      </w:r>
      <w:r w:rsidR="003A5748" w:rsidRPr="003A5748">
        <w:rPr>
          <w:rFonts w:eastAsia="Calibri"/>
          <w:sz w:val="28"/>
          <w:szCs w:val="28"/>
          <w:lang w:eastAsia="en-US"/>
        </w:rPr>
        <w:t>. p</w:t>
      </w:r>
      <w:r w:rsidRPr="003A5748">
        <w:rPr>
          <w:rFonts w:eastAsia="Calibri"/>
          <w:sz w:val="28"/>
          <w:szCs w:val="28"/>
          <w:lang w:eastAsia="en-US"/>
        </w:rPr>
        <w:t xml:space="preserve">unktu, </w:t>
      </w:r>
      <w:r w:rsidRPr="003A5748">
        <w:rPr>
          <w:sz w:val="28"/>
          <w:szCs w:val="28"/>
        </w:rPr>
        <w:t>143.</w:t>
      </w:r>
      <w:r w:rsidRPr="003A5748">
        <w:rPr>
          <w:sz w:val="28"/>
          <w:szCs w:val="28"/>
          <w:vertAlign w:val="superscript"/>
        </w:rPr>
        <w:t>4</w:t>
      </w:r>
      <w:r w:rsidRPr="003A5748">
        <w:rPr>
          <w:sz w:val="28"/>
          <w:szCs w:val="28"/>
        </w:rPr>
        <w:t xml:space="preserve"> panta </w:t>
      </w:r>
      <w:r w:rsidR="00311E84" w:rsidRPr="003A5748">
        <w:rPr>
          <w:sz w:val="28"/>
          <w:szCs w:val="28"/>
        </w:rPr>
        <w:t>piekto</w:t>
      </w:r>
      <w:r w:rsidRPr="003A5748">
        <w:rPr>
          <w:sz w:val="28"/>
          <w:szCs w:val="28"/>
        </w:rPr>
        <w:t xml:space="preserve"> daļu</w:t>
      </w:r>
      <w:r w:rsidR="003134FF">
        <w:rPr>
          <w:sz w:val="28"/>
          <w:szCs w:val="28"/>
        </w:rPr>
        <w:t>,</w:t>
      </w:r>
      <w:r w:rsidR="0037039F" w:rsidRPr="003A5748">
        <w:rPr>
          <w:sz w:val="28"/>
          <w:szCs w:val="28"/>
        </w:rPr>
        <w:t xml:space="preserve"> </w:t>
      </w:r>
    </w:p>
    <w:p w14:paraId="4B4A171E" w14:textId="44CCD494" w:rsidR="00452DA4" w:rsidRPr="003A5748" w:rsidRDefault="003134FF" w:rsidP="003A5748">
      <w:pPr>
        <w:pStyle w:val="naislab"/>
        <w:spacing w:before="0" w:after="0"/>
        <w:ind w:right="-199" w:firstLine="851"/>
        <w:rPr>
          <w:sz w:val="28"/>
          <w:szCs w:val="28"/>
        </w:rPr>
      </w:pPr>
      <w:r w:rsidRPr="003A5748">
        <w:rPr>
          <w:sz w:val="28"/>
          <w:szCs w:val="28"/>
        </w:rPr>
        <w:t>143.</w:t>
      </w:r>
      <w:r w:rsidRPr="003A5748">
        <w:rPr>
          <w:sz w:val="28"/>
          <w:szCs w:val="28"/>
          <w:vertAlign w:val="superscript"/>
        </w:rPr>
        <w:t xml:space="preserve">5 </w:t>
      </w:r>
      <w:r w:rsidRPr="003A5748">
        <w:rPr>
          <w:sz w:val="28"/>
          <w:szCs w:val="28"/>
        </w:rPr>
        <w:t>panta piekto daļu</w:t>
      </w:r>
      <w:r w:rsidRPr="003A5748">
        <w:rPr>
          <w:rFonts w:eastAsia="Calibri"/>
          <w:sz w:val="28"/>
          <w:szCs w:val="28"/>
          <w:lang w:eastAsia="en-US"/>
        </w:rPr>
        <w:t xml:space="preserve"> </w:t>
      </w:r>
      <w:r w:rsidR="00452DA4" w:rsidRPr="003A5748">
        <w:rPr>
          <w:rFonts w:eastAsia="Calibri"/>
          <w:sz w:val="28"/>
          <w:szCs w:val="28"/>
          <w:lang w:eastAsia="en-US"/>
        </w:rPr>
        <w:t>un 144</w:t>
      </w:r>
      <w:r w:rsidR="003A5748" w:rsidRPr="003A5748">
        <w:rPr>
          <w:rFonts w:eastAsia="Calibri"/>
          <w:sz w:val="28"/>
          <w:szCs w:val="28"/>
          <w:lang w:eastAsia="en-US"/>
        </w:rPr>
        <w:t>. p</w:t>
      </w:r>
      <w:r w:rsidR="00452DA4" w:rsidRPr="003A5748">
        <w:rPr>
          <w:rFonts w:eastAsia="Calibri"/>
          <w:sz w:val="28"/>
          <w:szCs w:val="28"/>
          <w:lang w:eastAsia="en-US"/>
        </w:rPr>
        <w:t>anta piekto daļu</w:t>
      </w:r>
    </w:p>
    <w:p w14:paraId="7465BA41" w14:textId="77777777" w:rsidR="00452DA4" w:rsidRPr="003A5748" w:rsidRDefault="00452DA4" w:rsidP="003A5748">
      <w:pPr>
        <w:pStyle w:val="naislab"/>
        <w:spacing w:before="0" w:after="0"/>
        <w:ind w:right="-199" w:firstLine="851"/>
        <w:jc w:val="left"/>
        <w:rPr>
          <w:sz w:val="28"/>
          <w:szCs w:val="28"/>
        </w:rPr>
      </w:pPr>
    </w:p>
    <w:p w14:paraId="7DA74014" w14:textId="01A3EF06" w:rsidR="00452DA4" w:rsidRPr="003A5748" w:rsidRDefault="00452DA4" w:rsidP="00864B35">
      <w:pPr>
        <w:pStyle w:val="ListParagraph"/>
        <w:numPr>
          <w:ilvl w:val="0"/>
          <w:numId w:val="6"/>
        </w:numPr>
        <w:tabs>
          <w:tab w:val="left" w:pos="993"/>
          <w:tab w:val="left" w:pos="1276"/>
        </w:tabs>
        <w:ind w:left="0" w:right="-199" w:firstLine="709"/>
        <w:jc w:val="both"/>
        <w:rPr>
          <w:rFonts w:ascii="Times New Roman" w:hAnsi="Times New Roman"/>
          <w:sz w:val="28"/>
          <w:szCs w:val="28"/>
        </w:rPr>
      </w:pPr>
      <w:r w:rsidRPr="003A5748">
        <w:rPr>
          <w:rFonts w:ascii="Times New Roman" w:hAnsi="Times New Roman"/>
          <w:sz w:val="28"/>
          <w:szCs w:val="28"/>
        </w:rPr>
        <w:t>Izdarīt Ministru kabineta 2013</w:t>
      </w:r>
      <w:r w:rsidR="003A5748" w:rsidRPr="003A5748">
        <w:rPr>
          <w:rFonts w:ascii="Times New Roman" w:hAnsi="Times New Roman"/>
          <w:sz w:val="28"/>
          <w:szCs w:val="28"/>
        </w:rPr>
        <w:t>.</w:t>
      </w:r>
      <w:r w:rsidR="00864B35">
        <w:rPr>
          <w:rFonts w:ascii="Times New Roman" w:hAnsi="Times New Roman"/>
          <w:sz w:val="28"/>
          <w:szCs w:val="28"/>
        </w:rPr>
        <w:t> </w:t>
      </w:r>
      <w:r w:rsidR="003A5748" w:rsidRPr="003A5748">
        <w:rPr>
          <w:rFonts w:ascii="Times New Roman" w:hAnsi="Times New Roman"/>
          <w:sz w:val="28"/>
          <w:szCs w:val="28"/>
        </w:rPr>
        <w:t>g</w:t>
      </w:r>
      <w:r w:rsidRPr="003A5748">
        <w:rPr>
          <w:rFonts w:ascii="Times New Roman" w:hAnsi="Times New Roman"/>
          <w:sz w:val="28"/>
          <w:szCs w:val="28"/>
        </w:rPr>
        <w:t>ada 3</w:t>
      </w:r>
      <w:r w:rsidR="003A5748" w:rsidRPr="003A5748">
        <w:rPr>
          <w:rFonts w:ascii="Times New Roman" w:hAnsi="Times New Roman"/>
          <w:sz w:val="28"/>
          <w:szCs w:val="28"/>
        </w:rPr>
        <w:t>.</w:t>
      </w:r>
      <w:r w:rsidR="00864B35">
        <w:rPr>
          <w:rFonts w:ascii="Times New Roman" w:hAnsi="Times New Roman"/>
          <w:sz w:val="28"/>
          <w:szCs w:val="28"/>
        </w:rPr>
        <w:t> </w:t>
      </w:r>
      <w:r w:rsidR="003A5748" w:rsidRPr="003A5748">
        <w:rPr>
          <w:rFonts w:ascii="Times New Roman" w:hAnsi="Times New Roman"/>
          <w:sz w:val="28"/>
          <w:szCs w:val="28"/>
        </w:rPr>
        <w:t>j</w:t>
      </w:r>
      <w:r w:rsidRPr="003A5748">
        <w:rPr>
          <w:rFonts w:ascii="Times New Roman" w:hAnsi="Times New Roman"/>
          <w:sz w:val="28"/>
          <w:szCs w:val="28"/>
        </w:rPr>
        <w:t>anvāra noteikumos Nr.</w:t>
      </w:r>
      <w:r w:rsidR="00864B35">
        <w:rPr>
          <w:rFonts w:ascii="Times New Roman" w:hAnsi="Times New Roman"/>
          <w:sz w:val="28"/>
          <w:szCs w:val="28"/>
        </w:rPr>
        <w:t> </w:t>
      </w:r>
      <w:r w:rsidRPr="003A5748">
        <w:rPr>
          <w:rFonts w:ascii="Times New Roman" w:hAnsi="Times New Roman"/>
          <w:sz w:val="28"/>
          <w:szCs w:val="28"/>
        </w:rPr>
        <w:t xml:space="preserve">17 </w:t>
      </w:r>
      <w:r w:rsidR="003A5748" w:rsidRPr="003A5748">
        <w:rPr>
          <w:rFonts w:ascii="Times New Roman" w:hAnsi="Times New Roman"/>
          <w:sz w:val="28"/>
          <w:szCs w:val="28"/>
        </w:rPr>
        <w:t>"</w:t>
      </w:r>
      <w:r w:rsidRPr="003A5748">
        <w:rPr>
          <w:rFonts w:ascii="Times New Roman" w:eastAsia="Times New Roman" w:hAnsi="Times New Roman"/>
          <w:bCs/>
          <w:sz w:val="28"/>
          <w:szCs w:val="28"/>
          <w:lang w:eastAsia="lv-LV"/>
        </w:rPr>
        <w:t>Pievienotās vērtības nodokļa likuma normu piemērošanas kārtība un atsevišķas prasības pievienotās vērtības nodokļa maksāšanai un administrēšanai</w:t>
      </w:r>
      <w:r w:rsidR="003A5748" w:rsidRPr="003A5748">
        <w:rPr>
          <w:rFonts w:ascii="Times New Roman" w:hAnsi="Times New Roman"/>
          <w:sz w:val="28"/>
          <w:szCs w:val="28"/>
        </w:rPr>
        <w:t>"</w:t>
      </w:r>
      <w:r w:rsidRPr="003A5748">
        <w:rPr>
          <w:rFonts w:ascii="Times New Roman" w:hAnsi="Times New Roman"/>
          <w:sz w:val="28"/>
          <w:szCs w:val="28"/>
        </w:rPr>
        <w:t xml:space="preserve"> (Latvijas Vēstnesis, 2013, 14., 107., 208., 250</w:t>
      </w:r>
      <w:r w:rsidR="003A5748" w:rsidRPr="003A5748">
        <w:rPr>
          <w:rFonts w:ascii="Times New Roman" w:hAnsi="Times New Roman"/>
          <w:sz w:val="28"/>
          <w:szCs w:val="28"/>
        </w:rPr>
        <w:t>. n</w:t>
      </w:r>
      <w:r w:rsidRPr="003A5748">
        <w:rPr>
          <w:rFonts w:ascii="Times New Roman" w:hAnsi="Times New Roman"/>
          <w:sz w:val="28"/>
          <w:szCs w:val="28"/>
        </w:rPr>
        <w:t>r.; 2014, 185</w:t>
      </w:r>
      <w:r w:rsidR="003A5748" w:rsidRPr="003A5748">
        <w:rPr>
          <w:rFonts w:ascii="Times New Roman" w:hAnsi="Times New Roman"/>
          <w:sz w:val="28"/>
          <w:szCs w:val="28"/>
        </w:rPr>
        <w:t>. n</w:t>
      </w:r>
      <w:r w:rsidRPr="003A5748">
        <w:rPr>
          <w:rFonts w:ascii="Times New Roman" w:hAnsi="Times New Roman"/>
          <w:sz w:val="28"/>
          <w:szCs w:val="28"/>
        </w:rPr>
        <w:t>r.; 2016, 29</w:t>
      </w:r>
      <w:r w:rsidR="003A5748" w:rsidRPr="003A5748">
        <w:rPr>
          <w:rFonts w:ascii="Times New Roman" w:hAnsi="Times New Roman"/>
          <w:sz w:val="28"/>
          <w:szCs w:val="28"/>
        </w:rPr>
        <w:t>. n</w:t>
      </w:r>
      <w:r w:rsidRPr="003A5748">
        <w:rPr>
          <w:rFonts w:ascii="Times New Roman" w:hAnsi="Times New Roman"/>
          <w:sz w:val="28"/>
          <w:szCs w:val="28"/>
        </w:rPr>
        <w:t>r.</w:t>
      </w:r>
      <w:r w:rsidR="00AF7C3B" w:rsidRPr="003A5748">
        <w:rPr>
          <w:rFonts w:ascii="Times New Roman" w:hAnsi="Times New Roman"/>
          <w:sz w:val="28"/>
          <w:szCs w:val="28"/>
        </w:rPr>
        <w:t>; 2017, 228</w:t>
      </w:r>
      <w:r w:rsidR="003A5748" w:rsidRPr="003A5748">
        <w:rPr>
          <w:rFonts w:ascii="Times New Roman" w:hAnsi="Times New Roman"/>
          <w:sz w:val="28"/>
          <w:szCs w:val="28"/>
        </w:rPr>
        <w:t>.</w:t>
      </w:r>
      <w:r w:rsidR="00864B35">
        <w:rPr>
          <w:rFonts w:ascii="Times New Roman" w:hAnsi="Times New Roman"/>
          <w:sz w:val="28"/>
          <w:szCs w:val="28"/>
        </w:rPr>
        <w:t> </w:t>
      </w:r>
      <w:r w:rsidR="003A5748" w:rsidRPr="003A5748">
        <w:rPr>
          <w:rFonts w:ascii="Times New Roman" w:hAnsi="Times New Roman"/>
          <w:sz w:val="28"/>
          <w:szCs w:val="28"/>
        </w:rPr>
        <w:t>n</w:t>
      </w:r>
      <w:r w:rsidR="00AF7C3B" w:rsidRPr="003A5748">
        <w:rPr>
          <w:rFonts w:ascii="Times New Roman" w:hAnsi="Times New Roman"/>
          <w:sz w:val="28"/>
          <w:szCs w:val="28"/>
        </w:rPr>
        <w:t>r.</w:t>
      </w:r>
      <w:r w:rsidRPr="003A5748">
        <w:rPr>
          <w:rFonts w:ascii="Times New Roman" w:hAnsi="Times New Roman"/>
          <w:sz w:val="28"/>
          <w:szCs w:val="28"/>
        </w:rPr>
        <w:t>) šādus grozījumus:</w:t>
      </w:r>
    </w:p>
    <w:p w14:paraId="5FB0422D" w14:textId="114D4197" w:rsidR="00505A66" w:rsidRPr="003A5748" w:rsidRDefault="00505A66" w:rsidP="003A5748">
      <w:pPr>
        <w:pStyle w:val="ListParagraph"/>
        <w:numPr>
          <w:ilvl w:val="1"/>
          <w:numId w:val="11"/>
        </w:numPr>
        <w:tabs>
          <w:tab w:val="left" w:pos="1276"/>
        </w:tabs>
        <w:ind w:left="0" w:right="-199" w:firstLine="709"/>
        <w:jc w:val="both"/>
        <w:rPr>
          <w:rFonts w:ascii="Times New Roman" w:hAnsi="Times New Roman"/>
          <w:sz w:val="28"/>
          <w:szCs w:val="28"/>
        </w:rPr>
      </w:pPr>
      <w:r w:rsidRPr="003A5748">
        <w:rPr>
          <w:rFonts w:ascii="Times New Roman" w:hAnsi="Times New Roman"/>
          <w:sz w:val="28"/>
          <w:szCs w:val="28"/>
        </w:rPr>
        <w:t>a</w:t>
      </w:r>
      <w:r w:rsidR="00311E84" w:rsidRPr="003A5748">
        <w:rPr>
          <w:rFonts w:ascii="Times New Roman" w:hAnsi="Times New Roman"/>
          <w:sz w:val="28"/>
          <w:szCs w:val="28"/>
        </w:rPr>
        <w:t>izstāt norādē</w:t>
      </w:r>
      <w:r w:rsidRPr="003A5748">
        <w:rPr>
          <w:rFonts w:ascii="Times New Roman" w:hAnsi="Times New Roman"/>
          <w:sz w:val="28"/>
          <w:szCs w:val="28"/>
        </w:rPr>
        <w:t>,</w:t>
      </w:r>
      <w:r w:rsidR="00311E84" w:rsidRPr="003A5748">
        <w:rPr>
          <w:rFonts w:ascii="Times New Roman" w:hAnsi="Times New Roman"/>
          <w:sz w:val="28"/>
          <w:szCs w:val="28"/>
        </w:rPr>
        <w:t xml:space="preserve"> </w:t>
      </w:r>
      <w:r w:rsidRPr="003A5748">
        <w:rPr>
          <w:rFonts w:ascii="Times New Roman" w:hAnsi="Times New Roman"/>
          <w:sz w:val="28"/>
          <w:szCs w:val="28"/>
        </w:rPr>
        <w:t>uz kāda likuma pamata noteikumi izdoti</w:t>
      </w:r>
      <w:r w:rsidR="003134FF">
        <w:rPr>
          <w:rFonts w:ascii="Times New Roman" w:hAnsi="Times New Roman"/>
          <w:sz w:val="28"/>
          <w:szCs w:val="28"/>
        </w:rPr>
        <w:t>,</w:t>
      </w:r>
      <w:r w:rsidRPr="003A5748">
        <w:rPr>
          <w:rFonts w:ascii="Times New Roman" w:hAnsi="Times New Roman"/>
          <w:sz w:val="28"/>
          <w:szCs w:val="28"/>
        </w:rPr>
        <w:t xml:space="preserve"> </w:t>
      </w:r>
      <w:r w:rsidR="003134FF" w:rsidRPr="003A5748">
        <w:rPr>
          <w:rFonts w:ascii="Times New Roman" w:hAnsi="Times New Roman"/>
          <w:sz w:val="28"/>
          <w:szCs w:val="28"/>
        </w:rPr>
        <w:t>skait</w:t>
      </w:r>
      <w:r w:rsidR="003134FF">
        <w:rPr>
          <w:rFonts w:ascii="Times New Roman" w:hAnsi="Times New Roman"/>
          <w:sz w:val="28"/>
          <w:szCs w:val="28"/>
        </w:rPr>
        <w:t>li</w:t>
      </w:r>
      <w:r w:rsidR="003134FF" w:rsidRPr="003A5748">
        <w:rPr>
          <w:rFonts w:ascii="Times New Roman" w:hAnsi="Times New Roman"/>
          <w:sz w:val="28"/>
          <w:szCs w:val="28"/>
        </w:rPr>
        <w:t xml:space="preserve"> un </w:t>
      </w:r>
      <w:r w:rsidR="00311E84" w:rsidRPr="003A5748">
        <w:rPr>
          <w:rFonts w:ascii="Times New Roman" w:hAnsi="Times New Roman"/>
          <w:sz w:val="28"/>
          <w:szCs w:val="28"/>
        </w:rPr>
        <w:t xml:space="preserve">vārdus </w:t>
      </w:r>
      <w:r w:rsidR="003A5748" w:rsidRPr="003A5748">
        <w:rPr>
          <w:rFonts w:ascii="Times New Roman" w:hAnsi="Times New Roman"/>
          <w:sz w:val="28"/>
          <w:szCs w:val="28"/>
        </w:rPr>
        <w:t>"</w:t>
      </w:r>
      <w:r w:rsidR="00311E84" w:rsidRPr="003A5748">
        <w:rPr>
          <w:rFonts w:ascii="Times New Roman" w:hAnsi="Times New Roman"/>
          <w:sz w:val="28"/>
          <w:szCs w:val="28"/>
        </w:rPr>
        <w:t>143.</w:t>
      </w:r>
      <w:r w:rsidR="00311E84" w:rsidRPr="003A5748">
        <w:rPr>
          <w:rFonts w:ascii="Times New Roman" w:hAnsi="Times New Roman"/>
          <w:sz w:val="28"/>
          <w:szCs w:val="28"/>
          <w:vertAlign w:val="superscript"/>
        </w:rPr>
        <w:t>4</w:t>
      </w:r>
      <w:r w:rsidR="00311E84" w:rsidRPr="003A5748">
        <w:rPr>
          <w:rFonts w:ascii="Times New Roman" w:hAnsi="Times New Roman"/>
          <w:sz w:val="28"/>
          <w:szCs w:val="28"/>
        </w:rPr>
        <w:t xml:space="preserve"> panta </w:t>
      </w:r>
      <w:r w:rsidRPr="003A5748">
        <w:rPr>
          <w:rFonts w:ascii="Times New Roman" w:hAnsi="Times New Roman"/>
          <w:sz w:val="28"/>
          <w:szCs w:val="28"/>
        </w:rPr>
        <w:t>astoto</w:t>
      </w:r>
      <w:r w:rsidR="00311E84" w:rsidRPr="003A5748">
        <w:rPr>
          <w:rFonts w:ascii="Times New Roman" w:hAnsi="Times New Roman"/>
          <w:sz w:val="28"/>
          <w:szCs w:val="28"/>
        </w:rPr>
        <w:t xml:space="preserve"> daļu</w:t>
      </w:r>
      <w:r w:rsidR="003A5748" w:rsidRPr="003A5748">
        <w:rPr>
          <w:rFonts w:ascii="Times New Roman" w:hAnsi="Times New Roman"/>
          <w:sz w:val="28"/>
          <w:szCs w:val="28"/>
        </w:rPr>
        <w:t>"</w:t>
      </w:r>
      <w:r w:rsidR="00311E84" w:rsidRPr="003A5748">
        <w:rPr>
          <w:rFonts w:ascii="Times New Roman" w:hAnsi="Times New Roman"/>
          <w:sz w:val="28"/>
          <w:szCs w:val="28"/>
        </w:rPr>
        <w:t xml:space="preserve"> ar</w:t>
      </w:r>
      <w:r w:rsidRPr="003A5748">
        <w:rPr>
          <w:rFonts w:ascii="Times New Roman" w:hAnsi="Times New Roman"/>
          <w:sz w:val="28"/>
          <w:szCs w:val="28"/>
        </w:rPr>
        <w:t xml:space="preserve"> </w:t>
      </w:r>
      <w:r w:rsidR="003134FF" w:rsidRPr="003A5748">
        <w:rPr>
          <w:rFonts w:ascii="Times New Roman" w:hAnsi="Times New Roman"/>
          <w:sz w:val="28"/>
          <w:szCs w:val="28"/>
        </w:rPr>
        <w:t>skait</w:t>
      </w:r>
      <w:r w:rsidR="003134FF">
        <w:rPr>
          <w:rFonts w:ascii="Times New Roman" w:hAnsi="Times New Roman"/>
          <w:sz w:val="28"/>
          <w:szCs w:val="28"/>
        </w:rPr>
        <w:t>li</w:t>
      </w:r>
      <w:r w:rsidR="003134FF" w:rsidRPr="003A5748">
        <w:rPr>
          <w:rFonts w:ascii="Times New Roman" w:hAnsi="Times New Roman"/>
          <w:sz w:val="28"/>
          <w:szCs w:val="28"/>
        </w:rPr>
        <w:t xml:space="preserve"> </w:t>
      </w:r>
      <w:r w:rsidRPr="003A5748">
        <w:rPr>
          <w:rFonts w:ascii="Times New Roman" w:hAnsi="Times New Roman"/>
          <w:sz w:val="28"/>
          <w:szCs w:val="28"/>
        </w:rPr>
        <w:t xml:space="preserve">un </w:t>
      </w:r>
      <w:r w:rsidR="003134FF" w:rsidRPr="003A5748">
        <w:rPr>
          <w:rFonts w:ascii="Times New Roman" w:hAnsi="Times New Roman"/>
          <w:sz w:val="28"/>
          <w:szCs w:val="28"/>
        </w:rPr>
        <w:t xml:space="preserve">vārdiem </w:t>
      </w:r>
      <w:r w:rsidR="003A5748" w:rsidRPr="003A5748">
        <w:rPr>
          <w:rFonts w:ascii="Times New Roman" w:hAnsi="Times New Roman"/>
          <w:sz w:val="28"/>
          <w:szCs w:val="28"/>
        </w:rPr>
        <w:t>"</w:t>
      </w:r>
      <w:r w:rsidRPr="003A5748">
        <w:rPr>
          <w:rFonts w:ascii="Times New Roman" w:hAnsi="Times New Roman"/>
          <w:sz w:val="28"/>
          <w:szCs w:val="28"/>
        </w:rPr>
        <w:t>143.</w:t>
      </w:r>
      <w:r w:rsidRPr="003A5748">
        <w:rPr>
          <w:rFonts w:ascii="Times New Roman" w:hAnsi="Times New Roman"/>
          <w:sz w:val="28"/>
          <w:szCs w:val="28"/>
          <w:vertAlign w:val="superscript"/>
        </w:rPr>
        <w:t xml:space="preserve">4 </w:t>
      </w:r>
      <w:r w:rsidRPr="003A5748">
        <w:rPr>
          <w:rFonts w:ascii="Times New Roman" w:hAnsi="Times New Roman"/>
          <w:sz w:val="28"/>
          <w:szCs w:val="28"/>
        </w:rPr>
        <w:t>panta piekto daļu</w:t>
      </w:r>
      <w:r w:rsidR="003A5748" w:rsidRPr="003A5748">
        <w:rPr>
          <w:rFonts w:ascii="Times New Roman" w:hAnsi="Times New Roman"/>
          <w:sz w:val="28"/>
          <w:szCs w:val="28"/>
        </w:rPr>
        <w:t>"</w:t>
      </w:r>
      <w:r w:rsidRPr="003A5748">
        <w:rPr>
          <w:rFonts w:ascii="Times New Roman" w:hAnsi="Times New Roman"/>
          <w:sz w:val="28"/>
          <w:szCs w:val="28"/>
        </w:rPr>
        <w:t xml:space="preserve">; </w:t>
      </w:r>
    </w:p>
    <w:p w14:paraId="367EDD5E" w14:textId="2BA48156" w:rsidR="0037039F" w:rsidRPr="003A5748" w:rsidRDefault="00505A66" w:rsidP="003A5748">
      <w:pPr>
        <w:pStyle w:val="ListParagraph"/>
        <w:numPr>
          <w:ilvl w:val="1"/>
          <w:numId w:val="11"/>
        </w:numPr>
        <w:tabs>
          <w:tab w:val="left" w:pos="1276"/>
        </w:tabs>
        <w:ind w:left="0" w:right="-199" w:firstLine="709"/>
        <w:jc w:val="both"/>
        <w:rPr>
          <w:rFonts w:ascii="Times New Roman" w:hAnsi="Times New Roman"/>
          <w:sz w:val="28"/>
          <w:szCs w:val="28"/>
        </w:rPr>
      </w:pPr>
      <w:r w:rsidRPr="003A5748">
        <w:rPr>
          <w:rFonts w:ascii="Times New Roman" w:hAnsi="Times New Roman"/>
          <w:sz w:val="28"/>
          <w:szCs w:val="28"/>
        </w:rPr>
        <w:t>svītrot norādē, uz kāda likuma pamata noteikumi izdoti</w:t>
      </w:r>
      <w:r w:rsidR="00864B35">
        <w:rPr>
          <w:rFonts w:ascii="Times New Roman" w:hAnsi="Times New Roman"/>
          <w:sz w:val="28"/>
          <w:szCs w:val="28"/>
        </w:rPr>
        <w:t>,</w:t>
      </w:r>
      <w:r w:rsidRPr="003A5748">
        <w:rPr>
          <w:rFonts w:ascii="Times New Roman" w:hAnsi="Times New Roman"/>
          <w:sz w:val="28"/>
          <w:szCs w:val="28"/>
        </w:rPr>
        <w:t xml:space="preserve"> </w:t>
      </w:r>
      <w:r w:rsidR="003134FF" w:rsidRPr="003A5748">
        <w:rPr>
          <w:rFonts w:ascii="Times New Roman" w:hAnsi="Times New Roman"/>
          <w:sz w:val="28"/>
          <w:szCs w:val="28"/>
        </w:rPr>
        <w:t>skait</w:t>
      </w:r>
      <w:r w:rsidR="003134FF">
        <w:rPr>
          <w:rFonts w:ascii="Times New Roman" w:hAnsi="Times New Roman"/>
          <w:sz w:val="28"/>
          <w:szCs w:val="28"/>
        </w:rPr>
        <w:t>li</w:t>
      </w:r>
      <w:r w:rsidR="003134FF" w:rsidRPr="003A5748">
        <w:rPr>
          <w:rFonts w:ascii="Times New Roman" w:hAnsi="Times New Roman"/>
          <w:sz w:val="28"/>
          <w:szCs w:val="28"/>
        </w:rPr>
        <w:t xml:space="preserve"> un </w:t>
      </w:r>
      <w:r w:rsidRPr="003A5748">
        <w:rPr>
          <w:rFonts w:ascii="Times New Roman" w:hAnsi="Times New Roman"/>
          <w:sz w:val="28"/>
          <w:szCs w:val="28"/>
        </w:rPr>
        <w:t xml:space="preserve">vārdus </w:t>
      </w:r>
      <w:r w:rsidR="003A5748" w:rsidRPr="003A5748">
        <w:rPr>
          <w:rFonts w:ascii="Times New Roman" w:hAnsi="Times New Roman"/>
          <w:sz w:val="28"/>
          <w:szCs w:val="28"/>
        </w:rPr>
        <w:t>"</w:t>
      </w:r>
      <w:r w:rsidR="00FD683D" w:rsidRPr="003A5748">
        <w:rPr>
          <w:rFonts w:ascii="Times New Roman" w:hAnsi="Times New Roman"/>
          <w:sz w:val="28"/>
          <w:szCs w:val="28"/>
        </w:rPr>
        <w:t>143.</w:t>
      </w:r>
      <w:r w:rsidR="00FD683D" w:rsidRPr="003A5748">
        <w:rPr>
          <w:rFonts w:ascii="Times New Roman" w:hAnsi="Times New Roman"/>
          <w:sz w:val="28"/>
          <w:szCs w:val="28"/>
          <w:vertAlign w:val="superscript"/>
        </w:rPr>
        <w:t xml:space="preserve">5 </w:t>
      </w:r>
      <w:r w:rsidR="00FD683D" w:rsidRPr="003A5748">
        <w:rPr>
          <w:rFonts w:ascii="Times New Roman" w:hAnsi="Times New Roman"/>
          <w:sz w:val="28"/>
          <w:szCs w:val="28"/>
        </w:rPr>
        <w:t>panta piekto daļu</w:t>
      </w:r>
      <w:r w:rsidR="003A5748" w:rsidRPr="003A5748">
        <w:rPr>
          <w:rFonts w:ascii="Times New Roman" w:hAnsi="Times New Roman"/>
          <w:sz w:val="28"/>
          <w:szCs w:val="28"/>
        </w:rPr>
        <w:t>"</w:t>
      </w:r>
      <w:r w:rsidR="0037039F" w:rsidRPr="003A5748">
        <w:rPr>
          <w:rFonts w:ascii="Times New Roman" w:hAnsi="Times New Roman"/>
          <w:sz w:val="28"/>
          <w:szCs w:val="28"/>
        </w:rPr>
        <w:t>;</w:t>
      </w:r>
    </w:p>
    <w:p w14:paraId="6AF7ABEE" w14:textId="1D4DB4EC" w:rsidR="009F72E4" w:rsidRDefault="00824C26" w:rsidP="003A5748">
      <w:pPr>
        <w:pStyle w:val="ListParagraph"/>
        <w:numPr>
          <w:ilvl w:val="1"/>
          <w:numId w:val="11"/>
        </w:numPr>
        <w:tabs>
          <w:tab w:val="left" w:pos="1276"/>
        </w:tabs>
        <w:ind w:left="0" w:right="-199" w:firstLine="709"/>
        <w:jc w:val="both"/>
        <w:rPr>
          <w:rFonts w:ascii="Times New Roman" w:hAnsi="Times New Roman"/>
          <w:sz w:val="28"/>
          <w:szCs w:val="28"/>
        </w:rPr>
      </w:pPr>
      <w:r w:rsidRPr="003A5748">
        <w:rPr>
          <w:rFonts w:ascii="Times New Roman" w:hAnsi="Times New Roman"/>
          <w:sz w:val="28"/>
          <w:szCs w:val="28"/>
        </w:rPr>
        <w:t>s</w:t>
      </w:r>
      <w:r w:rsidR="0011128B" w:rsidRPr="003A5748">
        <w:rPr>
          <w:rFonts w:ascii="Times New Roman" w:hAnsi="Times New Roman"/>
          <w:sz w:val="28"/>
          <w:szCs w:val="28"/>
        </w:rPr>
        <w:t>vītrot</w:t>
      </w:r>
      <w:r w:rsidR="00591549" w:rsidRPr="003A5748">
        <w:rPr>
          <w:rFonts w:ascii="Times New Roman" w:hAnsi="Times New Roman"/>
          <w:sz w:val="28"/>
          <w:szCs w:val="28"/>
        </w:rPr>
        <w:t xml:space="preserve"> 58.</w:t>
      </w:r>
      <w:r w:rsidR="00591549" w:rsidRPr="003A5748">
        <w:rPr>
          <w:rFonts w:ascii="Times New Roman" w:hAnsi="Times New Roman"/>
          <w:sz w:val="28"/>
          <w:szCs w:val="28"/>
          <w:vertAlign w:val="superscript"/>
        </w:rPr>
        <w:t>2</w:t>
      </w:r>
      <w:r w:rsidR="00C23B4F" w:rsidRPr="003A5748">
        <w:rPr>
          <w:rFonts w:ascii="Times New Roman" w:hAnsi="Times New Roman"/>
          <w:sz w:val="28"/>
          <w:szCs w:val="28"/>
        </w:rPr>
        <w:t xml:space="preserve"> </w:t>
      </w:r>
      <w:r w:rsidR="009F72E4" w:rsidRPr="003A5748">
        <w:rPr>
          <w:rFonts w:ascii="Times New Roman" w:hAnsi="Times New Roman"/>
          <w:sz w:val="28"/>
          <w:szCs w:val="28"/>
        </w:rPr>
        <w:t>punktu</w:t>
      </w:r>
      <w:r w:rsidR="009F72E4">
        <w:rPr>
          <w:rFonts w:ascii="Times New Roman" w:hAnsi="Times New Roman"/>
          <w:sz w:val="28"/>
          <w:szCs w:val="28"/>
        </w:rPr>
        <w:t>;</w:t>
      </w:r>
    </w:p>
    <w:p w14:paraId="3D9A1D7F" w14:textId="31032A58" w:rsidR="00591549" w:rsidRPr="003A5748" w:rsidRDefault="009F72E4" w:rsidP="003A5748">
      <w:pPr>
        <w:pStyle w:val="ListParagraph"/>
        <w:numPr>
          <w:ilvl w:val="1"/>
          <w:numId w:val="11"/>
        </w:numPr>
        <w:tabs>
          <w:tab w:val="left" w:pos="1276"/>
        </w:tabs>
        <w:ind w:left="0" w:right="-199" w:firstLine="709"/>
        <w:jc w:val="both"/>
        <w:rPr>
          <w:rFonts w:ascii="Times New Roman" w:hAnsi="Times New Roman"/>
          <w:sz w:val="28"/>
          <w:szCs w:val="28"/>
        </w:rPr>
      </w:pPr>
      <w:r w:rsidRPr="003A5748">
        <w:rPr>
          <w:rFonts w:ascii="Times New Roman" w:hAnsi="Times New Roman"/>
          <w:sz w:val="28"/>
          <w:szCs w:val="28"/>
        </w:rPr>
        <w:t>svītrot</w:t>
      </w:r>
      <w:r w:rsidR="00C17AED">
        <w:rPr>
          <w:rFonts w:ascii="Times New Roman" w:hAnsi="Times New Roman"/>
          <w:sz w:val="28"/>
          <w:szCs w:val="28"/>
        </w:rPr>
        <w:t xml:space="preserve"> </w:t>
      </w:r>
      <w:r w:rsidR="00C17AED" w:rsidRPr="003A5748">
        <w:rPr>
          <w:rFonts w:ascii="Times New Roman" w:hAnsi="Times New Roman"/>
          <w:sz w:val="28"/>
          <w:szCs w:val="28"/>
        </w:rPr>
        <w:t>58.</w:t>
      </w:r>
      <w:r w:rsidR="00C17AED" w:rsidRPr="003A5748">
        <w:rPr>
          <w:rFonts w:ascii="Times New Roman" w:hAnsi="Times New Roman"/>
          <w:sz w:val="28"/>
          <w:szCs w:val="28"/>
          <w:vertAlign w:val="superscript"/>
        </w:rPr>
        <w:t>3</w:t>
      </w:r>
      <w:r w:rsidR="00C17AED" w:rsidRPr="003A5748">
        <w:rPr>
          <w:rFonts w:ascii="Times New Roman" w:hAnsi="Times New Roman"/>
          <w:sz w:val="28"/>
          <w:szCs w:val="28"/>
        </w:rPr>
        <w:t> punktu</w:t>
      </w:r>
      <w:r w:rsidR="00591549" w:rsidRPr="003A5748">
        <w:rPr>
          <w:rFonts w:ascii="Times New Roman" w:hAnsi="Times New Roman"/>
          <w:sz w:val="28"/>
          <w:szCs w:val="28"/>
        </w:rPr>
        <w:t>;</w:t>
      </w:r>
    </w:p>
    <w:p w14:paraId="6B69B59E" w14:textId="7632E23B" w:rsidR="00E81E50" w:rsidRPr="003A5748" w:rsidRDefault="00E81E50" w:rsidP="003A5748">
      <w:pPr>
        <w:pStyle w:val="ListParagraph"/>
        <w:numPr>
          <w:ilvl w:val="1"/>
          <w:numId w:val="11"/>
        </w:numPr>
        <w:tabs>
          <w:tab w:val="left" w:pos="1276"/>
        </w:tabs>
        <w:ind w:left="0" w:right="-199" w:firstLine="709"/>
        <w:jc w:val="both"/>
        <w:rPr>
          <w:rFonts w:ascii="Times New Roman" w:hAnsi="Times New Roman"/>
          <w:sz w:val="28"/>
          <w:szCs w:val="28"/>
        </w:rPr>
      </w:pPr>
      <w:r w:rsidRPr="003A5748">
        <w:rPr>
          <w:rFonts w:ascii="Times New Roman" w:hAnsi="Times New Roman"/>
          <w:sz w:val="28"/>
          <w:szCs w:val="28"/>
        </w:rPr>
        <w:t>izteikt 132</w:t>
      </w:r>
      <w:r w:rsidR="003A5748" w:rsidRPr="003A5748">
        <w:rPr>
          <w:rFonts w:ascii="Times New Roman" w:hAnsi="Times New Roman"/>
          <w:sz w:val="28"/>
          <w:szCs w:val="28"/>
        </w:rPr>
        <w:t>. p</w:t>
      </w:r>
      <w:r w:rsidRPr="003A5748">
        <w:rPr>
          <w:rFonts w:ascii="Times New Roman" w:hAnsi="Times New Roman"/>
          <w:sz w:val="28"/>
          <w:szCs w:val="28"/>
        </w:rPr>
        <w:t>unktu šādā redakcijā:</w:t>
      </w:r>
    </w:p>
    <w:p w14:paraId="3F436515" w14:textId="77777777" w:rsidR="00E81E50" w:rsidRPr="003A5748" w:rsidRDefault="00E81E50" w:rsidP="003A5748">
      <w:pPr>
        <w:pStyle w:val="ListParagraph"/>
        <w:rPr>
          <w:rFonts w:ascii="Times New Roman" w:eastAsia="Times New Roman" w:hAnsi="Times New Roman"/>
          <w:color w:val="414142"/>
          <w:sz w:val="28"/>
          <w:szCs w:val="28"/>
          <w:lang w:eastAsia="lv-LV"/>
        </w:rPr>
      </w:pPr>
    </w:p>
    <w:p w14:paraId="5C45D744" w14:textId="59596AC6" w:rsidR="0037039F" w:rsidRPr="003A5748" w:rsidRDefault="003A5748" w:rsidP="003A5748">
      <w:pPr>
        <w:ind w:right="-198" w:firstLine="709"/>
        <w:jc w:val="both"/>
        <w:rPr>
          <w:rFonts w:ascii="Times New Roman" w:hAnsi="Times New Roman"/>
          <w:sz w:val="28"/>
          <w:szCs w:val="28"/>
        </w:rPr>
      </w:pPr>
      <w:r w:rsidRPr="003A5748">
        <w:rPr>
          <w:rFonts w:ascii="Times New Roman" w:hAnsi="Times New Roman"/>
          <w:sz w:val="28"/>
          <w:szCs w:val="28"/>
        </w:rPr>
        <w:t>"</w:t>
      </w:r>
      <w:r w:rsidR="00E81E50" w:rsidRPr="003A5748">
        <w:rPr>
          <w:rFonts w:ascii="Times New Roman" w:hAnsi="Times New Roman"/>
          <w:sz w:val="28"/>
          <w:szCs w:val="28"/>
        </w:rPr>
        <w:t>132. Valsts ieņēmumu dienests izskata šo noteikumu 131</w:t>
      </w:r>
      <w:r w:rsidRPr="003A5748">
        <w:rPr>
          <w:rFonts w:ascii="Times New Roman" w:hAnsi="Times New Roman"/>
          <w:sz w:val="28"/>
          <w:szCs w:val="28"/>
        </w:rPr>
        <w:t>. p</w:t>
      </w:r>
      <w:r w:rsidR="00E81E50" w:rsidRPr="003A5748">
        <w:rPr>
          <w:rFonts w:ascii="Times New Roman" w:hAnsi="Times New Roman"/>
          <w:sz w:val="28"/>
          <w:szCs w:val="28"/>
        </w:rPr>
        <w:t>unktā minēto iesniegumu un, pamatojoties uz likuma 85</w:t>
      </w:r>
      <w:r w:rsidRPr="003A5748">
        <w:rPr>
          <w:rFonts w:ascii="Times New Roman" w:hAnsi="Times New Roman"/>
          <w:sz w:val="28"/>
          <w:szCs w:val="28"/>
        </w:rPr>
        <w:t>.</w:t>
      </w:r>
      <w:r w:rsidR="00C17AED">
        <w:rPr>
          <w:rFonts w:ascii="Times New Roman" w:hAnsi="Times New Roman"/>
          <w:sz w:val="28"/>
          <w:szCs w:val="28"/>
        </w:rPr>
        <w:t> </w:t>
      </w:r>
      <w:r w:rsidRPr="003A5748">
        <w:rPr>
          <w:rFonts w:ascii="Times New Roman" w:hAnsi="Times New Roman"/>
          <w:sz w:val="28"/>
          <w:szCs w:val="28"/>
        </w:rPr>
        <w:t>p</w:t>
      </w:r>
      <w:r w:rsidR="00E81E50" w:rsidRPr="003A5748">
        <w:rPr>
          <w:rFonts w:ascii="Times New Roman" w:hAnsi="Times New Roman"/>
          <w:sz w:val="28"/>
          <w:szCs w:val="28"/>
        </w:rPr>
        <w:t xml:space="preserve">anta ceturtajā daļā minētajiem nosacījumiem, pieņem lēmumu par īpašās atļaujas importa darījumos piešķiršanu </w:t>
      </w:r>
      <w:r w:rsidR="00E81E50" w:rsidRPr="003A5748">
        <w:rPr>
          <w:rFonts w:ascii="Times New Roman" w:hAnsi="Times New Roman"/>
          <w:sz w:val="28"/>
          <w:szCs w:val="28"/>
        </w:rPr>
        <w:lastRenderedPageBreak/>
        <w:t>vai par atteikumu piešķirt īpašo atļauju importa darījumos 15 darbdienu laikā pēc iesnieguma saņemšanas.</w:t>
      </w:r>
      <w:r w:rsidRPr="003A5748">
        <w:rPr>
          <w:rFonts w:ascii="Times New Roman" w:hAnsi="Times New Roman"/>
          <w:sz w:val="28"/>
          <w:szCs w:val="28"/>
        </w:rPr>
        <w:t>"</w:t>
      </w:r>
      <w:r w:rsidR="005A7B6F" w:rsidRPr="003A5748">
        <w:rPr>
          <w:rFonts w:ascii="Times New Roman" w:hAnsi="Times New Roman"/>
          <w:sz w:val="28"/>
          <w:szCs w:val="28"/>
        </w:rPr>
        <w:t>;</w:t>
      </w:r>
    </w:p>
    <w:p w14:paraId="4586D638" w14:textId="77777777" w:rsidR="0037039F" w:rsidRPr="003A5748" w:rsidRDefault="0037039F" w:rsidP="003A5748">
      <w:pPr>
        <w:ind w:right="-198" w:firstLine="709"/>
        <w:jc w:val="both"/>
        <w:rPr>
          <w:rFonts w:ascii="Times New Roman" w:hAnsi="Times New Roman"/>
          <w:sz w:val="28"/>
          <w:szCs w:val="28"/>
        </w:rPr>
      </w:pPr>
    </w:p>
    <w:p w14:paraId="1CF5F7C0" w14:textId="40868890" w:rsidR="006B3150" w:rsidRPr="003A5748" w:rsidRDefault="0037039F" w:rsidP="003A5748">
      <w:pPr>
        <w:ind w:right="-198" w:firstLine="709"/>
        <w:jc w:val="both"/>
        <w:rPr>
          <w:rFonts w:ascii="Times New Roman" w:hAnsi="Times New Roman"/>
          <w:sz w:val="28"/>
          <w:szCs w:val="28"/>
        </w:rPr>
      </w:pPr>
      <w:r w:rsidRPr="003A5748">
        <w:rPr>
          <w:rFonts w:ascii="Times New Roman" w:hAnsi="Times New Roman"/>
          <w:sz w:val="28"/>
          <w:szCs w:val="28"/>
        </w:rPr>
        <w:t>1.6. </w:t>
      </w:r>
      <w:r w:rsidR="006B3150" w:rsidRPr="003A5748">
        <w:rPr>
          <w:rFonts w:ascii="Times New Roman" w:hAnsi="Times New Roman"/>
          <w:sz w:val="28"/>
          <w:szCs w:val="28"/>
        </w:rPr>
        <w:t>izteikt 135</w:t>
      </w:r>
      <w:r w:rsidR="003A5748" w:rsidRPr="003A5748">
        <w:rPr>
          <w:rFonts w:ascii="Times New Roman" w:hAnsi="Times New Roman"/>
          <w:sz w:val="28"/>
          <w:szCs w:val="28"/>
        </w:rPr>
        <w:t>. p</w:t>
      </w:r>
      <w:r w:rsidR="006B3150" w:rsidRPr="003A5748">
        <w:rPr>
          <w:rFonts w:ascii="Times New Roman" w:hAnsi="Times New Roman"/>
          <w:sz w:val="28"/>
          <w:szCs w:val="28"/>
        </w:rPr>
        <w:t>unktu šādā redakcijā:</w:t>
      </w:r>
    </w:p>
    <w:p w14:paraId="73DFA533" w14:textId="77777777" w:rsidR="00AC41F0" w:rsidRPr="003A5748" w:rsidRDefault="00AC41F0" w:rsidP="003A5748">
      <w:pPr>
        <w:tabs>
          <w:tab w:val="left" w:pos="1276"/>
        </w:tabs>
        <w:ind w:right="-198" w:firstLine="709"/>
        <w:jc w:val="both"/>
        <w:rPr>
          <w:rFonts w:ascii="Times New Roman" w:hAnsi="Times New Roman"/>
          <w:sz w:val="28"/>
          <w:szCs w:val="28"/>
        </w:rPr>
      </w:pPr>
    </w:p>
    <w:p w14:paraId="70B67734" w14:textId="3E237B2B" w:rsidR="00E0633A" w:rsidRPr="003A5748" w:rsidRDefault="003A5748" w:rsidP="003A5748">
      <w:pPr>
        <w:ind w:right="-198" w:firstLine="709"/>
        <w:jc w:val="both"/>
        <w:rPr>
          <w:rFonts w:ascii="Times New Roman" w:hAnsi="Times New Roman"/>
          <w:sz w:val="28"/>
          <w:szCs w:val="28"/>
        </w:rPr>
      </w:pPr>
      <w:r w:rsidRPr="003A5748">
        <w:rPr>
          <w:rFonts w:ascii="Times New Roman" w:hAnsi="Times New Roman"/>
          <w:sz w:val="28"/>
          <w:szCs w:val="28"/>
        </w:rPr>
        <w:t>"</w:t>
      </w:r>
      <w:r w:rsidR="00E0633A" w:rsidRPr="003A5748">
        <w:rPr>
          <w:rFonts w:ascii="Times New Roman" w:hAnsi="Times New Roman"/>
          <w:sz w:val="28"/>
          <w:szCs w:val="28"/>
        </w:rPr>
        <w:t>135.</w:t>
      </w:r>
      <w:r w:rsidR="00667527" w:rsidRPr="003A5748">
        <w:rPr>
          <w:rFonts w:ascii="Times New Roman" w:hAnsi="Times New Roman"/>
          <w:sz w:val="28"/>
          <w:szCs w:val="28"/>
        </w:rPr>
        <w:t> </w:t>
      </w:r>
      <w:r w:rsidR="00E0633A" w:rsidRPr="003A5748">
        <w:rPr>
          <w:rFonts w:ascii="Times New Roman" w:hAnsi="Times New Roman"/>
          <w:sz w:val="28"/>
          <w:szCs w:val="28"/>
        </w:rPr>
        <w:t>Valsts ieņēmumu dienests pieņem lēmumu par īpašās atļaujas importa darījumos darbības apturēšanu, ja:</w:t>
      </w:r>
    </w:p>
    <w:p w14:paraId="2307FBAE" w14:textId="22BB31E6" w:rsidR="00E0633A" w:rsidRPr="003A5748" w:rsidRDefault="00E0633A" w:rsidP="003A5748">
      <w:pPr>
        <w:ind w:right="-198" w:firstLine="709"/>
        <w:jc w:val="both"/>
        <w:rPr>
          <w:rFonts w:ascii="Times New Roman" w:hAnsi="Times New Roman"/>
          <w:sz w:val="28"/>
          <w:szCs w:val="28"/>
        </w:rPr>
      </w:pPr>
      <w:r w:rsidRPr="003A5748">
        <w:rPr>
          <w:rFonts w:ascii="Times New Roman" w:hAnsi="Times New Roman"/>
          <w:sz w:val="28"/>
          <w:szCs w:val="28"/>
        </w:rPr>
        <w:t>135.1.</w:t>
      </w:r>
      <w:r w:rsidR="00667527" w:rsidRPr="003A5748">
        <w:rPr>
          <w:rFonts w:ascii="Times New Roman" w:hAnsi="Times New Roman"/>
          <w:sz w:val="28"/>
          <w:szCs w:val="28"/>
        </w:rPr>
        <w:t> </w:t>
      </w:r>
      <w:r w:rsidRPr="003A5748">
        <w:rPr>
          <w:rFonts w:ascii="Times New Roman" w:hAnsi="Times New Roman"/>
          <w:sz w:val="28"/>
          <w:szCs w:val="28"/>
        </w:rPr>
        <w:t>reģistrētam nodokļa maksātājam uz kārtējā mēneša piekto datumu nodokļu, nodevu vai citu obligāto maksājumu parāds valsts budžetam</w:t>
      </w:r>
      <w:r w:rsidR="009B09A9" w:rsidRPr="003A5748">
        <w:rPr>
          <w:rFonts w:ascii="Times New Roman" w:hAnsi="Times New Roman"/>
          <w:sz w:val="28"/>
          <w:szCs w:val="28"/>
        </w:rPr>
        <w:t xml:space="preserve"> ir lielāks par </w:t>
      </w:r>
      <w:r w:rsidR="00D34968" w:rsidRPr="003A5748">
        <w:rPr>
          <w:rFonts w:ascii="Times New Roman" w:hAnsi="Times New Roman"/>
          <w:sz w:val="28"/>
          <w:szCs w:val="28"/>
        </w:rPr>
        <w:t>150 </w:t>
      </w:r>
      <w:proofErr w:type="spellStart"/>
      <w:r w:rsidR="009B09A9" w:rsidRPr="003A5748">
        <w:rPr>
          <w:rFonts w:ascii="Times New Roman" w:hAnsi="Times New Roman"/>
          <w:i/>
          <w:sz w:val="28"/>
          <w:szCs w:val="28"/>
        </w:rPr>
        <w:t>euro</w:t>
      </w:r>
      <w:proofErr w:type="spellEnd"/>
      <w:r w:rsidRPr="003A5748">
        <w:rPr>
          <w:rFonts w:ascii="Times New Roman" w:hAnsi="Times New Roman"/>
          <w:sz w:val="28"/>
          <w:szCs w:val="28"/>
        </w:rPr>
        <w:t>, – līdz dienai, kad tas ir samaksāts;</w:t>
      </w:r>
    </w:p>
    <w:p w14:paraId="4F1BB42B" w14:textId="06089252" w:rsidR="0037039F" w:rsidRPr="003A5748" w:rsidRDefault="00E0633A" w:rsidP="003A5748">
      <w:pPr>
        <w:ind w:right="-198" w:firstLine="709"/>
        <w:jc w:val="both"/>
        <w:rPr>
          <w:rFonts w:ascii="Times New Roman" w:hAnsi="Times New Roman"/>
          <w:sz w:val="28"/>
          <w:szCs w:val="28"/>
        </w:rPr>
      </w:pPr>
      <w:r w:rsidRPr="003A5748">
        <w:rPr>
          <w:rFonts w:ascii="Times New Roman" w:hAnsi="Times New Roman"/>
          <w:sz w:val="28"/>
          <w:szCs w:val="28"/>
        </w:rPr>
        <w:t>135.2.</w:t>
      </w:r>
      <w:r w:rsidR="00667527" w:rsidRPr="003A5748">
        <w:rPr>
          <w:rFonts w:ascii="Times New Roman" w:hAnsi="Times New Roman"/>
          <w:sz w:val="28"/>
          <w:szCs w:val="28"/>
        </w:rPr>
        <w:t> </w:t>
      </w:r>
      <w:r w:rsidRPr="003A5748">
        <w:rPr>
          <w:rFonts w:ascii="Times New Roman" w:hAnsi="Times New Roman"/>
          <w:sz w:val="28"/>
          <w:szCs w:val="28"/>
        </w:rPr>
        <w:t>nodokļu administrēšanas pasākumu laikā konstatēts, ka reģistrēts nodokļa maksātājs, ievedot no trešajām valstīm vai trešajām teritorijām iekšzemē preces, kas paredzētas ar nodokli apliekamo darījumu nodrošināšanai, izlaižot tās brīvam apgrozījumam, nav norādījis aprēķināto nodokļa summu par šīm precēm atbilstošā taksācijas perioda nodokļa deklarācijā, – līdz dienai, kad ir precizēta attiecīgā nodokļa deklarācija un nokārtotas saistības saskaņā ar likuma 146</w:t>
      </w:r>
      <w:r w:rsidR="003A5748" w:rsidRPr="003A5748">
        <w:rPr>
          <w:rFonts w:ascii="Times New Roman" w:hAnsi="Times New Roman"/>
          <w:sz w:val="28"/>
          <w:szCs w:val="28"/>
        </w:rPr>
        <w:t>. p</w:t>
      </w:r>
      <w:r w:rsidRPr="003A5748">
        <w:rPr>
          <w:rFonts w:ascii="Times New Roman" w:hAnsi="Times New Roman"/>
          <w:sz w:val="28"/>
          <w:szCs w:val="28"/>
        </w:rPr>
        <w:t>anta trešo daļu.</w:t>
      </w:r>
      <w:r w:rsidR="003A5748" w:rsidRPr="003A5748">
        <w:rPr>
          <w:rFonts w:ascii="Times New Roman" w:hAnsi="Times New Roman"/>
          <w:sz w:val="28"/>
          <w:szCs w:val="28"/>
        </w:rPr>
        <w:t>"</w:t>
      </w:r>
      <w:r w:rsidR="005A7B6F" w:rsidRPr="003A5748">
        <w:rPr>
          <w:rFonts w:ascii="Times New Roman" w:hAnsi="Times New Roman"/>
          <w:sz w:val="28"/>
          <w:szCs w:val="28"/>
        </w:rPr>
        <w:t>;</w:t>
      </w:r>
    </w:p>
    <w:p w14:paraId="103B8580" w14:textId="77777777" w:rsidR="0037039F" w:rsidRPr="003A5748" w:rsidRDefault="0037039F" w:rsidP="003A5748">
      <w:pPr>
        <w:ind w:right="-198" w:firstLine="709"/>
        <w:jc w:val="both"/>
        <w:rPr>
          <w:rFonts w:ascii="Times New Roman" w:hAnsi="Times New Roman"/>
          <w:sz w:val="28"/>
          <w:szCs w:val="28"/>
        </w:rPr>
      </w:pPr>
    </w:p>
    <w:p w14:paraId="1960B18E" w14:textId="257481F1" w:rsidR="006B3150" w:rsidRPr="003A5748" w:rsidRDefault="0037039F" w:rsidP="003A5748">
      <w:pPr>
        <w:ind w:right="-198" w:firstLine="709"/>
        <w:jc w:val="both"/>
        <w:rPr>
          <w:rFonts w:ascii="Times New Roman" w:hAnsi="Times New Roman"/>
          <w:sz w:val="28"/>
          <w:szCs w:val="28"/>
        </w:rPr>
      </w:pPr>
      <w:r w:rsidRPr="003A5748">
        <w:rPr>
          <w:rFonts w:ascii="Times New Roman" w:hAnsi="Times New Roman"/>
          <w:sz w:val="28"/>
          <w:szCs w:val="28"/>
        </w:rPr>
        <w:t>1.7. </w:t>
      </w:r>
      <w:r w:rsidR="006B3150" w:rsidRPr="003A5748">
        <w:rPr>
          <w:rFonts w:ascii="Times New Roman" w:hAnsi="Times New Roman"/>
          <w:sz w:val="28"/>
          <w:szCs w:val="28"/>
        </w:rPr>
        <w:t>izteikt 142</w:t>
      </w:r>
      <w:r w:rsidR="003A5748" w:rsidRPr="003A5748">
        <w:rPr>
          <w:rFonts w:ascii="Times New Roman" w:hAnsi="Times New Roman"/>
          <w:sz w:val="28"/>
          <w:szCs w:val="28"/>
        </w:rPr>
        <w:t>. p</w:t>
      </w:r>
      <w:r w:rsidR="006B3150" w:rsidRPr="003A5748">
        <w:rPr>
          <w:rFonts w:ascii="Times New Roman" w:hAnsi="Times New Roman"/>
          <w:sz w:val="28"/>
          <w:szCs w:val="28"/>
        </w:rPr>
        <w:t>unktu šādā redakcijā:</w:t>
      </w:r>
    </w:p>
    <w:p w14:paraId="08C856B6" w14:textId="77777777" w:rsidR="005A7B6F" w:rsidRPr="003A5748" w:rsidRDefault="005A7B6F" w:rsidP="003A5748">
      <w:pPr>
        <w:ind w:right="-198" w:firstLine="709"/>
        <w:jc w:val="both"/>
        <w:rPr>
          <w:rFonts w:ascii="Times New Roman" w:hAnsi="Times New Roman"/>
          <w:sz w:val="28"/>
          <w:szCs w:val="28"/>
        </w:rPr>
      </w:pPr>
    </w:p>
    <w:p w14:paraId="01C96F8F" w14:textId="73473680" w:rsidR="004C5672" w:rsidRPr="003A5748" w:rsidRDefault="003A5748" w:rsidP="003A5748">
      <w:pPr>
        <w:ind w:right="-198" w:firstLine="709"/>
        <w:jc w:val="both"/>
        <w:rPr>
          <w:rFonts w:ascii="Times New Roman" w:hAnsi="Times New Roman"/>
          <w:sz w:val="28"/>
          <w:szCs w:val="28"/>
        </w:rPr>
      </w:pPr>
      <w:r w:rsidRPr="003A5748">
        <w:rPr>
          <w:rFonts w:ascii="Times New Roman" w:hAnsi="Times New Roman"/>
          <w:sz w:val="28"/>
          <w:szCs w:val="28"/>
        </w:rPr>
        <w:t>"</w:t>
      </w:r>
      <w:r w:rsidR="004C5672" w:rsidRPr="003A5748">
        <w:rPr>
          <w:rFonts w:ascii="Times New Roman" w:hAnsi="Times New Roman"/>
          <w:sz w:val="28"/>
          <w:szCs w:val="28"/>
        </w:rPr>
        <w:t>142.</w:t>
      </w:r>
      <w:r w:rsidR="00667527" w:rsidRPr="003A5748">
        <w:rPr>
          <w:rFonts w:ascii="Times New Roman" w:hAnsi="Times New Roman"/>
          <w:sz w:val="28"/>
          <w:szCs w:val="28"/>
        </w:rPr>
        <w:t> </w:t>
      </w:r>
      <w:r w:rsidR="004C5672" w:rsidRPr="003A5748">
        <w:rPr>
          <w:rFonts w:ascii="Times New Roman" w:hAnsi="Times New Roman"/>
          <w:sz w:val="28"/>
          <w:szCs w:val="28"/>
        </w:rPr>
        <w:t>Valsts ieņēmumu dienests pieņem lēmumu par īpašās atļaujas importa darījumos anulēšanu, ja:</w:t>
      </w:r>
    </w:p>
    <w:p w14:paraId="27C9709C" w14:textId="3BCAB60A"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142.1.</w:t>
      </w:r>
      <w:r w:rsidR="00667527" w:rsidRPr="003A5748">
        <w:rPr>
          <w:rFonts w:ascii="Times New Roman" w:hAnsi="Times New Roman"/>
          <w:sz w:val="28"/>
          <w:szCs w:val="28"/>
        </w:rPr>
        <w:t> </w:t>
      </w:r>
      <w:r w:rsidRPr="003A5748">
        <w:rPr>
          <w:rFonts w:ascii="Times New Roman" w:hAnsi="Times New Roman"/>
          <w:sz w:val="28"/>
          <w:szCs w:val="28"/>
        </w:rPr>
        <w:t>pieņemts lēmums par reģistrēta nodokļa maksātāja izslēgšanu no Valsts ieņēmumu dienesta pievienotās vērtības nodokļa maksātāju reģistra;</w:t>
      </w:r>
    </w:p>
    <w:p w14:paraId="75F1C8DC" w14:textId="79F25A0C"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142.2.</w:t>
      </w:r>
      <w:r w:rsidR="00667527" w:rsidRPr="003A5748">
        <w:rPr>
          <w:rFonts w:ascii="Times New Roman" w:hAnsi="Times New Roman"/>
          <w:sz w:val="28"/>
          <w:szCs w:val="28"/>
        </w:rPr>
        <w:t> </w:t>
      </w:r>
      <w:r w:rsidR="00C17AED" w:rsidRPr="003A5748">
        <w:rPr>
          <w:rFonts w:ascii="Times New Roman" w:hAnsi="Times New Roman"/>
          <w:sz w:val="28"/>
          <w:szCs w:val="28"/>
        </w:rPr>
        <w:t>reģistrēt</w:t>
      </w:r>
      <w:r w:rsidR="00C17AED">
        <w:rPr>
          <w:rFonts w:ascii="Times New Roman" w:hAnsi="Times New Roman"/>
          <w:sz w:val="28"/>
          <w:szCs w:val="28"/>
        </w:rPr>
        <w:t>u</w:t>
      </w:r>
      <w:r w:rsidR="00C17AED" w:rsidRPr="003A5748">
        <w:rPr>
          <w:rFonts w:ascii="Times New Roman" w:hAnsi="Times New Roman"/>
          <w:sz w:val="28"/>
          <w:szCs w:val="28"/>
        </w:rPr>
        <w:t xml:space="preserve"> nodokļa maksātāj</w:t>
      </w:r>
      <w:r w:rsidR="00C17AED">
        <w:rPr>
          <w:rFonts w:ascii="Times New Roman" w:hAnsi="Times New Roman"/>
          <w:sz w:val="28"/>
          <w:szCs w:val="28"/>
        </w:rPr>
        <w:t>u</w:t>
      </w:r>
      <w:r w:rsidR="00C17AED" w:rsidRPr="003A5748">
        <w:rPr>
          <w:rFonts w:ascii="Times New Roman" w:hAnsi="Times New Roman"/>
          <w:sz w:val="28"/>
          <w:szCs w:val="28"/>
        </w:rPr>
        <w:t xml:space="preserve"> </w:t>
      </w:r>
      <w:proofErr w:type="spellStart"/>
      <w:r w:rsidRPr="003A5748">
        <w:rPr>
          <w:rFonts w:ascii="Times New Roman" w:hAnsi="Times New Roman"/>
          <w:sz w:val="28"/>
          <w:szCs w:val="28"/>
        </w:rPr>
        <w:t>pārstāvēttiesīgās</w:t>
      </w:r>
      <w:proofErr w:type="spellEnd"/>
      <w:r w:rsidRPr="003A5748">
        <w:rPr>
          <w:rFonts w:ascii="Times New Roman" w:hAnsi="Times New Roman"/>
          <w:sz w:val="28"/>
          <w:szCs w:val="28"/>
        </w:rPr>
        <w:t xml:space="preserve"> personas īpašās atļaujas importa darījumos darbības laikā ir sodītas par krāpšanu, dokumentu viltošanu, izvairīšanos no nodokļu un tiem pielīdzināto maksājumu </w:t>
      </w:r>
      <w:r w:rsidR="00C17AED">
        <w:rPr>
          <w:rFonts w:ascii="Times New Roman" w:hAnsi="Times New Roman"/>
          <w:sz w:val="28"/>
          <w:szCs w:val="28"/>
        </w:rPr>
        <w:t>sa</w:t>
      </w:r>
      <w:r w:rsidRPr="003A5748">
        <w:rPr>
          <w:rFonts w:ascii="Times New Roman" w:hAnsi="Times New Roman"/>
          <w:sz w:val="28"/>
          <w:szCs w:val="28"/>
        </w:rPr>
        <w:t xml:space="preserve">maksas vai citiem noziedzīgiem nodarījumiem, kuri var ietekmēt nodokļu apmēra noteikšanu; </w:t>
      </w:r>
    </w:p>
    <w:p w14:paraId="57B3A152" w14:textId="655F9DAD"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142.3.</w:t>
      </w:r>
      <w:r w:rsidR="00667527" w:rsidRPr="003A5748">
        <w:rPr>
          <w:rFonts w:ascii="Times New Roman" w:hAnsi="Times New Roman"/>
          <w:sz w:val="28"/>
          <w:szCs w:val="28"/>
        </w:rPr>
        <w:t> </w:t>
      </w:r>
      <w:r w:rsidRPr="003A5748">
        <w:rPr>
          <w:rFonts w:ascii="Times New Roman" w:hAnsi="Times New Roman"/>
          <w:sz w:val="28"/>
          <w:szCs w:val="28"/>
        </w:rPr>
        <w:t>reģistrēts nodokļa maksātājs nodokļu jomu regulējošos</w:t>
      </w:r>
      <w:r w:rsidR="00C17AED">
        <w:rPr>
          <w:rFonts w:ascii="Times New Roman" w:hAnsi="Times New Roman"/>
          <w:sz w:val="28"/>
          <w:szCs w:val="28"/>
        </w:rPr>
        <w:t xml:space="preserve"> </w:t>
      </w:r>
      <w:r w:rsidRPr="003A5748">
        <w:rPr>
          <w:rFonts w:ascii="Times New Roman" w:hAnsi="Times New Roman"/>
          <w:sz w:val="28"/>
          <w:szCs w:val="28"/>
        </w:rPr>
        <w:t xml:space="preserve">normatīvajos aktos noteiktajos termiņos </w:t>
      </w:r>
      <w:r w:rsidR="00803CE0">
        <w:rPr>
          <w:rFonts w:ascii="Times New Roman" w:hAnsi="Times New Roman"/>
          <w:sz w:val="28"/>
          <w:szCs w:val="28"/>
        </w:rPr>
        <w:t>nav iesniedzis</w:t>
      </w:r>
      <w:r w:rsidRPr="003A5748">
        <w:rPr>
          <w:rFonts w:ascii="Times New Roman" w:hAnsi="Times New Roman"/>
          <w:sz w:val="28"/>
          <w:szCs w:val="28"/>
        </w:rPr>
        <w:t xml:space="preserve"> nodokļu un informatīvās deklarācijas un gada pārskatu, kā arī Valsts ieņēmumu dienesta noteiktajā termiņā </w:t>
      </w:r>
      <w:r w:rsidR="00803CE0">
        <w:rPr>
          <w:rFonts w:ascii="Times New Roman" w:hAnsi="Times New Roman"/>
          <w:sz w:val="28"/>
          <w:szCs w:val="28"/>
        </w:rPr>
        <w:t>nav iesniedzis</w:t>
      </w:r>
      <w:r w:rsidR="00803CE0" w:rsidRPr="003A5748">
        <w:rPr>
          <w:rFonts w:ascii="Times New Roman" w:hAnsi="Times New Roman"/>
          <w:sz w:val="28"/>
          <w:szCs w:val="28"/>
        </w:rPr>
        <w:t xml:space="preserve"> </w:t>
      </w:r>
      <w:r w:rsidRPr="003A5748">
        <w:rPr>
          <w:rFonts w:ascii="Times New Roman" w:hAnsi="Times New Roman"/>
          <w:sz w:val="28"/>
          <w:szCs w:val="28"/>
        </w:rPr>
        <w:t>papildu informāciju, kas nepieciešama valsts budžetā iemaksājamās nodokļa summas vai nodokļa pārmaksas noteikšanai;</w:t>
      </w:r>
    </w:p>
    <w:p w14:paraId="2140BB4E" w14:textId="67190B29"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142.4.</w:t>
      </w:r>
      <w:r w:rsidR="00667527" w:rsidRPr="003A5748">
        <w:rPr>
          <w:rFonts w:ascii="Times New Roman" w:hAnsi="Times New Roman"/>
          <w:sz w:val="28"/>
          <w:szCs w:val="28"/>
        </w:rPr>
        <w:t> </w:t>
      </w:r>
      <w:r w:rsidRPr="003A5748">
        <w:rPr>
          <w:rFonts w:ascii="Times New Roman" w:hAnsi="Times New Roman"/>
          <w:sz w:val="28"/>
          <w:szCs w:val="28"/>
        </w:rPr>
        <w:t xml:space="preserve">reģistrēts nodokļa maksātājs </w:t>
      </w:r>
      <w:r w:rsidR="00803CE0">
        <w:rPr>
          <w:rFonts w:ascii="Times New Roman" w:hAnsi="Times New Roman"/>
          <w:sz w:val="28"/>
          <w:szCs w:val="28"/>
        </w:rPr>
        <w:t xml:space="preserve">triju </w:t>
      </w:r>
      <w:r w:rsidRPr="003A5748">
        <w:rPr>
          <w:rFonts w:ascii="Times New Roman" w:hAnsi="Times New Roman"/>
          <w:sz w:val="28"/>
          <w:szCs w:val="28"/>
        </w:rPr>
        <w:t>mēnešu laikā pēc īpašās atļaujas importa darījumos darbības apturēšanas nav nokārtojis saistības atbilstoši šo noteikumu 135.1. vai 135.2</w:t>
      </w:r>
      <w:r w:rsidR="003A5748" w:rsidRPr="003A5748">
        <w:rPr>
          <w:rFonts w:ascii="Times New Roman" w:hAnsi="Times New Roman"/>
          <w:sz w:val="28"/>
          <w:szCs w:val="28"/>
        </w:rPr>
        <w:t>. a</w:t>
      </w:r>
      <w:r w:rsidRPr="003A5748">
        <w:rPr>
          <w:rFonts w:ascii="Times New Roman" w:hAnsi="Times New Roman"/>
          <w:sz w:val="28"/>
          <w:szCs w:val="28"/>
        </w:rPr>
        <w:t>pakšpunktam;</w:t>
      </w:r>
    </w:p>
    <w:p w14:paraId="4B5E641F" w14:textId="3903669C"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142.5.</w:t>
      </w:r>
      <w:r w:rsidR="00667527" w:rsidRPr="003A5748">
        <w:rPr>
          <w:rFonts w:ascii="Times New Roman" w:hAnsi="Times New Roman"/>
          <w:sz w:val="28"/>
          <w:szCs w:val="28"/>
        </w:rPr>
        <w:t> </w:t>
      </w:r>
      <w:r w:rsidRPr="003A5748">
        <w:rPr>
          <w:rFonts w:ascii="Times New Roman" w:hAnsi="Times New Roman"/>
          <w:sz w:val="28"/>
          <w:szCs w:val="28"/>
        </w:rPr>
        <w:t>reģistrēts nodokļa maksātājs iesniedz iesniegumu par īpašās atļaujas importa darījumos anulēšanu;</w:t>
      </w:r>
    </w:p>
    <w:p w14:paraId="7F33C95B" w14:textId="507925B7"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142.6.</w:t>
      </w:r>
      <w:r w:rsidR="00667527" w:rsidRPr="003A5748">
        <w:rPr>
          <w:rFonts w:ascii="Times New Roman" w:hAnsi="Times New Roman"/>
          <w:sz w:val="28"/>
          <w:szCs w:val="28"/>
        </w:rPr>
        <w:t> </w:t>
      </w:r>
      <w:r w:rsidRPr="003A5748">
        <w:rPr>
          <w:rFonts w:ascii="Times New Roman" w:hAnsi="Times New Roman"/>
          <w:sz w:val="28"/>
          <w:szCs w:val="28"/>
        </w:rPr>
        <w:t>reģistrēta nodokļa maksātāja – juridiskās personas</w:t>
      </w:r>
      <w:r w:rsidR="00803CE0">
        <w:rPr>
          <w:rFonts w:ascii="Times New Roman" w:hAnsi="Times New Roman"/>
          <w:sz w:val="28"/>
          <w:szCs w:val="28"/>
        </w:rPr>
        <w:t xml:space="preserve"> –</w:t>
      </w:r>
      <w:r w:rsidRPr="003A5748">
        <w:rPr>
          <w:rFonts w:ascii="Times New Roman" w:hAnsi="Times New Roman"/>
          <w:sz w:val="28"/>
          <w:szCs w:val="28"/>
        </w:rPr>
        <w:t xml:space="preserve"> amatpersona vai reģistrēts nodokļa maksātājs – fiziskā persona</w:t>
      </w:r>
      <w:r w:rsidR="00803CE0">
        <w:rPr>
          <w:rFonts w:ascii="Times New Roman" w:hAnsi="Times New Roman"/>
          <w:sz w:val="28"/>
          <w:szCs w:val="28"/>
        </w:rPr>
        <w:t xml:space="preserve"> –</w:t>
      </w:r>
      <w:r w:rsidRPr="003A5748">
        <w:rPr>
          <w:rFonts w:ascii="Times New Roman" w:hAnsi="Times New Roman"/>
          <w:sz w:val="28"/>
          <w:szCs w:val="28"/>
        </w:rPr>
        <w:t xml:space="preserve"> ir iekļaut</w:t>
      </w:r>
      <w:r w:rsidR="00803CE0">
        <w:rPr>
          <w:rFonts w:ascii="Times New Roman" w:hAnsi="Times New Roman"/>
          <w:sz w:val="28"/>
          <w:szCs w:val="28"/>
        </w:rPr>
        <w:t>s</w:t>
      </w:r>
      <w:r w:rsidRPr="003A5748">
        <w:rPr>
          <w:rFonts w:ascii="Times New Roman" w:hAnsi="Times New Roman"/>
          <w:sz w:val="28"/>
          <w:szCs w:val="28"/>
        </w:rPr>
        <w:t xml:space="preserve"> riska personu sarakstā atbilstoši likumam </w:t>
      </w:r>
      <w:r w:rsidR="003A5748" w:rsidRPr="003A5748">
        <w:rPr>
          <w:rFonts w:ascii="Times New Roman" w:hAnsi="Times New Roman"/>
          <w:sz w:val="28"/>
          <w:szCs w:val="28"/>
        </w:rPr>
        <w:t>"</w:t>
      </w:r>
      <w:r w:rsidRPr="003A5748">
        <w:rPr>
          <w:rFonts w:ascii="Times New Roman" w:hAnsi="Times New Roman"/>
          <w:sz w:val="28"/>
          <w:szCs w:val="28"/>
        </w:rPr>
        <w:t>Par nodokļiem un nodevām</w:t>
      </w:r>
      <w:r w:rsidR="003A5748" w:rsidRPr="003A5748">
        <w:rPr>
          <w:rFonts w:ascii="Times New Roman" w:hAnsi="Times New Roman"/>
          <w:sz w:val="28"/>
          <w:szCs w:val="28"/>
        </w:rPr>
        <w:t>"</w:t>
      </w:r>
      <w:r w:rsidRPr="003A5748">
        <w:rPr>
          <w:rFonts w:ascii="Times New Roman" w:hAnsi="Times New Roman"/>
          <w:sz w:val="28"/>
          <w:szCs w:val="28"/>
        </w:rPr>
        <w:t>;</w:t>
      </w:r>
    </w:p>
    <w:p w14:paraId="00C0AEEF" w14:textId="5831D212" w:rsidR="004C5672"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t>142.7.</w:t>
      </w:r>
      <w:r w:rsidR="00667527" w:rsidRPr="003A5748">
        <w:rPr>
          <w:rFonts w:ascii="Times New Roman" w:hAnsi="Times New Roman"/>
          <w:sz w:val="28"/>
          <w:szCs w:val="28"/>
        </w:rPr>
        <w:t> </w:t>
      </w:r>
      <w:r w:rsidRPr="003A5748">
        <w:rPr>
          <w:rFonts w:ascii="Times New Roman" w:hAnsi="Times New Roman"/>
          <w:sz w:val="28"/>
          <w:szCs w:val="28"/>
        </w:rPr>
        <w:t xml:space="preserve">reģistrēts nodokļa maksātājs </w:t>
      </w:r>
      <w:r w:rsidR="006D62A1" w:rsidRPr="003A5748">
        <w:rPr>
          <w:rFonts w:ascii="Times New Roman" w:hAnsi="Times New Roman"/>
          <w:sz w:val="28"/>
          <w:szCs w:val="28"/>
        </w:rPr>
        <w:t>iepriekšējo</w:t>
      </w:r>
      <w:r w:rsidRPr="003A5748">
        <w:rPr>
          <w:rFonts w:ascii="Times New Roman" w:hAnsi="Times New Roman"/>
          <w:sz w:val="28"/>
          <w:szCs w:val="28"/>
        </w:rPr>
        <w:t xml:space="preserve"> 12 mēnešu laikā nav veicis importa darījumus;</w:t>
      </w:r>
    </w:p>
    <w:p w14:paraId="059E1EF0" w14:textId="54A2FBCA" w:rsidR="0037039F" w:rsidRPr="003A5748" w:rsidRDefault="004C5672" w:rsidP="003A5748">
      <w:pPr>
        <w:ind w:right="-198" w:firstLine="709"/>
        <w:jc w:val="both"/>
        <w:rPr>
          <w:rFonts w:ascii="Times New Roman" w:hAnsi="Times New Roman"/>
          <w:sz w:val="28"/>
          <w:szCs w:val="28"/>
        </w:rPr>
      </w:pPr>
      <w:r w:rsidRPr="003A5748">
        <w:rPr>
          <w:rFonts w:ascii="Times New Roman" w:hAnsi="Times New Roman"/>
          <w:sz w:val="28"/>
          <w:szCs w:val="28"/>
        </w:rPr>
        <w:lastRenderedPageBreak/>
        <w:t>142.8.</w:t>
      </w:r>
      <w:r w:rsidR="00667527" w:rsidRPr="003A5748">
        <w:rPr>
          <w:rFonts w:ascii="Times New Roman" w:hAnsi="Times New Roman"/>
          <w:sz w:val="28"/>
          <w:szCs w:val="28"/>
        </w:rPr>
        <w:t> </w:t>
      </w:r>
      <w:r w:rsidRPr="003A5748">
        <w:rPr>
          <w:rFonts w:ascii="Times New Roman" w:hAnsi="Times New Roman"/>
          <w:sz w:val="28"/>
          <w:szCs w:val="28"/>
        </w:rPr>
        <w:t>reģistrēta</w:t>
      </w:r>
      <w:r w:rsidR="00803CE0">
        <w:rPr>
          <w:rFonts w:ascii="Times New Roman" w:hAnsi="Times New Roman"/>
          <w:sz w:val="28"/>
          <w:szCs w:val="28"/>
        </w:rPr>
        <w:t>m</w:t>
      </w:r>
      <w:r w:rsidRPr="003A5748">
        <w:rPr>
          <w:rFonts w:ascii="Times New Roman" w:hAnsi="Times New Roman"/>
          <w:sz w:val="28"/>
          <w:szCs w:val="28"/>
        </w:rPr>
        <w:t xml:space="preserve"> nodokļa maksātāja</w:t>
      </w:r>
      <w:r w:rsidR="00803CE0">
        <w:rPr>
          <w:rFonts w:ascii="Times New Roman" w:hAnsi="Times New Roman"/>
          <w:sz w:val="28"/>
          <w:szCs w:val="28"/>
        </w:rPr>
        <w:t>m</w:t>
      </w:r>
      <w:r w:rsidRPr="003A5748">
        <w:rPr>
          <w:rFonts w:ascii="Times New Roman" w:hAnsi="Times New Roman"/>
          <w:sz w:val="28"/>
          <w:szCs w:val="28"/>
        </w:rPr>
        <w:t xml:space="preserve"> </w:t>
      </w:r>
      <w:r w:rsidR="00803CE0">
        <w:rPr>
          <w:rFonts w:ascii="Times New Roman" w:hAnsi="Times New Roman"/>
          <w:sz w:val="28"/>
          <w:szCs w:val="28"/>
        </w:rPr>
        <w:t>–</w:t>
      </w:r>
      <w:r w:rsidRPr="003A5748">
        <w:rPr>
          <w:rFonts w:ascii="Times New Roman" w:hAnsi="Times New Roman"/>
          <w:sz w:val="28"/>
          <w:szCs w:val="28"/>
        </w:rPr>
        <w:t xml:space="preserve"> juridiskai personai</w:t>
      </w:r>
      <w:r w:rsidR="00803CE0">
        <w:rPr>
          <w:rFonts w:ascii="Times New Roman" w:hAnsi="Times New Roman"/>
          <w:sz w:val="28"/>
          <w:szCs w:val="28"/>
        </w:rPr>
        <w:t xml:space="preserve"> –</w:t>
      </w:r>
      <w:r w:rsidRPr="003A5748">
        <w:rPr>
          <w:rFonts w:ascii="Times New Roman" w:hAnsi="Times New Roman"/>
          <w:sz w:val="28"/>
          <w:szCs w:val="28"/>
        </w:rPr>
        <w:t xml:space="preserve"> ilgāk par vienu mēnesi nav nevienas amatpersonas vai tā valdei nav pārstāvības tiesību.</w:t>
      </w:r>
      <w:r w:rsidR="003A5748" w:rsidRPr="003A5748">
        <w:rPr>
          <w:rFonts w:ascii="Times New Roman" w:hAnsi="Times New Roman"/>
          <w:sz w:val="28"/>
          <w:szCs w:val="28"/>
        </w:rPr>
        <w:t>"</w:t>
      </w:r>
      <w:r w:rsidR="005A7B6F" w:rsidRPr="003A5748">
        <w:rPr>
          <w:rFonts w:ascii="Times New Roman" w:hAnsi="Times New Roman"/>
          <w:sz w:val="28"/>
          <w:szCs w:val="28"/>
        </w:rPr>
        <w:t>;</w:t>
      </w:r>
    </w:p>
    <w:p w14:paraId="5C8A606C" w14:textId="77777777" w:rsidR="0037039F" w:rsidRPr="003A5748" w:rsidRDefault="0037039F" w:rsidP="003A5748">
      <w:pPr>
        <w:ind w:right="-198" w:firstLine="709"/>
        <w:jc w:val="both"/>
        <w:rPr>
          <w:rFonts w:ascii="Times New Roman" w:hAnsi="Times New Roman"/>
          <w:sz w:val="28"/>
          <w:szCs w:val="28"/>
        </w:rPr>
      </w:pPr>
    </w:p>
    <w:p w14:paraId="7BA756AE" w14:textId="154382B3" w:rsidR="00A56A76" w:rsidRPr="003A5748" w:rsidRDefault="0037039F" w:rsidP="003A5748">
      <w:pPr>
        <w:ind w:right="-198" w:firstLine="709"/>
        <w:jc w:val="both"/>
        <w:rPr>
          <w:rFonts w:ascii="Times New Roman" w:hAnsi="Times New Roman"/>
          <w:sz w:val="28"/>
          <w:szCs w:val="28"/>
        </w:rPr>
      </w:pPr>
      <w:r w:rsidRPr="003A5748">
        <w:rPr>
          <w:rFonts w:ascii="Times New Roman" w:hAnsi="Times New Roman"/>
          <w:sz w:val="28"/>
          <w:szCs w:val="28"/>
        </w:rPr>
        <w:t>1.8. </w:t>
      </w:r>
      <w:r w:rsidR="00824C26" w:rsidRPr="003A5748">
        <w:rPr>
          <w:rFonts w:ascii="Times New Roman" w:hAnsi="Times New Roman"/>
          <w:sz w:val="28"/>
          <w:szCs w:val="28"/>
        </w:rPr>
        <w:t>a</w:t>
      </w:r>
      <w:r w:rsidR="001E29DC" w:rsidRPr="003A5748">
        <w:rPr>
          <w:rFonts w:ascii="Times New Roman" w:hAnsi="Times New Roman"/>
          <w:sz w:val="28"/>
          <w:szCs w:val="28"/>
        </w:rPr>
        <w:t xml:space="preserve">izstāt </w:t>
      </w:r>
      <w:r w:rsidR="00A56A76" w:rsidRPr="003A5748">
        <w:rPr>
          <w:rFonts w:ascii="Times New Roman" w:hAnsi="Times New Roman"/>
          <w:sz w:val="28"/>
          <w:szCs w:val="28"/>
        </w:rPr>
        <w:t>194.</w:t>
      </w:r>
      <w:r w:rsidR="00A56A76" w:rsidRPr="003A5748">
        <w:rPr>
          <w:rFonts w:ascii="Times New Roman" w:hAnsi="Times New Roman"/>
          <w:sz w:val="28"/>
          <w:szCs w:val="28"/>
          <w:vertAlign w:val="superscript"/>
        </w:rPr>
        <w:t>1</w:t>
      </w:r>
      <w:r w:rsidR="00A56A76" w:rsidRPr="00803CE0">
        <w:rPr>
          <w:rFonts w:ascii="Times New Roman" w:hAnsi="Times New Roman"/>
          <w:sz w:val="28"/>
          <w:szCs w:val="28"/>
          <w:vertAlign w:val="superscript"/>
        </w:rPr>
        <w:t> </w:t>
      </w:r>
      <w:r w:rsidR="00A56A76" w:rsidRPr="003A5748">
        <w:rPr>
          <w:rFonts w:ascii="Times New Roman" w:hAnsi="Times New Roman"/>
          <w:sz w:val="28"/>
          <w:szCs w:val="28"/>
        </w:rPr>
        <w:t>1</w:t>
      </w:r>
      <w:r w:rsidR="003A5748" w:rsidRPr="003A5748">
        <w:rPr>
          <w:rFonts w:ascii="Times New Roman" w:hAnsi="Times New Roman"/>
          <w:sz w:val="28"/>
          <w:szCs w:val="28"/>
        </w:rPr>
        <w:t>. a</w:t>
      </w:r>
      <w:r w:rsidR="00A56A76" w:rsidRPr="003A5748">
        <w:rPr>
          <w:rFonts w:ascii="Times New Roman" w:hAnsi="Times New Roman"/>
          <w:sz w:val="28"/>
          <w:szCs w:val="28"/>
        </w:rPr>
        <w:t xml:space="preserve">pakšpunktā vārdus </w:t>
      </w:r>
      <w:r w:rsidR="003A5748" w:rsidRPr="003A5748">
        <w:rPr>
          <w:rFonts w:ascii="Times New Roman" w:hAnsi="Times New Roman"/>
          <w:sz w:val="28"/>
          <w:szCs w:val="28"/>
        </w:rPr>
        <w:t>"</w:t>
      </w:r>
      <w:r w:rsidR="00A56A76" w:rsidRPr="003A5748">
        <w:rPr>
          <w:rFonts w:ascii="Times New Roman" w:hAnsi="Times New Roman"/>
          <w:sz w:val="28"/>
          <w:szCs w:val="28"/>
        </w:rPr>
        <w:t>ka nodokļa maksāšanas vajadzībām nav reģistrēts Eiropas Savienībā</w:t>
      </w:r>
      <w:r w:rsidR="003A5748" w:rsidRPr="003A5748">
        <w:rPr>
          <w:rFonts w:ascii="Times New Roman" w:hAnsi="Times New Roman"/>
          <w:sz w:val="28"/>
          <w:szCs w:val="28"/>
        </w:rPr>
        <w:t>"</w:t>
      </w:r>
      <w:r w:rsidR="00380CE3" w:rsidRPr="003A5748">
        <w:rPr>
          <w:rFonts w:ascii="Times New Roman" w:hAnsi="Times New Roman"/>
          <w:sz w:val="28"/>
          <w:szCs w:val="28"/>
        </w:rPr>
        <w:t xml:space="preserve"> ar vārdiem </w:t>
      </w:r>
      <w:r w:rsidR="003A5748" w:rsidRPr="003A5748">
        <w:rPr>
          <w:rFonts w:ascii="Times New Roman" w:hAnsi="Times New Roman"/>
          <w:sz w:val="28"/>
          <w:szCs w:val="28"/>
        </w:rPr>
        <w:t>"</w:t>
      </w:r>
      <w:r w:rsidR="00380CE3" w:rsidRPr="003A5748">
        <w:rPr>
          <w:rFonts w:ascii="Times New Roman" w:hAnsi="Times New Roman"/>
          <w:sz w:val="28"/>
          <w:szCs w:val="28"/>
        </w:rPr>
        <w:t>ka tam Eiropas Savienībā nav saimnieciskās darbības mītnes vietas un pastāvīgās iestādes</w:t>
      </w:r>
      <w:r w:rsidR="003A5748" w:rsidRPr="003A5748">
        <w:rPr>
          <w:rFonts w:ascii="Times New Roman" w:hAnsi="Times New Roman"/>
          <w:sz w:val="28"/>
          <w:szCs w:val="28"/>
        </w:rPr>
        <w:t>"</w:t>
      </w:r>
      <w:r w:rsidR="00A56A76" w:rsidRPr="003A5748">
        <w:rPr>
          <w:rFonts w:ascii="Times New Roman" w:hAnsi="Times New Roman"/>
          <w:sz w:val="28"/>
          <w:szCs w:val="28"/>
        </w:rPr>
        <w:t>;</w:t>
      </w:r>
    </w:p>
    <w:p w14:paraId="5F097D9C" w14:textId="01A9A7E8" w:rsidR="008E071D" w:rsidRPr="003A5748" w:rsidRDefault="00037DB2" w:rsidP="003A5748">
      <w:pPr>
        <w:ind w:right="-199" w:firstLine="709"/>
        <w:jc w:val="both"/>
        <w:rPr>
          <w:rFonts w:ascii="Times New Roman" w:hAnsi="Times New Roman"/>
          <w:sz w:val="28"/>
          <w:szCs w:val="28"/>
        </w:rPr>
      </w:pPr>
      <w:r w:rsidRPr="003A5748">
        <w:rPr>
          <w:rFonts w:ascii="Times New Roman" w:hAnsi="Times New Roman"/>
          <w:sz w:val="28"/>
          <w:szCs w:val="28"/>
        </w:rPr>
        <w:t>1.9. </w:t>
      </w:r>
      <w:r w:rsidR="008E071D" w:rsidRPr="003A5748">
        <w:rPr>
          <w:rFonts w:ascii="Times New Roman" w:hAnsi="Times New Roman"/>
          <w:sz w:val="28"/>
          <w:szCs w:val="28"/>
        </w:rPr>
        <w:t>izteikt informatīvo atsauci uz Eiropas Savienības direktīvām šādā redakcijā:</w:t>
      </w:r>
    </w:p>
    <w:p w14:paraId="0A24AB88" w14:textId="77777777" w:rsidR="00981D87" w:rsidRPr="003A5748" w:rsidRDefault="00981D87" w:rsidP="003A5748">
      <w:pPr>
        <w:pStyle w:val="ListParagraph"/>
        <w:tabs>
          <w:tab w:val="left" w:pos="1276"/>
        </w:tabs>
        <w:ind w:left="709" w:right="-199"/>
        <w:jc w:val="both"/>
        <w:rPr>
          <w:rFonts w:ascii="Times New Roman" w:hAnsi="Times New Roman"/>
          <w:sz w:val="28"/>
          <w:szCs w:val="28"/>
        </w:rPr>
      </w:pPr>
    </w:p>
    <w:p w14:paraId="1CA6AC47" w14:textId="1C09EE06" w:rsidR="00F15FE7" w:rsidRPr="003A5748" w:rsidRDefault="003A5748" w:rsidP="00803CE0">
      <w:pPr>
        <w:pStyle w:val="NormalWeb"/>
        <w:shd w:val="clear" w:color="auto" w:fill="FFFFFF"/>
        <w:spacing w:before="0" w:beforeAutospacing="0" w:after="0" w:afterAutospacing="0"/>
        <w:jc w:val="center"/>
        <w:rPr>
          <w:color w:val="414142"/>
          <w:sz w:val="28"/>
          <w:szCs w:val="28"/>
          <w:shd w:val="clear" w:color="auto" w:fill="FFFFFF"/>
        </w:rPr>
      </w:pPr>
      <w:r w:rsidRPr="003A5748">
        <w:rPr>
          <w:sz w:val="28"/>
          <w:szCs w:val="28"/>
        </w:rPr>
        <w:t>"</w:t>
      </w:r>
      <w:r w:rsidR="00F15FE7" w:rsidRPr="003A5748">
        <w:rPr>
          <w:b/>
          <w:sz w:val="28"/>
          <w:szCs w:val="28"/>
          <w:shd w:val="clear" w:color="auto" w:fill="FFFFFF"/>
        </w:rPr>
        <w:t>Informatīva atsauce uz Eiropas Savienības direktīvām</w:t>
      </w:r>
    </w:p>
    <w:p w14:paraId="06888E1C" w14:textId="77777777" w:rsidR="00F15FE7" w:rsidRPr="003A5748" w:rsidRDefault="00F15FE7" w:rsidP="003A5748">
      <w:pPr>
        <w:pStyle w:val="ListParagraph"/>
        <w:tabs>
          <w:tab w:val="left" w:pos="1276"/>
        </w:tabs>
        <w:ind w:left="709" w:right="-199"/>
        <w:jc w:val="both"/>
        <w:rPr>
          <w:rFonts w:ascii="Times New Roman" w:hAnsi="Times New Roman"/>
          <w:color w:val="414142"/>
          <w:sz w:val="28"/>
          <w:szCs w:val="28"/>
          <w:shd w:val="clear" w:color="auto" w:fill="FFFFFF"/>
        </w:rPr>
      </w:pPr>
    </w:p>
    <w:p w14:paraId="3BD53C6D" w14:textId="7AEA388E" w:rsidR="008E071D" w:rsidRPr="003A5748" w:rsidRDefault="008E071D" w:rsidP="003A5748">
      <w:pPr>
        <w:pStyle w:val="NormalWeb"/>
        <w:shd w:val="clear" w:color="auto" w:fill="FFFFFF"/>
        <w:spacing w:before="0" w:beforeAutospacing="0" w:after="0" w:afterAutospacing="0"/>
        <w:ind w:firstLine="720"/>
        <w:jc w:val="both"/>
        <w:rPr>
          <w:sz w:val="28"/>
          <w:szCs w:val="28"/>
        </w:rPr>
      </w:pPr>
      <w:r w:rsidRPr="003A5748">
        <w:rPr>
          <w:sz w:val="28"/>
          <w:szCs w:val="28"/>
        </w:rPr>
        <w:t>Noteikumos iekļautas tiesību normas, kas izriet no:</w:t>
      </w:r>
    </w:p>
    <w:p w14:paraId="7E7BE807" w14:textId="37DC065C" w:rsidR="008E071D" w:rsidRPr="003A5748" w:rsidRDefault="008E071D" w:rsidP="003A5748">
      <w:pPr>
        <w:tabs>
          <w:tab w:val="left" w:pos="1276"/>
        </w:tabs>
        <w:ind w:right="-198" w:firstLine="709"/>
        <w:jc w:val="both"/>
        <w:rPr>
          <w:rFonts w:ascii="Times New Roman" w:hAnsi="Times New Roman"/>
          <w:sz w:val="28"/>
          <w:szCs w:val="28"/>
        </w:rPr>
      </w:pPr>
      <w:r w:rsidRPr="003A5748">
        <w:rPr>
          <w:rFonts w:ascii="Times New Roman" w:hAnsi="Times New Roman"/>
          <w:sz w:val="28"/>
          <w:szCs w:val="28"/>
        </w:rPr>
        <w:t>1)</w:t>
      </w:r>
      <w:r w:rsidR="004E48A7" w:rsidRPr="003A5748">
        <w:rPr>
          <w:rFonts w:ascii="Times New Roman" w:hAnsi="Times New Roman"/>
          <w:sz w:val="28"/>
          <w:szCs w:val="28"/>
        </w:rPr>
        <w:t> </w:t>
      </w:r>
      <w:r w:rsidRPr="003A5748">
        <w:rPr>
          <w:rFonts w:ascii="Times New Roman" w:hAnsi="Times New Roman"/>
          <w:sz w:val="28"/>
          <w:szCs w:val="28"/>
        </w:rPr>
        <w:t>Padomes 2006</w:t>
      </w:r>
      <w:r w:rsidR="003A5748" w:rsidRPr="003A5748">
        <w:rPr>
          <w:rFonts w:ascii="Times New Roman" w:hAnsi="Times New Roman"/>
          <w:sz w:val="28"/>
          <w:szCs w:val="28"/>
        </w:rPr>
        <w:t>. g</w:t>
      </w:r>
      <w:r w:rsidRPr="003A5748">
        <w:rPr>
          <w:rFonts w:ascii="Times New Roman" w:hAnsi="Times New Roman"/>
          <w:sz w:val="28"/>
          <w:szCs w:val="28"/>
        </w:rPr>
        <w:t>ada 28</w:t>
      </w:r>
      <w:r w:rsidR="003A5748" w:rsidRPr="003A5748">
        <w:rPr>
          <w:rFonts w:ascii="Times New Roman" w:hAnsi="Times New Roman"/>
          <w:sz w:val="28"/>
          <w:szCs w:val="28"/>
        </w:rPr>
        <w:t>. n</w:t>
      </w:r>
      <w:r w:rsidRPr="003A5748">
        <w:rPr>
          <w:rFonts w:ascii="Times New Roman" w:hAnsi="Times New Roman"/>
          <w:sz w:val="28"/>
          <w:szCs w:val="28"/>
        </w:rPr>
        <w:t xml:space="preserve">ovembra </w:t>
      </w:r>
      <w:r w:rsidR="003134FF" w:rsidRPr="003A5748">
        <w:rPr>
          <w:rFonts w:ascii="Times New Roman" w:hAnsi="Times New Roman"/>
          <w:sz w:val="28"/>
          <w:szCs w:val="28"/>
        </w:rPr>
        <w:t xml:space="preserve">Direktīvas </w:t>
      </w:r>
      <w:r w:rsidRPr="003A5748">
        <w:rPr>
          <w:rFonts w:ascii="Times New Roman" w:hAnsi="Times New Roman"/>
          <w:sz w:val="28"/>
          <w:szCs w:val="28"/>
        </w:rPr>
        <w:t>2006/112/EK par kopējo pievienotās vērtības nodokļa sistēmu;</w:t>
      </w:r>
    </w:p>
    <w:p w14:paraId="42CAF9BD" w14:textId="2F529B6F" w:rsidR="00037DB2" w:rsidRPr="003A5748" w:rsidRDefault="008E071D" w:rsidP="003A5748">
      <w:pPr>
        <w:tabs>
          <w:tab w:val="left" w:pos="1276"/>
        </w:tabs>
        <w:ind w:right="-198" w:firstLine="709"/>
        <w:jc w:val="both"/>
        <w:rPr>
          <w:rFonts w:ascii="Times New Roman" w:hAnsi="Times New Roman"/>
          <w:sz w:val="28"/>
          <w:szCs w:val="28"/>
        </w:rPr>
      </w:pPr>
      <w:r w:rsidRPr="003A5748">
        <w:rPr>
          <w:rFonts w:ascii="Times New Roman" w:hAnsi="Times New Roman"/>
          <w:sz w:val="28"/>
          <w:szCs w:val="28"/>
        </w:rPr>
        <w:t>2)</w:t>
      </w:r>
      <w:r w:rsidR="004E48A7" w:rsidRPr="003A5748">
        <w:rPr>
          <w:rFonts w:ascii="Times New Roman" w:hAnsi="Times New Roman"/>
          <w:sz w:val="28"/>
          <w:szCs w:val="28"/>
        </w:rPr>
        <w:t> </w:t>
      </w:r>
      <w:r w:rsidRPr="003A5748">
        <w:rPr>
          <w:rFonts w:ascii="Times New Roman" w:hAnsi="Times New Roman"/>
          <w:sz w:val="28"/>
          <w:szCs w:val="28"/>
        </w:rPr>
        <w:t>Padomes 2017</w:t>
      </w:r>
      <w:r w:rsidR="003A5748" w:rsidRPr="003A5748">
        <w:rPr>
          <w:rFonts w:ascii="Times New Roman" w:hAnsi="Times New Roman"/>
          <w:sz w:val="28"/>
          <w:szCs w:val="28"/>
        </w:rPr>
        <w:t>. g</w:t>
      </w:r>
      <w:r w:rsidRPr="003A5748">
        <w:rPr>
          <w:rFonts w:ascii="Times New Roman" w:hAnsi="Times New Roman"/>
          <w:sz w:val="28"/>
          <w:szCs w:val="28"/>
        </w:rPr>
        <w:t>ada 5</w:t>
      </w:r>
      <w:r w:rsidR="003A5748" w:rsidRPr="003A5748">
        <w:rPr>
          <w:rFonts w:ascii="Times New Roman" w:hAnsi="Times New Roman"/>
          <w:sz w:val="28"/>
          <w:szCs w:val="28"/>
        </w:rPr>
        <w:t>. d</w:t>
      </w:r>
      <w:r w:rsidRPr="003A5748">
        <w:rPr>
          <w:rFonts w:ascii="Times New Roman" w:hAnsi="Times New Roman"/>
          <w:sz w:val="28"/>
          <w:szCs w:val="28"/>
        </w:rPr>
        <w:t xml:space="preserve">ecembra </w:t>
      </w:r>
      <w:r w:rsidR="003134FF" w:rsidRPr="003A5748">
        <w:rPr>
          <w:rFonts w:ascii="Times New Roman" w:hAnsi="Times New Roman"/>
          <w:sz w:val="28"/>
          <w:szCs w:val="28"/>
        </w:rPr>
        <w:t xml:space="preserve">Direktīvas </w:t>
      </w:r>
      <w:r w:rsidRPr="003A5748">
        <w:rPr>
          <w:rFonts w:ascii="Times New Roman" w:hAnsi="Times New Roman"/>
          <w:sz w:val="28"/>
          <w:szCs w:val="28"/>
        </w:rPr>
        <w:t>(ES) 2017/2455, ar ko groza Direktīvu 2006/112/EK un Direktīvu 2009/132/EK attiecībā uz konkrētām pievienotās vērtības nodokļa saistībām pakalpojumu sniegšanā un preču tālpārdošanā</w:t>
      </w:r>
      <w:r w:rsidR="00F15FE7" w:rsidRPr="003A5748">
        <w:rPr>
          <w:rFonts w:ascii="Times New Roman" w:hAnsi="Times New Roman"/>
          <w:sz w:val="28"/>
          <w:szCs w:val="28"/>
        </w:rPr>
        <w:t>.</w:t>
      </w:r>
      <w:r w:rsidR="003A5748" w:rsidRPr="003A5748">
        <w:rPr>
          <w:rFonts w:ascii="Times New Roman" w:hAnsi="Times New Roman"/>
          <w:sz w:val="28"/>
          <w:szCs w:val="28"/>
        </w:rPr>
        <w:t>"</w:t>
      </w:r>
      <w:r w:rsidRPr="003A5748">
        <w:rPr>
          <w:rFonts w:ascii="Times New Roman" w:hAnsi="Times New Roman"/>
          <w:sz w:val="28"/>
          <w:szCs w:val="28"/>
        </w:rPr>
        <w:t>;</w:t>
      </w:r>
    </w:p>
    <w:p w14:paraId="79D6BBF5" w14:textId="77777777" w:rsidR="00037DB2" w:rsidRPr="003A5748" w:rsidRDefault="00037DB2" w:rsidP="003A5748">
      <w:pPr>
        <w:tabs>
          <w:tab w:val="left" w:pos="1276"/>
        </w:tabs>
        <w:ind w:right="-198" w:firstLine="709"/>
        <w:jc w:val="both"/>
        <w:rPr>
          <w:rFonts w:ascii="Times New Roman" w:hAnsi="Times New Roman"/>
          <w:sz w:val="28"/>
          <w:szCs w:val="28"/>
        </w:rPr>
      </w:pPr>
    </w:p>
    <w:p w14:paraId="4140F693" w14:textId="25A71C4D" w:rsidR="0050055F" w:rsidRPr="003A5748" w:rsidRDefault="00037DB2" w:rsidP="003A5748">
      <w:pPr>
        <w:tabs>
          <w:tab w:val="left" w:pos="1276"/>
        </w:tabs>
        <w:ind w:right="-198" w:firstLine="709"/>
        <w:jc w:val="both"/>
        <w:rPr>
          <w:rFonts w:ascii="Times New Roman" w:hAnsi="Times New Roman"/>
          <w:sz w:val="28"/>
          <w:szCs w:val="28"/>
        </w:rPr>
      </w:pPr>
      <w:r w:rsidRPr="003A5748">
        <w:rPr>
          <w:rFonts w:ascii="Times New Roman" w:hAnsi="Times New Roman"/>
          <w:sz w:val="28"/>
          <w:szCs w:val="28"/>
        </w:rPr>
        <w:t>1.10. </w:t>
      </w:r>
      <w:r w:rsidR="000A1A76" w:rsidRPr="003A5748">
        <w:rPr>
          <w:rFonts w:ascii="Times New Roman" w:hAnsi="Times New Roman"/>
          <w:sz w:val="28"/>
          <w:szCs w:val="28"/>
        </w:rPr>
        <w:t>izteikt 2</w:t>
      </w:r>
      <w:r w:rsidR="003A5748" w:rsidRPr="003A5748">
        <w:rPr>
          <w:rFonts w:ascii="Times New Roman" w:hAnsi="Times New Roman"/>
          <w:sz w:val="28"/>
          <w:szCs w:val="28"/>
        </w:rPr>
        <w:t>. p</w:t>
      </w:r>
      <w:r w:rsidR="000A1A76" w:rsidRPr="003A5748">
        <w:rPr>
          <w:rFonts w:ascii="Times New Roman" w:hAnsi="Times New Roman"/>
          <w:sz w:val="28"/>
          <w:szCs w:val="28"/>
        </w:rPr>
        <w:t>ielikuma 7</w:t>
      </w:r>
      <w:r w:rsidR="003A5748" w:rsidRPr="003A5748">
        <w:rPr>
          <w:rFonts w:ascii="Times New Roman" w:hAnsi="Times New Roman"/>
          <w:sz w:val="28"/>
          <w:szCs w:val="28"/>
        </w:rPr>
        <w:t>. p</w:t>
      </w:r>
      <w:r w:rsidR="000A1A76" w:rsidRPr="003A5748">
        <w:rPr>
          <w:rFonts w:ascii="Times New Roman" w:hAnsi="Times New Roman"/>
          <w:sz w:val="28"/>
          <w:szCs w:val="28"/>
        </w:rPr>
        <w:t>unktu šādā redakcijā:</w:t>
      </w:r>
    </w:p>
    <w:p w14:paraId="30D900CC" w14:textId="77777777" w:rsidR="0050055F" w:rsidRPr="003A5748" w:rsidRDefault="0050055F" w:rsidP="003A5748">
      <w:pPr>
        <w:tabs>
          <w:tab w:val="left" w:pos="1276"/>
        </w:tabs>
        <w:ind w:right="-198" w:firstLine="709"/>
        <w:jc w:val="both"/>
        <w:rPr>
          <w:rFonts w:ascii="Times New Roman" w:hAnsi="Times New Roman"/>
          <w:sz w:val="28"/>
          <w:szCs w:val="28"/>
        </w:rPr>
      </w:pPr>
    </w:p>
    <w:p w14:paraId="5BBF6624" w14:textId="0F21C001" w:rsidR="00037DB2" w:rsidRPr="003A5748" w:rsidRDefault="003A5748" w:rsidP="003A5748">
      <w:pPr>
        <w:tabs>
          <w:tab w:val="left" w:pos="1276"/>
        </w:tabs>
        <w:ind w:right="-198" w:firstLine="709"/>
        <w:jc w:val="both"/>
        <w:rPr>
          <w:rFonts w:ascii="Times New Roman" w:hAnsi="Times New Roman"/>
          <w:sz w:val="28"/>
          <w:szCs w:val="28"/>
        </w:rPr>
      </w:pPr>
      <w:r w:rsidRPr="003A5748">
        <w:rPr>
          <w:rFonts w:ascii="Times New Roman" w:hAnsi="Times New Roman"/>
          <w:sz w:val="28"/>
          <w:szCs w:val="28"/>
        </w:rPr>
        <w:t>"</w:t>
      </w:r>
      <w:r w:rsidR="000A1A76" w:rsidRPr="003A5748">
        <w:rPr>
          <w:rFonts w:ascii="Times New Roman" w:hAnsi="Times New Roman"/>
          <w:sz w:val="28"/>
          <w:szCs w:val="28"/>
        </w:rPr>
        <w:t>7. Ja nodokļa maksātāja ar pievienotās vērtības nodokli apliekamo darījumu kopējā vērtība ir pārsniegusi 40 000 </w:t>
      </w:r>
      <w:proofErr w:type="spellStart"/>
      <w:r w:rsidR="000A1A76" w:rsidRPr="003A5748">
        <w:rPr>
          <w:rFonts w:ascii="Times New Roman" w:hAnsi="Times New Roman"/>
          <w:i/>
          <w:sz w:val="28"/>
          <w:szCs w:val="28"/>
        </w:rPr>
        <w:t>euro</w:t>
      </w:r>
      <w:proofErr w:type="spellEnd"/>
      <w:r w:rsidR="000A1A76" w:rsidRPr="003A5748">
        <w:rPr>
          <w:rFonts w:ascii="Times New Roman" w:hAnsi="Times New Roman"/>
          <w:sz w:val="28"/>
          <w:szCs w:val="28"/>
        </w:rPr>
        <w:t>, norāda dienu, mēnesi un gadu, kad šī summa ir pārsniegta</w:t>
      </w:r>
    </w:p>
    <w:p w14:paraId="470A31F1" w14:textId="61808303" w:rsidR="00037DB2" w:rsidRDefault="00037DB2" w:rsidP="003A5748">
      <w:pPr>
        <w:tabs>
          <w:tab w:val="left" w:pos="1276"/>
        </w:tabs>
        <w:ind w:right="-198" w:firstLine="709"/>
        <w:jc w:val="both"/>
        <w:rPr>
          <w:rFonts w:ascii="Times New Roman" w:hAnsi="Times New Roman"/>
          <w:sz w:val="28"/>
          <w:szCs w:val="28"/>
        </w:rPr>
      </w:pPr>
    </w:p>
    <w:tbl>
      <w:tblPr>
        <w:tblStyle w:val="TableGrid"/>
        <w:tblW w:w="0" w:type="auto"/>
        <w:tblInd w:w="2263" w:type="dxa"/>
        <w:tblLook w:val="04A0" w:firstRow="1" w:lastRow="0" w:firstColumn="1" w:lastColumn="0" w:noHBand="0" w:noVBand="1"/>
      </w:tblPr>
      <w:tblGrid>
        <w:gridCol w:w="567"/>
        <w:gridCol w:w="567"/>
        <w:gridCol w:w="567"/>
        <w:gridCol w:w="567"/>
        <w:gridCol w:w="567"/>
        <w:gridCol w:w="567"/>
        <w:gridCol w:w="567"/>
        <w:gridCol w:w="567"/>
      </w:tblGrid>
      <w:tr w:rsidR="009F72E4" w14:paraId="0FAF7A1D" w14:textId="77777777" w:rsidTr="009F72E4">
        <w:tc>
          <w:tcPr>
            <w:tcW w:w="567" w:type="dxa"/>
            <w:tcBorders>
              <w:bottom w:val="single" w:sz="4" w:space="0" w:color="auto"/>
            </w:tcBorders>
          </w:tcPr>
          <w:p w14:paraId="2A0CED6A"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4CFCCD7B"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1963B696"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2160563C"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07D9090D"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2C3CF59D"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39A76339" w14:textId="77777777" w:rsidR="009F72E4" w:rsidRDefault="009F72E4" w:rsidP="003A5748">
            <w:pPr>
              <w:tabs>
                <w:tab w:val="left" w:pos="1276"/>
              </w:tabs>
              <w:ind w:right="-198"/>
              <w:jc w:val="both"/>
              <w:rPr>
                <w:rFonts w:ascii="Times New Roman" w:hAnsi="Times New Roman"/>
                <w:sz w:val="28"/>
                <w:szCs w:val="28"/>
              </w:rPr>
            </w:pPr>
          </w:p>
        </w:tc>
        <w:tc>
          <w:tcPr>
            <w:tcW w:w="567" w:type="dxa"/>
            <w:tcBorders>
              <w:bottom w:val="single" w:sz="4" w:space="0" w:color="auto"/>
            </w:tcBorders>
          </w:tcPr>
          <w:p w14:paraId="73409560" w14:textId="55D3666B" w:rsidR="009F72E4" w:rsidRDefault="009F72E4" w:rsidP="003A5748">
            <w:pPr>
              <w:tabs>
                <w:tab w:val="left" w:pos="1276"/>
              </w:tabs>
              <w:ind w:right="-198"/>
              <w:jc w:val="both"/>
              <w:rPr>
                <w:rFonts w:ascii="Times New Roman" w:hAnsi="Times New Roman"/>
                <w:sz w:val="28"/>
                <w:szCs w:val="28"/>
              </w:rPr>
            </w:pPr>
          </w:p>
        </w:tc>
      </w:tr>
      <w:tr w:rsidR="009F72E4" w:rsidRPr="009F72E4" w14:paraId="5F82C0DC" w14:textId="77777777" w:rsidTr="009F72E4">
        <w:tc>
          <w:tcPr>
            <w:tcW w:w="4536" w:type="dxa"/>
            <w:gridSpan w:val="8"/>
            <w:tcBorders>
              <w:top w:val="single" w:sz="4" w:space="0" w:color="auto"/>
              <w:left w:val="nil"/>
              <w:bottom w:val="nil"/>
              <w:right w:val="nil"/>
            </w:tcBorders>
          </w:tcPr>
          <w:p w14:paraId="59EC7649" w14:textId="4C4DF327" w:rsidR="009F72E4" w:rsidRPr="009F72E4" w:rsidRDefault="009F72E4" w:rsidP="009F72E4">
            <w:pPr>
              <w:tabs>
                <w:tab w:val="left" w:pos="1276"/>
              </w:tabs>
              <w:ind w:right="-198"/>
              <w:jc w:val="center"/>
              <w:rPr>
                <w:rFonts w:ascii="Times New Roman" w:hAnsi="Times New Roman"/>
                <w:sz w:val="24"/>
                <w:szCs w:val="24"/>
              </w:rPr>
            </w:pPr>
            <w:r w:rsidRPr="009F72E4">
              <w:rPr>
                <w:rFonts w:ascii="Times New Roman" w:hAnsi="Times New Roman"/>
                <w:sz w:val="24"/>
                <w:szCs w:val="24"/>
              </w:rPr>
              <w:t>(diena, mēnesis, gads)</w:t>
            </w:r>
            <w:r w:rsidR="003134FF" w:rsidRPr="003134FF">
              <w:rPr>
                <w:rFonts w:ascii="Times New Roman" w:hAnsi="Times New Roman"/>
                <w:sz w:val="24"/>
                <w:szCs w:val="24"/>
              </w:rPr>
              <w:t>"</w:t>
            </w:r>
            <w:r>
              <w:rPr>
                <w:rFonts w:ascii="Times New Roman" w:hAnsi="Times New Roman"/>
                <w:sz w:val="24"/>
                <w:szCs w:val="24"/>
              </w:rPr>
              <w:t>;</w:t>
            </w:r>
          </w:p>
        </w:tc>
      </w:tr>
    </w:tbl>
    <w:p w14:paraId="1A2EE954" w14:textId="14B9E9D3" w:rsidR="009F72E4" w:rsidRPr="009F72E4" w:rsidRDefault="009F72E4" w:rsidP="009F72E4">
      <w:pPr>
        <w:tabs>
          <w:tab w:val="left" w:pos="1276"/>
        </w:tabs>
        <w:ind w:right="-198"/>
        <w:jc w:val="center"/>
        <w:rPr>
          <w:rFonts w:ascii="Times New Roman" w:hAnsi="Times New Roman"/>
          <w:sz w:val="24"/>
          <w:szCs w:val="24"/>
        </w:rPr>
      </w:pPr>
    </w:p>
    <w:p w14:paraId="3B4C00DF" w14:textId="77777777" w:rsidR="009F72E4" w:rsidRPr="003A5748" w:rsidRDefault="009F72E4" w:rsidP="003A5748">
      <w:pPr>
        <w:tabs>
          <w:tab w:val="left" w:pos="1276"/>
        </w:tabs>
        <w:ind w:right="-198" w:firstLine="709"/>
        <w:jc w:val="both"/>
        <w:rPr>
          <w:rFonts w:ascii="Times New Roman" w:hAnsi="Times New Roman"/>
          <w:sz w:val="28"/>
          <w:szCs w:val="28"/>
        </w:rPr>
      </w:pPr>
    </w:p>
    <w:p w14:paraId="0B070505" w14:textId="6111A47B" w:rsidR="00452DA4" w:rsidRPr="003A5748" w:rsidRDefault="00037DB2" w:rsidP="003A5748">
      <w:pPr>
        <w:tabs>
          <w:tab w:val="left" w:pos="1276"/>
        </w:tabs>
        <w:ind w:right="-198" w:firstLine="709"/>
        <w:jc w:val="both"/>
        <w:rPr>
          <w:rFonts w:ascii="Times New Roman" w:hAnsi="Times New Roman"/>
          <w:sz w:val="28"/>
          <w:szCs w:val="28"/>
        </w:rPr>
      </w:pPr>
      <w:r w:rsidRPr="003A5748">
        <w:rPr>
          <w:rFonts w:ascii="Times New Roman" w:hAnsi="Times New Roman"/>
          <w:sz w:val="28"/>
          <w:szCs w:val="28"/>
        </w:rPr>
        <w:t>1.11. </w:t>
      </w:r>
      <w:r w:rsidR="00824C26" w:rsidRPr="003A5748">
        <w:rPr>
          <w:rFonts w:ascii="Times New Roman" w:hAnsi="Times New Roman"/>
          <w:sz w:val="28"/>
          <w:szCs w:val="28"/>
        </w:rPr>
        <w:t>i</w:t>
      </w:r>
      <w:r w:rsidR="003C3354" w:rsidRPr="003A5748">
        <w:rPr>
          <w:rFonts w:ascii="Times New Roman" w:hAnsi="Times New Roman"/>
          <w:sz w:val="28"/>
          <w:szCs w:val="28"/>
        </w:rPr>
        <w:t>zteikt</w:t>
      </w:r>
      <w:r w:rsidR="00452DA4" w:rsidRPr="003A5748">
        <w:rPr>
          <w:rFonts w:ascii="Times New Roman" w:hAnsi="Times New Roman"/>
          <w:sz w:val="28"/>
          <w:szCs w:val="28"/>
        </w:rPr>
        <w:t xml:space="preserve"> </w:t>
      </w:r>
      <w:r w:rsidR="00D14A38" w:rsidRPr="003A5748">
        <w:rPr>
          <w:rFonts w:ascii="Times New Roman" w:hAnsi="Times New Roman"/>
          <w:sz w:val="28"/>
          <w:szCs w:val="28"/>
        </w:rPr>
        <w:t>7</w:t>
      </w:r>
      <w:r w:rsidR="003A5748" w:rsidRPr="003A5748">
        <w:rPr>
          <w:rFonts w:ascii="Times New Roman" w:hAnsi="Times New Roman"/>
          <w:sz w:val="28"/>
          <w:szCs w:val="28"/>
        </w:rPr>
        <w:t>. p</w:t>
      </w:r>
      <w:r w:rsidR="00452DA4" w:rsidRPr="003A5748">
        <w:rPr>
          <w:rFonts w:ascii="Times New Roman" w:hAnsi="Times New Roman"/>
          <w:sz w:val="28"/>
          <w:szCs w:val="28"/>
        </w:rPr>
        <w:t>ielikumu šādā redakcijā:</w:t>
      </w:r>
    </w:p>
    <w:p w14:paraId="1B6546D9" w14:textId="77777777" w:rsidR="003A5748" w:rsidRDefault="003A5748" w:rsidP="003A5748">
      <w:pPr>
        <w:pStyle w:val="ListParagraph"/>
        <w:ind w:left="709" w:right="-199"/>
        <w:jc w:val="right"/>
        <w:rPr>
          <w:rFonts w:ascii="Times New Roman" w:hAnsi="Times New Roman"/>
          <w:sz w:val="28"/>
          <w:szCs w:val="28"/>
        </w:rPr>
      </w:pPr>
      <w:bookmarkStart w:id="1" w:name="piel1"/>
      <w:bookmarkEnd w:id="1"/>
    </w:p>
    <w:p w14:paraId="275855C1" w14:textId="30AA96BB" w:rsidR="00452DA4" w:rsidRPr="003A5748" w:rsidRDefault="003A5748" w:rsidP="003A5748">
      <w:pPr>
        <w:pStyle w:val="ListParagraph"/>
        <w:ind w:left="709" w:right="-199"/>
        <w:jc w:val="right"/>
        <w:rPr>
          <w:rFonts w:ascii="Times New Roman" w:hAnsi="Times New Roman"/>
          <w:sz w:val="28"/>
          <w:szCs w:val="28"/>
        </w:rPr>
      </w:pPr>
      <w:r w:rsidRPr="003A5748">
        <w:rPr>
          <w:rFonts w:ascii="Times New Roman" w:hAnsi="Times New Roman"/>
          <w:sz w:val="28"/>
          <w:szCs w:val="28"/>
        </w:rPr>
        <w:t>"</w:t>
      </w:r>
      <w:r w:rsidR="00D14A38" w:rsidRPr="003A5748">
        <w:rPr>
          <w:rFonts w:ascii="Times New Roman" w:hAnsi="Times New Roman"/>
          <w:sz w:val="28"/>
          <w:szCs w:val="28"/>
        </w:rPr>
        <w:t>7</w:t>
      </w:r>
      <w:r w:rsidRPr="003A5748">
        <w:rPr>
          <w:rFonts w:ascii="Times New Roman" w:hAnsi="Times New Roman"/>
          <w:sz w:val="28"/>
          <w:szCs w:val="28"/>
        </w:rPr>
        <w:t>. p</w:t>
      </w:r>
      <w:r w:rsidR="00452DA4" w:rsidRPr="003A5748">
        <w:rPr>
          <w:rFonts w:ascii="Times New Roman" w:hAnsi="Times New Roman"/>
          <w:sz w:val="28"/>
          <w:szCs w:val="28"/>
        </w:rPr>
        <w:t>ielikums</w:t>
      </w:r>
    </w:p>
    <w:p w14:paraId="02DE84CA" w14:textId="77777777" w:rsidR="00452DA4" w:rsidRPr="003A5748" w:rsidRDefault="00452DA4" w:rsidP="003A5748">
      <w:pPr>
        <w:pStyle w:val="ListParagraph"/>
        <w:ind w:left="709" w:right="-199"/>
        <w:jc w:val="right"/>
        <w:rPr>
          <w:rFonts w:ascii="Times New Roman" w:hAnsi="Times New Roman"/>
          <w:sz w:val="28"/>
          <w:szCs w:val="28"/>
        </w:rPr>
      </w:pPr>
      <w:r w:rsidRPr="003A5748">
        <w:rPr>
          <w:rFonts w:ascii="Times New Roman" w:hAnsi="Times New Roman"/>
          <w:sz w:val="28"/>
          <w:szCs w:val="28"/>
        </w:rPr>
        <w:t xml:space="preserve">Ministru kabineta </w:t>
      </w:r>
    </w:p>
    <w:p w14:paraId="5631D0AB" w14:textId="720A4632" w:rsidR="0050055F" w:rsidRPr="003A5748" w:rsidRDefault="00452DA4" w:rsidP="003A5748">
      <w:pPr>
        <w:pStyle w:val="ListParagraph"/>
        <w:ind w:left="709" w:right="-199"/>
        <w:jc w:val="right"/>
        <w:rPr>
          <w:rFonts w:ascii="Times New Roman" w:hAnsi="Times New Roman"/>
          <w:sz w:val="28"/>
          <w:szCs w:val="28"/>
        </w:rPr>
      </w:pPr>
      <w:r w:rsidRPr="003A5748">
        <w:rPr>
          <w:rFonts w:ascii="Times New Roman" w:hAnsi="Times New Roman"/>
          <w:sz w:val="28"/>
          <w:szCs w:val="28"/>
        </w:rPr>
        <w:t>2013</w:t>
      </w:r>
      <w:r w:rsidR="003A5748" w:rsidRPr="003A5748">
        <w:rPr>
          <w:rFonts w:ascii="Times New Roman" w:hAnsi="Times New Roman"/>
          <w:sz w:val="28"/>
          <w:szCs w:val="28"/>
        </w:rPr>
        <w:t>. g</w:t>
      </w:r>
      <w:r w:rsidRPr="003A5748">
        <w:rPr>
          <w:rFonts w:ascii="Times New Roman" w:hAnsi="Times New Roman"/>
          <w:sz w:val="28"/>
          <w:szCs w:val="28"/>
        </w:rPr>
        <w:t>ada 3</w:t>
      </w:r>
      <w:r w:rsidR="003A5748" w:rsidRPr="003A5748">
        <w:rPr>
          <w:rFonts w:ascii="Times New Roman" w:hAnsi="Times New Roman"/>
          <w:sz w:val="28"/>
          <w:szCs w:val="28"/>
        </w:rPr>
        <w:t>. j</w:t>
      </w:r>
      <w:r w:rsidRPr="003A5748">
        <w:rPr>
          <w:rFonts w:ascii="Times New Roman" w:hAnsi="Times New Roman"/>
          <w:sz w:val="28"/>
          <w:szCs w:val="28"/>
        </w:rPr>
        <w:t>anvāra</w:t>
      </w:r>
    </w:p>
    <w:p w14:paraId="2D98EB49" w14:textId="39D65C9F" w:rsidR="00452DA4" w:rsidRPr="003A5748" w:rsidRDefault="00452DA4" w:rsidP="003A5748">
      <w:pPr>
        <w:pStyle w:val="ListParagraph"/>
        <w:ind w:left="709" w:right="-199"/>
        <w:jc w:val="right"/>
        <w:rPr>
          <w:rFonts w:ascii="Times New Roman" w:hAnsi="Times New Roman"/>
          <w:sz w:val="28"/>
          <w:szCs w:val="28"/>
        </w:rPr>
      </w:pPr>
      <w:r w:rsidRPr="003A5748">
        <w:rPr>
          <w:rFonts w:ascii="Times New Roman" w:hAnsi="Times New Roman"/>
          <w:sz w:val="28"/>
          <w:szCs w:val="28"/>
        </w:rPr>
        <w:t xml:space="preserve"> noteikumiem Nr.</w:t>
      </w:r>
      <w:r w:rsidR="003134FF">
        <w:rPr>
          <w:rFonts w:ascii="Times New Roman" w:hAnsi="Times New Roman"/>
          <w:sz w:val="28"/>
          <w:szCs w:val="28"/>
        </w:rPr>
        <w:t> </w:t>
      </w:r>
      <w:r w:rsidRPr="003A5748">
        <w:rPr>
          <w:rFonts w:ascii="Times New Roman" w:hAnsi="Times New Roman"/>
          <w:sz w:val="28"/>
          <w:szCs w:val="28"/>
        </w:rPr>
        <w:t>17</w:t>
      </w:r>
    </w:p>
    <w:p w14:paraId="5E87284F" w14:textId="77777777" w:rsidR="00452DA4" w:rsidRPr="003A5748" w:rsidRDefault="00452DA4" w:rsidP="003A5748">
      <w:pPr>
        <w:pStyle w:val="ListParagraph"/>
        <w:ind w:left="709" w:right="-199"/>
        <w:jc w:val="both"/>
        <w:rPr>
          <w:rFonts w:ascii="Times New Roman" w:hAnsi="Times New Roman"/>
          <w:sz w:val="28"/>
          <w:szCs w:val="28"/>
        </w:rPr>
      </w:pPr>
    </w:p>
    <w:p w14:paraId="022258E9" w14:textId="49228864" w:rsidR="00452DA4" w:rsidRPr="003A5748" w:rsidRDefault="00080C20" w:rsidP="003A5748">
      <w:pPr>
        <w:pStyle w:val="ListParagraph"/>
        <w:ind w:left="0" w:right="-199"/>
        <w:jc w:val="center"/>
        <w:rPr>
          <w:rFonts w:ascii="Times New Roman" w:hAnsi="Times New Roman"/>
          <w:sz w:val="28"/>
          <w:szCs w:val="28"/>
        </w:rPr>
      </w:pPr>
      <w:bookmarkStart w:id="2" w:name="n-638093"/>
      <w:bookmarkStart w:id="3" w:name="638093"/>
      <w:bookmarkEnd w:id="2"/>
      <w:bookmarkEnd w:id="3"/>
      <w:r w:rsidRPr="003A5748">
        <w:rPr>
          <w:rFonts w:ascii="Times New Roman" w:hAnsi="Times New Roman"/>
          <w:b/>
          <w:bCs/>
          <w:sz w:val="28"/>
          <w:szCs w:val="28"/>
        </w:rPr>
        <w:t>Melno un krāsaino metālu pusfabrikāti</w:t>
      </w:r>
      <w:r w:rsidR="00D14A38" w:rsidRPr="003A5748">
        <w:rPr>
          <w:rFonts w:ascii="Times New Roman" w:hAnsi="Times New Roman"/>
          <w:b/>
          <w:bCs/>
          <w:sz w:val="28"/>
          <w:szCs w:val="28"/>
        </w:rPr>
        <w:t>, kuru piegādēm piemēro īpašo pievienotās vērtības nodokļa režīmu</w:t>
      </w:r>
    </w:p>
    <w:p w14:paraId="7AB99FEF" w14:textId="77777777" w:rsidR="00452DA4" w:rsidRPr="003A5748" w:rsidRDefault="00452DA4" w:rsidP="003A5748">
      <w:pPr>
        <w:pStyle w:val="ListParagraph"/>
        <w:ind w:left="709" w:right="-625"/>
        <w:jc w:val="both"/>
        <w:rPr>
          <w:rFonts w:ascii="Times New Roman" w:hAnsi="Times New Roman"/>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6804"/>
      </w:tblGrid>
      <w:tr w:rsidR="00C54446" w:rsidRPr="006C3C73" w14:paraId="2E551EB3" w14:textId="77777777" w:rsidTr="009F72E4">
        <w:trPr>
          <w:trHeight w:val="528"/>
        </w:trPr>
        <w:tc>
          <w:tcPr>
            <w:tcW w:w="709" w:type="dxa"/>
          </w:tcPr>
          <w:p w14:paraId="3E3983FF" w14:textId="4CD7492E" w:rsidR="00452DA4" w:rsidRPr="006C3C73" w:rsidRDefault="00452DA4" w:rsidP="00153A7C">
            <w:pPr>
              <w:jc w:val="center"/>
              <w:rPr>
                <w:rFonts w:ascii="Times New Roman" w:eastAsia="Times New Roman" w:hAnsi="Times New Roman"/>
                <w:sz w:val="24"/>
                <w:szCs w:val="24"/>
              </w:rPr>
            </w:pPr>
            <w:r w:rsidRPr="006C3C73">
              <w:rPr>
                <w:rFonts w:ascii="Times New Roman" w:eastAsia="Times New Roman" w:hAnsi="Times New Roman"/>
                <w:sz w:val="24"/>
                <w:szCs w:val="24"/>
              </w:rPr>
              <w:t>N</w:t>
            </w:r>
            <w:r w:rsidR="009F72E4">
              <w:rPr>
                <w:rFonts w:ascii="Times New Roman" w:eastAsia="Times New Roman" w:hAnsi="Times New Roman"/>
                <w:sz w:val="24"/>
                <w:szCs w:val="24"/>
              </w:rPr>
              <w:t>r</w:t>
            </w:r>
            <w:r w:rsidR="003A5748">
              <w:rPr>
                <w:rFonts w:ascii="Times New Roman" w:eastAsia="Times New Roman" w:hAnsi="Times New Roman"/>
                <w:sz w:val="24"/>
                <w:szCs w:val="24"/>
              </w:rPr>
              <w:t>. p. k</w:t>
            </w:r>
            <w:r w:rsidRPr="006C3C73">
              <w:rPr>
                <w:rFonts w:ascii="Times New Roman" w:eastAsia="Times New Roman" w:hAnsi="Times New Roman"/>
                <w:sz w:val="24"/>
                <w:szCs w:val="24"/>
              </w:rPr>
              <w:t>.</w:t>
            </w:r>
          </w:p>
        </w:tc>
        <w:tc>
          <w:tcPr>
            <w:tcW w:w="1701" w:type="dxa"/>
            <w:shd w:val="clear" w:color="auto" w:fill="auto"/>
          </w:tcPr>
          <w:p w14:paraId="3F8994E5" w14:textId="481B6B71" w:rsidR="00452DA4" w:rsidRPr="006C3C73" w:rsidRDefault="00452DA4" w:rsidP="00153A7C">
            <w:pPr>
              <w:jc w:val="center"/>
              <w:rPr>
                <w:rFonts w:ascii="Times New Roman" w:eastAsia="Times New Roman" w:hAnsi="Times New Roman"/>
                <w:sz w:val="24"/>
                <w:szCs w:val="24"/>
              </w:rPr>
            </w:pPr>
            <w:r w:rsidRPr="006C3C73">
              <w:rPr>
                <w:rFonts w:ascii="Times New Roman" w:eastAsia="Times New Roman" w:hAnsi="Times New Roman"/>
                <w:sz w:val="24"/>
                <w:szCs w:val="24"/>
              </w:rPr>
              <w:t>Kombinētās nomenklatūras kods</w:t>
            </w:r>
            <w:r w:rsidR="00500DE1">
              <w:rPr>
                <w:rFonts w:ascii="Times New Roman" w:eastAsia="Times New Roman" w:hAnsi="Times New Roman"/>
                <w:sz w:val="24"/>
                <w:szCs w:val="24"/>
              </w:rPr>
              <w:t>*</w:t>
            </w:r>
          </w:p>
        </w:tc>
        <w:tc>
          <w:tcPr>
            <w:tcW w:w="6804" w:type="dxa"/>
            <w:shd w:val="clear" w:color="auto" w:fill="auto"/>
          </w:tcPr>
          <w:p w14:paraId="1C21E511" w14:textId="77777777" w:rsidR="00452DA4" w:rsidRPr="006C3C73" w:rsidRDefault="00452DA4" w:rsidP="00153A7C">
            <w:pPr>
              <w:rPr>
                <w:rFonts w:ascii="Times New Roman" w:eastAsia="Times New Roman" w:hAnsi="Times New Roman"/>
                <w:sz w:val="24"/>
                <w:szCs w:val="24"/>
              </w:rPr>
            </w:pPr>
          </w:p>
          <w:p w14:paraId="5B5D88C7" w14:textId="77777777" w:rsidR="00452DA4" w:rsidRPr="006C3C73" w:rsidRDefault="00452DA4" w:rsidP="00153A7C">
            <w:pPr>
              <w:jc w:val="center"/>
              <w:rPr>
                <w:rFonts w:ascii="Times New Roman" w:eastAsia="Times New Roman" w:hAnsi="Times New Roman"/>
                <w:sz w:val="24"/>
                <w:szCs w:val="24"/>
              </w:rPr>
            </w:pPr>
            <w:r w:rsidRPr="006C3C73">
              <w:rPr>
                <w:rFonts w:ascii="Times New Roman" w:eastAsia="Times New Roman" w:hAnsi="Times New Roman"/>
                <w:sz w:val="24"/>
                <w:szCs w:val="24"/>
              </w:rPr>
              <w:t>Nosaukums</w:t>
            </w:r>
          </w:p>
        </w:tc>
      </w:tr>
      <w:tr w:rsidR="00C54446" w:rsidRPr="006C3C73" w14:paraId="1ABA0B90" w14:textId="77777777" w:rsidTr="009F72E4">
        <w:trPr>
          <w:trHeight w:val="532"/>
        </w:trPr>
        <w:tc>
          <w:tcPr>
            <w:tcW w:w="709" w:type="dxa"/>
          </w:tcPr>
          <w:p w14:paraId="12877BCB"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1.</w:t>
            </w:r>
          </w:p>
        </w:tc>
        <w:tc>
          <w:tcPr>
            <w:tcW w:w="1701" w:type="dxa"/>
            <w:shd w:val="clear" w:color="auto" w:fill="auto"/>
          </w:tcPr>
          <w:p w14:paraId="72A4C826"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7207</w:t>
            </w:r>
          </w:p>
        </w:tc>
        <w:tc>
          <w:tcPr>
            <w:tcW w:w="6804" w:type="dxa"/>
            <w:shd w:val="clear" w:color="auto" w:fill="auto"/>
          </w:tcPr>
          <w:p w14:paraId="369F5CDB"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Dzelzs vai neleģētā tērauda pusfabrikāti</w:t>
            </w:r>
          </w:p>
        </w:tc>
      </w:tr>
      <w:tr w:rsidR="00C54446" w:rsidRPr="006C3C73" w14:paraId="6A29668A" w14:textId="77777777" w:rsidTr="009F72E4">
        <w:trPr>
          <w:trHeight w:val="532"/>
        </w:trPr>
        <w:tc>
          <w:tcPr>
            <w:tcW w:w="709" w:type="dxa"/>
          </w:tcPr>
          <w:p w14:paraId="6E5A4A28"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lastRenderedPageBreak/>
              <w:t>2.</w:t>
            </w:r>
          </w:p>
        </w:tc>
        <w:tc>
          <w:tcPr>
            <w:tcW w:w="1701" w:type="dxa"/>
            <w:shd w:val="clear" w:color="auto" w:fill="auto"/>
          </w:tcPr>
          <w:p w14:paraId="18DBDF3D"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7208</w:t>
            </w:r>
          </w:p>
        </w:tc>
        <w:tc>
          <w:tcPr>
            <w:tcW w:w="6804" w:type="dxa"/>
            <w:shd w:val="clear" w:color="auto" w:fill="auto"/>
          </w:tcPr>
          <w:p w14:paraId="460FE0A1"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Plakani dzelzs vai neleģētā tērauda velmējumi, ar platumu 600 mm vai vairāk, karsti velmēti, </w:t>
            </w:r>
            <w:proofErr w:type="spellStart"/>
            <w:r w:rsidRPr="006C3C73">
              <w:rPr>
                <w:rFonts w:ascii="Times New Roman" w:hAnsi="Times New Roman"/>
                <w:sz w:val="24"/>
                <w:szCs w:val="24"/>
              </w:rPr>
              <w:t>neplaķēti</w:t>
            </w:r>
            <w:proofErr w:type="spellEnd"/>
            <w:r w:rsidRPr="006C3C73">
              <w:rPr>
                <w:rFonts w:ascii="Times New Roman" w:hAnsi="Times New Roman"/>
                <w:sz w:val="24"/>
                <w:szCs w:val="24"/>
              </w:rPr>
              <w:t>, bez elektrolītiska vai cita pārklājuma</w:t>
            </w:r>
          </w:p>
        </w:tc>
      </w:tr>
      <w:tr w:rsidR="00C54446" w:rsidRPr="006C3C73" w14:paraId="7C57FA7E" w14:textId="77777777" w:rsidTr="009F72E4">
        <w:trPr>
          <w:trHeight w:val="532"/>
        </w:trPr>
        <w:tc>
          <w:tcPr>
            <w:tcW w:w="709" w:type="dxa"/>
          </w:tcPr>
          <w:p w14:paraId="514FA51B"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3.</w:t>
            </w:r>
          </w:p>
        </w:tc>
        <w:tc>
          <w:tcPr>
            <w:tcW w:w="1701" w:type="dxa"/>
            <w:shd w:val="clear" w:color="auto" w:fill="auto"/>
          </w:tcPr>
          <w:p w14:paraId="777DE901"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7209</w:t>
            </w:r>
          </w:p>
        </w:tc>
        <w:tc>
          <w:tcPr>
            <w:tcW w:w="6804" w:type="dxa"/>
            <w:shd w:val="clear" w:color="auto" w:fill="auto"/>
          </w:tcPr>
          <w:p w14:paraId="3460B04B"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Plakani dzelzs vai neleģētā tērauda velmējumi, ar platumu 600 mm vai vairāk, auksti velmēti (presēti aukstā stāvoklī), </w:t>
            </w:r>
            <w:proofErr w:type="spellStart"/>
            <w:r w:rsidRPr="006C3C73">
              <w:rPr>
                <w:rFonts w:ascii="Times New Roman" w:hAnsi="Times New Roman"/>
                <w:sz w:val="24"/>
                <w:szCs w:val="24"/>
              </w:rPr>
              <w:t>neplaķēti</w:t>
            </w:r>
            <w:proofErr w:type="spellEnd"/>
            <w:r w:rsidRPr="006C3C73">
              <w:rPr>
                <w:rFonts w:ascii="Times New Roman" w:hAnsi="Times New Roman"/>
                <w:sz w:val="24"/>
                <w:szCs w:val="24"/>
              </w:rPr>
              <w:t>, bez galvaniska vai cita pārklājuma</w:t>
            </w:r>
          </w:p>
        </w:tc>
      </w:tr>
      <w:tr w:rsidR="00C54446" w:rsidRPr="006C3C73" w14:paraId="0FCB6F74" w14:textId="77777777" w:rsidTr="009F72E4">
        <w:trPr>
          <w:trHeight w:val="532"/>
        </w:trPr>
        <w:tc>
          <w:tcPr>
            <w:tcW w:w="709" w:type="dxa"/>
          </w:tcPr>
          <w:p w14:paraId="5631BE64"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4.</w:t>
            </w:r>
          </w:p>
        </w:tc>
        <w:tc>
          <w:tcPr>
            <w:tcW w:w="1701" w:type="dxa"/>
            <w:shd w:val="clear" w:color="auto" w:fill="auto"/>
          </w:tcPr>
          <w:p w14:paraId="4D61DDAA"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7210</w:t>
            </w:r>
          </w:p>
        </w:tc>
        <w:tc>
          <w:tcPr>
            <w:tcW w:w="6804" w:type="dxa"/>
            <w:shd w:val="clear" w:color="auto" w:fill="auto"/>
          </w:tcPr>
          <w:p w14:paraId="3E81ACB5"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Plakani dzelzs un neleģētā tērauda velmējumi, ar platumu 600 mm vai vairāk, </w:t>
            </w:r>
            <w:proofErr w:type="spellStart"/>
            <w:r w:rsidRPr="006C3C73">
              <w:rPr>
                <w:rFonts w:ascii="Times New Roman" w:hAnsi="Times New Roman"/>
                <w:sz w:val="24"/>
                <w:szCs w:val="24"/>
              </w:rPr>
              <w:t>plaķēti</w:t>
            </w:r>
            <w:proofErr w:type="spellEnd"/>
            <w:r w:rsidRPr="006C3C73">
              <w:rPr>
                <w:rFonts w:ascii="Times New Roman" w:hAnsi="Times New Roman"/>
                <w:sz w:val="24"/>
                <w:szCs w:val="24"/>
              </w:rPr>
              <w:t>, ar elektrolītisku vai citu pārklājumu</w:t>
            </w:r>
          </w:p>
        </w:tc>
      </w:tr>
      <w:tr w:rsidR="00C54446" w:rsidRPr="006C3C73" w14:paraId="013A7B8A" w14:textId="77777777" w:rsidTr="009F72E4">
        <w:trPr>
          <w:trHeight w:val="532"/>
        </w:trPr>
        <w:tc>
          <w:tcPr>
            <w:tcW w:w="709" w:type="dxa"/>
          </w:tcPr>
          <w:p w14:paraId="0A7F6480"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5.</w:t>
            </w:r>
          </w:p>
        </w:tc>
        <w:tc>
          <w:tcPr>
            <w:tcW w:w="1701" w:type="dxa"/>
            <w:shd w:val="clear" w:color="auto" w:fill="auto"/>
          </w:tcPr>
          <w:p w14:paraId="543F2E2F"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7211</w:t>
            </w:r>
          </w:p>
        </w:tc>
        <w:tc>
          <w:tcPr>
            <w:tcW w:w="6804" w:type="dxa"/>
            <w:shd w:val="clear" w:color="auto" w:fill="auto"/>
          </w:tcPr>
          <w:p w14:paraId="16DB96F2"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Plakani dzelzs un neleģētā tērauda velmējumi, ar platumu mazāk nekā 600 mm, </w:t>
            </w:r>
            <w:proofErr w:type="spellStart"/>
            <w:r w:rsidRPr="006C3C73">
              <w:rPr>
                <w:rFonts w:ascii="Times New Roman" w:hAnsi="Times New Roman"/>
                <w:sz w:val="24"/>
                <w:szCs w:val="24"/>
              </w:rPr>
              <w:t>neplaķēti</w:t>
            </w:r>
            <w:proofErr w:type="spellEnd"/>
            <w:r w:rsidRPr="006C3C73">
              <w:rPr>
                <w:rFonts w:ascii="Times New Roman" w:hAnsi="Times New Roman"/>
                <w:sz w:val="24"/>
                <w:szCs w:val="24"/>
              </w:rPr>
              <w:t>, bez elektrolītiska vai cita pārklājuma</w:t>
            </w:r>
          </w:p>
        </w:tc>
      </w:tr>
      <w:tr w:rsidR="00C54446" w:rsidRPr="006C3C73" w14:paraId="060629D0" w14:textId="77777777" w:rsidTr="009F72E4">
        <w:trPr>
          <w:trHeight w:val="532"/>
        </w:trPr>
        <w:tc>
          <w:tcPr>
            <w:tcW w:w="709" w:type="dxa"/>
          </w:tcPr>
          <w:p w14:paraId="3BA20465"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6.</w:t>
            </w:r>
          </w:p>
        </w:tc>
        <w:tc>
          <w:tcPr>
            <w:tcW w:w="1701" w:type="dxa"/>
            <w:shd w:val="clear" w:color="auto" w:fill="auto"/>
          </w:tcPr>
          <w:p w14:paraId="518F776D"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7212</w:t>
            </w:r>
          </w:p>
        </w:tc>
        <w:tc>
          <w:tcPr>
            <w:tcW w:w="6804" w:type="dxa"/>
            <w:shd w:val="clear" w:color="auto" w:fill="auto"/>
          </w:tcPr>
          <w:p w14:paraId="07E562A6"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Plakani dzelzs un neleģētā tērauda velmējumi, ar platumu mazāk nekā 600 mm, </w:t>
            </w:r>
            <w:proofErr w:type="spellStart"/>
            <w:r w:rsidRPr="006C3C73">
              <w:rPr>
                <w:rFonts w:ascii="Times New Roman" w:hAnsi="Times New Roman"/>
                <w:sz w:val="24"/>
                <w:szCs w:val="24"/>
              </w:rPr>
              <w:t>plaķēti</w:t>
            </w:r>
            <w:proofErr w:type="spellEnd"/>
            <w:r w:rsidRPr="006C3C73">
              <w:rPr>
                <w:rFonts w:ascii="Times New Roman" w:hAnsi="Times New Roman"/>
                <w:sz w:val="24"/>
                <w:szCs w:val="24"/>
              </w:rPr>
              <w:t>, ar elektrolītisku vai citu pārklājumu</w:t>
            </w:r>
          </w:p>
        </w:tc>
      </w:tr>
      <w:tr w:rsidR="00C54446" w:rsidRPr="006C3C73" w14:paraId="057E906D" w14:textId="77777777" w:rsidTr="009F72E4">
        <w:trPr>
          <w:trHeight w:val="532"/>
        </w:trPr>
        <w:tc>
          <w:tcPr>
            <w:tcW w:w="709" w:type="dxa"/>
          </w:tcPr>
          <w:p w14:paraId="357ECA2F"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7.</w:t>
            </w:r>
          </w:p>
        </w:tc>
        <w:tc>
          <w:tcPr>
            <w:tcW w:w="1701" w:type="dxa"/>
            <w:shd w:val="clear" w:color="auto" w:fill="auto"/>
          </w:tcPr>
          <w:p w14:paraId="5C1F3AB3"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7213</w:t>
            </w:r>
          </w:p>
        </w:tc>
        <w:tc>
          <w:tcPr>
            <w:tcW w:w="6804" w:type="dxa"/>
            <w:shd w:val="clear" w:color="auto" w:fill="auto"/>
          </w:tcPr>
          <w:p w14:paraId="351BC5C3"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Stieņi, karsti velmēti, brīvi tītos saišķos, no dzelzs vai neleģētā tērauda</w:t>
            </w:r>
          </w:p>
        </w:tc>
      </w:tr>
      <w:tr w:rsidR="00C54446" w:rsidRPr="006C3C73" w14:paraId="05DABC00" w14:textId="77777777" w:rsidTr="009F72E4">
        <w:trPr>
          <w:trHeight w:val="532"/>
        </w:trPr>
        <w:tc>
          <w:tcPr>
            <w:tcW w:w="709" w:type="dxa"/>
          </w:tcPr>
          <w:p w14:paraId="63775D1E"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8.</w:t>
            </w:r>
          </w:p>
        </w:tc>
        <w:tc>
          <w:tcPr>
            <w:tcW w:w="1701" w:type="dxa"/>
            <w:shd w:val="clear" w:color="auto" w:fill="auto"/>
          </w:tcPr>
          <w:p w14:paraId="753C3896"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7214</w:t>
            </w:r>
          </w:p>
        </w:tc>
        <w:tc>
          <w:tcPr>
            <w:tcW w:w="6804" w:type="dxa"/>
            <w:shd w:val="clear" w:color="auto" w:fill="auto"/>
          </w:tcPr>
          <w:p w14:paraId="2253D9E4"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Citādi dzelzs un neleģētā tērauda stieņi, bez turpmākas apstrādes pēc kalšanas, karstās velmēšanas, karstās stiepšanas vai karstās presēšanas, taču ieskaitot pēc velmēšanas liektus stieņus</w:t>
            </w:r>
          </w:p>
        </w:tc>
      </w:tr>
      <w:tr w:rsidR="00C54446" w:rsidRPr="006C3C73" w14:paraId="47A6AA2E" w14:textId="77777777" w:rsidTr="009F72E4">
        <w:trPr>
          <w:trHeight w:val="532"/>
        </w:trPr>
        <w:tc>
          <w:tcPr>
            <w:tcW w:w="709" w:type="dxa"/>
          </w:tcPr>
          <w:p w14:paraId="336AFA02"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9.</w:t>
            </w:r>
          </w:p>
        </w:tc>
        <w:tc>
          <w:tcPr>
            <w:tcW w:w="1701" w:type="dxa"/>
            <w:shd w:val="clear" w:color="auto" w:fill="auto"/>
          </w:tcPr>
          <w:p w14:paraId="2A05E66F"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7215</w:t>
            </w:r>
          </w:p>
        </w:tc>
        <w:tc>
          <w:tcPr>
            <w:tcW w:w="6804" w:type="dxa"/>
            <w:shd w:val="clear" w:color="auto" w:fill="auto"/>
          </w:tcPr>
          <w:p w14:paraId="3F6603A5"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Citādi dzelzs un neleģētā tērauda stieņi</w:t>
            </w:r>
          </w:p>
        </w:tc>
      </w:tr>
      <w:tr w:rsidR="00C54446" w:rsidRPr="006C3C73" w14:paraId="76157906" w14:textId="77777777" w:rsidTr="009F72E4">
        <w:trPr>
          <w:trHeight w:val="532"/>
        </w:trPr>
        <w:tc>
          <w:tcPr>
            <w:tcW w:w="709" w:type="dxa"/>
          </w:tcPr>
          <w:p w14:paraId="5FDB8D5C" w14:textId="77777777" w:rsidR="00D14A38" w:rsidRPr="006C3C73" w:rsidRDefault="00D14A38" w:rsidP="00D14A38">
            <w:pPr>
              <w:rPr>
                <w:rFonts w:ascii="Times New Roman" w:hAnsi="Times New Roman"/>
                <w:sz w:val="24"/>
                <w:szCs w:val="24"/>
              </w:rPr>
            </w:pPr>
            <w:r w:rsidRPr="006C3C73">
              <w:rPr>
                <w:rFonts w:ascii="Times New Roman" w:hAnsi="Times New Roman"/>
                <w:sz w:val="24"/>
                <w:szCs w:val="24"/>
              </w:rPr>
              <w:t>10.</w:t>
            </w:r>
          </w:p>
        </w:tc>
        <w:tc>
          <w:tcPr>
            <w:tcW w:w="1701" w:type="dxa"/>
            <w:shd w:val="clear" w:color="auto" w:fill="auto"/>
          </w:tcPr>
          <w:p w14:paraId="04CAFCC9"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7216</w:t>
            </w:r>
          </w:p>
        </w:tc>
        <w:tc>
          <w:tcPr>
            <w:tcW w:w="6804" w:type="dxa"/>
            <w:shd w:val="clear" w:color="auto" w:fill="auto"/>
          </w:tcPr>
          <w:p w14:paraId="7A504FE2"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Dzelzs un neleģētā tērauda leņķi, </w:t>
            </w:r>
            <w:proofErr w:type="spellStart"/>
            <w:r w:rsidRPr="006C3C73">
              <w:rPr>
                <w:rFonts w:ascii="Times New Roman" w:hAnsi="Times New Roman"/>
                <w:sz w:val="24"/>
                <w:szCs w:val="24"/>
              </w:rPr>
              <w:t>fasonprofili</w:t>
            </w:r>
            <w:proofErr w:type="spellEnd"/>
            <w:r w:rsidRPr="006C3C73">
              <w:rPr>
                <w:rFonts w:ascii="Times New Roman" w:hAnsi="Times New Roman"/>
                <w:sz w:val="24"/>
                <w:szCs w:val="24"/>
              </w:rPr>
              <w:t xml:space="preserve"> un speciālie profili</w:t>
            </w:r>
          </w:p>
        </w:tc>
      </w:tr>
      <w:tr w:rsidR="00C54446" w:rsidRPr="006C3C73" w14:paraId="642877EA" w14:textId="77777777" w:rsidTr="009F72E4">
        <w:trPr>
          <w:trHeight w:val="532"/>
        </w:trPr>
        <w:tc>
          <w:tcPr>
            <w:tcW w:w="709" w:type="dxa"/>
          </w:tcPr>
          <w:p w14:paraId="30D0D8FC" w14:textId="77777777" w:rsidR="00D14A38" w:rsidRPr="006C3C73" w:rsidRDefault="00D14A38" w:rsidP="00080C20">
            <w:pPr>
              <w:rPr>
                <w:rFonts w:ascii="Times New Roman" w:hAnsi="Times New Roman"/>
                <w:sz w:val="24"/>
                <w:szCs w:val="24"/>
              </w:rPr>
            </w:pPr>
            <w:r w:rsidRPr="006C3C73">
              <w:rPr>
                <w:rFonts w:ascii="Times New Roman" w:hAnsi="Times New Roman"/>
                <w:sz w:val="24"/>
                <w:szCs w:val="24"/>
              </w:rPr>
              <w:t>1</w:t>
            </w:r>
            <w:r w:rsidR="00080C20" w:rsidRPr="006C3C73">
              <w:rPr>
                <w:rFonts w:ascii="Times New Roman" w:hAnsi="Times New Roman"/>
                <w:sz w:val="24"/>
                <w:szCs w:val="24"/>
              </w:rPr>
              <w:t>1</w:t>
            </w:r>
            <w:r w:rsidRPr="006C3C73">
              <w:rPr>
                <w:rFonts w:ascii="Times New Roman" w:hAnsi="Times New Roman"/>
                <w:sz w:val="24"/>
                <w:szCs w:val="24"/>
              </w:rPr>
              <w:t>.</w:t>
            </w:r>
          </w:p>
        </w:tc>
        <w:tc>
          <w:tcPr>
            <w:tcW w:w="1701" w:type="dxa"/>
            <w:shd w:val="clear" w:color="auto" w:fill="auto"/>
          </w:tcPr>
          <w:p w14:paraId="5721147C"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7218</w:t>
            </w:r>
          </w:p>
        </w:tc>
        <w:tc>
          <w:tcPr>
            <w:tcW w:w="6804" w:type="dxa"/>
            <w:shd w:val="clear" w:color="auto" w:fill="auto"/>
          </w:tcPr>
          <w:p w14:paraId="2B1BCA31"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Nerūsējošais tērauds lietņos vai citās </w:t>
            </w:r>
            <w:proofErr w:type="spellStart"/>
            <w:r w:rsidRPr="006C3C73">
              <w:rPr>
                <w:rFonts w:ascii="Times New Roman" w:hAnsi="Times New Roman"/>
                <w:sz w:val="24"/>
                <w:szCs w:val="24"/>
              </w:rPr>
              <w:t>pirmformās</w:t>
            </w:r>
            <w:proofErr w:type="spellEnd"/>
            <w:r w:rsidRPr="006C3C73">
              <w:rPr>
                <w:rFonts w:ascii="Times New Roman" w:hAnsi="Times New Roman"/>
                <w:sz w:val="24"/>
                <w:szCs w:val="24"/>
              </w:rPr>
              <w:t>; nerūsējošā tērauda pusfabrikāti</w:t>
            </w:r>
          </w:p>
        </w:tc>
      </w:tr>
      <w:tr w:rsidR="00C54446" w:rsidRPr="006C3C73" w14:paraId="4AE76CEE" w14:textId="77777777" w:rsidTr="009F72E4">
        <w:trPr>
          <w:trHeight w:val="532"/>
        </w:trPr>
        <w:tc>
          <w:tcPr>
            <w:tcW w:w="709" w:type="dxa"/>
          </w:tcPr>
          <w:p w14:paraId="7F8D3C19" w14:textId="77777777" w:rsidR="00D14A38" w:rsidRPr="006C3C73" w:rsidRDefault="00D14A38" w:rsidP="00080C20">
            <w:pPr>
              <w:rPr>
                <w:rFonts w:ascii="Times New Roman" w:hAnsi="Times New Roman"/>
                <w:sz w:val="24"/>
                <w:szCs w:val="24"/>
              </w:rPr>
            </w:pPr>
            <w:r w:rsidRPr="006C3C73">
              <w:rPr>
                <w:rFonts w:ascii="Times New Roman" w:hAnsi="Times New Roman"/>
                <w:sz w:val="24"/>
                <w:szCs w:val="24"/>
              </w:rPr>
              <w:t>1</w:t>
            </w:r>
            <w:r w:rsidR="00080C20" w:rsidRPr="006C3C73">
              <w:rPr>
                <w:rFonts w:ascii="Times New Roman" w:hAnsi="Times New Roman"/>
                <w:sz w:val="24"/>
                <w:szCs w:val="24"/>
              </w:rPr>
              <w:t>2</w:t>
            </w:r>
            <w:r w:rsidRPr="006C3C73">
              <w:rPr>
                <w:rFonts w:ascii="Times New Roman" w:hAnsi="Times New Roman"/>
                <w:sz w:val="24"/>
                <w:szCs w:val="24"/>
              </w:rPr>
              <w:t>.</w:t>
            </w:r>
          </w:p>
        </w:tc>
        <w:tc>
          <w:tcPr>
            <w:tcW w:w="1701" w:type="dxa"/>
            <w:shd w:val="clear" w:color="auto" w:fill="auto"/>
          </w:tcPr>
          <w:p w14:paraId="68478118"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7219</w:t>
            </w:r>
          </w:p>
        </w:tc>
        <w:tc>
          <w:tcPr>
            <w:tcW w:w="6804" w:type="dxa"/>
            <w:shd w:val="clear" w:color="auto" w:fill="auto"/>
          </w:tcPr>
          <w:p w14:paraId="1A3052DB"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Plakani nerūsējošā tērauda velmējumi, ar platumu 600 mm vai vairāk</w:t>
            </w:r>
          </w:p>
        </w:tc>
      </w:tr>
      <w:tr w:rsidR="00C54446" w:rsidRPr="006C3C73" w14:paraId="6A482059" w14:textId="77777777" w:rsidTr="009F72E4">
        <w:trPr>
          <w:trHeight w:val="532"/>
        </w:trPr>
        <w:tc>
          <w:tcPr>
            <w:tcW w:w="709" w:type="dxa"/>
          </w:tcPr>
          <w:p w14:paraId="2B4ACA58" w14:textId="77777777" w:rsidR="00D14A38" w:rsidRPr="006C3C73" w:rsidRDefault="00D14A38" w:rsidP="00080C20">
            <w:pPr>
              <w:rPr>
                <w:rFonts w:ascii="Times New Roman" w:hAnsi="Times New Roman"/>
                <w:sz w:val="24"/>
                <w:szCs w:val="24"/>
              </w:rPr>
            </w:pPr>
            <w:r w:rsidRPr="006C3C73">
              <w:rPr>
                <w:rFonts w:ascii="Times New Roman" w:hAnsi="Times New Roman"/>
                <w:sz w:val="24"/>
                <w:szCs w:val="24"/>
              </w:rPr>
              <w:t>1</w:t>
            </w:r>
            <w:r w:rsidR="00080C20" w:rsidRPr="006C3C73">
              <w:rPr>
                <w:rFonts w:ascii="Times New Roman" w:hAnsi="Times New Roman"/>
                <w:sz w:val="24"/>
                <w:szCs w:val="24"/>
              </w:rPr>
              <w:t>3</w:t>
            </w:r>
            <w:r w:rsidRPr="006C3C73">
              <w:rPr>
                <w:rFonts w:ascii="Times New Roman" w:hAnsi="Times New Roman"/>
                <w:sz w:val="24"/>
                <w:szCs w:val="24"/>
              </w:rPr>
              <w:t>.</w:t>
            </w:r>
          </w:p>
        </w:tc>
        <w:tc>
          <w:tcPr>
            <w:tcW w:w="1701" w:type="dxa"/>
            <w:shd w:val="clear" w:color="auto" w:fill="auto"/>
          </w:tcPr>
          <w:p w14:paraId="6F414A50"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7220</w:t>
            </w:r>
          </w:p>
        </w:tc>
        <w:tc>
          <w:tcPr>
            <w:tcW w:w="6804" w:type="dxa"/>
            <w:shd w:val="clear" w:color="auto" w:fill="auto"/>
          </w:tcPr>
          <w:p w14:paraId="36CCCFAE"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Plakani nerūsējošā tērauda velmējumi, ar platumu mazāk nekā 600 mm</w:t>
            </w:r>
          </w:p>
        </w:tc>
      </w:tr>
      <w:tr w:rsidR="00C54446" w:rsidRPr="006C3C73" w14:paraId="44C1F1BC" w14:textId="77777777" w:rsidTr="009F72E4">
        <w:trPr>
          <w:trHeight w:val="532"/>
        </w:trPr>
        <w:tc>
          <w:tcPr>
            <w:tcW w:w="709" w:type="dxa"/>
          </w:tcPr>
          <w:p w14:paraId="6C0DE3E0" w14:textId="77777777" w:rsidR="00D14A38" w:rsidRPr="006C3C73" w:rsidRDefault="00D14A38" w:rsidP="00080C20">
            <w:pPr>
              <w:rPr>
                <w:rFonts w:ascii="Times New Roman" w:hAnsi="Times New Roman"/>
                <w:sz w:val="24"/>
                <w:szCs w:val="24"/>
              </w:rPr>
            </w:pPr>
            <w:r w:rsidRPr="006C3C73">
              <w:rPr>
                <w:rFonts w:ascii="Times New Roman" w:hAnsi="Times New Roman"/>
                <w:sz w:val="24"/>
                <w:szCs w:val="24"/>
              </w:rPr>
              <w:t>1</w:t>
            </w:r>
            <w:r w:rsidR="00080C20" w:rsidRPr="006C3C73">
              <w:rPr>
                <w:rFonts w:ascii="Times New Roman" w:hAnsi="Times New Roman"/>
                <w:sz w:val="24"/>
                <w:szCs w:val="24"/>
              </w:rPr>
              <w:t>4</w:t>
            </w:r>
            <w:r w:rsidRPr="006C3C73">
              <w:rPr>
                <w:rFonts w:ascii="Times New Roman" w:hAnsi="Times New Roman"/>
                <w:sz w:val="24"/>
                <w:szCs w:val="24"/>
              </w:rPr>
              <w:t>.</w:t>
            </w:r>
          </w:p>
        </w:tc>
        <w:tc>
          <w:tcPr>
            <w:tcW w:w="1701" w:type="dxa"/>
            <w:shd w:val="clear" w:color="auto" w:fill="auto"/>
          </w:tcPr>
          <w:p w14:paraId="6BEBF7A4"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7222</w:t>
            </w:r>
          </w:p>
        </w:tc>
        <w:tc>
          <w:tcPr>
            <w:tcW w:w="6804" w:type="dxa"/>
            <w:shd w:val="clear" w:color="auto" w:fill="auto"/>
          </w:tcPr>
          <w:p w14:paraId="568844BD"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Citi nerūsējošā tērauda stieņi; leņķi, </w:t>
            </w:r>
            <w:proofErr w:type="spellStart"/>
            <w:r w:rsidRPr="006C3C73">
              <w:rPr>
                <w:rFonts w:ascii="Times New Roman" w:hAnsi="Times New Roman"/>
                <w:sz w:val="24"/>
                <w:szCs w:val="24"/>
              </w:rPr>
              <w:t>fasonprofili</w:t>
            </w:r>
            <w:proofErr w:type="spellEnd"/>
            <w:r w:rsidRPr="006C3C73">
              <w:rPr>
                <w:rFonts w:ascii="Times New Roman" w:hAnsi="Times New Roman"/>
                <w:sz w:val="24"/>
                <w:szCs w:val="24"/>
              </w:rPr>
              <w:t xml:space="preserve"> un speciālie profili no nerūsējošā tērauda</w:t>
            </w:r>
          </w:p>
        </w:tc>
      </w:tr>
      <w:tr w:rsidR="00C54446" w:rsidRPr="006C3C73" w14:paraId="08719612" w14:textId="77777777" w:rsidTr="009F72E4">
        <w:trPr>
          <w:trHeight w:val="547"/>
        </w:trPr>
        <w:tc>
          <w:tcPr>
            <w:tcW w:w="709" w:type="dxa"/>
          </w:tcPr>
          <w:p w14:paraId="5F63826D" w14:textId="77777777" w:rsidR="00D14A38" w:rsidRPr="006C3C73" w:rsidRDefault="00D14A38" w:rsidP="00080C20">
            <w:pPr>
              <w:rPr>
                <w:rFonts w:ascii="Times New Roman" w:hAnsi="Times New Roman"/>
                <w:sz w:val="24"/>
                <w:szCs w:val="24"/>
              </w:rPr>
            </w:pPr>
            <w:r w:rsidRPr="006C3C73">
              <w:rPr>
                <w:rFonts w:ascii="Times New Roman" w:hAnsi="Times New Roman"/>
                <w:sz w:val="24"/>
                <w:szCs w:val="24"/>
              </w:rPr>
              <w:t>1</w:t>
            </w:r>
            <w:r w:rsidR="00080C20" w:rsidRPr="006C3C73">
              <w:rPr>
                <w:rFonts w:ascii="Times New Roman" w:hAnsi="Times New Roman"/>
                <w:sz w:val="24"/>
                <w:szCs w:val="24"/>
              </w:rPr>
              <w:t>5</w:t>
            </w:r>
            <w:r w:rsidRPr="006C3C73">
              <w:rPr>
                <w:rFonts w:ascii="Times New Roman" w:hAnsi="Times New Roman"/>
                <w:sz w:val="24"/>
                <w:szCs w:val="24"/>
              </w:rPr>
              <w:t>.</w:t>
            </w:r>
          </w:p>
        </w:tc>
        <w:tc>
          <w:tcPr>
            <w:tcW w:w="1701" w:type="dxa"/>
            <w:shd w:val="clear" w:color="auto" w:fill="auto"/>
          </w:tcPr>
          <w:p w14:paraId="078F743B"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7224</w:t>
            </w:r>
          </w:p>
        </w:tc>
        <w:tc>
          <w:tcPr>
            <w:tcW w:w="6804" w:type="dxa"/>
            <w:shd w:val="clear" w:color="auto" w:fill="auto"/>
          </w:tcPr>
          <w:p w14:paraId="256AACBD"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Citāds leģētais tērauds lietņos vai citās </w:t>
            </w:r>
            <w:proofErr w:type="spellStart"/>
            <w:r w:rsidRPr="006C3C73">
              <w:rPr>
                <w:rFonts w:ascii="Times New Roman" w:hAnsi="Times New Roman"/>
                <w:sz w:val="24"/>
                <w:szCs w:val="24"/>
              </w:rPr>
              <w:t>pirmformās</w:t>
            </w:r>
            <w:proofErr w:type="spellEnd"/>
            <w:r w:rsidRPr="006C3C73">
              <w:rPr>
                <w:rFonts w:ascii="Times New Roman" w:hAnsi="Times New Roman"/>
                <w:sz w:val="24"/>
                <w:szCs w:val="24"/>
              </w:rPr>
              <w:t>; citāda nerūsējošā tērauda pusfabrikāti</w:t>
            </w:r>
          </w:p>
        </w:tc>
      </w:tr>
      <w:tr w:rsidR="00C54446" w:rsidRPr="006C3C73" w14:paraId="315B6A6D" w14:textId="77777777" w:rsidTr="009F72E4">
        <w:trPr>
          <w:trHeight w:val="532"/>
        </w:trPr>
        <w:tc>
          <w:tcPr>
            <w:tcW w:w="709" w:type="dxa"/>
          </w:tcPr>
          <w:p w14:paraId="0896E7FD" w14:textId="77777777" w:rsidR="00D14A38" w:rsidRPr="006C3C73" w:rsidRDefault="00D14A38" w:rsidP="00080C20">
            <w:pPr>
              <w:rPr>
                <w:rFonts w:ascii="Times New Roman" w:hAnsi="Times New Roman"/>
                <w:sz w:val="24"/>
                <w:szCs w:val="24"/>
              </w:rPr>
            </w:pPr>
            <w:r w:rsidRPr="006C3C73">
              <w:rPr>
                <w:rFonts w:ascii="Times New Roman" w:hAnsi="Times New Roman"/>
                <w:sz w:val="24"/>
                <w:szCs w:val="24"/>
              </w:rPr>
              <w:t>1</w:t>
            </w:r>
            <w:r w:rsidR="00080C20" w:rsidRPr="006C3C73">
              <w:rPr>
                <w:rFonts w:ascii="Times New Roman" w:hAnsi="Times New Roman"/>
                <w:sz w:val="24"/>
                <w:szCs w:val="24"/>
              </w:rPr>
              <w:t>6</w:t>
            </w:r>
            <w:r w:rsidRPr="006C3C73">
              <w:rPr>
                <w:rFonts w:ascii="Times New Roman" w:hAnsi="Times New Roman"/>
                <w:sz w:val="24"/>
                <w:szCs w:val="24"/>
              </w:rPr>
              <w:t>.</w:t>
            </w:r>
          </w:p>
        </w:tc>
        <w:tc>
          <w:tcPr>
            <w:tcW w:w="1701" w:type="dxa"/>
            <w:shd w:val="clear" w:color="auto" w:fill="auto"/>
          </w:tcPr>
          <w:p w14:paraId="204E9846"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7225</w:t>
            </w:r>
          </w:p>
        </w:tc>
        <w:tc>
          <w:tcPr>
            <w:tcW w:w="6804" w:type="dxa"/>
            <w:shd w:val="clear" w:color="auto" w:fill="auto"/>
          </w:tcPr>
          <w:p w14:paraId="02347439"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Plakani citādu leģēto tēraudu velmējumi, ar platumu 600 mm vai vairāk</w:t>
            </w:r>
          </w:p>
        </w:tc>
      </w:tr>
      <w:tr w:rsidR="00C54446" w:rsidRPr="006C3C73" w14:paraId="0D5DE718" w14:textId="77777777" w:rsidTr="009F72E4">
        <w:trPr>
          <w:trHeight w:val="532"/>
        </w:trPr>
        <w:tc>
          <w:tcPr>
            <w:tcW w:w="709" w:type="dxa"/>
          </w:tcPr>
          <w:p w14:paraId="1B0EA886" w14:textId="77777777" w:rsidR="00D14A38" w:rsidRPr="006C3C73" w:rsidRDefault="00080C20" w:rsidP="00D14A38">
            <w:pPr>
              <w:rPr>
                <w:rFonts w:ascii="Times New Roman" w:hAnsi="Times New Roman"/>
                <w:sz w:val="24"/>
                <w:szCs w:val="24"/>
              </w:rPr>
            </w:pPr>
            <w:r w:rsidRPr="006C3C73">
              <w:rPr>
                <w:rFonts w:ascii="Times New Roman" w:hAnsi="Times New Roman"/>
                <w:sz w:val="24"/>
                <w:szCs w:val="24"/>
              </w:rPr>
              <w:t>17</w:t>
            </w:r>
            <w:r w:rsidR="00D14A38" w:rsidRPr="006C3C73">
              <w:rPr>
                <w:rFonts w:ascii="Times New Roman" w:hAnsi="Times New Roman"/>
                <w:sz w:val="24"/>
                <w:szCs w:val="24"/>
              </w:rPr>
              <w:t>.</w:t>
            </w:r>
          </w:p>
        </w:tc>
        <w:tc>
          <w:tcPr>
            <w:tcW w:w="1701" w:type="dxa"/>
            <w:shd w:val="clear" w:color="auto" w:fill="auto"/>
          </w:tcPr>
          <w:p w14:paraId="1C63EDC1"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7226</w:t>
            </w:r>
          </w:p>
        </w:tc>
        <w:tc>
          <w:tcPr>
            <w:tcW w:w="6804" w:type="dxa"/>
            <w:shd w:val="clear" w:color="auto" w:fill="auto"/>
          </w:tcPr>
          <w:p w14:paraId="40A4CD1F"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Plakani citu leģēto tēraudu velmējumi, ar platumu mazāk nekā 600 mm</w:t>
            </w:r>
          </w:p>
        </w:tc>
      </w:tr>
      <w:tr w:rsidR="00C54446" w:rsidRPr="006C3C73" w14:paraId="787F5929" w14:textId="77777777" w:rsidTr="009F72E4">
        <w:trPr>
          <w:trHeight w:val="532"/>
        </w:trPr>
        <w:tc>
          <w:tcPr>
            <w:tcW w:w="709" w:type="dxa"/>
          </w:tcPr>
          <w:p w14:paraId="66774C79" w14:textId="77777777" w:rsidR="00D14A38" w:rsidRPr="006C3C73" w:rsidRDefault="00080C20" w:rsidP="00D14A38">
            <w:pPr>
              <w:rPr>
                <w:rFonts w:ascii="Times New Roman" w:hAnsi="Times New Roman"/>
                <w:sz w:val="24"/>
                <w:szCs w:val="24"/>
              </w:rPr>
            </w:pPr>
            <w:r w:rsidRPr="006C3C73">
              <w:rPr>
                <w:rFonts w:ascii="Times New Roman" w:hAnsi="Times New Roman"/>
                <w:sz w:val="24"/>
                <w:szCs w:val="24"/>
              </w:rPr>
              <w:t>18</w:t>
            </w:r>
            <w:r w:rsidR="00D14A38" w:rsidRPr="006C3C73">
              <w:rPr>
                <w:rFonts w:ascii="Times New Roman" w:hAnsi="Times New Roman"/>
                <w:sz w:val="24"/>
                <w:szCs w:val="24"/>
              </w:rPr>
              <w:t>.</w:t>
            </w:r>
          </w:p>
        </w:tc>
        <w:tc>
          <w:tcPr>
            <w:tcW w:w="1701" w:type="dxa"/>
            <w:shd w:val="clear" w:color="auto" w:fill="auto"/>
          </w:tcPr>
          <w:p w14:paraId="09BDA61C"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7228</w:t>
            </w:r>
          </w:p>
        </w:tc>
        <w:tc>
          <w:tcPr>
            <w:tcW w:w="6804" w:type="dxa"/>
            <w:shd w:val="clear" w:color="auto" w:fill="auto"/>
          </w:tcPr>
          <w:p w14:paraId="4B9A4614"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 xml:space="preserve">Citu leģēto tēraudu stieņi; citu leģēto tēraudu leņķi, </w:t>
            </w:r>
            <w:proofErr w:type="spellStart"/>
            <w:r w:rsidRPr="006C3C73">
              <w:rPr>
                <w:rFonts w:ascii="Times New Roman" w:hAnsi="Times New Roman"/>
                <w:sz w:val="24"/>
                <w:szCs w:val="24"/>
              </w:rPr>
              <w:t>fasonprofili</w:t>
            </w:r>
            <w:proofErr w:type="spellEnd"/>
            <w:r w:rsidRPr="006C3C73">
              <w:rPr>
                <w:rFonts w:ascii="Times New Roman" w:hAnsi="Times New Roman"/>
                <w:sz w:val="24"/>
                <w:szCs w:val="24"/>
              </w:rPr>
              <w:t xml:space="preserve"> un speciālie profili; dobi leģētā un neleģētā tērauda stieņi</w:t>
            </w:r>
          </w:p>
        </w:tc>
      </w:tr>
      <w:tr w:rsidR="00C54446" w:rsidRPr="006C3C73" w14:paraId="5A6A628F" w14:textId="77777777" w:rsidTr="009F72E4">
        <w:trPr>
          <w:trHeight w:val="532"/>
        </w:trPr>
        <w:tc>
          <w:tcPr>
            <w:tcW w:w="709" w:type="dxa"/>
          </w:tcPr>
          <w:p w14:paraId="488C6950" w14:textId="77777777" w:rsidR="00D14A38" w:rsidRPr="006C3C73" w:rsidRDefault="00080C20" w:rsidP="00D14A38">
            <w:pPr>
              <w:rPr>
                <w:rFonts w:ascii="Times New Roman" w:hAnsi="Times New Roman"/>
                <w:sz w:val="24"/>
                <w:szCs w:val="24"/>
              </w:rPr>
            </w:pPr>
            <w:r w:rsidRPr="006C3C73">
              <w:rPr>
                <w:rFonts w:ascii="Times New Roman" w:hAnsi="Times New Roman"/>
                <w:sz w:val="24"/>
                <w:szCs w:val="24"/>
              </w:rPr>
              <w:t>19</w:t>
            </w:r>
            <w:r w:rsidR="00D14A38" w:rsidRPr="006C3C73">
              <w:rPr>
                <w:rFonts w:ascii="Times New Roman" w:hAnsi="Times New Roman"/>
                <w:sz w:val="24"/>
                <w:szCs w:val="24"/>
              </w:rPr>
              <w:t>.</w:t>
            </w:r>
          </w:p>
        </w:tc>
        <w:tc>
          <w:tcPr>
            <w:tcW w:w="1701" w:type="dxa"/>
            <w:shd w:val="clear" w:color="auto" w:fill="auto"/>
          </w:tcPr>
          <w:p w14:paraId="4DB0FFCC" w14:textId="77777777" w:rsidR="00D14A38" w:rsidRPr="006C3C73" w:rsidRDefault="00D14A38" w:rsidP="00D14A38">
            <w:pPr>
              <w:jc w:val="center"/>
              <w:rPr>
                <w:rFonts w:ascii="Times New Roman" w:hAnsi="Times New Roman"/>
                <w:sz w:val="24"/>
                <w:szCs w:val="24"/>
              </w:rPr>
            </w:pPr>
            <w:r w:rsidRPr="006C3C73">
              <w:rPr>
                <w:rFonts w:ascii="Times New Roman" w:hAnsi="Times New Roman"/>
                <w:sz w:val="24"/>
                <w:szCs w:val="24"/>
              </w:rPr>
              <w:t>7407</w:t>
            </w:r>
          </w:p>
        </w:tc>
        <w:tc>
          <w:tcPr>
            <w:tcW w:w="6804" w:type="dxa"/>
            <w:shd w:val="clear" w:color="auto" w:fill="auto"/>
          </w:tcPr>
          <w:p w14:paraId="1A5217DE" w14:textId="77777777" w:rsidR="00D14A38" w:rsidRPr="006C3C73" w:rsidRDefault="00D14A38" w:rsidP="00D14A38">
            <w:pPr>
              <w:ind w:right="179"/>
              <w:jc w:val="both"/>
              <w:rPr>
                <w:rFonts w:ascii="Times New Roman" w:hAnsi="Times New Roman"/>
                <w:sz w:val="24"/>
                <w:szCs w:val="24"/>
              </w:rPr>
            </w:pPr>
            <w:r w:rsidRPr="006C3C73">
              <w:rPr>
                <w:rFonts w:ascii="Times New Roman" w:hAnsi="Times New Roman"/>
                <w:sz w:val="24"/>
                <w:szCs w:val="24"/>
              </w:rPr>
              <w:t>Vara stieņi un profili</w:t>
            </w:r>
          </w:p>
        </w:tc>
      </w:tr>
      <w:tr w:rsidR="00C54446" w:rsidRPr="006C3C73" w14:paraId="020159D7" w14:textId="77777777" w:rsidTr="009F72E4">
        <w:trPr>
          <w:trHeight w:val="532"/>
        </w:trPr>
        <w:tc>
          <w:tcPr>
            <w:tcW w:w="709" w:type="dxa"/>
          </w:tcPr>
          <w:p w14:paraId="3E53E9A8" w14:textId="77777777" w:rsidR="00080C20" w:rsidRPr="006C3C73" w:rsidRDefault="00080C20" w:rsidP="00D14A38">
            <w:pPr>
              <w:rPr>
                <w:rFonts w:ascii="Times New Roman" w:hAnsi="Times New Roman"/>
                <w:sz w:val="24"/>
                <w:szCs w:val="24"/>
              </w:rPr>
            </w:pPr>
            <w:r w:rsidRPr="006C3C73">
              <w:rPr>
                <w:rFonts w:ascii="Times New Roman" w:hAnsi="Times New Roman"/>
                <w:sz w:val="24"/>
                <w:szCs w:val="24"/>
              </w:rPr>
              <w:t>20.</w:t>
            </w:r>
          </w:p>
        </w:tc>
        <w:tc>
          <w:tcPr>
            <w:tcW w:w="1701" w:type="dxa"/>
            <w:shd w:val="clear" w:color="auto" w:fill="auto"/>
          </w:tcPr>
          <w:p w14:paraId="3437A67A" w14:textId="77777777" w:rsidR="00080C20" w:rsidRPr="006C3C73" w:rsidRDefault="00080C20" w:rsidP="00D14A38">
            <w:pPr>
              <w:jc w:val="center"/>
              <w:rPr>
                <w:rFonts w:ascii="Times New Roman" w:hAnsi="Times New Roman"/>
                <w:sz w:val="24"/>
                <w:szCs w:val="24"/>
              </w:rPr>
            </w:pPr>
            <w:r w:rsidRPr="006C3C73">
              <w:rPr>
                <w:rFonts w:ascii="Times New Roman" w:hAnsi="Times New Roman"/>
                <w:sz w:val="24"/>
                <w:szCs w:val="24"/>
              </w:rPr>
              <w:t>7604</w:t>
            </w:r>
          </w:p>
        </w:tc>
        <w:tc>
          <w:tcPr>
            <w:tcW w:w="6804" w:type="dxa"/>
            <w:shd w:val="clear" w:color="auto" w:fill="auto"/>
          </w:tcPr>
          <w:p w14:paraId="55FA64FE" w14:textId="77777777" w:rsidR="00080C20" w:rsidRPr="006C3C73" w:rsidRDefault="000904C3" w:rsidP="00D14A38">
            <w:pPr>
              <w:ind w:right="179"/>
              <w:jc w:val="both"/>
              <w:rPr>
                <w:rFonts w:ascii="Times New Roman" w:hAnsi="Times New Roman"/>
                <w:sz w:val="24"/>
                <w:szCs w:val="24"/>
              </w:rPr>
            </w:pPr>
            <w:r w:rsidRPr="006C3C73">
              <w:rPr>
                <w:rFonts w:ascii="Times New Roman" w:hAnsi="Times New Roman"/>
                <w:bCs/>
                <w:sz w:val="24"/>
                <w:szCs w:val="24"/>
              </w:rPr>
              <w:t>Alumīnija stieņi un profili</w:t>
            </w:r>
          </w:p>
        </w:tc>
      </w:tr>
    </w:tbl>
    <w:p w14:paraId="5B494137" w14:textId="31059440" w:rsidR="000D6C5B" w:rsidRDefault="00C431EE" w:rsidP="000D6C5B">
      <w:pPr>
        <w:tabs>
          <w:tab w:val="left" w:pos="1276"/>
        </w:tabs>
        <w:ind w:left="142" w:right="-199"/>
        <w:jc w:val="both"/>
        <w:rPr>
          <w:rFonts w:ascii="Times New Roman" w:hAnsi="Times New Roman"/>
          <w:sz w:val="24"/>
          <w:szCs w:val="24"/>
        </w:rPr>
      </w:pPr>
      <w:r w:rsidRPr="00C54446">
        <w:rPr>
          <w:rFonts w:ascii="Times New Roman" w:eastAsia="Times New Roman" w:hAnsi="Times New Roman"/>
          <w:sz w:val="24"/>
          <w:szCs w:val="24"/>
          <w:lang w:eastAsia="lv-LV"/>
        </w:rPr>
        <w:t>*</w:t>
      </w:r>
      <w:r w:rsidR="00272B15" w:rsidRPr="00C54446">
        <w:rPr>
          <w:rFonts w:ascii="Times New Roman" w:hAnsi="Times New Roman"/>
          <w:sz w:val="24"/>
          <w:szCs w:val="24"/>
        </w:rPr>
        <w:t xml:space="preserve"> </w:t>
      </w:r>
      <w:r w:rsidR="00C2548C" w:rsidRPr="00C54446">
        <w:rPr>
          <w:rFonts w:ascii="Times New Roman" w:hAnsi="Times New Roman"/>
          <w:sz w:val="24"/>
          <w:szCs w:val="24"/>
        </w:rPr>
        <w:t xml:space="preserve">Atbilstoši </w:t>
      </w:r>
      <w:r w:rsidR="00272B15" w:rsidRPr="00C54446">
        <w:rPr>
          <w:rFonts w:ascii="Times New Roman" w:hAnsi="Times New Roman"/>
          <w:sz w:val="24"/>
          <w:szCs w:val="24"/>
        </w:rPr>
        <w:t>kombinētaj</w:t>
      </w:r>
      <w:r w:rsidR="00C2548C" w:rsidRPr="00C54446">
        <w:rPr>
          <w:rFonts w:ascii="Times New Roman" w:hAnsi="Times New Roman"/>
          <w:sz w:val="24"/>
          <w:szCs w:val="24"/>
        </w:rPr>
        <w:t>ai nomenklatūrai un tās grozījumiem</w:t>
      </w:r>
      <w:r w:rsidR="00272B15" w:rsidRPr="00C54446">
        <w:rPr>
          <w:rFonts w:ascii="Times New Roman" w:hAnsi="Times New Roman"/>
          <w:sz w:val="24"/>
          <w:szCs w:val="24"/>
        </w:rPr>
        <w:t>.</w:t>
      </w:r>
      <w:r w:rsidR="003A5748">
        <w:rPr>
          <w:rFonts w:ascii="Times New Roman" w:hAnsi="Times New Roman"/>
          <w:sz w:val="24"/>
          <w:szCs w:val="24"/>
        </w:rPr>
        <w:t>"</w:t>
      </w:r>
      <w:r w:rsidR="003134FF">
        <w:rPr>
          <w:rFonts w:ascii="Times New Roman" w:hAnsi="Times New Roman"/>
          <w:sz w:val="24"/>
          <w:szCs w:val="24"/>
        </w:rPr>
        <w:t>;</w:t>
      </w:r>
    </w:p>
    <w:p w14:paraId="03D6AE93" w14:textId="77777777" w:rsidR="000D6C5B" w:rsidRDefault="000D6C5B" w:rsidP="000D6C5B">
      <w:pPr>
        <w:tabs>
          <w:tab w:val="left" w:pos="1276"/>
        </w:tabs>
        <w:ind w:left="142" w:right="-199"/>
        <w:jc w:val="both"/>
        <w:rPr>
          <w:rFonts w:ascii="Times New Roman" w:hAnsi="Times New Roman"/>
          <w:sz w:val="24"/>
          <w:szCs w:val="24"/>
        </w:rPr>
      </w:pPr>
    </w:p>
    <w:p w14:paraId="655F1239" w14:textId="46B94489" w:rsidR="00272B15" w:rsidRPr="000D6C5B" w:rsidRDefault="000D6C5B" w:rsidP="000D6C5B">
      <w:pPr>
        <w:tabs>
          <w:tab w:val="left" w:pos="709"/>
        </w:tabs>
        <w:ind w:left="142" w:right="-199"/>
        <w:jc w:val="both"/>
        <w:rPr>
          <w:rFonts w:ascii="Times New Roman" w:hAnsi="Times New Roman"/>
          <w:sz w:val="24"/>
          <w:szCs w:val="24"/>
        </w:rPr>
      </w:pPr>
      <w:r>
        <w:rPr>
          <w:rFonts w:ascii="Times New Roman" w:hAnsi="Times New Roman"/>
          <w:sz w:val="24"/>
          <w:szCs w:val="24"/>
        </w:rPr>
        <w:tab/>
      </w:r>
      <w:r>
        <w:rPr>
          <w:rFonts w:ascii="Times New Roman" w:hAnsi="Times New Roman"/>
          <w:sz w:val="28"/>
          <w:szCs w:val="28"/>
        </w:rPr>
        <w:t>1.12. </w:t>
      </w:r>
      <w:r w:rsidR="00824C26" w:rsidRPr="000D6C5B">
        <w:rPr>
          <w:rFonts w:ascii="Times New Roman" w:hAnsi="Times New Roman"/>
          <w:sz w:val="28"/>
          <w:szCs w:val="28"/>
        </w:rPr>
        <w:t>s</w:t>
      </w:r>
      <w:r w:rsidR="0011128B" w:rsidRPr="000D6C5B">
        <w:rPr>
          <w:rFonts w:ascii="Times New Roman" w:hAnsi="Times New Roman"/>
          <w:sz w:val="28"/>
          <w:szCs w:val="28"/>
        </w:rPr>
        <w:t>vītrot</w:t>
      </w:r>
      <w:r w:rsidR="00C23B4F" w:rsidRPr="000D6C5B">
        <w:rPr>
          <w:rFonts w:ascii="Times New Roman" w:eastAsia="Times New Roman" w:hAnsi="Times New Roman"/>
          <w:sz w:val="28"/>
          <w:szCs w:val="28"/>
          <w:lang w:eastAsia="lv-LV"/>
        </w:rPr>
        <w:t xml:space="preserve"> 8</w:t>
      </w:r>
      <w:r w:rsidR="003A5748">
        <w:rPr>
          <w:rFonts w:ascii="Times New Roman" w:eastAsia="Times New Roman" w:hAnsi="Times New Roman"/>
          <w:sz w:val="28"/>
          <w:szCs w:val="28"/>
          <w:lang w:eastAsia="lv-LV"/>
        </w:rPr>
        <w:t>. p</w:t>
      </w:r>
      <w:r w:rsidR="00C23B4F" w:rsidRPr="000D6C5B">
        <w:rPr>
          <w:rFonts w:ascii="Times New Roman" w:eastAsia="Times New Roman" w:hAnsi="Times New Roman"/>
          <w:sz w:val="28"/>
          <w:szCs w:val="28"/>
          <w:lang w:eastAsia="lv-LV"/>
        </w:rPr>
        <w:t>ielikumu.</w:t>
      </w:r>
    </w:p>
    <w:p w14:paraId="0F5A9B51" w14:textId="77777777" w:rsidR="00273902" w:rsidRDefault="00273902" w:rsidP="00640F42">
      <w:pPr>
        <w:tabs>
          <w:tab w:val="left" w:pos="1276"/>
        </w:tabs>
        <w:ind w:right="-19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14:paraId="7D6F51EF" w14:textId="56BD5B5C" w:rsidR="00640F42" w:rsidRDefault="00640F42" w:rsidP="00640F42">
      <w:pPr>
        <w:tabs>
          <w:tab w:val="left" w:pos="1276"/>
        </w:tabs>
        <w:ind w:right="-199"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Šo noteikumu 1.11</w:t>
      </w:r>
      <w:r w:rsidR="003A5748">
        <w:rPr>
          <w:rFonts w:ascii="Times New Roman" w:eastAsia="Times New Roman" w:hAnsi="Times New Roman"/>
          <w:sz w:val="28"/>
          <w:szCs w:val="28"/>
          <w:lang w:eastAsia="lv-LV"/>
        </w:rPr>
        <w:t>. a</w:t>
      </w:r>
      <w:r>
        <w:rPr>
          <w:rFonts w:ascii="Times New Roman" w:eastAsia="Times New Roman" w:hAnsi="Times New Roman"/>
          <w:sz w:val="28"/>
          <w:szCs w:val="28"/>
          <w:lang w:eastAsia="lv-LV"/>
        </w:rPr>
        <w:t>pakšpunktu piemēro ar 2019</w:t>
      </w:r>
      <w:r w:rsidR="003A5748">
        <w:rPr>
          <w:rFonts w:ascii="Times New Roman" w:eastAsia="Times New Roman" w:hAnsi="Times New Roman"/>
          <w:sz w:val="28"/>
          <w:szCs w:val="28"/>
          <w:lang w:eastAsia="lv-LV"/>
        </w:rPr>
        <w:t>. g</w:t>
      </w:r>
      <w:r>
        <w:rPr>
          <w:rFonts w:ascii="Times New Roman" w:eastAsia="Times New Roman" w:hAnsi="Times New Roman"/>
          <w:sz w:val="28"/>
          <w:szCs w:val="28"/>
          <w:lang w:eastAsia="lv-LV"/>
        </w:rPr>
        <w:t>ada 1</w:t>
      </w:r>
      <w:r w:rsidR="003A5748">
        <w:rPr>
          <w:rFonts w:ascii="Times New Roman" w:eastAsia="Times New Roman" w:hAnsi="Times New Roman"/>
          <w:sz w:val="28"/>
          <w:szCs w:val="28"/>
          <w:lang w:eastAsia="lv-LV"/>
        </w:rPr>
        <w:t>. j</w:t>
      </w:r>
      <w:r>
        <w:rPr>
          <w:rFonts w:ascii="Times New Roman" w:eastAsia="Times New Roman" w:hAnsi="Times New Roman"/>
          <w:sz w:val="28"/>
          <w:szCs w:val="28"/>
          <w:lang w:eastAsia="lv-LV"/>
        </w:rPr>
        <w:t>ūliju.</w:t>
      </w:r>
    </w:p>
    <w:p w14:paraId="079555AF" w14:textId="77777777" w:rsidR="00640F42" w:rsidRDefault="00640F42" w:rsidP="00640F42">
      <w:pPr>
        <w:tabs>
          <w:tab w:val="left" w:pos="1276"/>
        </w:tabs>
        <w:ind w:right="-199" w:firstLine="709"/>
        <w:jc w:val="both"/>
        <w:rPr>
          <w:rFonts w:ascii="Times New Roman" w:eastAsia="Times New Roman" w:hAnsi="Times New Roman"/>
          <w:sz w:val="28"/>
          <w:szCs w:val="28"/>
          <w:lang w:eastAsia="lv-LV"/>
        </w:rPr>
      </w:pPr>
    </w:p>
    <w:p w14:paraId="2D154DD9" w14:textId="5E1D06B8" w:rsidR="00273902" w:rsidRPr="00273902" w:rsidRDefault="00640F42" w:rsidP="00640F42">
      <w:pPr>
        <w:tabs>
          <w:tab w:val="left" w:pos="1276"/>
        </w:tabs>
        <w:ind w:right="-199"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w:t>
      </w:r>
      <w:r w:rsidR="00273902" w:rsidRPr="00273902">
        <w:rPr>
          <w:rFonts w:ascii="Times New Roman" w:eastAsia="Times New Roman" w:hAnsi="Times New Roman"/>
          <w:sz w:val="28"/>
          <w:szCs w:val="28"/>
          <w:lang w:eastAsia="lv-LV"/>
        </w:rPr>
        <w:t xml:space="preserve">Šo noteikumu </w:t>
      </w:r>
      <w:r w:rsidR="00273902">
        <w:rPr>
          <w:rFonts w:ascii="Times New Roman" w:eastAsia="Times New Roman" w:hAnsi="Times New Roman"/>
          <w:sz w:val="28"/>
          <w:szCs w:val="28"/>
          <w:lang w:eastAsia="lv-LV"/>
        </w:rPr>
        <w:t>1.5., 1.6. un 1.7</w:t>
      </w:r>
      <w:r w:rsidR="003A5748">
        <w:rPr>
          <w:rFonts w:ascii="Times New Roman" w:eastAsia="Times New Roman" w:hAnsi="Times New Roman"/>
          <w:sz w:val="28"/>
          <w:szCs w:val="28"/>
          <w:lang w:eastAsia="lv-LV"/>
        </w:rPr>
        <w:t>. a</w:t>
      </w:r>
      <w:r w:rsidR="00273902" w:rsidRPr="00273902">
        <w:rPr>
          <w:rFonts w:ascii="Times New Roman" w:eastAsia="Times New Roman" w:hAnsi="Times New Roman"/>
          <w:sz w:val="28"/>
          <w:szCs w:val="28"/>
          <w:lang w:eastAsia="lv-LV"/>
        </w:rPr>
        <w:t>pakšpunkts stājas spēkā 20</w:t>
      </w:r>
      <w:r w:rsidR="00273902">
        <w:rPr>
          <w:rFonts w:ascii="Times New Roman" w:eastAsia="Times New Roman" w:hAnsi="Times New Roman"/>
          <w:sz w:val="28"/>
          <w:szCs w:val="28"/>
          <w:lang w:eastAsia="lv-LV"/>
        </w:rPr>
        <w:t>19</w:t>
      </w:r>
      <w:r w:rsidR="003A5748">
        <w:rPr>
          <w:rFonts w:ascii="Times New Roman" w:eastAsia="Times New Roman" w:hAnsi="Times New Roman"/>
          <w:sz w:val="28"/>
          <w:szCs w:val="28"/>
          <w:lang w:eastAsia="lv-LV"/>
        </w:rPr>
        <w:t>. g</w:t>
      </w:r>
      <w:r w:rsidR="00273902" w:rsidRPr="00273902">
        <w:rPr>
          <w:rFonts w:ascii="Times New Roman" w:eastAsia="Times New Roman" w:hAnsi="Times New Roman"/>
          <w:sz w:val="28"/>
          <w:szCs w:val="28"/>
          <w:lang w:eastAsia="lv-LV"/>
        </w:rPr>
        <w:t>ada 1</w:t>
      </w:r>
      <w:r w:rsidR="00273902">
        <w:rPr>
          <w:rFonts w:ascii="Times New Roman" w:eastAsia="Times New Roman" w:hAnsi="Times New Roman"/>
          <w:sz w:val="28"/>
          <w:szCs w:val="28"/>
          <w:lang w:eastAsia="lv-LV"/>
        </w:rPr>
        <w:t>2</w:t>
      </w:r>
      <w:r w:rsidR="003A5748">
        <w:rPr>
          <w:rFonts w:ascii="Times New Roman" w:eastAsia="Times New Roman" w:hAnsi="Times New Roman"/>
          <w:sz w:val="28"/>
          <w:szCs w:val="28"/>
          <w:lang w:eastAsia="lv-LV"/>
        </w:rPr>
        <w:t>. j</w:t>
      </w:r>
      <w:r w:rsidR="00273902">
        <w:rPr>
          <w:rFonts w:ascii="Times New Roman" w:eastAsia="Times New Roman" w:hAnsi="Times New Roman"/>
          <w:sz w:val="28"/>
          <w:szCs w:val="28"/>
          <w:lang w:eastAsia="lv-LV"/>
        </w:rPr>
        <w:t>ūlijā.</w:t>
      </w:r>
    </w:p>
    <w:p w14:paraId="6A3C9092" w14:textId="77777777" w:rsidR="00273902" w:rsidRDefault="00273902" w:rsidP="00640F42">
      <w:pPr>
        <w:tabs>
          <w:tab w:val="left" w:pos="1276"/>
        </w:tabs>
        <w:ind w:right="-199" w:firstLine="709"/>
        <w:jc w:val="both"/>
        <w:rPr>
          <w:rFonts w:ascii="Times New Roman" w:eastAsia="Times New Roman" w:hAnsi="Times New Roman"/>
          <w:sz w:val="28"/>
          <w:szCs w:val="28"/>
          <w:lang w:eastAsia="lv-LV"/>
        </w:rPr>
      </w:pPr>
    </w:p>
    <w:p w14:paraId="212DE067" w14:textId="4E3638BC" w:rsidR="00452DA4" w:rsidRDefault="00640F42" w:rsidP="00640F42">
      <w:pPr>
        <w:tabs>
          <w:tab w:val="left" w:pos="1276"/>
        </w:tabs>
        <w:ind w:right="-199"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4. </w:t>
      </w:r>
      <w:r w:rsidR="00273902" w:rsidRPr="00273902">
        <w:rPr>
          <w:rFonts w:ascii="Times New Roman" w:eastAsia="Times New Roman" w:hAnsi="Times New Roman"/>
          <w:sz w:val="28"/>
          <w:szCs w:val="28"/>
          <w:lang w:eastAsia="lv-LV"/>
        </w:rPr>
        <w:t>Šo noteikumu 1.2., 1.4. un 1.12. apakšpunkts stājas spēkā 2020</w:t>
      </w:r>
      <w:r w:rsidR="003A5748">
        <w:rPr>
          <w:rFonts w:ascii="Times New Roman" w:eastAsia="Times New Roman" w:hAnsi="Times New Roman"/>
          <w:sz w:val="28"/>
          <w:szCs w:val="28"/>
          <w:lang w:eastAsia="lv-LV"/>
        </w:rPr>
        <w:t>. g</w:t>
      </w:r>
      <w:r w:rsidR="00273902" w:rsidRPr="00273902">
        <w:rPr>
          <w:rFonts w:ascii="Times New Roman" w:eastAsia="Times New Roman" w:hAnsi="Times New Roman"/>
          <w:sz w:val="28"/>
          <w:szCs w:val="28"/>
          <w:lang w:eastAsia="lv-LV"/>
        </w:rPr>
        <w:t>ada 1</w:t>
      </w:r>
      <w:r w:rsidR="003A5748">
        <w:rPr>
          <w:rFonts w:ascii="Times New Roman" w:eastAsia="Times New Roman" w:hAnsi="Times New Roman"/>
          <w:sz w:val="28"/>
          <w:szCs w:val="28"/>
          <w:lang w:eastAsia="lv-LV"/>
        </w:rPr>
        <w:t>. j</w:t>
      </w:r>
      <w:r w:rsidR="00273902" w:rsidRPr="00273902">
        <w:rPr>
          <w:rFonts w:ascii="Times New Roman" w:eastAsia="Times New Roman" w:hAnsi="Times New Roman"/>
          <w:sz w:val="28"/>
          <w:szCs w:val="28"/>
          <w:lang w:eastAsia="lv-LV"/>
        </w:rPr>
        <w:t>anvārī</w:t>
      </w:r>
      <w:r>
        <w:rPr>
          <w:rFonts w:ascii="Times New Roman" w:eastAsia="Times New Roman" w:hAnsi="Times New Roman"/>
          <w:sz w:val="28"/>
          <w:szCs w:val="28"/>
          <w:lang w:eastAsia="lv-LV"/>
        </w:rPr>
        <w:t>.</w:t>
      </w:r>
    </w:p>
    <w:p w14:paraId="7806861D" w14:textId="77777777" w:rsidR="006C3C73" w:rsidRPr="00C54446" w:rsidRDefault="006C3C73" w:rsidP="00452DA4">
      <w:pPr>
        <w:tabs>
          <w:tab w:val="left" w:pos="6946"/>
          <w:tab w:val="left" w:pos="7230"/>
        </w:tabs>
        <w:jc w:val="both"/>
        <w:rPr>
          <w:rFonts w:ascii="Times New Roman" w:eastAsia="Times New Roman" w:hAnsi="Times New Roman"/>
          <w:sz w:val="28"/>
          <w:szCs w:val="28"/>
          <w:lang w:eastAsia="lv-LV"/>
        </w:rPr>
      </w:pPr>
    </w:p>
    <w:p w14:paraId="34B5B7E8" w14:textId="77777777" w:rsidR="003A5748" w:rsidRPr="00C6135A" w:rsidRDefault="003A5748" w:rsidP="00D262A4">
      <w:pPr>
        <w:jc w:val="both"/>
        <w:rPr>
          <w:rFonts w:ascii="Times New Roman" w:hAnsi="Times New Roman"/>
          <w:sz w:val="28"/>
          <w:szCs w:val="28"/>
        </w:rPr>
      </w:pPr>
    </w:p>
    <w:p w14:paraId="3A5D1D64" w14:textId="77777777" w:rsidR="003A5748" w:rsidRPr="00C6135A" w:rsidRDefault="003A5748" w:rsidP="00D262A4">
      <w:pPr>
        <w:contextualSpacing/>
        <w:jc w:val="both"/>
        <w:rPr>
          <w:rFonts w:ascii="Times New Roman" w:hAnsi="Times New Roman"/>
          <w:sz w:val="28"/>
          <w:szCs w:val="28"/>
        </w:rPr>
      </w:pPr>
    </w:p>
    <w:p w14:paraId="286E1C96" w14:textId="77777777" w:rsidR="0070709C" w:rsidRDefault="0070709C" w:rsidP="00FE22B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234B753F" w14:textId="77777777" w:rsidR="0070709C" w:rsidRDefault="0070709C"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0DDB014" w14:textId="77777777" w:rsidR="0070709C" w:rsidRPr="00DE283C" w:rsidRDefault="0070709C" w:rsidP="00F5719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4B47BCFB" w14:textId="002F0F64" w:rsidR="003A5748" w:rsidRDefault="003A5748" w:rsidP="00F634AE">
      <w:pPr>
        <w:pStyle w:val="naisf"/>
        <w:tabs>
          <w:tab w:val="left" w:pos="6237"/>
          <w:tab w:val="right" w:pos="8820"/>
        </w:tabs>
        <w:spacing w:before="0" w:after="0"/>
        <w:ind w:firstLine="709"/>
        <w:rPr>
          <w:sz w:val="28"/>
          <w:szCs w:val="28"/>
        </w:rPr>
      </w:pPr>
    </w:p>
    <w:p w14:paraId="1A29CCC4" w14:textId="77777777" w:rsidR="003A5748" w:rsidRDefault="003A5748" w:rsidP="00F634AE">
      <w:pPr>
        <w:pStyle w:val="naisf"/>
        <w:tabs>
          <w:tab w:val="left" w:pos="6237"/>
          <w:tab w:val="right" w:pos="8820"/>
        </w:tabs>
        <w:spacing w:before="0" w:after="0"/>
        <w:ind w:firstLine="709"/>
        <w:rPr>
          <w:sz w:val="28"/>
          <w:szCs w:val="28"/>
        </w:rPr>
      </w:pPr>
    </w:p>
    <w:p w14:paraId="50A13E0A" w14:textId="77777777" w:rsidR="003A5748" w:rsidRDefault="003A5748" w:rsidP="00F634AE">
      <w:pPr>
        <w:pStyle w:val="naisf"/>
        <w:tabs>
          <w:tab w:val="left" w:pos="6237"/>
          <w:tab w:val="right" w:pos="8820"/>
        </w:tabs>
        <w:spacing w:before="0" w:after="0"/>
        <w:ind w:firstLine="709"/>
        <w:rPr>
          <w:sz w:val="28"/>
          <w:szCs w:val="28"/>
        </w:rPr>
      </w:pPr>
    </w:p>
    <w:p w14:paraId="54D5E05F" w14:textId="30F810AF" w:rsidR="003A5748" w:rsidRDefault="003A5748" w:rsidP="003A5748">
      <w:pPr>
        <w:pStyle w:val="naisf"/>
        <w:tabs>
          <w:tab w:val="left" w:pos="6521"/>
          <w:tab w:val="right" w:pos="8820"/>
        </w:tabs>
        <w:spacing w:before="0" w:after="0"/>
        <w:ind w:firstLine="709"/>
        <w:rPr>
          <w:sz w:val="28"/>
          <w:szCs w:val="28"/>
        </w:rPr>
      </w:pPr>
      <w:r>
        <w:rPr>
          <w:sz w:val="28"/>
          <w:szCs w:val="28"/>
        </w:rPr>
        <w:t>F</w:t>
      </w:r>
      <w:r w:rsidRPr="005B2B8E">
        <w:rPr>
          <w:sz w:val="28"/>
          <w:szCs w:val="28"/>
        </w:rPr>
        <w:t>inanšu ministrs</w:t>
      </w:r>
      <w:r>
        <w:rPr>
          <w:sz w:val="28"/>
          <w:szCs w:val="28"/>
        </w:rPr>
        <w:tab/>
      </w:r>
      <w:r w:rsidRPr="005B2B8E">
        <w:rPr>
          <w:sz w:val="28"/>
          <w:szCs w:val="28"/>
        </w:rPr>
        <w:t>J</w:t>
      </w:r>
      <w:r>
        <w:rPr>
          <w:sz w:val="28"/>
          <w:szCs w:val="28"/>
        </w:rPr>
        <w:t>. </w:t>
      </w:r>
      <w:r w:rsidRPr="005B2B8E">
        <w:rPr>
          <w:sz w:val="28"/>
          <w:szCs w:val="28"/>
        </w:rPr>
        <w:t>Reirs</w:t>
      </w:r>
    </w:p>
    <w:p w14:paraId="0EB9E56A" w14:textId="3559DCB2" w:rsidR="00452DA4" w:rsidRPr="00C54446" w:rsidRDefault="00452DA4" w:rsidP="006C3C73">
      <w:pPr>
        <w:tabs>
          <w:tab w:val="left" w:pos="851"/>
          <w:tab w:val="left" w:pos="1418"/>
        </w:tabs>
        <w:ind w:left="709"/>
        <w:jc w:val="both"/>
        <w:rPr>
          <w:rFonts w:ascii="Times New Roman" w:eastAsia="Times New Roman" w:hAnsi="Times New Roman"/>
          <w:sz w:val="28"/>
          <w:szCs w:val="28"/>
          <w:lang w:eastAsia="lv-LV"/>
        </w:rPr>
      </w:pPr>
    </w:p>
    <w:sectPr w:rsidR="00452DA4" w:rsidRPr="00C54446" w:rsidSect="003A5748">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0879" w14:textId="77777777" w:rsidR="004C3689" w:rsidRDefault="004C3689" w:rsidP="00F77CD8">
      <w:r>
        <w:separator/>
      </w:r>
    </w:p>
  </w:endnote>
  <w:endnote w:type="continuationSeparator" w:id="0">
    <w:p w14:paraId="65121AFB" w14:textId="77777777" w:rsidR="004C3689" w:rsidRDefault="004C3689" w:rsidP="00F7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3C10" w14:textId="77777777" w:rsidR="003A5748" w:rsidRPr="003A5748" w:rsidRDefault="003A5748" w:rsidP="003A5748">
    <w:pPr>
      <w:pStyle w:val="Footer"/>
      <w:rPr>
        <w:rFonts w:ascii="Times New Roman" w:hAnsi="Times New Roman"/>
        <w:sz w:val="16"/>
        <w:szCs w:val="16"/>
      </w:rPr>
    </w:pPr>
    <w:r>
      <w:rPr>
        <w:rFonts w:ascii="Times New Roman" w:hAnsi="Times New Roman"/>
        <w:sz w:val="16"/>
        <w:szCs w:val="16"/>
      </w:rPr>
      <w:t>N1180_9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906C" w14:textId="722E8454" w:rsidR="003A5748" w:rsidRPr="003A5748" w:rsidRDefault="003A5748">
    <w:pPr>
      <w:pStyle w:val="Footer"/>
      <w:rPr>
        <w:rFonts w:ascii="Times New Roman" w:hAnsi="Times New Roman"/>
        <w:sz w:val="16"/>
        <w:szCs w:val="16"/>
      </w:rPr>
    </w:pPr>
    <w:r>
      <w:rPr>
        <w:rFonts w:ascii="Times New Roman" w:hAnsi="Times New Roman"/>
        <w:sz w:val="16"/>
        <w:szCs w:val="16"/>
      </w:rPr>
      <w:t>N1180_9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1C68" w14:textId="77777777" w:rsidR="004C3689" w:rsidRDefault="004C3689" w:rsidP="00F77CD8">
      <w:r>
        <w:separator/>
      </w:r>
    </w:p>
  </w:footnote>
  <w:footnote w:type="continuationSeparator" w:id="0">
    <w:p w14:paraId="71C194F7" w14:textId="77777777" w:rsidR="004C3689" w:rsidRDefault="004C3689" w:rsidP="00F7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36294"/>
      <w:docPartObj>
        <w:docPartGallery w:val="Page Numbers (Top of Page)"/>
        <w:docPartUnique/>
      </w:docPartObj>
    </w:sdtPr>
    <w:sdtEndPr>
      <w:rPr>
        <w:rFonts w:ascii="Times New Roman" w:hAnsi="Times New Roman"/>
        <w:noProof/>
        <w:sz w:val="24"/>
        <w:szCs w:val="24"/>
      </w:rPr>
    </w:sdtEndPr>
    <w:sdtContent>
      <w:p w14:paraId="1CB10C19" w14:textId="67F59559" w:rsidR="0097658D" w:rsidRPr="003A5748" w:rsidRDefault="0097658D">
        <w:pPr>
          <w:pStyle w:val="Header"/>
          <w:jc w:val="center"/>
          <w:rPr>
            <w:rFonts w:ascii="Times New Roman" w:hAnsi="Times New Roman"/>
            <w:sz w:val="24"/>
            <w:szCs w:val="24"/>
          </w:rPr>
        </w:pPr>
        <w:r w:rsidRPr="003A5748">
          <w:rPr>
            <w:rFonts w:ascii="Times New Roman" w:hAnsi="Times New Roman"/>
            <w:sz w:val="24"/>
            <w:szCs w:val="24"/>
          </w:rPr>
          <w:fldChar w:fldCharType="begin"/>
        </w:r>
        <w:r w:rsidRPr="003A5748">
          <w:rPr>
            <w:rFonts w:ascii="Times New Roman" w:hAnsi="Times New Roman"/>
            <w:sz w:val="24"/>
            <w:szCs w:val="24"/>
          </w:rPr>
          <w:instrText xml:space="preserve"> PAGE   \* MERGEFORMAT </w:instrText>
        </w:r>
        <w:r w:rsidRPr="003A5748">
          <w:rPr>
            <w:rFonts w:ascii="Times New Roman" w:hAnsi="Times New Roman"/>
            <w:sz w:val="24"/>
            <w:szCs w:val="24"/>
          </w:rPr>
          <w:fldChar w:fldCharType="separate"/>
        </w:r>
        <w:r w:rsidR="0070709C">
          <w:rPr>
            <w:rFonts w:ascii="Times New Roman" w:hAnsi="Times New Roman"/>
            <w:noProof/>
            <w:sz w:val="24"/>
            <w:szCs w:val="24"/>
          </w:rPr>
          <w:t>4</w:t>
        </w:r>
        <w:r w:rsidRPr="003A5748">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0595" w14:textId="2CB8A84D" w:rsidR="003A5748" w:rsidRDefault="003A5748">
    <w:pPr>
      <w:pStyle w:val="Header"/>
      <w:rPr>
        <w:rFonts w:ascii="Times New Roman" w:hAnsi="Times New Roman"/>
        <w:sz w:val="24"/>
        <w:szCs w:val="24"/>
      </w:rPr>
    </w:pPr>
  </w:p>
  <w:p w14:paraId="445A9180" w14:textId="1E973430" w:rsidR="003A5748" w:rsidRPr="00A142D0" w:rsidRDefault="003A5748" w:rsidP="00501350">
    <w:pPr>
      <w:pStyle w:val="Header"/>
    </w:pPr>
    <w:r>
      <w:rPr>
        <w:noProof/>
      </w:rPr>
      <w:drawing>
        <wp:inline distT="0" distB="0" distL="0" distR="0" wp14:anchorId="55309896" wp14:editId="53311FA1">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727"/>
    <w:multiLevelType w:val="multilevel"/>
    <w:tmpl w:val="836E9D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D67E1C"/>
    <w:multiLevelType w:val="hybridMultilevel"/>
    <w:tmpl w:val="D362FCD0"/>
    <w:lvl w:ilvl="0" w:tplc="D5EE84B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BD95102"/>
    <w:multiLevelType w:val="multilevel"/>
    <w:tmpl w:val="05CE1CA2"/>
    <w:lvl w:ilvl="0">
      <w:start w:val="1"/>
      <w:numFmt w:val="decimal"/>
      <w:lvlText w:val="%1."/>
      <w:lvlJc w:val="left"/>
      <w:pPr>
        <w:ind w:left="720" w:hanging="360"/>
      </w:pPr>
      <w:rPr>
        <w:rFonts w:eastAsia="Times New Roman"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0545297"/>
    <w:multiLevelType w:val="hybridMultilevel"/>
    <w:tmpl w:val="E26C00F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EE0048"/>
    <w:multiLevelType w:val="multilevel"/>
    <w:tmpl w:val="DD025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D4795E"/>
    <w:multiLevelType w:val="multilevel"/>
    <w:tmpl w:val="813EA83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37B7681"/>
    <w:multiLevelType w:val="hybridMultilevel"/>
    <w:tmpl w:val="0532C900"/>
    <w:lvl w:ilvl="0" w:tplc="36CC8A88">
      <w:start w:val="2"/>
      <w:numFmt w:val="bullet"/>
      <w:lvlText w:val=""/>
      <w:lvlJc w:val="left"/>
      <w:pPr>
        <w:ind w:left="435" w:hanging="360"/>
      </w:pPr>
      <w:rPr>
        <w:rFonts w:ascii="Symbol" w:eastAsia="Times New Roman" w:hAnsi="Symbol"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15:restartNumberingAfterBreak="0">
    <w:nsid w:val="4B151FC2"/>
    <w:multiLevelType w:val="multilevel"/>
    <w:tmpl w:val="259413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2D2F7D"/>
    <w:multiLevelType w:val="multilevel"/>
    <w:tmpl w:val="8998191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C3411A2"/>
    <w:multiLevelType w:val="multilevel"/>
    <w:tmpl w:val="58C01EAC"/>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A631E83"/>
    <w:multiLevelType w:val="hybridMultilevel"/>
    <w:tmpl w:val="B8227AD4"/>
    <w:lvl w:ilvl="0" w:tplc="8D62721A">
      <w:start w:val="2"/>
      <w:numFmt w:val="bullet"/>
      <w:lvlText w:val=""/>
      <w:lvlJc w:val="left"/>
      <w:pPr>
        <w:ind w:left="495" w:hanging="360"/>
      </w:pPr>
      <w:rPr>
        <w:rFonts w:ascii="Symbol" w:eastAsia="Times New Roman" w:hAnsi="Symbol"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11" w15:restartNumberingAfterBreak="0">
    <w:nsid w:val="77B94978"/>
    <w:multiLevelType w:val="multilevel"/>
    <w:tmpl w:val="B004151A"/>
    <w:lvl w:ilvl="0">
      <w:start w:val="1"/>
      <w:numFmt w:val="decimal"/>
      <w:lvlText w:val="%1."/>
      <w:lvlJc w:val="left"/>
      <w:pPr>
        <w:ind w:left="450" w:hanging="450"/>
      </w:pPr>
      <w:rPr>
        <w:rFonts w:hint="default"/>
      </w:rPr>
    </w:lvl>
    <w:lvl w:ilvl="1">
      <w:start w:val="8"/>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num w:numId="1">
    <w:abstractNumId w:val="8"/>
  </w:num>
  <w:num w:numId="2">
    <w:abstractNumId w:val="4"/>
  </w:num>
  <w:num w:numId="3">
    <w:abstractNumId w:val="3"/>
  </w:num>
  <w:num w:numId="4">
    <w:abstractNumId w:val="10"/>
  </w:num>
  <w:num w:numId="5">
    <w:abstractNumId w:val="6"/>
  </w:num>
  <w:num w:numId="6">
    <w:abstractNumId w:val="1"/>
  </w:num>
  <w:num w:numId="7">
    <w:abstractNumId w:val="7"/>
  </w:num>
  <w:num w:numId="8">
    <w:abstractNumId w:val="2"/>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DA4"/>
    <w:rsid w:val="00003C89"/>
    <w:rsid w:val="00037DB2"/>
    <w:rsid w:val="00050A34"/>
    <w:rsid w:val="00066464"/>
    <w:rsid w:val="00080C20"/>
    <w:rsid w:val="00083887"/>
    <w:rsid w:val="000904C3"/>
    <w:rsid w:val="000A1A76"/>
    <w:rsid w:val="000A3868"/>
    <w:rsid w:val="000C505B"/>
    <w:rsid w:val="000D2CBB"/>
    <w:rsid w:val="000D6C5B"/>
    <w:rsid w:val="000F24BB"/>
    <w:rsid w:val="0011128B"/>
    <w:rsid w:val="00114F53"/>
    <w:rsid w:val="00123CDD"/>
    <w:rsid w:val="00131A47"/>
    <w:rsid w:val="00142268"/>
    <w:rsid w:val="0015669F"/>
    <w:rsid w:val="0018069F"/>
    <w:rsid w:val="001823CF"/>
    <w:rsid w:val="001E0017"/>
    <w:rsid w:val="001E29DC"/>
    <w:rsid w:val="0020670E"/>
    <w:rsid w:val="0024739D"/>
    <w:rsid w:val="00272B15"/>
    <w:rsid w:val="00273902"/>
    <w:rsid w:val="002807B8"/>
    <w:rsid w:val="002843EB"/>
    <w:rsid w:val="002B2628"/>
    <w:rsid w:val="002B325E"/>
    <w:rsid w:val="002C51D5"/>
    <w:rsid w:val="00311E84"/>
    <w:rsid w:val="003134FF"/>
    <w:rsid w:val="00331CA6"/>
    <w:rsid w:val="0035585A"/>
    <w:rsid w:val="0037039F"/>
    <w:rsid w:val="00380CE3"/>
    <w:rsid w:val="00387E2A"/>
    <w:rsid w:val="00392BDD"/>
    <w:rsid w:val="003A5748"/>
    <w:rsid w:val="003C3354"/>
    <w:rsid w:val="003C59D2"/>
    <w:rsid w:val="00424A77"/>
    <w:rsid w:val="00432BD3"/>
    <w:rsid w:val="00452DA4"/>
    <w:rsid w:val="004B713B"/>
    <w:rsid w:val="004C3689"/>
    <w:rsid w:val="004C5672"/>
    <w:rsid w:val="004E48A7"/>
    <w:rsid w:val="0050055F"/>
    <w:rsid w:val="00500DE1"/>
    <w:rsid w:val="00505A66"/>
    <w:rsid w:val="0052328D"/>
    <w:rsid w:val="00537358"/>
    <w:rsid w:val="00553A92"/>
    <w:rsid w:val="00591549"/>
    <w:rsid w:val="00594917"/>
    <w:rsid w:val="005A7B6F"/>
    <w:rsid w:val="00616D4F"/>
    <w:rsid w:val="0063557F"/>
    <w:rsid w:val="00640F42"/>
    <w:rsid w:val="00667527"/>
    <w:rsid w:val="00676FA0"/>
    <w:rsid w:val="00685A16"/>
    <w:rsid w:val="006B3150"/>
    <w:rsid w:val="006C3C73"/>
    <w:rsid w:val="006D62A1"/>
    <w:rsid w:val="006F5AD8"/>
    <w:rsid w:val="006F5CE8"/>
    <w:rsid w:val="0070709C"/>
    <w:rsid w:val="00753EC9"/>
    <w:rsid w:val="00757992"/>
    <w:rsid w:val="00763990"/>
    <w:rsid w:val="007A3D88"/>
    <w:rsid w:val="007C389B"/>
    <w:rsid w:val="007C4A5A"/>
    <w:rsid w:val="007D0B2E"/>
    <w:rsid w:val="00803CE0"/>
    <w:rsid w:val="00820AC5"/>
    <w:rsid w:val="00824C26"/>
    <w:rsid w:val="00864B35"/>
    <w:rsid w:val="0089468E"/>
    <w:rsid w:val="008A18E5"/>
    <w:rsid w:val="008A4968"/>
    <w:rsid w:val="008A6160"/>
    <w:rsid w:val="008B5A51"/>
    <w:rsid w:val="008E071D"/>
    <w:rsid w:val="008F4367"/>
    <w:rsid w:val="00900A90"/>
    <w:rsid w:val="0095786C"/>
    <w:rsid w:val="00972F3D"/>
    <w:rsid w:val="0097658D"/>
    <w:rsid w:val="009770A2"/>
    <w:rsid w:val="00981D87"/>
    <w:rsid w:val="00983E71"/>
    <w:rsid w:val="009A433A"/>
    <w:rsid w:val="009B09A9"/>
    <w:rsid w:val="009F72E4"/>
    <w:rsid w:val="00A16662"/>
    <w:rsid w:val="00A375BD"/>
    <w:rsid w:val="00A5041D"/>
    <w:rsid w:val="00A56A76"/>
    <w:rsid w:val="00AB3671"/>
    <w:rsid w:val="00AC41F0"/>
    <w:rsid w:val="00AF7C3B"/>
    <w:rsid w:val="00B05D9F"/>
    <w:rsid w:val="00BA09AA"/>
    <w:rsid w:val="00C17AED"/>
    <w:rsid w:val="00C23B4F"/>
    <w:rsid w:val="00C2548C"/>
    <w:rsid w:val="00C431EE"/>
    <w:rsid w:val="00C54446"/>
    <w:rsid w:val="00C63AE8"/>
    <w:rsid w:val="00C66942"/>
    <w:rsid w:val="00C77F18"/>
    <w:rsid w:val="00C81CF9"/>
    <w:rsid w:val="00C85140"/>
    <w:rsid w:val="00CA40D5"/>
    <w:rsid w:val="00D03718"/>
    <w:rsid w:val="00D14A38"/>
    <w:rsid w:val="00D2508E"/>
    <w:rsid w:val="00D30BB9"/>
    <w:rsid w:val="00D34968"/>
    <w:rsid w:val="00D64B99"/>
    <w:rsid w:val="00DE51CA"/>
    <w:rsid w:val="00E0633A"/>
    <w:rsid w:val="00E376F6"/>
    <w:rsid w:val="00E81E50"/>
    <w:rsid w:val="00EA0E31"/>
    <w:rsid w:val="00EC385F"/>
    <w:rsid w:val="00ED2018"/>
    <w:rsid w:val="00EE1839"/>
    <w:rsid w:val="00EE74DD"/>
    <w:rsid w:val="00EF1BD2"/>
    <w:rsid w:val="00EF6723"/>
    <w:rsid w:val="00F0139F"/>
    <w:rsid w:val="00F15FE7"/>
    <w:rsid w:val="00F55104"/>
    <w:rsid w:val="00F721C5"/>
    <w:rsid w:val="00F77CD8"/>
    <w:rsid w:val="00FA4CD0"/>
    <w:rsid w:val="00FB52F2"/>
    <w:rsid w:val="00FD683D"/>
    <w:rsid w:val="00FE2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835336"/>
  <w15:chartTrackingRefBased/>
  <w15:docId w15:val="{680EF285-D504-46FF-B10D-41457440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DA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52DA4"/>
    <w:pPr>
      <w:spacing w:before="75" w:after="75"/>
      <w:jc w:val="right"/>
    </w:pPr>
    <w:rPr>
      <w:rFonts w:ascii="Times New Roman" w:eastAsia="Times New Roman" w:hAnsi="Times New Roman"/>
      <w:sz w:val="24"/>
      <w:szCs w:val="24"/>
      <w:lang w:eastAsia="lv-LV"/>
    </w:rPr>
  </w:style>
  <w:style w:type="paragraph" w:styleId="ListParagraph">
    <w:name w:val="List Paragraph"/>
    <w:basedOn w:val="Normal"/>
    <w:uiPriority w:val="34"/>
    <w:qFormat/>
    <w:rsid w:val="00452DA4"/>
    <w:pPr>
      <w:ind w:left="720"/>
    </w:pPr>
  </w:style>
  <w:style w:type="paragraph" w:styleId="Header">
    <w:name w:val="header"/>
    <w:basedOn w:val="Normal"/>
    <w:link w:val="HeaderChar"/>
    <w:uiPriority w:val="99"/>
    <w:unhideWhenUsed/>
    <w:rsid w:val="00F77CD8"/>
    <w:pPr>
      <w:tabs>
        <w:tab w:val="center" w:pos="4153"/>
        <w:tab w:val="right" w:pos="8306"/>
      </w:tabs>
    </w:pPr>
  </w:style>
  <w:style w:type="character" w:customStyle="1" w:styleId="HeaderChar">
    <w:name w:val="Header Char"/>
    <w:basedOn w:val="DefaultParagraphFont"/>
    <w:link w:val="Header"/>
    <w:uiPriority w:val="99"/>
    <w:rsid w:val="00F77CD8"/>
    <w:rPr>
      <w:rFonts w:ascii="Calibri" w:eastAsia="Calibri" w:hAnsi="Calibri" w:cs="Times New Roman"/>
      <w:sz w:val="22"/>
    </w:rPr>
  </w:style>
  <w:style w:type="paragraph" w:styleId="Footer">
    <w:name w:val="footer"/>
    <w:basedOn w:val="Normal"/>
    <w:link w:val="FooterChar"/>
    <w:uiPriority w:val="99"/>
    <w:unhideWhenUsed/>
    <w:rsid w:val="00F77CD8"/>
    <w:pPr>
      <w:tabs>
        <w:tab w:val="center" w:pos="4153"/>
        <w:tab w:val="right" w:pos="8306"/>
      </w:tabs>
    </w:pPr>
  </w:style>
  <w:style w:type="character" w:customStyle="1" w:styleId="FooterChar">
    <w:name w:val="Footer Char"/>
    <w:basedOn w:val="DefaultParagraphFont"/>
    <w:link w:val="Footer"/>
    <w:uiPriority w:val="99"/>
    <w:rsid w:val="00F77CD8"/>
    <w:rPr>
      <w:rFonts w:ascii="Calibri" w:eastAsia="Calibri" w:hAnsi="Calibri" w:cs="Times New Roman"/>
      <w:sz w:val="22"/>
    </w:rPr>
  </w:style>
  <w:style w:type="paragraph" w:styleId="BalloonText">
    <w:name w:val="Balloon Text"/>
    <w:basedOn w:val="Normal"/>
    <w:link w:val="BalloonTextChar"/>
    <w:uiPriority w:val="99"/>
    <w:semiHidden/>
    <w:unhideWhenUsed/>
    <w:rsid w:val="000D2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BB"/>
    <w:rPr>
      <w:rFonts w:ascii="Segoe UI" w:eastAsia="Calibri" w:hAnsi="Segoe UI" w:cs="Segoe UI"/>
      <w:sz w:val="18"/>
      <w:szCs w:val="18"/>
    </w:rPr>
  </w:style>
  <w:style w:type="character" w:styleId="Strong">
    <w:name w:val="Strong"/>
    <w:basedOn w:val="DefaultParagraphFont"/>
    <w:uiPriority w:val="22"/>
    <w:qFormat/>
    <w:rsid w:val="000904C3"/>
    <w:rPr>
      <w:b/>
      <w:bCs/>
    </w:rPr>
  </w:style>
  <w:style w:type="paragraph" w:styleId="NormalWeb">
    <w:name w:val="Normal (Web)"/>
    <w:basedOn w:val="Normal"/>
    <w:uiPriority w:val="99"/>
    <w:semiHidden/>
    <w:unhideWhenUsed/>
    <w:rsid w:val="008E071D"/>
    <w:pPr>
      <w:spacing w:before="100" w:beforeAutospacing="1" w:after="100" w:afterAutospacing="1"/>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981D87"/>
    <w:rPr>
      <w:sz w:val="16"/>
      <w:szCs w:val="16"/>
    </w:rPr>
  </w:style>
  <w:style w:type="paragraph" w:styleId="CommentText">
    <w:name w:val="annotation text"/>
    <w:basedOn w:val="Normal"/>
    <w:link w:val="CommentTextChar"/>
    <w:uiPriority w:val="99"/>
    <w:semiHidden/>
    <w:unhideWhenUsed/>
    <w:rsid w:val="00981D87"/>
    <w:rPr>
      <w:sz w:val="20"/>
      <w:szCs w:val="20"/>
    </w:rPr>
  </w:style>
  <w:style w:type="character" w:customStyle="1" w:styleId="CommentTextChar">
    <w:name w:val="Comment Text Char"/>
    <w:basedOn w:val="DefaultParagraphFont"/>
    <w:link w:val="CommentText"/>
    <w:uiPriority w:val="99"/>
    <w:semiHidden/>
    <w:rsid w:val="00981D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1D87"/>
    <w:rPr>
      <w:b/>
      <w:bCs/>
    </w:rPr>
  </w:style>
  <w:style w:type="character" w:customStyle="1" w:styleId="CommentSubjectChar">
    <w:name w:val="Comment Subject Char"/>
    <w:basedOn w:val="CommentTextChar"/>
    <w:link w:val="CommentSubject"/>
    <w:uiPriority w:val="99"/>
    <w:semiHidden/>
    <w:rsid w:val="00981D87"/>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00DE1"/>
    <w:rPr>
      <w:sz w:val="20"/>
      <w:szCs w:val="20"/>
    </w:rPr>
  </w:style>
  <w:style w:type="character" w:customStyle="1" w:styleId="FootnoteTextChar">
    <w:name w:val="Footnote Text Char"/>
    <w:basedOn w:val="DefaultParagraphFont"/>
    <w:link w:val="FootnoteText"/>
    <w:uiPriority w:val="99"/>
    <w:semiHidden/>
    <w:rsid w:val="00500DE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0DE1"/>
    <w:rPr>
      <w:vertAlign w:val="superscript"/>
    </w:rPr>
  </w:style>
  <w:style w:type="paragraph" w:customStyle="1" w:styleId="tv213">
    <w:name w:val="tv213"/>
    <w:basedOn w:val="Normal"/>
    <w:rsid w:val="006B3150"/>
    <w:pPr>
      <w:spacing w:before="100" w:beforeAutospacing="1" w:after="100" w:afterAutospacing="1"/>
    </w:pPr>
    <w:rPr>
      <w:rFonts w:ascii="Times New Roman" w:eastAsia="Times New Roman" w:hAnsi="Times New Roman"/>
      <w:sz w:val="24"/>
      <w:szCs w:val="24"/>
      <w:lang w:eastAsia="lv-LV"/>
    </w:rPr>
  </w:style>
  <w:style w:type="paragraph" w:customStyle="1" w:styleId="naisf">
    <w:name w:val="naisf"/>
    <w:basedOn w:val="Normal"/>
    <w:link w:val="naisfChar"/>
    <w:rsid w:val="003A5748"/>
    <w:pPr>
      <w:spacing w:before="75" w:after="75"/>
      <w:ind w:firstLine="375"/>
      <w:jc w:val="both"/>
    </w:pPr>
    <w:rPr>
      <w:rFonts w:ascii="Times New Roman" w:eastAsia="Times New Roman" w:hAnsi="Times New Roman"/>
      <w:sz w:val="24"/>
      <w:szCs w:val="24"/>
      <w:lang w:eastAsia="lv-LV"/>
    </w:rPr>
  </w:style>
  <w:style w:type="table" w:styleId="TableGrid">
    <w:name w:val="Table Grid"/>
    <w:basedOn w:val="TableNormal"/>
    <w:uiPriority w:val="39"/>
    <w:rsid w:val="009F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0709C"/>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character" w:customStyle="1" w:styleId="naisfChar">
    <w:name w:val="naisf Char"/>
    <w:link w:val="naisf"/>
    <w:locked/>
    <w:rsid w:val="0070709C"/>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560C-A998-4BAF-93CA-ED36F5BD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5196</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3.janvāra noteikumos Nr. 17 "Pievienotās vērtības nodokļa likuma normu piemērošanas kārtība un atsevišķas prasības pievienotās vērtības nodokļa maksāšanai un administrēšanai”</vt:lpstr>
    </vt:vector>
  </TitlesOfParts>
  <Manager/>
  <Company>Finanšu ministrija</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3.janvāra noteikumos Nr. 17 "Pievienotās vērtības nodokļa likuma normu piemērošanas kārtība un atsevišķas prasības pievienotās vērtības nodokļa maksāšanai un administrēšanai”</dc:title>
  <dc:subject>Ministru kabineta noteikumu projekts</dc:subject>
  <dc:creator>Jeļena Kuhaļska</dc:creator>
  <cp:keywords/>
  <dc:description>Jelena.Kuhalska@fm.gov.lv_x000d_
tālr. Nr.67083849</dc:description>
  <cp:lastModifiedBy>Leontine Babkina</cp:lastModifiedBy>
  <cp:revision>18</cp:revision>
  <cp:lastPrinted>2019-06-26T12:00:00Z</cp:lastPrinted>
  <dcterms:created xsi:type="dcterms:W3CDTF">2019-06-14T07:50:00Z</dcterms:created>
  <dcterms:modified xsi:type="dcterms:W3CDTF">2019-07-02T11:54:00Z</dcterms:modified>
</cp:coreProperties>
</file>