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A1FD1" w14:textId="53EF5683" w:rsidR="00CA70BA" w:rsidRDefault="00CA70BA" w:rsidP="00CA70BA">
      <w:pPr>
        <w:jc w:val="center"/>
        <w:rPr>
          <w:b/>
          <w:szCs w:val="28"/>
        </w:rPr>
      </w:pPr>
      <w:bookmarkStart w:id="0" w:name="OLE_LINK1"/>
      <w:bookmarkStart w:id="1" w:name="OLE_LINK2"/>
      <w:r>
        <w:rPr>
          <w:b/>
          <w:bCs/>
          <w:szCs w:val="28"/>
        </w:rPr>
        <w:t>Ministru kabineta n</w:t>
      </w:r>
      <w:r w:rsidRPr="00311AA0">
        <w:rPr>
          <w:b/>
          <w:bCs/>
          <w:szCs w:val="28"/>
        </w:rPr>
        <w:t>oteikumu projekta “Grozījumi Ministru kabineta 2013.gada 15.janvāra noteikumos Nr.40 “</w:t>
      </w:r>
      <w:r w:rsidRPr="00311AA0">
        <w:rPr>
          <w:b/>
          <w:bCs/>
          <w:szCs w:val="28"/>
          <w:lang w:eastAsia="lv-LV"/>
        </w:rPr>
        <w:t>Noteikumi par pievienotās vērtības nodokļa deklarācijām</w:t>
      </w:r>
      <w:r w:rsidRPr="00311AA0">
        <w:rPr>
          <w:b/>
          <w:szCs w:val="28"/>
        </w:rPr>
        <w:t>””</w:t>
      </w:r>
      <w:r w:rsidRPr="00311AA0">
        <w:rPr>
          <w:b/>
          <w:bCs/>
          <w:szCs w:val="28"/>
        </w:rPr>
        <w:t xml:space="preserve"> </w:t>
      </w:r>
      <w:r w:rsidRPr="00311AA0">
        <w:rPr>
          <w:b/>
          <w:szCs w:val="28"/>
        </w:rPr>
        <w:t>sākotnējās ietekmes novērtējuma ziņojums (anotācija)</w:t>
      </w:r>
    </w:p>
    <w:p w14:paraId="1FD6B1A3" w14:textId="1ED56D28" w:rsidR="00CB56F1" w:rsidRPr="00311AA0" w:rsidRDefault="00CB56F1" w:rsidP="00CA70BA">
      <w:pPr>
        <w:jc w:val="center"/>
        <w:rPr>
          <w:b/>
          <w:szCs w:val="28"/>
        </w:rPr>
      </w:pPr>
      <w:r>
        <w:rPr>
          <w:b/>
          <w:szCs w:val="28"/>
        </w:rPr>
        <w:softHyphen/>
      </w:r>
      <w:r>
        <w:rPr>
          <w:b/>
          <w:szCs w:val="28"/>
        </w:rPr>
        <w:softHyphen/>
      </w:r>
      <w:r>
        <w:rPr>
          <w:b/>
          <w:szCs w:val="28"/>
        </w:rPr>
        <w:softHyphen/>
      </w:r>
      <w:r>
        <w:rPr>
          <w:b/>
          <w:szCs w:val="28"/>
        </w:rPr>
        <w:softHyphen/>
      </w:r>
      <w:r>
        <w:rPr>
          <w:b/>
          <w:szCs w:val="28"/>
        </w:rPr>
        <w:softHyphen/>
      </w:r>
    </w:p>
    <w:tbl>
      <w:tblPr>
        <w:tblW w:w="545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92"/>
        <w:gridCol w:w="6092"/>
      </w:tblGrid>
      <w:tr w:rsidR="00BB1B70" w:rsidRPr="00BB1B70" w14:paraId="50D44D19" w14:textId="77777777" w:rsidTr="00BA22C5">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F34614" w14:textId="77777777" w:rsidR="00BB1B70" w:rsidRPr="00BA22C5" w:rsidRDefault="00BB1B70" w:rsidP="006E5ADD">
            <w:pPr>
              <w:ind w:firstLine="301"/>
              <w:jc w:val="center"/>
              <w:rPr>
                <w:b/>
                <w:bCs/>
                <w:sz w:val="26"/>
                <w:szCs w:val="26"/>
              </w:rPr>
            </w:pPr>
            <w:r w:rsidRPr="00BA22C5">
              <w:rPr>
                <w:b/>
                <w:bCs/>
                <w:sz w:val="26"/>
                <w:szCs w:val="26"/>
              </w:rPr>
              <w:t xml:space="preserve">Tiesību akta projekta anotācijas kopsavilkums </w:t>
            </w:r>
          </w:p>
        </w:tc>
      </w:tr>
      <w:tr w:rsidR="00BB1B70" w:rsidRPr="00BB1B70" w14:paraId="28F9C76D" w14:textId="77777777" w:rsidTr="00BA22C5">
        <w:tc>
          <w:tcPr>
            <w:tcW w:w="1918" w:type="pct"/>
            <w:tcBorders>
              <w:top w:val="outset" w:sz="6" w:space="0" w:color="414142"/>
              <w:left w:val="outset" w:sz="6" w:space="0" w:color="414142"/>
              <w:bottom w:val="outset" w:sz="6" w:space="0" w:color="414142"/>
              <w:right w:val="outset" w:sz="6" w:space="0" w:color="414142"/>
            </w:tcBorders>
            <w:hideMark/>
          </w:tcPr>
          <w:p w14:paraId="7B9E9E22" w14:textId="77777777" w:rsidR="00BB1B70" w:rsidRPr="00BA22C5" w:rsidRDefault="00BB1B70" w:rsidP="006E5ADD">
            <w:pPr>
              <w:jc w:val="both"/>
              <w:rPr>
                <w:sz w:val="26"/>
                <w:szCs w:val="26"/>
              </w:rPr>
            </w:pPr>
            <w:r w:rsidRPr="00BA22C5">
              <w:rPr>
                <w:sz w:val="26"/>
                <w:szCs w:val="26"/>
              </w:rPr>
              <w:t>Mērķis, risinājums un projekta spēkā stāšanās laiks (500 zīmes bez atstarpēm)</w:t>
            </w:r>
          </w:p>
        </w:tc>
        <w:tc>
          <w:tcPr>
            <w:tcW w:w="3082" w:type="pct"/>
            <w:tcBorders>
              <w:top w:val="outset" w:sz="6" w:space="0" w:color="414142"/>
              <w:left w:val="outset" w:sz="6" w:space="0" w:color="414142"/>
              <w:bottom w:val="outset" w:sz="6" w:space="0" w:color="414142"/>
              <w:right w:val="outset" w:sz="6" w:space="0" w:color="414142"/>
            </w:tcBorders>
            <w:hideMark/>
          </w:tcPr>
          <w:p w14:paraId="0F256754" w14:textId="74A9DBAA" w:rsidR="00BB1B70" w:rsidRPr="00BA22C5" w:rsidRDefault="00E44028" w:rsidP="006E5ADD">
            <w:pPr>
              <w:jc w:val="both"/>
              <w:rPr>
                <w:sz w:val="26"/>
                <w:szCs w:val="26"/>
              </w:rPr>
            </w:pPr>
            <w:r>
              <w:rPr>
                <w:sz w:val="26"/>
                <w:szCs w:val="26"/>
              </w:rPr>
              <w:t>Nav attiecināms.</w:t>
            </w:r>
            <w:r w:rsidR="00BB1B70" w:rsidRPr="00BA22C5">
              <w:rPr>
                <w:sz w:val="26"/>
                <w:szCs w:val="26"/>
              </w:rPr>
              <w:t xml:space="preserve">  </w:t>
            </w:r>
          </w:p>
        </w:tc>
      </w:tr>
    </w:tbl>
    <w:p w14:paraId="53AEEF68" w14:textId="77777777" w:rsidR="00CA70BA" w:rsidRPr="00311AA0" w:rsidRDefault="00CA70BA" w:rsidP="00BA22C5">
      <w:pPr>
        <w:rPr>
          <w:sz w:val="27"/>
          <w:szCs w:val="27"/>
          <w:lang w:eastAsia="lv-LV"/>
        </w:rPr>
      </w:pPr>
    </w:p>
    <w:tbl>
      <w:tblPr>
        <w:tblW w:w="990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
        <w:gridCol w:w="3379"/>
        <w:gridCol w:w="6098"/>
      </w:tblGrid>
      <w:tr w:rsidR="00CA70BA" w14:paraId="595238D6" w14:textId="77777777" w:rsidTr="00BA22C5">
        <w:trPr>
          <w:trHeight w:val="362"/>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14:paraId="79234670" w14:textId="77777777" w:rsidR="00CA70BA" w:rsidRPr="00635B2A" w:rsidRDefault="00CA70BA" w:rsidP="00BC2D68">
            <w:pPr>
              <w:jc w:val="center"/>
              <w:rPr>
                <w:rFonts w:eastAsia="Times New Roman"/>
                <w:sz w:val="27"/>
                <w:szCs w:val="27"/>
                <w:lang w:eastAsia="lv-LV"/>
              </w:rPr>
            </w:pPr>
            <w:r w:rsidRPr="00635B2A">
              <w:rPr>
                <w:rFonts w:eastAsia="Times New Roman"/>
                <w:b/>
                <w:bCs/>
                <w:sz w:val="27"/>
                <w:szCs w:val="27"/>
                <w:lang w:eastAsia="lv-LV"/>
              </w:rPr>
              <w:t>I. Tiesību akta projekta izstrādes nepieciešamība</w:t>
            </w:r>
          </w:p>
        </w:tc>
      </w:tr>
      <w:tr w:rsidR="00CA70BA" w14:paraId="02C3D906" w14:textId="77777777" w:rsidTr="00BA22C5">
        <w:trPr>
          <w:trHeight w:val="361"/>
          <w:tblCellSpacing w:w="0" w:type="dxa"/>
        </w:trPr>
        <w:tc>
          <w:tcPr>
            <w:tcW w:w="423" w:type="dxa"/>
            <w:tcBorders>
              <w:top w:val="outset" w:sz="6" w:space="0" w:color="auto"/>
              <w:left w:val="outset" w:sz="6" w:space="0" w:color="auto"/>
              <w:bottom w:val="outset" w:sz="6" w:space="0" w:color="auto"/>
              <w:right w:val="outset" w:sz="6" w:space="0" w:color="auto"/>
            </w:tcBorders>
            <w:hideMark/>
          </w:tcPr>
          <w:p w14:paraId="425B5736" w14:textId="77777777" w:rsidR="00CA70BA" w:rsidRPr="00CA74E1" w:rsidRDefault="00CA70BA" w:rsidP="00BC2D68">
            <w:pPr>
              <w:rPr>
                <w:rFonts w:eastAsia="Times New Roman"/>
                <w:sz w:val="26"/>
                <w:szCs w:val="26"/>
                <w:lang w:eastAsia="lv-LV"/>
              </w:rPr>
            </w:pPr>
            <w:r w:rsidRPr="00CA74E1">
              <w:rPr>
                <w:rFonts w:eastAsia="Times New Roman"/>
                <w:sz w:val="26"/>
                <w:szCs w:val="26"/>
                <w:lang w:eastAsia="lv-LV"/>
              </w:rPr>
              <w:t>1.</w:t>
            </w:r>
          </w:p>
        </w:tc>
        <w:tc>
          <w:tcPr>
            <w:tcW w:w="3379" w:type="dxa"/>
            <w:tcBorders>
              <w:top w:val="outset" w:sz="6" w:space="0" w:color="auto"/>
              <w:left w:val="outset" w:sz="6" w:space="0" w:color="auto"/>
              <w:bottom w:val="outset" w:sz="6" w:space="0" w:color="auto"/>
              <w:right w:val="outset" w:sz="6" w:space="0" w:color="auto"/>
            </w:tcBorders>
            <w:hideMark/>
          </w:tcPr>
          <w:p w14:paraId="452D9AEB" w14:textId="77777777" w:rsidR="00CA70BA" w:rsidRPr="00CA74E1" w:rsidRDefault="00CA70BA" w:rsidP="00BC2D68">
            <w:pPr>
              <w:rPr>
                <w:rFonts w:eastAsia="Times New Roman"/>
                <w:sz w:val="26"/>
                <w:szCs w:val="26"/>
                <w:lang w:eastAsia="lv-LV"/>
              </w:rPr>
            </w:pPr>
            <w:r w:rsidRPr="00CA74E1">
              <w:rPr>
                <w:rFonts w:eastAsia="Times New Roman"/>
                <w:sz w:val="26"/>
                <w:szCs w:val="26"/>
                <w:lang w:eastAsia="lv-LV"/>
              </w:rPr>
              <w:t> Pamatojums</w:t>
            </w:r>
          </w:p>
        </w:tc>
        <w:tc>
          <w:tcPr>
            <w:tcW w:w="6098" w:type="dxa"/>
            <w:tcBorders>
              <w:top w:val="outset" w:sz="6" w:space="0" w:color="auto"/>
              <w:left w:val="outset" w:sz="6" w:space="0" w:color="auto"/>
              <w:bottom w:val="outset" w:sz="6" w:space="0" w:color="auto"/>
              <w:right w:val="outset" w:sz="6" w:space="0" w:color="auto"/>
            </w:tcBorders>
            <w:hideMark/>
          </w:tcPr>
          <w:p w14:paraId="019CFD38" w14:textId="4AE57D64" w:rsidR="00CA70BA" w:rsidRDefault="00CA70BA" w:rsidP="00BC2D68">
            <w:pPr>
              <w:jc w:val="both"/>
              <w:rPr>
                <w:sz w:val="26"/>
                <w:szCs w:val="26"/>
              </w:rPr>
            </w:pPr>
            <w:r w:rsidRPr="00CA74E1">
              <w:rPr>
                <w:sz w:val="26"/>
                <w:szCs w:val="26"/>
              </w:rPr>
              <w:t>Ministru kabineta noteikumu projekts “Grozījumi Ministru kabineta 2013.gada 15.janvāra noteikumos Nr.40 “Noteikumi par pievienotās vērtības nodokļa deklarācijām”” (turpmāk – noteikumu projekts) ir izstrādāts,</w:t>
            </w:r>
            <w:r w:rsidRPr="008D00B5">
              <w:rPr>
                <w:sz w:val="26"/>
                <w:szCs w:val="26"/>
              </w:rPr>
              <w:t xml:space="preserve"> </w:t>
            </w:r>
            <w:r w:rsidRPr="00CA74E1">
              <w:rPr>
                <w:sz w:val="26"/>
                <w:szCs w:val="26"/>
              </w:rPr>
              <w:t>pamatojoties uz likum</w:t>
            </w:r>
            <w:r>
              <w:rPr>
                <w:sz w:val="26"/>
                <w:szCs w:val="26"/>
              </w:rPr>
              <w:t>u</w:t>
            </w:r>
            <w:r w:rsidRPr="00CA74E1">
              <w:rPr>
                <w:sz w:val="26"/>
                <w:szCs w:val="26"/>
              </w:rPr>
              <w:t xml:space="preserve"> “Grozījumi Pievienotās vērtības nodokļa likumā”</w:t>
            </w:r>
            <w:r>
              <w:rPr>
                <w:sz w:val="26"/>
                <w:szCs w:val="26"/>
              </w:rPr>
              <w:t xml:space="preserve"> </w:t>
            </w:r>
            <w:r w:rsidRPr="00CA74E1">
              <w:rPr>
                <w:sz w:val="26"/>
                <w:szCs w:val="26"/>
              </w:rPr>
              <w:t>(</w:t>
            </w:r>
            <w:r w:rsidRPr="00731BF0">
              <w:rPr>
                <w:sz w:val="26"/>
                <w:szCs w:val="26"/>
              </w:rPr>
              <w:t>Nr.170</w:t>
            </w:r>
            <w:r w:rsidRPr="00F91858">
              <w:rPr>
                <w:sz w:val="26"/>
                <w:szCs w:val="26"/>
              </w:rPr>
              <w:t>/Lp13</w:t>
            </w:r>
            <w:r w:rsidRPr="00CA74E1">
              <w:rPr>
                <w:sz w:val="26"/>
                <w:szCs w:val="26"/>
              </w:rPr>
              <w:t>)</w:t>
            </w:r>
            <w:r>
              <w:rPr>
                <w:sz w:val="26"/>
                <w:szCs w:val="26"/>
              </w:rPr>
              <w:t xml:space="preserve">, kas Saeimā pieņemts </w:t>
            </w:r>
            <w:r w:rsidRPr="00CA74E1">
              <w:rPr>
                <w:sz w:val="26"/>
                <w:szCs w:val="26"/>
              </w:rPr>
              <w:t>201</w:t>
            </w:r>
            <w:r>
              <w:rPr>
                <w:sz w:val="26"/>
                <w:szCs w:val="26"/>
              </w:rPr>
              <w:t>9</w:t>
            </w:r>
            <w:r w:rsidRPr="00CA74E1">
              <w:rPr>
                <w:sz w:val="26"/>
                <w:szCs w:val="26"/>
              </w:rPr>
              <w:t xml:space="preserve">.gada </w:t>
            </w:r>
            <w:r>
              <w:rPr>
                <w:sz w:val="26"/>
                <w:szCs w:val="26"/>
              </w:rPr>
              <w:t xml:space="preserve">23.maijā un stāsies spēkā </w:t>
            </w:r>
            <w:r w:rsidRPr="00731BF0">
              <w:rPr>
                <w:sz w:val="26"/>
                <w:szCs w:val="26"/>
              </w:rPr>
              <w:t>20</w:t>
            </w:r>
            <w:r w:rsidRPr="00F91858">
              <w:rPr>
                <w:sz w:val="26"/>
                <w:szCs w:val="26"/>
              </w:rPr>
              <w:t>21.gada</w:t>
            </w:r>
            <w:r w:rsidRPr="00CA74E1">
              <w:rPr>
                <w:sz w:val="26"/>
                <w:szCs w:val="26"/>
              </w:rPr>
              <w:t xml:space="preserve"> 1.janvārī</w:t>
            </w:r>
            <w:r>
              <w:rPr>
                <w:sz w:val="26"/>
                <w:szCs w:val="26"/>
              </w:rPr>
              <w:t xml:space="preserve"> (turpmāk – </w:t>
            </w:r>
            <w:r w:rsidRPr="00CA74E1">
              <w:rPr>
                <w:sz w:val="26"/>
                <w:szCs w:val="26"/>
              </w:rPr>
              <w:t>likum</w:t>
            </w:r>
            <w:r>
              <w:rPr>
                <w:sz w:val="26"/>
                <w:szCs w:val="26"/>
              </w:rPr>
              <w:t>s</w:t>
            </w:r>
            <w:r w:rsidRPr="00CA74E1">
              <w:rPr>
                <w:sz w:val="26"/>
                <w:szCs w:val="26"/>
              </w:rPr>
              <w:t xml:space="preserve"> “Grozījumi Pievienotās vērtības nodokļa likumā”</w:t>
            </w:r>
            <w:r>
              <w:rPr>
                <w:sz w:val="26"/>
                <w:szCs w:val="26"/>
              </w:rPr>
              <w:t xml:space="preserve"> </w:t>
            </w:r>
            <w:r w:rsidRPr="00CA74E1">
              <w:rPr>
                <w:sz w:val="26"/>
                <w:szCs w:val="26"/>
              </w:rPr>
              <w:t>(</w:t>
            </w:r>
            <w:r w:rsidRPr="00407937">
              <w:rPr>
                <w:sz w:val="26"/>
                <w:szCs w:val="26"/>
              </w:rPr>
              <w:t>Nr.</w:t>
            </w:r>
            <w:r>
              <w:rPr>
                <w:sz w:val="26"/>
                <w:szCs w:val="26"/>
              </w:rPr>
              <w:t>170</w:t>
            </w:r>
            <w:r w:rsidRPr="00407937">
              <w:rPr>
                <w:sz w:val="26"/>
                <w:szCs w:val="26"/>
              </w:rPr>
              <w:t>/Lp1</w:t>
            </w:r>
            <w:r>
              <w:rPr>
                <w:sz w:val="26"/>
                <w:szCs w:val="26"/>
              </w:rPr>
              <w:t>3</w:t>
            </w:r>
            <w:r w:rsidRPr="00CA74E1">
              <w:rPr>
                <w:sz w:val="26"/>
                <w:szCs w:val="26"/>
              </w:rPr>
              <w:t>)</w:t>
            </w:r>
            <w:r>
              <w:rPr>
                <w:sz w:val="26"/>
                <w:szCs w:val="26"/>
              </w:rPr>
              <w:t xml:space="preserve">) un likumu </w:t>
            </w:r>
            <w:r w:rsidRPr="00CA74E1">
              <w:rPr>
                <w:sz w:val="26"/>
                <w:szCs w:val="26"/>
              </w:rPr>
              <w:t>“Grozījumi Pievienotās vērtības nodokļa likumā”</w:t>
            </w:r>
            <w:r>
              <w:rPr>
                <w:sz w:val="26"/>
                <w:szCs w:val="26"/>
              </w:rPr>
              <w:t xml:space="preserve"> </w:t>
            </w:r>
            <w:r w:rsidRPr="00CA74E1">
              <w:rPr>
                <w:sz w:val="26"/>
                <w:szCs w:val="26"/>
              </w:rPr>
              <w:t>(</w:t>
            </w:r>
            <w:r w:rsidRPr="00407937">
              <w:rPr>
                <w:sz w:val="26"/>
                <w:szCs w:val="26"/>
              </w:rPr>
              <w:t>Nr.</w:t>
            </w:r>
            <w:r>
              <w:rPr>
                <w:sz w:val="26"/>
                <w:szCs w:val="26"/>
              </w:rPr>
              <w:t>57</w:t>
            </w:r>
            <w:r w:rsidRPr="00407937">
              <w:rPr>
                <w:sz w:val="26"/>
                <w:szCs w:val="26"/>
              </w:rPr>
              <w:t>/Lp1</w:t>
            </w:r>
            <w:r>
              <w:rPr>
                <w:sz w:val="26"/>
                <w:szCs w:val="26"/>
              </w:rPr>
              <w:t>3</w:t>
            </w:r>
            <w:r w:rsidRPr="00CA74E1">
              <w:rPr>
                <w:sz w:val="26"/>
                <w:szCs w:val="26"/>
              </w:rPr>
              <w:t>)</w:t>
            </w:r>
            <w:r>
              <w:rPr>
                <w:sz w:val="26"/>
                <w:szCs w:val="26"/>
              </w:rPr>
              <w:t xml:space="preserve">, kas Saeimā pieņemts </w:t>
            </w:r>
            <w:r w:rsidRPr="00CA74E1">
              <w:rPr>
                <w:sz w:val="26"/>
                <w:szCs w:val="26"/>
              </w:rPr>
              <w:t>201</w:t>
            </w:r>
            <w:r>
              <w:rPr>
                <w:sz w:val="26"/>
                <w:szCs w:val="26"/>
              </w:rPr>
              <w:t>9</w:t>
            </w:r>
            <w:r w:rsidRPr="00CA74E1">
              <w:rPr>
                <w:sz w:val="26"/>
                <w:szCs w:val="26"/>
              </w:rPr>
              <w:t xml:space="preserve">.gada </w:t>
            </w:r>
            <w:r>
              <w:rPr>
                <w:sz w:val="26"/>
                <w:szCs w:val="26"/>
              </w:rPr>
              <w:t xml:space="preserve">30.maijā un stāsies spēkā </w:t>
            </w:r>
            <w:r w:rsidRPr="00CA74E1">
              <w:rPr>
                <w:sz w:val="26"/>
                <w:szCs w:val="26"/>
              </w:rPr>
              <w:t>20</w:t>
            </w:r>
            <w:r>
              <w:rPr>
                <w:sz w:val="26"/>
                <w:szCs w:val="26"/>
              </w:rPr>
              <w:t>19</w:t>
            </w:r>
            <w:r w:rsidRPr="00CA74E1">
              <w:rPr>
                <w:sz w:val="26"/>
                <w:szCs w:val="26"/>
              </w:rPr>
              <w:t>.gada 1.</w:t>
            </w:r>
            <w:r>
              <w:rPr>
                <w:sz w:val="26"/>
                <w:szCs w:val="26"/>
              </w:rPr>
              <w:t xml:space="preserve">jūlijā (turpmāk – likums </w:t>
            </w:r>
            <w:r w:rsidRPr="00CA74E1">
              <w:rPr>
                <w:sz w:val="26"/>
                <w:szCs w:val="26"/>
              </w:rPr>
              <w:t>“Grozījumi Pievienotās vērtības nodokļa likumā”</w:t>
            </w:r>
            <w:r>
              <w:rPr>
                <w:sz w:val="26"/>
                <w:szCs w:val="26"/>
              </w:rPr>
              <w:t xml:space="preserve"> </w:t>
            </w:r>
            <w:r w:rsidRPr="00CA74E1">
              <w:rPr>
                <w:sz w:val="26"/>
                <w:szCs w:val="26"/>
              </w:rPr>
              <w:t>(</w:t>
            </w:r>
            <w:r w:rsidRPr="00407937">
              <w:rPr>
                <w:sz w:val="26"/>
                <w:szCs w:val="26"/>
              </w:rPr>
              <w:t>Nr.</w:t>
            </w:r>
            <w:r>
              <w:rPr>
                <w:sz w:val="26"/>
                <w:szCs w:val="26"/>
              </w:rPr>
              <w:t>57</w:t>
            </w:r>
            <w:r w:rsidRPr="00407937">
              <w:rPr>
                <w:sz w:val="26"/>
                <w:szCs w:val="26"/>
              </w:rPr>
              <w:t>/Lp1</w:t>
            </w:r>
            <w:r>
              <w:rPr>
                <w:sz w:val="26"/>
                <w:szCs w:val="26"/>
              </w:rPr>
              <w:t>3</w:t>
            </w:r>
            <w:r w:rsidRPr="00CA74E1">
              <w:rPr>
                <w:sz w:val="26"/>
                <w:szCs w:val="26"/>
              </w:rPr>
              <w:t>)</w:t>
            </w:r>
            <w:r>
              <w:rPr>
                <w:sz w:val="26"/>
                <w:szCs w:val="26"/>
              </w:rPr>
              <w:t xml:space="preserve">), kā arī nepieciešams veikt tehnisku un redakcionālu precizējumu, </w:t>
            </w:r>
            <w:r w:rsidRPr="004B5B23">
              <w:rPr>
                <w:sz w:val="26"/>
                <w:szCs w:val="26"/>
              </w:rPr>
              <w:t>pamatojoties uz likumu “Grozījumi Pievienotās vērtības nodokļa likumā”, kas Saeimā pieņemts 2017.gada 22.novembrī un stā</w:t>
            </w:r>
            <w:r>
              <w:rPr>
                <w:sz w:val="26"/>
                <w:szCs w:val="26"/>
              </w:rPr>
              <w:t>jā</w:t>
            </w:r>
            <w:r w:rsidRPr="004B5B23">
              <w:rPr>
                <w:sz w:val="26"/>
                <w:szCs w:val="26"/>
              </w:rPr>
              <w:t>s spēkā 2018.gada 1.janvārī.</w:t>
            </w:r>
          </w:p>
          <w:p w14:paraId="7EAB0AA2" w14:textId="77777777" w:rsidR="00CA70BA" w:rsidRPr="00CA74E1" w:rsidRDefault="00CA70BA" w:rsidP="00BC2D68">
            <w:pPr>
              <w:jc w:val="both"/>
              <w:rPr>
                <w:rFonts w:eastAsia="Times New Roman"/>
                <w:color w:val="2A2A2A"/>
                <w:sz w:val="26"/>
                <w:szCs w:val="26"/>
                <w:lang w:eastAsia="lv-LV"/>
              </w:rPr>
            </w:pPr>
          </w:p>
        </w:tc>
      </w:tr>
      <w:tr w:rsidR="00CA70BA" w14:paraId="628DE1B0" w14:textId="77777777" w:rsidTr="00BA22C5">
        <w:trPr>
          <w:trHeight w:val="1403"/>
          <w:tblCellSpacing w:w="0" w:type="dxa"/>
        </w:trPr>
        <w:tc>
          <w:tcPr>
            <w:tcW w:w="423" w:type="dxa"/>
            <w:tcBorders>
              <w:top w:val="outset" w:sz="6" w:space="0" w:color="auto"/>
              <w:left w:val="outset" w:sz="6" w:space="0" w:color="auto"/>
              <w:bottom w:val="outset" w:sz="6" w:space="0" w:color="auto"/>
              <w:right w:val="outset" w:sz="6" w:space="0" w:color="auto"/>
            </w:tcBorders>
            <w:hideMark/>
          </w:tcPr>
          <w:p w14:paraId="2E69770C" w14:textId="77777777" w:rsidR="00CA70BA" w:rsidRPr="00CA74E1" w:rsidRDefault="00CA70BA" w:rsidP="00BC2D68">
            <w:pPr>
              <w:jc w:val="both"/>
              <w:rPr>
                <w:rFonts w:eastAsia="Times New Roman"/>
                <w:sz w:val="26"/>
                <w:szCs w:val="26"/>
                <w:lang w:eastAsia="lv-LV"/>
              </w:rPr>
            </w:pPr>
            <w:r w:rsidRPr="00CA74E1">
              <w:rPr>
                <w:rFonts w:eastAsia="Times New Roman"/>
                <w:sz w:val="26"/>
                <w:szCs w:val="26"/>
                <w:lang w:eastAsia="lv-LV"/>
              </w:rPr>
              <w:t>2.</w:t>
            </w:r>
          </w:p>
        </w:tc>
        <w:tc>
          <w:tcPr>
            <w:tcW w:w="3379" w:type="dxa"/>
            <w:tcBorders>
              <w:top w:val="outset" w:sz="6" w:space="0" w:color="auto"/>
              <w:left w:val="outset" w:sz="6" w:space="0" w:color="auto"/>
              <w:bottom w:val="outset" w:sz="6" w:space="0" w:color="auto"/>
              <w:right w:val="outset" w:sz="6" w:space="0" w:color="auto"/>
            </w:tcBorders>
            <w:hideMark/>
          </w:tcPr>
          <w:p w14:paraId="1F08E639" w14:textId="77777777" w:rsidR="00CA70BA" w:rsidRPr="00CA74E1" w:rsidRDefault="00CA70BA" w:rsidP="00BC2D68">
            <w:pPr>
              <w:tabs>
                <w:tab w:val="left" w:pos="341"/>
              </w:tabs>
              <w:ind w:left="114" w:right="126"/>
              <w:rPr>
                <w:rFonts w:eastAsia="Times New Roman"/>
                <w:sz w:val="26"/>
                <w:szCs w:val="26"/>
                <w:lang w:eastAsia="lv-LV"/>
              </w:rPr>
            </w:pPr>
            <w:r w:rsidRPr="00CA74E1">
              <w:rPr>
                <w:rFonts w:eastAsia="Times New Roman"/>
                <w:sz w:val="26"/>
                <w:szCs w:val="26"/>
                <w:lang w:eastAsia="lv-LV"/>
              </w:rPr>
              <w:t xml:space="preserve">Pašreizējā situācija un problēmas, kuru risināšanai tiesību akta projekts izstrādāts, izstrādātā tiesiskā regulējuma mērķis un būtība </w:t>
            </w:r>
          </w:p>
          <w:p w14:paraId="3374E18A" w14:textId="77777777" w:rsidR="00CA70BA" w:rsidRPr="00CA74E1" w:rsidRDefault="00CA70BA" w:rsidP="00BC2D68">
            <w:pPr>
              <w:rPr>
                <w:rFonts w:eastAsia="Times New Roman"/>
                <w:sz w:val="26"/>
                <w:szCs w:val="26"/>
                <w:lang w:eastAsia="lv-LV"/>
              </w:rPr>
            </w:pPr>
          </w:p>
          <w:p w14:paraId="25FD33E4" w14:textId="77777777" w:rsidR="00CA70BA" w:rsidRPr="00CA74E1" w:rsidRDefault="00CA70BA" w:rsidP="00BC2D68">
            <w:pPr>
              <w:rPr>
                <w:rFonts w:eastAsia="Times New Roman"/>
                <w:sz w:val="26"/>
                <w:szCs w:val="26"/>
                <w:lang w:eastAsia="lv-LV"/>
              </w:rPr>
            </w:pPr>
          </w:p>
          <w:p w14:paraId="7DBC739D" w14:textId="77777777" w:rsidR="00CA70BA" w:rsidRPr="00CA74E1" w:rsidRDefault="00CA70BA" w:rsidP="00BC2D68">
            <w:pPr>
              <w:rPr>
                <w:rFonts w:eastAsia="Times New Roman"/>
                <w:sz w:val="26"/>
                <w:szCs w:val="26"/>
                <w:lang w:eastAsia="lv-LV"/>
              </w:rPr>
            </w:pPr>
          </w:p>
          <w:p w14:paraId="41AC3A4F" w14:textId="77777777" w:rsidR="00CA70BA" w:rsidRPr="00CA74E1" w:rsidRDefault="00CA70BA" w:rsidP="00BC2D68">
            <w:pPr>
              <w:rPr>
                <w:rFonts w:eastAsia="Times New Roman"/>
                <w:sz w:val="26"/>
                <w:szCs w:val="26"/>
                <w:lang w:eastAsia="lv-LV"/>
              </w:rPr>
            </w:pPr>
          </w:p>
          <w:p w14:paraId="0745AE50" w14:textId="77777777" w:rsidR="00CA70BA" w:rsidRPr="00CA74E1" w:rsidRDefault="00CA70BA" w:rsidP="00BC2D68">
            <w:pPr>
              <w:rPr>
                <w:rFonts w:eastAsia="Times New Roman"/>
                <w:sz w:val="26"/>
                <w:szCs w:val="26"/>
                <w:lang w:eastAsia="lv-LV"/>
              </w:rPr>
            </w:pPr>
          </w:p>
          <w:p w14:paraId="173CDCBA" w14:textId="77777777" w:rsidR="00CA70BA" w:rsidRPr="00CA74E1" w:rsidRDefault="00CA70BA" w:rsidP="00BC2D68">
            <w:pPr>
              <w:rPr>
                <w:rFonts w:eastAsia="Times New Roman"/>
                <w:sz w:val="26"/>
                <w:szCs w:val="26"/>
                <w:lang w:eastAsia="lv-LV"/>
              </w:rPr>
            </w:pPr>
          </w:p>
          <w:p w14:paraId="14EC7EC0" w14:textId="77777777" w:rsidR="00CA70BA" w:rsidRPr="00CA74E1" w:rsidRDefault="00CA70BA" w:rsidP="00BC2D68">
            <w:pPr>
              <w:rPr>
                <w:rFonts w:eastAsia="Times New Roman"/>
                <w:sz w:val="26"/>
                <w:szCs w:val="26"/>
                <w:lang w:eastAsia="lv-LV"/>
              </w:rPr>
            </w:pPr>
          </w:p>
          <w:p w14:paraId="4FC7418C" w14:textId="77777777" w:rsidR="00CA70BA" w:rsidRPr="00CA74E1" w:rsidRDefault="00CA70BA" w:rsidP="00BC2D68">
            <w:pPr>
              <w:rPr>
                <w:rFonts w:eastAsia="Times New Roman"/>
                <w:sz w:val="26"/>
                <w:szCs w:val="26"/>
                <w:lang w:eastAsia="lv-LV"/>
              </w:rPr>
            </w:pPr>
          </w:p>
          <w:p w14:paraId="2A2A81BC" w14:textId="77777777" w:rsidR="00CA70BA" w:rsidRPr="00CA74E1" w:rsidRDefault="00CA70BA" w:rsidP="00BC2D68">
            <w:pPr>
              <w:rPr>
                <w:rFonts w:eastAsia="Times New Roman"/>
                <w:sz w:val="26"/>
                <w:szCs w:val="26"/>
                <w:lang w:eastAsia="lv-LV"/>
              </w:rPr>
            </w:pPr>
          </w:p>
          <w:p w14:paraId="3BBFD606" w14:textId="77777777" w:rsidR="00CA70BA" w:rsidRPr="00CA74E1" w:rsidRDefault="00CA70BA" w:rsidP="00BC2D68">
            <w:pPr>
              <w:rPr>
                <w:rFonts w:eastAsia="Times New Roman"/>
                <w:sz w:val="26"/>
                <w:szCs w:val="26"/>
                <w:lang w:eastAsia="lv-LV"/>
              </w:rPr>
            </w:pPr>
          </w:p>
          <w:p w14:paraId="49827E05" w14:textId="77777777" w:rsidR="00CA70BA" w:rsidRPr="00CA74E1" w:rsidRDefault="00CA70BA" w:rsidP="00BC2D68">
            <w:pPr>
              <w:rPr>
                <w:rFonts w:eastAsia="Times New Roman"/>
                <w:sz w:val="26"/>
                <w:szCs w:val="26"/>
                <w:lang w:eastAsia="lv-LV"/>
              </w:rPr>
            </w:pPr>
          </w:p>
          <w:p w14:paraId="2E29577D" w14:textId="77777777" w:rsidR="00CA70BA" w:rsidRPr="00CA74E1" w:rsidRDefault="00CA70BA" w:rsidP="00BC2D68">
            <w:pPr>
              <w:rPr>
                <w:rFonts w:eastAsia="Times New Roman"/>
                <w:sz w:val="26"/>
                <w:szCs w:val="26"/>
                <w:lang w:eastAsia="lv-LV"/>
              </w:rPr>
            </w:pPr>
          </w:p>
          <w:p w14:paraId="030E2FCE" w14:textId="77777777" w:rsidR="00CA70BA" w:rsidRPr="00CA74E1" w:rsidRDefault="00CA70BA" w:rsidP="00BC2D68">
            <w:pPr>
              <w:rPr>
                <w:rFonts w:eastAsia="Times New Roman"/>
                <w:sz w:val="26"/>
                <w:szCs w:val="26"/>
                <w:lang w:eastAsia="lv-LV"/>
              </w:rPr>
            </w:pPr>
          </w:p>
          <w:p w14:paraId="524C99B2" w14:textId="77777777" w:rsidR="00CA70BA" w:rsidRPr="00CA74E1" w:rsidRDefault="00CA70BA" w:rsidP="00BC2D68">
            <w:pPr>
              <w:rPr>
                <w:rFonts w:eastAsia="Times New Roman"/>
                <w:sz w:val="26"/>
                <w:szCs w:val="26"/>
                <w:lang w:eastAsia="lv-LV"/>
              </w:rPr>
            </w:pPr>
          </w:p>
          <w:p w14:paraId="5FB133C8" w14:textId="77777777" w:rsidR="00CA70BA" w:rsidRPr="00CA74E1" w:rsidRDefault="00CA70BA" w:rsidP="00BC2D68">
            <w:pPr>
              <w:ind w:firstLine="720"/>
              <w:rPr>
                <w:rFonts w:eastAsia="Times New Roman"/>
                <w:sz w:val="26"/>
                <w:szCs w:val="26"/>
                <w:lang w:eastAsia="lv-LV"/>
              </w:rPr>
            </w:pPr>
          </w:p>
          <w:p w14:paraId="2C1C62A3" w14:textId="77777777" w:rsidR="00CA70BA" w:rsidRPr="00CA74E1" w:rsidRDefault="00CA70BA" w:rsidP="00BC2D68">
            <w:pPr>
              <w:rPr>
                <w:rFonts w:eastAsia="Times New Roman"/>
                <w:sz w:val="26"/>
                <w:szCs w:val="26"/>
                <w:lang w:eastAsia="lv-LV"/>
              </w:rPr>
            </w:pPr>
          </w:p>
          <w:p w14:paraId="5800DF08" w14:textId="77777777" w:rsidR="00CA70BA" w:rsidRPr="00CA74E1" w:rsidRDefault="00CA70BA" w:rsidP="00BC2D68">
            <w:pPr>
              <w:rPr>
                <w:rFonts w:eastAsia="Times New Roman"/>
                <w:sz w:val="26"/>
                <w:szCs w:val="26"/>
                <w:lang w:eastAsia="lv-LV"/>
              </w:rPr>
            </w:pPr>
          </w:p>
          <w:p w14:paraId="34790B40" w14:textId="77777777" w:rsidR="00CA70BA" w:rsidRPr="00CA74E1" w:rsidRDefault="00CA70BA" w:rsidP="00BC2D68">
            <w:pPr>
              <w:jc w:val="center"/>
              <w:rPr>
                <w:rFonts w:eastAsia="Times New Roman"/>
                <w:sz w:val="26"/>
                <w:szCs w:val="26"/>
                <w:lang w:eastAsia="lv-LV"/>
              </w:rPr>
            </w:pPr>
          </w:p>
        </w:tc>
        <w:tc>
          <w:tcPr>
            <w:tcW w:w="6098" w:type="dxa"/>
            <w:tcBorders>
              <w:top w:val="outset" w:sz="6" w:space="0" w:color="auto"/>
              <w:left w:val="outset" w:sz="6" w:space="0" w:color="auto"/>
              <w:bottom w:val="outset" w:sz="6" w:space="0" w:color="auto"/>
              <w:right w:val="outset" w:sz="6" w:space="0" w:color="auto"/>
            </w:tcBorders>
          </w:tcPr>
          <w:p w14:paraId="22B16BD2" w14:textId="7FE80BF5" w:rsidR="00CA70BA" w:rsidRDefault="00CA70BA" w:rsidP="00BC2D68">
            <w:pPr>
              <w:pStyle w:val="CommentText"/>
              <w:tabs>
                <w:tab w:val="left" w:pos="288"/>
              </w:tabs>
              <w:jc w:val="both"/>
              <w:rPr>
                <w:rFonts w:ascii="Times New Roman" w:eastAsia="Times New Roman" w:hAnsi="Times New Roman"/>
                <w:sz w:val="26"/>
                <w:szCs w:val="26"/>
              </w:rPr>
            </w:pPr>
            <w:r w:rsidRPr="00DD0EC5">
              <w:rPr>
                <w:rFonts w:ascii="Times New Roman" w:hAnsi="Times New Roman"/>
                <w:sz w:val="26"/>
                <w:szCs w:val="26"/>
              </w:rPr>
              <w:lastRenderedPageBreak/>
              <w:t>1.</w:t>
            </w:r>
            <w:r w:rsidR="00C43B60">
              <w:rPr>
                <w:rFonts w:ascii="Times New Roman" w:hAnsi="Times New Roman"/>
                <w:sz w:val="26"/>
                <w:szCs w:val="26"/>
              </w:rPr>
              <w:t xml:space="preserve"> </w:t>
            </w:r>
            <w:r w:rsidRPr="00711292">
              <w:rPr>
                <w:rFonts w:ascii="Times New Roman" w:hAnsi="Times New Roman"/>
                <w:sz w:val="26"/>
                <w:szCs w:val="26"/>
              </w:rPr>
              <w:t>20</w:t>
            </w:r>
            <w:r>
              <w:rPr>
                <w:rFonts w:ascii="Times New Roman" w:hAnsi="Times New Roman"/>
                <w:sz w:val="26"/>
                <w:szCs w:val="26"/>
              </w:rPr>
              <w:t>21</w:t>
            </w:r>
            <w:r w:rsidRPr="00711292">
              <w:rPr>
                <w:rFonts w:ascii="Times New Roman" w:hAnsi="Times New Roman"/>
                <w:sz w:val="26"/>
                <w:szCs w:val="26"/>
              </w:rPr>
              <w:t>.gada 1.janvār</w:t>
            </w:r>
            <w:r w:rsidR="00C43B60">
              <w:rPr>
                <w:rFonts w:ascii="Times New Roman" w:hAnsi="Times New Roman"/>
                <w:sz w:val="26"/>
                <w:szCs w:val="26"/>
              </w:rPr>
              <w:t>ī</w:t>
            </w:r>
            <w:r w:rsidRPr="00711292">
              <w:rPr>
                <w:rFonts w:ascii="Times New Roman" w:hAnsi="Times New Roman"/>
                <w:sz w:val="26"/>
                <w:szCs w:val="26"/>
              </w:rPr>
              <w:t>, pamatojoties uz likum</w:t>
            </w:r>
            <w:r>
              <w:rPr>
                <w:rFonts w:ascii="Times New Roman" w:hAnsi="Times New Roman"/>
                <w:sz w:val="26"/>
                <w:szCs w:val="26"/>
              </w:rPr>
              <w:t>ā</w:t>
            </w:r>
            <w:r w:rsidRPr="00711292">
              <w:rPr>
                <w:rFonts w:ascii="Times New Roman" w:hAnsi="Times New Roman"/>
                <w:sz w:val="26"/>
                <w:szCs w:val="26"/>
              </w:rPr>
              <w:t xml:space="preserve"> “Grozījumi Pievienotās vērtības nodokļa likumā”</w:t>
            </w:r>
            <w:r>
              <w:rPr>
                <w:rFonts w:ascii="Times New Roman" w:hAnsi="Times New Roman"/>
                <w:sz w:val="26"/>
                <w:szCs w:val="26"/>
              </w:rPr>
              <w:t xml:space="preserve"> </w:t>
            </w:r>
            <w:r w:rsidRPr="0030356A">
              <w:rPr>
                <w:rFonts w:ascii="Times New Roman" w:hAnsi="Times New Roman"/>
                <w:sz w:val="26"/>
                <w:szCs w:val="26"/>
              </w:rPr>
              <w:t xml:space="preserve">(Nr.170/Lp13) </w:t>
            </w:r>
            <w:r w:rsidR="008E03A5">
              <w:rPr>
                <w:rFonts w:ascii="Times New Roman" w:hAnsi="Times New Roman"/>
                <w:sz w:val="26"/>
                <w:szCs w:val="26"/>
              </w:rPr>
              <w:t>noteikto</w:t>
            </w:r>
            <w:r>
              <w:rPr>
                <w:rFonts w:ascii="Times New Roman" w:hAnsi="Times New Roman"/>
                <w:sz w:val="26"/>
                <w:szCs w:val="26"/>
              </w:rPr>
              <w:t xml:space="preserve">, </w:t>
            </w:r>
            <w:r w:rsidR="00C43B60">
              <w:rPr>
                <w:rFonts w:ascii="Times New Roman" w:hAnsi="Times New Roman"/>
                <w:sz w:val="26"/>
                <w:szCs w:val="26"/>
              </w:rPr>
              <w:t xml:space="preserve">stāsies spēkā grozījumi </w:t>
            </w:r>
            <w:r>
              <w:rPr>
                <w:rFonts w:ascii="Times New Roman" w:hAnsi="Times New Roman"/>
                <w:sz w:val="26"/>
                <w:szCs w:val="26"/>
              </w:rPr>
              <w:t>Pievienotās vērtības nodokļa likuma 119.pant</w:t>
            </w:r>
            <w:r w:rsidR="00C43B60">
              <w:rPr>
                <w:rFonts w:ascii="Times New Roman" w:hAnsi="Times New Roman"/>
                <w:sz w:val="26"/>
                <w:szCs w:val="26"/>
              </w:rPr>
              <w:t>ā</w:t>
            </w:r>
            <w:r>
              <w:rPr>
                <w:rFonts w:ascii="Times New Roman" w:hAnsi="Times New Roman"/>
                <w:sz w:val="26"/>
                <w:szCs w:val="26"/>
              </w:rPr>
              <w:t>, nosakot, ka reģistrētiem pievienotās vērtības nodokļa (turpmāk – PVN) maksātājiem aprēķinātais PVN valsts budžetā būs jāiemaksā 23 dienu laikā pēc taksācijas perioda beigām</w:t>
            </w:r>
            <w:r w:rsidRPr="001A7880">
              <w:rPr>
                <w:rFonts w:ascii="Times New Roman" w:eastAsia="Times New Roman" w:hAnsi="Times New Roman"/>
                <w:sz w:val="26"/>
                <w:szCs w:val="26"/>
              </w:rPr>
              <w:t xml:space="preserve">. </w:t>
            </w:r>
            <w:r w:rsidR="00C43B60">
              <w:rPr>
                <w:rFonts w:ascii="Times New Roman" w:eastAsia="Times New Roman" w:hAnsi="Times New Roman"/>
                <w:sz w:val="26"/>
                <w:szCs w:val="26"/>
              </w:rPr>
              <w:t xml:space="preserve">Šobrīd </w:t>
            </w:r>
            <w:r>
              <w:rPr>
                <w:rFonts w:ascii="Times New Roman" w:eastAsia="Times New Roman" w:hAnsi="Times New Roman"/>
                <w:sz w:val="26"/>
                <w:szCs w:val="26"/>
              </w:rPr>
              <w:t xml:space="preserve">spēkā esošajā Pievienotās vērtības nodokļa likuma 119.panta redakcijā PVN nomaksas termiņš ir 20 dienu laikā pēc taksācijas perioda beigām un tas sakrīt ar </w:t>
            </w:r>
            <w:r w:rsidR="00C43B60">
              <w:rPr>
                <w:rFonts w:ascii="Times New Roman" w:eastAsia="Times New Roman" w:hAnsi="Times New Roman"/>
                <w:sz w:val="26"/>
                <w:szCs w:val="26"/>
              </w:rPr>
              <w:t xml:space="preserve">minētā </w:t>
            </w:r>
            <w:r>
              <w:rPr>
                <w:rFonts w:ascii="Times New Roman" w:eastAsia="Times New Roman" w:hAnsi="Times New Roman"/>
                <w:sz w:val="26"/>
                <w:szCs w:val="26"/>
              </w:rPr>
              <w:t>likuma 118.pantā noteikto PVN deklarāciju iesniegšanas termiņu.</w:t>
            </w:r>
          </w:p>
          <w:p w14:paraId="0B821B67" w14:textId="716A2FDC" w:rsidR="00CA70BA" w:rsidRDefault="00CA70BA" w:rsidP="00BC2D68">
            <w:pPr>
              <w:pStyle w:val="CommentText"/>
              <w:ind w:left="11"/>
              <w:jc w:val="both"/>
              <w:rPr>
                <w:rFonts w:ascii="Times New Roman" w:hAnsi="Times New Roman"/>
                <w:sz w:val="26"/>
                <w:szCs w:val="26"/>
              </w:rPr>
            </w:pPr>
            <w:r>
              <w:rPr>
                <w:rFonts w:ascii="Times New Roman" w:hAnsi="Times New Roman"/>
                <w:sz w:val="26"/>
                <w:szCs w:val="26"/>
              </w:rPr>
              <w:t xml:space="preserve">Ņemot vērā, ka Ministru kabineta 2013.gada 15.janvāra noteikumu Nr.40 “Noteikumi par pievienotās vērtības nodokļa deklarācijām” </w:t>
            </w:r>
            <w:r w:rsidR="008E03A5">
              <w:rPr>
                <w:rFonts w:ascii="Times New Roman" w:hAnsi="Times New Roman"/>
                <w:sz w:val="26"/>
                <w:szCs w:val="26"/>
              </w:rPr>
              <w:t>(</w:t>
            </w:r>
            <w:r w:rsidR="008E03A5" w:rsidRPr="00F961A5">
              <w:rPr>
                <w:rFonts w:ascii="Times New Roman" w:hAnsi="Times New Roman"/>
                <w:sz w:val="26"/>
                <w:szCs w:val="26"/>
              </w:rPr>
              <w:t>turpmāk - Ministru kabineta 2013.gada 15.janvāra noteikumi Nr. 40</w:t>
            </w:r>
            <w:r w:rsidR="008E03A5">
              <w:rPr>
                <w:rFonts w:ascii="Times New Roman" w:hAnsi="Times New Roman"/>
                <w:sz w:val="26"/>
                <w:szCs w:val="26"/>
              </w:rPr>
              <w:t xml:space="preserve">) </w:t>
            </w:r>
            <w:r>
              <w:rPr>
                <w:rFonts w:ascii="Times New Roman" w:hAnsi="Times New Roman"/>
                <w:sz w:val="26"/>
                <w:szCs w:val="26"/>
              </w:rPr>
              <w:t xml:space="preserve">8., 9. un 10.punktā ir atsauces uz Pievienotās vērtības nodokļa </w:t>
            </w:r>
            <w:r>
              <w:rPr>
                <w:rFonts w:ascii="Times New Roman" w:hAnsi="Times New Roman"/>
                <w:sz w:val="26"/>
                <w:szCs w:val="26"/>
              </w:rPr>
              <w:lastRenderedPageBreak/>
              <w:t>likuma 118. un 119.pantu</w:t>
            </w:r>
            <w:r w:rsidR="00F65AC7">
              <w:rPr>
                <w:rFonts w:ascii="Times New Roman" w:hAnsi="Times New Roman"/>
                <w:sz w:val="26"/>
                <w:szCs w:val="26"/>
              </w:rPr>
              <w:t>,</w:t>
            </w:r>
            <w:r>
              <w:rPr>
                <w:rFonts w:ascii="Times New Roman" w:hAnsi="Times New Roman"/>
                <w:sz w:val="26"/>
                <w:szCs w:val="26"/>
              </w:rPr>
              <w:t xml:space="preserve"> ir jāveic redakcionāli precizējumi šajos punktos</w:t>
            </w:r>
            <w:r w:rsidR="008E03A5">
              <w:rPr>
                <w:rFonts w:ascii="Times New Roman" w:hAnsi="Times New Roman"/>
                <w:sz w:val="26"/>
                <w:szCs w:val="26"/>
              </w:rPr>
              <w:t xml:space="preserve"> (noteikumu projekta 1., 2., 3.punkts</w:t>
            </w:r>
            <w:r w:rsidR="008B47CD">
              <w:rPr>
                <w:rFonts w:ascii="Times New Roman" w:hAnsi="Times New Roman"/>
                <w:sz w:val="26"/>
                <w:szCs w:val="26"/>
              </w:rPr>
              <w:t xml:space="preserve">, </w:t>
            </w:r>
            <w:r w:rsidR="008E03A5">
              <w:rPr>
                <w:rFonts w:ascii="Times New Roman" w:hAnsi="Times New Roman"/>
                <w:sz w:val="26"/>
                <w:szCs w:val="26"/>
              </w:rPr>
              <w:t xml:space="preserve">kā arī </w:t>
            </w:r>
            <w:r w:rsidR="0043700C">
              <w:rPr>
                <w:rFonts w:ascii="Times New Roman" w:hAnsi="Times New Roman"/>
                <w:sz w:val="26"/>
                <w:szCs w:val="26"/>
              </w:rPr>
              <w:t>8</w:t>
            </w:r>
            <w:r w:rsidR="008E03A5">
              <w:rPr>
                <w:rFonts w:ascii="Times New Roman" w:hAnsi="Times New Roman"/>
                <w:sz w:val="26"/>
                <w:szCs w:val="26"/>
              </w:rPr>
              <w:t xml:space="preserve">.punktā ietvertais </w:t>
            </w:r>
            <w:r w:rsidR="008B47CD" w:rsidRPr="008B47CD">
              <w:rPr>
                <w:rFonts w:ascii="Times New Roman" w:hAnsi="Times New Roman"/>
                <w:sz w:val="26"/>
                <w:szCs w:val="26"/>
              </w:rPr>
              <w:t>Ministru kabineta 2013.gada 15.janvāra noteikumu Nr. 40</w:t>
            </w:r>
            <w:r w:rsidR="008B47CD">
              <w:rPr>
                <w:rFonts w:ascii="Times New Roman" w:hAnsi="Times New Roman"/>
                <w:sz w:val="26"/>
                <w:szCs w:val="26"/>
              </w:rPr>
              <w:t xml:space="preserve"> 77. punkts</w:t>
            </w:r>
            <w:r w:rsidR="008E03A5">
              <w:rPr>
                <w:rFonts w:ascii="Times New Roman" w:hAnsi="Times New Roman"/>
                <w:sz w:val="26"/>
                <w:szCs w:val="26"/>
              </w:rPr>
              <w:t>)</w:t>
            </w:r>
            <w:r w:rsidR="00A7511B">
              <w:rPr>
                <w:rFonts w:ascii="Times New Roman" w:hAnsi="Times New Roman"/>
                <w:sz w:val="26"/>
                <w:szCs w:val="26"/>
              </w:rPr>
              <w:t xml:space="preserve">, lai </w:t>
            </w:r>
            <w:r w:rsidR="0036733A">
              <w:rPr>
                <w:rFonts w:ascii="Times New Roman" w:hAnsi="Times New Roman"/>
                <w:sz w:val="26"/>
                <w:szCs w:val="26"/>
              </w:rPr>
              <w:t>novērstu pretrunas minēto punktu redakcijās</w:t>
            </w:r>
            <w:r>
              <w:rPr>
                <w:rFonts w:ascii="Times New Roman" w:hAnsi="Times New Roman"/>
                <w:sz w:val="26"/>
                <w:szCs w:val="26"/>
              </w:rPr>
              <w:t>.</w:t>
            </w:r>
          </w:p>
          <w:p w14:paraId="1D193934" w14:textId="06B9DF70" w:rsidR="00FC7A95" w:rsidRPr="00FC7A95" w:rsidRDefault="00CA70BA" w:rsidP="00FC7A95">
            <w:pPr>
              <w:rPr>
                <w:rFonts w:eastAsiaTheme="minorHAnsi"/>
                <w:sz w:val="26"/>
                <w:szCs w:val="26"/>
              </w:rPr>
            </w:pPr>
            <w:r w:rsidRPr="008E03A5">
              <w:rPr>
                <w:sz w:val="26"/>
                <w:szCs w:val="26"/>
              </w:rPr>
              <w:t>2. 2019.gada 1.jūlij</w:t>
            </w:r>
            <w:r w:rsidR="00C43B60" w:rsidRPr="008E03A5">
              <w:rPr>
                <w:sz w:val="26"/>
                <w:szCs w:val="26"/>
              </w:rPr>
              <w:t>ā</w:t>
            </w:r>
            <w:r w:rsidRPr="008E03A5">
              <w:rPr>
                <w:sz w:val="26"/>
                <w:szCs w:val="26"/>
              </w:rPr>
              <w:t xml:space="preserve">, pamatojoties uz likumā “Grozījumi Pievienotās vērtības nodokļa likumā” (Nr.57/Lp13) paredzēto, </w:t>
            </w:r>
            <w:r w:rsidR="00C43B60" w:rsidRPr="008E03A5">
              <w:rPr>
                <w:sz w:val="26"/>
                <w:szCs w:val="26"/>
              </w:rPr>
              <w:t xml:space="preserve">stāsies spēkā </w:t>
            </w:r>
            <w:r w:rsidRPr="008E03A5">
              <w:rPr>
                <w:sz w:val="26"/>
                <w:szCs w:val="26"/>
              </w:rPr>
              <w:t>Pievienotās vērtības nodokļa likuma 143.</w:t>
            </w:r>
            <w:r w:rsidRPr="008E03A5">
              <w:rPr>
                <w:sz w:val="26"/>
                <w:szCs w:val="26"/>
                <w:vertAlign w:val="superscript"/>
              </w:rPr>
              <w:t>4</w:t>
            </w:r>
            <w:r w:rsidRPr="008E03A5">
              <w:rPr>
                <w:sz w:val="26"/>
                <w:szCs w:val="26"/>
              </w:rPr>
              <w:t xml:space="preserve">panta </w:t>
            </w:r>
            <w:r w:rsidR="00C43B60" w:rsidRPr="008E03A5">
              <w:rPr>
                <w:sz w:val="26"/>
                <w:szCs w:val="26"/>
              </w:rPr>
              <w:t>grozījumi</w:t>
            </w:r>
            <w:r w:rsidRPr="008E03A5">
              <w:rPr>
                <w:sz w:val="26"/>
                <w:szCs w:val="26"/>
              </w:rPr>
              <w:t xml:space="preserve">, proti, šajā pantā </w:t>
            </w:r>
            <w:r w:rsidR="008E03A5">
              <w:rPr>
                <w:sz w:val="26"/>
                <w:szCs w:val="26"/>
              </w:rPr>
              <w:t xml:space="preserve">noteiktais </w:t>
            </w:r>
            <w:r w:rsidR="008E03A5">
              <w:rPr>
                <w:bCs/>
                <w:sz w:val="26"/>
                <w:szCs w:val="26"/>
              </w:rPr>
              <w:t>ī</w:t>
            </w:r>
            <w:r w:rsidR="008E03A5" w:rsidRPr="00BA22C5">
              <w:rPr>
                <w:bCs/>
                <w:sz w:val="26"/>
                <w:szCs w:val="26"/>
              </w:rPr>
              <w:t>paš</w:t>
            </w:r>
            <w:r w:rsidR="0043700C">
              <w:rPr>
                <w:bCs/>
                <w:sz w:val="26"/>
                <w:szCs w:val="26"/>
              </w:rPr>
              <w:t>ai</w:t>
            </w:r>
            <w:r w:rsidR="008E03A5" w:rsidRPr="00BA22C5">
              <w:rPr>
                <w:bCs/>
                <w:sz w:val="26"/>
                <w:szCs w:val="26"/>
              </w:rPr>
              <w:t xml:space="preserve">s </w:t>
            </w:r>
            <w:r w:rsidR="0090289E">
              <w:rPr>
                <w:bCs/>
                <w:sz w:val="26"/>
                <w:szCs w:val="26"/>
              </w:rPr>
              <w:t>PVN</w:t>
            </w:r>
            <w:r w:rsidR="0090289E" w:rsidRPr="00BA22C5">
              <w:rPr>
                <w:bCs/>
                <w:sz w:val="26"/>
                <w:szCs w:val="26"/>
              </w:rPr>
              <w:t xml:space="preserve"> </w:t>
            </w:r>
            <w:r w:rsidR="008E03A5" w:rsidRPr="00BA22C5">
              <w:rPr>
                <w:bCs/>
                <w:sz w:val="26"/>
                <w:szCs w:val="26"/>
              </w:rPr>
              <w:t>piemērošanas režīms metālizstrādājumu piegādei un ar to saistītiem pakalpojumiem</w:t>
            </w:r>
            <w:r w:rsidR="008E03A5">
              <w:rPr>
                <w:bCs/>
                <w:sz w:val="26"/>
                <w:szCs w:val="26"/>
              </w:rPr>
              <w:t xml:space="preserve"> </w:t>
            </w:r>
            <w:r w:rsidRPr="008E03A5">
              <w:rPr>
                <w:sz w:val="26"/>
                <w:szCs w:val="26"/>
              </w:rPr>
              <w:t xml:space="preserve">ar 2019.gada 1.jūliju vairs nebūs </w:t>
            </w:r>
            <w:r w:rsidR="008E03A5" w:rsidRPr="008E03A5">
              <w:rPr>
                <w:sz w:val="26"/>
                <w:szCs w:val="26"/>
              </w:rPr>
              <w:t>piemērojam</w:t>
            </w:r>
            <w:r w:rsidR="008E03A5">
              <w:rPr>
                <w:sz w:val="26"/>
                <w:szCs w:val="26"/>
              </w:rPr>
              <w:t>s</w:t>
            </w:r>
            <w:r w:rsidR="008E03A5" w:rsidRPr="008E03A5">
              <w:rPr>
                <w:sz w:val="26"/>
                <w:szCs w:val="26"/>
              </w:rPr>
              <w:t xml:space="preserve"> </w:t>
            </w:r>
            <w:r w:rsidRPr="008E03A5">
              <w:rPr>
                <w:sz w:val="26"/>
                <w:szCs w:val="26"/>
              </w:rPr>
              <w:t xml:space="preserve">ar </w:t>
            </w:r>
            <w:r w:rsidRPr="00DA3D72">
              <w:rPr>
                <w:sz w:val="26"/>
                <w:szCs w:val="26"/>
              </w:rPr>
              <w:t>metālizstrādājumu piegādi saistītajiem pakalpojumiem</w:t>
            </w:r>
            <w:r w:rsidR="008E03A5">
              <w:rPr>
                <w:sz w:val="26"/>
                <w:szCs w:val="26"/>
              </w:rPr>
              <w:t>, bet tikai melno un krāsaino metālu pusfabrikātu piegādes darījumiem.</w:t>
            </w:r>
            <w:r w:rsidRPr="008E03A5">
              <w:rPr>
                <w:sz w:val="26"/>
                <w:szCs w:val="26"/>
              </w:rPr>
              <w:t xml:space="preserve"> Ņemot vērā, ka </w:t>
            </w:r>
            <w:r w:rsidRPr="008B47CD">
              <w:rPr>
                <w:sz w:val="26"/>
                <w:szCs w:val="26"/>
              </w:rPr>
              <w:t xml:space="preserve">Ministru kabineta 2013.gada 15.janvāra noteikumu Nr. 40 </w:t>
            </w:r>
            <w:r w:rsidRPr="008E03A5">
              <w:rPr>
                <w:sz w:val="26"/>
                <w:szCs w:val="26"/>
              </w:rPr>
              <w:t>25.3.8.</w:t>
            </w:r>
            <w:r w:rsidRPr="008E03A5">
              <w:rPr>
                <w:sz w:val="26"/>
                <w:szCs w:val="26"/>
                <w:vertAlign w:val="superscript"/>
              </w:rPr>
              <w:t>4</w:t>
            </w:r>
            <w:r w:rsidRPr="008E03A5">
              <w:rPr>
                <w:sz w:val="26"/>
                <w:szCs w:val="26"/>
              </w:rPr>
              <w:t xml:space="preserve">apakšpunkts noteic, ka ar kodu “R7” norādāmas </w:t>
            </w:r>
            <w:r w:rsidR="0090289E">
              <w:rPr>
                <w:sz w:val="26"/>
                <w:szCs w:val="26"/>
              </w:rPr>
              <w:t>PVN</w:t>
            </w:r>
            <w:r w:rsidR="0090289E" w:rsidRPr="008E03A5">
              <w:rPr>
                <w:sz w:val="26"/>
                <w:szCs w:val="26"/>
              </w:rPr>
              <w:t xml:space="preserve"> </w:t>
            </w:r>
            <w:r w:rsidRPr="008E03A5">
              <w:rPr>
                <w:sz w:val="26"/>
                <w:szCs w:val="26"/>
              </w:rPr>
              <w:t>summas par saņemtajiem pakalpojumiem un saņemtajām precēm, kas aprēķinātas saskaņā ar likuma 143.</w:t>
            </w:r>
            <w:r w:rsidRPr="008E03A5">
              <w:rPr>
                <w:sz w:val="26"/>
                <w:szCs w:val="26"/>
                <w:vertAlign w:val="superscript"/>
              </w:rPr>
              <w:t>4 </w:t>
            </w:r>
            <w:r w:rsidRPr="008E03A5">
              <w:rPr>
                <w:sz w:val="26"/>
                <w:szCs w:val="26"/>
              </w:rPr>
              <w:t xml:space="preserve">pantu, no šā punkta ir </w:t>
            </w:r>
            <w:r w:rsidR="0043700C">
              <w:rPr>
                <w:sz w:val="26"/>
                <w:szCs w:val="26"/>
              </w:rPr>
              <w:t>svītrojami</w:t>
            </w:r>
            <w:r w:rsidR="0043700C" w:rsidRPr="008E03A5">
              <w:rPr>
                <w:sz w:val="26"/>
                <w:szCs w:val="26"/>
              </w:rPr>
              <w:t xml:space="preserve"> </w:t>
            </w:r>
            <w:r w:rsidRPr="008E03A5">
              <w:rPr>
                <w:sz w:val="26"/>
                <w:szCs w:val="26"/>
              </w:rPr>
              <w:t>vārdi “saņemtajiem pakalpojumiem un”</w:t>
            </w:r>
            <w:r w:rsidR="008B47CD">
              <w:rPr>
                <w:sz w:val="26"/>
                <w:szCs w:val="26"/>
              </w:rPr>
              <w:t xml:space="preserve"> </w:t>
            </w:r>
            <w:r w:rsidR="008E03A5">
              <w:rPr>
                <w:sz w:val="26"/>
                <w:szCs w:val="26"/>
              </w:rPr>
              <w:t>(noteikumu projekta 6.punkts</w:t>
            </w:r>
            <w:r w:rsidR="008B47CD">
              <w:rPr>
                <w:sz w:val="26"/>
                <w:szCs w:val="26"/>
              </w:rPr>
              <w:t xml:space="preserve">, kā arī </w:t>
            </w:r>
            <w:r w:rsidR="0043700C">
              <w:rPr>
                <w:sz w:val="26"/>
                <w:szCs w:val="26"/>
              </w:rPr>
              <w:t>8</w:t>
            </w:r>
            <w:r w:rsidR="008B47CD">
              <w:rPr>
                <w:sz w:val="26"/>
                <w:szCs w:val="26"/>
              </w:rPr>
              <w:t xml:space="preserve">.punktā ietvertais </w:t>
            </w:r>
            <w:r w:rsidR="008B47CD" w:rsidRPr="008B47CD">
              <w:rPr>
                <w:sz w:val="26"/>
                <w:szCs w:val="26"/>
              </w:rPr>
              <w:t>Ministru kabineta 2013.gada 15.janvāra noteikumu Nr. 40</w:t>
            </w:r>
            <w:r w:rsidR="008B47CD">
              <w:rPr>
                <w:sz w:val="26"/>
                <w:szCs w:val="26"/>
              </w:rPr>
              <w:t xml:space="preserve"> 76. punkts</w:t>
            </w:r>
            <w:r w:rsidR="008E03A5">
              <w:rPr>
                <w:sz w:val="26"/>
                <w:szCs w:val="26"/>
              </w:rPr>
              <w:t>)</w:t>
            </w:r>
            <w:r w:rsidR="0036733A">
              <w:rPr>
                <w:sz w:val="26"/>
                <w:szCs w:val="26"/>
              </w:rPr>
              <w:t xml:space="preserve">, lai saskaņotu </w:t>
            </w:r>
            <w:r w:rsidR="00E35C4E" w:rsidRPr="008B47CD">
              <w:rPr>
                <w:sz w:val="26"/>
                <w:szCs w:val="26"/>
              </w:rPr>
              <w:t xml:space="preserve">Ministru kabineta 2013.gada 15.janvāra noteikumu Nr. 40 </w:t>
            </w:r>
            <w:r w:rsidR="00E35C4E" w:rsidRPr="008E03A5">
              <w:rPr>
                <w:sz w:val="26"/>
                <w:szCs w:val="26"/>
              </w:rPr>
              <w:t>25.3.8.</w:t>
            </w:r>
            <w:r w:rsidR="00E35C4E" w:rsidRPr="008E03A5">
              <w:rPr>
                <w:sz w:val="26"/>
                <w:szCs w:val="26"/>
                <w:vertAlign w:val="superscript"/>
              </w:rPr>
              <w:t>4</w:t>
            </w:r>
            <w:r w:rsidR="00E35C4E">
              <w:rPr>
                <w:sz w:val="26"/>
                <w:szCs w:val="26"/>
                <w:vertAlign w:val="superscript"/>
              </w:rPr>
              <w:t> </w:t>
            </w:r>
            <w:r w:rsidR="00E35C4E" w:rsidRPr="008E03A5">
              <w:rPr>
                <w:sz w:val="26"/>
                <w:szCs w:val="26"/>
              </w:rPr>
              <w:t>apakšpunkt</w:t>
            </w:r>
            <w:r w:rsidR="00E35C4E">
              <w:rPr>
                <w:sz w:val="26"/>
                <w:szCs w:val="26"/>
              </w:rPr>
              <w:t xml:space="preserve">a redakciju ar jauno </w:t>
            </w:r>
            <w:r w:rsidR="00E35C4E" w:rsidRPr="008E03A5">
              <w:rPr>
                <w:sz w:val="26"/>
                <w:szCs w:val="26"/>
              </w:rPr>
              <w:t>Pievienotās vērtības nodokļa likuma 143.</w:t>
            </w:r>
            <w:r w:rsidR="00E35C4E" w:rsidRPr="008E03A5">
              <w:rPr>
                <w:sz w:val="26"/>
                <w:szCs w:val="26"/>
                <w:vertAlign w:val="superscript"/>
              </w:rPr>
              <w:t>4</w:t>
            </w:r>
            <w:r w:rsidR="00E35C4E" w:rsidRPr="008E03A5">
              <w:rPr>
                <w:sz w:val="26"/>
                <w:szCs w:val="26"/>
              </w:rPr>
              <w:t xml:space="preserve">panta </w:t>
            </w:r>
            <w:r w:rsidR="009309E2">
              <w:rPr>
                <w:sz w:val="26"/>
                <w:szCs w:val="26"/>
              </w:rPr>
              <w:t>redakciju</w:t>
            </w:r>
            <w:r w:rsidRPr="008E03A5">
              <w:rPr>
                <w:sz w:val="26"/>
                <w:szCs w:val="26"/>
              </w:rPr>
              <w:t>.</w:t>
            </w:r>
            <w:r w:rsidR="00183ABE">
              <w:rPr>
                <w:sz w:val="26"/>
                <w:szCs w:val="26"/>
              </w:rPr>
              <w:t xml:space="preserve"> </w:t>
            </w:r>
            <w:r w:rsidR="00183ABE" w:rsidRPr="00990241">
              <w:rPr>
                <w:sz w:val="26"/>
                <w:szCs w:val="26"/>
              </w:rPr>
              <w:t>Ņemot vērā, ka likumā “Grozījumi Pievienotās vērtības nodokļa likumā” (Nr.57/Lp13) noteiktais regulējums attiecībā uz pakalpojumu, kas tieši saistīti ar metālizstrādājumu piegādi izslēgšanu stājas spēkā 2019.gada 1.jūlijā, nepieciešams noteikt, ka Ministru kabineta 2013.gada 15.janvāra noteikumu Nr. 40 25.3.8.</w:t>
            </w:r>
            <w:r w:rsidR="00183ABE" w:rsidRPr="00990241">
              <w:rPr>
                <w:sz w:val="26"/>
                <w:szCs w:val="26"/>
                <w:vertAlign w:val="superscript"/>
              </w:rPr>
              <w:t>4 </w:t>
            </w:r>
            <w:r w:rsidR="00183ABE" w:rsidRPr="00990241">
              <w:rPr>
                <w:sz w:val="26"/>
                <w:szCs w:val="26"/>
              </w:rPr>
              <w:t>apakšpunkta jaunā redakcija piemērojama PVN deklarācijā</w:t>
            </w:r>
            <w:r w:rsidR="008D57CB" w:rsidRPr="00990241">
              <w:rPr>
                <w:sz w:val="26"/>
                <w:szCs w:val="26"/>
              </w:rPr>
              <w:t>s</w:t>
            </w:r>
            <w:r w:rsidR="00183ABE" w:rsidRPr="00990241">
              <w:rPr>
                <w:sz w:val="26"/>
                <w:szCs w:val="26"/>
              </w:rPr>
              <w:t xml:space="preserve"> par taksācijas periodiem sākot ar 2019.gada jūliju un trešo ceturksni</w:t>
            </w:r>
            <w:r w:rsidR="00FC7A95" w:rsidRPr="00990241">
              <w:rPr>
                <w:sz w:val="26"/>
                <w:szCs w:val="26"/>
              </w:rPr>
              <w:t>. Ievērojot to, ka deklarāciju aizpildīšana un iesniegšana par jūlija mēnesi un trešo ceturksni notiks no augusta, ir būtiski, lai aizpildīšanas brīdī šis regulējums būtu spēkā.</w:t>
            </w:r>
            <w:r w:rsidR="00FC7A95" w:rsidRPr="00FC7A95">
              <w:rPr>
                <w:sz w:val="26"/>
                <w:szCs w:val="26"/>
              </w:rPr>
              <w:t xml:space="preserve"> </w:t>
            </w:r>
          </w:p>
          <w:p w14:paraId="5E2D887D" w14:textId="69D6D9F8" w:rsidR="00CA70BA" w:rsidRDefault="00CA70BA" w:rsidP="00BC2D68">
            <w:pPr>
              <w:pStyle w:val="CommentText"/>
              <w:ind w:left="11"/>
              <w:jc w:val="both"/>
              <w:rPr>
                <w:rFonts w:ascii="Times New Roman" w:hAnsi="Times New Roman"/>
                <w:sz w:val="26"/>
                <w:szCs w:val="26"/>
              </w:rPr>
            </w:pPr>
            <w:r>
              <w:rPr>
                <w:rFonts w:ascii="Times New Roman" w:hAnsi="Times New Roman"/>
                <w:sz w:val="26"/>
                <w:szCs w:val="26"/>
              </w:rPr>
              <w:t xml:space="preserve">3. Ir tehniski jāprecizē </w:t>
            </w:r>
            <w:r w:rsidRPr="00B35651">
              <w:rPr>
                <w:rFonts w:ascii="Times New Roman" w:hAnsi="Times New Roman"/>
                <w:sz w:val="26"/>
                <w:szCs w:val="26"/>
              </w:rPr>
              <w:t xml:space="preserve">Ministru kabineta 2013.gada 15.janvāra noteikumu Nr. 40 </w:t>
            </w:r>
            <w:r w:rsidRPr="0006676D">
              <w:rPr>
                <w:rFonts w:ascii="Times New Roman" w:hAnsi="Times New Roman"/>
                <w:sz w:val="26"/>
                <w:szCs w:val="26"/>
              </w:rPr>
              <w:t>17.31.apakšpunkt</w:t>
            </w:r>
            <w:r>
              <w:rPr>
                <w:rFonts w:ascii="Times New Roman" w:hAnsi="Times New Roman"/>
                <w:sz w:val="26"/>
                <w:szCs w:val="26"/>
              </w:rPr>
              <w:t>ā</w:t>
            </w:r>
            <w:r w:rsidRPr="0006676D">
              <w:rPr>
                <w:rFonts w:ascii="Times New Roman" w:hAnsi="Times New Roman"/>
                <w:sz w:val="26"/>
                <w:szCs w:val="26"/>
              </w:rPr>
              <w:t xml:space="preserve"> </w:t>
            </w:r>
            <w:r>
              <w:rPr>
                <w:rFonts w:ascii="Times New Roman" w:hAnsi="Times New Roman"/>
                <w:sz w:val="26"/>
                <w:szCs w:val="26"/>
              </w:rPr>
              <w:t xml:space="preserve">noteiktā PVN deklarācijas “S” rindas aprēķina formula, papildinot to ar </w:t>
            </w:r>
            <w:r w:rsidRPr="0006676D">
              <w:rPr>
                <w:rFonts w:ascii="Times New Roman" w:hAnsi="Times New Roman"/>
                <w:sz w:val="26"/>
                <w:szCs w:val="26"/>
              </w:rPr>
              <w:t>53.</w:t>
            </w:r>
            <w:r w:rsidRPr="00755A0A">
              <w:rPr>
                <w:rFonts w:ascii="Times New Roman" w:hAnsi="Times New Roman"/>
                <w:sz w:val="26"/>
                <w:szCs w:val="26"/>
                <w:vertAlign w:val="superscript"/>
              </w:rPr>
              <w:t>1</w:t>
            </w:r>
            <w:r w:rsidRPr="0006676D">
              <w:rPr>
                <w:rFonts w:ascii="Times New Roman" w:hAnsi="Times New Roman"/>
                <w:sz w:val="26"/>
                <w:szCs w:val="26"/>
              </w:rPr>
              <w:t xml:space="preserve"> </w:t>
            </w:r>
            <w:r>
              <w:rPr>
                <w:rFonts w:ascii="Times New Roman" w:hAnsi="Times New Roman"/>
                <w:sz w:val="26"/>
                <w:szCs w:val="26"/>
              </w:rPr>
              <w:t>un</w:t>
            </w:r>
            <w:r w:rsidRPr="0006676D">
              <w:rPr>
                <w:rFonts w:ascii="Times New Roman" w:hAnsi="Times New Roman"/>
                <w:sz w:val="26"/>
                <w:szCs w:val="26"/>
              </w:rPr>
              <w:t xml:space="preserve"> 56.</w:t>
            </w:r>
            <w:r w:rsidRPr="00755A0A">
              <w:rPr>
                <w:rFonts w:ascii="Times New Roman" w:hAnsi="Times New Roman"/>
                <w:sz w:val="26"/>
                <w:szCs w:val="26"/>
                <w:vertAlign w:val="superscript"/>
              </w:rPr>
              <w:t>1</w:t>
            </w:r>
            <w:r w:rsidRPr="0006676D">
              <w:rPr>
                <w:rFonts w:ascii="Times New Roman" w:hAnsi="Times New Roman"/>
                <w:sz w:val="26"/>
                <w:szCs w:val="26"/>
              </w:rPr>
              <w:t>rind</w:t>
            </w:r>
            <w:r>
              <w:rPr>
                <w:rFonts w:ascii="Times New Roman" w:hAnsi="Times New Roman"/>
                <w:sz w:val="26"/>
                <w:szCs w:val="26"/>
              </w:rPr>
              <w:t>u</w:t>
            </w:r>
            <w:r w:rsidR="008B47CD">
              <w:rPr>
                <w:rFonts w:ascii="Times New Roman" w:hAnsi="Times New Roman"/>
                <w:sz w:val="26"/>
                <w:szCs w:val="26"/>
              </w:rPr>
              <w:t xml:space="preserve"> (noteikumu projekta 4. punkts, kā arī </w:t>
            </w:r>
            <w:r w:rsidR="00B71791">
              <w:rPr>
                <w:rFonts w:ascii="Times New Roman" w:hAnsi="Times New Roman"/>
                <w:sz w:val="26"/>
                <w:szCs w:val="26"/>
              </w:rPr>
              <w:t>8</w:t>
            </w:r>
            <w:r w:rsidR="008B47CD">
              <w:rPr>
                <w:rFonts w:ascii="Times New Roman" w:hAnsi="Times New Roman"/>
                <w:sz w:val="26"/>
                <w:szCs w:val="26"/>
              </w:rPr>
              <w:t xml:space="preserve">.punktā ietvertais </w:t>
            </w:r>
            <w:r w:rsidR="008B47CD" w:rsidRPr="008B47CD">
              <w:rPr>
                <w:rFonts w:ascii="Times New Roman" w:hAnsi="Times New Roman"/>
                <w:sz w:val="26"/>
                <w:szCs w:val="26"/>
              </w:rPr>
              <w:t>Ministru kabineta 2013.gada 15.janvāra noteikumu Nr. 40</w:t>
            </w:r>
            <w:r w:rsidR="008B47CD">
              <w:rPr>
                <w:rFonts w:ascii="Times New Roman" w:hAnsi="Times New Roman"/>
                <w:sz w:val="26"/>
                <w:szCs w:val="26"/>
              </w:rPr>
              <w:t xml:space="preserve"> 76. punkts)</w:t>
            </w:r>
            <w:r>
              <w:rPr>
                <w:rFonts w:ascii="Times New Roman" w:hAnsi="Times New Roman"/>
                <w:sz w:val="26"/>
                <w:szCs w:val="26"/>
              </w:rPr>
              <w:t>.</w:t>
            </w:r>
          </w:p>
          <w:p w14:paraId="31CEB8A2" w14:textId="63206E44" w:rsidR="00A7511B" w:rsidRPr="00711292" w:rsidRDefault="00CA70BA" w:rsidP="00E35C4E">
            <w:pPr>
              <w:pStyle w:val="CommentText"/>
              <w:jc w:val="both"/>
              <w:rPr>
                <w:sz w:val="26"/>
                <w:szCs w:val="26"/>
              </w:rPr>
            </w:pPr>
            <w:r w:rsidRPr="005A0167">
              <w:rPr>
                <w:rFonts w:ascii="Times New Roman" w:hAnsi="Times New Roman"/>
                <w:sz w:val="26"/>
                <w:szCs w:val="26"/>
              </w:rPr>
              <w:t xml:space="preserve">4. </w:t>
            </w:r>
            <w:r w:rsidR="00711CFD" w:rsidRPr="003E05D5">
              <w:rPr>
                <w:rFonts w:ascii="Times New Roman" w:hAnsi="Times New Roman"/>
                <w:sz w:val="26"/>
                <w:szCs w:val="26"/>
              </w:rPr>
              <w:t xml:space="preserve">Nodokļu maksātājiem, aizpildot pārskatu par </w:t>
            </w:r>
            <w:r w:rsidR="00711CFD" w:rsidRPr="00BA22C5">
              <w:rPr>
                <w:rFonts w:ascii="Times New Roman" w:hAnsi="Times New Roman"/>
                <w:sz w:val="26"/>
                <w:szCs w:val="26"/>
              </w:rPr>
              <w:t xml:space="preserve">priekšnodokļa un </w:t>
            </w:r>
            <w:r w:rsidR="0090289E">
              <w:rPr>
                <w:rFonts w:ascii="Times New Roman" w:hAnsi="Times New Roman"/>
                <w:sz w:val="26"/>
                <w:szCs w:val="26"/>
              </w:rPr>
              <w:t>PVN</w:t>
            </w:r>
            <w:r w:rsidR="0090289E" w:rsidRPr="00BA22C5">
              <w:rPr>
                <w:rFonts w:ascii="Times New Roman" w:hAnsi="Times New Roman"/>
                <w:sz w:val="26"/>
                <w:szCs w:val="26"/>
              </w:rPr>
              <w:t xml:space="preserve"> </w:t>
            </w:r>
            <w:r w:rsidR="00711CFD" w:rsidRPr="00BA22C5">
              <w:rPr>
                <w:rFonts w:ascii="Times New Roman" w:hAnsi="Times New Roman"/>
                <w:sz w:val="26"/>
                <w:szCs w:val="26"/>
              </w:rPr>
              <w:t xml:space="preserve">summām, kas norādītas </w:t>
            </w:r>
            <w:r w:rsidR="0090289E">
              <w:rPr>
                <w:rFonts w:ascii="Times New Roman" w:hAnsi="Times New Roman"/>
                <w:sz w:val="26"/>
                <w:szCs w:val="26"/>
              </w:rPr>
              <w:t>PVN</w:t>
            </w:r>
            <w:r w:rsidR="0090289E" w:rsidRPr="00BA22C5">
              <w:rPr>
                <w:rFonts w:ascii="Times New Roman" w:hAnsi="Times New Roman"/>
                <w:sz w:val="26"/>
                <w:szCs w:val="26"/>
              </w:rPr>
              <w:t xml:space="preserve"> </w:t>
            </w:r>
            <w:r w:rsidR="00711CFD" w:rsidRPr="00BA22C5">
              <w:rPr>
                <w:rFonts w:ascii="Times New Roman" w:hAnsi="Times New Roman"/>
                <w:sz w:val="26"/>
                <w:szCs w:val="26"/>
              </w:rPr>
              <w:t>deklarācijā par taksācijas periodu</w:t>
            </w:r>
            <w:r w:rsidR="005A0167" w:rsidRPr="00BA22C5">
              <w:rPr>
                <w:rFonts w:ascii="Times New Roman" w:hAnsi="Times New Roman"/>
                <w:sz w:val="26"/>
                <w:szCs w:val="26"/>
              </w:rPr>
              <w:t xml:space="preserve"> (PVN 1 pārskata I daļā, PVN 1 pārskata</w:t>
            </w:r>
            <w:hyperlink r:id="rId6" w:anchor="n3" w:history="1">
              <w:r w:rsidR="005A0167" w:rsidRPr="00BA22C5">
                <w:rPr>
                  <w:rFonts w:ascii="Times New Roman" w:hAnsi="Times New Roman"/>
                  <w:sz w:val="26"/>
                  <w:szCs w:val="26"/>
                </w:rPr>
                <w:t xml:space="preserve"> III daļā</w:t>
              </w:r>
            </w:hyperlink>
            <w:r w:rsidR="005A0167" w:rsidRPr="00BA22C5">
              <w:rPr>
                <w:rFonts w:ascii="Times New Roman" w:hAnsi="Times New Roman"/>
                <w:sz w:val="26"/>
                <w:szCs w:val="26"/>
              </w:rPr>
              <w:t>)</w:t>
            </w:r>
            <w:r w:rsidR="00711CFD" w:rsidRPr="00BA22C5">
              <w:rPr>
                <w:rFonts w:ascii="Times New Roman" w:hAnsi="Times New Roman"/>
                <w:sz w:val="26"/>
                <w:szCs w:val="26"/>
              </w:rPr>
              <w:t xml:space="preserve"> bieži rodas neskaidrības par to, kā jānorāda informācija, ja </w:t>
            </w:r>
            <w:r w:rsidR="00F65AC7" w:rsidRPr="00BA22C5">
              <w:rPr>
                <w:rFonts w:ascii="Times New Roman" w:hAnsi="Times New Roman"/>
                <w:sz w:val="26"/>
                <w:szCs w:val="26"/>
              </w:rPr>
              <w:t>attaisnojuma dokumentā</w:t>
            </w:r>
            <w:r w:rsidR="00711CFD" w:rsidRPr="00BA22C5">
              <w:rPr>
                <w:rFonts w:ascii="Times New Roman" w:hAnsi="Times New Roman"/>
                <w:sz w:val="26"/>
                <w:szCs w:val="26"/>
              </w:rPr>
              <w:t xml:space="preserve"> ir </w:t>
            </w:r>
            <w:r w:rsidR="00711CFD" w:rsidRPr="00BA22C5">
              <w:rPr>
                <w:rFonts w:ascii="Times New Roman" w:hAnsi="Times New Roman"/>
                <w:sz w:val="26"/>
                <w:szCs w:val="26"/>
              </w:rPr>
              <w:lastRenderedPageBreak/>
              <w:t xml:space="preserve">norādīti darījumi </w:t>
            </w:r>
            <w:r w:rsidR="00711CFD" w:rsidRPr="003E05D5">
              <w:rPr>
                <w:rFonts w:ascii="Times New Roman" w:hAnsi="Times New Roman"/>
                <w:sz w:val="26"/>
                <w:szCs w:val="26"/>
              </w:rPr>
              <w:t xml:space="preserve">ar dažādām likmēm vai PVN piemērošanas </w:t>
            </w:r>
            <w:r w:rsidR="00711CFD" w:rsidRPr="005A0167">
              <w:rPr>
                <w:rFonts w:ascii="Times New Roman" w:hAnsi="Times New Roman"/>
                <w:sz w:val="26"/>
                <w:szCs w:val="26"/>
              </w:rPr>
              <w:t>režīmiem. Tādējādi</w:t>
            </w:r>
            <w:r w:rsidR="00E35C4E">
              <w:rPr>
                <w:rFonts w:ascii="Times New Roman" w:hAnsi="Times New Roman"/>
                <w:sz w:val="26"/>
                <w:szCs w:val="26"/>
              </w:rPr>
              <w:t>, lai novērstu nepareizas interpretācijas iespējas,</w:t>
            </w:r>
            <w:r w:rsidR="00711CFD" w:rsidRPr="005A0167">
              <w:rPr>
                <w:rFonts w:ascii="Times New Roman" w:hAnsi="Times New Roman"/>
                <w:sz w:val="26"/>
                <w:szCs w:val="26"/>
              </w:rPr>
              <w:t xml:space="preserve"> noteikumu projektā paredzēts papildināt </w:t>
            </w:r>
            <w:r w:rsidRPr="005A0167">
              <w:rPr>
                <w:rFonts w:ascii="Times New Roman" w:hAnsi="Times New Roman"/>
                <w:sz w:val="26"/>
                <w:szCs w:val="26"/>
              </w:rPr>
              <w:t>Ministru kabineta 2013.gada 15.janvāra noteikumu Nr.40 23.1.</w:t>
            </w:r>
            <w:r w:rsidR="005A0167">
              <w:rPr>
                <w:rFonts w:ascii="Times New Roman" w:hAnsi="Times New Roman"/>
                <w:sz w:val="26"/>
                <w:szCs w:val="26"/>
              </w:rPr>
              <w:t xml:space="preserve"> un 31.1. </w:t>
            </w:r>
            <w:r w:rsidR="00711CFD" w:rsidRPr="005A0167">
              <w:rPr>
                <w:rFonts w:ascii="Times New Roman" w:hAnsi="Times New Roman"/>
                <w:sz w:val="26"/>
                <w:szCs w:val="26"/>
              </w:rPr>
              <w:t>apakšpunktu ar otro teikumu</w:t>
            </w:r>
            <w:r w:rsidR="000B157C" w:rsidRPr="005A0167">
              <w:rPr>
                <w:rFonts w:ascii="Times New Roman" w:hAnsi="Times New Roman"/>
                <w:sz w:val="26"/>
                <w:szCs w:val="26"/>
              </w:rPr>
              <w:t xml:space="preserve">, </w:t>
            </w:r>
            <w:r w:rsidR="008815B4" w:rsidRPr="005A0167">
              <w:rPr>
                <w:rFonts w:ascii="Times New Roman" w:hAnsi="Times New Roman"/>
                <w:sz w:val="26"/>
                <w:szCs w:val="26"/>
              </w:rPr>
              <w:t>nosakot, ka</w:t>
            </w:r>
            <w:r w:rsidR="000B157C" w:rsidRPr="005A0167">
              <w:rPr>
                <w:rFonts w:ascii="Times New Roman" w:hAnsi="Times New Roman"/>
                <w:sz w:val="26"/>
                <w:szCs w:val="26"/>
              </w:rPr>
              <w:t xml:space="preserve"> situācij</w:t>
            </w:r>
            <w:r w:rsidR="008815B4" w:rsidRPr="005A0167">
              <w:rPr>
                <w:rFonts w:ascii="Times New Roman" w:hAnsi="Times New Roman"/>
                <w:sz w:val="26"/>
                <w:szCs w:val="26"/>
              </w:rPr>
              <w:t>ā</w:t>
            </w:r>
            <w:r w:rsidR="000B157C" w:rsidRPr="005A0167">
              <w:rPr>
                <w:rFonts w:ascii="Times New Roman" w:hAnsi="Times New Roman"/>
                <w:sz w:val="26"/>
                <w:szCs w:val="26"/>
              </w:rPr>
              <w:t xml:space="preserve">s, kad </w:t>
            </w:r>
            <w:r w:rsidR="00F65AC7">
              <w:rPr>
                <w:rFonts w:ascii="Times New Roman" w:hAnsi="Times New Roman"/>
                <w:sz w:val="26"/>
                <w:szCs w:val="26"/>
              </w:rPr>
              <w:t>attaisnojuma dokumentā</w:t>
            </w:r>
            <w:r w:rsidR="000B157C" w:rsidRPr="005A0167">
              <w:rPr>
                <w:rFonts w:ascii="Times New Roman" w:hAnsi="Times New Roman"/>
                <w:sz w:val="26"/>
                <w:szCs w:val="26"/>
              </w:rPr>
              <w:t xml:space="preserve"> ir norādīti darījumi ar dažādām likmēm vai </w:t>
            </w:r>
            <w:r w:rsidR="00F65AC7">
              <w:rPr>
                <w:rFonts w:ascii="Times New Roman" w:hAnsi="Times New Roman"/>
                <w:sz w:val="26"/>
                <w:szCs w:val="26"/>
              </w:rPr>
              <w:t>PVN</w:t>
            </w:r>
            <w:r w:rsidR="000B157C" w:rsidRPr="005A0167">
              <w:rPr>
                <w:rFonts w:ascii="Times New Roman" w:hAnsi="Times New Roman"/>
                <w:sz w:val="26"/>
                <w:szCs w:val="26"/>
              </w:rPr>
              <w:t xml:space="preserve"> piemērošanas režīmiem (piemēram, darījums ar īpašu </w:t>
            </w:r>
            <w:r w:rsidR="0090289E">
              <w:rPr>
                <w:rFonts w:ascii="Times New Roman" w:hAnsi="Times New Roman"/>
                <w:sz w:val="26"/>
                <w:szCs w:val="26"/>
              </w:rPr>
              <w:t>PVN</w:t>
            </w:r>
            <w:r w:rsidR="0090289E" w:rsidRPr="005A0167">
              <w:rPr>
                <w:rFonts w:ascii="Times New Roman" w:hAnsi="Times New Roman"/>
                <w:sz w:val="26"/>
                <w:szCs w:val="26"/>
              </w:rPr>
              <w:t xml:space="preserve"> </w:t>
            </w:r>
            <w:r w:rsidR="000B157C" w:rsidRPr="005A0167">
              <w:rPr>
                <w:rFonts w:ascii="Times New Roman" w:hAnsi="Times New Roman"/>
                <w:sz w:val="26"/>
                <w:szCs w:val="26"/>
              </w:rPr>
              <w:t xml:space="preserve">piemērošanas režīmu par 10 </w:t>
            </w:r>
            <w:r w:rsidR="000B157C" w:rsidRPr="005A0167">
              <w:rPr>
                <w:rFonts w:ascii="Times New Roman" w:hAnsi="Times New Roman"/>
                <w:i/>
                <w:sz w:val="26"/>
                <w:szCs w:val="26"/>
              </w:rPr>
              <w:t xml:space="preserve">euro </w:t>
            </w:r>
            <w:r w:rsidR="000B157C" w:rsidRPr="005A0167">
              <w:rPr>
                <w:rFonts w:ascii="Times New Roman" w:hAnsi="Times New Roman"/>
                <w:sz w:val="26"/>
                <w:szCs w:val="26"/>
              </w:rPr>
              <w:t xml:space="preserve">bez </w:t>
            </w:r>
            <w:r w:rsidR="00711CFD" w:rsidRPr="005A0167">
              <w:rPr>
                <w:rFonts w:ascii="Times New Roman" w:hAnsi="Times New Roman"/>
                <w:sz w:val="26"/>
                <w:szCs w:val="26"/>
              </w:rPr>
              <w:t>PVN</w:t>
            </w:r>
            <w:r w:rsidR="000B157C" w:rsidRPr="005A0167">
              <w:rPr>
                <w:rFonts w:ascii="Times New Roman" w:hAnsi="Times New Roman"/>
                <w:sz w:val="26"/>
                <w:szCs w:val="26"/>
              </w:rPr>
              <w:t xml:space="preserve"> un darījums vispārīgajā </w:t>
            </w:r>
            <w:r w:rsidR="0090289E">
              <w:rPr>
                <w:rFonts w:ascii="Times New Roman" w:hAnsi="Times New Roman"/>
                <w:sz w:val="26"/>
                <w:szCs w:val="26"/>
              </w:rPr>
              <w:t>PVN</w:t>
            </w:r>
            <w:r w:rsidR="0090289E" w:rsidRPr="005A0167">
              <w:rPr>
                <w:rFonts w:ascii="Times New Roman" w:hAnsi="Times New Roman"/>
                <w:sz w:val="26"/>
                <w:szCs w:val="26"/>
              </w:rPr>
              <w:t xml:space="preserve"> </w:t>
            </w:r>
            <w:r w:rsidR="000B157C" w:rsidRPr="005A0167">
              <w:rPr>
                <w:rFonts w:ascii="Times New Roman" w:hAnsi="Times New Roman"/>
                <w:sz w:val="26"/>
                <w:szCs w:val="26"/>
              </w:rPr>
              <w:t xml:space="preserve">piemērošanas režīmā par 145 </w:t>
            </w:r>
            <w:r w:rsidR="000B157C" w:rsidRPr="00BA22C5">
              <w:rPr>
                <w:i/>
                <w:sz w:val="26"/>
                <w:szCs w:val="26"/>
              </w:rPr>
              <w:t>euro</w:t>
            </w:r>
            <w:r w:rsidR="000B157C" w:rsidRPr="005A0167">
              <w:rPr>
                <w:rFonts w:ascii="Times New Roman" w:hAnsi="Times New Roman"/>
                <w:sz w:val="26"/>
                <w:szCs w:val="26"/>
              </w:rPr>
              <w:t xml:space="preserve"> bez </w:t>
            </w:r>
            <w:r w:rsidR="00711CFD" w:rsidRPr="005A0167">
              <w:rPr>
                <w:rFonts w:ascii="Times New Roman" w:hAnsi="Times New Roman"/>
                <w:sz w:val="26"/>
                <w:szCs w:val="26"/>
              </w:rPr>
              <w:t>PVN</w:t>
            </w:r>
            <w:r w:rsidR="008815B4" w:rsidRPr="005A0167">
              <w:rPr>
                <w:rFonts w:ascii="Times New Roman" w:hAnsi="Times New Roman"/>
                <w:sz w:val="26"/>
                <w:szCs w:val="26"/>
              </w:rPr>
              <w:t>)</w:t>
            </w:r>
            <w:r w:rsidR="000B157C" w:rsidRPr="005A0167">
              <w:rPr>
                <w:rFonts w:ascii="Times New Roman" w:hAnsi="Times New Roman"/>
                <w:sz w:val="26"/>
                <w:szCs w:val="26"/>
              </w:rPr>
              <w:t xml:space="preserve">, tad katrs darījums ir jānorāda atsevišķi, ievērojot to, ka kopējā darījuma vērtība bez </w:t>
            </w:r>
            <w:r w:rsidR="008815B4" w:rsidRPr="005A0167">
              <w:rPr>
                <w:rFonts w:ascii="Times New Roman" w:hAnsi="Times New Roman"/>
                <w:sz w:val="26"/>
                <w:szCs w:val="26"/>
              </w:rPr>
              <w:t>PVN</w:t>
            </w:r>
            <w:r w:rsidR="000B157C" w:rsidRPr="005A0167">
              <w:rPr>
                <w:rFonts w:ascii="Times New Roman" w:hAnsi="Times New Roman"/>
                <w:sz w:val="26"/>
                <w:szCs w:val="26"/>
              </w:rPr>
              <w:t xml:space="preserve"> ir 150 </w:t>
            </w:r>
            <w:r w:rsidR="000B157C" w:rsidRPr="005A0167">
              <w:rPr>
                <w:rFonts w:ascii="Times New Roman" w:hAnsi="Times New Roman"/>
                <w:i/>
                <w:sz w:val="26"/>
                <w:szCs w:val="26"/>
              </w:rPr>
              <w:t xml:space="preserve">euro </w:t>
            </w:r>
            <w:r w:rsidR="008815B4" w:rsidRPr="00BA22C5">
              <w:rPr>
                <w:rFonts w:ascii="Times New Roman" w:hAnsi="Times New Roman"/>
                <w:sz w:val="26"/>
                <w:szCs w:val="26"/>
              </w:rPr>
              <w:t>vai</w:t>
            </w:r>
            <w:r w:rsidR="008815B4" w:rsidRPr="00F65AC7">
              <w:rPr>
                <w:rFonts w:ascii="Times New Roman" w:hAnsi="Times New Roman"/>
                <w:i/>
                <w:sz w:val="26"/>
                <w:szCs w:val="26"/>
              </w:rPr>
              <w:t xml:space="preserve"> </w:t>
            </w:r>
            <w:r w:rsidR="000B157C" w:rsidRPr="00F65AC7">
              <w:rPr>
                <w:rFonts w:ascii="Times New Roman" w:hAnsi="Times New Roman"/>
                <w:sz w:val="26"/>
                <w:szCs w:val="26"/>
              </w:rPr>
              <w:t>vairāk</w:t>
            </w:r>
            <w:r w:rsidR="00F65AC7">
              <w:rPr>
                <w:rFonts w:ascii="Times New Roman" w:hAnsi="Times New Roman"/>
                <w:sz w:val="26"/>
                <w:szCs w:val="26"/>
              </w:rPr>
              <w:t xml:space="preserve"> (noteikumu projekta 5. un</w:t>
            </w:r>
            <w:r w:rsidR="005A0167">
              <w:rPr>
                <w:rFonts w:ascii="Times New Roman" w:hAnsi="Times New Roman"/>
                <w:sz w:val="26"/>
                <w:szCs w:val="26"/>
              </w:rPr>
              <w:t xml:space="preserve"> 7. punkts, kā arī 8</w:t>
            </w:r>
            <w:r w:rsidR="008B47CD" w:rsidRPr="005A0167">
              <w:rPr>
                <w:rFonts w:ascii="Times New Roman" w:hAnsi="Times New Roman"/>
                <w:sz w:val="26"/>
                <w:szCs w:val="26"/>
              </w:rPr>
              <w:t>.punktā ietvertais Ministru kabineta 2013.gada 15.janvāra noteikumu Nr. 40 76.punkts)</w:t>
            </w:r>
            <w:r w:rsidR="000B157C" w:rsidRPr="005A0167">
              <w:rPr>
                <w:rFonts w:ascii="Times New Roman" w:hAnsi="Times New Roman"/>
                <w:sz w:val="26"/>
                <w:szCs w:val="26"/>
              </w:rPr>
              <w:t xml:space="preserve">. </w:t>
            </w:r>
          </w:p>
        </w:tc>
      </w:tr>
      <w:tr w:rsidR="00CA70BA" w14:paraId="60A5C485" w14:textId="77777777" w:rsidTr="00BA22C5">
        <w:trPr>
          <w:trHeight w:val="122"/>
          <w:tblCellSpacing w:w="0" w:type="dxa"/>
        </w:trPr>
        <w:tc>
          <w:tcPr>
            <w:tcW w:w="423" w:type="dxa"/>
            <w:tcBorders>
              <w:top w:val="outset" w:sz="6" w:space="0" w:color="auto"/>
              <w:left w:val="outset" w:sz="6" w:space="0" w:color="auto"/>
              <w:bottom w:val="outset" w:sz="6" w:space="0" w:color="auto"/>
              <w:right w:val="outset" w:sz="6" w:space="0" w:color="auto"/>
            </w:tcBorders>
            <w:hideMark/>
          </w:tcPr>
          <w:p w14:paraId="7817F7AC" w14:textId="77777777" w:rsidR="00CA70BA" w:rsidRPr="00CA74E1" w:rsidRDefault="00CA70BA" w:rsidP="00BC2D68">
            <w:pPr>
              <w:rPr>
                <w:rFonts w:eastAsia="Times New Roman"/>
                <w:sz w:val="26"/>
                <w:szCs w:val="26"/>
                <w:lang w:eastAsia="lv-LV"/>
              </w:rPr>
            </w:pPr>
            <w:r w:rsidRPr="00CA74E1">
              <w:rPr>
                <w:rFonts w:eastAsia="Times New Roman"/>
                <w:sz w:val="26"/>
                <w:szCs w:val="26"/>
                <w:lang w:eastAsia="lv-LV"/>
              </w:rPr>
              <w:lastRenderedPageBreak/>
              <w:t>3.</w:t>
            </w:r>
          </w:p>
        </w:tc>
        <w:tc>
          <w:tcPr>
            <w:tcW w:w="3379" w:type="dxa"/>
            <w:tcBorders>
              <w:top w:val="outset" w:sz="6" w:space="0" w:color="auto"/>
              <w:left w:val="outset" w:sz="6" w:space="0" w:color="auto"/>
              <w:bottom w:val="outset" w:sz="6" w:space="0" w:color="auto"/>
              <w:right w:val="outset" w:sz="6" w:space="0" w:color="auto"/>
            </w:tcBorders>
            <w:hideMark/>
          </w:tcPr>
          <w:p w14:paraId="4A85806A" w14:textId="77777777" w:rsidR="00CA70BA" w:rsidRPr="00CA74E1" w:rsidRDefault="00CA70BA" w:rsidP="00BC2D68">
            <w:pPr>
              <w:ind w:left="127" w:hanging="19"/>
              <w:rPr>
                <w:rFonts w:eastAsia="Times New Roman"/>
                <w:sz w:val="26"/>
                <w:szCs w:val="26"/>
                <w:lang w:eastAsia="lv-LV"/>
              </w:rPr>
            </w:pPr>
            <w:r w:rsidRPr="00CA74E1">
              <w:rPr>
                <w:rFonts w:eastAsia="Times New Roman"/>
                <w:sz w:val="26"/>
                <w:szCs w:val="26"/>
                <w:lang w:eastAsia="lv-LV"/>
              </w:rPr>
              <w:t>Projekta izstrādē iesaistītās institūcijas</w:t>
            </w:r>
            <w:r>
              <w:rPr>
                <w:rFonts w:eastAsia="Times New Roman"/>
                <w:sz w:val="26"/>
                <w:szCs w:val="26"/>
                <w:lang w:eastAsia="lv-LV"/>
              </w:rPr>
              <w:t xml:space="preserve"> un publiskas personas kapitālsabiedrības</w:t>
            </w:r>
          </w:p>
        </w:tc>
        <w:tc>
          <w:tcPr>
            <w:tcW w:w="6098" w:type="dxa"/>
            <w:tcBorders>
              <w:top w:val="outset" w:sz="6" w:space="0" w:color="auto"/>
              <w:left w:val="outset" w:sz="6" w:space="0" w:color="auto"/>
              <w:bottom w:val="outset" w:sz="6" w:space="0" w:color="auto"/>
              <w:right w:val="outset" w:sz="6" w:space="0" w:color="auto"/>
            </w:tcBorders>
            <w:hideMark/>
          </w:tcPr>
          <w:p w14:paraId="7E9C30F4" w14:textId="77777777" w:rsidR="00CA70BA" w:rsidRPr="00CA74E1" w:rsidRDefault="00CA70BA" w:rsidP="00BC2D68">
            <w:pPr>
              <w:ind w:right="125"/>
              <w:jc w:val="both"/>
              <w:rPr>
                <w:rFonts w:eastAsia="Times New Roman"/>
                <w:sz w:val="26"/>
                <w:szCs w:val="26"/>
                <w:lang w:eastAsia="lv-LV"/>
              </w:rPr>
            </w:pPr>
            <w:r w:rsidRPr="00CA74E1">
              <w:rPr>
                <w:rFonts w:eastAsia="Times New Roman"/>
                <w:sz w:val="26"/>
                <w:szCs w:val="26"/>
                <w:lang w:eastAsia="lv-LV"/>
              </w:rPr>
              <w:t>Valsts ieņēmumu dienests</w:t>
            </w:r>
          </w:p>
          <w:p w14:paraId="490F07A9" w14:textId="77777777" w:rsidR="00CA70BA" w:rsidRPr="00CA74E1" w:rsidRDefault="00CA70BA" w:rsidP="00BC2D68">
            <w:pPr>
              <w:ind w:left="125" w:right="125"/>
              <w:jc w:val="both"/>
              <w:rPr>
                <w:rFonts w:eastAsia="Times New Roman"/>
                <w:sz w:val="26"/>
                <w:szCs w:val="26"/>
              </w:rPr>
            </w:pPr>
          </w:p>
        </w:tc>
      </w:tr>
      <w:tr w:rsidR="00CA70BA" w14:paraId="3949D433" w14:textId="77777777" w:rsidTr="00BA22C5">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trHeight w:val="358"/>
        </w:trPr>
        <w:tc>
          <w:tcPr>
            <w:tcW w:w="423" w:type="dxa"/>
            <w:tcBorders>
              <w:top w:val="outset" w:sz="6" w:space="0" w:color="000000"/>
              <w:left w:val="outset" w:sz="6" w:space="0" w:color="000000"/>
              <w:bottom w:val="outset" w:sz="6" w:space="0" w:color="000000"/>
              <w:right w:val="outset" w:sz="6" w:space="0" w:color="000000"/>
            </w:tcBorders>
            <w:hideMark/>
          </w:tcPr>
          <w:p w14:paraId="52711242" w14:textId="77777777" w:rsidR="00CA70BA" w:rsidRPr="00CA74E1" w:rsidRDefault="00CA70BA" w:rsidP="00BC2D68">
            <w:pPr>
              <w:spacing w:before="100" w:beforeAutospacing="1" w:after="100" w:afterAutospacing="1"/>
              <w:jc w:val="both"/>
              <w:rPr>
                <w:rFonts w:eastAsia="Times New Roman"/>
                <w:sz w:val="26"/>
                <w:szCs w:val="26"/>
                <w:lang w:eastAsia="lv-LV"/>
              </w:rPr>
            </w:pPr>
            <w:r w:rsidRPr="00CA74E1">
              <w:rPr>
                <w:rFonts w:eastAsia="Times New Roman"/>
                <w:sz w:val="26"/>
                <w:szCs w:val="26"/>
                <w:lang w:eastAsia="lv-LV"/>
              </w:rPr>
              <w:t>4.</w:t>
            </w:r>
          </w:p>
        </w:tc>
        <w:tc>
          <w:tcPr>
            <w:tcW w:w="3379" w:type="dxa"/>
            <w:tcBorders>
              <w:top w:val="outset" w:sz="6" w:space="0" w:color="000000"/>
              <w:left w:val="outset" w:sz="6" w:space="0" w:color="000000"/>
              <w:bottom w:val="outset" w:sz="6" w:space="0" w:color="000000"/>
              <w:right w:val="outset" w:sz="6" w:space="0" w:color="000000"/>
            </w:tcBorders>
            <w:hideMark/>
          </w:tcPr>
          <w:p w14:paraId="56D6560D" w14:textId="77777777" w:rsidR="00CA70BA" w:rsidRPr="00CA74E1" w:rsidRDefault="00CA70BA" w:rsidP="00BC2D68">
            <w:pPr>
              <w:spacing w:before="100" w:beforeAutospacing="1" w:after="100" w:afterAutospacing="1"/>
              <w:jc w:val="both"/>
              <w:rPr>
                <w:rFonts w:eastAsia="Times New Roman"/>
                <w:sz w:val="26"/>
                <w:szCs w:val="26"/>
                <w:lang w:eastAsia="lv-LV"/>
              </w:rPr>
            </w:pPr>
            <w:r w:rsidRPr="00CA74E1">
              <w:rPr>
                <w:rFonts w:eastAsia="Times New Roman"/>
                <w:sz w:val="26"/>
                <w:szCs w:val="26"/>
                <w:lang w:eastAsia="lv-LV"/>
              </w:rPr>
              <w:t>Cita informācija</w:t>
            </w:r>
          </w:p>
        </w:tc>
        <w:tc>
          <w:tcPr>
            <w:tcW w:w="6098" w:type="dxa"/>
            <w:tcBorders>
              <w:top w:val="outset" w:sz="6" w:space="0" w:color="000000"/>
              <w:left w:val="outset" w:sz="6" w:space="0" w:color="000000"/>
              <w:bottom w:val="outset" w:sz="6" w:space="0" w:color="000000"/>
              <w:right w:val="outset" w:sz="6" w:space="0" w:color="000000"/>
            </w:tcBorders>
            <w:hideMark/>
          </w:tcPr>
          <w:p w14:paraId="77B01606" w14:textId="77777777" w:rsidR="00CA70BA" w:rsidRPr="00CA74E1" w:rsidRDefault="00CA70BA" w:rsidP="00BC2D68">
            <w:pPr>
              <w:spacing w:before="100" w:beforeAutospacing="1" w:after="100" w:afterAutospacing="1"/>
              <w:jc w:val="both"/>
              <w:rPr>
                <w:rFonts w:eastAsia="Times New Roman"/>
                <w:sz w:val="26"/>
                <w:szCs w:val="26"/>
                <w:lang w:eastAsia="lv-LV"/>
              </w:rPr>
            </w:pPr>
            <w:r w:rsidRPr="00CA74E1">
              <w:rPr>
                <w:rFonts w:eastAsia="Times New Roman"/>
                <w:sz w:val="26"/>
                <w:szCs w:val="26"/>
                <w:lang w:eastAsia="lv-LV"/>
              </w:rPr>
              <w:t>Nav</w:t>
            </w:r>
          </w:p>
        </w:tc>
      </w:tr>
    </w:tbl>
    <w:p w14:paraId="605E7148" w14:textId="77777777" w:rsidR="00CA70BA" w:rsidRPr="00CA74E1" w:rsidRDefault="00CA70BA" w:rsidP="00CA70BA">
      <w:pPr>
        <w:rPr>
          <w:sz w:val="26"/>
          <w:szCs w:val="26"/>
        </w:rPr>
      </w:pPr>
    </w:p>
    <w:p w14:paraId="222CBF4F" w14:textId="77777777" w:rsidR="00CA70BA" w:rsidRPr="00CA74E1" w:rsidRDefault="00CA70BA" w:rsidP="00CA70BA">
      <w:pPr>
        <w:rPr>
          <w:sz w:val="26"/>
          <w:szCs w:val="26"/>
        </w:rPr>
      </w:pPr>
    </w:p>
    <w:tbl>
      <w:tblPr>
        <w:tblW w:w="5458"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1"/>
        <w:gridCol w:w="3244"/>
        <w:gridCol w:w="6229"/>
      </w:tblGrid>
      <w:tr w:rsidR="00CA70BA" w14:paraId="7961C934" w14:textId="77777777" w:rsidTr="00BA22C5">
        <w:tc>
          <w:tcPr>
            <w:tcW w:w="5000" w:type="pct"/>
            <w:gridSpan w:val="3"/>
            <w:tcBorders>
              <w:top w:val="single" w:sz="6" w:space="0" w:color="000000"/>
              <w:left w:val="single" w:sz="6" w:space="0" w:color="000000"/>
              <w:bottom w:val="outset" w:sz="6" w:space="0" w:color="000000"/>
              <w:right w:val="single" w:sz="6" w:space="0" w:color="000000"/>
            </w:tcBorders>
            <w:vAlign w:val="center"/>
            <w:hideMark/>
          </w:tcPr>
          <w:p w14:paraId="29B3FF9C" w14:textId="77777777" w:rsidR="00CA70BA" w:rsidRPr="00CA74E1" w:rsidRDefault="00CA70BA" w:rsidP="00BC2D68">
            <w:pPr>
              <w:pStyle w:val="NormalWeb"/>
              <w:jc w:val="center"/>
              <w:rPr>
                <w:b/>
                <w:bCs/>
                <w:sz w:val="26"/>
                <w:szCs w:val="26"/>
                <w:lang w:eastAsia="en-US"/>
              </w:rPr>
            </w:pPr>
            <w:r w:rsidRPr="00CA74E1">
              <w:rPr>
                <w:b/>
                <w:bCs/>
                <w:sz w:val="26"/>
                <w:szCs w:val="26"/>
                <w:lang w:eastAsia="en-US"/>
              </w:rPr>
              <w:t>II. Tiesību akta projekta ietekme uz sabiedrību, tautsaimniecības attīstību un administratīvo slogu</w:t>
            </w:r>
          </w:p>
        </w:tc>
      </w:tr>
      <w:tr w:rsidR="00CA70BA" w14:paraId="4CBD7795" w14:textId="77777777" w:rsidTr="00BA22C5">
        <w:tc>
          <w:tcPr>
            <w:tcW w:w="208" w:type="pct"/>
            <w:tcBorders>
              <w:top w:val="outset" w:sz="6" w:space="0" w:color="000000"/>
              <w:left w:val="outset" w:sz="6" w:space="0" w:color="000000"/>
              <w:bottom w:val="outset" w:sz="6" w:space="0" w:color="000000"/>
              <w:right w:val="outset" w:sz="6" w:space="0" w:color="000000"/>
            </w:tcBorders>
            <w:hideMark/>
          </w:tcPr>
          <w:p w14:paraId="3770BF4F" w14:textId="77777777" w:rsidR="00CA70BA" w:rsidRPr="00CA74E1" w:rsidRDefault="00CA70BA" w:rsidP="00BC2D68">
            <w:pPr>
              <w:pStyle w:val="NormalWeb"/>
              <w:rPr>
                <w:sz w:val="26"/>
                <w:szCs w:val="26"/>
                <w:lang w:eastAsia="en-US"/>
              </w:rPr>
            </w:pPr>
            <w:r w:rsidRPr="00CA74E1">
              <w:rPr>
                <w:sz w:val="26"/>
                <w:szCs w:val="26"/>
                <w:lang w:eastAsia="en-US"/>
              </w:rPr>
              <w:t>1.</w:t>
            </w:r>
          </w:p>
        </w:tc>
        <w:tc>
          <w:tcPr>
            <w:tcW w:w="1641" w:type="pct"/>
            <w:tcBorders>
              <w:top w:val="outset" w:sz="6" w:space="0" w:color="000000"/>
              <w:left w:val="outset" w:sz="6" w:space="0" w:color="000000"/>
              <w:bottom w:val="outset" w:sz="6" w:space="0" w:color="000000"/>
              <w:right w:val="outset" w:sz="6" w:space="0" w:color="000000"/>
            </w:tcBorders>
            <w:hideMark/>
          </w:tcPr>
          <w:p w14:paraId="7B68176E" w14:textId="77777777" w:rsidR="00CA70BA" w:rsidRPr="00CA74E1" w:rsidRDefault="00CA70BA" w:rsidP="00BC2D68">
            <w:pPr>
              <w:pStyle w:val="NormalWeb"/>
              <w:rPr>
                <w:i/>
                <w:sz w:val="26"/>
                <w:szCs w:val="26"/>
                <w:u w:val="single"/>
                <w:lang w:eastAsia="en-US"/>
              </w:rPr>
            </w:pPr>
            <w:r w:rsidRPr="00CA74E1">
              <w:rPr>
                <w:sz w:val="26"/>
                <w:szCs w:val="26"/>
                <w:lang w:eastAsia="en-US"/>
              </w:rPr>
              <w:t>Sabiedrības mērķgrupas, kuras tiesiskais regulējums ietekmē vai varētu ietekmēt</w:t>
            </w:r>
          </w:p>
        </w:tc>
        <w:tc>
          <w:tcPr>
            <w:tcW w:w="3151" w:type="pct"/>
            <w:tcBorders>
              <w:top w:val="outset" w:sz="6" w:space="0" w:color="000000"/>
              <w:left w:val="outset" w:sz="6" w:space="0" w:color="000000"/>
              <w:bottom w:val="outset" w:sz="6" w:space="0" w:color="000000"/>
              <w:right w:val="outset" w:sz="6" w:space="0" w:color="000000"/>
            </w:tcBorders>
            <w:hideMark/>
          </w:tcPr>
          <w:p w14:paraId="6357E014" w14:textId="1BC1A947" w:rsidR="00CA70BA" w:rsidRDefault="00CA70BA" w:rsidP="00BC2D68">
            <w:pPr>
              <w:spacing w:before="100" w:beforeAutospacing="1"/>
              <w:jc w:val="both"/>
              <w:rPr>
                <w:sz w:val="26"/>
                <w:szCs w:val="26"/>
              </w:rPr>
            </w:pPr>
            <w:r>
              <w:rPr>
                <w:sz w:val="26"/>
                <w:szCs w:val="26"/>
              </w:rPr>
              <w:t xml:space="preserve">Saistībā ar </w:t>
            </w:r>
            <w:r w:rsidRPr="00B35651">
              <w:rPr>
                <w:sz w:val="26"/>
                <w:szCs w:val="26"/>
              </w:rPr>
              <w:t xml:space="preserve">Ministru kabineta 2013.gada 15.janvāra noteikumu Nr. 40 </w:t>
            </w:r>
            <w:r>
              <w:rPr>
                <w:sz w:val="26"/>
                <w:szCs w:val="26"/>
              </w:rPr>
              <w:t xml:space="preserve">8., 9. un 10.punktā esošo </w:t>
            </w:r>
            <w:r w:rsidRPr="00A949AE">
              <w:rPr>
                <w:sz w:val="26"/>
                <w:szCs w:val="26"/>
              </w:rPr>
              <w:t>atsauču redakcionālu precizējumu</w:t>
            </w:r>
            <w:r>
              <w:rPr>
                <w:sz w:val="26"/>
                <w:szCs w:val="26"/>
              </w:rPr>
              <w:t xml:space="preserve">, </w:t>
            </w:r>
            <w:r w:rsidRPr="0006676D">
              <w:rPr>
                <w:sz w:val="26"/>
                <w:szCs w:val="26"/>
              </w:rPr>
              <w:t>17.31.</w:t>
            </w:r>
            <w:r>
              <w:rPr>
                <w:sz w:val="26"/>
                <w:szCs w:val="26"/>
              </w:rPr>
              <w:t xml:space="preserve"> </w:t>
            </w:r>
            <w:r w:rsidRPr="0006676D">
              <w:rPr>
                <w:sz w:val="26"/>
                <w:szCs w:val="26"/>
              </w:rPr>
              <w:t>apakšpunkt</w:t>
            </w:r>
            <w:r>
              <w:rPr>
                <w:sz w:val="26"/>
                <w:szCs w:val="26"/>
              </w:rPr>
              <w:t xml:space="preserve">a tehnisku </w:t>
            </w:r>
            <w:r w:rsidR="005A0167">
              <w:rPr>
                <w:sz w:val="26"/>
                <w:szCs w:val="26"/>
              </w:rPr>
              <w:t>preci</w:t>
            </w:r>
            <w:r w:rsidR="00F65AC7">
              <w:rPr>
                <w:sz w:val="26"/>
                <w:szCs w:val="26"/>
              </w:rPr>
              <w:t xml:space="preserve">zējumu, </w:t>
            </w:r>
            <w:r>
              <w:rPr>
                <w:sz w:val="26"/>
                <w:szCs w:val="26"/>
              </w:rPr>
              <w:t>23.1.</w:t>
            </w:r>
            <w:r w:rsidR="00F65AC7">
              <w:rPr>
                <w:sz w:val="26"/>
                <w:szCs w:val="26"/>
              </w:rPr>
              <w:t>un</w:t>
            </w:r>
            <w:r w:rsidR="005A0167">
              <w:rPr>
                <w:sz w:val="26"/>
                <w:szCs w:val="26"/>
              </w:rPr>
              <w:t xml:space="preserve"> 31.1. </w:t>
            </w:r>
            <w:r>
              <w:rPr>
                <w:sz w:val="26"/>
                <w:szCs w:val="26"/>
              </w:rPr>
              <w:t xml:space="preserve">apakšpunkta </w:t>
            </w:r>
            <w:r w:rsidR="005A0167">
              <w:rPr>
                <w:sz w:val="26"/>
                <w:szCs w:val="26"/>
              </w:rPr>
              <w:t>papildinājumiem</w:t>
            </w:r>
            <w:r w:rsidR="00F65AC7">
              <w:rPr>
                <w:sz w:val="26"/>
                <w:szCs w:val="26"/>
              </w:rPr>
              <w:t>,</w:t>
            </w:r>
            <w:r>
              <w:rPr>
                <w:sz w:val="26"/>
                <w:szCs w:val="26"/>
              </w:rPr>
              <w:t xml:space="preserve"> n</w:t>
            </w:r>
            <w:r w:rsidRPr="00A949AE">
              <w:rPr>
                <w:sz w:val="26"/>
                <w:szCs w:val="26"/>
              </w:rPr>
              <w:t>oteikumu projekt</w:t>
            </w:r>
            <w:r w:rsidR="008815B4">
              <w:rPr>
                <w:sz w:val="26"/>
                <w:szCs w:val="26"/>
              </w:rPr>
              <w:t>ā pa</w:t>
            </w:r>
            <w:r w:rsidR="00C43B60">
              <w:rPr>
                <w:sz w:val="26"/>
                <w:szCs w:val="26"/>
              </w:rPr>
              <w:t>redzētais</w:t>
            </w:r>
            <w:r w:rsidRPr="00A949AE">
              <w:rPr>
                <w:sz w:val="26"/>
                <w:szCs w:val="26"/>
              </w:rPr>
              <w:t xml:space="preserve"> tiesiskais regulējums neietekmēs reģistrētus PVN maksātājus</w:t>
            </w:r>
            <w:r w:rsidRPr="00A949AE">
              <w:rPr>
                <w:rFonts w:eastAsia="Times New Roman"/>
                <w:sz w:val="26"/>
                <w:szCs w:val="26"/>
                <w:lang w:eastAsia="lv-LV"/>
              </w:rPr>
              <w:t>.</w:t>
            </w:r>
          </w:p>
          <w:p w14:paraId="3D3C48B1" w14:textId="79A7FFD3" w:rsidR="00CA70BA" w:rsidRPr="00A949AE" w:rsidRDefault="00CA70BA">
            <w:pPr>
              <w:spacing w:before="100" w:beforeAutospacing="1"/>
              <w:jc w:val="both"/>
              <w:rPr>
                <w:rFonts w:eastAsia="Times New Roman"/>
                <w:bCs/>
                <w:kern w:val="1"/>
                <w:sz w:val="26"/>
                <w:szCs w:val="26"/>
                <w:lang w:eastAsia="ar-SA"/>
              </w:rPr>
            </w:pPr>
            <w:r>
              <w:rPr>
                <w:sz w:val="26"/>
                <w:szCs w:val="26"/>
              </w:rPr>
              <w:t xml:space="preserve">Saistībā ar </w:t>
            </w:r>
            <w:r w:rsidRPr="00B35651">
              <w:rPr>
                <w:sz w:val="26"/>
                <w:szCs w:val="26"/>
              </w:rPr>
              <w:t xml:space="preserve">Ministru kabineta 2013.gada 15.janvāra noteikumu Nr. 40 </w:t>
            </w:r>
            <w:r w:rsidRPr="006F1FC2">
              <w:rPr>
                <w:sz w:val="26"/>
                <w:szCs w:val="26"/>
              </w:rPr>
              <w:t>25.3.8.</w:t>
            </w:r>
            <w:r w:rsidRPr="006F1FC2">
              <w:rPr>
                <w:sz w:val="26"/>
                <w:szCs w:val="26"/>
                <w:vertAlign w:val="superscript"/>
              </w:rPr>
              <w:t>4</w:t>
            </w:r>
            <w:r w:rsidRPr="006F1FC2">
              <w:rPr>
                <w:sz w:val="26"/>
                <w:szCs w:val="26"/>
              </w:rPr>
              <w:t>apakšpunkt</w:t>
            </w:r>
            <w:r>
              <w:rPr>
                <w:sz w:val="26"/>
                <w:szCs w:val="26"/>
              </w:rPr>
              <w:t>a precizēšanu</w:t>
            </w:r>
            <w:r w:rsidRPr="006F1FC2">
              <w:rPr>
                <w:sz w:val="26"/>
                <w:szCs w:val="26"/>
              </w:rPr>
              <w:t xml:space="preserve"> </w:t>
            </w:r>
            <w:r>
              <w:rPr>
                <w:sz w:val="26"/>
                <w:szCs w:val="26"/>
              </w:rPr>
              <w:t>n</w:t>
            </w:r>
            <w:r w:rsidRPr="00A949AE">
              <w:rPr>
                <w:sz w:val="26"/>
                <w:szCs w:val="26"/>
              </w:rPr>
              <w:t xml:space="preserve">oteikumu projekta tiesiskais regulējums skar </w:t>
            </w:r>
            <w:r w:rsidRPr="00A949AE">
              <w:rPr>
                <w:color w:val="000000"/>
                <w:sz w:val="26"/>
                <w:szCs w:val="26"/>
              </w:rPr>
              <w:t xml:space="preserve">reģistrētus PVN maksātājus, kuri </w:t>
            </w:r>
            <w:r w:rsidRPr="00A949AE">
              <w:rPr>
                <w:sz w:val="26"/>
                <w:szCs w:val="26"/>
              </w:rPr>
              <w:t>ir melno un krāsaino metālu pusfabrikātu</w:t>
            </w:r>
            <w:r>
              <w:rPr>
                <w:sz w:val="26"/>
                <w:szCs w:val="26"/>
              </w:rPr>
              <w:t xml:space="preserve"> un ar to piegādi tieši saistītu pakalpojumu</w:t>
            </w:r>
            <w:r w:rsidRPr="00A949AE">
              <w:rPr>
                <w:sz w:val="26"/>
                <w:szCs w:val="26"/>
              </w:rPr>
              <w:t xml:space="preserve"> piegādātāji vai saņēmēji</w:t>
            </w:r>
            <w:r>
              <w:rPr>
                <w:sz w:val="26"/>
                <w:szCs w:val="26"/>
              </w:rPr>
              <w:t>.</w:t>
            </w:r>
          </w:p>
        </w:tc>
      </w:tr>
      <w:tr w:rsidR="00CA70BA" w14:paraId="44FDAC29" w14:textId="77777777" w:rsidTr="00BA22C5">
        <w:tc>
          <w:tcPr>
            <w:tcW w:w="208" w:type="pct"/>
            <w:tcBorders>
              <w:top w:val="outset" w:sz="6" w:space="0" w:color="000000"/>
              <w:left w:val="outset" w:sz="6" w:space="0" w:color="000000"/>
              <w:bottom w:val="outset" w:sz="6" w:space="0" w:color="000000"/>
              <w:right w:val="outset" w:sz="6" w:space="0" w:color="000000"/>
            </w:tcBorders>
            <w:hideMark/>
          </w:tcPr>
          <w:p w14:paraId="1BA15B55" w14:textId="77777777" w:rsidR="00CA70BA" w:rsidRPr="00CA74E1" w:rsidRDefault="00CA70BA" w:rsidP="00BC2D68">
            <w:pPr>
              <w:pStyle w:val="NormalWeb"/>
              <w:rPr>
                <w:sz w:val="26"/>
                <w:szCs w:val="26"/>
                <w:lang w:eastAsia="en-US"/>
              </w:rPr>
            </w:pPr>
            <w:r w:rsidRPr="00CA74E1">
              <w:rPr>
                <w:sz w:val="26"/>
                <w:szCs w:val="26"/>
                <w:lang w:eastAsia="en-US"/>
              </w:rPr>
              <w:t>2.</w:t>
            </w:r>
          </w:p>
        </w:tc>
        <w:tc>
          <w:tcPr>
            <w:tcW w:w="1641" w:type="pct"/>
            <w:tcBorders>
              <w:top w:val="outset" w:sz="6" w:space="0" w:color="000000"/>
              <w:left w:val="outset" w:sz="6" w:space="0" w:color="000000"/>
              <w:bottom w:val="outset" w:sz="6" w:space="0" w:color="000000"/>
              <w:right w:val="outset" w:sz="6" w:space="0" w:color="000000"/>
            </w:tcBorders>
            <w:hideMark/>
          </w:tcPr>
          <w:p w14:paraId="18399B4E" w14:textId="77777777" w:rsidR="00CA70BA" w:rsidRPr="00CA74E1" w:rsidRDefault="00CA70BA" w:rsidP="00BC2D68">
            <w:pPr>
              <w:pStyle w:val="NormalWeb"/>
              <w:rPr>
                <w:sz w:val="26"/>
                <w:szCs w:val="26"/>
                <w:lang w:eastAsia="en-US"/>
              </w:rPr>
            </w:pPr>
            <w:r w:rsidRPr="00CA74E1">
              <w:rPr>
                <w:sz w:val="26"/>
                <w:szCs w:val="26"/>
                <w:lang w:eastAsia="en-US"/>
              </w:rPr>
              <w:t>Tiesiskā regulējuma ietekme uz tautsaimniecību un administratīvo slogu</w:t>
            </w:r>
          </w:p>
        </w:tc>
        <w:tc>
          <w:tcPr>
            <w:tcW w:w="3151" w:type="pct"/>
            <w:tcBorders>
              <w:top w:val="outset" w:sz="6" w:space="0" w:color="000000"/>
              <w:left w:val="outset" w:sz="6" w:space="0" w:color="000000"/>
              <w:bottom w:val="outset" w:sz="6" w:space="0" w:color="000000"/>
              <w:right w:val="outset" w:sz="6" w:space="0" w:color="000000"/>
            </w:tcBorders>
            <w:hideMark/>
          </w:tcPr>
          <w:p w14:paraId="7507C77D" w14:textId="77777777" w:rsidR="00CA70BA" w:rsidRDefault="00CA70BA" w:rsidP="00BC2D68">
            <w:pPr>
              <w:jc w:val="both"/>
              <w:rPr>
                <w:sz w:val="26"/>
                <w:szCs w:val="26"/>
              </w:rPr>
            </w:pPr>
            <w:r w:rsidRPr="00CA74E1">
              <w:rPr>
                <w:sz w:val="26"/>
                <w:szCs w:val="26"/>
              </w:rPr>
              <w:t xml:space="preserve">Noteikumu projektā ietverto grozījumu ieviešana </w:t>
            </w:r>
            <w:r>
              <w:rPr>
                <w:sz w:val="26"/>
                <w:szCs w:val="26"/>
              </w:rPr>
              <w:t>ne</w:t>
            </w:r>
            <w:r w:rsidRPr="00CA74E1">
              <w:rPr>
                <w:sz w:val="26"/>
                <w:szCs w:val="26"/>
              </w:rPr>
              <w:t xml:space="preserve">palielinās administratīvo slogu. </w:t>
            </w:r>
          </w:p>
          <w:p w14:paraId="467D038A" w14:textId="77777777" w:rsidR="00CA70BA" w:rsidRPr="001447A2" w:rsidRDefault="00CA70BA" w:rsidP="00BC2D68">
            <w:pPr>
              <w:jc w:val="both"/>
              <w:rPr>
                <w:rFonts w:eastAsia="Times New Roman"/>
                <w:sz w:val="26"/>
                <w:szCs w:val="26"/>
                <w:highlight w:val="yellow"/>
              </w:rPr>
            </w:pPr>
          </w:p>
        </w:tc>
      </w:tr>
      <w:tr w:rsidR="00CA70BA" w14:paraId="408D57ED" w14:textId="77777777" w:rsidTr="00BA22C5">
        <w:tc>
          <w:tcPr>
            <w:tcW w:w="208" w:type="pct"/>
            <w:tcBorders>
              <w:top w:val="outset" w:sz="6" w:space="0" w:color="000000"/>
              <w:left w:val="outset" w:sz="6" w:space="0" w:color="000000"/>
              <w:bottom w:val="outset" w:sz="6" w:space="0" w:color="000000"/>
              <w:right w:val="outset" w:sz="6" w:space="0" w:color="000000"/>
            </w:tcBorders>
            <w:hideMark/>
          </w:tcPr>
          <w:p w14:paraId="52C2715E" w14:textId="77777777" w:rsidR="00CA70BA" w:rsidRPr="00CA74E1" w:rsidRDefault="00CA70BA" w:rsidP="00BC2D68">
            <w:pPr>
              <w:pStyle w:val="NormalWeb"/>
              <w:rPr>
                <w:sz w:val="26"/>
                <w:szCs w:val="26"/>
                <w:lang w:eastAsia="en-US"/>
              </w:rPr>
            </w:pPr>
            <w:r w:rsidRPr="00CA74E1">
              <w:rPr>
                <w:sz w:val="26"/>
                <w:szCs w:val="26"/>
                <w:lang w:eastAsia="en-US"/>
              </w:rPr>
              <w:t>3.</w:t>
            </w:r>
          </w:p>
        </w:tc>
        <w:tc>
          <w:tcPr>
            <w:tcW w:w="1641" w:type="pct"/>
            <w:tcBorders>
              <w:top w:val="outset" w:sz="6" w:space="0" w:color="000000"/>
              <w:left w:val="outset" w:sz="6" w:space="0" w:color="000000"/>
              <w:bottom w:val="outset" w:sz="6" w:space="0" w:color="000000"/>
              <w:right w:val="outset" w:sz="6" w:space="0" w:color="000000"/>
            </w:tcBorders>
          </w:tcPr>
          <w:p w14:paraId="08840023" w14:textId="77777777" w:rsidR="00CA70BA" w:rsidRPr="00CA74E1" w:rsidRDefault="00CA70BA" w:rsidP="00BC2D68">
            <w:pPr>
              <w:pStyle w:val="NormalWeb"/>
              <w:rPr>
                <w:sz w:val="26"/>
                <w:szCs w:val="26"/>
                <w:lang w:eastAsia="en-US"/>
              </w:rPr>
            </w:pPr>
            <w:r w:rsidRPr="00CA74E1">
              <w:rPr>
                <w:sz w:val="26"/>
                <w:szCs w:val="26"/>
                <w:lang w:eastAsia="en-US"/>
              </w:rPr>
              <w:t>Administratīvo izmaksu monetārs novērtējums</w:t>
            </w:r>
          </w:p>
        </w:tc>
        <w:tc>
          <w:tcPr>
            <w:tcW w:w="3151" w:type="pct"/>
            <w:tcBorders>
              <w:top w:val="outset" w:sz="6" w:space="0" w:color="000000"/>
              <w:left w:val="outset" w:sz="6" w:space="0" w:color="000000"/>
              <w:bottom w:val="outset" w:sz="6" w:space="0" w:color="000000"/>
              <w:right w:val="outset" w:sz="6" w:space="0" w:color="000000"/>
            </w:tcBorders>
          </w:tcPr>
          <w:p w14:paraId="4B060226" w14:textId="77777777" w:rsidR="00CA70BA" w:rsidRPr="000103B6" w:rsidRDefault="00CA70BA" w:rsidP="00BC2D68">
            <w:pPr>
              <w:pStyle w:val="PlainText"/>
              <w:jc w:val="both"/>
              <w:rPr>
                <w:rFonts w:ascii="Times New Roman" w:hAnsi="Times New Roman" w:cs="Times New Roman"/>
                <w:sz w:val="26"/>
                <w:szCs w:val="26"/>
                <w:highlight w:val="yellow"/>
                <w:lang w:eastAsia="en-US"/>
              </w:rPr>
            </w:pPr>
            <w:r>
              <w:rPr>
                <w:rFonts w:ascii="Times New Roman" w:hAnsi="Times New Roman" w:cs="Times New Roman"/>
                <w:spacing w:val="-2"/>
                <w:sz w:val="26"/>
                <w:szCs w:val="26"/>
              </w:rPr>
              <w:t>Nav</w:t>
            </w:r>
          </w:p>
        </w:tc>
      </w:tr>
      <w:tr w:rsidR="00CA70BA" w14:paraId="7B1CD370" w14:textId="77777777" w:rsidTr="00BA22C5">
        <w:tc>
          <w:tcPr>
            <w:tcW w:w="208" w:type="pct"/>
            <w:tcBorders>
              <w:top w:val="outset" w:sz="6" w:space="0" w:color="000000"/>
              <w:left w:val="outset" w:sz="6" w:space="0" w:color="000000"/>
              <w:bottom w:val="outset" w:sz="6" w:space="0" w:color="000000"/>
              <w:right w:val="outset" w:sz="6" w:space="0" w:color="000000"/>
            </w:tcBorders>
          </w:tcPr>
          <w:p w14:paraId="0972FD10" w14:textId="77777777" w:rsidR="00CA70BA" w:rsidRPr="00CA74E1" w:rsidRDefault="00CA70BA" w:rsidP="00BC2D68">
            <w:pPr>
              <w:pStyle w:val="NormalWeb"/>
              <w:rPr>
                <w:sz w:val="26"/>
                <w:szCs w:val="26"/>
                <w:lang w:eastAsia="en-US"/>
              </w:rPr>
            </w:pPr>
            <w:r>
              <w:rPr>
                <w:sz w:val="26"/>
                <w:szCs w:val="26"/>
                <w:lang w:eastAsia="en-US"/>
              </w:rPr>
              <w:t>4.</w:t>
            </w:r>
          </w:p>
        </w:tc>
        <w:tc>
          <w:tcPr>
            <w:tcW w:w="1641" w:type="pct"/>
            <w:tcBorders>
              <w:top w:val="outset" w:sz="6" w:space="0" w:color="000000"/>
              <w:left w:val="outset" w:sz="6" w:space="0" w:color="000000"/>
              <w:bottom w:val="outset" w:sz="6" w:space="0" w:color="000000"/>
              <w:right w:val="outset" w:sz="6" w:space="0" w:color="000000"/>
            </w:tcBorders>
          </w:tcPr>
          <w:p w14:paraId="1B62F9C0" w14:textId="77777777" w:rsidR="00CA70BA" w:rsidRPr="00CA74E1" w:rsidRDefault="00CA70BA" w:rsidP="00BC2D68">
            <w:pPr>
              <w:pStyle w:val="NormalWeb"/>
              <w:rPr>
                <w:sz w:val="26"/>
                <w:szCs w:val="26"/>
                <w:lang w:eastAsia="en-US"/>
              </w:rPr>
            </w:pPr>
            <w:r>
              <w:rPr>
                <w:sz w:val="26"/>
                <w:szCs w:val="26"/>
                <w:lang w:eastAsia="en-US"/>
              </w:rPr>
              <w:t>Atbilstības izmaksu monetārs novērtējums</w:t>
            </w:r>
          </w:p>
        </w:tc>
        <w:tc>
          <w:tcPr>
            <w:tcW w:w="3151" w:type="pct"/>
            <w:tcBorders>
              <w:top w:val="outset" w:sz="6" w:space="0" w:color="000000"/>
              <w:left w:val="outset" w:sz="6" w:space="0" w:color="000000"/>
              <w:bottom w:val="outset" w:sz="6" w:space="0" w:color="000000"/>
              <w:right w:val="outset" w:sz="6" w:space="0" w:color="000000"/>
            </w:tcBorders>
          </w:tcPr>
          <w:p w14:paraId="3F13F14C" w14:textId="77777777" w:rsidR="00CA70BA" w:rsidRPr="00CA74E1" w:rsidRDefault="00CA70BA" w:rsidP="00BC2D68">
            <w:pPr>
              <w:pStyle w:val="NormalWeb"/>
              <w:jc w:val="both"/>
              <w:rPr>
                <w:sz w:val="26"/>
                <w:szCs w:val="26"/>
                <w:lang w:eastAsia="en-US"/>
              </w:rPr>
            </w:pPr>
            <w:r>
              <w:rPr>
                <w:spacing w:val="-2"/>
                <w:sz w:val="26"/>
                <w:szCs w:val="26"/>
              </w:rPr>
              <w:t>Nav</w:t>
            </w:r>
          </w:p>
        </w:tc>
      </w:tr>
      <w:tr w:rsidR="00CA70BA" w14:paraId="001BA3A6" w14:textId="77777777" w:rsidTr="00BA22C5">
        <w:tc>
          <w:tcPr>
            <w:tcW w:w="208" w:type="pct"/>
            <w:tcBorders>
              <w:top w:val="outset" w:sz="6" w:space="0" w:color="000000"/>
              <w:left w:val="outset" w:sz="6" w:space="0" w:color="000000"/>
              <w:bottom w:val="outset" w:sz="6" w:space="0" w:color="000000"/>
              <w:right w:val="outset" w:sz="6" w:space="0" w:color="000000"/>
            </w:tcBorders>
            <w:hideMark/>
          </w:tcPr>
          <w:p w14:paraId="1BE85FEF" w14:textId="77777777" w:rsidR="00CA70BA" w:rsidRPr="00CA74E1" w:rsidRDefault="00CA70BA" w:rsidP="00BC2D68">
            <w:pPr>
              <w:pStyle w:val="NormalWeb"/>
              <w:rPr>
                <w:sz w:val="26"/>
                <w:szCs w:val="26"/>
                <w:lang w:eastAsia="en-US"/>
              </w:rPr>
            </w:pPr>
            <w:r w:rsidRPr="00CA74E1">
              <w:rPr>
                <w:sz w:val="26"/>
                <w:szCs w:val="26"/>
                <w:lang w:eastAsia="en-US"/>
              </w:rPr>
              <w:t>4.</w:t>
            </w:r>
          </w:p>
        </w:tc>
        <w:tc>
          <w:tcPr>
            <w:tcW w:w="1641" w:type="pct"/>
            <w:tcBorders>
              <w:top w:val="outset" w:sz="6" w:space="0" w:color="000000"/>
              <w:left w:val="outset" w:sz="6" w:space="0" w:color="000000"/>
              <w:bottom w:val="outset" w:sz="6" w:space="0" w:color="000000"/>
              <w:right w:val="outset" w:sz="6" w:space="0" w:color="000000"/>
            </w:tcBorders>
            <w:hideMark/>
          </w:tcPr>
          <w:p w14:paraId="3CB50B32" w14:textId="77777777" w:rsidR="00CA70BA" w:rsidRPr="00CA74E1" w:rsidRDefault="00CA70BA" w:rsidP="00BC2D68">
            <w:pPr>
              <w:pStyle w:val="NormalWeb"/>
              <w:rPr>
                <w:sz w:val="26"/>
                <w:szCs w:val="26"/>
                <w:lang w:eastAsia="en-US"/>
              </w:rPr>
            </w:pPr>
            <w:r w:rsidRPr="00CA74E1">
              <w:rPr>
                <w:sz w:val="26"/>
                <w:szCs w:val="26"/>
                <w:lang w:eastAsia="en-US"/>
              </w:rPr>
              <w:t>Cita informācija</w:t>
            </w:r>
          </w:p>
        </w:tc>
        <w:tc>
          <w:tcPr>
            <w:tcW w:w="3151" w:type="pct"/>
            <w:tcBorders>
              <w:top w:val="outset" w:sz="6" w:space="0" w:color="000000"/>
              <w:left w:val="outset" w:sz="6" w:space="0" w:color="000000"/>
              <w:bottom w:val="outset" w:sz="6" w:space="0" w:color="000000"/>
              <w:right w:val="outset" w:sz="6" w:space="0" w:color="000000"/>
            </w:tcBorders>
            <w:hideMark/>
          </w:tcPr>
          <w:p w14:paraId="087B5FEC" w14:textId="77777777" w:rsidR="00CA70BA" w:rsidRPr="00CA74E1" w:rsidRDefault="00CA70BA" w:rsidP="00BC2D68">
            <w:pPr>
              <w:pStyle w:val="NormalWeb"/>
              <w:rPr>
                <w:sz w:val="26"/>
                <w:szCs w:val="26"/>
                <w:lang w:eastAsia="en-US"/>
              </w:rPr>
            </w:pPr>
            <w:r w:rsidRPr="00CA74E1">
              <w:rPr>
                <w:sz w:val="26"/>
                <w:szCs w:val="26"/>
                <w:lang w:eastAsia="en-US"/>
              </w:rPr>
              <w:t>Nav</w:t>
            </w:r>
          </w:p>
        </w:tc>
      </w:tr>
    </w:tbl>
    <w:p w14:paraId="3F61D2A6" w14:textId="77777777" w:rsidR="00CA70BA" w:rsidRDefault="00CA70BA" w:rsidP="00CA70BA">
      <w:pPr>
        <w:rPr>
          <w:sz w:val="27"/>
          <w:szCs w:val="27"/>
        </w:rPr>
      </w:pPr>
    </w:p>
    <w:tbl>
      <w:tblPr>
        <w:tblW w:w="5456" w:type="pct"/>
        <w:tblInd w:w="-25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67"/>
        <w:gridCol w:w="1208"/>
        <w:gridCol w:w="1060"/>
        <w:gridCol w:w="894"/>
        <w:gridCol w:w="1309"/>
        <w:gridCol w:w="1232"/>
        <w:gridCol w:w="1394"/>
        <w:gridCol w:w="1123"/>
      </w:tblGrid>
      <w:tr w:rsidR="00CA70BA" w14:paraId="3A6BE8D0" w14:textId="77777777" w:rsidTr="00BA22C5">
        <w:trPr>
          <w:trHeight w:val="77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6DAFEC1" w14:textId="77777777" w:rsidR="00CA70BA" w:rsidRPr="00B34778" w:rsidRDefault="00CA70BA" w:rsidP="00BC2D68">
            <w:pPr>
              <w:pStyle w:val="naislab"/>
              <w:spacing w:before="0" w:after="0"/>
              <w:ind w:firstLine="720"/>
              <w:jc w:val="center"/>
              <w:rPr>
                <w:b/>
                <w:color w:val="000000"/>
                <w:sz w:val="26"/>
                <w:szCs w:val="26"/>
              </w:rPr>
            </w:pPr>
            <w:r w:rsidRPr="00B34778">
              <w:rPr>
                <w:b/>
                <w:bCs/>
                <w:color w:val="000000"/>
                <w:sz w:val="26"/>
                <w:szCs w:val="26"/>
              </w:rPr>
              <w:lastRenderedPageBreak/>
              <w:t>III. Tiesību akta projekta ietekme uz valsts budžetu un pašvaldību budžetiem</w:t>
            </w:r>
          </w:p>
        </w:tc>
      </w:tr>
      <w:tr w:rsidR="00CA70BA" w14:paraId="7F2EACD7" w14:textId="77777777" w:rsidTr="00BA22C5">
        <w:tc>
          <w:tcPr>
            <w:tcW w:w="843" w:type="pct"/>
            <w:vMerge w:val="restart"/>
            <w:tcBorders>
              <w:top w:val="single" w:sz="4" w:space="0" w:color="auto"/>
              <w:left w:val="outset" w:sz="6" w:space="0" w:color="414142"/>
              <w:bottom w:val="outset" w:sz="6" w:space="0" w:color="414142"/>
              <w:right w:val="outset" w:sz="6" w:space="0" w:color="414142"/>
            </w:tcBorders>
            <w:vAlign w:val="center"/>
            <w:hideMark/>
          </w:tcPr>
          <w:p w14:paraId="58CF3DF7" w14:textId="77777777" w:rsidR="00CA70BA" w:rsidRPr="00B34778" w:rsidRDefault="00CA70BA" w:rsidP="00BC2D68">
            <w:pPr>
              <w:spacing w:before="100" w:beforeAutospacing="1"/>
              <w:ind w:firstLine="300"/>
              <w:jc w:val="both"/>
              <w:rPr>
                <w:rFonts w:eastAsia="Times New Roman"/>
                <w:color w:val="000000"/>
                <w:sz w:val="26"/>
                <w:szCs w:val="26"/>
                <w:lang w:eastAsia="lv-LV"/>
              </w:rPr>
            </w:pPr>
            <w:r w:rsidRPr="00B34778">
              <w:rPr>
                <w:rFonts w:eastAsia="Times New Roman"/>
                <w:color w:val="000000"/>
                <w:sz w:val="26"/>
                <w:szCs w:val="26"/>
                <w:lang w:eastAsia="lv-LV"/>
              </w:rPr>
              <w:t>Rādītāji</w:t>
            </w:r>
          </w:p>
        </w:tc>
        <w:tc>
          <w:tcPr>
            <w:tcW w:w="1147"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218914BC" w14:textId="77777777" w:rsidR="00CA70BA" w:rsidRPr="00B34778" w:rsidRDefault="00CA70BA" w:rsidP="00BC2D68">
            <w:pPr>
              <w:spacing w:before="100" w:beforeAutospacing="1"/>
              <w:ind w:firstLine="300"/>
              <w:jc w:val="both"/>
              <w:rPr>
                <w:rFonts w:eastAsia="Times New Roman"/>
                <w:color w:val="000000"/>
                <w:sz w:val="26"/>
                <w:szCs w:val="26"/>
                <w:lang w:eastAsia="lv-LV"/>
              </w:rPr>
            </w:pPr>
            <w:r w:rsidRPr="00B34778">
              <w:rPr>
                <w:rFonts w:eastAsia="Times New Roman"/>
                <w:color w:val="000000"/>
                <w:sz w:val="26"/>
                <w:szCs w:val="26"/>
                <w:lang w:eastAsia="lv-LV"/>
              </w:rPr>
              <w:t>201</w:t>
            </w:r>
            <w:r>
              <w:rPr>
                <w:rFonts w:eastAsia="Times New Roman"/>
                <w:color w:val="000000"/>
                <w:sz w:val="26"/>
                <w:szCs w:val="26"/>
                <w:lang w:eastAsia="lv-LV"/>
              </w:rPr>
              <w:t>9</w:t>
            </w:r>
          </w:p>
        </w:tc>
        <w:tc>
          <w:tcPr>
            <w:tcW w:w="3010" w:type="pct"/>
            <w:gridSpan w:val="5"/>
            <w:tcBorders>
              <w:top w:val="single" w:sz="4" w:space="0" w:color="auto"/>
              <w:left w:val="outset" w:sz="6" w:space="0" w:color="414142"/>
              <w:bottom w:val="outset" w:sz="6" w:space="0" w:color="414142"/>
              <w:right w:val="outset" w:sz="6" w:space="0" w:color="414142"/>
            </w:tcBorders>
            <w:vAlign w:val="center"/>
            <w:hideMark/>
          </w:tcPr>
          <w:p w14:paraId="22ED2845" w14:textId="77777777" w:rsidR="00CA70BA" w:rsidRPr="00B34778" w:rsidRDefault="00CA70BA" w:rsidP="00BC2D68">
            <w:pPr>
              <w:spacing w:before="100" w:beforeAutospacing="1"/>
              <w:ind w:firstLine="300"/>
              <w:jc w:val="both"/>
              <w:rPr>
                <w:rFonts w:eastAsia="Times New Roman"/>
                <w:color w:val="000000"/>
                <w:sz w:val="26"/>
                <w:szCs w:val="26"/>
                <w:lang w:eastAsia="lv-LV"/>
              </w:rPr>
            </w:pPr>
            <w:r w:rsidRPr="00B34778">
              <w:rPr>
                <w:rFonts w:eastAsia="Times New Roman"/>
                <w:color w:val="000000"/>
                <w:sz w:val="26"/>
                <w:szCs w:val="26"/>
                <w:lang w:eastAsia="lv-LV"/>
              </w:rPr>
              <w:t>Turpmākie trīs gadi (</w:t>
            </w:r>
            <w:r w:rsidRPr="00B34778">
              <w:rPr>
                <w:rFonts w:eastAsia="Times New Roman"/>
                <w:i/>
                <w:iCs/>
                <w:color w:val="000000"/>
                <w:sz w:val="26"/>
                <w:szCs w:val="26"/>
                <w:lang w:eastAsia="lv-LV"/>
              </w:rPr>
              <w:t>euro</w:t>
            </w:r>
            <w:r w:rsidRPr="00B34778">
              <w:rPr>
                <w:rFonts w:eastAsia="Times New Roman"/>
                <w:color w:val="000000"/>
                <w:sz w:val="26"/>
                <w:szCs w:val="26"/>
                <w:lang w:eastAsia="lv-LV"/>
              </w:rPr>
              <w:t>)</w:t>
            </w:r>
          </w:p>
        </w:tc>
      </w:tr>
      <w:tr w:rsidR="00F17E56" w14:paraId="1CBB9568" w14:textId="77777777" w:rsidTr="00F17E56">
        <w:tc>
          <w:tcPr>
            <w:tcW w:w="843" w:type="pct"/>
            <w:vMerge/>
            <w:tcBorders>
              <w:top w:val="outset" w:sz="6" w:space="0" w:color="414142"/>
              <w:left w:val="outset" w:sz="6" w:space="0" w:color="414142"/>
              <w:bottom w:val="outset" w:sz="6" w:space="0" w:color="414142"/>
              <w:right w:val="outset" w:sz="6" w:space="0" w:color="414142"/>
            </w:tcBorders>
            <w:vAlign w:val="center"/>
            <w:hideMark/>
          </w:tcPr>
          <w:p w14:paraId="3CA9A2C6" w14:textId="77777777" w:rsidR="00CA70BA" w:rsidRPr="00B34778" w:rsidRDefault="00CA70BA" w:rsidP="00BC2D68">
            <w:pPr>
              <w:jc w:val="both"/>
              <w:rPr>
                <w:rFonts w:eastAsia="Times New Roman"/>
                <w:color w:val="000000"/>
                <w:sz w:val="26"/>
                <w:szCs w:val="26"/>
                <w:lang w:eastAsia="lv-LV"/>
              </w:rPr>
            </w:pPr>
          </w:p>
        </w:tc>
        <w:tc>
          <w:tcPr>
            <w:tcW w:w="1147" w:type="pct"/>
            <w:gridSpan w:val="2"/>
            <w:vMerge/>
            <w:tcBorders>
              <w:top w:val="outset" w:sz="6" w:space="0" w:color="414142"/>
              <w:left w:val="outset" w:sz="6" w:space="0" w:color="414142"/>
              <w:bottom w:val="outset" w:sz="6" w:space="0" w:color="414142"/>
              <w:right w:val="outset" w:sz="6" w:space="0" w:color="414142"/>
            </w:tcBorders>
            <w:vAlign w:val="center"/>
            <w:hideMark/>
          </w:tcPr>
          <w:p w14:paraId="52D66AB5" w14:textId="77777777" w:rsidR="00CA70BA" w:rsidRPr="00B34778" w:rsidRDefault="00CA70BA" w:rsidP="00BC2D68">
            <w:pPr>
              <w:jc w:val="both"/>
              <w:rPr>
                <w:rFonts w:eastAsia="Times New Roman"/>
                <w:color w:val="000000"/>
                <w:sz w:val="26"/>
                <w:szCs w:val="26"/>
                <w:lang w:eastAsia="lv-LV"/>
              </w:rPr>
            </w:pPr>
          </w:p>
        </w:tc>
        <w:tc>
          <w:tcPr>
            <w:tcW w:w="1114" w:type="pct"/>
            <w:gridSpan w:val="2"/>
            <w:tcBorders>
              <w:top w:val="outset" w:sz="6" w:space="0" w:color="414142"/>
              <w:left w:val="outset" w:sz="6" w:space="0" w:color="414142"/>
              <w:bottom w:val="outset" w:sz="6" w:space="0" w:color="414142"/>
              <w:right w:val="outset" w:sz="6" w:space="0" w:color="414142"/>
            </w:tcBorders>
            <w:vAlign w:val="center"/>
            <w:hideMark/>
          </w:tcPr>
          <w:p w14:paraId="06C8875C" w14:textId="77777777" w:rsidR="00CA70BA" w:rsidRPr="00B34778" w:rsidRDefault="00CA70BA" w:rsidP="00BC2D68">
            <w:pPr>
              <w:spacing w:before="100" w:beforeAutospacing="1"/>
              <w:ind w:firstLine="300"/>
              <w:jc w:val="both"/>
              <w:rPr>
                <w:rFonts w:eastAsia="Times New Roman"/>
                <w:color w:val="000000"/>
                <w:sz w:val="26"/>
                <w:szCs w:val="26"/>
                <w:lang w:eastAsia="lv-LV"/>
              </w:rPr>
            </w:pPr>
            <w:r w:rsidRPr="00B34778">
              <w:rPr>
                <w:rFonts w:eastAsia="Times New Roman"/>
                <w:color w:val="000000"/>
                <w:sz w:val="26"/>
                <w:szCs w:val="26"/>
                <w:lang w:eastAsia="lv-LV"/>
              </w:rPr>
              <w:t>20</w:t>
            </w:r>
            <w:r>
              <w:rPr>
                <w:rFonts w:eastAsia="Times New Roman"/>
                <w:color w:val="000000"/>
                <w:sz w:val="26"/>
                <w:szCs w:val="26"/>
                <w:lang w:eastAsia="lv-LV"/>
              </w:rPr>
              <w:t>20</w:t>
            </w:r>
          </w:p>
        </w:tc>
        <w:tc>
          <w:tcPr>
            <w:tcW w:w="1328" w:type="pct"/>
            <w:gridSpan w:val="2"/>
            <w:tcBorders>
              <w:top w:val="outset" w:sz="6" w:space="0" w:color="414142"/>
              <w:left w:val="outset" w:sz="6" w:space="0" w:color="414142"/>
              <w:bottom w:val="outset" w:sz="6" w:space="0" w:color="414142"/>
              <w:right w:val="outset" w:sz="6" w:space="0" w:color="414142"/>
            </w:tcBorders>
            <w:vAlign w:val="center"/>
            <w:hideMark/>
          </w:tcPr>
          <w:p w14:paraId="55FD9396" w14:textId="77777777" w:rsidR="00CA70BA" w:rsidRPr="00B34778" w:rsidRDefault="00CA70BA" w:rsidP="00BC2D68">
            <w:pPr>
              <w:spacing w:before="100" w:beforeAutospacing="1"/>
              <w:ind w:firstLine="300"/>
              <w:jc w:val="both"/>
              <w:rPr>
                <w:rFonts w:eastAsia="Times New Roman"/>
                <w:color w:val="000000"/>
                <w:sz w:val="26"/>
                <w:szCs w:val="26"/>
                <w:lang w:eastAsia="lv-LV"/>
              </w:rPr>
            </w:pPr>
            <w:r w:rsidRPr="00B34778">
              <w:rPr>
                <w:rFonts w:eastAsia="Times New Roman"/>
                <w:color w:val="000000"/>
                <w:sz w:val="26"/>
                <w:szCs w:val="26"/>
                <w:lang w:eastAsia="lv-LV"/>
              </w:rPr>
              <w:t>202</w:t>
            </w:r>
            <w:r>
              <w:rPr>
                <w:rFonts w:eastAsia="Times New Roman"/>
                <w:color w:val="000000"/>
                <w:sz w:val="26"/>
                <w:szCs w:val="26"/>
                <w:lang w:eastAsia="lv-LV"/>
              </w:rPr>
              <w:t>1</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7C13C00C" w14:textId="77777777" w:rsidR="00CA70BA" w:rsidRPr="00B34778" w:rsidRDefault="00CA70BA" w:rsidP="00BC2D68">
            <w:pPr>
              <w:spacing w:before="100" w:beforeAutospacing="1"/>
              <w:ind w:firstLine="300"/>
              <w:jc w:val="both"/>
              <w:rPr>
                <w:rFonts w:eastAsia="Times New Roman"/>
                <w:color w:val="000000"/>
                <w:sz w:val="26"/>
                <w:szCs w:val="26"/>
                <w:lang w:eastAsia="lv-LV"/>
              </w:rPr>
            </w:pPr>
            <w:r w:rsidRPr="00B34778">
              <w:rPr>
                <w:rFonts w:eastAsia="Times New Roman"/>
                <w:color w:val="000000"/>
                <w:sz w:val="26"/>
                <w:szCs w:val="26"/>
                <w:lang w:eastAsia="lv-LV"/>
              </w:rPr>
              <w:t>202</w:t>
            </w:r>
            <w:r>
              <w:rPr>
                <w:rFonts w:eastAsia="Times New Roman"/>
                <w:color w:val="000000"/>
                <w:sz w:val="26"/>
                <w:szCs w:val="26"/>
                <w:lang w:eastAsia="lv-LV"/>
              </w:rPr>
              <w:t>2</w:t>
            </w:r>
          </w:p>
        </w:tc>
      </w:tr>
      <w:tr w:rsidR="00F17E56" w14:paraId="47929BD3" w14:textId="77777777" w:rsidTr="00BA22C5">
        <w:tc>
          <w:tcPr>
            <w:tcW w:w="843" w:type="pct"/>
            <w:vMerge/>
            <w:tcBorders>
              <w:top w:val="outset" w:sz="6" w:space="0" w:color="414142"/>
              <w:left w:val="outset" w:sz="6" w:space="0" w:color="414142"/>
              <w:bottom w:val="outset" w:sz="6" w:space="0" w:color="414142"/>
              <w:right w:val="outset" w:sz="6" w:space="0" w:color="414142"/>
            </w:tcBorders>
            <w:vAlign w:val="center"/>
            <w:hideMark/>
          </w:tcPr>
          <w:p w14:paraId="635F72CC" w14:textId="77777777" w:rsidR="00CA70BA" w:rsidRPr="00B34778" w:rsidRDefault="00CA70BA" w:rsidP="00BC2D68">
            <w:pPr>
              <w:jc w:val="both"/>
              <w:rPr>
                <w:rFonts w:eastAsia="Times New Roman"/>
                <w:color w:val="000000"/>
                <w:sz w:val="26"/>
                <w:szCs w:val="26"/>
                <w:lang w:eastAsia="lv-LV"/>
              </w:rPr>
            </w:pP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5FC3E8E7" w14:textId="77777777" w:rsidR="00CA70BA" w:rsidRPr="00B34778" w:rsidRDefault="00CA70BA" w:rsidP="00BC2D68">
            <w:pPr>
              <w:spacing w:before="100" w:beforeAutospacing="1"/>
              <w:jc w:val="both"/>
              <w:rPr>
                <w:rFonts w:eastAsia="Times New Roman"/>
                <w:color w:val="000000"/>
                <w:sz w:val="26"/>
                <w:szCs w:val="26"/>
                <w:lang w:eastAsia="lv-LV"/>
              </w:rPr>
            </w:pPr>
            <w:r w:rsidRPr="00B34778">
              <w:rPr>
                <w:rFonts w:eastAsia="Times New Roman"/>
                <w:color w:val="000000"/>
                <w:sz w:val="26"/>
                <w:szCs w:val="26"/>
                <w:lang w:eastAsia="lv-LV"/>
              </w:rPr>
              <w:t>saskaņā ar valsts budžetu kārtējam gadam</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79CADC3A" w14:textId="77777777" w:rsidR="00CA70BA" w:rsidRPr="00BA22C5" w:rsidRDefault="00CA70BA" w:rsidP="00BC2D68">
            <w:pPr>
              <w:spacing w:before="100" w:beforeAutospacing="1"/>
              <w:jc w:val="both"/>
              <w:rPr>
                <w:rFonts w:eastAsia="Times New Roman"/>
                <w:color w:val="000000"/>
                <w:sz w:val="25"/>
                <w:szCs w:val="25"/>
                <w:lang w:eastAsia="lv-LV"/>
              </w:rPr>
            </w:pPr>
            <w:r w:rsidRPr="00BA22C5">
              <w:rPr>
                <w:rFonts w:eastAsia="Times New Roman"/>
                <w:color w:val="000000"/>
                <w:sz w:val="25"/>
                <w:szCs w:val="25"/>
                <w:lang w:eastAsia="lv-LV"/>
              </w:rPr>
              <w:t>izmaiņas kārtējā gadā, salīdzinot ar valsts budžetu kārtējam gadam</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766F9600" w14:textId="77777777" w:rsidR="00CA70BA" w:rsidRPr="00B34778" w:rsidRDefault="00CA70BA" w:rsidP="00BC2D68">
            <w:pPr>
              <w:spacing w:before="100" w:beforeAutospacing="1"/>
              <w:jc w:val="both"/>
              <w:rPr>
                <w:rFonts w:eastAsia="Times New Roman"/>
                <w:color w:val="000000"/>
                <w:sz w:val="26"/>
                <w:szCs w:val="26"/>
                <w:lang w:eastAsia="lv-LV"/>
              </w:rPr>
            </w:pPr>
            <w:r w:rsidRPr="00B34778">
              <w:rPr>
                <w:rFonts w:eastAsia="Times New Roman"/>
                <w:color w:val="000000"/>
                <w:sz w:val="26"/>
                <w:szCs w:val="26"/>
                <w:lang w:eastAsia="lv-LV"/>
              </w:rPr>
              <w:t>saskaņā ar vidēja termiņa budžeta ietvaru</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31DA84CC" w14:textId="6E3310A6" w:rsidR="00CA70BA" w:rsidRPr="00B34778" w:rsidRDefault="00CA70BA" w:rsidP="00BC2D68">
            <w:pPr>
              <w:spacing w:before="100" w:beforeAutospacing="1"/>
              <w:jc w:val="both"/>
              <w:rPr>
                <w:rFonts w:eastAsia="Times New Roman"/>
                <w:color w:val="000000"/>
                <w:sz w:val="26"/>
                <w:szCs w:val="26"/>
                <w:lang w:eastAsia="lv-LV"/>
              </w:rPr>
            </w:pPr>
            <w:r w:rsidRPr="00B34778">
              <w:rPr>
                <w:rFonts w:eastAsia="Times New Roman"/>
                <w:color w:val="000000"/>
                <w:sz w:val="26"/>
                <w:szCs w:val="26"/>
                <w:lang w:eastAsia="lv-LV"/>
              </w:rPr>
              <w:t xml:space="preserve">izmaiņas, salīdzinot ar vidēja termiņa budžeta ietvaru </w:t>
            </w:r>
            <w:r w:rsidR="00CB56F1">
              <w:rPr>
                <w:rFonts w:eastAsia="Times New Roman"/>
                <w:color w:val="000000"/>
                <w:sz w:val="26"/>
                <w:szCs w:val="26"/>
                <w:lang w:eastAsia="lv-LV"/>
              </w:rPr>
              <w:t>2020.</w:t>
            </w:r>
            <w:r w:rsidRPr="00B34778">
              <w:rPr>
                <w:rFonts w:eastAsia="Times New Roman"/>
                <w:color w:val="000000"/>
                <w:sz w:val="26"/>
                <w:szCs w:val="26"/>
                <w:lang w:eastAsia="lv-LV"/>
              </w:rPr>
              <w:t xml:space="preserve"> gadam</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27255742" w14:textId="77777777" w:rsidR="00CA70BA" w:rsidRPr="00B34778" w:rsidRDefault="00CA70BA" w:rsidP="00BC2D68">
            <w:pPr>
              <w:spacing w:before="100" w:beforeAutospacing="1"/>
              <w:jc w:val="both"/>
              <w:rPr>
                <w:rFonts w:eastAsia="Times New Roman"/>
                <w:color w:val="000000"/>
                <w:sz w:val="26"/>
                <w:szCs w:val="26"/>
                <w:lang w:eastAsia="lv-LV"/>
              </w:rPr>
            </w:pPr>
            <w:r w:rsidRPr="00B34778">
              <w:rPr>
                <w:rFonts w:eastAsia="Times New Roman"/>
                <w:color w:val="000000"/>
                <w:sz w:val="26"/>
                <w:szCs w:val="26"/>
                <w:lang w:eastAsia="lv-LV"/>
              </w:rPr>
              <w:t>saskaņā ar vidēja termiņa budžeta ietvaru</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E914DF3" w14:textId="3812AA5D" w:rsidR="00CA70BA" w:rsidRPr="00B34778" w:rsidRDefault="00CA70BA">
            <w:pPr>
              <w:spacing w:before="100" w:beforeAutospacing="1"/>
              <w:jc w:val="both"/>
              <w:rPr>
                <w:rFonts w:eastAsia="Times New Roman"/>
                <w:color w:val="000000"/>
                <w:sz w:val="26"/>
                <w:szCs w:val="26"/>
                <w:lang w:eastAsia="lv-LV"/>
              </w:rPr>
            </w:pPr>
            <w:r w:rsidRPr="00B34778">
              <w:rPr>
                <w:rFonts w:eastAsia="Times New Roman"/>
                <w:color w:val="000000"/>
                <w:sz w:val="26"/>
                <w:szCs w:val="26"/>
                <w:lang w:eastAsia="lv-LV"/>
              </w:rPr>
              <w:t xml:space="preserve">izmaiņas, salīdzinot ar vidēja termiņa budžeta ietvaru </w:t>
            </w:r>
            <w:r w:rsidR="00CB56F1">
              <w:rPr>
                <w:rFonts w:eastAsia="Times New Roman"/>
                <w:color w:val="000000"/>
                <w:sz w:val="26"/>
                <w:szCs w:val="26"/>
                <w:lang w:eastAsia="lv-LV"/>
              </w:rPr>
              <w:t>2021.</w:t>
            </w:r>
            <w:r w:rsidRPr="00B34778">
              <w:rPr>
                <w:rFonts w:eastAsia="Times New Roman"/>
                <w:color w:val="000000"/>
                <w:sz w:val="26"/>
                <w:szCs w:val="26"/>
                <w:lang w:eastAsia="lv-LV"/>
              </w:rPr>
              <w:t xml:space="preserve"> gadam</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07684E5B" w14:textId="3F1E8794" w:rsidR="00CA70BA" w:rsidRPr="00B34778" w:rsidRDefault="00CA70BA">
            <w:pPr>
              <w:spacing w:before="100" w:beforeAutospacing="1"/>
              <w:jc w:val="both"/>
              <w:rPr>
                <w:rFonts w:eastAsia="Times New Roman"/>
                <w:color w:val="000000"/>
                <w:sz w:val="26"/>
                <w:szCs w:val="26"/>
                <w:lang w:eastAsia="lv-LV"/>
              </w:rPr>
            </w:pPr>
            <w:r w:rsidRPr="00B34778">
              <w:rPr>
                <w:rFonts w:eastAsia="Times New Roman"/>
                <w:color w:val="000000"/>
                <w:sz w:val="26"/>
                <w:szCs w:val="26"/>
                <w:lang w:eastAsia="lv-LV"/>
              </w:rPr>
              <w:t xml:space="preserve">Izmaiņas, salīdzinot ar vidēja termiņa budžeta ietvaru </w:t>
            </w:r>
            <w:r w:rsidR="00CB56F1">
              <w:rPr>
                <w:rFonts w:eastAsia="Times New Roman"/>
                <w:color w:val="000000"/>
                <w:sz w:val="26"/>
                <w:szCs w:val="26"/>
                <w:lang w:eastAsia="lv-LV"/>
              </w:rPr>
              <w:t>2021.</w:t>
            </w:r>
            <w:r w:rsidRPr="00B34778">
              <w:rPr>
                <w:rFonts w:eastAsia="Times New Roman"/>
                <w:color w:val="000000"/>
                <w:sz w:val="26"/>
                <w:szCs w:val="26"/>
                <w:lang w:eastAsia="lv-LV"/>
              </w:rPr>
              <w:t xml:space="preserve"> gadam</w:t>
            </w:r>
          </w:p>
        </w:tc>
      </w:tr>
      <w:tr w:rsidR="00F17E56" w14:paraId="4FABDD7F" w14:textId="77777777" w:rsidTr="00BA22C5">
        <w:tc>
          <w:tcPr>
            <w:tcW w:w="843" w:type="pct"/>
            <w:tcBorders>
              <w:top w:val="outset" w:sz="6" w:space="0" w:color="414142"/>
              <w:left w:val="outset" w:sz="6" w:space="0" w:color="414142"/>
              <w:bottom w:val="outset" w:sz="6" w:space="0" w:color="414142"/>
              <w:right w:val="outset" w:sz="6" w:space="0" w:color="414142"/>
            </w:tcBorders>
            <w:vAlign w:val="center"/>
            <w:hideMark/>
          </w:tcPr>
          <w:p w14:paraId="5E70D248" w14:textId="77777777" w:rsidR="00CA70BA" w:rsidRPr="00B34778" w:rsidRDefault="00CA70BA" w:rsidP="00BC2D68">
            <w:pPr>
              <w:spacing w:before="100" w:beforeAutospacing="1" w:after="100" w:afterAutospacing="1" w:line="360" w:lineRule="auto"/>
              <w:ind w:firstLine="300"/>
              <w:jc w:val="both"/>
              <w:rPr>
                <w:rFonts w:eastAsia="Times New Roman"/>
                <w:color w:val="000000"/>
                <w:sz w:val="26"/>
                <w:szCs w:val="26"/>
                <w:lang w:eastAsia="lv-LV"/>
              </w:rPr>
            </w:pPr>
            <w:r w:rsidRPr="00B34778">
              <w:rPr>
                <w:rFonts w:eastAsia="Times New Roman"/>
                <w:color w:val="000000"/>
                <w:sz w:val="26"/>
                <w:szCs w:val="26"/>
                <w:lang w:eastAsia="lv-LV"/>
              </w:rPr>
              <w:t>1</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293FEBD3" w14:textId="77777777" w:rsidR="00CA70BA" w:rsidRPr="00B34778" w:rsidRDefault="00CA70BA" w:rsidP="00BC2D68">
            <w:pPr>
              <w:spacing w:before="100" w:beforeAutospacing="1" w:after="100" w:afterAutospacing="1" w:line="360" w:lineRule="auto"/>
              <w:ind w:firstLine="300"/>
              <w:jc w:val="both"/>
              <w:rPr>
                <w:rFonts w:eastAsia="Times New Roman"/>
                <w:color w:val="000000"/>
                <w:sz w:val="26"/>
                <w:szCs w:val="26"/>
                <w:lang w:eastAsia="lv-LV"/>
              </w:rPr>
            </w:pPr>
            <w:r w:rsidRPr="00B34778">
              <w:rPr>
                <w:rFonts w:eastAsia="Times New Roman"/>
                <w:color w:val="000000"/>
                <w:sz w:val="26"/>
                <w:szCs w:val="26"/>
                <w:lang w:eastAsia="lv-LV"/>
              </w:rPr>
              <w:t>2</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446C510" w14:textId="77777777" w:rsidR="00CA70BA" w:rsidRPr="00B34778" w:rsidRDefault="00CA70BA" w:rsidP="00BC2D68">
            <w:pPr>
              <w:spacing w:before="100" w:beforeAutospacing="1" w:after="100" w:afterAutospacing="1" w:line="360" w:lineRule="auto"/>
              <w:ind w:firstLine="300"/>
              <w:jc w:val="both"/>
              <w:rPr>
                <w:rFonts w:eastAsia="Times New Roman"/>
                <w:color w:val="000000"/>
                <w:sz w:val="26"/>
                <w:szCs w:val="26"/>
                <w:lang w:eastAsia="lv-LV"/>
              </w:rPr>
            </w:pPr>
            <w:r w:rsidRPr="00B34778">
              <w:rPr>
                <w:rFonts w:eastAsia="Times New Roman"/>
                <w:color w:val="000000"/>
                <w:sz w:val="26"/>
                <w:szCs w:val="26"/>
                <w:lang w:eastAsia="lv-LV"/>
              </w:rPr>
              <w:t>3</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7A02AE42" w14:textId="77777777" w:rsidR="00CA70BA" w:rsidRPr="00B34778" w:rsidRDefault="00CA70BA" w:rsidP="00BC2D68">
            <w:pPr>
              <w:spacing w:before="100" w:beforeAutospacing="1" w:after="100" w:afterAutospacing="1" w:line="360" w:lineRule="auto"/>
              <w:ind w:firstLine="300"/>
              <w:jc w:val="both"/>
              <w:rPr>
                <w:rFonts w:eastAsia="Times New Roman"/>
                <w:color w:val="000000"/>
                <w:sz w:val="26"/>
                <w:szCs w:val="26"/>
                <w:lang w:eastAsia="lv-LV"/>
              </w:rPr>
            </w:pPr>
            <w:r w:rsidRPr="00B34778">
              <w:rPr>
                <w:rFonts w:eastAsia="Times New Roman"/>
                <w:color w:val="000000"/>
                <w:sz w:val="26"/>
                <w:szCs w:val="26"/>
                <w:lang w:eastAsia="lv-LV"/>
              </w:rPr>
              <w:t>4</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53E403B3" w14:textId="77777777" w:rsidR="00CA70BA" w:rsidRPr="00B34778" w:rsidRDefault="00CA70BA" w:rsidP="00BC2D68">
            <w:pPr>
              <w:spacing w:before="100" w:beforeAutospacing="1" w:after="100" w:afterAutospacing="1" w:line="360" w:lineRule="auto"/>
              <w:ind w:firstLine="300"/>
              <w:jc w:val="both"/>
              <w:rPr>
                <w:rFonts w:eastAsia="Times New Roman"/>
                <w:color w:val="000000"/>
                <w:sz w:val="26"/>
                <w:szCs w:val="26"/>
                <w:lang w:eastAsia="lv-LV"/>
              </w:rPr>
            </w:pPr>
            <w:r w:rsidRPr="00B34778">
              <w:rPr>
                <w:rFonts w:eastAsia="Times New Roman"/>
                <w:color w:val="000000"/>
                <w:sz w:val="26"/>
                <w:szCs w:val="26"/>
                <w:lang w:eastAsia="lv-LV"/>
              </w:rPr>
              <w:t>5</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6D6ECF41" w14:textId="77777777" w:rsidR="00CA70BA" w:rsidRPr="00B34778" w:rsidRDefault="00CA70BA" w:rsidP="00BC2D68">
            <w:pPr>
              <w:spacing w:before="100" w:beforeAutospacing="1" w:after="100" w:afterAutospacing="1" w:line="360" w:lineRule="auto"/>
              <w:ind w:firstLine="300"/>
              <w:jc w:val="both"/>
              <w:rPr>
                <w:rFonts w:eastAsia="Times New Roman"/>
                <w:color w:val="000000"/>
                <w:sz w:val="26"/>
                <w:szCs w:val="26"/>
                <w:lang w:eastAsia="lv-LV"/>
              </w:rPr>
            </w:pPr>
            <w:r w:rsidRPr="00B34778">
              <w:rPr>
                <w:rFonts w:eastAsia="Times New Roman"/>
                <w:color w:val="000000"/>
                <w:sz w:val="26"/>
                <w:szCs w:val="26"/>
                <w:lang w:eastAsia="lv-LV"/>
              </w:rPr>
              <w:t>6</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4F11D9AA" w14:textId="77777777" w:rsidR="00CA70BA" w:rsidRPr="00B34778" w:rsidRDefault="00CA70BA" w:rsidP="00BC2D68">
            <w:pPr>
              <w:spacing w:before="100" w:beforeAutospacing="1" w:after="100" w:afterAutospacing="1" w:line="360" w:lineRule="auto"/>
              <w:ind w:firstLine="300"/>
              <w:jc w:val="both"/>
              <w:rPr>
                <w:rFonts w:eastAsia="Times New Roman"/>
                <w:color w:val="000000"/>
                <w:sz w:val="26"/>
                <w:szCs w:val="26"/>
                <w:lang w:eastAsia="lv-LV"/>
              </w:rPr>
            </w:pPr>
            <w:r w:rsidRPr="00B34778">
              <w:rPr>
                <w:rFonts w:eastAsia="Times New Roman"/>
                <w:color w:val="000000"/>
                <w:sz w:val="26"/>
                <w:szCs w:val="26"/>
                <w:lang w:eastAsia="lv-LV"/>
              </w:rPr>
              <w:t>7</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7AD81BB5" w14:textId="77777777" w:rsidR="00CA70BA" w:rsidRPr="00B34778" w:rsidRDefault="00CA70BA" w:rsidP="00BC2D68">
            <w:pPr>
              <w:spacing w:before="100" w:beforeAutospacing="1" w:after="100" w:afterAutospacing="1" w:line="360" w:lineRule="auto"/>
              <w:ind w:firstLine="300"/>
              <w:jc w:val="both"/>
              <w:rPr>
                <w:rFonts w:eastAsia="Times New Roman"/>
                <w:color w:val="000000"/>
                <w:sz w:val="26"/>
                <w:szCs w:val="26"/>
                <w:lang w:eastAsia="lv-LV"/>
              </w:rPr>
            </w:pPr>
            <w:r w:rsidRPr="00B34778">
              <w:rPr>
                <w:rFonts w:eastAsia="Times New Roman"/>
                <w:color w:val="000000"/>
                <w:sz w:val="26"/>
                <w:szCs w:val="26"/>
                <w:lang w:eastAsia="lv-LV"/>
              </w:rPr>
              <w:t>8</w:t>
            </w:r>
          </w:p>
        </w:tc>
      </w:tr>
      <w:tr w:rsidR="00F17E56" w14:paraId="366B5961"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0F5D3CF6"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1. Budžeta ieņēmumi</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06F86B75" w14:textId="77777777" w:rsidR="00CA70BA" w:rsidRPr="00B34778" w:rsidRDefault="00CA70BA" w:rsidP="00BC2D68">
            <w:pPr>
              <w:jc w:val="center"/>
              <w:rPr>
                <w:rFonts w:eastAsia="Times New Roman"/>
                <w:color w:val="000000"/>
                <w:sz w:val="26"/>
                <w:szCs w:val="26"/>
                <w:lang w:eastAsia="lv-LV"/>
              </w:rPr>
            </w:pP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033F22ED" w14:textId="77777777" w:rsidR="00CA70BA" w:rsidRPr="00B34778" w:rsidRDefault="00CA70BA" w:rsidP="00BC2D68">
            <w:pPr>
              <w:jc w:val="center"/>
              <w:rPr>
                <w:rFonts w:eastAsia="Times New Roman"/>
                <w:color w:val="000000"/>
                <w:sz w:val="26"/>
                <w:szCs w:val="26"/>
                <w:lang w:eastAsia="lv-LV"/>
              </w:rPr>
            </w:pP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282B9326" w14:textId="77777777" w:rsidR="00CA70BA" w:rsidRPr="00B34778" w:rsidRDefault="00CA70BA" w:rsidP="00BC2D68">
            <w:pPr>
              <w:jc w:val="center"/>
              <w:rPr>
                <w:rFonts w:eastAsia="Times New Roman"/>
                <w:color w:val="000000"/>
                <w:sz w:val="26"/>
                <w:szCs w:val="26"/>
                <w:lang w:eastAsia="lv-LV"/>
              </w:rPr>
            </w:pP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2AB8E35D" w14:textId="77777777" w:rsidR="00CA70BA" w:rsidRPr="00B34778" w:rsidRDefault="00CA70BA" w:rsidP="00BC2D68">
            <w:pPr>
              <w:jc w:val="center"/>
              <w:rPr>
                <w:rFonts w:eastAsia="Times New Roman"/>
                <w:color w:val="000000"/>
                <w:sz w:val="26"/>
                <w:szCs w:val="26"/>
                <w:lang w:eastAsia="lv-LV"/>
              </w:rPr>
            </w:pP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11F72700" w14:textId="77777777" w:rsidR="00CA70BA" w:rsidRPr="00B34778" w:rsidRDefault="00CA70BA" w:rsidP="00BC2D68">
            <w:pPr>
              <w:jc w:val="center"/>
              <w:rPr>
                <w:rFonts w:eastAsia="Times New Roman"/>
                <w:color w:val="000000"/>
                <w:sz w:val="26"/>
                <w:szCs w:val="26"/>
                <w:lang w:eastAsia="lv-LV"/>
              </w:rPr>
            </w:pP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19FF807" w14:textId="77777777" w:rsidR="00CA70BA" w:rsidRPr="00B34778" w:rsidRDefault="00CA70BA" w:rsidP="00BC2D68">
            <w:pPr>
              <w:jc w:val="center"/>
              <w:rPr>
                <w:rFonts w:eastAsia="Times New Roman"/>
                <w:color w:val="000000"/>
                <w:sz w:val="26"/>
                <w:szCs w:val="26"/>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00FAF3E5" w14:textId="77777777" w:rsidR="00CA70BA" w:rsidRPr="00B34778" w:rsidRDefault="00CA70BA" w:rsidP="00BC2D68">
            <w:pPr>
              <w:jc w:val="center"/>
              <w:rPr>
                <w:rFonts w:eastAsia="Times New Roman"/>
                <w:color w:val="000000"/>
                <w:sz w:val="26"/>
                <w:szCs w:val="26"/>
                <w:lang w:eastAsia="lv-LV"/>
              </w:rPr>
            </w:pPr>
          </w:p>
        </w:tc>
      </w:tr>
      <w:tr w:rsidR="00F17E56" w14:paraId="0E272AC8"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4F50B920"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1.1. valsts pamatbudžets, tai skaitā ieņēmumi no maksas pakalpojumiem un citi pašu ieņēmumi</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66DAF297"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78996F42"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314E201A"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1D32594B"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2F984F8A"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1302AF1"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2FEC0FCE"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5F5969FC"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0FA0EA94"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1.2. valsts speciālais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2B53D62B"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A4BF9C3"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5FB990A2"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6CEE7077"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125D685D"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4797740"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62E0A651"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0C47175F"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0443CC5B"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1.3. pašvaldību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38037070"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76FD470F"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6D9C0A80"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164BBAAD"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72454128"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65E19237"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19B33D65"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7CB67260"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1E585C86"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2. Budžeta izdevumi</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3EE23F52"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08A400F0"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16C4A9FE"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11BA2E99" w14:textId="77777777" w:rsidR="00CA70BA" w:rsidRPr="00B34778" w:rsidRDefault="00CA70BA" w:rsidP="00BC2D68">
            <w:pPr>
              <w:jc w:val="center"/>
              <w:rPr>
                <w:rFonts w:eastAsia="Times New Roman"/>
                <w:color w:val="000000"/>
                <w:sz w:val="26"/>
                <w:szCs w:val="26"/>
                <w:lang w:eastAsia="lv-LV"/>
              </w:rPr>
            </w:pPr>
            <w:r>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2E9A5556" w14:textId="77777777" w:rsidR="00CA70BA" w:rsidRPr="00B34778" w:rsidRDefault="00CA70BA" w:rsidP="00BC2D68">
            <w:pPr>
              <w:jc w:val="center"/>
              <w:rPr>
                <w:rFonts w:eastAsia="Times New Roman"/>
                <w:color w:val="000000"/>
                <w:sz w:val="26"/>
                <w:szCs w:val="26"/>
                <w:lang w:eastAsia="lv-LV"/>
              </w:rPr>
            </w:pP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71C88F18" w14:textId="77777777" w:rsidR="00CA70BA" w:rsidRPr="00B34778" w:rsidRDefault="00CA70BA" w:rsidP="00BC2D68">
            <w:pPr>
              <w:jc w:val="center"/>
              <w:rPr>
                <w:rFonts w:eastAsia="Times New Roman"/>
                <w:color w:val="000000"/>
                <w:sz w:val="26"/>
                <w:szCs w:val="26"/>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3626772B" w14:textId="77777777" w:rsidR="00CA70BA" w:rsidRPr="00B34778" w:rsidRDefault="00CA70BA" w:rsidP="00BC2D68">
            <w:pPr>
              <w:jc w:val="center"/>
              <w:rPr>
                <w:rFonts w:eastAsia="Times New Roman"/>
                <w:color w:val="000000"/>
                <w:sz w:val="26"/>
                <w:szCs w:val="26"/>
                <w:lang w:eastAsia="lv-LV"/>
              </w:rPr>
            </w:pPr>
          </w:p>
        </w:tc>
      </w:tr>
      <w:tr w:rsidR="00F17E56" w14:paraId="5FC016E2"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7E4ED132"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2.1. valsts pamatbudžets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30BC62FA"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62DD561"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675FCBCB"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611A179D" w14:textId="77777777" w:rsidR="00CA70BA" w:rsidRPr="00B34778" w:rsidRDefault="00CA70BA" w:rsidP="00BC2D68">
            <w:pPr>
              <w:jc w:val="center"/>
              <w:rPr>
                <w:rFonts w:eastAsia="Times New Roman"/>
                <w:color w:val="000000"/>
                <w:sz w:val="26"/>
                <w:szCs w:val="26"/>
                <w:lang w:eastAsia="lv-LV"/>
              </w:rPr>
            </w:pPr>
            <w:r>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4108DF51"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C6BF4E1"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249E1609"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32D16108"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673ABE1B"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2.2. valsts speciālais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539C0220"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230A6A2E"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61983768"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279282AD"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3AABDDEC"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6E6D6D9D"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771319CA"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2B491679"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2584331E"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2.3. pašvaldību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5BA9DD1D"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E948BDC"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43C64718"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28A24B32"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752B9115"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369BD41"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2A8E2C60"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7F4B88A3"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2DEFF141"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3. Finansiālā ietekme</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69072786" w14:textId="77777777" w:rsidR="00CA70BA" w:rsidRPr="00B34778" w:rsidRDefault="00CA70BA" w:rsidP="00BC2D68">
            <w:pPr>
              <w:jc w:val="center"/>
              <w:rPr>
                <w:rFonts w:eastAsia="Times New Roman"/>
                <w:color w:val="000000"/>
                <w:sz w:val="26"/>
                <w:szCs w:val="26"/>
                <w:lang w:eastAsia="lv-LV"/>
              </w:rPr>
            </w:pP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52842282" w14:textId="77777777" w:rsidR="00CA70BA" w:rsidRPr="00B34778" w:rsidRDefault="00CA70BA" w:rsidP="00BC2D68">
            <w:pPr>
              <w:jc w:val="center"/>
              <w:rPr>
                <w:rFonts w:eastAsia="Times New Roman"/>
                <w:color w:val="000000"/>
                <w:sz w:val="26"/>
                <w:szCs w:val="26"/>
                <w:lang w:eastAsia="lv-LV"/>
              </w:rPr>
            </w:pP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322CC578" w14:textId="77777777" w:rsidR="00CA70BA" w:rsidRPr="00B34778" w:rsidRDefault="00CA70BA" w:rsidP="00BC2D68">
            <w:pPr>
              <w:jc w:val="center"/>
              <w:rPr>
                <w:rFonts w:eastAsia="Times New Roman"/>
                <w:color w:val="000000"/>
                <w:sz w:val="26"/>
                <w:szCs w:val="26"/>
                <w:lang w:eastAsia="lv-LV"/>
              </w:rPr>
            </w:pP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7AA06A2D" w14:textId="77777777" w:rsidR="00CA70BA" w:rsidRPr="00B34778" w:rsidRDefault="00CA70BA" w:rsidP="00BC2D68">
            <w:pPr>
              <w:jc w:val="center"/>
              <w:rPr>
                <w:rFonts w:eastAsia="Times New Roman"/>
                <w:color w:val="000000"/>
                <w:sz w:val="26"/>
                <w:szCs w:val="26"/>
                <w:lang w:eastAsia="lv-LV"/>
              </w:rPr>
            </w:pPr>
            <w:r>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77163B87" w14:textId="77777777" w:rsidR="00CA70BA" w:rsidRPr="00B34778" w:rsidRDefault="00CA70BA" w:rsidP="00BC2D68">
            <w:pPr>
              <w:jc w:val="center"/>
              <w:rPr>
                <w:rFonts w:eastAsia="Times New Roman"/>
                <w:color w:val="000000"/>
                <w:sz w:val="26"/>
                <w:szCs w:val="26"/>
                <w:lang w:eastAsia="lv-LV"/>
              </w:rPr>
            </w:pP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AF69B90" w14:textId="77777777" w:rsidR="00CA70BA" w:rsidRPr="00B34778" w:rsidRDefault="00CA70BA" w:rsidP="00BC2D68">
            <w:pPr>
              <w:jc w:val="center"/>
              <w:rPr>
                <w:rFonts w:eastAsia="Times New Roman"/>
                <w:color w:val="000000"/>
                <w:sz w:val="26"/>
                <w:szCs w:val="26"/>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51BA9DFB" w14:textId="77777777" w:rsidR="00CA70BA" w:rsidRPr="00B34778" w:rsidRDefault="00CA70BA" w:rsidP="00BC2D68">
            <w:pPr>
              <w:jc w:val="center"/>
              <w:rPr>
                <w:rFonts w:eastAsia="Times New Roman"/>
                <w:color w:val="000000"/>
                <w:sz w:val="26"/>
                <w:szCs w:val="26"/>
                <w:lang w:eastAsia="lv-LV"/>
              </w:rPr>
            </w:pPr>
          </w:p>
        </w:tc>
      </w:tr>
      <w:tr w:rsidR="00F17E56" w14:paraId="6B8DEF33"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0FC5C8FB"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3.1. valsts pamatbudžets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31BC1116"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6E852E9"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69C166EB"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3B964101" w14:textId="77777777" w:rsidR="00CA70BA" w:rsidRPr="00B34778" w:rsidRDefault="00CA70BA" w:rsidP="00BC2D68">
            <w:pPr>
              <w:jc w:val="center"/>
              <w:rPr>
                <w:rFonts w:eastAsia="Times New Roman"/>
                <w:color w:val="000000"/>
                <w:sz w:val="26"/>
                <w:szCs w:val="26"/>
                <w:lang w:eastAsia="lv-LV"/>
              </w:rPr>
            </w:pPr>
            <w:r>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0E4891F7"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11478F7"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5971531A"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4641D7E4"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3F1E60CD"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3.2. speciālais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0B747A42"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0E82EB07"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4F7F3619"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5E4B2CA8"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04FCFF21"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78D43D26"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013AC26F"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794A2059"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67042F2D"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lastRenderedPageBreak/>
              <w:t>3.3. pašvaldību budžets</w:t>
            </w:r>
          </w:p>
        </w:tc>
        <w:tc>
          <w:tcPr>
            <w:tcW w:w="611" w:type="pct"/>
            <w:tcBorders>
              <w:top w:val="outset" w:sz="6" w:space="0" w:color="414142"/>
              <w:left w:val="outset" w:sz="6" w:space="0" w:color="414142"/>
              <w:bottom w:val="outset" w:sz="6" w:space="0" w:color="414142"/>
              <w:right w:val="outset" w:sz="6" w:space="0" w:color="414142"/>
            </w:tcBorders>
            <w:vAlign w:val="center"/>
            <w:hideMark/>
          </w:tcPr>
          <w:p w14:paraId="2692C57D"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67AF14B7"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42BA952F"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0AFA0AB6"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3579AB67"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7B16C9B"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0CA03627"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6A8DF123" w14:textId="77777777" w:rsidTr="00BA22C5">
        <w:tc>
          <w:tcPr>
            <w:tcW w:w="843" w:type="pct"/>
            <w:tcBorders>
              <w:top w:val="outset" w:sz="6" w:space="0" w:color="414142"/>
              <w:left w:val="outset" w:sz="6" w:space="0" w:color="414142"/>
              <w:bottom w:val="outset" w:sz="6" w:space="0" w:color="414142"/>
              <w:right w:val="outset" w:sz="6" w:space="0" w:color="414142"/>
            </w:tcBorders>
            <w:shd w:val="clear" w:color="auto" w:fill="auto"/>
            <w:hideMark/>
          </w:tcPr>
          <w:p w14:paraId="2BC800A7"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4. Finanšu līdzekļi papildu izdevumu finansēšanai (kompensējošu izdevumu samazinājumu norāda ar "+" zīmi)</w:t>
            </w:r>
          </w:p>
        </w:tc>
        <w:tc>
          <w:tcPr>
            <w:tcW w:w="61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2CDC622"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3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B36DA6C"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266336F"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6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5CFE6C4" w14:textId="77777777" w:rsidR="00CA70BA" w:rsidRPr="00B34778" w:rsidRDefault="00CA70BA" w:rsidP="00BC2D68">
            <w:pPr>
              <w:jc w:val="center"/>
              <w:rPr>
                <w:rFonts w:eastAsia="Times New Roman"/>
                <w:color w:val="000000"/>
                <w:sz w:val="26"/>
                <w:szCs w:val="26"/>
                <w:lang w:eastAsia="lv-LV"/>
              </w:rPr>
            </w:pPr>
            <w:r>
              <w:rPr>
                <w:rFonts w:eastAsia="Times New Roman"/>
                <w:color w:val="000000"/>
                <w:sz w:val="26"/>
                <w:szCs w:val="26"/>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3D4C4F1"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494464B"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595E92"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46F25DFB" w14:textId="77777777" w:rsidTr="00BA22C5">
        <w:tc>
          <w:tcPr>
            <w:tcW w:w="843" w:type="pct"/>
            <w:tcBorders>
              <w:top w:val="outset" w:sz="6" w:space="0" w:color="414142"/>
              <w:left w:val="outset" w:sz="6" w:space="0" w:color="414142"/>
              <w:bottom w:val="outset" w:sz="6" w:space="0" w:color="414142"/>
              <w:right w:val="outset" w:sz="6" w:space="0" w:color="414142"/>
            </w:tcBorders>
            <w:shd w:val="clear" w:color="auto" w:fill="auto"/>
            <w:hideMark/>
          </w:tcPr>
          <w:p w14:paraId="6268AD58"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5. Precizēta finansiālā ietekme</w:t>
            </w:r>
          </w:p>
        </w:tc>
        <w:tc>
          <w:tcPr>
            <w:tcW w:w="611"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4CEFCCE"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X</w:t>
            </w:r>
          </w:p>
        </w:tc>
        <w:tc>
          <w:tcPr>
            <w:tcW w:w="53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C563FE"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699FC75"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X</w:t>
            </w:r>
          </w:p>
        </w:tc>
        <w:tc>
          <w:tcPr>
            <w:tcW w:w="66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C771802"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2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FE0AFCF"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X</w:t>
            </w:r>
          </w:p>
        </w:tc>
        <w:tc>
          <w:tcPr>
            <w:tcW w:w="7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9C5830B"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413DF3"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22C2CBC0" w14:textId="77777777" w:rsidTr="00BA22C5">
        <w:tc>
          <w:tcPr>
            <w:tcW w:w="843" w:type="pct"/>
            <w:tcBorders>
              <w:top w:val="outset" w:sz="6" w:space="0" w:color="414142"/>
              <w:left w:val="outset" w:sz="6" w:space="0" w:color="414142"/>
              <w:bottom w:val="outset" w:sz="6" w:space="0" w:color="414142"/>
              <w:right w:val="outset" w:sz="6" w:space="0" w:color="414142"/>
            </w:tcBorders>
            <w:shd w:val="clear" w:color="auto" w:fill="auto"/>
            <w:hideMark/>
          </w:tcPr>
          <w:p w14:paraId="5B0C43B1"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5.1. valsts pamatbudžets</w:t>
            </w:r>
          </w:p>
        </w:tc>
        <w:tc>
          <w:tcPr>
            <w:tcW w:w="611"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08DD185" w14:textId="77777777" w:rsidR="00CA70BA" w:rsidRPr="00B34778" w:rsidRDefault="00CA70BA" w:rsidP="00BC2D68">
            <w:pPr>
              <w:jc w:val="center"/>
              <w:rPr>
                <w:rFonts w:eastAsia="Times New Roman"/>
                <w:color w:val="000000"/>
                <w:sz w:val="26"/>
                <w:szCs w:val="26"/>
                <w:lang w:eastAsia="lv-LV"/>
              </w:rPr>
            </w:pPr>
          </w:p>
        </w:tc>
        <w:tc>
          <w:tcPr>
            <w:tcW w:w="53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AB843A"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DFC85A7" w14:textId="77777777" w:rsidR="00CA70BA" w:rsidRPr="00B34778" w:rsidRDefault="00CA70BA" w:rsidP="00BC2D68">
            <w:pPr>
              <w:jc w:val="center"/>
              <w:rPr>
                <w:rFonts w:eastAsia="Times New Roman"/>
                <w:color w:val="000000"/>
                <w:sz w:val="26"/>
                <w:szCs w:val="26"/>
                <w:lang w:eastAsia="lv-LV"/>
              </w:rPr>
            </w:pPr>
          </w:p>
        </w:tc>
        <w:tc>
          <w:tcPr>
            <w:tcW w:w="66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A04224"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2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E163D31" w14:textId="77777777" w:rsidR="00CA70BA" w:rsidRPr="00B34778" w:rsidRDefault="00CA70BA" w:rsidP="00BC2D68">
            <w:pPr>
              <w:jc w:val="center"/>
              <w:rPr>
                <w:rFonts w:eastAsia="Times New Roman"/>
                <w:color w:val="000000"/>
                <w:sz w:val="26"/>
                <w:szCs w:val="26"/>
                <w:lang w:eastAsia="lv-LV"/>
              </w:rPr>
            </w:pPr>
          </w:p>
        </w:tc>
        <w:tc>
          <w:tcPr>
            <w:tcW w:w="7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3639AD"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94F5027"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499C1575" w14:textId="77777777" w:rsidTr="00BA22C5">
        <w:tc>
          <w:tcPr>
            <w:tcW w:w="843" w:type="pct"/>
            <w:tcBorders>
              <w:top w:val="outset" w:sz="6" w:space="0" w:color="414142"/>
              <w:left w:val="outset" w:sz="6" w:space="0" w:color="414142"/>
              <w:bottom w:val="outset" w:sz="6" w:space="0" w:color="414142"/>
              <w:right w:val="outset" w:sz="6" w:space="0" w:color="414142"/>
            </w:tcBorders>
            <w:shd w:val="clear" w:color="auto" w:fill="auto"/>
            <w:hideMark/>
          </w:tcPr>
          <w:p w14:paraId="260F4797" w14:textId="77777777" w:rsidR="00CA70BA" w:rsidRPr="00B34778" w:rsidRDefault="00CA70BA" w:rsidP="00BC2D68">
            <w:pPr>
              <w:rPr>
                <w:rFonts w:eastAsia="Times New Roman"/>
                <w:color w:val="000000"/>
                <w:sz w:val="26"/>
                <w:szCs w:val="26"/>
                <w:lang w:eastAsia="lv-LV"/>
              </w:rPr>
            </w:pPr>
            <w:r w:rsidRPr="00B34778">
              <w:rPr>
                <w:rFonts w:eastAsia="Times New Roman"/>
                <w:color w:val="000000"/>
                <w:sz w:val="26"/>
                <w:szCs w:val="26"/>
                <w:lang w:eastAsia="lv-LV"/>
              </w:rPr>
              <w:t>5.2. speciālais budžets</w:t>
            </w:r>
          </w:p>
        </w:tc>
        <w:tc>
          <w:tcPr>
            <w:tcW w:w="611"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33A203B" w14:textId="77777777" w:rsidR="00CA70BA" w:rsidRPr="00B34778" w:rsidRDefault="00CA70BA" w:rsidP="00BC2D68">
            <w:pPr>
              <w:jc w:val="center"/>
              <w:rPr>
                <w:rFonts w:eastAsia="Times New Roman"/>
                <w:color w:val="000000"/>
                <w:sz w:val="26"/>
                <w:szCs w:val="26"/>
                <w:lang w:eastAsia="lv-LV"/>
              </w:rPr>
            </w:pPr>
          </w:p>
        </w:tc>
        <w:tc>
          <w:tcPr>
            <w:tcW w:w="53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7F34FFF"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C50DE4D" w14:textId="77777777" w:rsidR="00CA70BA" w:rsidRPr="00B34778" w:rsidRDefault="00CA70BA" w:rsidP="00BC2D68">
            <w:pPr>
              <w:jc w:val="center"/>
              <w:rPr>
                <w:rFonts w:eastAsia="Times New Roman"/>
                <w:color w:val="000000"/>
                <w:sz w:val="26"/>
                <w:szCs w:val="26"/>
                <w:lang w:eastAsia="lv-LV"/>
              </w:rPr>
            </w:pPr>
          </w:p>
        </w:tc>
        <w:tc>
          <w:tcPr>
            <w:tcW w:w="66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56D02B2"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2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20D2E85" w14:textId="77777777" w:rsidR="00CA70BA" w:rsidRPr="00B34778" w:rsidRDefault="00CA70BA" w:rsidP="00BC2D68">
            <w:pPr>
              <w:jc w:val="center"/>
              <w:rPr>
                <w:rFonts w:eastAsia="Times New Roman"/>
                <w:color w:val="000000"/>
                <w:sz w:val="26"/>
                <w:szCs w:val="26"/>
                <w:lang w:eastAsia="lv-LV"/>
              </w:rPr>
            </w:pPr>
          </w:p>
        </w:tc>
        <w:tc>
          <w:tcPr>
            <w:tcW w:w="7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BE8593"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E172967"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F17E56" w14:paraId="5DFCB98A" w14:textId="77777777" w:rsidTr="00BA22C5">
        <w:tc>
          <w:tcPr>
            <w:tcW w:w="843" w:type="pct"/>
            <w:tcBorders>
              <w:top w:val="outset" w:sz="6" w:space="0" w:color="414142"/>
              <w:left w:val="outset" w:sz="6" w:space="0" w:color="414142"/>
              <w:bottom w:val="outset" w:sz="6" w:space="0" w:color="414142"/>
              <w:right w:val="outset" w:sz="6" w:space="0" w:color="414142"/>
            </w:tcBorders>
            <w:shd w:val="clear" w:color="auto" w:fill="auto"/>
            <w:hideMark/>
          </w:tcPr>
          <w:p w14:paraId="03EFF676" w14:textId="77777777" w:rsidR="00CA70BA" w:rsidRPr="00B34778" w:rsidRDefault="00CA70BA" w:rsidP="00BC2D68">
            <w:pPr>
              <w:rPr>
                <w:rFonts w:eastAsia="Times New Roman"/>
                <w:color w:val="000000"/>
                <w:sz w:val="26"/>
                <w:szCs w:val="26"/>
                <w:lang w:eastAsia="lv-LV"/>
              </w:rPr>
            </w:pPr>
            <w:r w:rsidRPr="00B34778">
              <w:rPr>
                <w:rFonts w:eastAsia="Times New Roman"/>
                <w:color w:val="000000"/>
                <w:sz w:val="26"/>
                <w:szCs w:val="26"/>
                <w:lang w:eastAsia="lv-LV"/>
              </w:rPr>
              <w:t>5.3. pašvaldību budžets</w:t>
            </w:r>
          </w:p>
        </w:tc>
        <w:tc>
          <w:tcPr>
            <w:tcW w:w="611"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7CEAEE3" w14:textId="77777777" w:rsidR="00CA70BA" w:rsidRPr="00B34778" w:rsidRDefault="00CA70BA" w:rsidP="00BC2D68">
            <w:pPr>
              <w:jc w:val="center"/>
              <w:rPr>
                <w:rFonts w:eastAsia="Times New Roman"/>
                <w:color w:val="000000"/>
                <w:sz w:val="26"/>
                <w:szCs w:val="26"/>
                <w:lang w:eastAsia="lv-LV"/>
              </w:rPr>
            </w:pPr>
          </w:p>
        </w:tc>
        <w:tc>
          <w:tcPr>
            <w:tcW w:w="53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17FFC6"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452"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6BC2972" w14:textId="77777777" w:rsidR="00CA70BA" w:rsidRPr="00B34778" w:rsidRDefault="00CA70BA" w:rsidP="00BC2D68">
            <w:pPr>
              <w:jc w:val="center"/>
              <w:rPr>
                <w:rFonts w:eastAsia="Times New Roman"/>
                <w:color w:val="000000"/>
                <w:sz w:val="26"/>
                <w:szCs w:val="26"/>
                <w:lang w:eastAsia="lv-LV"/>
              </w:rPr>
            </w:pPr>
          </w:p>
        </w:tc>
        <w:tc>
          <w:tcPr>
            <w:tcW w:w="66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B8EBE13"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62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1EB991" w14:textId="77777777" w:rsidR="00CA70BA" w:rsidRPr="00B34778" w:rsidRDefault="00CA70BA" w:rsidP="00BC2D68">
            <w:pPr>
              <w:jc w:val="center"/>
              <w:rPr>
                <w:rFonts w:eastAsia="Times New Roman"/>
                <w:color w:val="000000"/>
                <w:sz w:val="26"/>
                <w:szCs w:val="26"/>
                <w:lang w:eastAsia="lv-LV"/>
              </w:rPr>
            </w:pPr>
          </w:p>
        </w:tc>
        <w:tc>
          <w:tcPr>
            <w:tcW w:w="7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C1C146"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3206CDB" w14:textId="77777777" w:rsidR="00CA70BA" w:rsidRPr="00B34778" w:rsidRDefault="00CA70BA" w:rsidP="00BC2D68">
            <w:pPr>
              <w:jc w:val="center"/>
              <w:rPr>
                <w:rFonts w:eastAsia="Times New Roman"/>
                <w:color w:val="000000"/>
                <w:sz w:val="26"/>
                <w:szCs w:val="26"/>
                <w:lang w:eastAsia="lv-LV"/>
              </w:rPr>
            </w:pPr>
            <w:r w:rsidRPr="00B34778">
              <w:rPr>
                <w:rFonts w:eastAsia="Times New Roman"/>
                <w:color w:val="000000"/>
                <w:sz w:val="26"/>
                <w:szCs w:val="26"/>
                <w:lang w:eastAsia="lv-LV"/>
              </w:rPr>
              <w:t>0</w:t>
            </w:r>
          </w:p>
        </w:tc>
      </w:tr>
      <w:tr w:rsidR="00CA70BA" w14:paraId="5F87B47F" w14:textId="77777777" w:rsidTr="00BA22C5">
        <w:trPr>
          <w:trHeight w:val="4176"/>
        </w:trPr>
        <w:tc>
          <w:tcPr>
            <w:tcW w:w="843" w:type="pct"/>
            <w:tcBorders>
              <w:top w:val="outset" w:sz="6" w:space="0" w:color="414142"/>
              <w:left w:val="outset" w:sz="6" w:space="0" w:color="414142"/>
              <w:bottom w:val="outset" w:sz="6" w:space="0" w:color="414142"/>
              <w:right w:val="outset" w:sz="6" w:space="0" w:color="414142"/>
            </w:tcBorders>
            <w:hideMark/>
          </w:tcPr>
          <w:p w14:paraId="4366D4E0" w14:textId="77777777" w:rsidR="00CA70BA" w:rsidRPr="00B34778" w:rsidRDefault="00CA70BA" w:rsidP="00BC2D68">
            <w:pPr>
              <w:rPr>
                <w:rFonts w:eastAsia="Times New Roman"/>
                <w:color w:val="000000"/>
                <w:sz w:val="26"/>
                <w:szCs w:val="26"/>
                <w:lang w:eastAsia="lv-LV"/>
              </w:rPr>
            </w:pPr>
            <w:r w:rsidRPr="00B34778">
              <w:rPr>
                <w:rFonts w:eastAsia="Times New Roman"/>
                <w:color w:val="000000"/>
                <w:sz w:val="26"/>
                <w:szCs w:val="26"/>
                <w:lang w:eastAsia="lv-LV"/>
              </w:rPr>
              <w:t>6. Detalizēts ieņēmumu un izdevumu aprēķins (ja nepieciešams, detalizētu ieņēmumu un izdevumu aprēķinu var pievienot anotācijas pielikumā)</w:t>
            </w:r>
          </w:p>
        </w:tc>
        <w:tc>
          <w:tcPr>
            <w:tcW w:w="4157"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B0164DF" w14:textId="77777777" w:rsidR="00CA70BA" w:rsidRPr="00B34778" w:rsidRDefault="00CA70BA" w:rsidP="00BC2D68">
            <w:pPr>
              <w:widowControl w:val="0"/>
              <w:ind w:left="360"/>
              <w:contextualSpacing/>
              <w:rPr>
                <w:rFonts w:eastAsia="Times New Roman"/>
                <w:color w:val="000000"/>
                <w:sz w:val="26"/>
                <w:szCs w:val="26"/>
                <w:lang w:eastAsia="lv-LV"/>
              </w:rPr>
            </w:pPr>
            <w:r>
              <w:rPr>
                <w:rFonts w:eastAsia="Times New Roman"/>
                <w:color w:val="000000"/>
                <w:sz w:val="26"/>
                <w:szCs w:val="26"/>
                <w:lang w:eastAsia="lv-LV"/>
              </w:rPr>
              <w:t>Projekts šo jomu neskar</w:t>
            </w:r>
          </w:p>
        </w:tc>
      </w:tr>
      <w:tr w:rsidR="00CA70BA" w14:paraId="17EB22D5"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74246525" w14:textId="77777777" w:rsidR="00CA70BA" w:rsidRPr="00B34778" w:rsidRDefault="00CA70BA" w:rsidP="00BC2D68">
            <w:pPr>
              <w:rPr>
                <w:rFonts w:eastAsia="Times New Roman"/>
                <w:color w:val="000000"/>
                <w:sz w:val="26"/>
                <w:szCs w:val="26"/>
                <w:lang w:eastAsia="lv-LV"/>
              </w:rPr>
            </w:pPr>
            <w:r w:rsidRPr="00B34778">
              <w:rPr>
                <w:rFonts w:eastAsia="Times New Roman"/>
                <w:color w:val="000000"/>
                <w:sz w:val="26"/>
                <w:szCs w:val="26"/>
                <w:lang w:eastAsia="lv-LV"/>
              </w:rPr>
              <w:t>6.1. detalizēts ieņēmumu aprēķins</w:t>
            </w:r>
          </w:p>
        </w:tc>
        <w:tc>
          <w:tcPr>
            <w:tcW w:w="4157" w:type="pct"/>
            <w:gridSpan w:val="7"/>
            <w:vMerge/>
            <w:tcBorders>
              <w:top w:val="outset" w:sz="6" w:space="0" w:color="414142"/>
              <w:left w:val="outset" w:sz="6" w:space="0" w:color="414142"/>
              <w:bottom w:val="outset" w:sz="6" w:space="0" w:color="414142"/>
              <w:right w:val="outset" w:sz="6" w:space="0" w:color="414142"/>
            </w:tcBorders>
            <w:vAlign w:val="center"/>
            <w:hideMark/>
          </w:tcPr>
          <w:p w14:paraId="334923B2" w14:textId="77777777" w:rsidR="00CA70BA" w:rsidRPr="00B34778" w:rsidRDefault="00CA70BA" w:rsidP="00BC2D68">
            <w:pPr>
              <w:rPr>
                <w:rFonts w:eastAsia="Times New Roman"/>
                <w:color w:val="000000"/>
                <w:sz w:val="26"/>
                <w:szCs w:val="26"/>
                <w:lang w:eastAsia="lv-LV"/>
              </w:rPr>
            </w:pPr>
          </w:p>
        </w:tc>
      </w:tr>
      <w:tr w:rsidR="00CA70BA" w14:paraId="3D05AEEF"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32A3FD94" w14:textId="77777777" w:rsidR="00CA70BA" w:rsidRPr="00B34778" w:rsidRDefault="00CA70BA" w:rsidP="00BC2D68">
            <w:pPr>
              <w:rPr>
                <w:rFonts w:eastAsia="Times New Roman"/>
                <w:color w:val="000000"/>
                <w:sz w:val="26"/>
                <w:szCs w:val="26"/>
                <w:lang w:eastAsia="lv-LV"/>
              </w:rPr>
            </w:pPr>
            <w:r w:rsidRPr="00B34778">
              <w:rPr>
                <w:rFonts w:eastAsia="Times New Roman"/>
                <w:color w:val="000000"/>
                <w:sz w:val="26"/>
                <w:szCs w:val="26"/>
                <w:lang w:eastAsia="lv-LV"/>
              </w:rPr>
              <w:t>6.2. detalizēts izdevumu aprēķins</w:t>
            </w:r>
          </w:p>
        </w:tc>
        <w:tc>
          <w:tcPr>
            <w:tcW w:w="4157" w:type="pct"/>
            <w:gridSpan w:val="7"/>
            <w:vMerge/>
            <w:tcBorders>
              <w:top w:val="outset" w:sz="6" w:space="0" w:color="414142"/>
              <w:left w:val="outset" w:sz="6" w:space="0" w:color="414142"/>
              <w:bottom w:val="outset" w:sz="6" w:space="0" w:color="414142"/>
              <w:right w:val="outset" w:sz="6" w:space="0" w:color="414142"/>
            </w:tcBorders>
            <w:vAlign w:val="center"/>
            <w:hideMark/>
          </w:tcPr>
          <w:p w14:paraId="5843D315" w14:textId="77777777" w:rsidR="00CA70BA" w:rsidRPr="00B34778" w:rsidRDefault="00CA70BA" w:rsidP="00BC2D68">
            <w:pPr>
              <w:rPr>
                <w:rFonts w:eastAsia="Times New Roman"/>
                <w:color w:val="000000"/>
                <w:sz w:val="26"/>
                <w:szCs w:val="26"/>
                <w:lang w:eastAsia="lv-LV"/>
              </w:rPr>
            </w:pPr>
          </w:p>
        </w:tc>
      </w:tr>
      <w:tr w:rsidR="00CA70BA" w14:paraId="3AEEA2DB"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1E14ECA7" w14:textId="77777777" w:rsidR="00CA70BA" w:rsidRPr="00B34778" w:rsidRDefault="00CA70BA" w:rsidP="00BC2D68">
            <w:pPr>
              <w:rPr>
                <w:rFonts w:eastAsia="Times New Roman"/>
                <w:color w:val="000000"/>
                <w:sz w:val="26"/>
                <w:szCs w:val="26"/>
                <w:lang w:eastAsia="lv-LV"/>
              </w:rPr>
            </w:pPr>
            <w:r w:rsidRPr="00B34778">
              <w:rPr>
                <w:rFonts w:eastAsia="Times New Roman"/>
                <w:color w:val="000000"/>
                <w:sz w:val="26"/>
                <w:szCs w:val="26"/>
                <w:lang w:eastAsia="lv-LV"/>
              </w:rPr>
              <w:t>7. Amata vietu skaita izmaiņas</w:t>
            </w:r>
          </w:p>
        </w:tc>
        <w:tc>
          <w:tcPr>
            <w:tcW w:w="4157" w:type="pct"/>
            <w:gridSpan w:val="7"/>
            <w:tcBorders>
              <w:top w:val="outset" w:sz="6" w:space="0" w:color="414142"/>
              <w:left w:val="outset" w:sz="6" w:space="0" w:color="414142"/>
              <w:bottom w:val="outset" w:sz="6" w:space="0" w:color="414142"/>
              <w:right w:val="outset" w:sz="6" w:space="0" w:color="414142"/>
            </w:tcBorders>
            <w:hideMark/>
          </w:tcPr>
          <w:p w14:paraId="23C796BD" w14:textId="77777777" w:rsidR="00CA70BA" w:rsidRPr="00B34778" w:rsidRDefault="00CA70BA" w:rsidP="00BC2D68">
            <w:pPr>
              <w:jc w:val="both"/>
              <w:rPr>
                <w:rFonts w:eastAsia="Times New Roman"/>
                <w:color w:val="000000"/>
                <w:sz w:val="26"/>
                <w:szCs w:val="26"/>
                <w:lang w:eastAsia="lv-LV"/>
              </w:rPr>
            </w:pPr>
            <w:r w:rsidRPr="00B34778">
              <w:rPr>
                <w:rFonts w:eastAsia="Times New Roman"/>
                <w:color w:val="000000"/>
                <w:sz w:val="26"/>
                <w:szCs w:val="26"/>
                <w:lang w:eastAsia="lv-LV"/>
              </w:rPr>
              <w:t>Nav attiecināms</w:t>
            </w:r>
          </w:p>
        </w:tc>
      </w:tr>
      <w:tr w:rsidR="00CA70BA" w14:paraId="2FB4116F" w14:textId="77777777" w:rsidTr="00BA22C5">
        <w:tc>
          <w:tcPr>
            <w:tcW w:w="843" w:type="pct"/>
            <w:tcBorders>
              <w:top w:val="outset" w:sz="6" w:space="0" w:color="414142"/>
              <w:left w:val="outset" w:sz="6" w:space="0" w:color="414142"/>
              <w:bottom w:val="outset" w:sz="6" w:space="0" w:color="414142"/>
              <w:right w:val="outset" w:sz="6" w:space="0" w:color="414142"/>
            </w:tcBorders>
            <w:hideMark/>
          </w:tcPr>
          <w:p w14:paraId="6FEA8F5C" w14:textId="77777777" w:rsidR="00CA70BA" w:rsidRPr="00B34778" w:rsidRDefault="00CA70BA" w:rsidP="00BC2D68">
            <w:pPr>
              <w:rPr>
                <w:rFonts w:eastAsia="Times New Roman"/>
                <w:color w:val="000000"/>
                <w:sz w:val="26"/>
                <w:szCs w:val="26"/>
                <w:lang w:eastAsia="lv-LV"/>
              </w:rPr>
            </w:pPr>
            <w:r w:rsidRPr="00B34778">
              <w:rPr>
                <w:rFonts w:eastAsia="Times New Roman"/>
                <w:color w:val="000000"/>
                <w:sz w:val="26"/>
                <w:szCs w:val="26"/>
                <w:lang w:eastAsia="lv-LV"/>
              </w:rPr>
              <w:t>8. Cita informācija</w:t>
            </w:r>
          </w:p>
        </w:tc>
        <w:tc>
          <w:tcPr>
            <w:tcW w:w="4157" w:type="pct"/>
            <w:gridSpan w:val="7"/>
            <w:tcBorders>
              <w:top w:val="outset" w:sz="6" w:space="0" w:color="414142"/>
              <w:left w:val="outset" w:sz="6" w:space="0" w:color="414142"/>
              <w:bottom w:val="outset" w:sz="6" w:space="0" w:color="414142"/>
              <w:right w:val="outset" w:sz="6" w:space="0" w:color="414142"/>
            </w:tcBorders>
            <w:hideMark/>
          </w:tcPr>
          <w:p w14:paraId="29229B7F" w14:textId="7E789243" w:rsidR="00CA70BA" w:rsidRPr="008D796F" w:rsidRDefault="009D0E59" w:rsidP="00BC2D68">
            <w:pPr>
              <w:spacing w:before="100" w:beforeAutospacing="1"/>
              <w:jc w:val="both"/>
              <w:rPr>
                <w:color w:val="000000"/>
                <w:sz w:val="26"/>
                <w:szCs w:val="26"/>
                <w:lang w:eastAsia="lv-LV"/>
              </w:rPr>
            </w:pPr>
            <w:r>
              <w:rPr>
                <w:color w:val="000000"/>
                <w:sz w:val="26"/>
                <w:szCs w:val="26"/>
                <w:lang w:eastAsia="lv-LV"/>
              </w:rPr>
              <w:t>Ar n</w:t>
            </w:r>
            <w:r w:rsidR="00C43B60" w:rsidRPr="008D796F">
              <w:rPr>
                <w:color w:val="000000"/>
                <w:sz w:val="26"/>
                <w:szCs w:val="26"/>
                <w:lang w:eastAsia="lv-LV"/>
              </w:rPr>
              <w:t xml:space="preserve">oteikumu projekta </w:t>
            </w:r>
            <w:r w:rsidR="00C43B60">
              <w:rPr>
                <w:color w:val="000000"/>
                <w:sz w:val="26"/>
                <w:szCs w:val="26"/>
                <w:lang w:eastAsia="lv-LV"/>
              </w:rPr>
              <w:t>1., 2.</w:t>
            </w:r>
            <w:r w:rsidR="004A4D96">
              <w:rPr>
                <w:color w:val="000000"/>
                <w:sz w:val="26"/>
                <w:szCs w:val="26"/>
                <w:lang w:eastAsia="lv-LV"/>
              </w:rPr>
              <w:t xml:space="preserve"> </w:t>
            </w:r>
            <w:r w:rsidR="00C43B60">
              <w:rPr>
                <w:color w:val="000000"/>
                <w:sz w:val="26"/>
                <w:szCs w:val="26"/>
                <w:lang w:eastAsia="lv-LV"/>
              </w:rPr>
              <w:t>un 3. punktā paredzēto</w:t>
            </w:r>
            <w:r w:rsidR="008B03C9">
              <w:rPr>
                <w:color w:val="000000"/>
                <w:sz w:val="26"/>
                <w:szCs w:val="26"/>
                <w:lang w:eastAsia="lv-LV"/>
              </w:rPr>
              <w:t xml:space="preserve"> grozījumu ieviešanu</w:t>
            </w:r>
            <w:r w:rsidR="00C43B60" w:rsidRPr="00B35651">
              <w:rPr>
                <w:sz w:val="26"/>
                <w:szCs w:val="26"/>
              </w:rPr>
              <w:t xml:space="preserve"> </w:t>
            </w:r>
            <w:r w:rsidR="008B03C9">
              <w:rPr>
                <w:sz w:val="26"/>
                <w:szCs w:val="26"/>
              </w:rPr>
              <w:t>(</w:t>
            </w:r>
            <w:r w:rsidR="00CA70BA" w:rsidRPr="00B35651">
              <w:rPr>
                <w:sz w:val="26"/>
                <w:szCs w:val="26"/>
              </w:rPr>
              <w:t xml:space="preserve">Ministru kabineta 2013.gada 15.janvāra noteikumu Nr. 40 </w:t>
            </w:r>
            <w:r w:rsidR="00CA70BA">
              <w:rPr>
                <w:sz w:val="26"/>
                <w:szCs w:val="26"/>
              </w:rPr>
              <w:t xml:space="preserve">8., 9. un 10.punktā </w:t>
            </w:r>
            <w:r w:rsidR="00CA70BA">
              <w:rPr>
                <w:sz w:val="26"/>
                <w:szCs w:val="26"/>
              </w:rPr>
              <w:lastRenderedPageBreak/>
              <w:t xml:space="preserve">esošo </w:t>
            </w:r>
            <w:r w:rsidR="00CA70BA" w:rsidRPr="00A949AE">
              <w:rPr>
                <w:sz w:val="26"/>
                <w:szCs w:val="26"/>
              </w:rPr>
              <w:t>atsauču</w:t>
            </w:r>
            <w:r w:rsidR="00CA70BA">
              <w:rPr>
                <w:color w:val="000000"/>
                <w:sz w:val="26"/>
                <w:szCs w:val="26"/>
                <w:lang w:eastAsia="lv-LV"/>
              </w:rPr>
              <w:t xml:space="preserve"> precizējumu</w:t>
            </w:r>
            <w:r w:rsidR="008B03C9">
              <w:rPr>
                <w:color w:val="000000"/>
                <w:sz w:val="26"/>
                <w:szCs w:val="26"/>
                <w:lang w:eastAsia="lv-LV"/>
              </w:rPr>
              <w:t>)</w:t>
            </w:r>
            <w:r w:rsidR="00C43B60">
              <w:rPr>
                <w:color w:val="000000"/>
                <w:sz w:val="26"/>
                <w:szCs w:val="26"/>
                <w:lang w:eastAsia="lv-LV"/>
              </w:rPr>
              <w:t xml:space="preserve"> </w:t>
            </w:r>
            <w:r w:rsidR="00CA70BA" w:rsidRPr="008D796F">
              <w:rPr>
                <w:color w:val="000000"/>
                <w:sz w:val="26"/>
                <w:szCs w:val="26"/>
                <w:lang w:eastAsia="lv-LV"/>
              </w:rPr>
              <w:t xml:space="preserve">saistītās izmaksas </w:t>
            </w:r>
            <w:r w:rsidR="008B03C9">
              <w:rPr>
                <w:color w:val="000000"/>
                <w:sz w:val="26"/>
                <w:szCs w:val="26"/>
                <w:lang w:eastAsia="lv-LV"/>
              </w:rPr>
              <w:t>plānots</w:t>
            </w:r>
            <w:r w:rsidR="008B03C9" w:rsidRPr="008D796F">
              <w:rPr>
                <w:color w:val="000000"/>
                <w:sz w:val="26"/>
                <w:szCs w:val="26"/>
                <w:lang w:eastAsia="lv-LV"/>
              </w:rPr>
              <w:t xml:space="preserve"> </w:t>
            </w:r>
            <w:r w:rsidR="00CA70BA" w:rsidRPr="008D796F">
              <w:rPr>
                <w:color w:val="000000"/>
                <w:sz w:val="26"/>
                <w:szCs w:val="26"/>
                <w:lang w:eastAsia="lv-LV"/>
              </w:rPr>
              <w:t>segt no VID  piešķirtā finansējuma, tajā skaitā prioritārā pasākuma “Nodokļu informācijas pakalpojumu modernizācija (t.sk., ar Maksājumu administrēšanas informācijas sistēmas (MAIS) izveidošanu un funkcionalitātes nodrošināšanu)” ietvaros.</w:t>
            </w:r>
          </w:p>
        </w:tc>
      </w:tr>
    </w:tbl>
    <w:p w14:paraId="65316F31" w14:textId="77777777" w:rsidR="00CA70BA" w:rsidRDefault="00CA70BA" w:rsidP="00BA22C5">
      <w:pPr>
        <w:tabs>
          <w:tab w:val="left" w:pos="945"/>
        </w:tabs>
        <w:rPr>
          <w:sz w:val="26"/>
          <w:szCs w:val="26"/>
        </w:rPr>
      </w:pPr>
    </w:p>
    <w:tbl>
      <w:tblPr>
        <w:tblW w:w="545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84"/>
      </w:tblGrid>
      <w:tr w:rsidR="00CA70BA" w14:paraId="37E2B274" w14:textId="77777777" w:rsidTr="00BA22C5">
        <w:tc>
          <w:tcPr>
            <w:tcW w:w="5000" w:type="pct"/>
            <w:tcBorders>
              <w:top w:val="outset" w:sz="6" w:space="0" w:color="414142"/>
              <w:left w:val="outset" w:sz="6" w:space="0" w:color="414142"/>
              <w:bottom w:val="outset" w:sz="6" w:space="0" w:color="414142"/>
              <w:right w:val="outset" w:sz="6" w:space="0" w:color="414142"/>
            </w:tcBorders>
            <w:vAlign w:val="center"/>
            <w:hideMark/>
          </w:tcPr>
          <w:p w14:paraId="34839B1F" w14:textId="77777777" w:rsidR="00CA70BA" w:rsidRPr="000B79B2" w:rsidRDefault="00CA70BA" w:rsidP="00BC2D68">
            <w:pPr>
              <w:spacing w:before="100" w:beforeAutospacing="1" w:after="100" w:afterAutospacing="1" w:line="360" w:lineRule="auto"/>
              <w:ind w:firstLine="300"/>
              <w:jc w:val="center"/>
              <w:rPr>
                <w:rFonts w:eastAsia="Times New Roman"/>
                <w:b/>
                <w:bCs/>
                <w:color w:val="414142"/>
                <w:szCs w:val="28"/>
                <w:lang w:eastAsia="lv-LV"/>
              </w:rPr>
            </w:pPr>
            <w:r w:rsidRPr="000B79B2">
              <w:rPr>
                <w:rFonts w:eastAsia="Times New Roman"/>
                <w:b/>
                <w:bCs/>
                <w:color w:val="414142"/>
                <w:szCs w:val="28"/>
                <w:lang w:eastAsia="lv-LV"/>
              </w:rPr>
              <w:t>IV. Tiesību akta projekta ietekme uz spēkā esošo tiesību normu sistēmu</w:t>
            </w:r>
          </w:p>
        </w:tc>
      </w:tr>
      <w:tr w:rsidR="00CB56F1" w14:paraId="682F69FF" w14:textId="77777777" w:rsidTr="00BA22C5">
        <w:tc>
          <w:tcPr>
            <w:tcW w:w="5000" w:type="pct"/>
            <w:tcBorders>
              <w:top w:val="outset" w:sz="6" w:space="0" w:color="414142"/>
              <w:left w:val="outset" w:sz="6" w:space="0" w:color="414142"/>
              <w:bottom w:val="outset" w:sz="6" w:space="0" w:color="414142"/>
              <w:right w:val="outset" w:sz="6" w:space="0" w:color="414142"/>
            </w:tcBorders>
            <w:vAlign w:val="center"/>
          </w:tcPr>
          <w:p w14:paraId="51C75C5E" w14:textId="79541990" w:rsidR="00CB56F1" w:rsidRPr="000B79B2" w:rsidRDefault="00CB56F1" w:rsidP="00BC2D68">
            <w:pPr>
              <w:spacing w:before="100" w:beforeAutospacing="1" w:after="100" w:afterAutospacing="1" w:line="360" w:lineRule="auto"/>
              <w:ind w:firstLine="300"/>
              <w:jc w:val="center"/>
              <w:rPr>
                <w:rFonts w:eastAsia="Times New Roman"/>
                <w:b/>
                <w:bCs/>
                <w:color w:val="414142"/>
                <w:szCs w:val="28"/>
                <w:lang w:eastAsia="lv-LV"/>
              </w:rPr>
            </w:pPr>
            <w:r w:rsidRPr="00322726">
              <w:rPr>
                <w:sz w:val="26"/>
                <w:szCs w:val="26"/>
              </w:rPr>
              <w:t>Projekts šo jomu neskar</w:t>
            </w:r>
          </w:p>
        </w:tc>
      </w:tr>
    </w:tbl>
    <w:p w14:paraId="61C8244F" w14:textId="77777777" w:rsidR="00CA70BA" w:rsidRDefault="00CA70BA" w:rsidP="00CA70BA">
      <w:pPr>
        <w:rPr>
          <w:sz w:val="26"/>
          <w:szCs w:val="26"/>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70BA" w14:paraId="05B1C89D" w14:textId="77777777" w:rsidTr="00BA22C5">
        <w:tc>
          <w:tcPr>
            <w:tcW w:w="9923" w:type="dxa"/>
            <w:shd w:val="clear" w:color="auto" w:fill="auto"/>
          </w:tcPr>
          <w:p w14:paraId="5625DD90" w14:textId="77777777" w:rsidR="00CA70BA" w:rsidRPr="00322726" w:rsidRDefault="00CA70BA" w:rsidP="00BC2D68">
            <w:pPr>
              <w:jc w:val="center"/>
              <w:rPr>
                <w:b/>
                <w:sz w:val="26"/>
                <w:szCs w:val="26"/>
              </w:rPr>
            </w:pPr>
            <w:r w:rsidRPr="00322726">
              <w:rPr>
                <w:b/>
                <w:sz w:val="26"/>
                <w:szCs w:val="26"/>
              </w:rPr>
              <w:t>V. Tiesību akta projekta atbilstība Latvijas Republikas starptautiskajām saistībām</w:t>
            </w:r>
          </w:p>
        </w:tc>
      </w:tr>
      <w:tr w:rsidR="00CA70BA" w14:paraId="49C48605" w14:textId="77777777" w:rsidTr="00BA22C5">
        <w:tc>
          <w:tcPr>
            <w:tcW w:w="9923" w:type="dxa"/>
            <w:shd w:val="clear" w:color="auto" w:fill="auto"/>
          </w:tcPr>
          <w:p w14:paraId="1069E6B6" w14:textId="77777777" w:rsidR="00CA70BA" w:rsidRPr="00322726" w:rsidRDefault="00CA70BA" w:rsidP="00BC2D68">
            <w:pPr>
              <w:jc w:val="center"/>
              <w:rPr>
                <w:sz w:val="26"/>
                <w:szCs w:val="26"/>
              </w:rPr>
            </w:pPr>
            <w:r w:rsidRPr="00322726">
              <w:rPr>
                <w:sz w:val="26"/>
                <w:szCs w:val="26"/>
              </w:rPr>
              <w:t>Projekts šo jomu neskar</w:t>
            </w:r>
          </w:p>
        </w:tc>
      </w:tr>
    </w:tbl>
    <w:p w14:paraId="1356469C" w14:textId="77777777" w:rsidR="00CA70BA" w:rsidRPr="00311AA0" w:rsidRDefault="00CA70BA" w:rsidP="00CA70BA">
      <w:pPr>
        <w:rPr>
          <w:sz w:val="27"/>
          <w:szCs w:val="27"/>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4147"/>
        <w:gridCol w:w="5467"/>
      </w:tblGrid>
      <w:tr w:rsidR="00CA70BA" w14:paraId="6DF80D4F" w14:textId="77777777" w:rsidTr="00BA22C5">
        <w:trPr>
          <w:trHeight w:val="421"/>
          <w:jc w:val="center"/>
        </w:trPr>
        <w:tc>
          <w:tcPr>
            <w:tcW w:w="10201" w:type="dxa"/>
            <w:gridSpan w:val="3"/>
            <w:tcBorders>
              <w:top w:val="single" w:sz="4" w:space="0" w:color="auto"/>
              <w:left w:val="single" w:sz="4" w:space="0" w:color="auto"/>
              <w:bottom w:val="single" w:sz="4" w:space="0" w:color="auto"/>
              <w:right w:val="single" w:sz="4" w:space="0" w:color="auto"/>
            </w:tcBorders>
            <w:vAlign w:val="center"/>
          </w:tcPr>
          <w:p w14:paraId="6FDF8B83" w14:textId="77777777" w:rsidR="00CA70BA" w:rsidRPr="00311AA0" w:rsidRDefault="00CA70BA" w:rsidP="00BC2D68">
            <w:pPr>
              <w:pStyle w:val="naisnod"/>
              <w:spacing w:before="0" w:beforeAutospacing="0" w:after="0" w:afterAutospacing="0"/>
              <w:ind w:left="241"/>
              <w:jc w:val="center"/>
              <w:rPr>
                <w:b/>
                <w:sz w:val="27"/>
                <w:szCs w:val="27"/>
              </w:rPr>
            </w:pPr>
            <w:r w:rsidRPr="00311AA0">
              <w:rPr>
                <w:b/>
                <w:sz w:val="27"/>
                <w:szCs w:val="27"/>
              </w:rPr>
              <w:t>VI. Sabiedrības līdzdalība un komunikācijas aktivitātes</w:t>
            </w:r>
          </w:p>
        </w:tc>
      </w:tr>
      <w:tr w:rsidR="00CA70BA" w14:paraId="7A30BF94" w14:textId="77777777" w:rsidTr="00BA22C5">
        <w:trPr>
          <w:trHeight w:val="572"/>
          <w:jc w:val="center"/>
        </w:trPr>
        <w:tc>
          <w:tcPr>
            <w:tcW w:w="587" w:type="dxa"/>
          </w:tcPr>
          <w:p w14:paraId="60237F1E" w14:textId="77777777" w:rsidR="00CA70BA" w:rsidRPr="00CA74E1" w:rsidRDefault="00CA70BA" w:rsidP="00BC2D68">
            <w:pPr>
              <w:ind w:left="241"/>
              <w:jc w:val="both"/>
              <w:rPr>
                <w:bCs/>
                <w:sz w:val="26"/>
                <w:szCs w:val="26"/>
              </w:rPr>
            </w:pPr>
            <w:r w:rsidRPr="00CA74E1">
              <w:rPr>
                <w:bCs/>
                <w:sz w:val="26"/>
                <w:szCs w:val="26"/>
              </w:rPr>
              <w:t>1.</w:t>
            </w:r>
          </w:p>
        </w:tc>
        <w:tc>
          <w:tcPr>
            <w:tcW w:w="4147" w:type="dxa"/>
          </w:tcPr>
          <w:p w14:paraId="4CD07FA2" w14:textId="77777777" w:rsidR="00CA70BA" w:rsidRPr="00CA74E1" w:rsidRDefault="00CA70BA" w:rsidP="00BC2D68">
            <w:pPr>
              <w:tabs>
                <w:tab w:val="left" w:pos="170"/>
              </w:tabs>
              <w:ind w:left="241"/>
              <w:rPr>
                <w:sz w:val="26"/>
                <w:szCs w:val="26"/>
              </w:rPr>
            </w:pPr>
            <w:r w:rsidRPr="00CA74E1">
              <w:rPr>
                <w:sz w:val="26"/>
                <w:szCs w:val="26"/>
              </w:rPr>
              <w:t>Plānotās sabiedrības līdzdalības un komunikācijas aktivitātes saistībā ar projektu</w:t>
            </w:r>
          </w:p>
        </w:tc>
        <w:tc>
          <w:tcPr>
            <w:tcW w:w="5467" w:type="dxa"/>
          </w:tcPr>
          <w:p w14:paraId="00EE300B" w14:textId="77777777" w:rsidR="000A5CC4" w:rsidRDefault="00F17E56" w:rsidP="000A5CC4">
            <w:pPr>
              <w:shd w:val="clear" w:color="auto" w:fill="FFFFFF"/>
              <w:jc w:val="both"/>
              <w:rPr>
                <w:rFonts w:eastAsia="Times New Roman"/>
                <w:spacing w:val="-2"/>
                <w:sz w:val="26"/>
                <w:szCs w:val="26"/>
                <w:lang w:eastAsia="lv-LV"/>
              </w:rPr>
            </w:pPr>
            <w:bookmarkStart w:id="2" w:name="p61"/>
            <w:bookmarkEnd w:id="2"/>
            <w:r>
              <w:rPr>
                <w:rFonts w:eastAsia="Times New Roman"/>
                <w:spacing w:val="-2"/>
                <w:sz w:val="26"/>
                <w:szCs w:val="26"/>
                <w:lang w:eastAsia="lv-LV"/>
              </w:rPr>
              <w:t>Sabiedrība p</w:t>
            </w:r>
            <w:r w:rsidR="00C15856">
              <w:rPr>
                <w:rFonts w:eastAsia="Times New Roman"/>
                <w:spacing w:val="-2"/>
                <w:sz w:val="26"/>
                <w:szCs w:val="26"/>
                <w:lang w:eastAsia="lv-LV"/>
              </w:rPr>
              <w:t xml:space="preserve">ar noteikumu projekta izstrādi </w:t>
            </w:r>
            <w:r>
              <w:rPr>
                <w:rFonts w:eastAsia="Times New Roman"/>
                <w:spacing w:val="-2"/>
                <w:sz w:val="26"/>
                <w:szCs w:val="26"/>
                <w:lang w:eastAsia="lv-LV"/>
              </w:rPr>
              <w:t>tiks informēta, ievietojot Finanšu ministrijas tīmekļa vietnē informāciju par noteikumu projektu.</w:t>
            </w:r>
          </w:p>
          <w:p w14:paraId="1291D796" w14:textId="77777777" w:rsidR="000A5CC4" w:rsidRDefault="00D409E5" w:rsidP="000A5CC4">
            <w:pPr>
              <w:shd w:val="clear" w:color="auto" w:fill="FFFFFF"/>
              <w:jc w:val="both"/>
              <w:rPr>
                <w:sz w:val="26"/>
                <w:szCs w:val="26"/>
              </w:rPr>
            </w:pPr>
            <w:r>
              <w:rPr>
                <w:sz w:val="26"/>
                <w:szCs w:val="26"/>
              </w:rPr>
              <w:t xml:space="preserve">Sabiedrības līdzdalība jau ir notikusi </w:t>
            </w:r>
            <w:r w:rsidRPr="00CA74E1">
              <w:rPr>
                <w:sz w:val="26"/>
                <w:szCs w:val="26"/>
              </w:rPr>
              <w:t>likum</w:t>
            </w:r>
            <w:r>
              <w:rPr>
                <w:sz w:val="26"/>
                <w:szCs w:val="26"/>
              </w:rPr>
              <w:t>a</w:t>
            </w:r>
            <w:r w:rsidRPr="00CA74E1">
              <w:rPr>
                <w:sz w:val="26"/>
                <w:szCs w:val="26"/>
              </w:rPr>
              <w:t xml:space="preserve"> “Grozījumi Pievienotās vērtības nodokļa likumā”</w:t>
            </w:r>
            <w:r>
              <w:rPr>
                <w:sz w:val="26"/>
                <w:szCs w:val="26"/>
              </w:rPr>
              <w:t xml:space="preserve"> </w:t>
            </w:r>
            <w:r w:rsidRPr="00CA74E1">
              <w:rPr>
                <w:sz w:val="26"/>
                <w:szCs w:val="26"/>
              </w:rPr>
              <w:t>(</w:t>
            </w:r>
            <w:r w:rsidRPr="00407937">
              <w:rPr>
                <w:sz w:val="26"/>
                <w:szCs w:val="26"/>
              </w:rPr>
              <w:t>Nr.</w:t>
            </w:r>
            <w:r>
              <w:rPr>
                <w:sz w:val="26"/>
                <w:szCs w:val="26"/>
              </w:rPr>
              <w:t>170</w:t>
            </w:r>
            <w:r w:rsidRPr="00407937">
              <w:rPr>
                <w:sz w:val="26"/>
                <w:szCs w:val="26"/>
              </w:rPr>
              <w:t>/Lp1</w:t>
            </w:r>
            <w:r>
              <w:rPr>
                <w:sz w:val="26"/>
                <w:szCs w:val="26"/>
              </w:rPr>
              <w:t>3</w:t>
            </w:r>
            <w:r w:rsidRPr="00CA74E1">
              <w:rPr>
                <w:sz w:val="26"/>
                <w:szCs w:val="26"/>
              </w:rPr>
              <w:t>)</w:t>
            </w:r>
            <w:r w:rsidRPr="000A25A0">
              <w:rPr>
                <w:sz w:val="26"/>
                <w:szCs w:val="26"/>
              </w:rPr>
              <w:t xml:space="preserve"> </w:t>
            </w:r>
            <w:r>
              <w:rPr>
                <w:sz w:val="26"/>
                <w:szCs w:val="26"/>
              </w:rPr>
              <w:t xml:space="preserve">un likuma </w:t>
            </w:r>
            <w:r w:rsidRPr="00CA74E1">
              <w:rPr>
                <w:sz w:val="26"/>
                <w:szCs w:val="26"/>
              </w:rPr>
              <w:t>“Grozījumi Pievienotās vērtības nodokļa likumā”</w:t>
            </w:r>
            <w:r>
              <w:rPr>
                <w:sz w:val="26"/>
                <w:szCs w:val="26"/>
              </w:rPr>
              <w:t xml:space="preserve"> </w:t>
            </w:r>
            <w:r w:rsidRPr="00CA74E1">
              <w:rPr>
                <w:sz w:val="26"/>
                <w:szCs w:val="26"/>
              </w:rPr>
              <w:t>(</w:t>
            </w:r>
            <w:r w:rsidRPr="00407937">
              <w:rPr>
                <w:sz w:val="26"/>
                <w:szCs w:val="26"/>
              </w:rPr>
              <w:t>Nr.</w:t>
            </w:r>
            <w:r>
              <w:rPr>
                <w:sz w:val="26"/>
                <w:szCs w:val="26"/>
              </w:rPr>
              <w:t>57</w:t>
            </w:r>
            <w:r w:rsidRPr="00407937">
              <w:rPr>
                <w:sz w:val="26"/>
                <w:szCs w:val="26"/>
              </w:rPr>
              <w:t>/Lp1</w:t>
            </w:r>
            <w:r>
              <w:rPr>
                <w:sz w:val="26"/>
                <w:szCs w:val="26"/>
              </w:rPr>
              <w:t>3</w:t>
            </w:r>
            <w:r w:rsidRPr="00CA74E1">
              <w:rPr>
                <w:sz w:val="26"/>
                <w:szCs w:val="26"/>
              </w:rPr>
              <w:t>)</w:t>
            </w:r>
            <w:r>
              <w:rPr>
                <w:sz w:val="26"/>
                <w:szCs w:val="26"/>
              </w:rPr>
              <w:t xml:space="preserve"> </w:t>
            </w:r>
            <w:r w:rsidR="001221C5">
              <w:rPr>
                <w:sz w:val="26"/>
                <w:szCs w:val="26"/>
              </w:rPr>
              <w:t xml:space="preserve">projektu </w:t>
            </w:r>
            <w:r>
              <w:rPr>
                <w:sz w:val="26"/>
                <w:szCs w:val="26"/>
              </w:rPr>
              <w:t xml:space="preserve">izstrādes gaitā. </w:t>
            </w:r>
          </w:p>
          <w:p w14:paraId="00245F4A" w14:textId="41EBF681" w:rsidR="000A5CC4" w:rsidRDefault="001221C5" w:rsidP="000A5CC4">
            <w:pPr>
              <w:shd w:val="clear" w:color="auto" w:fill="FFFFFF"/>
              <w:jc w:val="both"/>
              <w:rPr>
                <w:sz w:val="26"/>
                <w:szCs w:val="26"/>
              </w:rPr>
            </w:pPr>
            <w:r w:rsidRPr="00D77A9F">
              <w:rPr>
                <w:sz w:val="26"/>
                <w:szCs w:val="26"/>
              </w:rPr>
              <w:t>Likum</w:t>
            </w:r>
            <w:r w:rsidRPr="00E24093">
              <w:rPr>
                <w:sz w:val="26"/>
                <w:szCs w:val="26"/>
              </w:rPr>
              <w:t>a “Grozījumi Pievienotās vērtības nodokļa likumā” (Nr.170/Lp13) s</w:t>
            </w:r>
            <w:r w:rsidRPr="000A25A0">
              <w:rPr>
                <w:sz w:val="26"/>
                <w:szCs w:val="26"/>
              </w:rPr>
              <w:t xml:space="preserve">abiedrības līdzdalība </w:t>
            </w:r>
            <w:r w:rsidR="00D77A9F" w:rsidRPr="000A25A0">
              <w:rPr>
                <w:sz w:val="26"/>
                <w:szCs w:val="26"/>
              </w:rPr>
              <w:t>bija</w:t>
            </w:r>
            <w:r w:rsidRPr="000A25A0">
              <w:rPr>
                <w:sz w:val="26"/>
                <w:szCs w:val="26"/>
              </w:rPr>
              <w:t xml:space="preserve"> nodrošināta, 2017.gada 6.decembrī publicējot uzziņu par </w:t>
            </w:r>
            <w:r w:rsidR="008120E5">
              <w:rPr>
                <w:sz w:val="26"/>
                <w:szCs w:val="26"/>
              </w:rPr>
              <w:t>l</w:t>
            </w:r>
            <w:r w:rsidRPr="000A25A0">
              <w:rPr>
                <w:sz w:val="26"/>
                <w:szCs w:val="26"/>
              </w:rPr>
              <w:t>ikumprojekta izstrādes uzsākšanu Finanšu ministrijas mājas lapā (</w:t>
            </w:r>
            <w:hyperlink r:id="rId7" w:history="1">
              <w:r w:rsidRPr="000A25A0">
                <w:rPr>
                  <w:rStyle w:val="Hyperlink"/>
                  <w:sz w:val="26"/>
                  <w:szCs w:val="26"/>
                </w:rPr>
                <w:t>www.fm.gov.lv</w:t>
              </w:r>
            </w:hyperlink>
            <w:r w:rsidRPr="000A25A0">
              <w:rPr>
                <w:sz w:val="26"/>
                <w:szCs w:val="26"/>
              </w:rPr>
              <w:t>).</w:t>
            </w:r>
          </w:p>
          <w:p w14:paraId="41655D99" w14:textId="77777777" w:rsidR="00D37CAB" w:rsidRPr="001D63CF" w:rsidRDefault="00D37CAB" w:rsidP="00D37CAB">
            <w:pPr>
              <w:shd w:val="clear" w:color="auto" w:fill="FFFFFF"/>
              <w:jc w:val="both"/>
              <w:rPr>
                <w:rFonts w:eastAsiaTheme="minorHAnsi"/>
                <w:sz w:val="26"/>
                <w:szCs w:val="26"/>
              </w:rPr>
            </w:pPr>
            <w:r w:rsidRPr="001D63CF">
              <w:rPr>
                <w:sz w:val="26"/>
                <w:szCs w:val="26"/>
              </w:rPr>
              <w:t xml:space="preserve">Likuma “Grozījumi Pievienotās vērtības nodokļa likumā” (Nr.57/Lp13) sabiedrības līdzdalība bija nodrošināta, ievietojot informāciju par likumprojektu 2018.gada 31.oktobrī Finanšu ministrijas tīmekļvietnē sadaļā “Sabiedrības līdzdalība” – “Tiesību aktu projekti” – “Nodokļu politika”. Līdz ar to sabiedrības pārstāvji varēja līdzdarboties minēto likumu projektu izstrādē, </w:t>
            </w:r>
            <w:proofErr w:type="spellStart"/>
            <w:r w:rsidRPr="001D63CF">
              <w:rPr>
                <w:sz w:val="26"/>
                <w:szCs w:val="26"/>
              </w:rPr>
              <w:t>rakstveidā</w:t>
            </w:r>
            <w:proofErr w:type="spellEnd"/>
            <w:r w:rsidRPr="001D63CF">
              <w:rPr>
                <w:sz w:val="26"/>
                <w:szCs w:val="26"/>
              </w:rPr>
              <w:t xml:space="preserve"> sniedzot viedokļus par tiem.</w:t>
            </w:r>
          </w:p>
          <w:p w14:paraId="75BD4C9B" w14:textId="2994269E" w:rsidR="002C3ECA" w:rsidRPr="00BA22C5" w:rsidRDefault="00D409E5" w:rsidP="00D37CAB">
            <w:pPr>
              <w:shd w:val="clear" w:color="auto" w:fill="FFFFFF"/>
              <w:jc w:val="both"/>
              <w:rPr>
                <w:rFonts w:eastAsia="Times New Roman"/>
                <w:spacing w:val="-2"/>
                <w:sz w:val="26"/>
                <w:szCs w:val="26"/>
                <w:lang w:eastAsia="lv-LV"/>
              </w:rPr>
            </w:pPr>
            <w:r w:rsidRPr="000A25A0">
              <w:rPr>
                <w:sz w:val="26"/>
                <w:szCs w:val="26"/>
              </w:rPr>
              <w:t>(</w:t>
            </w:r>
            <w:hyperlink r:id="rId8" w:anchor="project522" w:history="1">
              <w:r w:rsidRPr="000A25A0">
                <w:rPr>
                  <w:rStyle w:val="Hyperlink"/>
                  <w:sz w:val="26"/>
                  <w:szCs w:val="26"/>
                </w:rPr>
                <w:t>http://www.fm.gov.lv/lv/sabiedribas_lidzdaliba/tiesibu_aktu_projekti/nodoklu_politika#project522</w:t>
              </w:r>
            </w:hyperlink>
            <w:r w:rsidRPr="000A25A0">
              <w:rPr>
                <w:sz w:val="26"/>
                <w:szCs w:val="26"/>
              </w:rPr>
              <w:t xml:space="preserve">) un Ministru kabineta tīmekļvietnē </w:t>
            </w:r>
            <w:hyperlink r:id="rId9" w:history="1">
              <w:r w:rsidRPr="000A25A0">
                <w:rPr>
                  <w:rStyle w:val="Hyperlink"/>
                  <w:sz w:val="26"/>
                  <w:szCs w:val="26"/>
                </w:rPr>
                <w:t>https://www.mk.gov.lv/content/ministru-kabineta-diskusiju-dokumenti</w:t>
              </w:r>
            </w:hyperlink>
            <w:r w:rsidRPr="000A25A0">
              <w:rPr>
                <w:sz w:val="26"/>
                <w:szCs w:val="26"/>
              </w:rPr>
              <w:t xml:space="preserve"> </w:t>
            </w:r>
          </w:p>
        </w:tc>
      </w:tr>
      <w:tr w:rsidR="00CA70BA" w14:paraId="67B36FD3" w14:textId="77777777" w:rsidTr="00BA22C5">
        <w:trPr>
          <w:trHeight w:val="339"/>
          <w:jc w:val="center"/>
        </w:trPr>
        <w:tc>
          <w:tcPr>
            <w:tcW w:w="587" w:type="dxa"/>
          </w:tcPr>
          <w:p w14:paraId="3B3298E9" w14:textId="77777777" w:rsidR="00CA70BA" w:rsidRPr="00CA74E1" w:rsidRDefault="00CA70BA" w:rsidP="00BC2D68">
            <w:pPr>
              <w:ind w:left="241"/>
              <w:jc w:val="both"/>
              <w:rPr>
                <w:bCs/>
                <w:sz w:val="26"/>
                <w:szCs w:val="26"/>
              </w:rPr>
            </w:pPr>
            <w:r w:rsidRPr="00CA74E1">
              <w:rPr>
                <w:bCs/>
                <w:sz w:val="26"/>
                <w:szCs w:val="26"/>
              </w:rPr>
              <w:t>2.</w:t>
            </w:r>
          </w:p>
        </w:tc>
        <w:tc>
          <w:tcPr>
            <w:tcW w:w="4147" w:type="dxa"/>
          </w:tcPr>
          <w:p w14:paraId="1F20FE22" w14:textId="77777777" w:rsidR="00CA70BA" w:rsidRPr="00CA74E1" w:rsidRDefault="00CA70BA" w:rsidP="00BC2D68">
            <w:pPr>
              <w:ind w:left="241"/>
              <w:rPr>
                <w:sz w:val="26"/>
                <w:szCs w:val="26"/>
              </w:rPr>
            </w:pPr>
            <w:r w:rsidRPr="00CA74E1">
              <w:rPr>
                <w:sz w:val="26"/>
                <w:szCs w:val="26"/>
              </w:rPr>
              <w:t>Sabiedrības līdzdalība projekta izstrādē</w:t>
            </w:r>
          </w:p>
        </w:tc>
        <w:tc>
          <w:tcPr>
            <w:tcW w:w="5467" w:type="dxa"/>
          </w:tcPr>
          <w:p w14:paraId="4FC22FDF" w14:textId="7B6AF766" w:rsidR="00CA70BA" w:rsidRPr="00CA74E1" w:rsidRDefault="00CA70BA" w:rsidP="000A25A0">
            <w:pPr>
              <w:spacing w:before="100" w:beforeAutospacing="1"/>
              <w:jc w:val="both"/>
              <w:rPr>
                <w:sz w:val="26"/>
                <w:szCs w:val="26"/>
              </w:rPr>
            </w:pPr>
            <w:bookmarkStart w:id="3" w:name="p62"/>
            <w:bookmarkEnd w:id="3"/>
            <w:r w:rsidRPr="00E24093">
              <w:rPr>
                <w:sz w:val="26"/>
                <w:szCs w:val="26"/>
              </w:rPr>
              <w:t>Tā kā sabiedrības līdzdalība saistībā ar PVN nomaksas valsts budžetā termiņa mainīšanu notika likuma “Grozījumi Pievienotās vērtības nodokļa likumā” (Nr.170/Lp13) izstrādes gaitā,</w:t>
            </w:r>
            <w:r w:rsidR="00E24093" w:rsidRPr="00E24093">
              <w:rPr>
                <w:sz w:val="26"/>
                <w:szCs w:val="26"/>
              </w:rPr>
              <w:t xml:space="preserve"> tostarp, </w:t>
            </w:r>
            <w:r w:rsidR="00E24093" w:rsidRPr="000A25A0">
              <w:rPr>
                <w:sz w:val="26"/>
                <w:szCs w:val="26"/>
              </w:rPr>
              <w:t xml:space="preserve">informācija par likuma projektu tika nosūtīta Latvijas Darba devēju konfederācijai un Latvijas </w:t>
            </w:r>
            <w:r w:rsidR="00E24093" w:rsidRPr="000A25A0">
              <w:rPr>
                <w:sz w:val="26"/>
                <w:szCs w:val="26"/>
              </w:rPr>
              <w:lastRenderedPageBreak/>
              <w:t>Tirdzniecības un rūpniecības kamerai</w:t>
            </w:r>
            <w:r w:rsidR="003F52EB">
              <w:rPr>
                <w:sz w:val="26"/>
                <w:szCs w:val="26"/>
              </w:rPr>
              <w:t>,</w:t>
            </w:r>
            <w:r w:rsidRPr="00E24093">
              <w:rPr>
                <w:sz w:val="26"/>
                <w:szCs w:val="26"/>
              </w:rPr>
              <w:t xml:space="preserve"> </w:t>
            </w:r>
            <w:r w:rsidR="003F52EB">
              <w:rPr>
                <w:sz w:val="26"/>
                <w:szCs w:val="26"/>
              </w:rPr>
              <w:t>s</w:t>
            </w:r>
            <w:r w:rsidRPr="00E24093">
              <w:rPr>
                <w:sz w:val="26"/>
                <w:szCs w:val="26"/>
              </w:rPr>
              <w:t>avukārt</w:t>
            </w:r>
            <w:r>
              <w:rPr>
                <w:sz w:val="26"/>
                <w:szCs w:val="26"/>
              </w:rPr>
              <w:t xml:space="preserve"> saistībā ar pakalpojumu, kas tieši saistīti ar metāl</w:t>
            </w:r>
            <w:r w:rsidR="00CD53F0">
              <w:rPr>
                <w:sz w:val="26"/>
                <w:szCs w:val="26"/>
              </w:rPr>
              <w:t>izstrādājumu</w:t>
            </w:r>
            <w:r>
              <w:rPr>
                <w:sz w:val="26"/>
                <w:szCs w:val="26"/>
              </w:rPr>
              <w:t xml:space="preserve"> piegādi, izslēgšanu no likuma 143.</w:t>
            </w:r>
            <w:r w:rsidRPr="00BA22C5">
              <w:rPr>
                <w:sz w:val="26"/>
                <w:szCs w:val="26"/>
                <w:vertAlign w:val="superscript"/>
              </w:rPr>
              <w:t>4</w:t>
            </w:r>
            <w:r>
              <w:rPr>
                <w:sz w:val="26"/>
                <w:szCs w:val="26"/>
              </w:rPr>
              <w:t>pant</w:t>
            </w:r>
            <w:r w:rsidR="00DA3D72">
              <w:rPr>
                <w:sz w:val="26"/>
                <w:szCs w:val="26"/>
              </w:rPr>
              <w:t>ā, tas ir, no darījumu veidiem, kuriem piemērojams īpašs PVN režīms,</w:t>
            </w:r>
            <w:r>
              <w:rPr>
                <w:sz w:val="26"/>
                <w:szCs w:val="26"/>
              </w:rPr>
              <w:t xml:space="preserve"> notika likuma “Grozījumi Pievienotās vērtības nodokļa likumā” </w:t>
            </w:r>
            <w:r w:rsidRPr="00CA74E1">
              <w:rPr>
                <w:sz w:val="26"/>
                <w:szCs w:val="26"/>
              </w:rPr>
              <w:t>(</w:t>
            </w:r>
            <w:r w:rsidRPr="00407937">
              <w:rPr>
                <w:sz w:val="26"/>
                <w:szCs w:val="26"/>
              </w:rPr>
              <w:t>Nr.</w:t>
            </w:r>
            <w:r>
              <w:rPr>
                <w:sz w:val="26"/>
                <w:szCs w:val="26"/>
              </w:rPr>
              <w:t>57</w:t>
            </w:r>
            <w:r w:rsidRPr="00407937">
              <w:rPr>
                <w:sz w:val="26"/>
                <w:szCs w:val="26"/>
              </w:rPr>
              <w:t>/Lp1</w:t>
            </w:r>
            <w:r>
              <w:rPr>
                <w:sz w:val="26"/>
                <w:szCs w:val="26"/>
              </w:rPr>
              <w:t>3</w:t>
            </w:r>
            <w:r w:rsidRPr="00CA74E1">
              <w:rPr>
                <w:sz w:val="26"/>
                <w:szCs w:val="26"/>
              </w:rPr>
              <w:t>)</w:t>
            </w:r>
            <w:r>
              <w:rPr>
                <w:sz w:val="26"/>
                <w:szCs w:val="26"/>
              </w:rPr>
              <w:t xml:space="preserve"> izstrādes gaitā,</w:t>
            </w:r>
            <w:r w:rsidR="00E24093">
              <w:rPr>
                <w:sz w:val="26"/>
                <w:szCs w:val="26"/>
              </w:rPr>
              <w:t xml:space="preserve"> </w:t>
            </w:r>
            <w:r w:rsidR="000C0C40">
              <w:rPr>
                <w:sz w:val="26"/>
                <w:szCs w:val="26"/>
              </w:rPr>
              <w:t xml:space="preserve">tai skaitā, </w:t>
            </w:r>
            <w:r w:rsidR="00E24093" w:rsidRPr="00D967A7">
              <w:rPr>
                <w:sz w:val="26"/>
                <w:szCs w:val="26"/>
              </w:rPr>
              <w:t xml:space="preserve">informācija </w:t>
            </w:r>
            <w:r w:rsidR="00312665">
              <w:rPr>
                <w:sz w:val="26"/>
                <w:szCs w:val="26"/>
              </w:rPr>
              <w:t xml:space="preserve">tika sniegta </w:t>
            </w:r>
            <w:r w:rsidR="00E24093" w:rsidRPr="00D967A7">
              <w:rPr>
                <w:sz w:val="26"/>
                <w:szCs w:val="26"/>
              </w:rPr>
              <w:t>Latvijas Pašvaldību savienībai, Latvijas Brīvo arodbiedrību savienībai, Latvijas Darba devēju konfederācijai, Latvijas Nodokļu konsultantu asociācijai, Latvijas nodokļu maksātāju tiesību asociācijai, Latvijas Nekustamo īpašumu darījumu asociācijai, Latvijas Īpašumu vērtētāju asociācijai, Finanšu nozares asociācijai, Latvijas Republikas Grāmatvežu asociācijai un Latvijas Tirdzniecības un rūpniecības kamerai</w:t>
            </w:r>
            <w:r w:rsidR="000C0C40">
              <w:rPr>
                <w:sz w:val="26"/>
                <w:szCs w:val="26"/>
              </w:rPr>
              <w:t xml:space="preserve">, </w:t>
            </w:r>
            <w:r>
              <w:rPr>
                <w:sz w:val="26"/>
                <w:szCs w:val="26"/>
              </w:rPr>
              <w:t>sabiedrības atkārtota  līdzdalība nav nepieciešama.</w:t>
            </w:r>
          </w:p>
        </w:tc>
      </w:tr>
      <w:tr w:rsidR="00CA70BA" w14:paraId="1364F3C2" w14:textId="77777777" w:rsidTr="00BA22C5">
        <w:trPr>
          <w:trHeight w:val="476"/>
          <w:jc w:val="center"/>
        </w:trPr>
        <w:tc>
          <w:tcPr>
            <w:tcW w:w="587" w:type="dxa"/>
          </w:tcPr>
          <w:p w14:paraId="69D5EE7B" w14:textId="77777777" w:rsidR="00CA70BA" w:rsidRPr="00CA74E1" w:rsidRDefault="00CA70BA" w:rsidP="00BC2D68">
            <w:pPr>
              <w:ind w:left="241"/>
              <w:jc w:val="both"/>
              <w:rPr>
                <w:bCs/>
                <w:sz w:val="26"/>
                <w:szCs w:val="26"/>
              </w:rPr>
            </w:pPr>
            <w:r w:rsidRPr="00CA74E1">
              <w:rPr>
                <w:bCs/>
                <w:sz w:val="26"/>
                <w:szCs w:val="26"/>
              </w:rPr>
              <w:lastRenderedPageBreak/>
              <w:t>3.</w:t>
            </w:r>
          </w:p>
        </w:tc>
        <w:tc>
          <w:tcPr>
            <w:tcW w:w="4147" w:type="dxa"/>
          </w:tcPr>
          <w:p w14:paraId="4F2AD60D" w14:textId="77777777" w:rsidR="00CA70BA" w:rsidRPr="00CA74E1" w:rsidRDefault="00CA70BA" w:rsidP="00BC2D68">
            <w:pPr>
              <w:ind w:left="241"/>
              <w:rPr>
                <w:sz w:val="26"/>
                <w:szCs w:val="26"/>
              </w:rPr>
            </w:pPr>
            <w:r w:rsidRPr="00CA74E1">
              <w:rPr>
                <w:sz w:val="26"/>
                <w:szCs w:val="26"/>
              </w:rPr>
              <w:t>Sabiedrības līdzdalības rezultāti</w:t>
            </w:r>
          </w:p>
        </w:tc>
        <w:tc>
          <w:tcPr>
            <w:tcW w:w="5467" w:type="dxa"/>
          </w:tcPr>
          <w:p w14:paraId="396283BE" w14:textId="1FA56479" w:rsidR="00CA70BA" w:rsidRPr="00B84C96" w:rsidRDefault="000C0C40" w:rsidP="00C466EC">
            <w:pPr>
              <w:shd w:val="clear" w:color="auto" w:fill="FFFFFF"/>
              <w:tabs>
                <w:tab w:val="left" w:pos="878"/>
              </w:tabs>
              <w:jc w:val="both"/>
              <w:rPr>
                <w:sz w:val="26"/>
                <w:szCs w:val="26"/>
              </w:rPr>
            </w:pPr>
            <w:r>
              <w:rPr>
                <w:rFonts w:eastAsia="Times New Roman"/>
                <w:color w:val="000000"/>
                <w:sz w:val="26"/>
                <w:szCs w:val="26"/>
                <w:lang w:eastAsia="lv-LV"/>
              </w:rPr>
              <w:t xml:space="preserve">Likumu </w:t>
            </w:r>
            <w:r w:rsidRPr="00E24093">
              <w:rPr>
                <w:sz w:val="26"/>
                <w:szCs w:val="26"/>
              </w:rPr>
              <w:t>“Grozījumi Pievienotās vērtības nodokļa likumā” (Nr.170/Lp13</w:t>
            </w:r>
            <w:r>
              <w:rPr>
                <w:sz w:val="26"/>
                <w:szCs w:val="26"/>
              </w:rPr>
              <w:t xml:space="preserve">) un </w:t>
            </w:r>
            <w:r w:rsidRPr="00E24093">
              <w:rPr>
                <w:sz w:val="26"/>
                <w:szCs w:val="26"/>
              </w:rPr>
              <w:t>“Grozījumi Pievienotās vērtības nodokļa likumā” (Nr.</w:t>
            </w:r>
            <w:r>
              <w:rPr>
                <w:sz w:val="26"/>
                <w:szCs w:val="26"/>
              </w:rPr>
              <w:t>57</w:t>
            </w:r>
            <w:r w:rsidRPr="00E24093">
              <w:rPr>
                <w:sz w:val="26"/>
                <w:szCs w:val="26"/>
              </w:rPr>
              <w:t>/Lp13</w:t>
            </w:r>
            <w:r>
              <w:rPr>
                <w:sz w:val="26"/>
                <w:szCs w:val="26"/>
              </w:rPr>
              <w:t xml:space="preserve">) izstrādes gaitā no sabiedrības pārstāvjiem nav saņemti priekšlikumi vai iebildumi par šo likumu projektiem. </w:t>
            </w:r>
          </w:p>
        </w:tc>
      </w:tr>
      <w:tr w:rsidR="00CA70BA" w14:paraId="5CDE33D4" w14:textId="77777777" w:rsidTr="00BA22C5">
        <w:trPr>
          <w:trHeight w:val="665"/>
          <w:jc w:val="center"/>
        </w:trPr>
        <w:tc>
          <w:tcPr>
            <w:tcW w:w="587" w:type="dxa"/>
          </w:tcPr>
          <w:p w14:paraId="22E803E3" w14:textId="77777777" w:rsidR="00CA70BA" w:rsidRPr="00CA74E1" w:rsidRDefault="00CA70BA" w:rsidP="00BC2D68">
            <w:pPr>
              <w:ind w:left="241"/>
              <w:jc w:val="both"/>
              <w:rPr>
                <w:bCs/>
                <w:sz w:val="26"/>
                <w:szCs w:val="26"/>
              </w:rPr>
            </w:pPr>
            <w:r w:rsidRPr="00CA74E1">
              <w:rPr>
                <w:bCs/>
                <w:sz w:val="26"/>
                <w:szCs w:val="26"/>
              </w:rPr>
              <w:t>4.</w:t>
            </w:r>
          </w:p>
        </w:tc>
        <w:tc>
          <w:tcPr>
            <w:tcW w:w="4147" w:type="dxa"/>
          </w:tcPr>
          <w:p w14:paraId="39E9EDF6" w14:textId="77777777" w:rsidR="00CA70BA" w:rsidRPr="00CA74E1" w:rsidRDefault="00CA70BA" w:rsidP="00BC2D68">
            <w:pPr>
              <w:ind w:left="241"/>
              <w:rPr>
                <w:sz w:val="26"/>
                <w:szCs w:val="26"/>
              </w:rPr>
            </w:pPr>
            <w:r w:rsidRPr="00CA74E1">
              <w:rPr>
                <w:sz w:val="26"/>
                <w:szCs w:val="26"/>
              </w:rPr>
              <w:t>Cita informācija</w:t>
            </w:r>
          </w:p>
        </w:tc>
        <w:tc>
          <w:tcPr>
            <w:tcW w:w="5467" w:type="dxa"/>
          </w:tcPr>
          <w:p w14:paraId="5E5ACFAE" w14:textId="5077128E" w:rsidR="00CA70BA" w:rsidRPr="00BA22C5" w:rsidRDefault="006D0F6E" w:rsidP="00BA22C5">
            <w:pPr>
              <w:jc w:val="both"/>
              <w:rPr>
                <w:spacing w:val="-2"/>
                <w:sz w:val="26"/>
                <w:szCs w:val="26"/>
              </w:rPr>
            </w:pPr>
            <w:r w:rsidRPr="00BA22C5">
              <w:rPr>
                <w:spacing w:val="-2"/>
                <w:sz w:val="26"/>
                <w:szCs w:val="26"/>
              </w:rPr>
              <w:t xml:space="preserve">Sabiedrība pēc normatīvā akta pieņemšanas </w:t>
            </w:r>
            <w:r w:rsidR="00C15856">
              <w:rPr>
                <w:spacing w:val="-2"/>
                <w:sz w:val="26"/>
                <w:szCs w:val="26"/>
              </w:rPr>
              <w:t>tiks</w:t>
            </w:r>
            <w:r w:rsidRPr="00BA22C5">
              <w:rPr>
                <w:spacing w:val="-2"/>
                <w:sz w:val="26"/>
                <w:szCs w:val="26"/>
              </w:rPr>
              <w:t xml:space="preserve"> informēta ar publikāciju Latvijas Republikas oficiālajā elektroniskajā izdevumā “Latvijas Vēstnesis”, kā arī tas </w:t>
            </w:r>
            <w:r w:rsidR="00C15856">
              <w:rPr>
                <w:spacing w:val="-2"/>
                <w:sz w:val="26"/>
                <w:szCs w:val="26"/>
              </w:rPr>
              <w:t>tiks</w:t>
            </w:r>
            <w:r w:rsidRPr="00BA22C5">
              <w:rPr>
                <w:spacing w:val="-2"/>
                <w:sz w:val="26"/>
                <w:szCs w:val="26"/>
              </w:rPr>
              <w:t xml:space="preserve"> ievietots bezmaksas normatīvo aktu datubāzē </w:t>
            </w:r>
            <w:hyperlink r:id="rId10" w:history="1">
              <w:r w:rsidRPr="00BA22C5">
                <w:rPr>
                  <w:rStyle w:val="Hyperlink"/>
                  <w:color w:val="auto"/>
                  <w:spacing w:val="-2"/>
                  <w:sz w:val="26"/>
                  <w:szCs w:val="26"/>
                  <w:u w:val="none"/>
                </w:rPr>
                <w:t>www.likumi.lv</w:t>
              </w:r>
            </w:hyperlink>
            <w:r w:rsidRPr="00BA22C5">
              <w:rPr>
                <w:rStyle w:val="Hyperlink"/>
                <w:color w:val="auto"/>
                <w:spacing w:val="-2"/>
                <w:sz w:val="26"/>
                <w:szCs w:val="26"/>
                <w:u w:val="none"/>
              </w:rPr>
              <w:t>.</w:t>
            </w:r>
          </w:p>
        </w:tc>
      </w:tr>
      <w:tr w:rsidR="00CA70BA" w14:paraId="1CF7B963" w14:textId="77777777" w:rsidTr="00BA22C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437"/>
          <w:tblCellSpacing w:w="0" w:type="dxa"/>
        </w:trPr>
        <w:tc>
          <w:tcPr>
            <w:tcW w:w="10201" w:type="dxa"/>
            <w:gridSpan w:val="3"/>
            <w:tcBorders>
              <w:top w:val="outset" w:sz="6" w:space="0" w:color="auto"/>
              <w:left w:val="outset" w:sz="6" w:space="0" w:color="auto"/>
              <w:bottom w:val="outset" w:sz="6" w:space="0" w:color="auto"/>
              <w:right w:val="outset" w:sz="6" w:space="0" w:color="auto"/>
            </w:tcBorders>
            <w:vAlign w:val="center"/>
            <w:hideMark/>
          </w:tcPr>
          <w:p w14:paraId="53774240" w14:textId="77777777" w:rsidR="00CA70BA" w:rsidRDefault="00CA70BA" w:rsidP="00BC2D68">
            <w:pPr>
              <w:ind w:left="241"/>
              <w:jc w:val="center"/>
              <w:rPr>
                <w:rFonts w:eastAsia="Times New Roman"/>
                <w:b/>
                <w:bCs/>
                <w:sz w:val="26"/>
                <w:szCs w:val="26"/>
                <w:lang w:eastAsia="lv-LV"/>
              </w:rPr>
            </w:pPr>
          </w:p>
          <w:p w14:paraId="21358338" w14:textId="77777777" w:rsidR="00CA70BA" w:rsidRPr="00CA74E1" w:rsidRDefault="00CA70BA" w:rsidP="00BC2D68">
            <w:pPr>
              <w:ind w:left="241"/>
              <w:jc w:val="center"/>
              <w:rPr>
                <w:rFonts w:eastAsia="Times New Roman"/>
                <w:sz w:val="26"/>
                <w:szCs w:val="26"/>
                <w:lang w:eastAsia="lv-LV"/>
              </w:rPr>
            </w:pPr>
            <w:r w:rsidRPr="00CA74E1">
              <w:rPr>
                <w:rFonts w:eastAsia="Times New Roman"/>
                <w:b/>
                <w:bCs/>
                <w:sz w:val="26"/>
                <w:szCs w:val="26"/>
                <w:lang w:eastAsia="lv-LV"/>
              </w:rPr>
              <w:t>VII. Tiesību akta projekta izpildes nodrošināšana un tās ietekme uz institūcijām</w:t>
            </w:r>
          </w:p>
        </w:tc>
      </w:tr>
      <w:tr w:rsidR="00CA70BA" w14:paraId="16523FA9" w14:textId="77777777" w:rsidTr="00BA22C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437"/>
          <w:tblCellSpacing w:w="0" w:type="dxa"/>
        </w:trPr>
        <w:tc>
          <w:tcPr>
            <w:tcW w:w="10201" w:type="dxa"/>
            <w:gridSpan w:val="3"/>
            <w:tcBorders>
              <w:top w:val="outset" w:sz="6" w:space="0" w:color="auto"/>
              <w:left w:val="outset" w:sz="6" w:space="0" w:color="auto"/>
              <w:bottom w:val="outset" w:sz="6" w:space="0" w:color="auto"/>
              <w:right w:val="outset" w:sz="6" w:space="0" w:color="auto"/>
            </w:tcBorders>
            <w:vAlign w:val="center"/>
          </w:tcPr>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37"/>
              <w:gridCol w:w="3396"/>
              <w:gridCol w:w="6223"/>
            </w:tblGrid>
            <w:tr w:rsidR="00CA70BA" w14:paraId="07B7252D" w14:textId="77777777" w:rsidTr="000A25A0">
              <w:trPr>
                <w:trHeight w:val="444"/>
                <w:jc w:val="center"/>
              </w:trPr>
              <w:tc>
                <w:tcPr>
                  <w:tcW w:w="537" w:type="dxa"/>
                  <w:tcBorders>
                    <w:top w:val="single" w:sz="4" w:space="0" w:color="auto"/>
                    <w:left w:val="single" w:sz="4" w:space="0" w:color="auto"/>
                    <w:bottom w:val="single" w:sz="4" w:space="0" w:color="auto"/>
                    <w:right w:val="single" w:sz="4" w:space="0" w:color="auto"/>
                  </w:tcBorders>
                  <w:hideMark/>
                </w:tcPr>
                <w:p w14:paraId="668FCDB9" w14:textId="77777777" w:rsidR="00CA70BA" w:rsidRPr="00CA74E1" w:rsidRDefault="00CA70BA" w:rsidP="00BC2D68">
                  <w:pPr>
                    <w:pStyle w:val="naisnod"/>
                    <w:spacing w:before="0" w:beforeAutospacing="0" w:after="0" w:afterAutospacing="0"/>
                    <w:ind w:left="241"/>
                    <w:jc w:val="both"/>
                    <w:rPr>
                      <w:sz w:val="26"/>
                      <w:szCs w:val="26"/>
                    </w:rPr>
                  </w:pPr>
                  <w:r w:rsidRPr="00CA74E1">
                    <w:rPr>
                      <w:sz w:val="26"/>
                      <w:szCs w:val="26"/>
                    </w:rPr>
                    <w:t>1.</w:t>
                  </w:r>
                </w:p>
              </w:tc>
              <w:tc>
                <w:tcPr>
                  <w:tcW w:w="3396" w:type="dxa"/>
                  <w:tcBorders>
                    <w:top w:val="single" w:sz="4" w:space="0" w:color="auto"/>
                    <w:left w:val="single" w:sz="4" w:space="0" w:color="auto"/>
                    <w:bottom w:val="single" w:sz="4" w:space="0" w:color="auto"/>
                    <w:right w:val="single" w:sz="4" w:space="0" w:color="auto"/>
                  </w:tcBorders>
                  <w:hideMark/>
                </w:tcPr>
                <w:p w14:paraId="35D42C57" w14:textId="77777777" w:rsidR="00CA70BA" w:rsidRPr="00CA74E1" w:rsidRDefault="00CA70BA" w:rsidP="00BC2D68">
                  <w:pPr>
                    <w:pStyle w:val="naisf"/>
                    <w:spacing w:before="0" w:beforeAutospacing="0" w:after="0" w:afterAutospacing="0"/>
                    <w:ind w:left="241"/>
                    <w:rPr>
                      <w:sz w:val="26"/>
                      <w:szCs w:val="26"/>
                    </w:rPr>
                  </w:pPr>
                  <w:r w:rsidRPr="00CA74E1">
                    <w:rPr>
                      <w:sz w:val="26"/>
                      <w:szCs w:val="26"/>
                    </w:rPr>
                    <w:t>Projekta izpildē iesaistītās institūcijas</w:t>
                  </w:r>
                </w:p>
              </w:tc>
              <w:tc>
                <w:tcPr>
                  <w:tcW w:w="6223" w:type="dxa"/>
                  <w:tcBorders>
                    <w:top w:val="single" w:sz="4" w:space="0" w:color="auto"/>
                    <w:left w:val="single" w:sz="4" w:space="0" w:color="auto"/>
                    <w:bottom w:val="single" w:sz="4" w:space="0" w:color="auto"/>
                    <w:right w:val="single" w:sz="4" w:space="0" w:color="auto"/>
                  </w:tcBorders>
                  <w:hideMark/>
                </w:tcPr>
                <w:p w14:paraId="27B5E24B" w14:textId="77777777" w:rsidR="00CA70BA" w:rsidRPr="00CA74E1" w:rsidRDefault="00CA70BA" w:rsidP="00BA22C5">
                  <w:pPr>
                    <w:shd w:val="clear" w:color="auto" w:fill="FFFFFF"/>
                    <w:jc w:val="both"/>
                    <w:rPr>
                      <w:sz w:val="26"/>
                      <w:szCs w:val="26"/>
                    </w:rPr>
                  </w:pPr>
                  <w:bookmarkStart w:id="4" w:name="p69"/>
                  <w:bookmarkStart w:id="5" w:name="p68"/>
                  <w:bookmarkStart w:id="6" w:name="p67"/>
                  <w:bookmarkStart w:id="7" w:name="p66"/>
                  <w:bookmarkEnd w:id="4"/>
                  <w:bookmarkEnd w:id="5"/>
                  <w:bookmarkEnd w:id="6"/>
                  <w:bookmarkEnd w:id="7"/>
                  <w:r w:rsidRPr="00CA74E1">
                    <w:rPr>
                      <w:sz w:val="26"/>
                      <w:szCs w:val="26"/>
                    </w:rPr>
                    <w:t>Finanšu ministrija, Valsts ieņēmumu dienests</w:t>
                  </w:r>
                  <w:r>
                    <w:rPr>
                      <w:sz w:val="26"/>
                      <w:szCs w:val="26"/>
                    </w:rPr>
                    <w:t>.</w:t>
                  </w:r>
                </w:p>
              </w:tc>
            </w:tr>
            <w:tr w:rsidR="00CA70BA" w14:paraId="5B235AD6" w14:textId="77777777" w:rsidTr="000A25A0">
              <w:trPr>
                <w:trHeight w:val="482"/>
                <w:jc w:val="center"/>
              </w:trPr>
              <w:tc>
                <w:tcPr>
                  <w:tcW w:w="537" w:type="dxa"/>
                  <w:tcBorders>
                    <w:top w:val="single" w:sz="4" w:space="0" w:color="auto"/>
                    <w:left w:val="single" w:sz="4" w:space="0" w:color="auto"/>
                    <w:bottom w:val="single" w:sz="4" w:space="0" w:color="auto"/>
                    <w:right w:val="single" w:sz="4" w:space="0" w:color="auto"/>
                  </w:tcBorders>
                  <w:hideMark/>
                </w:tcPr>
                <w:p w14:paraId="1819DF3B" w14:textId="77777777" w:rsidR="00CA70BA" w:rsidRPr="00CA74E1" w:rsidRDefault="00CA70BA" w:rsidP="00BC2D68">
                  <w:pPr>
                    <w:pStyle w:val="naisnod"/>
                    <w:spacing w:before="0" w:beforeAutospacing="0" w:after="0" w:afterAutospacing="0"/>
                    <w:ind w:left="241"/>
                    <w:jc w:val="both"/>
                    <w:rPr>
                      <w:sz w:val="26"/>
                      <w:szCs w:val="26"/>
                    </w:rPr>
                  </w:pPr>
                  <w:r w:rsidRPr="00CA74E1">
                    <w:rPr>
                      <w:sz w:val="26"/>
                      <w:szCs w:val="26"/>
                    </w:rPr>
                    <w:t>2.</w:t>
                  </w:r>
                </w:p>
              </w:tc>
              <w:tc>
                <w:tcPr>
                  <w:tcW w:w="3396" w:type="dxa"/>
                  <w:tcBorders>
                    <w:top w:val="single" w:sz="4" w:space="0" w:color="auto"/>
                    <w:left w:val="single" w:sz="4" w:space="0" w:color="auto"/>
                    <w:bottom w:val="single" w:sz="4" w:space="0" w:color="auto"/>
                    <w:right w:val="single" w:sz="4" w:space="0" w:color="auto"/>
                  </w:tcBorders>
                  <w:hideMark/>
                </w:tcPr>
                <w:p w14:paraId="33959088" w14:textId="77777777" w:rsidR="00CA70BA" w:rsidRPr="00CA74E1" w:rsidRDefault="00CA70BA" w:rsidP="00BC2D68">
                  <w:pPr>
                    <w:pStyle w:val="naisf"/>
                    <w:spacing w:before="0" w:beforeAutospacing="0" w:after="0" w:afterAutospacing="0"/>
                    <w:ind w:left="241"/>
                    <w:rPr>
                      <w:sz w:val="26"/>
                      <w:szCs w:val="26"/>
                    </w:rPr>
                  </w:pPr>
                  <w:r w:rsidRPr="00CA74E1">
                    <w:rPr>
                      <w:sz w:val="26"/>
                      <w:szCs w:val="26"/>
                    </w:rPr>
                    <w:t>Projekta izpildes ietekme uz pārvaldes funkcijām un institucionālo struktūru.</w:t>
                  </w:r>
                </w:p>
                <w:p w14:paraId="0BD690CB" w14:textId="77777777" w:rsidR="00CA70BA" w:rsidRPr="00CA74E1" w:rsidRDefault="00CA70BA" w:rsidP="00BC2D68">
                  <w:pPr>
                    <w:pStyle w:val="naisf"/>
                    <w:spacing w:before="0" w:beforeAutospacing="0" w:after="0" w:afterAutospacing="0"/>
                    <w:ind w:left="241"/>
                    <w:rPr>
                      <w:sz w:val="26"/>
                      <w:szCs w:val="26"/>
                    </w:rPr>
                  </w:pPr>
                  <w:r w:rsidRPr="00CA74E1">
                    <w:rPr>
                      <w:sz w:val="26"/>
                      <w:szCs w:val="26"/>
                    </w:rPr>
                    <w:t>Jaunu institūciju izveide, esošu institūciju likvidācija vai reorga</w:t>
                  </w:r>
                  <w:r w:rsidRPr="00CA74E1">
                    <w:rPr>
                      <w:sz w:val="26"/>
                      <w:szCs w:val="26"/>
                    </w:rPr>
                    <w:softHyphen/>
                    <w:t>nizācija, to ietekme uz institūcijas cilvēkresursiem</w:t>
                  </w:r>
                </w:p>
              </w:tc>
              <w:tc>
                <w:tcPr>
                  <w:tcW w:w="6223" w:type="dxa"/>
                  <w:tcBorders>
                    <w:top w:val="single" w:sz="4" w:space="0" w:color="auto"/>
                    <w:left w:val="single" w:sz="4" w:space="0" w:color="auto"/>
                    <w:bottom w:val="single" w:sz="4" w:space="0" w:color="auto"/>
                    <w:right w:val="single" w:sz="4" w:space="0" w:color="auto"/>
                  </w:tcBorders>
                  <w:hideMark/>
                </w:tcPr>
                <w:p w14:paraId="417D77FD" w14:textId="030FA24A" w:rsidR="00CA70BA" w:rsidRPr="00CA74E1" w:rsidRDefault="00CA70BA">
                  <w:pPr>
                    <w:shd w:val="clear" w:color="auto" w:fill="FFFFFF"/>
                    <w:ind w:hanging="12"/>
                    <w:jc w:val="both"/>
                    <w:rPr>
                      <w:sz w:val="26"/>
                      <w:szCs w:val="26"/>
                    </w:rPr>
                  </w:pPr>
                  <w:r w:rsidRPr="00CA74E1">
                    <w:rPr>
                      <w:sz w:val="26"/>
                      <w:szCs w:val="26"/>
                    </w:rPr>
                    <w:t xml:space="preserve">Netiek radīta jauna pārvaldes funkcija un jauna  institūcija, kā arī nenotiek esošu institūciju likvidācija </w:t>
                  </w:r>
                  <w:r w:rsidR="001C67F8">
                    <w:rPr>
                      <w:sz w:val="26"/>
                      <w:szCs w:val="26"/>
                    </w:rPr>
                    <w:t xml:space="preserve">vai </w:t>
                  </w:r>
                  <w:r w:rsidRPr="00CA74E1">
                    <w:rPr>
                      <w:sz w:val="26"/>
                      <w:szCs w:val="26"/>
                    </w:rPr>
                    <w:t>reorganizācija.</w:t>
                  </w:r>
                </w:p>
                <w:p w14:paraId="05710040" w14:textId="78FDAC09" w:rsidR="00CA70BA" w:rsidRPr="00CA74E1" w:rsidRDefault="00CA70BA" w:rsidP="00BC2D68">
                  <w:pPr>
                    <w:shd w:val="clear" w:color="auto" w:fill="FFFFFF"/>
                    <w:ind w:hanging="12"/>
                    <w:jc w:val="both"/>
                    <w:rPr>
                      <w:sz w:val="26"/>
                      <w:szCs w:val="26"/>
                    </w:rPr>
                  </w:pPr>
                  <w:r w:rsidRPr="00CA74E1">
                    <w:rPr>
                      <w:sz w:val="26"/>
                      <w:szCs w:val="26"/>
                    </w:rPr>
                    <w:t>V</w:t>
                  </w:r>
                  <w:r>
                    <w:rPr>
                      <w:sz w:val="26"/>
                      <w:szCs w:val="26"/>
                    </w:rPr>
                    <w:t>alsts ieņēmumu dienests</w:t>
                  </w:r>
                  <w:r w:rsidRPr="00CA74E1">
                    <w:rPr>
                      <w:sz w:val="26"/>
                      <w:szCs w:val="26"/>
                    </w:rPr>
                    <w:t xml:space="preserve"> esošo funkciju ietvaros nodrošinās PVN administrēšanu saistībā ar grozījumiem Pievienotās vērtības nodokļa likumā attiecībā uz </w:t>
                  </w:r>
                  <w:r>
                    <w:rPr>
                      <w:sz w:val="26"/>
                      <w:szCs w:val="26"/>
                    </w:rPr>
                    <w:t>jauno nodokļa nomaksas termiņu</w:t>
                  </w:r>
                  <w:r w:rsidRPr="00CA74E1">
                    <w:rPr>
                      <w:sz w:val="26"/>
                      <w:szCs w:val="26"/>
                    </w:rPr>
                    <w:t>, kas stāsies spēkā 20</w:t>
                  </w:r>
                  <w:r>
                    <w:rPr>
                      <w:sz w:val="26"/>
                      <w:szCs w:val="26"/>
                    </w:rPr>
                    <w:t>21</w:t>
                  </w:r>
                  <w:r w:rsidRPr="00CA74E1">
                    <w:rPr>
                      <w:sz w:val="26"/>
                      <w:szCs w:val="26"/>
                    </w:rPr>
                    <w:t>.gada 1.janvārī</w:t>
                  </w:r>
                  <w:r>
                    <w:rPr>
                      <w:sz w:val="26"/>
                      <w:szCs w:val="26"/>
                    </w:rPr>
                    <w:t>, kā arī saistībā ar pakalpojumu, kas tieši saistīti ar metāliz</w:t>
                  </w:r>
                  <w:r w:rsidR="002533E8">
                    <w:rPr>
                      <w:sz w:val="26"/>
                      <w:szCs w:val="26"/>
                    </w:rPr>
                    <w:t>s</w:t>
                  </w:r>
                  <w:r>
                    <w:rPr>
                      <w:sz w:val="26"/>
                      <w:szCs w:val="26"/>
                    </w:rPr>
                    <w:t>trādājumu piegādi, izslēgšanu no likuma 143.</w:t>
                  </w:r>
                  <w:r w:rsidRPr="00BA22C5">
                    <w:rPr>
                      <w:sz w:val="26"/>
                      <w:szCs w:val="26"/>
                      <w:vertAlign w:val="superscript"/>
                    </w:rPr>
                    <w:t>4</w:t>
                  </w:r>
                  <w:r>
                    <w:rPr>
                      <w:sz w:val="26"/>
                      <w:szCs w:val="26"/>
                    </w:rPr>
                    <w:t>panta regulējuma, kas stāsies spēkā ar 2019.gada 1.jūliju</w:t>
                  </w:r>
                  <w:r w:rsidRPr="00CA74E1">
                    <w:rPr>
                      <w:sz w:val="26"/>
                      <w:szCs w:val="26"/>
                    </w:rPr>
                    <w:t>.</w:t>
                  </w:r>
                </w:p>
              </w:tc>
            </w:tr>
            <w:tr w:rsidR="00CA70BA" w14:paraId="708A06F5" w14:textId="77777777" w:rsidTr="000A25A0">
              <w:trPr>
                <w:trHeight w:val="257"/>
                <w:jc w:val="center"/>
              </w:trPr>
              <w:tc>
                <w:tcPr>
                  <w:tcW w:w="537" w:type="dxa"/>
                  <w:tcBorders>
                    <w:top w:val="single" w:sz="4" w:space="0" w:color="auto"/>
                    <w:left w:val="single" w:sz="4" w:space="0" w:color="auto"/>
                    <w:bottom w:val="single" w:sz="4" w:space="0" w:color="auto"/>
                    <w:right w:val="single" w:sz="4" w:space="0" w:color="auto"/>
                  </w:tcBorders>
                  <w:hideMark/>
                </w:tcPr>
                <w:p w14:paraId="7660976F" w14:textId="77777777" w:rsidR="00CA70BA" w:rsidRPr="00CA74E1" w:rsidRDefault="00CA70BA" w:rsidP="00BC2D68">
                  <w:pPr>
                    <w:pStyle w:val="naisnod"/>
                    <w:spacing w:before="0" w:beforeAutospacing="0" w:after="0" w:afterAutospacing="0"/>
                    <w:ind w:left="241"/>
                    <w:jc w:val="both"/>
                    <w:rPr>
                      <w:sz w:val="26"/>
                      <w:szCs w:val="26"/>
                    </w:rPr>
                  </w:pPr>
                  <w:r w:rsidRPr="00CA74E1">
                    <w:rPr>
                      <w:sz w:val="26"/>
                      <w:szCs w:val="26"/>
                    </w:rPr>
                    <w:t>3.</w:t>
                  </w:r>
                </w:p>
              </w:tc>
              <w:tc>
                <w:tcPr>
                  <w:tcW w:w="3396" w:type="dxa"/>
                  <w:tcBorders>
                    <w:top w:val="single" w:sz="4" w:space="0" w:color="auto"/>
                    <w:left w:val="single" w:sz="4" w:space="0" w:color="auto"/>
                    <w:bottom w:val="single" w:sz="4" w:space="0" w:color="auto"/>
                    <w:right w:val="single" w:sz="4" w:space="0" w:color="auto"/>
                  </w:tcBorders>
                  <w:hideMark/>
                </w:tcPr>
                <w:p w14:paraId="729E7967" w14:textId="77777777" w:rsidR="00CA70BA" w:rsidRPr="00CA74E1" w:rsidRDefault="00CA70BA" w:rsidP="00BC2D68">
                  <w:pPr>
                    <w:pStyle w:val="naisf"/>
                    <w:spacing w:before="0" w:beforeAutospacing="0" w:after="0" w:afterAutospacing="0"/>
                    <w:ind w:left="241"/>
                    <w:rPr>
                      <w:sz w:val="26"/>
                      <w:szCs w:val="26"/>
                    </w:rPr>
                  </w:pPr>
                  <w:r w:rsidRPr="00CA74E1">
                    <w:rPr>
                      <w:sz w:val="26"/>
                      <w:szCs w:val="26"/>
                    </w:rPr>
                    <w:t>Cita informācija</w:t>
                  </w:r>
                </w:p>
              </w:tc>
              <w:tc>
                <w:tcPr>
                  <w:tcW w:w="6223" w:type="dxa"/>
                  <w:tcBorders>
                    <w:top w:val="single" w:sz="4" w:space="0" w:color="auto"/>
                    <w:left w:val="single" w:sz="4" w:space="0" w:color="auto"/>
                    <w:bottom w:val="single" w:sz="4" w:space="0" w:color="auto"/>
                    <w:right w:val="single" w:sz="4" w:space="0" w:color="auto"/>
                  </w:tcBorders>
                  <w:hideMark/>
                </w:tcPr>
                <w:p w14:paraId="44A45CD4" w14:textId="77777777" w:rsidR="00CA70BA" w:rsidRPr="00CA74E1" w:rsidRDefault="00CA70BA" w:rsidP="00BA22C5">
                  <w:pPr>
                    <w:jc w:val="both"/>
                    <w:rPr>
                      <w:sz w:val="26"/>
                      <w:szCs w:val="26"/>
                    </w:rPr>
                  </w:pPr>
                  <w:r w:rsidRPr="00CA74E1">
                    <w:rPr>
                      <w:sz w:val="26"/>
                      <w:szCs w:val="26"/>
                    </w:rPr>
                    <w:t>Nav</w:t>
                  </w:r>
                </w:p>
              </w:tc>
            </w:tr>
          </w:tbl>
          <w:p w14:paraId="7A39CBF4" w14:textId="77777777" w:rsidR="00CA70BA" w:rsidRPr="00CA74E1" w:rsidRDefault="00CA70BA" w:rsidP="00BC2D68">
            <w:pPr>
              <w:ind w:left="241"/>
              <w:jc w:val="center"/>
              <w:rPr>
                <w:rFonts w:eastAsia="Times New Roman"/>
                <w:b/>
                <w:bCs/>
                <w:sz w:val="26"/>
                <w:szCs w:val="26"/>
                <w:lang w:eastAsia="lv-LV"/>
              </w:rPr>
            </w:pPr>
          </w:p>
        </w:tc>
      </w:tr>
    </w:tbl>
    <w:p w14:paraId="6C60FF26" w14:textId="77777777" w:rsidR="00CA70BA" w:rsidRPr="006B79FB" w:rsidRDefault="00CA70BA" w:rsidP="00CA70BA">
      <w:pPr>
        <w:rPr>
          <w:iCs/>
          <w:sz w:val="22"/>
        </w:rPr>
      </w:pPr>
      <w:bookmarkStart w:id="8" w:name="_GoBack"/>
    </w:p>
    <w:p w14:paraId="29144910" w14:textId="77777777" w:rsidR="003D4153" w:rsidRPr="006B79FB" w:rsidRDefault="003D4153" w:rsidP="003D4153">
      <w:pPr>
        <w:pStyle w:val="BodyTextIndent"/>
        <w:tabs>
          <w:tab w:val="left" w:pos="6804"/>
        </w:tabs>
        <w:ind w:firstLine="0"/>
        <w:jc w:val="left"/>
        <w:rPr>
          <w:sz w:val="22"/>
          <w:szCs w:val="22"/>
          <w:lang w:eastAsia="lv-LV"/>
        </w:rPr>
      </w:pPr>
    </w:p>
    <w:bookmarkEnd w:id="8"/>
    <w:p w14:paraId="0A43BE49" w14:textId="7C9F118C" w:rsidR="003D4153" w:rsidRPr="00311AA0" w:rsidRDefault="003D4153" w:rsidP="00B268C3">
      <w:pPr>
        <w:pStyle w:val="BodyTextIndent"/>
        <w:tabs>
          <w:tab w:val="left" w:pos="6804"/>
        </w:tabs>
        <w:ind w:firstLine="0"/>
        <w:jc w:val="left"/>
        <w:rPr>
          <w:sz w:val="27"/>
          <w:szCs w:val="27"/>
          <w:lang w:eastAsia="lv-LV"/>
        </w:rPr>
      </w:pPr>
      <w:r w:rsidRPr="00CA74E1">
        <w:rPr>
          <w:sz w:val="26"/>
          <w:szCs w:val="26"/>
          <w:lang w:eastAsia="lv-LV"/>
        </w:rPr>
        <w:t>Finanšu ministr</w:t>
      </w:r>
      <w:r w:rsidR="00AD43EC">
        <w:rPr>
          <w:sz w:val="26"/>
          <w:szCs w:val="26"/>
          <w:lang w:eastAsia="lv-LV"/>
        </w:rPr>
        <w:t>s</w:t>
      </w:r>
      <w:r w:rsidRPr="00CA74E1">
        <w:rPr>
          <w:sz w:val="26"/>
          <w:szCs w:val="26"/>
          <w:lang w:eastAsia="lv-LV"/>
        </w:rPr>
        <w:t xml:space="preserve"> </w:t>
      </w:r>
      <w:r w:rsidRPr="00CA74E1">
        <w:rPr>
          <w:sz w:val="26"/>
          <w:szCs w:val="26"/>
          <w:lang w:eastAsia="lv-LV"/>
        </w:rPr>
        <w:tab/>
      </w:r>
      <w:r w:rsidR="00AD43EC">
        <w:rPr>
          <w:sz w:val="26"/>
          <w:szCs w:val="26"/>
          <w:lang w:eastAsia="lv-LV"/>
        </w:rPr>
        <w:t>J. Reirs</w:t>
      </w:r>
      <w:r w:rsidRPr="00311AA0">
        <w:rPr>
          <w:sz w:val="27"/>
          <w:szCs w:val="27"/>
          <w:lang w:eastAsia="lv-LV"/>
        </w:rPr>
        <w:tab/>
      </w:r>
    </w:p>
    <w:p w14:paraId="63E7B755" w14:textId="77777777" w:rsidR="003D4153" w:rsidRDefault="003D4153" w:rsidP="003D4153">
      <w:pPr>
        <w:tabs>
          <w:tab w:val="left" w:pos="6804"/>
        </w:tabs>
        <w:jc w:val="both"/>
        <w:rPr>
          <w:sz w:val="24"/>
          <w:szCs w:val="24"/>
        </w:rPr>
      </w:pPr>
    </w:p>
    <w:p w14:paraId="22BF89AD" w14:textId="77777777" w:rsidR="003D4153" w:rsidRPr="00CA74E1" w:rsidRDefault="00AD43EC" w:rsidP="003D4153">
      <w:pPr>
        <w:tabs>
          <w:tab w:val="left" w:pos="6804"/>
        </w:tabs>
        <w:jc w:val="both"/>
        <w:rPr>
          <w:sz w:val="20"/>
          <w:szCs w:val="20"/>
        </w:rPr>
      </w:pPr>
      <w:r>
        <w:rPr>
          <w:sz w:val="20"/>
          <w:szCs w:val="20"/>
        </w:rPr>
        <w:t>Kumata</w:t>
      </w:r>
      <w:r w:rsidR="003D4153" w:rsidRPr="00CA74E1">
        <w:rPr>
          <w:sz w:val="20"/>
          <w:szCs w:val="20"/>
        </w:rPr>
        <w:t xml:space="preserve"> 671220</w:t>
      </w:r>
      <w:r>
        <w:rPr>
          <w:sz w:val="20"/>
          <w:szCs w:val="20"/>
        </w:rPr>
        <w:t>07</w:t>
      </w:r>
    </w:p>
    <w:p w14:paraId="29117090" w14:textId="7FCE2E0A" w:rsidR="00B81B81" w:rsidRDefault="00AD43EC" w:rsidP="003D4153">
      <w:pPr>
        <w:tabs>
          <w:tab w:val="left" w:pos="6804"/>
        </w:tabs>
        <w:jc w:val="both"/>
        <w:rPr>
          <w:sz w:val="20"/>
          <w:szCs w:val="20"/>
        </w:rPr>
      </w:pPr>
      <w:r>
        <w:rPr>
          <w:sz w:val="20"/>
          <w:szCs w:val="20"/>
        </w:rPr>
        <w:t>daina.kumata</w:t>
      </w:r>
      <w:r w:rsidR="003D4153" w:rsidRPr="00CA74E1">
        <w:rPr>
          <w:sz w:val="20"/>
          <w:szCs w:val="20"/>
        </w:rPr>
        <w:t>@vid.gov.lv</w:t>
      </w:r>
    </w:p>
    <w:p w14:paraId="69FF3CD9" w14:textId="01B3B66C" w:rsidR="003D4153" w:rsidRPr="00343E5E" w:rsidRDefault="003D4153" w:rsidP="00B81B81">
      <w:pPr>
        <w:tabs>
          <w:tab w:val="left" w:pos="6804"/>
        </w:tabs>
        <w:jc w:val="both"/>
        <w:rPr>
          <w:sz w:val="20"/>
          <w:szCs w:val="20"/>
        </w:rPr>
      </w:pPr>
    </w:p>
    <w:sectPr w:rsidR="003D4153" w:rsidRPr="00343E5E" w:rsidSect="0060572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FFDD" w14:textId="77777777" w:rsidR="00EF104C" w:rsidRDefault="00EF104C" w:rsidP="00652A89">
      <w:r>
        <w:separator/>
      </w:r>
    </w:p>
  </w:endnote>
  <w:endnote w:type="continuationSeparator" w:id="0">
    <w:p w14:paraId="0A374987" w14:textId="77777777" w:rsidR="00EF104C" w:rsidRDefault="00EF104C" w:rsidP="0065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3E88" w14:textId="77777777" w:rsidR="00170309" w:rsidRDefault="0017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07B8" w14:textId="37B1D42F" w:rsidR="00D264A1" w:rsidRPr="00872484" w:rsidRDefault="00E2238A" w:rsidP="001D7E00">
    <w:pPr>
      <w:ind w:right="-143"/>
      <w:jc w:val="both"/>
      <w:rPr>
        <w:sz w:val="20"/>
        <w:szCs w:val="20"/>
      </w:rPr>
    </w:pPr>
    <w:r>
      <w:rPr>
        <w:noProof/>
        <w:sz w:val="20"/>
        <w:szCs w:val="20"/>
      </w:rPr>
      <w:t>FManot_</w:t>
    </w:r>
    <w:r w:rsidR="00170309">
      <w:rPr>
        <w:noProof/>
        <w:sz w:val="20"/>
        <w:szCs w:val="20"/>
      </w:rPr>
      <w:t>0107</w:t>
    </w:r>
    <w:r w:rsidR="00652A89">
      <w:rPr>
        <w:noProof/>
        <w:sz w:val="20"/>
        <w:szCs w:val="20"/>
      </w:rPr>
      <w:t>2019</w:t>
    </w:r>
    <w:r>
      <w:rPr>
        <w:noProof/>
        <w:sz w:val="20"/>
        <w:szCs w:val="20"/>
      </w:rPr>
      <w:t>_MK40groz</w:t>
    </w:r>
    <w:r>
      <w:rPr>
        <w:sz w:val="20"/>
        <w:szCs w:val="20"/>
      </w:rPr>
      <w:t xml:space="preserve"> </w:t>
    </w:r>
  </w:p>
  <w:p w14:paraId="7F0BF4AF" w14:textId="77777777" w:rsidR="00D264A1" w:rsidRPr="00C53B25" w:rsidRDefault="00EF104C" w:rsidP="00433A6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ACCC" w14:textId="3892CBDA" w:rsidR="00D264A1" w:rsidRPr="00872484" w:rsidRDefault="00E2238A" w:rsidP="007F0BFE">
    <w:pPr>
      <w:ind w:right="-143"/>
      <w:jc w:val="both"/>
      <w:rPr>
        <w:sz w:val="20"/>
        <w:szCs w:val="20"/>
      </w:rPr>
    </w:pPr>
    <w:r>
      <w:rPr>
        <w:noProof/>
        <w:sz w:val="20"/>
        <w:szCs w:val="20"/>
      </w:rPr>
      <w:t>FManot_</w:t>
    </w:r>
    <w:r w:rsidR="00170309">
      <w:rPr>
        <w:noProof/>
        <w:sz w:val="20"/>
        <w:szCs w:val="20"/>
      </w:rPr>
      <w:t>0107</w:t>
    </w:r>
    <w:r w:rsidR="004C49AF">
      <w:rPr>
        <w:noProof/>
        <w:sz w:val="20"/>
        <w:szCs w:val="20"/>
      </w:rPr>
      <w:t>2019</w:t>
    </w:r>
    <w:r>
      <w:rPr>
        <w:noProof/>
        <w:sz w:val="20"/>
        <w:szCs w:val="20"/>
      </w:rPr>
      <w:t>_MK40groz</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DED60" w14:textId="77777777" w:rsidR="00EF104C" w:rsidRDefault="00EF104C" w:rsidP="00652A89">
      <w:r>
        <w:separator/>
      </w:r>
    </w:p>
  </w:footnote>
  <w:footnote w:type="continuationSeparator" w:id="0">
    <w:p w14:paraId="4E06CC54" w14:textId="77777777" w:rsidR="00EF104C" w:rsidRDefault="00EF104C" w:rsidP="0065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50E4" w14:textId="77777777" w:rsidR="00170309" w:rsidRDefault="00170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BC36" w14:textId="4DD736B7" w:rsidR="00D264A1" w:rsidRPr="00AA2836" w:rsidRDefault="00E2238A">
    <w:pPr>
      <w:pStyle w:val="Header"/>
      <w:jc w:val="center"/>
      <w:rPr>
        <w:sz w:val="24"/>
        <w:szCs w:val="20"/>
      </w:rPr>
    </w:pPr>
    <w:r w:rsidRPr="00AA2836">
      <w:rPr>
        <w:sz w:val="24"/>
        <w:szCs w:val="20"/>
      </w:rPr>
      <w:fldChar w:fldCharType="begin"/>
    </w:r>
    <w:r w:rsidRPr="00AA2836">
      <w:rPr>
        <w:sz w:val="24"/>
        <w:szCs w:val="20"/>
      </w:rPr>
      <w:instrText xml:space="preserve"> PAGE   \* MERGEFORMAT </w:instrText>
    </w:r>
    <w:r w:rsidRPr="00AA2836">
      <w:rPr>
        <w:sz w:val="24"/>
        <w:szCs w:val="20"/>
      </w:rPr>
      <w:fldChar w:fldCharType="separate"/>
    </w:r>
    <w:r w:rsidR="001D63CF">
      <w:rPr>
        <w:noProof/>
        <w:sz w:val="24"/>
        <w:szCs w:val="20"/>
      </w:rPr>
      <w:t>7</w:t>
    </w:r>
    <w:r w:rsidRPr="00AA2836">
      <w:rPr>
        <w:sz w:val="24"/>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8B13" w14:textId="77777777" w:rsidR="00170309" w:rsidRDefault="00170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53"/>
    <w:rsid w:val="00011362"/>
    <w:rsid w:val="0002125B"/>
    <w:rsid w:val="00027BCB"/>
    <w:rsid w:val="00034FDF"/>
    <w:rsid w:val="000A25A0"/>
    <w:rsid w:val="000A5CC4"/>
    <w:rsid w:val="000B157C"/>
    <w:rsid w:val="000C0C40"/>
    <w:rsid w:val="000C79ED"/>
    <w:rsid w:val="000D4FA4"/>
    <w:rsid w:val="000F2E1C"/>
    <w:rsid w:val="00112EB3"/>
    <w:rsid w:val="001221C5"/>
    <w:rsid w:val="00157FD2"/>
    <w:rsid w:val="00170309"/>
    <w:rsid w:val="00183ABE"/>
    <w:rsid w:val="001C67F8"/>
    <w:rsid w:val="001D63CF"/>
    <w:rsid w:val="001F7D5B"/>
    <w:rsid w:val="00214FE6"/>
    <w:rsid w:val="00217643"/>
    <w:rsid w:val="00223473"/>
    <w:rsid w:val="002533E8"/>
    <w:rsid w:val="002B72A3"/>
    <w:rsid w:val="002C3ECA"/>
    <w:rsid w:val="002C59F7"/>
    <w:rsid w:val="002D59EF"/>
    <w:rsid w:val="002D60FC"/>
    <w:rsid w:val="002F446A"/>
    <w:rsid w:val="00300CB2"/>
    <w:rsid w:val="0030356A"/>
    <w:rsid w:val="00312665"/>
    <w:rsid w:val="003135BA"/>
    <w:rsid w:val="0031431C"/>
    <w:rsid w:val="003170EE"/>
    <w:rsid w:val="00317573"/>
    <w:rsid w:val="0036733A"/>
    <w:rsid w:val="003A26B5"/>
    <w:rsid w:val="003D4153"/>
    <w:rsid w:val="003D4C64"/>
    <w:rsid w:val="003E05D5"/>
    <w:rsid w:val="003F52EB"/>
    <w:rsid w:val="00436BE3"/>
    <w:rsid w:val="0043700C"/>
    <w:rsid w:val="00441EE3"/>
    <w:rsid w:val="00460848"/>
    <w:rsid w:val="004A4D96"/>
    <w:rsid w:val="004C12FF"/>
    <w:rsid w:val="004C49AF"/>
    <w:rsid w:val="004D69C8"/>
    <w:rsid w:val="0053184C"/>
    <w:rsid w:val="0055227C"/>
    <w:rsid w:val="00567616"/>
    <w:rsid w:val="00574210"/>
    <w:rsid w:val="005A0167"/>
    <w:rsid w:val="005D452B"/>
    <w:rsid w:val="005E027D"/>
    <w:rsid w:val="005E2CE1"/>
    <w:rsid w:val="00612206"/>
    <w:rsid w:val="00616C38"/>
    <w:rsid w:val="00632487"/>
    <w:rsid w:val="00633745"/>
    <w:rsid w:val="00652A89"/>
    <w:rsid w:val="006A038E"/>
    <w:rsid w:val="006B79FB"/>
    <w:rsid w:val="006D0F6E"/>
    <w:rsid w:val="006D22E2"/>
    <w:rsid w:val="006D3E0E"/>
    <w:rsid w:val="006F1D7F"/>
    <w:rsid w:val="006F1FC2"/>
    <w:rsid w:val="00711CFD"/>
    <w:rsid w:val="00712569"/>
    <w:rsid w:val="0071343C"/>
    <w:rsid w:val="007223FD"/>
    <w:rsid w:val="00731BF0"/>
    <w:rsid w:val="00757E23"/>
    <w:rsid w:val="00787F5D"/>
    <w:rsid w:val="00791332"/>
    <w:rsid w:val="00793241"/>
    <w:rsid w:val="008120E5"/>
    <w:rsid w:val="00835414"/>
    <w:rsid w:val="00866A33"/>
    <w:rsid w:val="008815B4"/>
    <w:rsid w:val="008844C3"/>
    <w:rsid w:val="0088467C"/>
    <w:rsid w:val="008B03C9"/>
    <w:rsid w:val="008B47CD"/>
    <w:rsid w:val="008C7009"/>
    <w:rsid w:val="008D00B5"/>
    <w:rsid w:val="008D57CB"/>
    <w:rsid w:val="008D796F"/>
    <w:rsid w:val="008E03A5"/>
    <w:rsid w:val="0090289E"/>
    <w:rsid w:val="009309E2"/>
    <w:rsid w:val="00952826"/>
    <w:rsid w:val="00957AE1"/>
    <w:rsid w:val="00984633"/>
    <w:rsid w:val="00987B55"/>
    <w:rsid w:val="00990241"/>
    <w:rsid w:val="009D0E59"/>
    <w:rsid w:val="009E0EA6"/>
    <w:rsid w:val="00A056C8"/>
    <w:rsid w:val="00A2156F"/>
    <w:rsid w:val="00A43B4E"/>
    <w:rsid w:val="00A55D71"/>
    <w:rsid w:val="00A61382"/>
    <w:rsid w:val="00A7511B"/>
    <w:rsid w:val="00A949AE"/>
    <w:rsid w:val="00AD43EC"/>
    <w:rsid w:val="00AD625F"/>
    <w:rsid w:val="00B268C3"/>
    <w:rsid w:val="00B318C7"/>
    <w:rsid w:val="00B35651"/>
    <w:rsid w:val="00B455DE"/>
    <w:rsid w:val="00B47B96"/>
    <w:rsid w:val="00B61B76"/>
    <w:rsid w:val="00B61BC2"/>
    <w:rsid w:val="00B6524F"/>
    <w:rsid w:val="00B71791"/>
    <w:rsid w:val="00B81B81"/>
    <w:rsid w:val="00BA1867"/>
    <w:rsid w:val="00BA22C5"/>
    <w:rsid w:val="00BB1B70"/>
    <w:rsid w:val="00BC65F0"/>
    <w:rsid w:val="00C15856"/>
    <w:rsid w:val="00C429D8"/>
    <w:rsid w:val="00C43B60"/>
    <w:rsid w:val="00C466EC"/>
    <w:rsid w:val="00C67416"/>
    <w:rsid w:val="00C90D6D"/>
    <w:rsid w:val="00C9541C"/>
    <w:rsid w:val="00C976E7"/>
    <w:rsid w:val="00CA70BA"/>
    <w:rsid w:val="00CB3C35"/>
    <w:rsid w:val="00CB56F1"/>
    <w:rsid w:val="00CD53F0"/>
    <w:rsid w:val="00CD623C"/>
    <w:rsid w:val="00D02D36"/>
    <w:rsid w:val="00D319DB"/>
    <w:rsid w:val="00D36615"/>
    <w:rsid w:val="00D37CAB"/>
    <w:rsid w:val="00D409E5"/>
    <w:rsid w:val="00D57BC0"/>
    <w:rsid w:val="00D77A9F"/>
    <w:rsid w:val="00DA3D72"/>
    <w:rsid w:val="00DC6C35"/>
    <w:rsid w:val="00E2238A"/>
    <w:rsid w:val="00E24093"/>
    <w:rsid w:val="00E24E6F"/>
    <w:rsid w:val="00E3157D"/>
    <w:rsid w:val="00E31F50"/>
    <w:rsid w:val="00E35C4E"/>
    <w:rsid w:val="00E44028"/>
    <w:rsid w:val="00E53029"/>
    <w:rsid w:val="00E67C6D"/>
    <w:rsid w:val="00E77B5A"/>
    <w:rsid w:val="00ED614C"/>
    <w:rsid w:val="00EF0768"/>
    <w:rsid w:val="00EF104C"/>
    <w:rsid w:val="00F018A2"/>
    <w:rsid w:val="00F1453B"/>
    <w:rsid w:val="00F17E56"/>
    <w:rsid w:val="00F24A13"/>
    <w:rsid w:val="00F65AC7"/>
    <w:rsid w:val="00F71647"/>
    <w:rsid w:val="00F81D7A"/>
    <w:rsid w:val="00F91858"/>
    <w:rsid w:val="00F961C2"/>
    <w:rsid w:val="00FC1B42"/>
    <w:rsid w:val="00FC7A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BEF2"/>
  <w15:chartTrackingRefBased/>
  <w15:docId w15:val="{288BD1DE-E1D1-42D3-928B-7E433D2F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53"/>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3D4153"/>
    <w:pPr>
      <w:spacing w:before="100" w:beforeAutospacing="1" w:after="100" w:afterAutospacing="1"/>
    </w:pPr>
    <w:rPr>
      <w:rFonts w:eastAsia="Times New Roman"/>
      <w:sz w:val="24"/>
      <w:szCs w:val="24"/>
      <w:lang w:eastAsia="lv-LV"/>
    </w:rPr>
  </w:style>
  <w:style w:type="paragraph" w:customStyle="1" w:styleId="naisf">
    <w:name w:val="naisf"/>
    <w:basedOn w:val="Normal"/>
    <w:rsid w:val="003D4153"/>
    <w:pPr>
      <w:spacing w:before="100" w:beforeAutospacing="1" w:after="100" w:afterAutospacing="1"/>
    </w:pPr>
    <w:rPr>
      <w:rFonts w:eastAsia="Times New Roman"/>
      <w:sz w:val="24"/>
      <w:szCs w:val="24"/>
      <w:lang w:eastAsia="lv-LV"/>
    </w:rPr>
  </w:style>
  <w:style w:type="paragraph" w:styleId="ListParagraph">
    <w:name w:val="List Paragraph"/>
    <w:basedOn w:val="Normal"/>
    <w:uiPriority w:val="34"/>
    <w:qFormat/>
    <w:rsid w:val="003D4153"/>
    <w:pPr>
      <w:spacing w:after="200" w:line="276" w:lineRule="auto"/>
      <w:ind w:left="720"/>
      <w:contextualSpacing/>
    </w:pPr>
  </w:style>
  <w:style w:type="paragraph" w:styleId="CommentText">
    <w:name w:val="annotation text"/>
    <w:basedOn w:val="Normal"/>
    <w:link w:val="CommentTextChar"/>
    <w:uiPriority w:val="99"/>
    <w:unhideWhenUsed/>
    <w:rsid w:val="003D4153"/>
    <w:rPr>
      <w:rFonts w:ascii="Calibri" w:hAnsi="Calibri"/>
      <w:sz w:val="20"/>
      <w:szCs w:val="20"/>
    </w:rPr>
  </w:style>
  <w:style w:type="character" w:customStyle="1" w:styleId="CommentTextChar">
    <w:name w:val="Comment Text Char"/>
    <w:basedOn w:val="DefaultParagraphFont"/>
    <w:link w:val="CommentText"/>
    <w:uiPriority w:val="99"/>
    <w:rsid w:val="003D4153"/>
    <w:rPr>
      <w:rFonts w:ascii="Calibri" w:eastAsia="Calibri" w:hAnsi="Calibri" w:cs="Times New Roman"/>
      <w:sz w:val="20"/>
      <w:szCs w:val="20"/>
    </w:rPr>
  </w:style>
  <w:style w:type="paragraph" w:styleId="BodyTextIndent">
    <w:name w:val="Body Text Indent"/>
    <w:basedOn w:val="Normal"/>
    <w:link w:val="BodyTextIndentChar"/>
    <w:uiPriority w:val="99"/>
    <w:rsid w:val="003D4153"/>
    <w:pPr>
      <w:ind w:firstLine="700"/>
      <w:jc w:val="both"/>
    </w:pPr>
    <w:rPr>
      <w:rFonts w:eastAsia="Times New Roman"/>
      <w:sz w:val="20"/>
      <w:szCs w:val="24"/>
    </w:rPr>
  </w:style>
  <w:style w:type="character" w:customStyle="1" w:styleId="BodyTextIndentChar">
    <w:name w:val="Body Text Indent Char"/>
    <w:basedOn w:val="DefaultParagraphFont"/>
    <w:link w:val="BodyTextIndent"/>
    <w:uiPriority w:val="99"/>
    <w:rsid w:val="003D4153"/>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3D4153"/>
    <w:pPr>
      <w:tabs>
        <w:tab w:val="center" w:pos="4153"/>
        <w:tab w:val="right" w:pos="8306"/>
      </w:tabs>
    </w:pPr>
  </w:style>
  <w:style w:type="character" w:customStyle="1" w:styleId="HeaderChar">
    <w:name w:val="Header Char"/>
    <w:basedOn w:val="DefaultParagraphFont"/>
    <w:link w:val="Header"/>
    <w:uiPriority w:val="99"/>
    <w:rsid w:val="003D4153"/>
    <w:rPr>
      <w:rFonts w:ascii="Times New Roman" w:eastAsia="Calibri" w:hAnsi="Times New Roman" w:cs="Times New Roman"/>
      <w:sz w:val="28"/>
    </w:rPr>
  </w:style>
  <w:style w:type="paragraph" w:styleId="Footer">
    <w:name w:val="footer"/>
    <w:basedOn w:val="Normal"/>
    <w:link w:val="FooterChar"/>
    <w:uiPriority w:val="99"/>
    <w:unhideWhenUsed/>
    <w:rsid w:val="003D4153"/>
    <w:pPr>
      <w:tabs>
        <w:tab w:val="center" w:pos="4153"/>
        <w:tab w:val="right" w:pos="8306"/>
      </w:tabs>
    </w:pPr>
  </w:style>
  <w:style w:type="character" w:customStyle="1" w:styleId="FooterChar">
    <w:name w:val="Footer Char"/>
    <w:basedOn w:val="DefaultParagraphFont"/>
    <w:link w:val="Footer"/>
    <w:uiPriority w:val="99"/>
    <w:rsid w:val="003D4153"/>
    <w:rPr>
      <w:rFonts w:ascii="Times New Roman" w:eastAsia="Calibri" w:hAnsi="Times New Roman" w:cs="Times New Roman"/>
      <w:sz w:val="28"/>
    </w:rPr>
  </w:style>
  <w:style w:type="paragraph" w:styleId="NormalWeb">
    <w:name w:val="Normal (Web)"/>
    <w:basedOn w:val="Normal"/>
    <w:uiPriority w:val="99"/>
    <w:rsid w:val="003D4153"/>
    <w:pPr>
      <w:spacing w:before="100" w:beforeAutospacing="1" w:after="100" w:afterAutospacing="1"/>
    </w:pPr>
    <w:rPr>
      <w:rFonts w:eastAsia="Times New Roman"/>
      <w:sz w:val="24"/>
      <w:szCs w:val="24"/>
      <w:lang w:eastAsia="lv-LV"/>
    </w:rPr>
  </w:style>
  <w:style w:type="paragraph" w:styleId="BalloonText">
    <w:name w:val="Balloon Text"/>
    <w:basedOn w:val="Normal"/>
    <w:link w:val="BalloonTextChar"/>
    <w:uiPriority w:val="99"/>
    <w:semiHidden/>
    <w:unhideWhenUsed/>
    <w:rsid w:val="004C4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9AF"/>
    <w:rPr>
      <w:rFonts w:ascii="Segoe UI" w:eastAsia="Calibri" w:hAnsi="Segoe UI" w:cs="Segoe UI"/>
      <w:sz w:val="18"/>
      <w:szCs w:val="18"/>
    </w:rPr>
  </w:style>
  <w:style w:type="paragraph" w:customStyle="1" w:styleId="liknoteik1">
    <w:name w:val="lik_noteik1"/>
    <w:basedOn w:val="Normal"/>
    <w:rsid w:val="008D00B5"/>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8D00B5"/>
    <w:pPr>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Default">
    <w:name w:val="Default"/>
    <w:rsid w:val="006D3E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5651"/>
    <w:rPr>
      <w:color w:val="0000FF"/>
      <w:u w:val="single"/>
    </w:rPr>
  </w:style>
  <w:style w:type="paragraph" w:customStyle="1" w:styleId="naislab">
    <w:name w:val="naislab"/>
    <w:basedOn w:val="Normal"/>
    <w:rsid w:val="00CA70BA"/>
    <w:pPr>
      <w:spacing w:before="100" w:beforeAutospacing="1" w:after="100" w:afterAutospacing="1"/>
    </w:pPr>
    <w:rPr>
      <w:rFonts w:eastAsia="Times New Roman"/>
      <w:sz w:val="24"/>
      <w:szCs w:val="24"/>
      <w:lang w:eastAsia="lv-LV"/>
    </w:rPr>
  </w:style>
  <w:style w:type="paragraph" w:styleId="PlainText">
    <w:name w:val="Plain Text"/>
    <w:basedOn w:val="Normal"/>
    <w:link w:val="PlainTextChar"/>
    <w:uiPriority w:val="99"/>
    <w:unhideWhenUsed/>
    <w:rsid w:val="00CA70BA"/>
    <w:rPr>
      <w:rFonts w:ascii="Calibri" w:hAnsi="Calibri" w:cs="Calibri"/>
      <w:sz w:val="22"/>
      <w:lang w:eastAsia="lv-LV"/>
    </w:rPr>
  </w:style>
  <w:style w:type="character" w:customStyle="1" w:styleId="PlainTextChar">
    <w:name w:val="Plain Text Char"/>
    <w:basedOn w:val="DefaultParagraphFont"/>
    <w:link w:val="PlainText"/>
    <w:uiPriority w:val="99"/>
    <w:rsid w:val="00CA70BA"/>
    <w:rPr>
      <w:rFonts w:ascii="Calibri" w:eastAsia="Calibri" w:hAnsi="Calibri" w:cs="Calibri"/>
      <w:lang w:eastAsia="lv-LV"/>
    </w:rPr>
  </w:style>
  <w:style w:type="character" w:styleId="CommentReference">
    <w:name w:val="annotation reference"/>
    <w:basedOn w:val="DefaultParagraphFont"/>
    <w:uiPriority w:val="99"/>
    <w:semiHidden/>
    <w:unhideWhenUsed/>
    <w:rsid w:val="00BB1B70"/>
    <w:rPr>
      <w:sz w:val="16"/>
      <w:szCs w:val="16"/>
    </w:rPr>
  </w:style>
  <w:style w:type="paragraph" w:styleId="CommentSubject">
    <w:name w:val="annotation subject"/>
    <w:basedOn w:val="CommentText"/>
    <w:next w:val="CommentText"/>
    <w:link w:val="CommentSubjectChar"/>
    <w:uiPriority w:val="99"/>
    <w:semiHidden/>
    <w:unhideWhenUsed/>
    <w:rsid w:val="00BB1B70"/>
    <w:rPr>
      <w:rFonts w:ascii="Times New Roman" w:hAnsi="Times New Roman"/>
      <w:b/>
      <w:bCs/>
    </w:rPr>
  </w:style>
  <w:style w:type="character" w:customStyle="1" w:styleId="CommentSubjectChar">
    <w:name w:val="Comment Subject Char"/>
    <w:basedOn w:val="CommentTextChar"/>
    <w:link w:val="CommentSubject"/>
    <w:uiPriority w:val="99"/>
    <w:semiHidden/>
    <w:rsid w:val="00BB1B70"/>
    <w:rPr>
      <w:rFonts w:ascii="Times New Roman" w:eastAsia="Calibri" w:hAnsi="Times New Roman" w:cs="Times New Roman"/>
      <w:b/>
      <w:bCs/>
      <w:sz w:val="20"/>
      <w:szCs w:val="20"/>
    </w:rPr>
  </w:style>
  <w:style w:type="paragraph" w:styleId="Revision">
    <w:name w:val="Revision"/>
    <w:hidden/>
    <w:uiPriority w:val="99"/>
    <w:semiHidden/>
    <w:rsid w:val="0043700C"/>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5350">
      <w:bodyDiv w:val="1"/>
      <w:marLeft w:val="0"/>
      <w:marRight w:val="0"/>
      <w:marTop w:val="0"/>
      <w:marBottom w:val="0"/>
      <w:divBdr>
        <w:top w:val="none" w:sz="0" w:space="0" w:color="auto"/>
        <w:left w:val="none" w:sz="0" w:space="0" w:color="auto"/>
        <w:bottom w:val="none" w:sz="0" w:space="0" w:color="auto"/>
        <w:right w:val="none" w:sz="0" w:space="0" w:color="auto"/>
      </w:divBdr>
    </w:div>
    <w:div w:id="561598426">
      <w:bodyDiv w:val="1"/>
      <w:marLeft w:val="0"/>
      <w:marRight w:val="0"/>
      <w:marTop w:val="0"/>
      <w:marBottom w:val="0"/>
      <w:divBdr>
        <w:top w:val="none" w:sz="0" w:space="0" w:color="auto"/>
        <w:left w:val="none" w:sz="0" w:space="0" w:color="auto"/>
        <w:bottom w:val="none" w:sz="0" w:space="0" w:color="auto"/>
        <w:right w:val="none" w:sz="0" w:space="0" w:color="auto"/>
      </w:divBdr>
      <w:divsChild>
        <w:div w:id="605817247">
          <w:marLeft w:val="0"/>
          <w:marRight w:val="0"/>
          <w:marTop w:val="0"/>
          <w:marBottom w:val="0"/>
          <w:divBdr>
            <w:top w:val="none" w:sz="0" w:space="0" w:color="auto"/>
            <w:left w:val="none" w:sz="0" w:space="0" w:color="auto"/>
            <w:bottom w:val="none" w:sz="0" w:space="0" w:color="auto"/>
            <w:right w:val="none" w:sz="0" w:space="0" w:color="auto"/>
          </w:divBdr>
          <w:divsChild>
            <w:div w:id="527255605">
              <w:marLeft w:val="0"/>
              <w:marRight w:val="0"/>
              <w:marTop w:val="0"/>
              <w:marBottom w:val="0"/>
              <w:divBdr>
                <w:top w:val="none" w:sz="0" w:space="0" w:color="auto"/>
                <w:left w:val="none" w:sz="0" w:space="0" w:color="auto"/>
                <w:bottom w:val="none" w:sz="0" w:space="0" w:color="auto"/>
                <w:right w:val="none" w:sz="0" w:space="0" w:color="auto"/>
              </w:divBdr>
              <w:divsChild>
                <w:div w:id="1861158426">
                  <w:marLeft w:val="0"/>
                  <w:marRight w:val="0"/>
                  <w:marTop w:val="0"/>
                  <w:marBottom w:val="0"/>
                  <w:divBdr>
                    <w:top w:val="none" w:sz="0" w:space="0" w:color="auto"/>
                    <w:left w:val="none" w:sz="0" w:space="0" w:color="auto"/>
                    <w:bottom w:val="none" w:sz="0" w:space="0" w:color="auto"/>
                    <w:right w:val="none" w:sz="0" w:space="0" w:color="auto"/>
                  </w:divBdr>
                  <w:divsChild>
                    <w:div w:id="1918978887">
                      <w:marLeft w:val="0"/>
                      <w:marRight w:val="0"/>
                      <w:marTop w:val="0"/>
                      <w:marBottom w:val="0"/>
                      <w:divBdr>
                        <w:top w:val="none" w:sz="0" w:space="0" w:color="auto"/>
                        <w:left w:val="none" w:sz="0" w:space="0" w:color="auto"/>
                        <w:bottom w:val="none" w:sz="0" w:space="0" w:color="auto"/>
                        <w:right w:val="none" w:sz="0" w:space="0" w:color="auto"/>
                      </w:divBdr>
                      <w:divsChild>
                        <w:div w:id="1457286880">
                          <w:marLeft w:val="0"/>
                          <w:marRight w:val="0"/>
                          <w:marTop w:val="0"/>
                          <w:marBottom w:val="0"/>
                          <w:divBdr>
                            <w:top w:val="none" w:sz="0" w:space="0" w:color="auto"/>
                            <w:left w:val="none" w:sz="0" w:space="0" w:color="auto"/>
                            <w:bottom w:val="none" w:sz="0" w:space="0" w:color="auto"/>
                            <w:right w:val="none" w:sz="0" w:space="0" w:color="auto"/>
                          </w:divBdr>
                          <w:divsChild>
                            <w:div w:id="1560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12882">
      <w:bodyDiv w:val="1"/>
      <w:marLeft w:val="0"/>
      <w:marRight w:val="0"/>
      <w:marTop w:val="0"/>
      <w:marBottom w:val="0"/>
      <w:divBdr>
        <w:top w:val="none" w:sz="0" w:space="0" w:color="auto"/>
        <w:left w:val="none" w:sz="0" w:space="0" w:color="auto"/>
        <w:bottom w:val="none" w:sz="0" w:space="0" w:color="auto"/>
        <w:right w:val="none" w:sz="0" w:space="0" w:color="auto"/>
      </w:divBdr>
    </w:div>
    <w:div w:id="1304772769">
      <w:bodyDiv w:val="1"/>
      <w:marLeft w:val="0"/>
      <w:marRight w:val="0"/>
      <w:marTop w:val="0"/>
      <w:marBottom w:val="0"/>
      <w:divBdr>
        <w:top w:val="none" w:sz="0" w:space="0" w:color="auto"/>
        <w:left w:val="none" w:sz="0" w:space="0" w:color="auto"/>
        <w:bottom w:val="none" w:sz="0" w:space="0" w:color="auto"/>
        <w:right w:val="none" w:sz="0" w:space="0" w:color="auto"/>
      </w:divBdr>
    </w:div>
    <w:div w:id="1514031441">
      <w:bodyDiv w:val="1"/>
      <w:marLeft w:val="0"/>
      <w:marRight w:val="0"/>
      <w:marTop w:val="0"/>
      <w:marBottom w:val="0"/>
      <w:divBdr>
        <w:top w:val="none" w:sz="0" w:space="0" w:color="auto"/>
        <w:left w:val="none" w:sz="0" w:space="0" w:color="auto"/>
        <w:bottom w:val="none" w:sz="0" w:space="0" w:color="auto"/>
        <w:right w:val="none" w:sz="0" w:space="0" w:color="auto"/>
      </w:divBdr>
    </w:div>
    <w:div w:id="1691686501">
      <w:bodyDiv w:val="1"/>
      <w:marLeft w:val="0"/>
      <w:marRight w:val="0"/>
      <w:marTop w:val="0"/>
      <w:marBottom w:val="0"/>
      <w:divBdr>
        <w:top w:val="none" w:sz="0" w:space="0" w:color="auto"/>
        <w:left w:val="none" w:sz="0" w:space="0" w:color="auto"/>
        <w:bottom w:val="none" w:sz="0" w:space="0" w:color="auto"/>
        <w:right w:val="none" w:sz="0" w:space="0" w:color="auto"/>
      </w:divBdr>
    </w:div>
    <w:div w:id="1738747971">
      <w:bodyDiv w:val="1"/>
      <w:marLeft w:val="0"/>
      <w:marRight w:val="0"/>
      <w:marTop w:val="0"/>
      <w:marBottom w:val="0"/>
      <w:divBdr>
        <w:top w:val="none" w:sz="0" w:space="0" w:color="auto"/>
        <w:left w:val="none" w:sz="0" w:space="0" w:color="auto"/>
        <w:bottom w:val="none" w:sz="0" w:space="0" w:color="auto"/>
        <w:right w:val="none" w:sz="0" w:space="0" w:color="auto"/>
      </w:divBdr>
    </w:div>
    <w:div w:id="1942298780">
      <w:bodyDiv w:val="1"/>
      <w:marLeft w:val="0"/>
      <w:marRight w:val="0"/>
      <w:marTop w:val="0"/>
      <w:marBottom w:val="0"/>
      <w:divBdr>
        <w:top w:val="none" w:sz="0" w:space="0" w:color="auto"/>
        <w:left w:val="none" w:sz="0" w:space="0" w:color="auto"/>
        <w:bottom w:val="none" w:sz="0" w:space="0" w:color="auto"/>
        <w:right w:val="none" w:sz="0" w:space="0" w:color="auto"/>
      </w:divBdr>
    </w:div>
    <w:div w:id="2086485115">
      <w:bodyDiv w:val="1"/>
      <w:marLeft w:val="0"/>
      <w:marRight w:val="0"/>
      <w:marTop w:val="0"/>
      <w:marBottom w:val="0"/>
      <w:divBdr>
        <w:top w:val="none" w:sz="0" w:space="0" w:color="auto"/>
        <w:left w:val="none" w:sz="0" w:space="0" w:color="auto"/>
        <w:bottom w:val="none" w:sz="0" w:space="0" w:color="auto"/>
        <w:right w:val="none" w:sz="0" w:space="0" w:color="auto"/>
      </w:divBdr>
      <w:divsChild>
        <w:div w:id="783041003">
          <w:marLeft w:val="0"/>
          <w:marRight w:val="0"/>
          <w:marTop w:val="0"/>
          <w:marBottom w:val="0"/>
          <w:divBdr>
            <w:top w:val="none" w:sz="0" w:space="0" w:color="auto"/>
            <w:left w:val="none" w:sz="0" w:space="0" w:color="auto"/>
            <w:bottom w:val="none" w:sz="0" w:space="0" w:color="auto"/>
            <w:right w:val="none" w:sz="0" w:space="0" w:color="auto"/>
          </w:divBdr>
          <w:divsChild>
            <w:div w:id="878669926">
              <w:marLeft w:val="0"/>
              <w:marRight w:val="0"/>
              <w:marTop w:val="0"/>
              <w:marBottom w:val="0"/>
              <w:divBdr>
                <w:top w:val="none" w:sz="0" w:space="0" w:color="auto"/>
                <w:left w:val="none" w:sz="0" w:space="0" w:color="auto"/>
                <w:bottom w:val="none" w:sz="0" w:space="0" w:color="auto"/>
                <w:right w:val="none" w:sz="0" w:space="0" w:color="auto"/>
              </w:divBdr>
              <w:divsChild>
                <w:div w:id="1051347267">
                  <w:marLeft w:val="0"/>
                  <w:marRight w:val="0"/>
                  <w:marTop w:val="0"/>
                  <w:marBottom w:val="0"/>
                  <w:divBdr>
                    <w:top w:val="none" w:sz="0" w:space="0" w:color="auto"/>
                    <w:left w:val="none" w:sz="0" w:space="0" w:color="auto"/>
                    <w:bottom w:val="none" w:sz="0" w:space="0" w:color="auto"/>
                    <w:right w:val="none" w:sz="0" w:space="0" w:color="auto"/>
                  </w:divBdr>
                  <w:divsChild>
                    <w:div w:id="516622768">
                      <w:marLeft w:val="0"/>
                      <w:marRight w:val="0"/>
                      <w:marTop w:val="0"/>
                      <w:marBottom w:val="0"/>
                      <w:divBdr>
                        <w:top w:val="none" w:sz="0" w:space="0" w:color="auto"/>
                        <w:left w:val="none" w:sz="0" w:space="0" w:color="auto"/>
                        <w:bottom w:val="none" w:sz="0" w:space="0" w:color="auto"/>
                        <w:right w:val="none" w:sz="0" w:space="0" w:color="auto"/>
                      </w:divBdr>
                      <w:divsChild>
                        <w:div w:id="1273785975">
                          <w:marLeft w:val="0"/>
                          <w:marRight w:val="0"/>
                          <w:marTop w:val="0"/>
                          <w:marBottom w:val="0"/>
                          <w:divBdr>
                            <w:top w:val="none" w:sz="0" w:space="0" w:color="auto"/>
                            <w:left w:val="none" w:sz="0" w:space="0" w:color="auto"/>
                            <w:bottom w:val="none" w:sz="0" w:space="0" w:color="auto"/>
                            <w:right w:val="none" w:sz="0" w:space="0" w:color="auto"/>
                          </w:divBdr>
                          <w:divsChild>
                            <w:div w:id="1138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9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0/DCEF2C1C3C2AFF8FC2258353004A92F3?OpenDocu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m.gov.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likumi.lv/ta/id/254279"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likumi.lv" TargetMode="External"/><Relationship Id="rId4" Type="http://schemas.openxmlformats.org/officeDocument/2006/relationships/footnotes" Target="footnote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8609</Words>
  <Characters>4908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Grozījumi Ministru kabineta 2013.gada 15.janvāra noteikumos Nr.40 „Noteikumi par pievienotās vērtības nodokļa deklarācijām” sākotnējās ietekmes novērtējuma ziņojums (anotācija)</vt:lpstr>
    </vt:vector>
  </TitlesOfParts>
  <Company>Valsts ieņēmumu dienests/Finanšu ministrija</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15.janvāra noteikumos Nr.40 „Noteikumi par pievienotās vērtības nodokļa deklarācijām” sākotnējās ietekmes novērtējuma ziņojums (anotācija)</dc:title>
  <dc:subject>anotācija</dc:subject>
  <dc:creator>Daina Kumata</dc:creator>
  <cp:keywords/>
  <dc:description>67122007, daina.kumata@vid.gov.lv</dc:description>
  <cp:lastModifiedBy>Daina Kumata</cp:lastModifiedBy>
  <cp:revision>5</cp:revision>
  <cp:lastPrinted>2019-06-04T08:13:00Z</cp:lastPrinted>
  <dcterms:created xsi:type="dcterms:W3CDTF">2019-07-02T07:16:00Z</dcterms:created>
  <dcterms:modified xsi:type="dcterms:W3CDTF">2019-07-05T05:55:00Z</dcterms:modified>
</cp:coreProperties>
</file>