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66F1EE62" w:rsidR="00894C55" w:rsidRPr="00BF3F3F"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BF3F3F">
        <w:rPr>
          <w:rFonts w:ascii="Times New Roman" w:eastAsia="Times New Roman" w:hAnsi="Times New Roman" w:cs="Times New Roman"/>
          <w:b/>
          <w:bCs/>
          <w:sz w:val="28"/>
          <w:szCs w:val="24"/>
          <w:lang w:eastAsia="lv-LV"/>
        </w:rPr>
        <w:t xml:space="preserve">Ministru </w:t>
      </w:r>
      <w:r w:rsidR="00381E66">
        <w:rPr>
          <w:rFonts w:ascii="Times New Roman" w:eastAsia="Times New Roman" w:hAnsi="Times New Roman" w:cs="Times New Roman"/>
          <w:b/>
          <w:bCs/>
          <w:sz w:val="28"/>
          <w:szCs w:val="24"/>
          <w:lang w:eastAsia="lv-LV"/>
        </w:rPr>
        <w:t>kabineta instrukcijas projekta "</w:t>
      </w:r>
      <w:r w:rsidR="00895A91" w:rsidRPr="00BF3F3F">
        <w:rPr>
          <w:rFonts w:ascii="Times New Roman" w:eastAsia="Times New Roman" w:hAnsi="Times New Roman" w:cs="Times New Roman"/>
          <w:b/>
          <w:bCs/>
          <w:sz w:val="28"/>
          <w:szCs w:val="24"/>
          <w:lang w:eastAsia="lv-LV"/>
        </w:rPr>
        <w:t>Grozījumi Ministru kabineta 2018.g</w:t>
      </w:r>
      <w:r w:rsidR="00381E66">
        <w:rPr>
          <w:rFonts w:ascii="Times New Roman" w:eastAsia="Times New Roman" w:hAnsi="Times New Roman" w:cs="Times New Roman"/>
          <w:b/>
          <w:bCs/>
          <w:sz w:val="28"/>
          <w:szCs w:val="24"/>
          <w:lang w:eastAsia="lv-LV"/>
        </w:rPr>
        <w:t>ada 10.aprīļa instrukcijā Nr.2 "</w:t>
      </w:r>
      <w:r w:rsidRPr="00BF3F3F">
        <w:rPr>
          <w:rFonts w:ascii="Times New Roman" w:eastAsia="Times New Roman" w:hAnsi="Times New Roman" w:cs="Times New Roman"/>
          <w:b/>
          <w:bCs/>
          <w:sz w:val="28"/>
          <w:szCs w:val="24"/>
          <w:lang w:eastAsia="lv-LV"/>
        </w:rPr>
        <w:t>Instrukcija par valsts budžeta izpildes analīzi</w:t>
      </w:r>
      <w:r w:rsidR="00381E66">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94C55" w:rsidRPr="00BF3F3F">
        <w:rPr>
          <w:rFonts w:ascii="Times New Roman" w:eastAsia="Times New Roman" w:hAnsi="Times New Roman" w:cs="Times New Roman"/>
          <w:b/>
          <w:bCs/>
          <w:sz w:val="28"/>
          <w:szCs w:val="24"/>
          <w:lang w:eastAsia="lv-LV"/>
        </w:rPr>
        <w:t>sākotnējās ietekmes novērtējuma ziņojums (anotācija)</w:t>
      </w:r>
    </w:p>
    <w:p w14:paraId="4CAE7A9E" w14:textId="7C98423B" w:rsidR="00E5323B" w:rsidRPr="009B2A39" w:rsidRDefault="00E5323B" w:rsidP="00E5323B">
      <w:pPr>
        <w:spacing w:after="0" w:line="240" w:lineRule="auto"/>
        <w:rPr>
          <w:rFonts w:ascii="Times New Roman" w:eastAsia="Times New Roman" w:hAnsi="Times New Roman" w:cs="Times New Roman"/>
          <w:iCs/>
          <w:color w:val="414142"/>
          <w:sz w:val="20"/>
          <w:szCs w:val="20"/>
          <w:lang w:eastAsia="lv-LV"/>
        </w:rPr>
      </w:pPr>
      <w:r w:rsidRPr="009B2A39">
        <w:rPr>
          <w:rFonts w:ascii="Times New Roman" w:eastAsia="Times New Roman" w:hAnsi="Times New Roman" w:cs="Times New Roman"/>
          <w:iCs/>
          <w:color w:val="414142"/>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EBB3263" w14:textId="6E878CCF" w:rsidR="006E60CF" w:rsidRPr="004E772D" w:rsidRDefault="006E60CF" w:rsidP="006E60CF">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381E66">
              <w:rPr>
                <w:rFonts w:ascii="Times New Roman" w:eastAsia="Times New Roman" w:hAnsi="Times New Roman" w:cs="Times New Roman"/>
                <w:sz w:val="24"/>
                <w:szCs w:val="24"/>
                <w:lang w:eastAsia="lv-LV"/>
              </w:rPr>
              <w:t xml:space="preserve"> "</w:t>
            </w:r>
            <w:r w:rsidR="004B38D5" w:rsidRPr="004E772D">
              <w:rPr>
                <w:rFonts w:ascii="Times New Roman" w:eastAsia="Times New Roman" w:hAnsi="Times New Roman" w:cs="Times New Roman"/>
                <w:sz w:val="24"/>
                <w:szCs w:val="24"/>
                <w:lang w:eastAsia="lv-LV"/>
              </w:rPr>
              <w:t>Grozījumi Ministru kabineta 2018.</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gada 10.</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aprīļa instrukcijā Nr.</w:t>
            </w:r>
            <w:r w:rsidR="00381E66">
              <w:rPr>
                <w:rFonts w:ascii="Times New Roman" w:eastAsia="Times New Roman" w:hAnsi="Times New Roman" w:cs="Times New Roman"/>
                <w:sz w:val="24"/>
                <w:szCs w:val="24"/>
                <w:lang w:eastAsia="lv-LV"/>
              </w:rPr>
              <w:t> 2 "</w:t>
            </w:r>
            <w:r w:rsidR="004B38D5" w:rsidRPr="004E772D">
              <w:rPr>
                <w:rFonts w:ascii="Times New Roman" w:eastAsia="Times New Roman" w:hAnsi="Times New Roman" w:cs="Times New Roman"/>
                <w:sz w:val="24"/>
                <w:szCs w:val="24"/>
                <w:lang w:eastAsia="lv-LV"/>
              </w:rPr>
              <w:t>Instrukcija par v</w:t>
            </w:r>
            <w:r w:rsidR="00381E66">
              <w:rPr>
                <w:rFonts w:ascii="Times New Roman" w:eastAsia="Times New Roman" w:hAnsi="Times New Roman" w:cs="Times New Roman"/>
                <w:sz w:val="24"/>
                <w:szCs w:val="24"/>
                <w:lang w:eastAsia="lv-LV"/>
              </w:rPr>
              <w:t>alsts budžeta izpildes analīzi""</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4B38D5" w:rsidRPr="004E772D">
              <w:rPr>
                <w:rFonts w:ascii="Times New Roman" w:eastAsia="Times New Roman" w:hAnsi="Times New Roman" w:cs="Times New Roman"/>
                <w:sz w:val="24"/>
                <w:szCs w:val="24"/>
                <w:lang w:eastAsia="lv-LV"/>
              </w:rPr>
              <w:t xml:space="preserve">turpināt </w:t>
            </w:r>
            <w:r w:rsidR="00D50456" w:rsidRPr="004E772D">
              <w:rPr>
                <w:rFonts w:ascii="Times New Roman" w:eastAsia="Times New Roman" w:hAnsi="Times New Roman" w:cs="Times New Roman"/>
                <w:sz w:val="24"/>
                <w:szCs w:val="24"/>
                <w:lang w:eastAsia="lv-LV"/>
              </w:rPr>
              <w:t xml:space="preserve">pilnveidot un </w:t>
            </w:r>
            <w:proofErr w:type="spellStart"/>
            <w:r w:rsidR="00D50456" w:rsidRPr="004E772D">
              <w:rPr>
                <w:rFonts w:ascii="Times New Roman" w:eastAsia="Times New Roman" w:hAnsi="Times New Roman" w:cs="Times New Roman"/>
                <w:sz w:val="24"/>
                <w:szCs w:val="24"/>
                <w:lang w:eastAsia="lv-LV"/>
              </w:rPr>
              <w:t>efektivizēt</w:t>
            </w:r>
            <w:proofErr w:type="spellEnd"/>
            <w:r w:rsidR="00D50456" w:rsidRPr="004E772D">
              <w:rPr>
                <w:rFonts w:ascii="Times New Roman" w:eastAsia="Times New Roman" w:hAnsi="Times New Roman" w:cs="Times New Roman"/>
                <w:sz w:val="24"/>
                <w:szCs w:val="24"/>
                <w:lang w:eastAsia="lv-LV"/>
              </w:rPr>
              <w:t xml:space="preserve"> valsts bud</w:t>
            </w:r>
            <w:r w:rsidR="004B38D5" w:rsidRPr="004E772D">
              <w:rPr>
                <w:rFonts w:ascii="Times New Roman" w:eastAsia="Times New Roman" w:hAnsi="Times New Roman" w:cs="Times New Roman"/>
                <w:sz w:val="24"/>
                <w:szCs w:val="24"/>
                <w:lang w:eastAsia="lv-LV"/>
              </w:rPr>
              <w:t>žeta izpildes analīzes procesu.</w:t>
            </w:r>
          </w:p>
          <w:p w14:paraId="2AE1E107" w14:textId="7CEBE98C" w:rsidR="006E60CF" w:rsidRPr="004E772D" w:rsidRDefault="00DA4448" w:rsidP="00DA444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 xml:space="preserve">Instrukcija </w:t>
            </w:r>
            <w:r w:rsidR="006E60CF" w:rsidRPr="004E772D">
              <w:rPr>
                <w:rFonts w:ascii="Times New Roman" w:eastAsia="Times New Roman" w:hAnsi="Times New Roman" w:cs="Times New Roman"/>
                <w:sz w:val="24"/>
                <w:szCs w:val="24"/>
                <w:lang w:eastAsia="lv-LV"/>
              </w:rPr>
              <w:t>stājas spēkā nākamajā dienā pēc t</w:t>
            </w:r>
            <w:r w:rsidRPr="004E772D">
              <w:rPr>
                <w:rFonts w:ascii="Times New Roman" w:eastAsia="Times New Roman" w:hAnsi="Times New Roman" w:cs="Times New Roman"/>
                <w:sz w:val="24"/>
                <w:szCs w:val="24"/>
                <w:lang w:eastAsia="lv-LV"/>
              </w:rPr>
              <w:t>ās</w:t>
            </w:r>
            <w:r w:rsidR="006E60CF" w:rsidRPr="004E772D">
              <w:rPr>
                <w:rFonts w:ascii="Times New Roman" w:eastAsia="Times New Roman" w:hAnsi="Times New Roman" w:cs="Times New Roman"/>
                <w:sz w:val="24"/>
                <w:szCs w:val="24"/>
                <w:lang w:eastAsia="lv-LV"/>
              </w:rPr>
              <w:t xml:space="preserve"> publicēšanas Latvijas Republikas oficiālajā izdevumā “Latvijas Vēstnesis”.</w:t>
            </w:r>
          </w:p>
        </w:tc>
      </w:tr>
    </w:tbl>
    <w:p w14:paraId="700C1A2C" w14:textId="77777777" w:rsidR="006E60CF" w:rsidRPr="00E92FC3" w:rsidRDefault="006E60CF"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37DC90C7"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23AAFFA8" w14:textId="747C14E5" w:rsidR="00E5323B" w:rsidRPr="004E772D" w:rsidRDefault="004B38D5" w:rsidP="00EF4BF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projekts sagatavots pēc Finanšu ministrijas iniciatīvas, lai turpinātu pilnveidot un </w:t>
            </w:r>
            <w:proofErr w:type="spellStart"/>
            <w:r w:rsidRPr="004E772D">
              <w:rPr>
                <w:rFonts w:ascii="Times New Roman" w:eastAsia="Times New Roman" w:hAnsi="Times New Roman" w:cs="Times New Roman"/>
                <w:iCs/>
                <w:sz w:val="24"/>
                <w:szCs w:val="24"/>
                <w:lang w:eastAsia="lv-LV"/>
              </w:rPr>
              <w:t>efektivizēt</w:t>
            </w:r>
            <w:proofErr w:type="spellEnd"/>
            <w:r w:rsidRPr="004E772D">
              <w:rPr>
                <w:rFonts w:ascii="Times New Roman" w:eastAsia="Times New Roman" w:hAnsi="Times New Roman" w:cs="Times New Roman"/>
                <w:iCs/>
                <w:sz w:val="24"/>
                <w:szCs w:val="24"/>
                <w:lang w:eastAsia="lv-LV"/>
              </w:rPr>
              <w:t xml:space="preserve"> budžeta izpildes analīzes procesu.</w:t>
            </w:r>
          </w:p>
        </w:tc>
      </w:tr>
      <w:tr w:rsidR="004E772D" w:rsidRPr="004E772D" w14:paraId="20902B4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C50155">
            <w:pPr>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49A9A7D" w14:textId="7C1155F5" w:rsidR="004B38D5" w:rsidRPr="004E772D" w:rsidRDefault="004B38D5" w:rsidP="0003764D">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sz w:val="24"/>
                <w:szCs w:val="24"/>
                <w:lang w:eastAsia="lv-LV"/>
              </w:rPr>
              <w:lastRenderedPageBreak/>
              <w:t xml:space="preserve">Valsts budžeta izpildes analīzes process saskaņā ar </w:t>
            </w:r>
            <w:r w:rsidR="00C93EB2" w:rsidRPr="004E772D">
              <w:rPr>
                <w:rFonts w:ascii="Times New Roman" w:eastAsia="Times New Roman" w:hAnsi="Times New Roman" w:cs="Times New Roman"/>
                <w:sz w:val="24"/>
                <w:szCs w:val="24"/>
                <w:lang w:eastAsia="lv-LV"/>
              </w:rPr>
              <w:t xml:space="preserve">Ministru kabineta </w:t>
            </w:r>
            <w:r w:rsidRPr="004E772D">
              <w:rPr>
                <w:rFonts w:ascii="Times New Roman" w:eastAsia="Times New Roman" w:hAnsi="Times New Roman" w:cs="Times New Roman"/>
                <w:sz w:val="24"/>
                <w:szCs w:val="24"/>
                <w:lang w:eastAsia="lv-LV"/>
              </w:rPr>
              <w:t>2018.</w:t>
            </w:r>
            <w:r w:rsidR="00381E66">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gada 10.</w:t>
            </w:r>
            <w:r w:rsidR="00381E66">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 xml:space="preserve">aprīļa </w:t>
            </w:r>
            <w:r w:rsidR="00C93EB2" w:rsidRPr="004E772D">
              <w:rPr>
                <w:rFonts w:ascii="Times New Roman" w:eastAsia="Times New Roman" w:hAnsi="Times New Roman" w:cs="Times New Roman"/>
                <w:sz w:val="24"/>
                <w:szCs w:val="24"/>
                <w:lang w:eastAsia="lv-LV"/>
              </w:rPr>
              <w:t>instrukcij</w:t>
            </w:r>
            <w:r w:rsidRPr="004E772D">
              <w:rPr>
                <w:rFonts w:ascii="Times New Roman" w:eastAsia="Times New Roman" w:hAnsi="Times New Roman" w:cs="Times New Roman"/>
                <w:sz w:val="24"/>
                <w:szCs w:val="24"/>
                <w:lang w:eastAsia="lv-LV"/>
              </w:rPr>
              <w:t>u</w:t>
            </w:r>
            <w:r w:rsidR="00C93EB2" w:rsidRPr="004E772D">
              <w:rPr>
                <w:rFonts w:ascii="Times New Roman" w:eastAsia="Times New Roman" w:hAnsi="Times New Roman" w:cs="Times New Roman"/>
                <w:sz w:val="24"/>
                <w:szCs w:val="24"/>
                <w:lang w:eastAsia="lv-LV"/>
              </w:rPr>
              <w:t xml:space="preserve"> Nr.</w:t>
            </w:r>
            <w:r w:rsidR="00CD3A3F" w:rsidRPr="004E772D">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2</w:t>
            </w:r>
            <w:r w:rsidR="00C93EB2" w:rsidRPr="004E772D">
              <w:rPr>
                <w:rFonts w:ascii="Times New Roman" w:eastAsia="Times New Roman" w:hAnsi="Times New Roman" w:cs="Times New Roman"/>
                <w:sz w:val="24"/>
                <w:szCs w:val="24"/>
                <w:lang w:eastAsia="lv-LV"/>
              </w:rPr>
              <w:t xml:space="preserve"> "Instrukcija par valsts budžeta izpildes analīzi"</w:t>
            </w:r>
            <w:r w:rsidR="00F5316F" w:rsidRPr="004E772D">
              <w:rPr>
                <w:rFonts w:ascii="Times New Roman" w:eastAsia="Times New Roman" w:hAnsi="Times New Roman" w:cs="Times New Roman"/>
                <w:sz w:val="24"/>
                <w:szCs w:val="24"/>
                <w:lang w:eastAsia="lv-LV"/>
              </w:rPr>
              <w:t xml:space="preserve"> (turpmāk – instrukcija Nr. </w:t>
            </w:r>
            <w:r w:rsidRPr="004E772D">
              <w:rPr>
                <w:rFonts w:ascii="Times New Roman" w:eastAsia="Times New Roman" w:hAnsi="Times New Roman" w:cs="Times New Roman"/>
                <w:sz w:val="24"/>
                <w:szCs w:val="24"/>
                <w:lang w:eastAsia="lv-LV"/>
              </w:rPr>
              <w:t>2</w:t>
            </w:r>
            <w:r w:rsidR="00F5316F" w:rsidRPr="004E772D">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 kas</w:t>
            </w:r>
            <w:r w:rsidR="00C93EB2" w:rsidRPr="004E772D">
              <w:rPr>
                <w:rFonts w:ascii="Times New Roman" w:eastAsia="Times New Roman" w:hAnsi="Times New Roman" w:cs="Times New Roman"/>
                <w:sz w:val="24"/>
                <w:szCs w:val="24"/>
                <w:lang w:eastAsia="lv-LV"/>
              </w:rPr>
              <w:t xml:space="preserve"> nosaka kārtību, kādā ministrijas un citas centrālās valsts iestādes (turpmāk – ministrijas) sagatavo informāciju un veic analīzi </w:t>
            </w:r>
            <w:r w:rsidR="000B7AA2" w:rsidRPr="004E772D">
              <w:rPr>
                <w:rFonts w:ascii="Times New Roman" w:eastAsia="Times New Roman" w:hAnsi="Times New Roman" w:cs="Times New Roman"/>
                <w:sz w:val="24"/>
                <w:szCs w:val="24"/>
                <w:lang w:eastAsia="lv-LV"/>
              </w:rPr>
              <w:t>par ministrijas un tās padotības iestāžu gadskārtējā</w:t>
            </w:r>
            <w:r w:rsidR="00C93EB2" w:rsidRPr="004E772D">
              <w:rPr>
                <w:rFonts w:ascii="Times New Roman" w:eastAsia="Times New Roman" w:hAnsi="Times New Roman" w:cs="Times New Roman"/>
                <w:sz w:val="24"/>
                <w:szCs w:val="24"/>
                <w:lang w:eastAsia="lv-LV"/>
              </w:rPr>
              <w:t xml:space="preserve"> valsts budžeta izpildi</w:t>
            </w:r>
            <w:r w:rsidR="002C2AB6" w:rsidRPr="004E772D">
              <w:rPr>
                <w:rFonts w:ascii="Times New Roman" w:eastAsia="Times New Roman" w:hAnsi="Times New Roman" w:cs="Times New Roman"/>
                <w:sz w:val="24"/>
                <w:szCs w:val="24"/>
                <w:lang w:eastAsia="lv-LV"/>
              </w:rPr>
              <w:t xml:space="preserve"> un iesniedz to Finanšu ministrijā (turpmāk – FM)</w:t>
            </w:r>
            <w:r w:rsidRPr="004E772D">
              <w:rPr>
                <w:rFonts w:ascii="Times New Roman" w:eastAsia="Times New Roman" w:hAnsi="Times New Roman" w:cs="Times New Roman"/>
                <w:sz w:val="24"/>
                <w:szCs w:val="24"/>
                <w:lang w:eastAsia="lv-LV"/>
              </w:rPr>
              <w:t>, jaunā formātā tika uzsākts 2018.</w:t>
            </w:r>
            <w:r w:rsidR="00381E66">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gadā. Veicot šī procesa izvērtēšanu, kā arī ņemot vērā 2019.</w:t>
            </w:r>
            <w:r w:rsidR="00381E66">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gadā ieviestās izmaiņas budžeta izpildes procesa asignējumu piešķiršanas un izpildes jomā, instrukcijā Nr.</w:t>
            </w:r>
            <w:r w:rsidR="00381E66">
              <w:rPr>
                <w:rFonts w:ascii="Times New Roman" w:eastAsia="Times New Roman" w:hAnsi="Times New Roman" w:cs="Times New Roman"/>
                <w:sz w:val="24"/>
                <w:szCs w:val="24"/>
                <w:lang w:eastAsia="lv-LV"/>
              </w:rPr>
              <w:t> </w:t>
            </w:r>
            <w:r w:rsidRPr="004E772D">
              <w:rPr>
                <w:rFonts w:ascii="Times New Roman" w:eastAsia="Times New Roman" w:hAnsi="Times New Roman" w:cs="Times New Roman"/>
                <w:sz w:val="24"/>
                <w:szCs w:val="24"/>
                <w:lang w:eastAsia="lv-LV"/>
              </w:rPr>
              <w:t xml:space="preserve">2 </w:t>
            </w:r>
            <w:r w:rsidR="00010AE4">
              <w:rPr>
                <w:rFonts w:ascii="Times New Roman" w:eastAsia="Times New Roman" w:hAnsi="Times New Roman" w:cs="Times New Roman"/>
                <w:sz w:val="24"/>
                <w:szCs w:val="24"/>
                <w:lang w:eastAsia="lv-LV"/>
              </w:rPr>
              <w:t xml:space="preserve">ir </w:t>
            </w:r>
            <w:r w:rsidRPr="004E772D">
              <w:rPr>
                <w:rFonts w:ascii="Times New Roman" w:eastAsia="Times New Roman" w:hAnsi="Times New Roman" w:cs="Times New Roman"/>
                <w:sz w:val="24"/>
                <w:szCs w:val="24"/>
                <w:lang w:eastAsia="lv-LV"/>
              </w:rPr>
              <w:t xml:space="preserve">nepieciešams veikt izmaiņas un pilnveidojumus. </w:t>
            </w:r>
          </w:p>
          <w:p w14:paraId="5C83BCD6" w14:textId="2377A527" w:rsidR="004B38D5" w:rsidRPr="004E772D" w:rsidRDefault="005B4B83" w:rsidP="0003764D">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Instrukcijas p</w:t>
            </w:r>
            <w:r w:rsidR="004B38D5" w:rsidRPr="004E772D">
              <w:rPr>
                <w:rFonts w:ascii="Times New Roman" w:eastAsia="Times New Roman" w:hAnsi="Times New Roman" w:cs="Times New Roman"/>
                <w:sz w:val="24"/>
                <w:szCs w:val="24"/>
                <w:lang w:eastAsia="lv-LV"/>
              </w:rPr>
              <w:t>rojekts paredz:</w:t>
            </w:r>
          </w:p>
          <w:p w14:paraId="3E57E4CD" w14:textId="0C29A8E6" w:rsidR="006413B4" w:rsidRDefault="00FA6DA5" w:rsidP="00A57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57E49" w:rsidRPr="004E772D">
              <w:rPr>
                <w:rFonts w:ascii="Times New Roman" w:eastAsia="Times New Roman" w:hAnsi="Times New Roman" w:cs="Times New Roman"/>
                <w:sz w:val="24"/>
                <w:szCs w:val="24"/>
                <w:lang w:eastAsia="lv-LV"/>
              </w:rPr>
              <w:t xml:space="preserve">veikt izmaiņas </w:t>
            </w:r>
            <w:r w:rsidR="009F7C52" w:rsidRPr="004E772D">
              <w:rPr>
                <w:rFonts w:ascii="Times New Roman" w:eastAsia="Times New Roman" w:hAnsi="Times New Roman" w:cs="Times New Roman"/>
                <w:sz w:val="24"/>
                <w:szCs w:val="24"/>
                <w:lang w:eastAsia="lv-LV"/>
              </w:rPr>
              <w:t>informācijas sniegšanā</w:t>
            </w:r>
            <w:r w:rsidR="006A3AE4" w:rsidRPr="004E772D">
              <w:rPr>
                <w:rFonts w:ascii="Times New Roman" w:eastAsia="Times New Roman" w:hAnsi="Times New Roman" w:cs="Times New Roman"/>
                <w:sz w:val="24"/>
                <w:szCs w:val="24"/>
                <w:lang w:eastAsia="lv-LV"/>
              </w:rPr>
              <w:t xml:space="preserve"> par sešiem</w:t>
            </w:r>
            <w:r w:rsidR="00A57E49" w:rsidRPr="004E772D">
              <w:rPr>
                <w:rFonts w:ascii="Times New Roman" w:eastAsia="Times New Roman" w:hAnsi="Times New Roman" w:cs="Times New Roman"/>
                <w:sz w:val="24"/>
                <w:szCs w:val="24"/>
                <w:lang w:eastAsia="lv-LV"/>
              </w:rPr>
              <w:t xml:space="preserve"> un </w:t>
            </w:r>
            <w:r w:rsidR="006A3AE4" w:rsidRPr="004E772D">
              <w:rPr>
                <w:rFonts w:ascii="Times New Roman" w:eastAsia="Times New Roman" w:hAnsi="Times New Roman" w:cs="Times New Roman"/>
                <w:sz w:val="24"/>
                <w:szCs w:val="24"/>
                <w:lang w:eastAsia="lv-LV"/>
              </w:rPr>
              <w:t>deviņiem</w:t>
            </w:r>
            <w:r w:rsidR="00A57E49" w:rsidRPr="004E772D">
              <w:rPr>
                <w:rFonts w:ascii="Times New Roman" w:eastAsia="Times New Roman" w:hAnsi="Times New Roman" w:cs="Times New Roman"/>
                <w:sz w:val="24"/>
                <w:szCs w:val="24"/>
                <w:lang w:eastAsia="lv-LV"/>
              </w:rPr>
              <w:t xml:space="preserve"> mēnešiem, lai vērtētu būtisku neizpildi</w:t>
            </w:r>
            <w:r w:rsidR="001C47FF">
              <w:rPr>
                <w:rFonts w:ascii="Times New Roman" w:eastAsia="Times New Roman" w:hAnsi="Times New Roman" w:cs="Times New Roman"/>
                <w:sz w:val="24"/>
                <w:szCs w:val="24"/>
                <w:lang w:eastAsia="lv-LV"/>
              </w:rPr>
              <w:t xml:space="preserve"> pret prognozi </w:t>
            </w:r>
            <w:r w:rsidR="001C47FF" w:rsidRPr="001C47FF">
              <w:rPr>
                <w:rFonts w:ascii="Times New Roman" w:eastAsia="Times New Roman" w:hAnsi="Times New Roman" w:cs="Times New Roman"/>
                <w:sz w:val="24"/>
                <w:szCs w:val="24"/>
                <w:lang w:eastAsia="lv-LV"/>
              </w:rPr>
              <w:t>gan negatīvā</w:t>
            </w:r>
            <w:r w:rsidR="003561C0">
              <w:rPr>
                <w:rFonts w:ascii="Times New Roman" w:eastAsia="Times New Roman" w:hAnsi="Times New Roman" w:cs="Times New Roman"/>
                <w:sz w:val="24"/>
                <w:szCs w:val="24"/>
                <w:lang w:eastAsia="lv-LV"/>
              </w:rPr>
              <w:t xml:space="preserve"> (</w:t>
            </w:r>
            <w:proofErr w:type="spellStart"/>
            <w:r w:rsidR="003561C0">
              <w:rPr>
                <w:rFonts w:ascii="Times New Roman" w:eastAsia="Times New Roman" w:hAnsi="Times New Roman" w:cs="Times New Roman"/>
                <w:sz w:val="24"/>
                <w:szCs w:val="24"/>
                <w:lang w:eastAsia="lv-LV"/>
              </w:rPr>
              <w:t>neapguve</w:t>
            </w:r>
            <w:proofErr w:type="spellEnd"/>
            <w:r w:rsidR="003561C0">
              <w:rPr>
                <w:rFonts w:ascii="Times New Roman" w:eastAsia="Times New Roman" w:hAnsi="Times New Roman" w:cs="Times New Roman"/>
                <w:sz w:val="24"/>
                <w:szCs w:val="24"/>
                <w:lang w:eastAsia="lv-LV"/>
              </w:rPr>
              <w:t>)</w:t>
            </w:r>
            <w:r w:rsidR="001C47FF">
              <w:rPr>
                <w:rFonts w:ascii="Times New Roman" w:eastAsia="Times New Roman" w:hAnsi="Times New Roman" w:cs="Times New Roman"/>
                <w:sz w:val="24"/>
                <w:szCs w:val="24"/>
                <w:lang w:eastAsia="lv-LV"/>
              </w:rPr>
              <w:t>, gan</w:t>
            </w:r>
            <w:r w:rsidR="001C47FF" w:rsidRPr="001C47FF">
              <w:rPr>
                <w:rFonts w:ascii="Times New Roman" w:eastAsia="Times New Roman" w:hAnsi="Times New Roman" w:cs="Times New Roman"/>
                <w:sz w:val="24"/>
                <w:szCs w:val="24"/>
                <w:lang w:eastAsia="lv-LV"/>
              </w:rPr>
              <w:t xml:space="preserve"> </w:t>
            </w:r>
            <w:r w:rsidR="001C47FF">
              <w:rPr>
                <w:rFonts w:ascii="Times New Roman" w:eastAsia="Times New Roman" w:hAnsi="Times New Roman" w:cs="Times New Roman"/>
                <w:sz w:val="24"/>
                <w:szCs w:val="24"/>
                <w:lang w:eastAsia="lv-LV"/>
              </w:rPr>
              <w:t>pozitīvā</w:t>
            </w:r>
            <w:r w:rsidR="001C47FF" w:rsidRPr="001C47FF">
              <w:rPr>
                <w:rFonts w:ascii="Times New Roman" w:eastAsia="Times New Roman" w:hAnsi="Times New Roman" w:cs="Times New Roman"/>
                <w:sz w:val="24"/>
                <w:szCs w:val="24"/>
                <w:lang w:eastAsia="lv-LV"/>
              </w:rPr>
              <w:t xml:space="preserve"> </w:t>
            </w:r>
            <w:r w:rsidR="003561C0">
              <w:rPr>
                <w:rFonts w:ascii="Times New Roman" w:eastAsia="Times New Roman" w:hAnsi="Times New Roman" w:cs="Times New Roman"/>
                <w:sz w:val="24"/>
                <w:szCs w:val="24"/>
                <w:lang w:eastAsia="lv-LV"/>
              </w:rPr>
              <w:t>(</w:t>
            </w:r>
            <w:proofErr w:type="spellStart"/>
            <w:r w:rsidR="003561C0">
              <w:rPr>
                <w:rFonts w:ascii="Times New Roman" w:eastAsia="Times New Roman" w:hAnsi="Times New Roman" w:cs="Times New Roman"/>
                <w:sz w:val="24"/>
                <w:szCs w:val="24"/>
                <w:lang w:eastAsia="lv-LV"/>
              </w:rPr>
              <w:t>pārpilde</w:t>
            </w:r>
            <w:proofErr w:type="spellEnd"/>
            <w:r w:rsidR="003561C0">
              <w:rPr>
                <w:rFonts w:ascii="Times New Roman" w:eastAsia="Times New Roman" w:hAnsi="Times New Roman" w:cs="Times New Roman"/>
                <w:sz w:val="24"/>
                <w:szCs w:val="24"/>
                <w:lang w:eastAsia="lv-LV"/>
              </w:rPr>
              <w:t xml:space="preserve">) </w:t>
            </w:r>
            <w:r w:rsidR="001C47FF" w:rsidRPr="001C47FF">
              <w:rPr>
                <w:rFonts w:ascii="Times New Roman" w:eastAsia="Times New Roman" w:hAnsi="Times New Roman" w:cs="Times New Roman"/>
                <w:sz w:val="24"/>
                <w:szCs w:val="24"/>
                <w:lang w:eastAsia="lv-LV"/>
              </w:rPr>
              <w:t>izteiksmē</w:t>
            </w:r>
            <w:r w:rsidR="009F7C52" w:rsidRPr="004E772D">
              <w:rPr>
                <w:rFonts w:ascii="Times New Roman" w:eastAsia="Times New Roman" w:hAnsi="Times New Roman" w:cs="Times New Roman"/>
                <w:sz w:val="24"/>
                <w:szCs w:val="24"/>
                <w:lang w:eastAsia="lv-LV"/>
              </w:rPr>
              <w:t xml:space="preserve">. </w:t>
            </w:r>
            <w:r w:rsidR="00117B53" w:rsidRPr="004E772D">
              <w:rPr>
                <w:rFonts w:ascii="Times New Roman" w:eastAsia="Times New Roman" w:hAnsi="Times New Roman" w:cs="Times New Roman"/>
                <w:sz w:val="24"/>
                <w:szCs w:val="24"/>
                <w:lang w:eastAsia="lv-LV"/>
              </w:rPr>
              <w:t xml:space="preserve">Sākot ar </w:t>
            </w:r>
            <w:r w:rsidR="009F7C52" w:rsidRPr="004E772D">
              <w:rPr>
                <w:rFonts w:ascii="Times New Roman" w:eastAsia="Times New Roman" w:hAnsi="Times New Roman" w:cs="Times New Roman"/>
                <w:sz w:val="24"/>
                <w:szCs w:val="24"/>
                <w:lang w:eastAsia="lv-LV"/>
              </w:rPr>
              <w:t>2019.</w:t>
            </w:r>
            <w:r w:rsidR="00381E66">
              <w:rPr>
                <w:rFonts w:ascii="Times New Roman" w:eastAsia="Times New Roman" w:hAnsi="Times New Roman" w:cs="Times New Roman"/>
                <w:sz w:val="24"/>
                <w:szCs w:val="24"/>
                <w:lang w:eastAsia="lv-LV"/>
              </w:rPr>
              <w:t> </w:t>
            </w:r>
            <w:r w:rsidR="009F7C52" w:rsidRPr="004E772D">
              <w:rPr>
                <w:rFonts w:ascii="Times New Roman" w:eastAsia="Times New Roman" w:hAnsi="Times New Roman" w:cs="Times New Roman"/>
                <w:sz w:val="24"/>
                <w:szCs w:val="24"/>
                <w:lang w:eastAsia="lv-LV"/>
              </w:rPr>
              <w:t>gad</w:t>
            </w:r>
            <w:r w:rsidR="00117B53" w:rsidRPr="004E772D">
              <w:rPr>
                <w:rFonts w:ascii="Times New Roman" w:eastAsia="Times New Roman" w:hAnsi="Times New Roman" w:cs="Times New Roman"/>
                <w:sz w:val="24"/>
                <w:szCs w:val="24"/>
                <w:lang w:eastAsia="lv-LV"/>
              </w:rPr>
              <w:t>u</w:t>
            </w:r>
            <w:r w:rsidR="009F7C52" w:rsidRPr="004E772D">
              <w:rPr>
                <w:rFonts w:ascii="Times New Roman" w:eastAsia="Times New Roman" w:hAnsi="Times New Roman" w:cs="Times New Roman"/>
                <w:sz w:val="24"/>
                <w:szCs w:val="24"/>
                <w:lang w:eastAsia="lv-LV"/>
              </w:rPr>
              <w:t xml:space="preserve"> </w:t>
            </w:r>
            <w:r w:rsidR="00117B53" w:rsidRPr="004E772D">
              <w:rPr>
                <w:rFonts w:ascii="Times New Roman" w:eastAsia="Times New Roman" w:hAnsi="Times New Roman" w:cs="Times New Roman"/>
                <w:sz w:val="24"/>
                <w:szCs w:val="24"/>
                <w:lang w:eastAsia="lv-LV"/>
              </w:rPr>
              <w:t>finansēšanas plānos asignējumi tiek plānoti gada summas apmērā (atceļot sadalījumu pa mēnešiem) un</w:t>
            </w:r>
            <w:r w:rsidR="00117B53" w:rsidRPr="004E772D">
              <w:t xml:space="preserve"> </w:t>
            </w:r>
            <w:r w:rsidR="00117B53" w:rsidRPr="004E772D">
              <w:rPr>
                <w:rFonts w:ascii="Times New Roman" w:eastAsia="Times New Roman" w:hAnsi="Times New Roman" w:cs="Times New Roman"/>
                <w:sz w:val="24"/>
                <w:szCs w:val="24"/>
                <w:lang w:eastAsia="lv-LV"/>
              </w:rPr>
              <w:t>prognozes pa ceturkšņiem iesniegšana ir vienreizēja (iesniedzama gatavojot</w:t>
            </w:r>
            <w:r w:rsidR="00637091" w:rsidRPr="004E772D">
              <w:rPr>
                <w:rFonts w:ascii="Times New Roman" w:eastAsia="Times New Roman" w:hAnsi="Times New Roman" w:cs="Times New Roman"/>
                <w:sz w:val="24"/>
                <w:szCs w:val="24"/>
                <w:lang w:eastAsia="lv-LV"/>
              </w:rPr>
              <w:t xml:space="preserve"> sākotnējos</w:t>
            </w:r>
            <w:r w:rsidR="00117B53" w:rsidRPr="004E772D">
              <w:rPr>
                <w:rFonts w:ascii="Times New Roman" w:eastAsia="Times New Roman" w:hAnsi="Times New Roman" w:cs="Times New Roman"/>
                <w:sz w:val="24"/>
                <w:szCs w:val="24"/>
                <w:lang w:eastAsia="lv-LV"/>
              </w:rPr>
              <w:t xml:space="preserve"> finansēšanas plānus) un gada laikā tā netiek mainīta. Tādējādi v</w:t>
            </w:r>
            <w:r w:rsidR="009F7C52" w:rsidRPr="004E772D">
              <w:rPr>
                <w:rFonts w:ascii="Times New Roman" w:eastAsia="Times New Roman" w:hAnsi="Times New Roman" w:cs="Times New Roman"/>
                <w:sz w:val="24"/>
                <w:szCs w:val="24"/>
                <w:lang w:eastAsia="lv-LV"/>
              </w:rPr>
              <w:t xml:space="preserve">alsts budžeta izpildes analīzei par sešiem un deviņiem mēnešiem </w:t>
            </w:r>
            <w:r w:rsidR="00117B53" w:rsidRPr="004E772D">
              <w:rPr>
                <w:rFonts w:ascii="Times New Roman" w:eastAsia="Times New Roman" w:hAnsi="Times New Roman" w:cs="Times New Roman"/>
                <w:sz w:val="24"/>
                <w:szCs w:val="24"/>
                <w:lang w:eastAsia="lv-LV"/>
              </w:rPr>
              <w:t>jā</w:t>
            </w:r>
            <w:r w:rsidR="009F7C52" w:rsidRPr="004E772D">
              <w:rPr>
                <w:rFonts w:ascii="Times New Roman" w:eastAsia="Times New Roman" w:hAnsi="Times New Roman" w:cs="Times New Roman"/>
                <w:sz w:val="24"/>
                <w:szCs w:val="24"/>
                <w:lang w:eastAsia="lv-LV"/>
              </w:rPr>
              <w:t xml:space="preserve">izmanto </w:t>
            </w:r>
            <w:r w:rsidR="00117B53" w:rsidRPr="004E772D">
              <w:rPr>
                <w:rFonts w:ascii="Times New Roman" w:eastAsia="Times New Roman" w:hAnsi="Times New Roman" w:cs="Times New Roman"/>
                <w:sz w:val="24"/>
                <w:szCs w:val="24"/>
                <w:lang w:eastAsia="lv-LV"/>
              </w:rPr>
              <w:t>pārskata perioda prognoze</w:t>
            </w:r>
            <w:r w:rsidR="003C1C4A" w:rsidRPr="004E772D">
              <w:rPr>
                <w:rFonts w:ascii="Times New Roman" w:eastAsia="Times New Roman" w:hAnsi="Times New Roman" w:cs="Times New Roman"/>
                <w:sz w:val="24"/>
                <w:szCs w:val="24"/>
                <w:lang w:eastAsia="lv-LV"/>
              </w:rPr>
              <w:t>. Saskaņā ar šo jauno regulējumu</w:t>
            </w:r>
            <w:r w:rsidR="007464EC" w:rsidRPr="004E772D">
              <w:rPr>
                <w:rStyle w:val="FootnoteReference"/>
                <w:rFonts w:ascii="Times New Roman" w:eastAsia="Times New Roman" w:hAnsi="Times New Roman" w:cs="Times New Roman"/>
                <w:sz w:val="24"/>
                <w:szCs w:val="24"/>
                <w:lang w:eastAsia="lv-LV"/>
              </w:rPr>
              <w:footnoteReference w:id="1"/>
            </w:r>
            <w:r w:rsidR="003C1C4A" w:rsidRPr="004E772D">
              <w:rPr>
                <w:rFonts w:ascii="Times New Roman" w:eastAsia="Times New Roman" w:hAnsi="Times New Roman" w:cs="Times New Roman"/>
                <w:sz w:val="24"/>
                <w:szCs w:val="24"/>
                <w:lang w:eastAsia="lv-LV"/>
              </w:rPr>
              <w:t xml:space="preserve"> </w:t>
            </w:r>
            <w:r w:rsidR="00E7109C" w:rsidRPr="004E772D">
              <w:rPr>
                <w:rFonts w:ascii="Times New Roman" w:eastAsia="Times New Roman" w:hAnsi="Times New Roman" w:cs="Times New Roman"/>
                <w:sz w:val="24"/>
                <w:szCs w:val="24"/>
                <w:lang w:eastAsia="lv-LV"/>
              </w:rPr>
              <w:t xml:space="preserve">izpildes analīzē </w:t>
            </w:r>
            <w:r w:rsidR="003C1C4A" w:rsidRPr="004E772D">
              <w:rPr>
                <w:rFonts w:ascii="Times New Roman" w:eastAsia="Times New Roman" w:hAnsi="Times New Roman" w:cs="Times New Roman"/>
                <w:sz w:val="24"/>
                <w:szCs w:val="24"/>
                <w:lang w:eastAsia="lv-LV"/>
              </w:rPr>
              <w:t xml:space="preserve">var veidoties </w:t>
            </w:r>
            <w:r w:rsidR="00986A06" w:rsidRPr="004E772D">
              <w:rPr>
                <w:rFonts w:ascii="Times New Roman" w:eastAsia="Times New Roman" w:hAnsi="Times New Roman" w:cs="Times New Roman"/>
                <w:sz w:val="24"/>
                <w:szCs w:val="24"/>
                <w:lang w:eastAsia="lv-LV"/>
              </w:rPr>
              <w:t xml:space="preserve">arī tāda </w:t>
            </w:r>
            <w:r w:rsidR="003C1C4A" w:rsidRPr="004E772D">
              <w:rPr>
                <w:rFonts w:ascii="Times New Roman" w:eastAsia="Times New Roman" w:hAnsi="Times New Roman" w:cs="Times New Roman"/>
                <w:sz w:val="24"/>
                <w:szCs w:val="24"/>
                <w:lang w:eastAsia="lv-LV"/>
              </w:rPr>
              <w:t xml:space="preserve">situācija, ka </w:t>
            </w:r>
            <w:r w:rsidR="00986A06" w:rsidRPr="004E772D">
              <w:rPr>
                <w:rFonts w:ascii="Times New Roman" w:eastAsia="Times New Roman" w:hAnsi="Times New Roman" w:cs="Times New Roman"/>
                <w:sz w:val="24"/>
                <w:szCs w:val="24"/>
                <w:lang w:eastAsia="lv-LV"/>
              </w:rPr>
              <w:t xml:space="preserve">ir </w:t>
            </w:r>
            <w:proofErr w:type="spellStart"/>
            <w:r w:rsidR="00986A06" w:rsidRPr="004E772D">
              <w:rPr>
                <w:rFonts w:ascii="Times New Roman" w:eastAsia="Times New Roman" w:hAnsi="Times New Roman" w:cs="Times New Roman"/>
                <w:sz w:val="24"/>
                <w:szCs w:val="24"/>
                <w:lang w:eastAsia="lv-LV"/>
              </w:rPr>
              <w:t>pārpilde</w:t>
            </w:r>
            <w:proofErr w:type="spellEnd"/>
            <w:r w:rsidR="007464EC" w:rsidRPr="004E772D">
              <w:rPr>
                <w:rFonts w:ascii="Times New Roman" w:eastAsia="Times New Roman" w:hAnsi="Times New Roman" w:cs="Times New Roman"/>
                <w:sz w:val="24"/>
                <w:szCs w:val="24"/>
                <w:lang w:eastAsia="lv-LV"/>
              </w:rPr>
              <w:t xml:space="preserve"> </w:t>
            </w:r>
            <w:r w:rsidR="00986A06" w:rsidRPr="004E772D">
              <w:rPr>
                <w:rFonts w:ascii="Times New Roman" w:eastAsia="Times New Roman" w:hAnsi="Times New Roman" w:cs="Times New Roman"/>
                <w:sz w:val="24"/>
                <w:szCs w:val="24"/>
                <w:lang w:eastAsia="lv-LV"/>
              </w:rPr>
              <w:t xml:space="preserve">pret </w:t>
            </w:r>
            <w:r w:rsidR="007464EC" w:rsidRPr="004E772D">
              <w:rPr>
                <w:rFonts w:ascii="Times New Roman" w:eastAsia="Times New Roman" w:hAnsi="Times New Roman" w:cs="Times New Roman"/>
                <w:sz w:val="24"/>
                <w:szCs w:val="24"/>
                <w:lang w:eastAsia="lv-LV"/>
              </w:rPr>
              <w:t xml:space="preserve">prognozi. Plānotās izmaiņas instrukcijā Nr. 2 valsts budžeta izpildes analīzes ietvaros paredz analizēt gan būtisku </w:t>
            </w:r>
            <w:r w:rsidR="003561C0">
              <w:rPr>
                <w:rFonts w:ascii="Times New Roman" w:eastAsia="Times New Roman" w:hAnsi="Times New Roman" w:cs="Times New Roman"/>
                <w:sz w:val="24"/>
                <w:szCs w:val="24"/>
                <w:lang w:eastAsia="lv-LV"/>
              </w:rPr>
              <w:t>neapguvi</w:t>
            </w:r>
            <w:r w:rsidR="003561C0" w:rsidRPr="004E772D">
              <w:rPr>
                <w:rFonts w:ascii="Times New Roman" w:eastAsia="Times New Roman" w:hAnsi="Times New Roman" w:cs="Times New Roman"/>
                <w:sz w:val="24"/>
                <w:szCs w:val="24"/>
                <w:lang w:eastAsia="lv-LV"/>
              </w:rPr>
              <w:t xml:space="preserve"> </w:t>
            </w:r>
            <w:r w:rsidR="00C15F63" w:rsidRPr="004E772D">
              <w:rPr>
                <w:rFonts w:ascii="Times New Roman" w:eastAsia="Times New Roman" w:hAnsi="Times New Roman" w:cs="Times New Roman"/>
                <w:sz w:val="24"/>
                <w:szCs w:val="24"/>
                <w:lang w:eastAsia="lv-LV"/>
              </w:rPr>
              <w:t>(kā līdz šim)</w:t>
            </w:r>
            <w:r w:rsidR="007464EC" w:rsidRPr="004E772D">
              <w:rPr>
                <w:rFonts w:ascii="Times New Roman" w:eastAsia="Times New Roman" w:hAnsi="Times New Roman" w:cs="Times New Roman"/>
                <w:sz w:val="24"/>
                <w:szCs w:val="24"/>
                <w:lang w:eastAsia="lv-LV"/>
              </w:rPr>
              <w:t>, gan būtisku pārpildi pret prognozi</w:t>
            </w:r>
            <w:r w:rsidR="00637091" w:rsidRPr="004E772D">
              <w:rPr>
                <w:rFonts w:ascii="Times New Roman" w:eastAsia="Times New Roman" w:hAnsi="Times New Roman" w:cs="Times New Roman"/>
                <w:sz w:val="24"/>
                <w:szCs w:val="24"/>
                <w:lang w:eastAsia="lv-LV"/>
              </w:rPr>
              <w:t>,</w:t>
            </w:r>
            <w:r w:rsidR="007464EC" w:rsidRPr="004E772D">
              <w:rPr>
                <w:rFonts w:ascii="Times New Roman" w:eastAsia="Times New Roman" w:hAnsi="Times New Roman" w:cs="Times New Roman"/>
                <w:sz w:val="24"/>
                <w:szCs w:val="24"/>
                <w:lang w:eastAsia="lv-LV"/>
              </w:rPr>
              <w:t xml:space="preserve"> </w:t>
            </w:r>
            <w:r w:rsidR="00637091" w:rsidRPr="004E772D">
              <w:rPr>
                <w:rFonts w:ascii="Times New Roman" w:eastAsia="Times New Roman" w:hAnsi="Times New Roman" w:cs="Times New Roman"/>
                <w:sz w:val="24"/>
                <w:szCs w:val="24"/>
                <w:lang w:eastAsia="lv-LV"/>
              </w:rPr>
              <w:t>t</w:t>
            </w:r>
            <w:r w:rsidR="007464EC" w:rsidRPr="004E772D">
              <w:rPr>
                <w:rFonts w:ascii="Times New Roman" w:eastAsia="Times New Roman" w:hAnsi="Times New Roman" w:cs="Times New Roman"/>
                <w:sz w:val="24"/>
                <w:szCs w:val="24"/>
                <w:lang w:eastAsia="lv-LV"/>
              </w:rPr>
              <w:t xml:space="preserve">ādējādi jau saimnieciskā gada laikā noskaidrojot iemeslus, kāpēc faktiskā izpilde atšķiras no </w:t>
            </w:r>
            <w:r w:rsidR="007464EC" w:rsidRPr="003561C0">
              <w:rPr>
                <w:rFonts w:ascii="Times New Roman" w:eastAsia="Times New Roman" w:hAnsi="Times New Roman" w:cs="Times New Roman"/>
                <w:sz w:val="24"/>
                <w:szCs w:val="24"/>
                <w:lang w:eastAsia="lv-LV"/>
              </w:rPr>
              <w:t xml:space="preserve">sākotnēji </w:t>
            </w:r>
            <w:r w:rsidR="003561C0" w:rsidRPr="003561C0">
              <w:rPr>
                <w:rFonts w:ascii="Times New Roman" w:eastAsia="Times New Roman" w:hAnsi="Times New Roman" w:cs="Times New Roman"/>
                <w:sz w:val="24"/>
                <w:szCs w:val="24"/>
                <w:lang w:eastAsia="lv-LV"/>
              </w:rPr>
              <w:t xml:space="preserve">prognozētā, un </w:t>
            </w:r>
            <w:r w:rsidR="003561C0" w:rsidRPr="007C7DD0">
              <w:rPr>
                <w:rFonts w:ascii="Times New Roman" w:eastAsia="Times New Roman" w:hAnsi="Times New Roman" w:cs="Times New Roman"/>
                <w:sz w:val="24"/>
                <w:szCs w:val="24"/>
                <w:lang w:eastAsia="lv-LV"/>
              </w:rPr>
              <w:t>sniedz</w:t>
            </w:r>
            <w:r w:rsidR="003561C0">
              <w:rPr>
                <w:rFonts w:ascii="Times New Roman" w:eastAsia="Times New Roman" w:hAnsi="Times New Roman" w:cs="Times New Roman"/>
                <w:sz w:val="24"/>
                <w:szCs w:val="24"/>
                <w:lang w:eastAsia="lv-LV"/>
              </w:rPr>
              <w:t>ot</w:t>
            </w:r>
            <w:r w:rsidR="003561C0" w:rsidRPr="007C7DD0">
              <w:rPr>
                <w:rFonts w:ascii="Times New Roman" w:eastAsia="Times New Roman" w:hAnsi="Times New Roman" w:cs="Times New Roman"/>
                <w:sz w:val="24"/>
                <w:szCs w:val="24"/>
                <w:lang w:eastAsia="lv-LV"/>
              </w:rPr>
              <w:t xml:space="preserve"> skaidrojumu </w:t>
            </w:r>
            <w:r w:rsidR="003561C0">
              <w:rPr>
                <w:rFonts w:ascii="Times New Roman" w:eastAsia="Times New Roman" w:hAnsi="Times New Roman" w:cs="Times New Roman"/>
                <w:sz w:val="24"/>
                <w:szCs w:val="24"/>
                <w:lang w:eastAsia="lv-LV"/>
              </w:rPr>
              <w:t>pa</w:t>
            </w:r>
            <w:r w:rsidR="003561C0" w:rsidRPr="003561C0">
              <w:rPr>
                <w:rFonts w:ascii="Times New Roman" w:eastAsia="Times New Roman" w:hAnsi="Times New Roman" w:cs="Times New Roman"/>
                <w:sz w:val="24"/>
                <w:szCs w:val="24"/>
                <w:lang w:eastAsia="lv-LV"/>
              </w:rPr>
              <w:t>r plānotām darbīb</w:t>
            </w:r>
            <w:r w:rsidR="003561C0">
              <w:rPr>
                <w:rFonts w:ascii="Times New Roman" w:eastAsia="Times New Roman" w:hAnsi="Times New Roman" w:cs="Times New Roman"/>
                <w:sz w:val="24"/>
                <w:szCs w:val="24"/>
                <w:lang w:eastAsia="lv-LV"/>
              </w:rPr>
              <w:t>ām</w:t>
            </w:r>
            <w:r w:rsidR="003561C0" w:rsidRPr="007C7DD0">
              <w:rPr>
                <w:rFonts w:ascii="Times New Roman" w:eastAsia="Times New Roman" w:hAnsi="Times New Roman" w:cs="Times New Roman"/>
                <w:sz w:val="24"/>
                <w:szCs w:val="24"/>
                <w:lang w:eastAsia="lv-LV"/>
              </w:rPr>
              <w:t xml:space="preserve"> </w:t>
            </w:r>
            <w:r w:rsidR="003561C0" w:rsidRPr="008F4835">
              <w:rPr>
                <w:rFonts w:ascii="Times New Roman" w:eastAsia="Times New Roman" w:hAnsi="Times New Roman" w:cs="Times New Roman"/>
                <w:sz w:val="24"/>
                <w:szCs w:val="24"/>
                <w:lang w:eastAsia="lv-LV"/>
              </w:rPr>
              <w:t xml:space="preserve">finansējuma </w:t>
            </w:r>
            <w:r w:rsidR="009B2A39" w:rsidRPr="008F4835">
              <w:rPr>
                <w:rFonts w:ascii="Times New Roman" w:eastAsia="Times New Roman" w:hAnsi="Times New Roman" w:cs="Times New Roman"/>
                <w:sz w:val="24"/>
                <w:szCs w:val="24"/>
                <w:lang w:eastAsia="lv-LV"/>
              </w:rPr>
              <w:t>apguvei</w:t>
            </w:r>
            <w:r w:rsidR="003561C0" w:rsidRPr="008F4835">
              <w:rPr>
                <w:rFonts w:ascii="Times New Roman" w:eastAsia="Times New Roman" w:hAnsi="Times New Roman" w:cs="Times New Roman"/>
                <w:sz w:val="24"/>
                <w:szCs w:val="24"/>
                <w:lang w:eastAsia="lv-LV"/>
              </w:rPr>
              <w:t xml:space="preserve"> </w:t>
            </w:r>
            <w:r w:rsidR="003561C0" w:rsidRPr="007C7DD0">
              <w:rPr>
                <w:rFonts w:ascii="Times New Roman" w:eastAsia="Times New Roman" w:hAnsi="Times New Roman" w:cs="Times New Roman"/>
                <w:sz w:val="24"/>
                <w:szCs w:val="24"/>
                <w:lang w:eastAsia="lv-LV"/>
              </w:rPr>
              <w:t>gada ietvaros</w:t>
            </w:r>
            <w:r w:rsidR="007464EC" w:rsidRPr="003561C0">
              <w:rPr>
                <w:rFonts w:ascii="Times New Roman" w:eastAsia="Times New Roman" w:hAnsi="Times New Roman" w:cs="Times New Roman"/>
                <w:sz w:val="24"/>
                <w:szCs w:val="24"/>
                <w:lang w:eastAsia="lv-LV"/>
              </w:rPr>
              <w:t>.</w:t>
            </w:r>
            <w:r w:rsidR="00FD34BC">
              <w:t xml:space="preserve"> </w:t>
            </w:r>
            <w:r w:rsidR="009B2A39" w:rsidRPr="003561C0">
              <w:rPr>
                <w:rFonts w:ascii="Times New Roman" w:eastAsia="Times New Roman" w:hAnsi="Times New Roman" w:cs="Times New Roman"/>
                <w:sz w:val="24"/>
                <w:szCs w:val="24"/>
                <w:lang w:eastAsia="lv-LV"/>
              </w:rPr>
              <w:t>Informācija</w:t>
            </w:r>
            <w:r w:rsidR="009B2A39" w:rsidRPr="004E772D">
              <w:rPr>
                <w:rFonts w:ascii="Times New Roman" w:eastAsia="Times New Roman" w:hAnsi="Times New Roman" w:cs="Times New Roman"/>
                <w:sz w:val="24"/>
                <w:szCs w:val="24"/>
                <w:lang w:eastAsia="lv-LV"/>
              </w:rPr>
              <w:t xml:space="preserve"> par faktiskās izpildes svārstībām salīdzinājumā ar </w:t>
            </w:r>
            <w:r w:rsidR="009B2A39">
              <w:rPr>
                <w:rFonts w:ascii="Times New Roman" w:eastAsia="Times New Roman" w:hAnsi="Times New Roman" w:cs="Times New Roman"/>
                <w:sz w:val="24"/>
                <w:szCs w:val="24"/>
                <w:lang w:eastAsia="lv-LV"/>
              </w:rPr>
              <w:t>sākotnējām prognozēm</w:t>
            </w:r>
            <w:r w:rsidR="009B2A39" w:rsidRPr="004E772D">
              <w:rPr>
                <w:rFonts w:ascii="Times New Roman" w:eastAsia="Times New Roman" w:hAnsi="Times New Roman" w:cs="Times New Roman"/>
                <w:sz w:val="24"/>
                <w:szCs w:val="24"/>
                <w:lang w:eastAsia="lv-LV"/>
              </w:rPr>
              <w:t xml:space="preserve"> ir svarīga budžeta procesa </w:t>
            </w:r>
            <w:r w:rsidR="009B2A39" w:rsidRPr="00C67344">
              <w:rPr>
                <w:rFonts w:ascii="Times New Roman" w:eastAsia="Times New Roman" w:hAnsi="Times New Roman" w:cs="Times New Roman"/>
                <w:sz w:val="24"/>
                <w:szCs w:val="24"/>
                <w:lang w:eastAsia="lv-LV"/>
              </w:rPr>
              <w:t xml:space="preserve">analīzei. Tām </w:t>
            </w:r>
            <w:r w:rsidR="009B2A39" w:rsidRPr="00C67344">
              <w:rPr>
                <w:rFonts w:ascii="Times New Roman" w:eastAsia="Times New Roman" w:hAnsi="Times New Roman" w:cs="Times New Roman"/>
                <w:sz w:val="24"/>
                <w:szCs w:val="24"/>
                <w:lang w:eastAsia="lv-LV"/>
              </w:rPr>
              <w:lastRenderedPageBreak/>
              <w:t xml:space="preserve">pamatfunkciju programmām (apakšprogrammām) (piemēram, programma </w:t>
            </w:r>
            <w:r w:rsidR="009B2A39" w:rsidRPr="00C67344">
              <w:rPr>
                <w:rFonts w:ascii="Times New Roman" w:eastAsia="Times New Roman" w:hAnsi="Times New Roman" w:cs="Times New Roman"/>
                <w:i/>
                <w:sz w:val="24"/>
                <w:szCs w:val="24"/>
                <w:lang w:eastAsia="lv-LV"/>
              </w:rPr>
              <w:t>Emisijas kvotu izsolīšanas instruments</w:t>
            </w:r>
            <w:r w:rsidR="009B2A39" w:rsidRPr="00C67344">
              <w:rPr>
                <w:rFonts w:ascii="Times New Roman" w:eastAsia="Times New Roman" w:hAnsi="Times New Roman" w:cs="Times New Roman"/>
                <w:sz w:val="24"/>
                <w:szCs w:val="24"/>
                <w:lang w:eastAsia="lv-LV"/>
              </w:rPr>
              <w:t>), kas tiek īstenotas pēc projektu principa un būtiskas finansējuma svārstības ir objektīvi atkarīgas no iepriekš neplānotu p</w:t>
            </w:r>
            <w:r w:rsidR="009547F7">
              <w:rPr>
                <w:rFonts w:ascii="Times New Roman" w:eastAsia="Times New Roman" w:hAnsi="Times New Roman" w:cs="Times New Roman"/>
                <w:sz w:val="24"/>
                <w:szCs w:val="24"/>
                <w:lang w:eastAsia="lv-LV"/>
              </w:rPr>
              <w:t>rojektu un to posmu ieviešanas,</w:t>
            </w:r>
            <w:r w:rsidR="009B2A39" w:rsidRPr="00C67344">
              <w:rPr>
                <w:rFonts w:ascii="Times New Roman" w:eastAsia="Times New Roman" w:hAnsi="Times New Roman" w:cs="Times New Roman"/>
                <w:sz w:val="24"/>
                <w:szCs w:val="24"/>
                <w:lang w:eastAsia="lv-LV"/>
              </w:rPr>
              <w:t xml:space="preserve"> atsevišķus neizpildes iemeslus un plānotās darbības finansējuma apguvei instrukcijas 1. pielikuma tabulā "I. Valsts pamatfunkciju īstenošana" sadaļas "Neizpilde" 1. un 2. punktā par sešiem un deviņiem mēnešiem var neuzskaitīt, bet kopumā skaidrot programmas (apakšprogrammas) mainīgo finansējuma apguvi</w:t>
            </w:r>
            <w:r w:rsidR="00FD34BC" w:rsidRPr="00C67344">
              <w:rPr>
                <w:rFonts w:ascii="Times New Roman" w:eastAsia="Times New Roman" w:hAnsi="Times New Roman" w:cs="Times New Roman"/>
                <w:sz w:val="24"/>
                <w:szCs w:val="24"/>
                <w:lang w:eastAsia="lv-LV"/>
              </w:rPr>
              <w:t>.</w:t>
            </w:r>
            <w:r w:rsidR="007464EC" w:rsidRPr="00C67344">
              <w:rPr>
                <w:rFonts w:ascii="Times New Roman" w:eastAsia="Times New Roman" w:hAnsi="Times New Roman" w:cs="Times New Roman"/>
                <w:sz w:val="24"/>
                <w:szCs w:val="24"/>
                <w:lang w:eastAsia="lv-LV"/>
              </w:rPr>
              <w:t xml:space="preserve"> Savukārt, ja</w:t>
            </w:r>
            <w:r w:rsidR="007464EC" w:rsidRPr="00C67344">
              <w:t xml:space="preserve"> </w:t>
            </w:r>
            <w:r w:rsidR="007464EC" w:rsidRPr="00C67344">
              <w:rPr>
                <w:rFonts w:ascii="Times New Roman" w:eastAsia="Times New Roman" w:hAnsi="Times New Roman" w:cs="Times New Roman"/>
                <w:sz w:val="24"/>
                <w:szCs w:val="24"/>
                <w:lang w:eastAsia="lv-LV"/>
              </w:rPr>
              <w:t xml:space="preserve">neizpildes iemesli būs saistīti </w:t>
            </w:r>
            <w:r w:rsidR="007464EC" w:rsidRPr="008F4835">
              <w:rPr>
                <w:rFonts w:ascii="Times New Roman" w:eastAsia="Times New Roman" w:hAnsi="Times New Roman" w:cs="Times New Roman"/>
                <w:sz w:val="24"/>
                <w:szCs w:val="24"/>
                <w:lang w:eastAsia="lv-LV"/>
              </w:rPr>
              <w:t xml:space="preserve">ar apropriāciju izmaiņām, tad </w:t>
            </w:r>
            <w:r w:rsidR="00C15F63" w:rsidRPr="008F4835">
              <w:rPr>
                <w:rFonts w:ascii="Times New Roman" w:eastAsia="Times New Roman" w:hAnsi="Times New Roman" w:cs="Times New Roman"/>
                <w:sz w:val="24"/>
                <w:szCs w:val="24"/>
                <w:lang w:eastAsia="lv-LV"/>
              </w:rPr>
              <w:t>skaidrojumā jā</w:t>
            </w:r>
            <w:r w:rsidR="007464EC" w:rsidRPr="008F4835">
              <w:rPr>
                <w:rFonts w:ascii="Times New Roman" w:eastAsia="Times New Roman" w:hAnsi="Times New Roman" w:cs="Times New Roman"/>
                <w:sz w:val="24"/>
                <w:szCs w:val="24"/>
                <w:lang w:eastAsia="lv-LV"/>
              </w:rPr>
              <w:t xml:space="preserve">norāda attiecīgos </w:t>
            </w:r>
            <w:r w:rsidR="00E7109C" w:rsidRPr="008F4835">
              <w:rPr>
                <w:rFonts w:ascii="Times New Roman" w:eastAsia="Times New Roman" w:hAnsi="Times New Roman" w:cs="Times New Roman"/>
                <w:sz w:val="24"/>
                <w:szCs w:val="24"/>
                <w:lang w:eastAsia="lv-LV"/>
              </w:rPr>
              <w:t>FM</w:t>
            </w:r>
            <w:r w:rsidR="007464EC" w:rsidRPr="004E772D">
              <w:rPr>
                <w:rFonts w:ascii="Times New Roman" w:eastAsia="Times New Roman" w:hAnsi="Times New Roman" w:cs="Times New Roman"/>
                <w:sz w:val="24"/>
                <w:szCs w:val="24"/>
                <w:lang w:eastAsia="lv-LV"/>
              </w:rPr>
              <w:t xml:space="preserve"> rīkojumu numurus</w:t>
            </w:r>
            <w:r w:rsidR="00144C8E">
              <w:rPr>
                <w:rFonts w:ascii="Times New Roman" w:eastAsia="Times New Roman" w:hAnsi="Times New Roman" w:cs="Times New Roman"/>
                <w:sz w:val="24"/>
                <w:szCs w:val="24"/>
                <w:lang w:eastAsia="lv-LV"/>
              </w:rPr>
              <w:t>.</w:t>
            </w:r>
            <w:r w:rsidR="004404AC">
              <w:rPr>
                <w:rFonts w:ascii="Times New Roman" w:eastAsia="Times New Roman" w:hAnsi="Times New Roman" w:cs="Times New Roman"/>
                <w:sz w:val="24"/>
                <w:szCs w:val="24"/>
                <w:lang w:eastAsia="lv-LV"/>
              </w:rPr>
              <w:t xml:space="preserve"> </w:t>
            </w:r>
            <w:r w:rsidR="00144C8E">
              <w:rPr>
                <w:rFonts w:ascii="Times New Roman" w:eastAsia="Times New Roman" w:hAnsi="Times New Roman" w:cs="Times New Roman"/>
                <w:sz w:val="24"/>
                <w:szCs w:val="24"/>
                <w:lang w:eastAsia="lv-LV"/>
              </w:rPr>
              <w:t>Ņemot vērā, ka 2019.</w:t>
            </w:r>
            <w:r w:rsidR="00381E66">
              <w:rPr>
                <w:rFonts w:ascii="Times New Roman" w:eastAsia="Times New Roman" w:hAnsi="Times New Roman" w:cs="Times New Roman"/>
                <w:sz w:val="24"/>
                <w:szCs w:val="24"/>
                <w:lang w:eastAsia="lv-LV"/>
              </w:rPr>
              <w:t> </w:t>
            </w:r>
            <w:r w:rsidR="00144C8E">
              <w:rPr>
                <w:rFonts w:ascii="Times New Roman" w:eastAsia="Times New Roman" w:hAnsi="Times New Roman" w:cs="Times New Roman"/>
                <w:sz w:val="24"/>
                <w:szCs w:val="24"/>
                <w:lang w:eastAsia="lv-LV"/>
              </w:rPr>
              <w:t>gads bija iesācies ar pagaidu budžetu, tās izmaiņas, kas radušās sakarā ar likuma “Par valsts budžetu 2019.</w:t>
            </w:r>
            <w:r w:rsidR="00381E66">
              <w:rPr>
                <w:rFonts w:ascii="Times New Roman" w:eastAsia="Times New Roman" w:hAnsi="Times New Roman" w:cs="Times New Roman"/>
                <w:sz w:val="24"/>
                <w:szCs w:val="24"/>
                <w:lang w:eastAsia="lv-LV"/>
              </w:rPr>
              <w:t> </w:t>
            </w:r>
            <w:r w:rsidR="00144C8E">
              <w:rPr>
                <w:rFonts w:ascii="Times New Roman" w:eastAsia="Times New Roman" w:hAnsi="Times New Roman" w:cs="Times New Roman"/>
                <w:sz w:val="24"/>
                <w:szCs w:val="24"/>
                <w:lang w:eastAsia="lv-LV"/>
              </w:rPr>
              <w:t>gadam” pieņemšanu, tiek skaidrotas vai arī tiek norādīta atsauce uz lēmumiem</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ar kuriem izmaiņas veiktas</w:t>
            </w:r>
            <w:r w:rsidR="000351E3">
              <w:rPr>
                <w:rFonts w:ascii="Times New Roman" w:eastAsia="Times New Roman" w:hAnsi="Times New Roman" w:cs="Times New Roman"/>
                <w:sz w:val="24"/>
                <w:szCs w:val="24"/>
                <w:lang w:eastAsia="lv-LV"/>
              </w:rPr>
              <w:t xml:space="preserve"> </w:t>
            </w:r>
            <w:r w:rsidR="00144C8E">
              <w:rPr>
                <w:rFonts w:ascii="Times New Roman" w:eastAsia="Times New Roman" w:hAnsi="Times New Roman" w:cs="Times New Roman"/>
                <w:sz w:val="24"/>
                <w:szCs w:val="24"/>
                <w:lang w:eastAsia="lv-LV"/>
              </w:rPr>
              <w:t>(piemēram</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M</w:t>
            </w:r>
            <w:r w:rsidR="007C02F0">
              <w:rPr>
                <w:rFonts w:ascii="Times New Roman" w:eastAsia="Times New Roman" w:hAnsi="Times New Roman" w:cs="Times New Roman"/>
                <w:sz w:val="24"/>
                <w:szCs w:val="24"/>
                <w:lang w:eastAsia="lv-LV"/>
              </w:rPr>
              <w:t xml:space="preserve">inistru </w:t>
            </w:r>
            <w:proofErr w:type="spellStart"/>
            <w:r w:rsidR="007C02F0">
              <w:rPr>
                <w:rFonts w:ascii="Times New Roman" w:eastAsia="Times New Roman" w:hAnsi="Times New Roman" w:cs="Times New Roman"/>
                <w:sz w:val="24"/>
                <w:szCs w:val="24"/>
                <w:lang w:eastAsia="lv-LV"/>
              </w:rPr>
              <w:t>kabimeta</w:t>
            </w:r>
            <w:proofErr w:type="spellEnd"/>
            <w:r w:rsidR="000351E3" w:rsidRPr="000351E3">
              <w:rPr>
                <w:rFonts w:ascii="Times New Roman" w:eastAsia="Times New Roman" w:hAnsi="Times New Roman" w:cs="Times New Roman"/>
                <w:sz w:val="24"/>
                <w:szCs w:val="24"/>
                <w:lang w:eastAsia="lv-LV"/>
              </w:rPr>
              <w:t xml:space="preserve"> lēmumi </w:t>
            </w:r>
            <w:r w:rsidR="00144C8E">
              <w:rPr>
                <w:rFonts w:ascii="Times New Roman" w:eastAsia="Times New Roman" w:hAnsi="Times New Roman" w:cs="Times New Roman"/>
                <w:sz w:val="24"/>
                <w:szCs w:val="24"/>
                <w:lang w:eastAsia="lv-LV"/>
              </w:rPr>
              <w:t xml:space="preserve"> par prioritārajiem pasākumiem</w:t>
            </w:r>
            <w:r w:rsidR="000351E3">
              <w:rPr>
                <w:rFonts w:ascii="Times New Roman" w:eastAsia="Times New Roman" w:hAnsi="Times New Roman" w:cs="Times New Roman"/>
                <w:sz w:val="24"/>
                <w:szCs w:val="24"/>
                <w:lang w:eastAsia="lv-LV"/>
              </w:rPr>
              <w:t>,</w:t>
            </w:r>
            <w:r w:rsidR="000351E3">
              <w:t xml:space="preserve"> </w:t>
            </w:r>
            <w:r w:rsidR="000351E3" w:rsidRPr="000351E3">
              <w:rPr>
                <w:rFonts w:ascii="Times New Roman" w:eastAsia="Times New Roman" w:hAnsi="Times New Roman" w:cs="Times New Roman"/>
                <w:sz w:val="24"/>
                <w:szCs w:val="24"/>
                <w:lang w:eastAsia="lv-LV"/>
              </w:rPr>
              <w:t>Saeimas atbalstītie priekšlikumi</w:t>
            </w:r>
            <w:r w:rsidR="000351E3">
              <w:rPr>
                <w:rFonts w:ascii="Times New Roman" w:eastAsia="Times New Roman" w:hAnsi="Times New Roman" w:cs="Times New Roman"/>
                <w:sz w:val="24"/>
                <w:szCs w:val="24"/>
                <w:lang w:eastAsia="lv-LV"/>
              </w:rPr>
              <w:t xml:space="preserve">, </w:t>
            </w:r>
            <w:r w:rsidR="000351E3" w:rsidRPr="000351E3">
              <w:rPr>
                <w:rFonts w:ascii="Times New Roman" w:eastAsia="Times New Roman" w:hAnsi="Times New Roman" w:cs="Times New Roman"/>
                <w:sz w:val="24"/>
                <w:szCs w:val="24"/>
                <w:lang w:eastAsia="lv-LV"/>
              </w:rPr>
              <w:t>skatot budžeta liku</w:t>
            </w:r>
            <w:r w:rsidR="000351E3">
              <w:rPr>
                <w:rFonts w:ascii="Times New Roman" w:eastAsia="Times New Roman" w:hAnsi="Times New Roman" w:cs="Times New Roman"/>
                <w:sz w:val="24"/>
                <w:szCs w:val="24"/>
                <w:lang w:eastAsia="lv-LV"/>
              </w:rPr>
              <w:t>mprojektu otrajā lasījumā, u.c.</w:t>
            </w:r>
            <w:r w:rsidR="00144C8E">
              <w:rPr>
                <w:rFonts w:ascii="Times New Roman" w:eastAsia="Times New Roman" w:hAnsi="Times New Roman" w:cs="Times New Roman"/>
                <w:sz w:val="24"/>
                <w:szCs w:val="24"/>
                <w:lang w:eastAsia="lv-LV"/>
              </w:rPr>
              <w:t>)</w:t>
            </w:r>
            <w:r w:rsidR="006413B4">
              <w:rPr>
                <w:rFonts w:ascii="Times New Roman" w:eastAsia="Times New Roman" w:hAnsi="Times New Roman" w:cs="Times New Roman"/>
                <w:sz w:val="24"/>
                <w:szCs w:val="24"/>
                <w:lang w:eastAsia="lv-LV"/>
              </w:rPr>
              <w:t>;</w:t>
            </w:r>
          </w:p>
          <w:p w14:paraId="2BE17288" w14:textId="2A4C3963" w:rsidR="005B4B83" w:rsidRPr="00C67344" w:rsidRDefault="00AE3A35" w:rsidP="00A57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6413B4" w:rsidRPr="004E772D">
              <w:rPr>
                <w:rFonts w:ascii="Times New Roman" w:eastAsia="Times New Roman" w:hAnsi="Times New Roman" w:cs="Times New Roman"/>
                <w:sz w:val="24"/>
                <w:szCs w:val="24"/>
                <w:lang w:eastAsia="lv-LV"/>
              </w:rPr>
              <w:t>precizēt nosacījum</w:t>
            </w:r>
            <w:r w:rsidR="009F73F7">
              <w:rPr>
                <w:rFonts w:ascii="Times New Roman" w:eastAsia="Times New Roman" w:hAnsi="Times New Roman" w:cs="Times New Roman"/>
                <w:sz w:val="24"/>
                <w:szCs w:val="24"/>
                <w:lang w:eastAsia="lv-LV"/>
              </w:rPr>
              <w:t>us</w:t>
            </w:r>
            <w:r w:rsidR="006413B4" w:rsidRPr="004E772D">
              <w:rPr>
                <w:rFonts w:ascii="Times New Roman" w:eastAsia="Times New Roman" w:hAnsi="Times New Roman" w:cs="Times New Roman"/>
                <w:sz w:val="24"/>
                <w:szCs w:val="24"/>
                <w:lang w:eastAsia="lv-LV"/>
              </w:rPr>
              <w:t xml:space="preserve"> </w:t>
            </w:r>
            <w:r w:rsidR="006413B4">
              <w:rPr>
                <w:rFonts w:ascii="Times New Roman" w:eastAsia="Times New Roman" w:hAnsi="Times New Roman" w:cs="Times New Roman"/>
                <w:sz w:val="24"/>
                <w:szCs w:val="24"/>
                <w:lang w:eastAsia="lv-LV"/>
              </w:rPr>
              <w:t xml:space="preserve">skaitliskiem kritērijiem, sniedzot skaidrojumu </w:t>
            </w:r>
            <w:r w:rsidR="006413B4" w:rsidRPr="004E772D">
              <w:rPr>
                <w:rFonts w:ascii="Times New Roman" w:eastAsia="Times New Roman" w:hAnsi="Times New Roman" w:cs="Times New Roman"/>
                <w:sz w:val="24"/>
                <w:szCs w:val="24"/>
                <w:lang w:eastAsia="lv-LV"/>
              </w:rPr>
              <w:t>par pārskata perioda</w:t>
            </w:r>
            <w:r w:rsidR="006413B4">
              <w:rPr>
                <w:rFonts w:ascii="Times New Roman" w:eastAsia="Times New Roman" w:hAnsi="Times New Roman" w:cs="Times New Roman"/>
                <w:sz w:val="24"/>
                <w:szCs w:val="24"/>
                <w:lang w:eastAsia="lv-LV"/>
              </w:rPr>
              <w:t xml:space="preserve"> izpildes izmaiņām un neizpildi, ieviešot nosacījumu 500</w:t>
            </w:r>
            <w:r w:rsidR="00F243F2">
              <w:rPr>
                <w:rFonts w:ascii="Times New Roman" w:eastAsia="Times New Roman" w:hAnsi="Times New Roman" w:cs="Times New Roman"/>
                <w:sz w:val="24"/>
                <w:szCs w:val="24"/>
                <w:lang w:eastAsia="lv-LV"/>
              </w:rPr>
              <w:t> </w:t>
            </w:r>
            <w:r w:rsidR="006413B4">
              <w:rPr>
                <w:rFonts w:ascii="Times New Roman" w:eastAsia="Times New Roman" w:hAnsi="Times New Roman" w:cs="Times New Roman"/>
                <w:sz w:val="24"/>
                <w:szCs w:val="24"/>
                <w:lang w:eastAsia="lv-LV"/>
              </w:rPr>
              <w:t>000</w:t>
            </w:r>
            <w:r w:rsidR="00F243F2">
              <w:rPr>
                <w:rFonts w:ascii="Times New Roman" w:eastAsia="Times New Roman" w:hAnsi="Times New Roman" w:cs="Times New Roman"/>
                <w:sz w:val="24"/>
                <w:szCs w:val="24"/>
                <w:lang w:eastAsia="lv-LV"/>
              </w:rPr>
              <w:t> </w:t>
            </w:r>
            <w:proofErr w:type="spellStart"/>
            <w:r w:rsidR="006413B4" w:rsidRPr="00F243F2">
              <w:rPr>
                <w:rFonts w:ascii="Times New Roman" w:eastAsia="Times New Roman" w:hAnsi="Times New Roman" w:cs="Times New Roman"/>
                <w:i/>
                <w:sz w:val="24"/>
                <w:szCs w:val="24"/>
                <w:lang w:eastAsia="lv-LV"/>
              </w:rPr>
              <w:t>euro</w:t>
            </w:r>
            <w:proofErr w:type="spellEnd"/>
            <w:r w:rsidR="006413B4">
              <w:rPr>
                <w:rFonts w:ascii="Times New Roman" w:eastAsia="Times New Roman" w:hAnsi="Times New Roman" w:cs="Times New Roman"/>
                <w:sz w:val="24"/>
                <w:szCs w:val="24"/>
                <w:lang w:eastAsia="lv-LV"/>
              </w:rPr>
              <w:t xml:space="preserve"> papildus šobrīd spēkā esošajiem nosacījumiem. Attiecīgi, ja skaitliskais kritērijs nesasniegs 15%, bet būs lielāks par 500</w:t>
            </w:r>
            <w:r w:rsidR="00F243F2">
              <w:rPr>
                <w:rFonts w:ascii="Times New Roman" w:eastAsia="Times New Roman" w:hAnsi="Times New Roman" w:cs="Times New Roman"/>
                <w:sz w:val="24"/>
                <w:szCs w:val="24"/>
                <w:lang w:eastAsia="lv-LV"/>
              </w:rPr>
              <w:t> </w:t>
            </w:r>
            <w:r w:rsidR="006413B4">
              <w:rPr>
                <w:rFonts w:ascii="Times New Roman" w:eastAsia="Times New Roman" w:hAnsi="Times New Roman" w:cs="Times New Roman"/>
                <w:sz w:val="24"/>
                <w:szCs w:val="24"/>
                <w:lang w:eastAsia="lv-LV"/>
              </w:rPr>
              <w:t>000</w:t>
            </w:r>
            <w:r w:rsidR="00F243F2">
              <w:rPr>
                <w:rFonts w:ascii="Times New Roman" w:eastAsia="Times New Roman" w:hAnsi="Times New Roman" w:cs="Times New Roman"/>
                <w:sz w:val="24"/>
                <w:szCs w:val="24"/>
                <w:lang w:eastAsia="lv-LV"/>
              </w:rPr>
              <w:t> </w:t>
            </w:r>
            <w:proofErr w:type="spellStart"/>
            <w:r w:rsidR="006413B4" w:rsidRPr="00F243F2">
              <w:rPr>
                <w:rFonts w:ascii="Times New Roman" w:eastAsia="Times New Roman" w:hAnsi="Times New Roman" w:cs="Times New Roman"/>
                <w:i/>
                <w:sz w:val="24"/>
                <w:szCs w:val="24"/>
                <w:lang w:eastAsia="lv-LV"/>
              </w:rPr>
              <w:t>euro</w:t>
            </w:r>
            <w:proofErr w:type="spellEnd"/>
            <w:r w:rsidR="006413B4">
              <w:rPr>
                <w:rFonts w:ascii="Times New Roman" w:eastAsia="Times New Roman" w:hAnsi="Times New Roman" w:cs="Times New Roman"/>
                <w:sz w:val="24"/>
                <w:szCs w:val="24"/>
                <w:lang w:eastAsia="lv-LV"/>
              </w:rPr>
              <w:t>, būs nepieciešams sniegt skaidrojumu, lai tiktu skaidrotas nominālajā izteiksmē b</w:t>
            </w:r>
            <w:r w:rsidR="00F243F2">
              <w:rPr>
                <w:rFonts w:ascii="Times New Roman" w:eastAsia="Times New Roman" w:hAnsi="Times New Roman" w:cs="Times New Roman"/>
                <w:sz w:val="24"/>
                <w:szCs w:val="24"/>
                <w:lang w:eastAsia="lv-LV"/>
              </w:rPr>
              <w:t xml:space="preserve">ūtiskas izmaiņas un </w:t>
            </w:r>
            <w:r w:rsidR="00F243F2" w:rsidRPr="00C67344">
              <w:rPr>
                <w:rFonts w:ascii="Times New Roman" w:eastAsia="Times New Roman" w:hAnsi="Times New Roman" w:cs="Times New Roman"/>
                <w:sz w:val="24"/>
                <w:szCs w:val="24"/>
                <w:lang w:eastAsia="lv-LV"/>
              </w:rPr>
              <w:t>neizpildes</w:t>
            </w:r>
            <w:r w:rsidR="00AB05E0" w:rsidRPr="00C67344">
              <w:rPr>
                <w:rFonts w:ascii="Times New Roman" w:eastAsia="Times New Roman" w:hAnsi="Times New Roman" w:cs="Times New Roman"/>
                <w:sz w:val="24"/>
                <w:szCs w:val="24"/>
                <w:lang w:eastAsia="lv-LV"/>
              </w:rPr>
              <w:t xml:space="preserve">. </w:t>
            </w:r>
            <w:r w:rsidR="0064677B" w:rsidRPr="00C67344">
              <w:rPr>
                <w:rFonts w:ascii="Times New Roman" w:eastAsia="Times New Roman" w:hAnsi="Times New Roman" w:cs="Times New Roman"/>
                <w:sz w:val="24"/>
                <w:szCs w:val="24"/>
                <w:lang w:eastAsia="lv-LV"/>
              </w:rPr>
              <w:t>Ja programmā (apakšprogrammā), ir ievērojami daudz izpildītāju un kopējā programmas neizpilde/izmaiņas veidojas no individuālo izpildītāju relatīvi nebūtisko neizpilžu/izmaiņu summas (piemēram, viena izpildītāja neizpildei/izmaiņām svārstoties 20 000 </w:t>
            </w:r>
            <w:proofErr w:type="spellStart"/>
            <w:r w:rsidR="0064677B" w:rsidRPr="00C67344">
              <w:rPr>
                <w:rFonts w:ascii="Times New Roman" w:eastAsia="Times New Roman" w:hAnsi="Times New Roman" w:cs="Times New Roman"/>
                <w:i/>
                <w:sz w:val="24"/>
                <w:szCs w:val="24"/>
                <w:lang w:eastAsia="lv-LV"/>
              </w:rPr>
              <w:t>euro</w:t>
            </w:r>
            <w:proofErr w:type="spellEnd"/>
            <w:r w:rsidR="0064677B" w:rsidRPr="00C67344">
              <w:rPr>
                <w:rFonts w:ascii="Times New Roman" w:eastAsia="Times New Roman" w:hAnsi="Times New Roman" w:cs="Times New Roman"/>
                <w:sz w:val="24"/>
                <w:szCs w:val="24"/>
                <w:lang w:eastAsia="lv-LV"/>
              </w:rPr>
              <w:t xml:space="preserve"> robežās), tad  padziļināti šādus neizpildes un izmaiņu iemeslus var neuzskaitīt, bet norādīt uz šo programmas (apakšprogrammas) specifiku</w:t>
            </w:r>
            <w:r w:rsidR="00F243F2" w:rsidRPr="00C67344">
              <w:rPr>
                <w:rFonts w:ascii="Times New Roman" w:eastAsia="Times New Roman" w:hAnsi="Times New Roman" w:cs="Times New Roman"/>
                <w:sz w:val="24"/>
                <w:szCs w:val="24"/>
                <w:lang w:eastAsia="lv-LV"/>
              </w:rPr>
              <w:t>;</w:t>
            </w:r>
          </w:p>
          <w:p w14:paraId="442DB0AB" w14:textId="234F63C7" w:rsidR="00A57E49" w:rsidRPr="004E772D" w:rsidRDefault="00AE3A35" w:rsidP="00A57E49">
            <w:pPr>
              <w:spacing w:after="0" w:line="240" w:lineRule="auto"/>
              <w:jc w:val="both"/>
              <w:rPr>
                <w:rFonts w:ascii="Times New Roman" w:eastAsia="Times New Roman" w:hAnsi="Times New Roman" w:cs="Times New Roman"/>
                <w:sz w:val="24"/>
                <w:szCs w:val="24"/>
                <w:lang w:eastAsia="lv-LV"/>
              </w:rPr>
            </w:pPr>
            <w:r w:rsidRPr="00C67344">
              <w:rPr>
                <w:rFonts w:ascii="Times New Roman" w:eastAsia="Times New Roman" w:hAnsi="Times New Roman" w:cs="Times New Roman"/>
                <w:sz w:val="24"/>
                <w:szCs w:val="24"/>
                <w:lang w:eastAsia="lv-LV"/>
              </w:rPr>
              <w:t>3)</w:t>
            </w:r>
            <w:r w:rsidR="005B4B83" w:rsidRPr="00C67344">
              <w:rPr>
                <w:rFonts w:ascii="Times New Roman" w:eastAsia="Times New Roman" w:hAnsi="Times New Roman" w:cs="Times New Roman"/>
                <w:sz w:val="24"/>
                <w:szCs w:val="24"/>
                <w:lang w:eastAsia="lv-LV"/>
              </w:rPr>
              <w:t xml:space="preserve"> atcelt</w:t>
            </w:r>
            <w:r w:rsidR="00A57E49" w:rsidRPr="00C67344">
              <w:rPr>
                <w:rFonts w:ascii="Times New Roman" w:eastAsia="Times New Roman" w:hAnsi="Times New Roman" w:cs="Times New Roman"/>
                <w:sz w:val="24"/>
                <w:szCs w:val="24"/>
                <w:lang w:eastAsia="lv-LV"/>
              </w:rPr>
              <w:t xml:space="preserve"> </w:t>
            </w:r>
            <w:r w:rsidR="00E67D81" w:rsidRPr="00C67344">
              <w:rPr>
                <w:rFonts w:ascii="Times New Roman" w:eastAsia="Times New Roman" w:hAnsi="Times New Roman" w:cs="Times New Roman"/>
                <w:sz w:val="24"/>
                <w:szCs w:val="24"/>
                <w:lang w:eastAsia="lv-LV"/>
              </w:rPr>
              <w:t xml:space="preserve">informācijas </w:t>
            </w:r>
            <w:r w:rsidR="00A57E49" w:rsidRPr="00C67344">
              <w:rPr>
                <w:rFonts w:ascii="Times New Roman" w:eastAsia="Times New Roman" w:hAnsi="Times New Roman" w:cs="Times New Roman"/>
                <w:sz w:val="24"/>
                <w:szCs w:val="24"/>
                <w:lang w:eastAsia="lv-LV"/>
              </w:rPr>
              <w:t xml:space="preserve">sniegšanu par Eiropas Savienības politiku instrumentu un pārējās ārvalstu </w:t>
            </w:r>
            <w:r w:rsidR="00A57E49" w:rsidRPr="004E772D">
              <w:rPr>
                <w:rFonts w:ascii="Times New Roman" w:eastAsia="Times New Roman" w:hAnsi="Times New Roman" w:cs="Times New Roman"/>
                <w:sz w:val="24"/>
                <w:szCs w:val="24"/>
                <w:lang w:eastAsia="lv-LV"/>
              </w:rPr>
              <w:t xml:space="preserve">finanšu palīdzības līdzfinansēto un finansēto projektu un pasākumu īstenošanas neizpildi par </w:t>
            </w:r>
            <w:r w:rsidR="005B4B83" w:rsidRPr="004E772D">
              <w:rPr>
                <w:rFonts w:ascii="Times New Roman" w:eastAsia="Times New Roman" w:hAnsi="Times New Roman" w:cs="Times New Roman"/>
                <w:sz w:val="24"/>
                <w:szCs w:val="24"/>
                <w:lang w:eastAsia="lv-LV"/>
              </w:rPr>
              <w:t xml:space="preserve">sešiem un deviņiem mēnešiem. </w:t>
            </w:r>
            <w:r w:rsidR="00F5265E" w:rsidRPr="004E772D">
              <w:rPr>
                <w:rFonts w:ascii="Times New Roman" w:eastAsia="Times New Roman" w:hAnsi="Times New Roman" w:cs="Times New Roman"/>
                <w:sz w:val="24"/>
                <w:szCs w:val="24"/>
                <w:lang w:eastAsia="lv-LV"/>
              </w:rPr>
              <w:t>Tā kā s</w:t>
            </w:r>
            <w:r w:rsidR="005B4B83" w:rsidRPr="004E772D">
              <w:rPr>
                <w:rFonts w:ascii="Times New Roman" w:eastAsia="Times New Roman" w:hAnsi="Times New Roman" w:cs="Times New Roman"/>
                <w:sz w:val="24"/>
                <w:szCs w:val="24"/>
                <w:lang w:eastAsia="lv-LV"/>
              </w:rPr>
              <w:t>ākotnējā ceturkšņu prognoze gada laikā netiek precizēta</w:t>
            </w:r>
            <w:r w:rsidR="00172077" w:rsidRPr="004E772D">
              <w:rPr>
                <w:rFonts w:ascii="Times New Roman" w:eastAsia="Times New Roman" w:hAnsi="Times New Roman" w:cs="Times New Roman"/>
                <w:sz w:val="24"/>
                <w:szCs w:val="24"/>
                <w:lang w:eastAsia="lv-LV"/>
              </w:rPr>
              <w:t xml:space="preserve"> un ņemot vērā lielo budžeta finansējuma plānu mainību Eiropas Savienības politiku instrumentu un pārējās ārvalstu finanšu palīdzības līdzfinansēto un finansēto projektu un pasākumu ieviešanā gada laikā</w:t>
            </w:r>
            <w:r w:rsidR="005B4B83" w:rsidRPr="004E772D">
              <w:rPr>
                <w:rFonts w:ascii="Times New Roman" w:eastAsia="Times New Roman" w:hAnsi="Times New Roman" w:cs="Times New Roman"/>
                <w:sz w:val="24"/>
                <w:szCs w:val="24"/>
                <w:lang w:eastAsia="lv-LV"/>
              </w:rPr>
              <w:t xml:space="preserve">, šīs sadaļas </w:t>
            </w:r>
            <w:r w:rsidR="008E73C8" w:rsidRPr="004E772D">
              <w:rPr>
                <w:rFonts w:ascii="Times New Roman" w:eastAsia="Times New Roman" w:hAnsi="Times New Roman" w:cs="Times New Roman"/>
                <w:sz w:val="24"/>
                <w:szCs w:val="24"/>
                <w:lang w:eastAsia="lv-LV"/>
              </w:rPr>
              <w:t xml:space="preserve">turpmāk </w:t>
            </w:r>
            <w:r w:rsidR="005B4B83" w:rsidRPr="004E772D">
              <w:rPr>
                <w:rFonts w:ascii="Times New Roman" w:eastAsia="Times New Roman" w:hAnsi="Times New Roman" w:cs="Times New Roman"/>
                <w:sz w:val="24"/>
                <w:szCs w:val="24"/>
                <w:lang w:eastAsia="lv-LV"/>
              </w:rPr>
              <w:t xml:space="preserve">nesniegs augstu pievienoto </w:t>
            </w:r>
            <w:r w:rsidR="008E73C8" w:rsidRPr="004E772D">
              <w:rPr>
                <w:rFonts w:ascii="Times New Roman" w:eastAsia="Times New Roman" w:hAnsi="Times New Roman" w:cs="Times New Roman"/>
                <w:sz w:val="24"/>
                <w:szCs w:val="24"/>
                <w:lang w:eastAsia="lv-LV"/>
              </w:rPr>
              <w:t xml:space="preserve">analītisko </w:t>
            </w:r>
            <w:r w:rsidR="005B4B83" w:rsidRPr="004E772D">
              <w:rPr>
                <w:rFonts w:ascii="Times New Roman" w:eastAsia="Times New Roman" w:hAnsi="Times New Roman" w:cs="Times New Roman"/>
                <w:sz w:val="24"/>
                <w:szCs w:val="24"/>
                <w:lang w:eastAsia="lv-LV"/>
              </w:rPr>
              <w:t>vērtību un līdz ar</w:t>
            </w:r>
            <w:r w:rsidR="00172077" w:rsidRPr="004E772D">
              <w:rPr>
                <w:rFonts w:ascii="Times New Roman" w:eastAsia="Times New Roman" w:hAnsi="Times New Roman" w:cs="Times New Roman"/>
                <w:sz w:val="24"/>
                <w:szCs w:val="24"/>
                <w:lang w:eastAsia="lv-LV"/>
              </w:rPr>
              <w:t xml:space="preserve"> to</w:t>
            </w:r>
            <w:r w:rsidR="005B4B83" w:rsidRPr="004E772D">
              <w:rPr>
                <w:rFonts w:ascii="Times New Roman" w:eastAsia="Times New Roman" w:hAnsi="Times New Roman" w:cs="Times New Roman"/>
                <w:sz w:val="24"/>
                <w:szCs w:val="24"/>
                <w:lang w:eastAsia="lv-LV"/>
              </w:rPr>
              <w:t xml:space="preserve"> t</w:t>
            </w:r>
            <w:r w:rsidR="00172077" w:rsidRPr="004E772D">
              <w:rPr>
                <w:rFonts w:ascii="Times New Roman" w:eastAsia="Times New Roman" w:hAnsi="Times New Roman" w:cs="Times New Roman"/>
                <w:sz w:val="24"/>
                <w:szCs w:val="24"/>
                <w:lang w:eastAsia="lv-LV"/>
              </w:rPr>
              <w:t>ā</w:t>
            </w:r>
            <w:r w:rsidR="005B4B83" w:rsidRPr="004E772D">
              <w:rPr>
                <w:rFonts w:ascii="Times New Roman" w:eastAsia="Times New Roman" w:hAnsi="Times New Roman" w:cs="Times New Roman"/>
                <w:sz w:val="24"/>
                <w:szCs w:val="24"/>
                <w:lang w:eastAsia="lv-LV"/>
              </w:rPr>
              <w:t xml:space="preserve"> bū</w:t>
            </w:r>
            <w:r w:rsidR="003561C0">
              <w:rPr>
                <w:rFonts w:ascii="Times New Roman" w:eastAsia="Times New Roman" w:hAnsi="Times New Roman" w:cs="Times New Roman"/>
                <w:sz w:val="24"/>
                <w:szCs w:val="24"/>
                <w:lang w:eastAsia="lv-LV"/>
              </w:rPr>
              <w:t>tu</w:t>
            </w:r>
            <w:r w:rsidR="005B4B83" w:rsidRPr="004E772D">
              <w:rPr>
                <w:rFonts w:ascii="Times New Roman" w:eastAsia="Times New Roman" w:hAnsi="Times New Roman" w:cs="Times New Roman"/>
                <w:sz w:val="24"/>
                <w:szCs w:val="24"/>
                <w:lang w:eastAsia="lv-LV"/>
              </w:rPr>
              <w:t xml:space="preserve"> administratīvā slodze to veidotājiem</w:t>
            </w:r>
            <w:r w:rsidR="00172077" w:rsidRPr="004E772D">
              <w:rPr>
                <w:rFonts w:ascii="Times New Roman" w:eastAsia="Times New Roman" w:hAnsi="Times New Roman" w:cs="Times New Roman"/>
                <w:sz w:val="24"/>
                <w:szCs w:val="24"/>
                <w:lang w:eastAsia="lv-LV"/>
              </w:rPr>
              <w:t xml:space="preserve"> – tādēļ </w:t>
            </w:r>
            <w:r w:rsidR="00E67D81" w:rsidRPr="004E772D">
              <w:rPr>
                <w:rFonts w:ascii="Times New Roman" w:eastAsia="Times New Roman" w:hAnsi="Times New Roman" w:cs="Times New Roman"/>
                <w:sz w:val="24"/>
                <w:szCs w:val="24"/>
                <w:lang w:eastAsia="lv-LV"/>
              </w:rPr>
              <w:t>informāciju par</w:t>
            </w:r>
            <w:r w:rsidR="00172077" w:rsidRPr="004E772D">
              <w:rPr>
                <w:rFonts w:ascii="Times New Roman" w:eastAsia="Times New Roman" w:hAnsi="Times New Roman" w:cs="Times New Roman"/>
                <w:sz w:val="24"/>
                <w:szCs w:val="24"/>
                <w:lang w:eastAsia="lv-LV"/>
              </w:rPr>
              <w:t xml:space="preserve"> neizpild</w:t>
            </w:r>
            <w:r w:rsidR="00E67D81" w:rsidRPr="004E772D">
              <w:rPr>
                <w:rFonts w:ascii="Times New Roman" w:eastAsia="Times New Roman" w:hAnsi="Times New Roman" w:cs="Times New Roman"/>
                <w:sz w:val="24"/>
                <w:szCs w:val="24"/>
                <w:lang w:eastAsia="lv-LV"/>
              </w:rPr>
              <w:t>i</w:t>
            </w:r>
            <w:r w:rsidR="00172077" w:rsidRPr="004E772D">
              <w:rPr>
                <w:rFonts w:ascii="Times New Roman" w:eastAsia="Times New Roman" w:hAnsi="Times New Roman" w:cs="Times New Roman"/>
                <w:sz w:val="24"/>
                <w:szCs w:val="24"/>
                <w:lang w:eastAsia="lv-LV"/>
              </w:rPr>
              <w:t xml:space="preserve"> jāsniedz tikai par gadu</w:t>
            </w:r>
            <w:r w:rsidR="008E73C8" w:rsidRPr="004E772D">
              <w:rPr>
                <w:rFonts w:ascii="Times New Roman" w:eastAsia="Times New Roman" w:hAnsi="Times New Roman" w:cs="Times New Roman"/>
                <w:sz w:val="24"/>
                <w:szCs w:val="24"/>
                <w:lang w:eastAsia="lv-LV"/>
              </w:rPr>
              <w:t>, analizējot to pret precizēto gada plānu</w:t>
            </w:r>
            <w:r w:rsidR="00F5265E" w:rsidRPr="004E772D">
              <w:rPr>
                <w:rFonts w:ascii="Times New Roman" w:eastAsia="Times New Roman" w:hAnsi="Times New Roman" w:cs="Times New Roman"/>
                <w:sz w:val="24"/>
                <w:szCs w:val="24"/>
                <w:lang w:eastAsia="lv-LV"/>
              </w:rPr>
              <w:t>;</w:t>
            </w:r>
          </w:p>
          <w:p w14:paraId="27DF69F6" w14:textId="25223614" w:rsidR="00A57E49" w:rsidRPr="004E772D" w:rsidRDefault="00AE3A35" w:rsidP="00A57E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A57E49" w:rsidRPr="004E772D">
              <w:rPr>
                <w:rFonts w:ascii="Times New Roman" w:eastAsia="Times New Roman" w:hAnsi="Times New Roman" w:cs="Times New Roman"/>
                <w:sz w:val="24"/>
                <w:szCs w:val="24"/>
                <w:lang w:eastAsia="lv-LV"/>
              </w:rPr>
              <w:tab/>
              <w:t>samazināts iesniegšanas biežums informācijai par mērķfinansējuma izpildes analīzi</w:t>
            </w:r>
            <w:r w:rsidR="00C178DF" w:rsidRPr="004E772D">
              <w:rPr>
                <w:rFonts w:ascii="Times New Roman" w:eastAsia="Times New Roman" w:hAnsi="Times New Roman" w:cs="Times New Roman"/>
                <w:sz w:val="24"/>
                <w:szCs w:val="24"/>
                <w:lang w:eastAsia="lv-LV"/>
              </w:rPr>
              <w:t xml:space="preserve"> un papildināta 2.</w:t>
            </w:r>
            <w:r w:rsidR="009B2A39">
              <w:rPr>
                <w:rFonts w:ascii="Times New Roman" w:eastAsia="Times New Roman" w:hAnsi="Times New Roman" w:cs="Times New Roman"/>
                <w:sz w:val="24"/>
                <w:szCs w:val="24"/>
                <w:lang w:eastAsia="lv-LV"/>
              </w:rPr>
              <w:t> </w:t>
            </w:r>
            <w:r w:rsidR="00C178DF" w:rsidRPr="004E772D">
              <w:rPr>
                <w:rFonts w:ascii="Times New Roman" w:eastAsia="Times New Roman" w:hAnsi="Times New Roman" w:cs="Times New Roman"/>
                <w:sz w:val="24"/>
                <w:szCs w:val="24"/>
                <w:lang w:eastAsia="lv-LV"/>
              </w:rPr>
              <w:t>pielikuma tabula “Mērķfinansējuma izpildes analīze 20__. gadā” ar kolo</w:t>
            </w:r>
            <w:r w:rsidR="00D17644">
              <w:rPr>
                <w:rFonts w:ascii="Times New Roman" w:eastAsia="Times New Roman" w:hAnsi="Times New Roman" w:cs="Times New Roman"/>
                <w:sz w:val="24"/>
                <w:szCs w:val="24"/>
                <w:lang w:eastAsia="lv-LV"/>
              </w:rPr>
              <w:t>n</w:t>
            </w:r>
            <w:r w:rsidR="00C178DF" w:rsidRPr="004E772D">
              <w:rPr>
                <w:rFonts w:ascii="Times New Roman" w:eastAsia="Times New Roman" w:hAnsi="Times New Roman" w:cs="Times New Roman"/>
                <w:sz w:val="24"/>
                <w:szCs w:val="24"/>
                <w:lang w:eastAsia="lv-LV"/>
              </w:rPr>
              <w:t>nu “MK lēmums”, kurā norāda atbilstošo Ministru kabineta lēmumu</w:t>
            </w:r>
            <w:r w:rsidR="00627FD0" w:rsidRPr="004E772D">
              <w:t xml:space="preserve"> (</w:t>
            </w:r>
            <w:r w:rsidR="00627FD0" w:rsidRPr="004E772D">
              <w:rPr>
                <w:rFonts w:ascii="Times New Roman" w:eastAsia="Times New Roman" w:hAnsi="Times New Roman" w:cs="Times New Roman"/>
                <w:sz w:val="24"/>
                <w:szCs w:val="24"/>
                <w:lang w:eastAsia="lv-LV"/>
              </w:rPr>
              <w:t>saskaņā ar instrukcijā Nr.</w:t>
            </w:r>
            <w:r w:rsidR="009A36FB">
              <w:rPr>
                <w:rFonts w:ascii="Times New Roman" w:eastAsia="Times New Roman" w:hAnsi="Times New Roman" w:cs="Times New Roman"/>
                <w:sz w:val="24"/>
                <w:szCs w:val="24"/>
                <w:lang w:eastAsia="lv-LV"/>
              </w:rPr>
              <w:t> </w:t>
            </w:r>
            <w:r w:rsidR="00627FD0" w:rsidRPr="004E772D">
              <w:rPr>
                <w:rFonts w:ascii="Times New Roman" w:eastAsia="Times New Roman" w:hAnsi="Times New Roman" w:cs="Times New Roman"/>
                <w:sz w:val="24"/>
                <w:szCs w:val="24"/>
                <w:lang w:eastAsia="lv-LV"/>
              </w:rPr>
              <w:t>2</w:t>
            </w:r>
            <w:r w:rsidR="009A36FB">
              <w:rPr>
                <w:rFonts w:ascii="Times New Roman" w:eastAsia="Times New Roman" w:hAnsi="Times New Roman" w:cs="Times New Roman"/>
                <w:sz w:val="24"/>
                <w:szCs w:val="24"/>
                <w:lang w:eastAsia="lv-LV"/>
              </w:rPr>
              <w:t xml:space="preserve"> </w:t>
            </w:r>
            <w:r w:rsidR="007C02F0">
              <w:rPr>
                <w:rFonts w:ascii="Times New Roman" w:eastAsia="Times New Roman" w:hAnsi="Times New Roman" w:cs="Times New Roman"/>
                <w:sz w:val="24"/>
                <w:szCs w:val="24"/>
                <w:lang w:eastAsia="lv-LV"/>
              </w:rPr>
              <w:t xml:space="preserve"> </w:t>
            </w:r>
            <w:bookmarkStart w:id="0" w:name="_GoBack"/>
            <w:bookmarkEnd w:id="0"/>
            <w:r w:rsidR="00627FD0" w:rsidRPr="004E772D">
              <w:rPr>
                <w:rFonts w:ascii="Times New Roman" w:eastAsia="Times New Roman" w:hAnsi="Times New Roman" w:cs="Times New Roman"/>
                <w:sz w:val="24"/>
                <w:szCs w:val="24"/>
                <w:lang w:eastAsia="lv-LV"/>
              </w:rPr>
              <w:t>6.</w:t>
            </w:r>
            <w:r w:rsidR="009A36FB">
              <w:rPr>
                <w:rFonts w:ascii="Times New Roman" w:eastAsia="Times New Roman" w:hAnsi="Times New Roman" w:cs="Times New Roman"/>
                <w:sz w:val="24"/>
                <w:szCs w:val="24"/>
                <w:lang w:eastAsia="lv-LV"/>
              </w:rPr>
              <w:t> </w:t>
            </w:r>
            <w:r w:rsidR="00627FD0" w:rsidRPr="004E772D">
              <w:rPr>
                <w:rFonts w:ascii="Times New Roman" w:eastAsia="Times New Roman" w:hAnsi="Times New Roman" w:cs="Times New Roman"/>
                <w:sz w:val="24"/>
                <w:szCs w:val="24"/>
                <w:lang w:eastAsia="lv-LV"/>
              </w:rPr>
              <w:t>punktā minēto)</w:t>
            </w:r>
            <w:r w:rsidR="00C178DF" w:rsidRPr="004E772D">
              <w:rPr>
                <w:rFonts w:ascii="Times New Roman" w:eastAsia="Times New Roman" w:hAnsi="Times New Roman" w:cs="Times New Roman"/>
                <w:sz w:val="24"/>
                <w:szCs w:val="24"/>
                <w:lang w:eastAsia="lv-LV"/>
              </w:rPr>
              <w:t>. Izvērtējot ministriju iesniegto izpildes analīzes informāciju par mērķfinansējumu, tika secināts, ka optimāl</w:t>
            </w:r>
            <w:r w:rsidR="009A36FB">
              <w:rPr>
                <w:rFonts w:ascii="Times New Roman" w:eastAsia="Times New Roman" w:hAnsi="Times New Roman" w:cs="Times New Roman"/>
                <w:sz w:val="24"/>
                <w:szCs w:val="24"/>
                <w:lang w:eastAsia="lv-LV"/>
              </w:rPr>
              <w:t>ai</w:t>
            </w:r>
            <w:r w:rsidR="00C178DF" w:rsidRPr="004E772D">
              <w:rPr>
                <w:rFonts w:ascii="Times New Roman" w:eastAsia="Times New Roman" w:hAnsi="Times New Roman" w:cs="Times New Roman"/>
                <w:sz w:val="24"/>
                <w:szCs w:val="24"/>
                <w:lang w:eastAsia="lv-LV"/>
              </w:rPr>
              <w:t xml:space="preserve">s iesniegšanas periods par mērķfinansējuma ieņēmumiem un uz tiem attiecināmo </w:t>
            </w:r>
            <w:r w:rsidR="00C178DF" w:rsidRPr="004E772D">
              <w:rPr>
                <w:rFonts w:ascii="Times New Roman" w:eastAsia="Times New Roman" w:hAnsi="Times New Roman" w:cs="Times New Roman"/>
                <w:sz w:val="24"/>
                <w:szCs w:val="24"/>
                <w:lang w:eastAsia="lv-LV"/>
              </w:rPr>
              <w:lastRenderedPageBreak/>
              <w:t xml:space="preserve">izdevumu plānu izpildi ir par gada periodu, jo gada laikā var tikt novērota </w:t>
            </w:r>
            <w:r w:rsidR="008F5BA5" w:rsidRPr="004E772D">
              <w:rPr>
                <w:rFonts w:ascii="Times New Roman" w:eastAsia="Times New Roman" w:hAnsi="Times New Roman" w:cs="Times New Roman"/>
                <w:sz w:val="24"/>
                <w:szCs w:val="24"/>
                <w:lang w:eastAsia="lv-LV"/>
              </w:rPr>
              <w:t xml:space="preserve">ieņēmumu un izdevumu </w:t>
            </w:r>
            <w:r w:rsidR="00C178DF" w:rsidRPr="004E772D">
              <w:rPr>
                <w:rFonts w:ascii="Times New Roman" w:eastAsia="Times New Roman" w:hAnsi="Times New Roman" w:cs="Times New Roman"/>
                <w:sz w:val="24"/>
                <w:szCs w:val="24"/>
                <w:lang w:eastAsia="lv-LV"/>
              </w:rPr>
              <w:t>sezonali</w:t>
            </w:r>
            <w:r w:rsidR="008F5BA5" w:rsidRPr="004E772D">
              <w:rPr>
                <w:rFonts w:ascii="Times New Roman" w:eastAsia="Times New Roman" w:hAnsi="Times New Roman" w:cs="Times New Roman"/>
                <w:sz w:val="24"/>
                <w:szCs w:val="24"/>
                <w:lang w:eastAsia="lv-LV"/>
              </w:rPr>
              <w:t>tāte, kas nesniedz objektīvu izpildes noviržu vērtējumu;</w:t>
            </w:r>
          </w:p>
          <w:p w14:paraId="54782780" w14:textId="3EA45063" w:rsidR="00E54C5F" w:rsidRPr="004E772D" w:rsidRDefault="00AE3A35"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A57E49" w:rsidRPr="004E772D">
              <w:rPr>
                <w:rFonts w:ascii="Times New Roman" w:eastAsia="Times New Roman" w:hAnsi="Times New Roman" w:cs="Times New Roman"/>
                <w:sz w:val="24"/>
                <w:szCs w:val="24"/>
                <w:lang w:eastAsia="lv-LV"/>
              </w:rPr>
              <w:t>precizēta kārtība informācijas iesniegšanai par rezultātu un to rezultatīvo rādītāju izpildes analīzi.</w:t>
            </w:r>
            <w:r w:rsidR="009F7C52" w:rsidRPr="004E772D">
              <w:rPr>
                <w:rFonts w:ascii="Times New Roman" w:eastAsia="Times New Roman" w:hAnsi="Times New Roman" w:cs="Times New Roman"/>
                <w:sz w:val="24"/>
                <w:szCs w:val="24"/>
                <w:lang w:eastAsia="lv-LV"/>
              </w:rPr>
              <w:t xml:space="preserve"> Tā kā atsevišķiem kvalitātes rādītājiem gada sākumā uz informācijas iesniegšanas laiku vēl nav pieejami izpildes dati, tad veiktas izmaiņas</w:t>
            </w:r>
            <w:r w:rsidR="00E67D81" w:rsidRPr="004E772D">
              <w:rPr>
                <w:rFonts w:ascii="Times New Roman" w:eastAsia="Times New Roman" w:hAnsi="Times New Roman" w:cs="Times New Roman"/>
                <w:sz w:val="24"/>
                <w:szCs w:val="24"/>
                <w:lang w:eastAsia="lv-LV"/>
              </w:rPr>
              <w:t xml:space="preserve"> nosacījumos</w:t>
            </w:r>
            <w:r w:rsidR="009F7C52" w:rsidRPr="004E772D">
              <w:rPr>
                <w:rFonts w:ascii="Times New Roman" w:eastAsia="Times New Roman" w:hAnsi="Times New Roman" w:cs="Times New Roman"/>
                <w:sz w:val="24"/>
                <w:szCs w:val="24"/>
                <w:lang w:eastAsia="lv-LV"/>
              </w:rPr>
              <w:t>, ka tādiem kvalitātes rādītājiem jāsniedz informāc</w:t>
            </w:r>
            <w:r w:rsidR="006413B4">
              <w:rPr>
                <w:rFonts w:ascii="Times New Roman" w:eastAsia="Times New Roman" w:hAnsi="Times New Roman" w:cs="Times New Roman"/>
                <w:sz w:val="24"/>
                <w:szCs w:val="24"/>
                <w:lang w:eastAsia="lv-LV"/>
              </w:rPr>
              <w:t xml:space="preserve">ija par pēdējo pieejamo izpildi. </w:t>
            </w:r>
            <w:r w:rsidR="002F30BC" w:rsidRPr="004E772D">
              <w:rPr>
                <w:rFonts w:ascii="Times New Roman" w:eastAsia="Times New Roman" w:hAnsi="Times New Roman" w:cs="Times New Roman"/>
                <w:sz w:val="24"/>
                <w:szCs w:val="24"/>
                <w:lang w:eastAsia="lv-LV"/>
              </w:rPr>
              <w:t>Kā arī p</w:t>
            </w:r>
            <w:r w:rsidR="00627FD0" w:rsidRPr="004E772D">
              <w:rPr>
                <w:rFonts w:ascii="Times New Roman" w:eastAsia="Times New Roman" w:hAnsi="Times New Roman" w:cs="Times New Roman"/>
                <w:sz w:val="24"/>
                <w:szCs w:val="24"/>
                <w:lang w:eastAsia="lv-LV"/>
              </w:rPr>
              <w:t>recizēti nosacījumi par pārskata perioda prioritāro pasākumu izdevumu izpildes novirzes skaidrošanu – jāsniedz skaidrojums, ja tā pārsniedz 1</w:t>
            </w:r>
            <w:r w:rsidR="006413B4">
              <w:rPr>
                <w:rFonts w:ascii="Times New Roman" w:eastAsia="Times New Roman" w:hAnsi="Times New Roman" w:cs="Times New Roman"/>
                <w:sz w:val="24"/>
                <w:szCs w:val="24"/>
                <w:lang w:eastAsia="lv-LV"/>
              </w:rPr>
              <w:t>5 procentus vai ir lielāka par 5</w:t>
            </w:r>
            <w:r w:rsidR="00627FD0" w:rsidRPr="004E772D">
              <w:rPr>
                <w:rFonts w:ascii="Times New Roman" w:eastAsia="Times New Roman" w:hAnsi="Times New Roman" w:cs="Times New Roman"/>
                <w:sz w:val="24"/>
                <w:szCs w:val="24"/>
                <w:lang w:eastAsia="lv-LV"/>
              </w:rPr>
              <w:t>00 000 </w:t>
            </w:r>
            <w:proofErr w:type="spellStart"/>
            <w:r w:rsidR="00627FD0" w:rsidRPr="004E772D">
              <w:rPr>
                <w:rFonts w:ascii="Times New Roman" w:eastAsia="Times New Roman" w:hAnsi="Times New Roman" w:cs="Times New Roman"/>
                <w:i/>
                <w:sz w:val="24"/>
                <w:szCs w:val="24"/>
                <w:lang w:eastAsia="lv-LV"/>
              </w:rPr>
              <w:t>euro</w:t>
            </w:r>
            <w:proofErr w:type="spellEnd"/>
            <w:r w:rsidR="00627FD0" w:rsidRPr="004E772D">
              <w:rPr>
                <w:rFonts w:ascii="Times New Roman" w:eastAsia="Times New Roman" w:hAnsi="Times New Roman" w:cs="Times New Roman"/>
                <w:sz w:val="24"/>
                <w:szCs w:val="24"/>
                <w:lang w:eastAsia="lv-LV"/>
              </w:rPr>
              <w:t>.</w:t>
            </w:r>
          </w:p>
        </w:tc>
      </w:tr>
      <w:tr w:rsidR="004E772D" w:rsidRPr="004E772D" w14:paraId="598D26A7"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3B807E15" w:rsidR="002E7068" w:rsidRPr="004E772D" w:rsidRDefault="00D9642B" w:rsidP="002E706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Finanšu ministrija.</w:t>
            </w:r>
          </w:p>
        </w:tc>
      </w:tr>
      <w:tr w:rsidR="004E772D" w:rsidRPr="004E772D" w14:paraId="2745CAE4" w14:textId="77777777" w:rsidTr="009B2A39">
        <w:trPr>
          <w:trHeight w:val="876"/>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464A44EA" w:rsidR="00E5323B" w:rsidRPr="004E772D" w:rsidRDefault="00C95483" w:rsidP="00D9642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4E6435" w:rsidRPr="004E772D">
              <w:rPr>
                <w:rFonts w:ascii="Times New Roman" w:eastAsia="Times New Roman" w:hAnsi="Times New Roman" w:cs="Times New Roman"/>
                <w:sz w:val="24"/>
                <w:szCs w:val="24"/>
                <w:lang w:eastAsia="lv-LV"/>
              </w:rPr>
              <w:t xml:space="preserve">projektā ietverto regulējumu paredzēts piemērot jau sagatavojot </w:t>
            </w:r>
            <w:r w:rsidR="004E6435" w:rsidRPr="004E772D">
              <w:rPr>
                <w:rFonts w:ascii="Times New Roman" w:eastAsia="Times New Roman" w:hAnsi="Times New Roman" w:cs="Times New Roman"/>
                <w:iCs/>
                <w:sz w:val="24"/>
                <w:szCs w:val="24"/>
                <w:lang w:eastAsia="lv-LV"/>
              </w:rPr>
              <w:t>valsts budžeta izpildes analīzi par</w:t>
            </w:r>
            <w:r w:rsidR="004E6435" w:rsidRPr="004E772D">
              <w:rPr>
                <w:rFonts w:ascii="Times New Roman" w:eastAsia="Times New Roman" w:hAnsi="Times New Roman" w:cs="Times New Roman"/>
                <w:sz w:val="24"/>
                <w:szCs w:val="24"/>
                <w:lang w:eastAsia="lv-LV"/>
              </w:rPr>
              <w:t xml:space="preserve"> 201</w:t>
            </w:r>
            <w:r w:rsidR="00D9642B" w:rsidRPr="004E772D">
              <w:rPr>
                <w:rFonts w:ascii="Times New Roman" w:eastAsia="Times New Roman" w:hAnsi="Times New Roman" w:cs="Times New Roman"/>
                <w:sz w:val="24"/>
                <w:szCs w:val="24"/>
                <w:lang w:eastAsia="lv-LV"/>
              </w:rPr>
              <w:t>9</w:t>
            </w:r>
            <w:r w:rsidR="004E6435" w:rsidRPr="004E772D">
              <w:rPr>
                <w:rFonts w:ascii="Times New Roman" w:eastAsia="Times New Roman" w:hAnsi="Times New Roman" w:cs="Times New Roman"/>
                <w:sz w:val="24"/>
                <w:szCs w:val="24"/>
                <w:lang w:eastAsia="lv-LV"/>
              </w:rPr>
              <w:t>. gad</w:t>
            </w:r>
            <w:r w:rsidR="00826772" w:rsidRPr="004E772D">
              <w:rPr>
                <w:rFonts w:ascii="Times New Roman" w:eastAsia="Times New Roman" w:hAnsi="Times New Roman" w:cs="Times New Roman"/>
                <w:sz w:val="24"/>
                <w:szCs w:val="24"/>
                <w:lang w:eastAsia="lv-LV"/>
              </w:rPr>
              <w:t>a sešiem</w:t>
            </w:r>
            <w:r w:rsidR="00E75970" w:rsidRPr="004E772D">
              <w:rPr>
                <w:rFonts w:ascii="Times New Roman" w:eastAsia="Times New Roman" w:hAnsi="Times New Roman" w:cs="Times New Roman"/>
                <w:sz w:val="24"/>
                <w:szCs w:val="24"/>
                <w:lang w:eastAsia="lv-LV"/>
              </w:rPr>
              <w:t> </w:t>
            </w:r>
            <w:r w:rsidR="00035B33" w:rsidRPr="004E772D">
              <w:rPr>
                <w:rFonts w:ascii="Times New Roman" w:eastAsia="Times New Roman" w:hAnsi="Times New Roman" w:cs="Times New Roman"/>
                <w:sz w:val="24"/>
                <w:szCs w:val="24"/>
                <w:lang w:eastAsia="lv-LV"/>
              </w:rPr>
              <w:t>mēnešiem</w:t>
            </w:r>
            <w:r w:rsidR="004E6435" w:rsidRPr="004E772D">
              <w:rPr>
                <w:rFonts w:ascii="Times New Roman" w:eastAsia="Times New Roman" w:hAnsi="Times New Roman" w:cs="Times New Roman"/>
                <w:sz w:val="24"/>
                <w:szCs w:val="24"/>
                <w:lang w:eastAsia="lv-LV"/>
              </w:rPr>
              <w:t>.</w:t>
            </w:r>
          </w:p>
        </w:tc>
      </w:tr>
    </w:tbl>
    <w:p w14:paraId="3B8541BA" w14:textId="77777777" w:rsidR="00E5323B" w:rsidRPr="00964C8D" w:rsidRDefault="00E5323B" w:rsidP="00E5323B">
      <w:pPr>
        <w:spacing w:after="0" w:line="240" w:lineRule="auto"/>
        <w:rPr>
          <w:rFonts w:ascii="Times New Roman" w:eastAsia="Times New Roman" w:hAnsi="Times New Roman" w:cs="Times New Roman"/>
          <w:iCs/>
          <w:color w:val="414142"/>
          <w:sz w:val="16"/>
          <w:szCs w:val="16"/>
          <w:lang w:eastAsia="lv-LV"/>
        </w:rPr>
      </w:pPr>
      <w:r w:rsidRPr="00964C8D">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Sabiedrības </w:t>
            </w:r>
            <w:proofErr w:type="spellStart"/>
            <w:r w:rsidRPr="003561C0">
              <w:rPr>
                <w:rFonts w:ascii="Times New Roman" w:eastAsia="Times New Roman" w:hAnsi="Times New Roman" w:cs="Times New Roman"/>
                <w:iCs/>
                <w:sz w:val="24"/>
                <w:szCs w:val="24"/>
                <w:lang w:eastAsia="lv-LV"/>
              </w:rPr>
              <w:t>mērķgrupas</w:t>
            </w:r>
            <w:proofErr w:type="spellEnd"/>
            <w:r w:rsidRPr="003561C0">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3561C0" w:rsidRDefault="00A11E74"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Ministriju un citu centrālo valsts iestāžu darbinieki.</w:t>
            </w:r>
          </w:p>
        </w:tc>
      </w:tr>
      <w:tr w:rsidR="003561C0" w:rsidRPr="003561C0" w14:paraId="2B7776D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2C0AAC25" w:rsidR="00E5323B" w:rsidRPr="003561C0" w:rsidRDefault="00C95483" w:rsidP="00D9642B">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 xml:space="preserve">Instrukcijas </w:t>
            </w:r>
            <w:r w:rsidR="0021214B" w:rsidRPr="003561C0">
              <w:rPr>
                <w:rFonts w:ascii="Times New Roman" w:eastAsia="Times New Roman" w:hAnsi="Times New Roman" w:cs="Times New Roman"/>
                <w:sz w:val="24"/>
                <w:szCs w:val="24"/>
                <w:lang w:eastAsia="lv-LV"/>
              </w:rPr>
              <w:t>projekt</w:t>
            </w:r>
            <w:r w:rsidRPr="003561C0">
              <w:rPr>
                <w:rFonts w:ascii="Times New Roman" w:eastAsia="Times New Roman" w:hAnsi="Times New Roman" w:cs="Times New Roman"/>
                <w:sz w:val="24"/>
                <w:szCs w:val="24"/>
                <w:lang w:eastAsia="lv-LV"/>
              </w:rPr>
              <w:t>s</w:t>
            </w:r>
            <w:r w:rsidR="0021214B" w:rsidRPr="003561C0">
              <w:rPr>
                <w:rFonts w:ascii="Times New Roman" w:eastAsia="Times New Roman" w:hAnsi="Times New Roman" w:cs="Times New Roman"/>
                <w:sz w:val="24"/>
                <w:szCs w:val="24"/>
                <w:lang w:eastAsia="lv-LV"/>
              </w:rPr>
              <w:t xml:space="preserve"> sagatavots, lai pilnveidotu valsts budžeta izpildes analīzes procesu</w:t>
            </w:r>
            <w:r w:rsidR="0000500C" w:rsidRPr="003561C0">
              <w:rPr>
                <w:rFonts w:ascii="Times New Roman" w:eastAsia="Times New Roman" w:hAnsi="Times New Roman" w:cs="Times New Roman"/>
                <w:sz w:val="24"/>
                <w:szCs w:val="24"/>
                <w:lang w:eastAsia="lv-LV"/>
              </w:rPr>
              <w:t>, lai palielinātu tā efektivitāti un lietderību</w:t>
            </w:r>
            <w:r w:rsidR="0021214B" w:rsidRPr="003561C0">
              <w:rPr>
                <w:rFonts w:ascii="Times New Roman" w:eastAsia="Times New Roman" w:hAnsi="Times New Roman" w:cs="Times New Roman"/>
                <w:sz w:val="24"/>
                <w:szCs w:val="24"/>
                <w:lang w:eastAsia="lv-LV"/>
              </w:rPr>
              <w:t xml:space="preserve">. </w:t>
            </w:r>
          </w:p>
        </w:tc>
      </w:tr>
      <w:tr w:rsidR="003561C0" w:rsidRPr="003561C0" w14:paraId="6956D4C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1679B6BB" w:rsidR="00E5323B" w:rsidRPr="003561C0" w:rsidRDefault="00D9642B" w:rsidP="001B74A9">
            <w:pPr>
              <w:pStyle w:val="naiskr"/>
              <w:spacing w:before="0" w:after="0"/>
              <w:ind w:right="81"/>
              <w:jc w:val="both"/>
              <w:rPr>
                <w:iCs/>
              </w:rPr>
            </w:pPr>
            <w:r w:rsidRPr="003561C0">
              <w:rPr>
                <w:iCs/>
              </w:rPr>
              <w:t>Projekts neradīs papildu administratīvo slogu.</w:t>
            </w:r>
          </w:p>
        </w:tc>
      </w:tr>
      <w:tr w:rsidR="003561C0" w:rsidRPr="003561C0" w14:paraId="4DB3E0B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964C8D" w:rsidRDefault="00E5323B" w:rsidP="00E5323B">
      <w:pPr>
        <w:spacing w:after="0" w:line="240" w:lineRule="auto"/>
        <w:rPr>
          <w:rFonts w:ascii="Times New Roman" w:eastAsia="Times New Roman" w:hAnsi="Times New Roman" w:cs="Times New Roman"/>
          <w:iCs/>
          <w:color w:val="414142"/>
          <w:sz w:val="16"/>
          <w:szCs w:val="16"/>
          <w:lang w:eastAsia="lv-LV"/>
        </w:rPr>
      </w:pPr>
      <w:r w:rsidRPr="00964C8D">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C0CA5FE" w14:textId="77777777" w:rsidR="00E5323B" w:rsidRPr="00964C8D" w:rsidRDefault="00E5323B" w:rsidP="00E5323B">
      <w:pPr>
        <w:spacing w:after="0" w:line="240" w:lineRule="auto"/>
        <w:rPr>
          <w:rFonts w:ascii="Times New Roman" w:eastAsia="Times New Roman" w:hAnsi="Times New Roman" w:cs="Times New Roman"/>
          <w:iCs/>
          <w:color w:val="414142"/>
          <w:sz w:val="16"/>
          <w:szCs w:val="16"/>
          <w:lang w:eastAsia="lv-LV"/>
        </w:rPr>
      </w:pPr>
      <w:r w:rsidRPr="00964C8D">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33487AC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3561C0" w:rsidRPr="003561C0"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41AE5DA" w14:textId="77777777" w:rsidR="00E5323B" w:rsidRPr="00964C8D" w:rsidRDefault="00E5323B" w:rsidP="00E5323B">
      <w:pPr>
        <w:spacing w:after="0" w:line="240" w:lineRule="auto"/>
        <w:rPr>
          <w:rFonts w:ascii="Times New Roman" w:eastAsia="Times New Roman" w:hAnsi="Times New Roman" w:cs="Times New Roman"/>
          <w:iCs/>
          <w:color w:val="414142"/>
          <w:sz w:val="16"/>
          <w:szCs w:val="16"/>
          <w:lang w:eastAsia="lv-LV"/>
        </w:rPr>
      </w:pPr>
      <w:r w:rsidRPr="00964C8D">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3561C0" w:rsidRPr="003561C0"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 Sabiedrības līdzdalība un komunikācijas aktivitātes</w:t>
            </w:r>
          </w:p>
        </w:tc>
      </w:tr>
      <w:tr w:rsidR="003561C0" w:rsidRPr="003561C0" w14:paraId="11BAE586"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77777777" w:rsidR="00E5323B" w:rsidRPr="003561C0" w:rsidRDefault="00B2538F" w:rsidP="00B2538F">
            <w:pPr>
              <w:spacing w:after="0" w:line="240" w:lineRule="auto"/>
              <w:jc w:val="both"/>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Uzziņa par projekta izstrādi tika publicēta Finanšu ministrijas mājas lapā sadaļā "Sabiedrības līdzdalība".</w:t>
            </w:r>
          </w:p>
        </w:tc>
      </w:tr>
      <w:tr w:rsidR="00E5323B" w:rsidRPr="00355527" w14:paraId="20E9C70D" w14:textId="77777777" w:rsidTr="009B2A39">
        <w:trPr>
          <w:trHeight w:val="1263"/>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43FB3637" w:rsidR="00FB4735" w:rsidRPr="007C7DD0" w:rsidRDefault="00903E30" w:rsidP="007C7DD0">
            <w:pPr>
              <w:spacing w:after="0" w:line="240" w:lineRule="auto"/>
              <w:jc w:val="both"/>
              <w:rPr>
                <w:rFonts w:ascii="Times New Roman" w:eastAsia="Times New Roman" w:hAnsi="Times New Roman" w:cs="Times New Roman"/>
                <w:color w:val="0000FF"/>
                <w:sz w:val="24"/>
                <w:szCs w:val="24"/>
                <w:u w:val="single"/>
                <w:lang w:eastAsia="lv-LV"/>
              </w:rPr>
            </w:pPr>
            <w:r>
              <w:rPr>
                <w:rFonts w:ascii="Times New Roman" w:eastAsia="Times New Roman" w:hAnsi="Times New Roman" w:cs="Times New Roman"/>
                <w:sz w:val="24"/>
                <w:szCs w:val="24"/>
                <w:lang w:eastAsia="lv-LV"/>
              </w:rPr>
              <w:t>Uzziņa</w:t>
            </w:r>
            <w:r w:rsidR="00B2538F" w:rsidRPr="00B2538F">
              <w:rPr>
                <w:rFonts w:ascii="Times New Roman" w:eastAsia="Times New Roman" w:hAnsi="Times New Roman" w:cs="Times New Roman"/>
                <w:sz w:val="24"/>
                <w:szCs w:val="24"/>
                <w:lang w:eastAsia="lv-LV"/>
              </w:rPr>
              <w:t xml:space="preserve"> </w:t>
            </w:r>
            <w:r w:rsidR="00EF3CF8">
              <w:rPr>
                <w:rFonts w:ascii="Times New Roman" w:eastAsia="Times New Roman" w:hAnsi="Times New Roman" w:cs="Times New Roman"/>
                <w:sz w:val="24"/>
                <w:szCs w:val="24"/>
                <w:lang w:eastAsia="lv-LV"/>
              </w:rPr>
              <w:t>2019.</w:t>
            </w:r>
            <w:r w:rsidR="00576657">
              <w:rPr>
                <w:rFonts w:ascii="Times New Roman" w:eastAsia="Times New Roman" w:hAnsi="Times New Roman" w:cs="Times New Roman"/>
                <w:sz w:val="24"/>
                <w:szCs w:val="24"/>
                <w:lang w:eastAsia="lv-LV"/>
              </w:rPr>
              <w:t> </w:t>
            </w:r>
            <w:r w:rsidR="00EF3CF8">
              <w:rPr>
                <w:rFonts w:ascii="Times New Roman" w:eastAsia="Times New Roman" w:hAnsi="Times New Roman" w:cs="Times New Roman"/>
                <w:sz w:val="24"/>
                <w:szCs w:val="24"/>
                <w:lang w:eastAsia="lv-LV"/>
              </w:rPr>
              <w:t>gada 25.</w:t>
            </w:r>
            <w:r w:rsidR="00576657">
              <w:rPr>
                <w:rFonts w:ascii="Times New Roman" w:eastAsia="Times New Roman" w:hAnsi="Times New Roman" w:cs="Times New Roman"/>
                <w:sz w:val="24"/>
                <w:szCs w:val="24"/>
                <w:lang w:eastAsia="lv-LV"/>
              </w:rPr>
              <w:t> </w:t>
            </w:r>
            <w:r w:rsidR="00EF3CF8">
              <w:rPr>
                <w:rFonts w:ascii="Times New Roman" w:eastAsia="Times New Roman" w:hAnsi="Times New Roman" w:cs="Times New Roman"/>
                <w:sz w:val="24"/>
                <w:szCs w:val="24"/>
                <w:lang w:eastAsia="lv-LV"/>
              </w:rPr>
              <w:t>martā</w:t>
            </w:r>
            <w:r w:rsidR="00EF3CF8" w:rsidRPr="00B2538F">
              <w:rPr>
                <w:rFonts w:ascii="Times New Roman" w:eastAsia="Times New Roman" w:hAnsi="Times New Roman" w:cs="Times New Roman"/>
                <w:sz w:val="24"/>
                <w:szCs w:val="24"/>
                <w:lang w:eastAsia="lv-LV"/>
              </w:rPr>
              <w:t xml:space="preserve"> </w:t>
            </w:r>
            <w:r w:rsidR="00B2538F" w:rsidRPr="00B2538F">
              <w:rPr>
                <w:rFonts w:ascii="Times New Roman" w:eastAsia="Times New Roman" w:hAnsi="Times New Roman" w:cs="Times New Roman"/>
                <w:sz w:val="24"/>
                <w:szCs w:val="24"/>
                <w:lang w:eastAsia="lv-LV"/>
              </w:rPr>
              <w:t>publicē</w:t>
            </w:r>
            <w:r>
              <w:rPr>
                <w:rFonts w:ascii="Times New Roman" w:eastAsia="Times New Roman" w:hAnsi="Times New Roman" w:cs="Times New Roman"/>
                <w:sz w:val="24"/>
                <w:szCs w:val="24"/>
                <w:lang w:eastAsia="lv-LV"/>
              </w:rPr>
              <w:t>ta</w:t>
            </w:r>
            <w:r w:rsidR="006E60CF">
              <w:rPr>
                <w:rFonts w:ascii="Times New Roman" w:eastAsia="Times New Roman" w:hAnsi="Times New Roman" w:cs="Times New Roman"/>
                <w:sz w:val="24"/>
                <w:szCs w:val="24"/>
                <w:lang w:eastAsia="lv-LV"/>
              </w:rPr>
              <w:t xml:space="preserve"> FM</w:t>
            </w:r>
            <w:r w:rsidR="00B2538F" w:rsidRPr="00B2538F">
              <w:rPr>
                <w:rFonts w:ascii="Times New Roman" w:eastAsia="Times New Roman" w:hAnsi="Times New Roman" w:cs="Times New Roman"/>
                <w:sz w:val="24"/>
                <w:szCs w:val="24"/>
                <w:lang w:eastAsia="lv-LV"/>
              </w:rPr>
              <w:t xml:space="preserve"> tīmekļvie</w:t>
            </w:r>
            <w:r w:rsidR="006E60CF">
              <w:rPr>
                <w:rFonts w:ascii="Times New Roman" w:eastAsia="Times New Roman" w:hAnsi="Times New Roman" w:cs="Times New Roman"/>
                <w:sz w:val="24"/>
                <w:szCs w:val="24"/>
                <w:lang w:eastAsia="lv-LV"/>
              </w:rPr>
              <w:t xml:space="preserve">tnē </w:t>
            </w:r>
            <w:hyperlink r:id="rId8" w:history="1">
              <w:r w:rsidR="007C7DD0" w:rsidRPr="004666D1">
                <w:rPr>
                  <w:rStyle w:val="Hyperlink"/>
                  <w:rFonts w:ascii="Times New Roman" w:eastAsia="Times New Roman" w:hAnsi="Times New Roman" w:cs="Times New Roman"/>
                  <w:sz w:val="24"/>
                  <w:szCs w:val="24"/>
                  <w:lang w:eastAsia="lv-LV"/>
                </w:rPr>
                <w:t>http://www.fm.gov.lv/lv/sabiedribas_lidzdaliba/tiesibu_aktu_projekti/</w:t>
              </w:r>
            </w:hyperlink>
            <w:r w:rsidR="007C7DD0">
              <w:rPr>
                <w:rStyle w:val="Hyperlink"/>
                <w:rFonts w:ascii="Times New Roman" w:eastAsia="Times New Roman" w:hAnsi="Times New Roman" w:cs="Times New Roman"/>
                <w:sz w:val="24"/>
                <w:szCs w:val="24"/>
                <w:u w:val="none"/>
                <w:lang w:eastAsia="lv-LV"/>
              </w:rPr>
              <w:t xml:space="preserve"> </w:t>
            </w:r>
            <w:r w:rsidR="00FB4735">
              <w:rPr>
                <w:rStyle w:val="Hyperlink"/>
                <w:rFonts w:ascii="Times New Roman" w:eastAsia="Times New Roman" w:hAnsi="Times New Roman" w:cs="Times New Roman"/>
                <w:color w:val="auto"/>
                <w:sz w:val="24"/>
                <w:szCs w:val="24"/>
                <w:u w:val="none"/>
                <w:lang w:eastAsia="lv-LV"/>
              </w:rPr>
              <w:t xml:space="preserve">un </w:t>
            </w:r>
            <w:r w:rsidR="00FB4735" w:rsidRPr="00FB4735">
              <w:rPr>
                <w:rStyle w:val="Hyperlink"/>
                <w:rFonts w:ascii="Times New Roman" w:eastAsia="Times New Roman" w:hAnsi="Times New Roman" w:cs="Times New Roman"/>
                <w:color w:val="auto"/>
                <w:sz w:val="24"/>
                <w:szCs w:val="24"/>
                <w:u w:val="none"/>
                <w:lang w:eastAsia="lv-LV"/>
              </w:rPr>
              <w:t>Valsts Kancelejas tīmekļvietnē</w:t>
            </w:r>
            <w:r w:rsidR="00FB4735">
              <w:rPr>
                <w:rStyle w:val="Hyperlink"/>
                <w:rFonts w:ascii="Times New Roman" w:eastAsia="Times New Roman" w:hAnsi="Times New Roman" w:cs="Times New Roman"/>
                <w:color w:val="auto"/>
                <w:sz w:val="24"/>
                <w:szCs w:val="24"/>
                <w:u w:val="none"/>
                <w:lang w:eastAsia="lv-LV"/>
              </w:rPr>
              <w:t xml:space="preserve"> </w:t>
            </w:r>
            <w:hyperlink r:id="rId9" w:history="1">
              <w:r w:rsidR="00FB4735" w:rsidRPr="00F53A65">
                <w:rPr>
                  <w:rStyle w:val="Hyperlink"/>
                  <w:rFonts w:ascii="Times New Roman" w:eastAsia="Times New Roman" w:hAnsi="Times New Roman" w:cs="Times New Roman"/>
                  <w:sz w:val="24"/>
                  <w:szCs w:val="24"/>
                  <w:lang w:eastAsia="lv-LV"/>
                </w:rPr>
                <w:t>https://www.mk.gov.lv/content/ministru-kabineta-diskusiju-dokumenti</w:t>
              </w:r>
            </w:hyperlink>
            <w:r w:rsidR="00FB4735">
              <w:rPr>
                <w:rStyle w:val="Hyperlink"/>
                <w:rFonts w:ascii="Times New Roman" w:eastAsia="Times New Roman" w:hAnsi="Times New Roman" w:cs="Times New Roman"/>
                <w:color w:val="auto"/>
                <w:sz w:val="24"/>
                <w:szCs w:val="24"/>
                <w:u w:val="none"/>
                <w:lang w:eastAsia="lv-LV"/>
              </w:rPr>
              <w:t>.</w:t>
            </w:r>
          </w:p>
        </w:tc>
      </w:tr>
      <w:tr w:rsidR="003561C0" w:rsidRPr="003561C0" w14:paraId="3E43646B"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4971F0D0" w:rsidR="00E5323B" w:rsidRPr="003561C0" w:rsidRDefault="0021688C"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21688C">
              <w:rPr>
                <w:rFonts w:ascii="Times New Roman" w:eastAsia="Times New Roman" w:hAnsi="Times New Roman" w:cs="Times New Roman"/>
                <w:sz w:val="24"/>
                <w:szCs w:val="24"/>
                <w:lang w:eastAsia="lv-LV"/>
              </w:rPr>
              <w:t>iedokļi netika saņemti</w:t>
            </w:r>
            <w:r>
              <w:rPr>
                <w:rFonts w:ascii="Times New Roman" w:eastAsia="Times New Roman" w:hAnsi="Times New Roman" w:cs="Times New Roman"/>
                <w:sz w:val="24"/>
                <w:szCs w:val="24"/>
                <w:lang w:eastAsia="lv-LV"/>
              </w:rPr>
              <w:t>.</w:t>
            </w:r>
          </w:p>
        </w:tc>
      </w:tr>
      <w:tr w:rsidR="003561C0" w:rsidRPr="003561C0" w14:paraId="2F73F45E"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77777777" w:rsidR="00E5323B" w:rsidRPr="003561C0" w:rsidRDefault="00BF733C"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Nav</w:t>
            </w:r>
          </w:p>
        </w:tc>
      </w:tr>
    </w:tbl>
    <w:p w14:paraId="0E7278B8" w14:textId="77777777" w:rsidR="00E5323B" w:rsidRPr="00964C8D" w:rsidRDefault="00E5323B" w:rsidP="00E5323B">
      <w:pPr>
        <w:spacing w:after="0" w:line="240" w:lineRule="auto"/>
        <w:rPr>
          <w:rFonts w:ascii="Times New Roman" w:eastAsia="Times New Roman" w:hAnsi="Times New Roman" w:cs="Times New Roman"/>
          <w:iCs/>
          <w:color w:val="414142"/>
          <w:sz w:val="16"/>
          <w:szCs w:val="16"/>
          <w:lang w:eastAsia="lv-LV"/>
        </w:rPr>
      </w:pPr>
      <w:r w:rsidRPr="00964C8D">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561C0" w:rsidRPr="003561C0" w14:paraId="2A30D3B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4ED7B0E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61465D8C" w:rsidR="00E5323B" w:rsidRPr="003561C0" w:rsidRDefault="001B3D73" w:rsidP="00BA7047">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 xml:space="preserve">Ministrijas un citas centrālās valsts iestādes, </w:t>
            </w:r>
            <w:r w:rsidR="00C95483" w:rsidRPr="003561C0">
              <w:rPr>
                <w:rFonts w:ascii="Times New Roman" w:eastAsia="Times New Roman" w:hAnsi="Times New Roman" w:cs="Times New Roman"/>
                <w:sz w:val="24"/>
                <w:szCs w:val="24"/>
                <w:lang w:eastAsia="lv-LV"/>
              </w:rPr>
              <w:t xml:space="preserve">kas </w:t>
            </w:r>
            <w:r w:rsidRPr="003561C0">
              <w:rPr>
                <w:rFonts w:ascii="Times New Roman" w:eastAsia="Times New Roman" w:hAnsi="Times New Roman" w:cs="Times New Roman"/>
                <w:sz w:val="24"/>
                <w:szCs w:val="24"/>
                <w:lang w:eastAsia="lv-LV"/>
              </w:rPr>
              <w:t xml:space="preserve">sagatavo informāciju un veic analīzi </w:t>
            </w:r>
            <w:r w:rsidR="00434EFB" w:rsidRPr="003561C0">
              <w:rPr>
                <w:rFonts w:ascii="Times New Roman" w:eastAsia="Times New Roman" w:hAnsi="Times New Roman" w:cs="Times New Roman"/>
                <w:sz w:val="24"/>
                <w:szCs w:val="24"/>
                <w:lang w:eastAsia="lv-LV"/>
              </w:rPr>
              <w:t xml:space="preserve">par </w:t>
            </w:r>
            <w:r w:rsidRPr="003561C0">
              <w:rPr>
                <w:rFonts w:ascii="Times New Roman" w:eastAsia="Times New Roman" w:hAnsi="Times New Roman" w:cs="Times New Roman"/>
                <w:sz w:val="24"/>
                <w:szCs w:val="24"/>
                <w:lang w:eastAsia="lv-LV"/>
              </w:rPr>
              <w:t xml:space="preserve">gadskārtējā valsts budžeta izpildi un iesniedz to </w:t>
            </w:r>
            <w:r w:rsidR="00BA7047" w:rsidRPr="003561C0">
              <w:rPr>
                <w:rFonts w:ascii="Times New Roman" w:eastAsia="Times New Roman" w:hAnsi="Times New Roman" w:cs="Times New Roman"/>
                <w:sz w:val="24"/>
                <w:szCs w:val="24"/>
                <w:lang w:eastAsia="lv-LV"/>
              </w:rPr>
              <w:t>FM</w:t>
            </w:r>
            <w:r w:rsidRPr="003561C0">
              <w:rPr>
                <w:rFonts w:ascii="Times New Roman" w:eastAsia="Times New Roman" w:hAnsi="Times New Roman" w:cs="Times New Roman"/>
                <w:sz w:val="24"/>
                <w:szCs w:val="24"/>
                <w:lang w:eastAsia="lv-LV"/>
              </w:rPr>
              <w:t>.</w:t>
            </w:r>
          </w:p>
        </w:tc>
      </w:tr>
      <w:tr w:rsidR="003561C0" w:rsidRPr="003561C0" w14:paraId="0850966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2D5902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izpildes ietekme uz pārvaldes funkcijām un institucionālo struktūru.</w:t>
            </w:r>
            <w:r w:rsidRPr="003561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7777777" w:rsidR="007D5CA9" w:rsidRPr="003561C0" w:rsidRDefault="007D5CA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Projekta izpildi paredzēts nodrošināt esošo funkciju ietvaros.</w:t>
            </w:r>
          </w:p>
        </w:tc>
      </w:tr>
      <w:tr w:rsidR="003561C0" w:rsidRPr="003561C0" w14:paraId="203D018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858DC7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77777777" w:rsidR="00E5323B" w:rsidRPr="003561C0" w:rsidRDefault="00963CBC"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Nav</w:t>
            </w:r>
          </w:p>
        </w:tc>
      </w:tr>
    </w:tbl>
    <w:p w14:paraId="5F710364" w14:textId="77777777" w:rsidR="00C25B49" w:rsidRPr="00355527" w:rsidRDefault="00C25B49" w:rsidP="00894C55">
      <w:pPr>
        <w:spacing w:after="0" w:line="240" w:lineRule="auto"/>
        <w:rPr>
          <w:rFonts w:ascii="Times New Roman" w:hAnsi="Times New Roman" w:cs="Times New Roman"/>
          <w:sz w:val="28"/>
          <w:szCs w:val="28"/>
        </w:rPr>
      </w:pPr>
    </w:p>
    <w:p w14:paraId="6433E424" w14:textId="6CCCFAE0" w:rsidR="006E60CF" w:rsidRDefault="006E60CF" w:rsidP="00894C55">
      <w:pPr>
        <w:spacing w:after="0" w:line="240" w:lineRule="auto"/>
        <w:rPr>
          <w:rFonts w:ascii="Times New Roman" w:hAnsi="Times New Roman" w:cs="Times New Roman"/>
          <w:sz w:val="28"/>
          <w:szCs w:val="28"/>
        </w:rPr>
      </w:pPr>
    </w:p>
    <w:p w14:paraId="0EC15C3D" w14:textId="77777777" w:rsidR="009B2A39" w:rsidRPr="00355527" w:rsidRDefault="009B2A39" w:rsidP="00894C55">
      <w:pPr>
        <w:spacing w:after="0" w:line="240" w:lineRule="auto"/>
        <w:rPr>
          <w:rFonts w:ascii="Times New Roman" w:hAnsi="Times New Roman" w:cs="Times New Roman"/>
          <w:sz w:val="28"/>
          <w:szCs w:val="28"/>
        </w:rPr>
      </w:pPr>
    </w:p>
    <w:p w14:paraId="34F718FD" w14:textId="515FE131" w:rsidR="00894C55" w:rsidRDefault="00963CBC" w:rsidP="00964C8D">
      <w:pPr>
        <w:spacing w:after="0" w:line="240" w:lineRule="auto"/>
        <w:rPr>
          <w:rFonts w:ascii="Times New Roman" w:hAnsi="Times New Roman" w:cs="Times New Roman"/>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FB4735">
        <w:rPr>
          <w:rFonts w:ascii="Times New Roman" w:hAnsi="Times New Roman" w:cs="Times New Roman"/>
          <w:sz w:val="28"/>
          <w:szCs w:val="28"/>
        </w:rPr>
        <w:t>J.Reirs</w:t>
      </w:r>
      <w:proofErr w:type="spellEnd"/>
    </w:p>
    <w:p w14:paraId="6C40289B" w14:textId="1AF32EAB" w:rsidR="00FD420F" w:rsidRPr="00964C8D" w:rsidRDefault="00FD420F" w:rsidP="00FD420F">
      <w:pPr>
        <w:spacing w:after="0" w:line="240" w:lineRule="auto"/>
        <w:rPr>
          <w:rFonts w:ascii="Times New Roman" w:hAnsi="Times New Roman" w:cs="Times New Roman"/>
          <w:sz w:val="16"/>
          <w:szCs w:val="16"/>
        </w:rPr>
      </w:pPr>
    </w:p>
    <w:p w14:paraId="1719902C" w14:textId="609DEE27" w:rsidR="00964C8D" w:rsidRDefault="00964C8D" w:rsidP="00963CBC">
      <w:pPr>
        <w:spacing w:after="0" w:line="240" w:lineRule="auto"/>
        <w:jc w:val="both"/>
        <w:rPr>
          <w:rFonts w:ascii="Times New Roman" w:eastAsia="Times New Roman" w:hAnsi="Times New Roman" w:cs="Times New Roman"/>
          <w:sz w:val="16"/>
          <w:szCs w:val="16"/>
          <w:lang w:eastAsia="lv-LV"/>
        </w:rPr>
      </w:pPr>
    </w:p>
    <w:p w14:paraId="25C6442F" w14:textId="77777777" w:rsidR="009B2A39" w:rsidRPr="00964C8D" w:rsidRDefault="009B2A39" w:rsidP="00963CBC">
      <w:pPr>
        <w:spacing w:after="0" w:line="240" w:lineRule="auto"/>
        <w:jc w:val="both"/>
        <w:rPr>
          <w:rFonts w:ascii="Times New Roman" w:eastAsia="Times New Roman" w:hAnsi="Times New Roman" w:cs="Times New Roman"/>
          <w:sz w:val="16"/>
          <w:szCs w:val="16"/>
          <w:lang w:eastAsia="lv-LV"/>
        </w:rPr>
      </w:pPr>
    </w:p>
    <w:p w14:paraId="78083B15" w14:textId="77777777" w:rsidR="00964C8D" w:rsidRPr="00964C8D" w:rsidRDefault="00964C8D" w:rsidP="00963CBC">
      <w:pPr>
        <w:spacing w:after="0" w:line="240" w:lineRule="auto"/>
        <w:jc w:val="both"/>
        <w:rPr>
          <w:rFonts w:ascii="Times New Roman" w:eastAsia="Times New Roman" w:hAnsi="Times New Roman" w:cs="Times New Roman"/>
          <w:sz w:val="16"/>
          <w:szCs w:val="16"/>
          <w:lang w:eastAsia="lv-LV"/>
        </w:rPr>
      </w:pPr>
    </w:p>
    <w:p w14:paraId="717F6628" w14:textId="77777777" w:rsidR="00964C8D" w:rsidRPr="00964C8D" w:rsidRDefault="00964C8D" w:rsidP="00963CBC">
      <w:pPr>
        <w:spacing w:after="0" w:line="240" w:lineRule="auto"/>
        <w:jc w:val="both"/>
        <w:rPr>
          <w:rFonts w:ascii="Times New Roman" w:eastAsia="Times New Roman" w:hAnsi="Times New Roman" w:cs="Times New Roman"/>
          <w:sz w:val="16"/>
          <w:szCs w:val="16"/>
          <w:lang w:eastAsia="lv-LV"/>
        </w:rPr>
      </w:pPr>
    </w:p>
    <w:p w14:paraId="6D380B9C" w14:textId="6DC0C384"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6DBC3DD6" w:rsidR="006310FF" w:rsidRPr="00963CBC" w:rsidRDefault="007C02F0" w:rsidP="006310FF">
      <w:pPr>
        <w:spacing w:after="0" w:line="240" w:lineRule="auto"/>
        <w:jc w:val="both"/>
        <w:rPr>
          <w:rFonts w:ascii="Times New Roman" w:eastAsia="Times New Roman" w:hAnsi="Times New Roman" w:cs="Times New Roman"/>
          <w:sz w:val="24"/>
          <w:szCs w:val="24"/>
          <w:lang w:eastAsia="lv-LV"/>
        </w:rPr>
      </w:pPr>
      <w:hyperlink r:id="rId10"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CE92" w14:textId="77777777" w:rsidR="00BA671A" w:rsidRDefault="00BA671A" w:rsidP="00894C55">
      <w:pPr>
        <w:spacing w:after="0" w:line="240" w:lineRule="auto"/>
      </w:pPr>
      <w:r>
        <w:separator/>
      </w:r>
    </w:p>
  </w:endnote>
  <w:endnote w:type="continuationSeparator" w:id="0">
    <w:p w14:paraId="349EA67D" w14:textId="77777777" w:rsidR="00BA671A" w:rsidRDefault="00BA67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00F" w14:textId="6CE99710" w:rsidR="00CE536C"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E95B14">
      <w:rPr>
        <w:rFonts w:ascii="Times New Roman" w:hAnsi="Times New Roman" w:cs="Times New Roman"/>
        <w:sz w:val="20"/>
        <w:szCs w:val="20"/>
      </w:rPr>
      <w:t>30</w:t>
    </w:r>
    <w:r w:rsidR="00B94E97">
      <w:rPr>
        <w:rFonts w:ascii="Times New Roman" w:hAnsi="Times New Roman" w:cs="Times New Roman"/>
        <w:sz w:val="20"/>
        <w:szCs w:val="20"/>
      </w:rPr>
      <w:t>0</w:t>
    </w:r>
    <w:r w:rsidR="00CD273B">
      <w:rPr>
        <w:rFonts w:ascii="Times New Roman" w:hAnsi="Times New Roman" w:cs="Times New Roman"/>
        <w:sz w:val="20"/>
        <w:szCs w:val="20"/>
      </w:rPr>
      <w:t>5</w:t>
    </w:r>
    <w:r w:rsidR="00B94E97">
      <w:rPr>
        <w:rFonts w:ascii="Times New Roman" w:hAnsi="Times New Roman" w:cs="Times New Roman"/>
        <w:sz w:val="20"/>
        <w:szCs w:val="20"/>
      </w:rPr>
      <w:t>201</w:t>
    </w:r>
    <w:r w:rsidR="00FB4735">
      <w:rPr>
        <w:rFonts w:ascii="Times New Roman" w:hAnsi="Times New Roman" w:cs="Times New Roman"/>
        <w:sz w:val="20"/>
        <w:szCs w:val="20"/>
      </w:rPr>
      <w:t>9</w:t>
    </w:r>
    <w:r w:rsidR="009A2654"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520B" w14:textId="618EA75F" w:rsidR="00CE536C" w:rsidRPr="009A2654" w:rsidRDefault="00C76AE7">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E95B14">
      <w:rPr>
        <w:rFonts w:ascii="Times New Roman" w:hAnsi="Times New Roman" w:cs="Times New Roman"/>
        <w:sz w:val="20"/>
        <w:szCs w:val="20"/>
      </w:rPr>
      <w:t>30</w:t>
    </w:r>
    <w:r w:rsidR="00FB4735">
      <w:rPr>
        <w:rFonts w:ascii="Times New Roman" w:hAnsi="Times New Roman" w:cs="Times New Roman"/>
        <w:sz w:val="20"/>
        <w:szCs w:val="20"/>
      </w:rPr>
      <w:t>0</w:t>
    </w:r>
    <w:r w:rsidR="00CD273B">
      <w:rPr>
        <w:rFonts w:ascii="Times New Roman" w:hAnsi="Times New Roman" w:cs="Times New Roman"/>
        <w:sz w:val="20"/>
        <w:szCs w:val="20"/>
      </w:rPr>
      <w:t>5</w:t>
    </w:r>
    <w:r w:rsidR="00FB4735">
      <w:rPr>
        <w:rFonts w:ascii="Times New Roman" w:hAnsi="Times New Roman" w:cs="Times New Roman"/>
        <w:sz w:val="20"/>
        <w:szCs w:val="20"/>
      </w:rPr>
      <w:t>2019</w:t>
    </w:r>
    <w:r w:rsidR="00FB4735"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5D5A" w14:textId="77777777" w:rsidR="00BA671A" w:rsidRDefault="00BA671A" w:rsidP="00894C55">
      <w:pPr>
        <w:spacing w:after="0" w:line="240" w:lineRule="auto"/>
      </w:pPr>
      <w:r>
        <w:separator/>
      </w:r>
    </w:p>
  </w:footnote>
  <w:footnote w:type="continuationSeparator" w:id="0">
    <w:p w14:paraId="14DCE6FE" w14:textId="77777777" w:rsidR="00BA671A" w:rsidRDefault="00BA671A" w:rsidP="00894C55">
      <w:pPr>
        <w:spacing w:after="0" w:line="240" w:lineRule="auto"/>
      </w:pPr>
      <w:r>
        <w:continuationSeparator/>
      </w:r>
    </w:p>
  </w:footnote>
  <w:footnote w:id="1">
    <w:p w14:paraId="41690F39" w14:textId="4B92F769" w:rsidR="007464EC" w:rsidRPr="00C65286" w:rsidRDefault="007464EC" w:rsidP="005145A7">
      <w:pPr>
        <w:pStyle w:val="FootnoteText"/>
        <w:jc w:val="both"/>
        <w:rPr>
          <w:rFonts w:ascii="Times New Roman" w:hAnsi="Times New Roman" w:cs="Times New Roman"/>
        </w:rPr>
      </w:pPr>
      <w:r w:rsidRPr="00C65286">
        <w:rPr>
          <w:rStyle w:val="FootnoteReference"/>
          <w:rFonts w:ascii="Times New Roman" w:hAnsi="Times New Roman" w:cs="Times New Roman"/>
        </w:rPr>
        <w:footnoteRef/>
      </w:r>
      <w:r w:rsidRPr="00C65286">
        <w:rPr>
          <w:rFonts w:ascii="Times New Roman" w:hAnsi="Times New Roman" w:cs="Times New Roman"/>
        </w:rPr>
        <w:t xml:space="preserve"> </w:t>
      </w:r>
      <w:r w:rsidR="00C65286" w:rsidRPr="00C65286">
        <w:rPr>
          <w:rFonts w:ascii="Times New Roman" w:hAnsi="Times New Roman" w:cs="Times New Roman"/>
        </w:rPr>
        <w:t>Grozījumi Ministru kabineta 2010. gada 28. decembra noteikumos Nr. 1220 "Asignējumu piešķiršanas un izpildes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1120B156"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02F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0AE4"/>
    <w:rsid w:val="00012DB8"/>
    <w:rsid w:val="0001476D"/>
    <w:rsid w:val="00026EE5"/>
    <w:rsid w:val="000278BB"/>
    <w:rsid w:val="000351E3"/>
    <w:rsid w:val="00035B33"/>
    <w:rsid w:val="0003764D"/>
    <w:rsid w:val="000442A8"/>
    <w:rsid w:val="00055161"/>
    <w:rsid w:val="00056104"/>
    <w:rsid w:val="00084AF1"/>
    <w:rsid w:val="00095B2E"/>
    <w:rsid w:val="000A18C7"/>
    <w:rsid w:val="000A4EC6"/>
    <w:rsid w:val="000B7AA2"/>
    <w:rsid w:val="001062E7"/>
    <w:rsid w:val="001153BC"/>
    <w:rsid w:val="00115937"/>
    <w:rsid w:val="00117B53"/>
    <w:rsid w:val="00127F7B"/>
    <w:rsid w:val="00144C8E"/>
    <w:rsid w:val="00172077"/>
    <w:rsid w:val="00172083"/>
    <w:rsid w:val="00172AB4"/>
    <w:rsid w:val="00182893"/>
    <w:rsid w:val="00182BC7"/>
    <w:rsid w:val="001856A6"/>
    <w:rsid w:val="00187E12"/>
    <w:rsid w:val="001901D2"/>
    <w:rsid w:val="001B3D73"/>
    <w:rsid w:val="001B6165"/>
    <w:rsid w:val="001B6A66"/>
    <w:rsid w:val="001B74A9"/>
    <w:rsid w:val="001C0AEF"/>
    <w:rsid w:val="001C47FF"/>
    <w:rsid w:val="001D6059"/>
    <w:rsid w:val="002076A3"/>
    <w:rsid w:val="0021214B"/>
    <w:rsid w:val="00212E5E"/>
    <w:rsid w:val="0021688C"/>
    <w:rsid w:val="002348FC"/>
    <w:rsid w:val="00243426"/>
    <w:rsid w:val="002C2AB6"/>
    <w:rsid w:val="002D37D0"/>
    <w:rsid w:val="002D4E1C"/>
    <w:rsid w:val="002E1C05"/>
    <w:rsid w:val="002E56F8"/>
    <w:rsid w:val="002E7068"/>
    <w:rsid w:val="002F30BC"/>
    <w:rsid w:val="002F5451"/>
    <w:rsid w:val="00305BD7"/>
    <w:rsid w:val="003123D3"/>
    <w:rsid w:val="00314215"/>
    <w:rsid w:val="00321987"/>
    <w:rsid w:val="00332299"/>
    <w:rsid w:val="00355527"/>
    <w:rsid w:val="003561C0"/>
    <w:rsid w:val="00363BA4"/>
    <w:rsid w:val="00372346"/>
    <w:rsid w:val="00381E66"/>
    <w:rsid w:val="0038726E"/>
    <w:rsid w:val="003B0BF9"/>
    <w:rsid w:val="003C1C4A"/>
    <w:rsid w:val="003C355B"/>
    <w:rsid w:val="003E0791"/>
    <w:rsid w:val="003E272A"/>
    <w:rsid w:val="003F28AC"/>
    <w:rsid w:val="003F7E1B"/>
    <w:rsid w:val="00415F66"/>
    <w:rsid w:val="00425B9F"/>
    <w:rsid w:val="00425EB5"/>
    <w:rsid w:val="004331F2"/>
    <w:rsid w:val="00434EFB"/>
    <w:rsid w:val="004404AC"/>
    <w:rsid w:val="0044439D"/>
    <w:rsid w:val="004454FE"/>
    <w:rsid w:val="004476D7"/>
    <w:rsid w:val="00456E40"/>
    <w:rsid w:val="00471F27"/>
    <w:rsid w:val="004926FB"/>
    <w:rsid w:val="00495F07"/>
    <w:rsid w:val="004A0459"/>
    <w:rsid w:val="004A367B"/>
    <w:rsid w:val="004A3B97"/>
    <w:rsid w:val="004A72A4"/>
    <w:rsid w:val="004B38D5"/>
    <w:rsid w:val="004C1D96"/>
    <w:rsid w:val="004C43C2"/>
    <w:rsid w:val="004D2851"/>
    <w:rsid w:val="004E49BD"/>
    <w:rsid w:val="004E6435"/>
    <w:rsid w:val="004E772D"/>
    <w:rsid w:val="0050091C"/>
    <w:rsid w:val="0050178F"/>
    <w:rsid w:val="00503AC1"/>
    <w:rsid w:val="00510971"/>
    <w:rsid w:val="005145A7"/>
    <w:rsid w:val="00552A97"/>
    <w:rsid w:val="0055340B"/>
    <w:rsid w:val="00562442"/>
    <w:rsid w:val="005749A5"/>
    <w:rsid w:val="00576657"/>
    <w:rsid w:val="00584EE3"/>
    <w:rsid w:val="005934C1"/>
    <w:rsid w:val="005B4B83"/>
    <w:rsid w:val="005C00E2"/>
    <w:rsid w:val="005F1F47"/>
    <w:rsid w:val="006119FE"/>
    <w:rsid w:val="00625AF4"/>
    <w:rsid w:val="00626E8D"/>
    <w:rsid w:val="00627FD0"/>
    <w:rsid w:val="006310FF"/>
    <w:rsid w:val="00635F16"/>
    <w:rsid w:val="00637091"/>
    <w:rsid w:val="006413B4"/>
    <w:rsid w:val="006431EE"/>
    <w:rsid w:val="0064677B"/>
    <w:rsid w:val="00647FCB"/>
    <w:rsid w:val="006679A5"/>
    <w:rsid w:val="00672EE9"/>
    <w:rsid w:val="0067394F"/>
    <w:rsid w:val="00692653"/>
    <w:rsid w:val="00696CAC"/>
    <w:rsid w:val="006A3AE4"/>
    <w:rsid w:val="006A4E6E"/>
    <w:rsid w:val="006D1F8E"/>
    <w:rsid w:val="006E1081"/>
    <w:rsid w:val="006E60CF"/>
    <w:rsid w:val="00703608"/>
    <w:rsid w:val="007119E0"/>
    <w:rsid w:val="00720585"/>
    <w:rsid w:val="00725221"/>
    <w:rsid w:val="00737313"/>
    <w:rsid w:val="007464EC"/>
    <w:rsid w:val="00773AF6"/>
    <w:rsid w:val="00790A35"/>
    <w:rsid w:val="00795F71"/>
    <w:rsid w:val="007A4127"/>
    <w:rsid w:val="007C02F0"/>
    <w:rsid w:val="007C2B62"/>
    <w:rsid w:val="007C7DD0"/>
    <w:rsid w:val="007D123C"/>
    <w:rsid w:val="007D5CA9"/>
    <w:rsid w:val="007E73AB"/>
    <w:rsid w:val="0080169A"/>
    <w:rsid w:val="00801E3A"/>
    <w:rsid w:val="008121E1"/>
    <w:rsid w:val="008154F2"/>
    <w:rsid w:val="00816C11"/>
    <w:rsid w:val="008256F1"/>
    <w:rsid w:val="00826772"/>
    <w:rsid w:val="008325BA"/>
    <w:rsid w:val="008603CC"/>
    <w:rsid w:val="00876D2F"/>
    <w:rsid w:val="00880E1B"/>
    <w:rsid w:val="00894C55"/>
    <w:rsid w:val="00895A91"/>
    <w:rsid w:val="008973B5"/>
    <w:rsid w:val="008A24C7"/>
    <w:rsid w:val="008C0435"/>
    <w:rsid w:val="008C4651"/>
    <w:rsid w:val="008C59AC"/>
    <w:rsid w:val="008E465F"/>
    <w:rsid w:val="008E4967"/>
    <w:rsid w:val="008E73C8"/>
    <w:rsid w:val="008F4835"/>
    <w:rsid w:val="008F5BA5"/>
    <w:rsid w:val="009037E4"/>
    <w:rsid w:val="00903E30"/>
    <w:rsid w:val="00910A27"/>
    <w:rsid w:val="009228FA"/>
    <w:rsid w:val="00922E88"/>
    <w:rsid w:val="00926A39"/>
    <w:rsid w:val="00934745"/>
    <w:rsid w:val="009452FF"/>
    <w:rsid w:val="00952358"/>
    <w:rsid w:val="00953EF0"/>
    <w:rsid w:val="009547F7"/>
    <w:rsid w:val="0096161A"/>
    <w:rsid w:val="00963CBC"/>
    <w:rsid w:val="00964C8D"/>
    <w:rsid w:val="00986A06"/>
    <w:rsid w:val="009A2654"/>
    <w:rsid w:val="009A36FB"/>
    <w:rsid w:val="009B1891"/>
    <w:rsid w:val="009B2A39"/>
    <w:rsid w:val="009E1AA1"/>
    <w:rsid w:val="009F73F7"/>
    <w:rsid w:val="009F7C52"/>
    <w:rsid w:val="009F7D4B"/>
    <w:rsid w:val="00A10FC3"/>
    <w:rsid w:val="00A11E74"/>
    <w:rsid w:val="00A13523"/>
    <w:rsid w:val="00A314EF"/>
    <w:rsid w:val="00A57E49"/>
    <w:rsid w:val="00A6073E"/>
    <w:rsid w:val="00A624A9"/>
    <w:rsid w:val="00A62B78"/>
    <w:rsid w:val="00A65BEB"/>
    <w:rsid w:val="00A67150"/>
    <w:rsid w:val="00AB05E0"/>
    <w:rsid w:val="00AC2DB2"/>
    <w:rsid w:val="00AC7FCA"/>
    <w:rsid w:val="00AD3578"/>
    <w:rsid w:val="00AE173E"/>
    <w:rsid w:val="00AE27E2"/>
    <w:rsid w:val="00AE3A35"/>
    <w:rsid w:val="00AE5567"/>
    <w:rsid w:val="00AF6ECA"/>
    <w:rsid w:val="00B002A8"/>
    <w:rsid w:val="00B072A2"/>
    <w:rsid w:val="00B16480"/>
    <w:rsid w:val="00B2165C"/>
    <w:rsid w:val="00B2538F"/>
    <w:rsid w:val="00B268E0"/>
    <w:rsid w:val="00B31198"/>
    <w:rsid w:val="00B32C8D"/>
    <w:rsid w:val="00B34D3F"/>
    <w:rsid w:val="00B3589C"/>
    <w:rsid w:val="00B532EC"/>
    <w:rsid w:val="00B760D0"/>
    <w:rsid w:val="00B94E97"/>
    <w:rsid w:val="00BA20AA"/>
    <w:rsid w:val="00BA671A"/>
    <w:rsid w:val="00BA7047"/>
    <w:rsid w:val="00BD4425"/>
    <w:rsid w:val="00BE2C5E"/>
    <w:rsid w:val="00BE6DF1"/>
    <w:rsid w:val="00BE70A3"/>
    <w:rsid w:val="00BF3F3F"/>
    <w:rsid w:val="00BF733C"/>
    <w:rsid w:val="00C15F63"/>
    <w:rsid w:val="00C178DF"/>
    <w:rsid w:val="00C25B49"/>
    <w:rsid w:val="00C31A9A"/>
    <w:rsid w:val="00C3289A"/>
    <w:rsid w:val="00C36F4B"/>
    <w:rsid w:val="00C469CC"/>
    <w:rsid w:val="00C50155"/>
    <w:rsid w:val="00C518CF"/>
    <w:rsid w:val="00C56F23"/>
    <w:rsid w:val="00C57490"/>
    <w:rsid w:val="00C65286"/>
    <w:rsid w:val="00C67344"/>
    <w:rsid w:val="00C755CC"/>
    <w:rsid w:val="00C76AE7"/>
    <w:rsid w:val="00C93EB2"/>
    <w:rsid w:val="00C95483"/>
    <w:rsid w:val="00CC0F68"/>
    <w:rsid w:val="00CC48D4"/>
    <w:rsid w:val="00CC633B"/>
    <w:rsid w:val="00CD273B"/>
    <w:rsid w:val="00CD3A3F"/>
    <w:rsid w:val="00CD526E"/>
    <w:rsid w:val="00CD7F8A"/>
    <w:rsid w:val="00CE536C"/>
    <w:rsid w:val="00CE5657"/>
    <w:rsid w:val="00CE78E4"/>
    <w:rsid w:val="00CF2810"/>
    <w:rsid w:val="00D133F8"/>
    <w:rsid w:val="00D14A3E"/>
    <w:rsid w:val="00D17644"/>
    <w:rsid w:val="00D30730"/>
    <w:rsid w:val="00D407BA"/>
    <w:rsid w:val="00D50456"/>
    <w:rsid w:val="00D60567"/>
    <w:rsid w:val="00D7115E"/>
    <w:rsid w:val="00D7265C"/>
    <w:rsid w:val="00D739C6"/>
    <w:rsid w:val="00D76DD0"/>
    <w:rsid w:val="00D82E3C"/>
    <w:rsid w:val="00D938A6"/>
    <w:rsid w:val="00D9642B"/>
    <w:rsid w:val="00DA3F8C"/>
    <w:rsid w:val="00DA4448"/>
    <w:rsid w:val="00DC53FB"/>
    <w:rsid w:val="00DC687F"/>
    <w:rsid w:val="00DF127B"/>
    <w:rsid w:val="00E175CF"/>
    <w:rsid w:val="00E2669B"/>
    <w:rsid w:val="00E3716B"/>
    <w:rsid w:val="00E45672"/>
    <w:rsid w:val="00E50290"/>
    <w:rsid w:val="00E5323B"/>
    <w:rsid w:val="00E54C5F"/>
    <w:rsid w:val="00E67D81"/>
    <w:rsid w:val="00E70273"/>
    <w:rsid w:val="00E70B38"/>
    <w:rsid w:val="00E7109C"/>
    <w:rsid w:val="00E7383F"/>
    <w:rsid w:val="00E75970"/>
    <w:rsid w:val="00E77668"/>
    <w:rsid w:val="00E827CA"/>
    <w:rsid w:val="00E82CA3"/>
    <w:rsid w:val="00E8749E"/>
    <w:rsid w:val="00E90C01"/>
    <w:rsid w:val="00E92FC3"/>
    <w:rsid w:val="00E95B14"/>
    <w:rsid w:val="00EA3650"/>
    <w:rsid w:val="00EA485E"/>
    <w:rsid w:val="00EA486E"/>
    <w:rsid w:val="00EC2DC9"/>
    <w:rsid w:val="00EC7638"/>
    <w:rsid w:val="00ED3C7C"/>
    <w:rsid w:val="00EE27E7"/>
    <w:rsid w:val="00EE5A89"/>
    <w:rsid w:val="00EF280A"/>
    <w:rsid w:val="00EF3CF8"/>
    <w:rsid w:val="00EF4BFB"/>
    <w:rsid w:val="00F0318E"/>
    <w:rsid w:val="00F243F2"/>
    <w:rsid w:val="00F2450B"/>
    <w:rsid w:val="00F26DFA"/>
    <w:rsid w:val="00F3768D"/>
    <w:rsid w:val="00F51CE3"/>
    <w:rsid w:val="00F5265E"/>
    <w:rsid w:val="00F5316F"/>
    <w:rsid w:val="00F53810"/>
    <w:rsid w:val="00F576FA"/>
    <w:rsid w:val="00F57B0C"/>
    <w:rsid w:val="00F64450"/>
    <w:rsid w:val="00F72D3B"/>
    <w:rsid w:val="00F75194"/>
    <w:rsid w:val="00FA6DA5"/>
    <w:rsid w:val="00FB1BCB"/>
    <w:rsid w:val="00FB2D00"/>
    <w:rsid w:val="00FB4735"/>
    <w:rsid w:val="00FB5120"/>
    <w:rsid w:val="00FD34BC"/>
    <w:rsid w:val="00FD420F"/>
    <w:rsid w:val="00FD5F0D"/>
    <w:rsid w:val="00FF0368"/>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klinsone@f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E70E-B23B-4C0F-A75A-31FE8347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5999</Words>
  <Characters>3420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Anotācija</dc:subject>
  <dc:creator>Ieva Klinsone</dc:creator>
  <dc:description>67095531, ieva.klinsone@fm.gov.lv</dc:description>
  <cp:lastModifiedBy>Ieva Klinsone</cp:lastModifiedBy>
  <cp:revision>10</cp:revision>
  <cp:lastPrinted>2018-03-12T12:17:00Z</cp:lastPrinted>
  <dcterms:created xsi:type="dcterms:W3CDTF">2019-05-29T13:38:00Z</dcterms:created>
  <dcterms:modified xsi:type="dcterms:W3CDTF">2019-06-05T11:47:00Z</dcterms:modified>
</cp:coreProperties>
</file>