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0A0" w:firstRow="1" w:lastRow="0" w:firstColumn="1" w:lastColumn="0" w:noHBand="0" w:noVBand="0"/>
      </w:tblPr>
      <w:tblGrid>
        <w:gridCol w:w="14019"/>
      </w:tblGrid>
      <w:tr w:rsidR="007116C7" w:rsidRPr="00937060" w14:paraId="75D36095" w14:textId="77777777" w:rsidTr="00593A03">
        <w:trPr>
          <w:jc w:val="center"/>
        </w:trPr>
        <w:tc>
          <w:tcPr>
            <w:tcW w:w="14019" w:type="dxa"/>
            <w:tcBorders>
              <w:bottom w:val="single" w:sz="6" w:space="0" w:color="000000"/>
            </w:tcBorders>
          </w:tcPr>
          <w:p w14:paraId="6384B9A8" w14:textId="631FBAAB" w:rsidR="007116C7" w:rsidRPr="00937060" w:rsidRDefault="007116C7" w:rsidP="00D21795">
            <w:pPr>
              <w:jc w:val="both"/>
              <w:rPr>
                <w:b/>
                <w:bCs/>
              </w:rPr>
            </w:pPr>
            <w:bookmarkStart w:id="0" w:name="_GoBack"/>
            <w:r w:rsidRPr="00937060">
              <w:rPr>
                <w:b/>
              </w:rPr>
              <w:t xml:space="preserve">Izziņa par </w:t>
            </w:r>
            <w:r w:rsidR="00482796" w:rsidRPr="00937060">
              <w:rPr>
                <w:b/>
              </w:rPr>
              <w:t>sniegt</w:t>
            </w:r>
            <w:r w:rsidR="001F27B8" w:rsidRPr="00937060">
              <w:rPr>
                <w:b/>
              </w:rPr>
              <w:t>ajiem iebildumiem</w:t>
            </w:r>
            <w:r w:rsidR="007B471E" w:rsidRPr="00937060">
              <w:rPr>
                <w:b/>
              </w:rPr>
              <w:t xml:space="preserve"> </w:t>
            </w:r>
            <w:bookmarkEnd w:id="0"/>
            <w:r w:rsidR="006F54F4" w:rsidRPr="00937060">
              <w:rPr>
                <w:b/>
              </w:rPr>
              <w:t xml:space="preserve">Ministru kabineta </w:t>
            </w:r>
            <w:r w:rsidR="00D21795" w:rsidRPr="00937060">
              <w:rPr>
                <w:b/>
              </w:rPr>
              <w:t>informatīvā ziņojuma</w:t>
            </w:r>
            <w:r w:rsidR="00B43E8F" w:rsidRPr="00937060">
              <w:rPr>
                <w:b/>
              </w:rPr>
              <w:t xml:space="preserve"> projektam</w:t>
            </w:r>
            <w:r w:rsidR="00022428" w:rsidRPr="00937060">
              <w:rPr>
                <w:b/>
              </w:rPr>
              <w:t xml:space="preserve"> „</w:t>
            </w:r>
            <w:r w:rsidR="00B01E4D" w:rsidRPr="00937060">
              <w:rPr>
                <w:b/>
                <w:bCs/>
              </w:rPr>
              <w:t>Informatīvais ziņojums par Eiropas Reģionālās attīstības fonda, Eiropas Sociālā fonda plus un Kohēzijas fonda ieviešanu 2021.–2027.gadā Latvijā</w:t>
            </w:r>
            <w:r w:rsidR="00022428" w:rsidRPr="00937060">
              <w:rPr>
                <w:b/>
              </w:rPr>
              <w:t xml:space="preserve">” </w:t>
            </w:r>
            <w:r w:rsidR="006F54F4" w:rsidRPr="00937060">
              <w:rPr>
                <w:b/>
              </w:rPr>
              <w:t xml:space="preserve">un </w:t>
            </w:r>
            <w:r w:rsidR="00D21795" w:rsidRPr="00937060">
              <w:rPr>
                <w:b/>
              </w:rPr>
              <w:t>M</w:t>
            </w:r>
            <w:r w:rsidR="00157224">
              <w:rPr>
                <w:b/>
              </w:rPr>
              <w:t xml:space="preserve">inistru kabineta sēdes protokollēmuma </w:t>
            </w:r>
            <w:r w:rsidR="00D21795" w:rsidRPr="00937060">
              <w:rPr>
                <w:b/>
              </w:rPr>
              <w:t>projektam</w:t>
            </w:r>
          </w:p>
        </w:tc>
      </w:tr>
    </w:tbl>
    <w:p w14:paraId="570E05B0" w14:textId="77777777" w:rsidR="00481FE3" w:rsidRPr="00937060" w:rsidRDefault="00481FE3" w:rsidP="00184479">
      <w:pPr>
        <w:pStyle w:val="naisf"/>
        <w:spacing w:before="0" w:after="0"/>
        <w:ind w:firstLine="0"/>
        <w:jc w:val="center"/>
        <w:rPr>
          <w:b/>
        </w:rPr>
      </w:pPr>
    </w:p>
    <w:p w14:paraId="46F22250" w14:textId="77777777" w:rsidR="007B4C0F" w:rsidRPr="00937060" w:rsidRDefault="007B4C0F" w:rsidP="007B471E">
      <w:pPr>
        <w:pStyle w:val="naisf"/>
        <w:numPr>
          <w:ilvl w:val="0"/>
          <w:numId w:val="7"/>
        </w:numPr>
        <w:spacing w:before="0" w:after="0"/>
        <w:jc w:val="center"/>
        <w:rPr>
          <w:b/>
        </w:rPr>
      </w:pPr>
      <w:r w:rsidRPr="00937060">
        <w:rPr>
          <w:b/>
        </w:rPr>
        <w:t xml:space="preserve">Jautājumi, par kuriem saskaņošanā </w:t>
      </w:r>
      <w:r w:rsidR="00134188" w:rsidRPr="00937060">
        <w:rPr>
          <w:b/>
        </w:rPr>
        <w:t xml:space="preserve">vienošanās </w:t>
      </w:r>
      <w:r w:rsidRPr="00937060">
        <w:rPr>
          <w:b/>
        </w:rPr>
        <w:t>nav panākta</w:t>
      </w:r>
    </w:p>
    <w:p w14:paraId="521B2390" w14:textId="77777777" w:rsidR="00023D52" w:rsidRPr="00937060" w:rsidRDefault="00023D52" w:rsidP="00023D52">
      <w:pPr>
        <w:pStyle w:val="naisf"/>
        <w:spacing w:before="0" w:after="0"/>
        <w:ind w:left="1080" w:firstLine="0"/>
        <w:rPr>
          <w:b/>
        </w:rPr>
      </w:pPr>
    </w:p>
    <w:tbl>
      <w:tblPr>
        <w:tblW w:w="1387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59"/>
        <w:gridCol w:w="2519"/>
        <w:gridCol w:w="3402"/>
        <w:gridCol w:w="3002"/>
        <w:gridCol w:w="2385"/>
        <w:gridCol w:w="2010"/>
      </w:tblGrid>
      <w:tr w:rsidR="00937060" w:rsidRPr="00937060" w14:paraId="427D1469" w14:textId="77777777" w:rsidTr="00C60222">
        <w:tc>
          <w:tcPr>
            <w:tcW w:w="559" w:type="dxa"/>
            <w:tcBorders>
              <w:top w:val="single" w:sz="6" w:space="0" w:color="000000"/>
              <w:left w:val="single" w:sz="6" w:space="0" w:color="000000"/>
              <w:bottom w:val="single" w:sz="6" w:space="0" w:color="000000"/>
              <w:right w:val="single" w:sz="6" w:space="0" w:color="000000"/>
            </w:tcBorders>
            <w:vAlign w:val="center"/>
          </w:tcPr>
          <w:p w14:paraId="7630369B" w14:textId="77777777" w:rsidR="005F4BFD" w:rsidRPr="00937060" w:rsidRDefault="005F4BFD" w:rsidP="0036160E">
            <w:pPr>
              <w:pStyle w:val="naisc"/>
              <w:spacing w:before="0" w:after="0"/>
            </w:pPr>
            <w:r w:rsidRPr="00937060">
              <w:t>Nr. p.k.</w:t>
            </w:r>
          </w:p>
        </w:tc>
        <w:tc>
          <w:tcPr>
            <w:tcW w:w="2519" w:type="dxa"/>
            <w:tcBorders>
              <w:top w:val="single" w:sz="6" w:space="0" w:color="000000"/>
              <w:left w:val="single" w:sz="6" w:space="0" w:color="000000"/>
              <w:bottom w:val="single" w:sz="6" w:space="0" w:color="000000"/>
              <w:right w:val="single" w:sz="6" w:space="0" w:color="000000"/>
            </w:tcBorders>
            <w:vAlign w:val="center"/>
          </w:tcPr>
          <w:p w14:paraId="32ABDCB5" w14:textId="77777777" w:rsidR="005F4BFD" w:rsidRPr="00937060" w:rsidRDefault="005F4BFD" w:rsidP="00364BB6">
            <w:pPr>
              <w:pStyle w:val="naisc"/>
              <w:spacing w:before="0" w:after="0"/>
              <w:ind w:firstLine="12"/>
            </w:pPr>
            <w:r w:rsidRPr="00937060">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tcPr>
          <w:p w14:paraId="063EE419" w14:textId="77777777" w:rsidR="005F4BFD" w:rsidRPr="00937060" w:rsidRDefault="005F4BFD" w:rsidP="00364BB6">
            <w:pPr>
              <w:pStyle w:val="naisc"/>
              <w:spacing w:before="0" w:after="0"/>
              <w:ind w:right="3"/>
            </w:pPr>
            <w:r w:rsidRPr="00937060">
              <w:t>Atzinumā norādītais ministrijas (citas institūcijas) iebildums</w:t>
            </w:r>
            <w:r w:rsidR="00184479" w:rsidRPr="00937060">
              <w:t>,</w:t>
            </w:r>
            <w:r w:rsidR="000E5509" w:rsidRPr="00937060">
              <w:t xml:space="preserve"> kā arī saskaņošanā papildus izteiktais iebildums</w:t>
            </w:r>
            <w:r w:rsidRPr="00937060">
              <w:t xml:space="preserve"> par projekta konkrēto punktu (pantu)</w:t>
            </w:r>
          </w:p>
        </w:tc>
        <w:tc>
          <w:tcPr>
            <w:tcW w:w="3002" w:type="dxa"/>
            <w:tcBorders>
              <w:top w:val="single" w:sz="6" w:space="0" w:color="000000"/>
              <w:left w:val="single" w:sz="6" w:space="0" w:color="000000"/>
              <w:bottom w:val="single" w:sz="6" w:space="0" w:color="000000"/>
              <w:right w:val="single" w:sz="6" w:space="0" w:color="000000"/>
            </w:tcBorders>
            <w:vAlign w:val="center"/>
          </w:tcPr>
          <w:p w14:paraId="35C14C7A" w14:textId="77777777" w:rsidR="005F4BFD" w:rsidRPr="00937060" w:rsidRDefault="005F4BFD" w:rsidP="00364BB6">
            <w:pPr>
              <w:pStyle w:val="naisc"/>
              <w:spacing w:before="0" w:after="0"/>
              <w:ind w:firstLine="21"/>
            </w:pPr>
            <w:r w:rsidRPr="00937060">
              <w:t>Atbildīgās ministrijas pamatojums</w:t>
            </w:r>
            <w:r w:rsidR="009307F2" w:rsidRPr="00937060">
              <w:t xml:space="preserve"> iebilduma noraidījumam</w:t>
            </w:r>
          </w:p>
        </w:tc>
        <w:tc>
          <w:tcPr>
            <w:tcW w:w="2385" w:type="dxa"/>
            <w:tcBorders>
              <w:top w:val="single" w:sz="4" w:space="0" w:color="auto"/>
              <w:left w:val="single" w:sz="4" w:space="0" w:color="auto"/>
              <w:bottom w:val="single" w:sz="4" w:space="0" w:color="auto"/>
              <w:right w:val="single" w:sz="4" w:space="0" w:color="auto"/>
            </w:tcBorders>
            <w:vAlign w:val="center"/>
          </w:tcPr>
          <w:p w14:paraId="539FC367" w14:textId="77777777" w:rsidR="005F4BFD" w:rsidRPr="00937060" w:rsidRDefault="005F4BFD" w:rsidP="00364BB6">
            <w:pPr>
              <w:jc w:val="center"/>
            </w:pPr>
            <w:r w:rsidRPr="00937060">
              <w:t>Atzinuma sniedzēja uzturētais iebildums, ja tas atšķiras no atzinumā norādītā iebilduma pamatojuma</w:t>
            </w:r>
          </w:p>
        </w:tc>
        <w:tc>
          <w:tcPr>
            <w:tcW w:w="2010" w:type="dxa"/>
            <w:tcBorders>
              <w:top w:val="single" w:sz="4" w:space="0" w:color="auto"/>
              <w:left w:val="single" w:sz="4" w:space="0" w:color="auto"/>
              <w:bottom w:val="single" w:sz="4" w:space="0" w:color="auto"/>
            </w:tcBorders>
            <w:vAlign w:val="center"/>
          </w:tcPr>
          <w:p w14:paraId="33183384" w14:textId="77777777" w:rsidR="005F4BFD" w:rsidRPr="00937060" w:rsidRDefault="005F4BFD" w:rsidP="00364BB6">
            <w:pPr>
              <w:jc w:val="center"/>
            </w:pPr>
            <w:r w:rsidRPr="00937060">
              <w:t>Projekta attiecīgā punkta (panta) galīgā redakcija</w:t>
            </w:r>
          </w:p>
        </w:tc>
      </w:tr>
      <w:tr w:rsidR="00937060" w:rsidRPr="00937060" w14:paraId="15A36FFA" w14:textId="77777777" w:rsidTr="00C60222">
        <w:tc>
          <w:tcPr>
            <w:tcW w:w="559" w:type="dxa"/>
            <w:tcBorders>
              <w:top w:val="single" w:sz="6" w:space="0" w:color="000000"/>
              <w:left w:val="single" w:sz="6" w:space="0" w:color="000000"/>
              <w:bottom w:val="single" w:sz="6" w:space="0" w:color="000000"/>
              <w:right w:val="single" w:sz="6" w:space="0" w:color="000000"/>
            </w:tcBorders>
          </w:tcPr>
          <w:p w14:paraId="5384E898" w14:textId="77777777" w:rsidR="005F4BFD" w:rsidRPr="00937060" w:rsidRDefault="008A36C9" w:rsidP="008A36C9">
            <w:pPr>
              <w:pStyle w:val="naisc"/>
              <w:spacing w:before="0" w:after="0"/>
            </w:pPr>
            <w:r w:rsidRPr="00937060">
              <w:t>1</w:t>
            </w:r>
          </w:p>
        </w:tc>
        <w:tc>
          <w:tcPr>
            <w:tcW w:w="2519" w:type="dxa"/>
            <w:tcBorders>
              <w:top w:val="single" w:sz="6" w:space="0" w:color="000000"/>
              <w:left w:val="single" w:sz="6" w:space="0" w:color="000000"/>
              <w:bottom w:val="single" w:sz="4" w:space="0" w:color="auto"/>
              <w:right w:val="single" w:sz="6" w:space="0" w:color="000000"/>
            </w:tcBorders>
          </w:tcPr>
          <w:p w14:paraId="2CDBF100" w14:textId="77777777" w:rsidR="005F4BFD" w:rsidRPr="00937060" w:rsidRDefault="008A36C9" w:rsidP="008A36C9">
            <w:pPr>
              <w:pStyle w:val="naisc"/>
              <w:spacing w:before="0" w:after="0"/>
              <w:ind w:firstLine="720"/>
            </w:pPr>
            <w:r w:rsidRPr="00937060">
              <w:t>2</w:t>
            </w:r>
          </w:p>
        </w:tc>
        <w:tc>
          <w:tcPr>
            <w:tcW w:w="3402" w:type="dxa"/>
            <w:tcBorders>
              <w:top w:val="single" w:sz="6" w:space="0" w:color="000000"/>
              <w:left w:val="single" w:sz="6" w:space="0" w:color="000000"/>
              <w:bottom w:val="single" w:sz="4" w:space="0" w:color="auto"/>
              <w:right w:val="single" w:sz="6" w:space="0" w:color="000000"/>
            </w:tcBorders>
          </w:tcPr>
          <w:p w14:paraId="0CB9686A" w14:textId="77777777" w:rsidR="005F4BFD" w:rsidRPr="00937060" w:rsidRDefault="008A36C9" w:rsidP="008A36C9">
            <w:pPr>
              <w:pStyle w:val="naisc"/>
              <w:spacing w:before="0" w:after="0"/>
              <w:ind w:firstLine="720"/>
            </w:pPr>
            <w:r w:rsidRPr="00937060">
              <w:t>3</w:t>
            </w:r>
          </w:p>
        </w:tc>
        <w:tc>
          <w:tcPr>
            <w:tcW w:w="3002" w:type="dxa"/>
            <w:tcBorders>
              <w:top w:val="single" w:sz="6" w:space="0" w:color="000000"/>
              <w:left w:val="single" w:sz="6" w:space="0" w:color="000000"/>
              <w:bottom w:val="single" w:sz="6" w:space="0" w:color="000000"/>
              <w:right w:val="single" w:sz="6" w:space="0" w:color="000000"/>
            </w:tcBorders>
          </w:tcPr>
          <w:p w14:paraId="3FE77510" w14:textId="77777777" w:rsidR="005F4BFD" w:rsidRPr="00937060" w:rsidRDefault="008A36C9" w:rsidP="008A36C9">
            <w:pPr>
              <w:pStyle w:val="naisc"/>
              <w:spacing w:before="0" w:after="0"/>
              <w:ind w:firstLine="720"/>
            </w:pPr>
            <w:r w:rsidRPr="00937060">
              <w:t>4</w:t>
            </w:r>
          </w:p>
        </w:tc>
        <w:tc>
          <w:tcPr>
            <w:tcW w:w="2385" w:type="dxa"/>
            <w:tcBorders>
              <w:top w:val="single" w:sz="4" w:space="0" w:color="auto"/>
              <w:left w:val="single" w:sz="4" w:space="0" w:color="auto"/>
              <w:bottom w:val="single" w:sz="4" w:space="0" w:color="auto"/>
              <w:right w:val="single" w:sz="4" w:space="0" w:color="auto"/>
            </w:tcBorders>
          </w:tcPr>
          <w:p w14:paraId="2D82B663" w14:textId="77777777" w:rsidR="005F4BFD" w:rsidRPr="00937060" w:rsidRDefault="008A36C9" w:rsidP="008A36C9">
            <w:pPr>
              <w:jc w:val="center"/>
            </w:pPr>
            <w:r w:rsidRPr="00937060">
              <w:t>5</w:t>
            </w:r>
          </w:p>
        </w:tc>
        <w:tc>
          <w:tcPr>
            <w:tcW w:w="2010" w:type="dxa"/>
            <w:tcBorders>
              <w:top w:val="single" w:sz="4" w:space="0" w:color="auto"/>
              <w:left w:val="single" w:sz="4" w:space="0" w:color="auto"/>
              <w:bottom w:val="single" w:sz="4" w:space="0" w:color="auto"/>
            </w:tcBorders>
          </w:tcPr>
          <w:p w14:paraId="0A9BCA10" w14:textId="77777777" w:rsidR="005F4BFD" w:rsidRPr="00937060" w:rsidRDefault="008A36C9" w:rsidP="008A36C9">
            <w:pPr>
              <w:jc w:val="center"/>
            </w:pPr>
            <w:r w:rsidRPr="00937060">
              <w:t>6</w:t>
            </w:r>
          </w:p>
        </w:tc>
      </w:tr>
      <w:tr w:rsidR="00726CC2" w:rsidRPr="00937060" w14:paraId="4C262116" w14:textId="77777777" w:rsidTr="00C60222">
        <w:tc>
          <w:tcPr>
            <w:tcW w:w="559" w:type="dxa"/>
            <w:tcBorders>
              <w:top w:val="single" w:sz="4" w:space="0" w:color="auto"/>
              <w:left w:val="single" w:sz="4" w:space="0" w:color="auto"/>
              <w:bottom w:val="single" w:sz="4" w:space="0" w:color="auto"/>
              <w:right w:val="single" w:sz="4" w:space="0" w:color="auto"/>
            </w:tcBorders>
          </w:tcPr>
          <w:p w14:paraId="3A0B8B15" w14:textId="737CB4AB" w:rsidR="00726CC2" w:rsidRPr="00937060" w:rsidRDefault="00C60222" w:rsidP="00C60222">
            <w:pPr>
              <w:pStyle w:val="ListParagraph"/>
              <w:ind w:left="19"/>
              <w:rPr>
                <w:rFonts w:ascii="Times New Roman" w:hAnsi="Times New Roman"/>
                <w:sz w:val="23"/>
                <w:szCs w:val="23"/>
              </w:rPr>
            </w:pPr>
            <w:r>
              <w:rPr>
                <w:rFonts w:ascii="Times New Roman" w:hAnsi="Times New Roman"/>
                <w:sz w:val="23"/>
                <w:szCs w:val="23"/>
              </w:rPr>
              <w:t>1.</w:t>
            </w:r>
          </w:p>
        </w:tc>
        <w:tc>
          <w:tcPr>
            <w:tcW w:w="2519" w:type="dxa"/>
            <w:tcBorders>
              <w:top w:val="single" w:sz="4" w:space="0" w:color="auto"/>
              <w:left w:val="single" w:sz="4" w:space="0" w:color="auto"/>
              <w:bottom w:val="single" w:sz="4" w:space="0" w:color="auto"/>
              <w:right w:val="single" w:sz="4" w:space="0" w:color="auto"/>
            </w:tcBorders>
          </w:tcPr>
          <w:p w14:paraId="67E3867C" w14:textId="339945A6" w:rsidR="00726CC2" w:rsidRPr="00937060" w:rsidRDefault="000153D1" w:rsidP="00726CC2">
            <w:pPr>
              <w:tabs>
                <w:tab w:val="left" w:pos="426"/>
              </w:tabs>
              <w:spacing w:before="120"/>
              <w:ind w:right="26"/>
              <w:jc w:val="both"/>
              <w:rPr>
                <w:b/>
                <w:sz w:val="23"/>
                <w:szCs w:val="23"/>
              </w:rPr>
            </w:pPr>
            <w:r>
              <w:rPr>
                <w:rFonts w:eastAsia="Calibri"/>
                <w:lang w:eastAsia="en-US"/>
              </w:rPr>
              <w:t>I</w:t>
            </w:r>
            <w:r w:rsidRPr="00937060">
              <w:rPr>
                <w:rFonts w:eastAsia="Calibri"/>
                <w:lang w:eastAsia="en-US"/>
              </w:rPr>
              <w:t>nformatīvā ziņojuma 3.2. sadaļa “ES KP Institucionālā sistēma”</w:t>
            </w:r>
          </w:p>
        </w:tc>
        <w:tc>
          <w:tcPr>
            <w:tcW w:w="3402" w:type="dxa"/>
            <w:tcBorders>
              <w:top w:val="single" w:sz="6" w:space="0" w:color="000000"/>
              <w:left w:val="single" w:sz="4" w:space="0" w:color="auto"/>
              <w:bottom w:val="single" w:sz="6" w:space="0" w:color="000000"/>
              <w:right w:val="single" w:sz="6" w:space="0" w:color="000000"/>
            </w:tcBorders>
          </w:tcPr>
          <w:p w14:paraId="42B37201" w14:textId="77777777" w:rsidR="006D3D76" w:rsidRPr="00937060" w:rsidRDefault="006D3D76" w:rsidP="006D3D76">
            <w:pPr>
              <w:widowControl w:val="0"/>
              <w:jc w:val="both"/>
              <w:rPr>
                <w:rFonts w:eastAsia="Calibri"/>
                <w:b/>
                <w:u w:val="single"/>
                <w:lang w:eastAsia="en-US"/>
              </w:rPr>
            </w:pPr>
            <w:r w:rsidRPr="00937060">
              <w:rPr>
                <w:rFonts w:eastAsia="Calibri"/>
                <w:b/>
                <w:u w:val="single"/>
                <w:lang w:eastAsia="en-US"/>
              </w:rPr>
              <w:t>Ekonomikas ministrija:</w:t>
            </w:r>
          </w:p>
          <w:p w14:paraId="792965DA" w14:textId="77777777" w:rsidR="006D3D76" w:rsidRPr="00937060" w:rsidRDefault="006D3D76" w:rsidP="006D3D76">
            <w:pPr>
              <w:widowControl w:val="0"/>
              <w:ind w:firstLine="179"/>
              <w:jc w:val="both"/>
              <w:rPr>
                <w:rFonts w:eastAsia="Calibri"/>
                <w:lang w:eastAsia="en-US"/>
              </w:rPr>
            </w:pPr>
            <w:r w:rsidRPr="00937060">
              <w:rPr>
                <w:rFonts w:eastAsia="Calibri"/>
                <w:lang w:eastAsia="en-US"/>
              </w:rPr>
              <w:t xml:space="preserve">Secinām, ka informatīvā ziņojuma 3.2. sadaļa “ES KP Institucionālā sistēma” ir </w:t>
            </w:r>
            <w:r w:rsidRPr="00937060">
              <w:rPr>
                <w:rFonts w:eastAsia="Calibri"/>
                <w:b/>
                <w:lang w:eastAsia="en-US"/>
              </w:rPr>
              <w:t>sagatavota bez detalizētas analīzes</w:t>
            </w:r>
            <w:r w:rsidRPr="00937060">
              <w:rPr>
                <w:rFonts w:eastAsia="Calibri"/>
                <w:lang w:eastAsia="en-US"/>
              </w:rPr>
              <w:t xml:space="preserve">, kā pamatojumu esošās sistēmas saglabāšanai norādot sistēmas pēctecību un finansējuma pārrāvuma riska mazināšanu, tāpat </w:t>
            </w:r>
            <w:r w:rsidRPr="00937060">
              <w:rPr>
                <w:rFonts w:eastAsia="Calibri"/>
                <w:b/>
                <w:lang w:eastAsia="en-US"/>
              </w:rPr>
              <w:t>nav sniegta faktos balstīta argumentācija</w:t>
            </w:r>
            <w:r w:rsidRPr="00937060">
              <w:rPr>
                <w:rFonts w:eastAsia="Calibri"/>
                <w:lang w:eastAsia="en-US"/>
              </w:rPr>
              <w:t xml:space="preserve"> par informatīvajā ziņojumā izteiktajiem papildu ieguvumiem (piem., mazāks administratīvais slogs, kad kopumā nodrošināta vienota pieeja), kā arī nav skaidrs, vai un kā šie “papildu” ieguvumi ir vērtējami pret 2014-2020.plānošanas perioda institucionālo sistēmu.</w:t>
            </w:r>
          </w:p>
          <w:p w14:paraId="44356610" w14:textId="77777777" w:rsidR="006D3D76" w:rsidRPr="00937060" w:rsidRDefault="006D3D76" w:rsidP="00E8256E">
            <w:pPr>
              <w:widowControl w:val="0"/>
              <w:ind w:firstLine="208"/>
              <w:jc w:val="both"/>
              <w:rPr>
                <w:rFonts w:eastAsia="Calibri"/>
                <w:lang w:eastAsia="en-US"/>
              </w:rPr>
            </w:pPr>
            <w:r w:rsidRPr="00937060">
              <w:rPr>
                <w:rFonts w:eastAsia="Calibri"/>
                <w:lang w:eastAsia="en-US"/>
              </w:rPr>
              <w:t xml:space="preserve"> Informatīvā ziņojumā ir </w:t>
            </w:r>
            <w:r w:rsidRPr="00937060">
              <w:rPr>
                <w:rFonts w:eastAsia="Calibri"/>
                <w:lang w:eastAsia="en-US"/>
              </w:rPr>
              <w:lastRenderedPageBreak/>
              <w:t>norādīts, ka “</w:t>
            </w:r>
            <w:r w:rsidRPr="00937060">
              <w:rPr>
                <w:rFonts w:eastAsia="Calibri"/>
                <w:i/>
                <w:lang w:eastAsia="en-US"/>
              </w:rPr>
              <w:t>kopējā fondu regula paredz, ka 2021. – 2027. gada plānošanas periodā finansējuma saņēmējs būs tas, kas saņem atbalstu valsts atbalsta shēmu gadījumā, līdz ar to ES KP fondu atbalsta mehānisms jāveido tā, lai sadarbības iestāde CFLA tieši sadarbojas ar finansējuma saņēmēju/gala labuma guvēju valsts atbalsta shēmu gadījumā, proti, apstiprina projektu un slēdz līgumu, izslēdzot vairāku pakāpju administrēšanas shēmas izmantošanu</w:t>
            </w:r>
            <w:r w:rsidRPr="00937060">
              <w:rPr>
                <w:rFonts w:eastAsia="Calibri"/>
                <w:lang w:eastAsia="en-US"/>
              </w:rPr>
              <w:t xml:space="preserve">”, taču nav sniegta analīze par to, vai un kā praktiski tas izmainīs esošo atbalsta programmu ieviešanas institucionālo konstrukciju un iesaistīto institūciju lomu. </w:t>
            </w:r>
          </w:p>
          <w:p w14:paraId="4F99560B" w14:textId="77777777" w:rsidR="006D3D76" w:rsidRPr="00937060" w:rsidRDefault="006D3D76" w:rsidP="006D3D76">
            <w:pPr>
              <w:widowControl w:val="0"/>
              <w:ind w:firstLine="179"/>
              <w:jc w:val="both"/>
              <w:rPr>
                <w:rFonts w:eastAsia="Calibri"/>
                <w:lang w:eastAsia="en-US"/>
              </w:rPr>
            </w:pPr>
            <w:r w:rsidRPr="00937060">
              <w:rPr>
                <w:rFonts w:eastAsia="Calibri"/>
                <w:lang w:eastAsia="en-US"/>
              </w:rPr>
              <w:t xml:space="preserve">Gatavojoties 2014-2020.plānošanas perioda uzsākšanai tika sagatavota koncepcija par Eiropas Reģionālās attīstības fonda, Eiropas Sociālā fonda, Kohēzijas fonda, Eiropas Lauksaimniecības fonda lauku attīstībai un Eiropas Jūrlietu un zivsaimniecības fonda ieviešanu 2014.-2020.gadā Latvijā, kurā tika analizēti vairāki institucionālās sistēmas ieviešanas modeļi, kā arī noteiktas to stiprās un vājās </w:t>
            </w:r>
            <w:r w:rsidRPr="00937060">
              <w:rPr>
                <w:rFonts w:eastAsia="Calibri"/>
                <w:lang w:eastAsia="en-US"/>
              </w:rPr>
              <w:lastRenderedPageBreak/>
              <w:t xml:space="preserve">puses. Papildus izvērtējums tika sniegts arī Finanšu ministrijas izstrādātajā informatīvajā ziņojumā par Eiropas Reģionālās attīstības fonda, Eiropas Sociālā fonda un Kohēzijas fonda vadības un kontroles sistēmu 2014.-2020.gada plānošanas periodam. </w:t>
            </w:r>
            <w:r w:rsidRPr="00937060">
              <w:rPr>
                <w:rFonts w:eastAsia="Calibri"/>
                <w:b/>
                <w:lang w:eastAsia="en-US"/>
              </w:rPr>
              <w:t>Atgādinām, ka arī toreiz būtisks un joprojām nemainīgi svarīgs uzstādījums ir bijis finansējuma pārrāvuma riska mazināšana starp plānošanas periodiem, vienlaikus tas nav bijis šķērslis veikt institucionālās sistēmas aptverošu izvērtējumu un attiecīgi arī ierosināt tās reformu</w:t>
            </w:r>
            <w:r w:rsidRPr="00937060">
              <w:rPr>
                <w:rFonts w:eastAsia="Calibri"/>
                <w:lang w:eastAsia="en-US"/>
              </w:rPr>
              <w:t xml:space="preserve">. Pieņemot lēmumu par sistēmu ar vienu sadarbības iestādi, kā būtiskākais risks tika norādīts nepieciešamās kapacitātes nodrošināšana darbā ar visiem Kohēzijas politikas fondu finansējuma saņēmējiem, īpaši komersantiem un Eiropas Sociālā fonda tipa aktivitātēm, un visām atbildīgajām iestādēm, savukārt kā būtisks ieguvums tika minēta optimizācija un zemāki sistēmas uzturēšanas izdevumi (piem., sadarbības iestādes administrēšanas izdevumi, izdevumi sistēmas </w:t>
            </w:r>
            <w:r w:rsidRPr="00937060">
              <w:rPr>
                <w:rFonts w:eastAsia="Calibri"/>
                <w:lang w:eastAsia="en-US"/>
              </w:rPr>
              <w:lastRenderedPageBreak/>
              <w:t xml:space="preserve">pielāgošanai nepieciešamajām izmaiņām), salīdzinot ar 2007 – 2013. periodu. </w:t>
            </w:r>
          </w:p>
          <w:p w14:paraId="4886C2DB" w14:textId="77777777" w:rsidR="006D3D76" w:rsidRPr="00937060" w:rsidRDefault="006D3D76" w:rsidP="006D3D76">
            <w:pPr>
              <w:widowControl w:val="0"/>
              <w:ind w:firstLine="851"/>
              <w:jc w:val="both"/>
              <w:rPr>
                <w:rFonts w:eastAsia="Calibri"/>
                <w:lang w:eastAsia="en-US"/>
              </w:rPr>
            </w:pPr>
            <w:r w:rsidRPr="00937060">
              <w:rPr>
                <w:rFonts w:eastAsia="Calibri"/>
                <w:lang w:eastAsia="en-US"/>
              </w:rPr>
              <w:t>Informatīvajā ziņojumā deklaratīvi secināts, ka “</w:t>
            </w:r>
            <w:r w:rsidRPr="00937060">
              <w:rPr>
                <w:rFonts w:eastAsia="Calibri"/>
                <w:i/>
                <w:lang w:eastAsia="en-US"/>
              </w:rPr>
              <w:t>sistēma ir sevi pierādījusi 2014. – 2020. gada plānošanas periodā, proti, tā ir vērsta uz klientu, nodrošinot vienkāršotu administrēšanas sistēmu, daudzlīmeņu kontroļu sloga samazināšanu, vienotu praksi un prasības finansējuma saņēmējam, tādējādi nodrošinot efektīvu ES fondu īstenošanu, kas vērsta uz rezultātu sasniegšanu</w:t>
            </w:r>
            <w:r w:rsidRPr="00937060">
              <w:rPr>
                <w:rFonts w:eastAsia="Calibri"/>
                <w:lang w:eastAsia="en-US"/>
              </w:rPr>
              <w:t>”. EM ieskatā iepriekš minētā secinājuma pamatojums nav pietiekams, ja tas balstīts tikai uz Revīzijas iestādes Gada kontroles ziņojumu par kļūdu līmeni un ieteikumu neesamību.</w:t>
            </w:r>
          </w:p>
          <w:p w14:paraId="74EE23BF" w14:textId="77777777" w:rsidR="006D3D76" w:rsidRPr="00937060" w:rsidRDefault="006D3D76" w:rsidP="006D3D76">
            <w:pPr>
              <w:widowControl w:val="0"/>
              <w:ind w:firstLine="851"/>
              <w:jc w:val="both"/>
              <w:rPr>
                <w:rFonts w:eastAsia="Calibri"/>
                <w:lang w:eastAsia="en-US"/>
              </w:rPr>
            </w:pPr>
            <w:r w:rsidRPr="00937060">
              <w:rPr>
                <w:rFonts w:eastAsia="Calibri"/>
                <w:lang w:eastAsia="en-US"/>
              </w:rPr>
              <w:t>Ievērojot iepriekš minēto:</w:t>
            </w:r>
          </w:p>
          <w:p w14:paraId="6EDE4E92" w14:textId="77777777" w:rsidR="006D3D76" w:rsidRPr="00A248FA" w:rsidRDefault="006D3D76" w:rsidP="006D3D76">
            <w:pPr>
              <w:widowControl w:val="0"/>
              <w:numPr>
                <w:ilvl w:val="1"/>
                <w:numId w:val="34"/>
              </w:numPr>
              <w:ind w:left="463" w:hanging="284"/>
              <w:jc w:val="both"/>
              <w:rPr>
                <w:rFonts w:eastAsia="Calibri"/>
                <w:lang w:eastAsia="en-US"/>
              </w:rPr>
            </w:pPr>
            <w:r w:rsidRPr="00A248FA">
              <w:t>Iebilstam pret informatīvā ziņojuma sadaļas “Turpmākā rīcība” 2.punktu un protokollēmuma 3.punktu.</w:t>
            </w:r>
          </w:p>
          <w:p w14:paraId="61791E5D" w14:textId="77777777" w:rsidR="006D3D76" w:rsidRPr="00A248FA" w:rsidRDefault="006D3D76" w:rsidP="006D3D76">
            <w:pPr>
              <w:widowControl w:val="0"/>
              <w:numPr>
                <w:ilvl w:val="1"/>
                <w:numId w:val="34"/>
              </w:numPr>
              <w:ind w:left="463" w:hanging="284"/>
              <w:jc w:val="both"/>
              <w:rPr>
                <w:rFonts w:eastAsia="Calibri"/>
                <w:lang w:eastAsia="en-US"/>
              </w:rPr>
            </w:pPr>
            <w:r w:rsidRPr="00A248FA">
              <w:rPr>
                <w:rFonts w:eastAsia="Calibri"/>
                <w:lang w:eastAsia="en-US"/>
              </w:rPr>
              <w:t xml:space="preserve">Lūdzam papildināt 3.2. sadaļu ar vairāku iespējamo institucionālo modeļu stipro/vājo pušu salīdzinājumu, t.sk., </w:t>
            </w:r>
            <w:r w:rsidRPr="00A248FA">
              <w:rPr>
                <w:rFonts w:eastAsia="Calibri"/>
                <w:lang w:eastAsia="en-US"/>
              </w:rPr>
              <w:lastRenderedPageBreak/>
              <w:t>analizējot iepriekšējo periodu pieredzi vai piedāvājot jaunu modeli (sistēmas dalībnieki), t.sk., norādot laiku, kas jāieplāno sistēmas jaunu dalībnieku akreditācijai, ja tāda būtu nepieciešama.</w:t>
            </w:r>
          </w:p>
          <w:p w14:paraId="1EAB256E" w14:textId="6F68B81F" w:rsidR="00726CC2" w:rsidRPr="00E8256E" w:rsidRDefault="006D3D76" w:rsidP="00E8256E">
            <w:pPr>
              <w:widowControl w:val="0"/>
              <w:numPr>
                <w:ilvl w:val="1"/>
                <w:numId w:val="34"/>
              </w:numPr>
              <w:ind w:left="463" w:hanging="284"/>
              <w:jc w:val="both"/>
              <w:rPr>
                <w:b/>
                <w:sz w:val="23"/>
                <w:szCs w:val="23"/>
              </w:rPr>
            </w:pPr>
            <w:r w:rsidRPr="00937060">
              <w:rPr>
                <w:rFonts w:eastAsia="Calibri"/>
                <w:lang w:eastAsia="en-US"/>
              </w:rPr>
              <w:t xml:space="preserve">Lai secinātu, vai faktiski ir samazināts Kohēzijas politikas fondu administrēšanā iesaistīto iestāžu skaits un kopējās administratīvās izmaksas 2014-2020.plānošanas periodā, lūdzam papildināt informatīvā ziņojuma 3.2. sadaļu ar izvērtējumu par 2014-2020.plānošanas perioda sistēmas kopējām izmaksām, t.sk., ņemot vērā izmaksas, kas rodas izmantojot nozaru ministriju un to padotībā esošo institūciju ekspertu kapacitāti par ieviešanas jautājumiem specifisku projektu gadījumos (it sevišķi, kur finansējuma saņēmēji nav valsts pārvaldes un to padotības iestādes vai kapitālsabiedrības un kuru īstenošanas laikā </w:t>
            </w:r>
            <w:r w:rsidRPr="00937060">
              <w:rPr>
                <w:rFonts w:eastAsia="Calibri"/>
                <w:lang w:eastAsia="en-US"/>
              </w:rPr>
              <w:lastRenderedPageBreak/>
              <w:t>nepieciešams nodrošināt nepārtrauktu analīzi par virzību uz definēto mērķu sasniegšanu un nepieciešams nodrošināt pastiprinātu darbu ar finansējuma saņēmējiem, lai nodrošinātu plānoto un īstenojamo darbību atbilstību darbības programmā definētajām nozares vajadzībām, t.sk., iekļaujot nozaru ministriju un tās padotībā esošu institūciju izmaksas ilgtermiņa projektos).</w:t>
            </w:r>
          </w:p>
        </w:tc>
        <w:tc>
          <w:tcPr>
            <w:tcW w:w="3002" w:type="dxa"/>
            <w:tcBorders>
              <w:top w:val="single" w:sz="6" w:space="0" w:color="000000"/>
              <w:left w:val="single" w:sz="6" w:space="0" w:color="000000"/>
              <w:bottom w:val="single" w:sz="6" w:space="0" w:color="000000"/>
              <w:right w:val="single" w:sz="4" w:space="0" w:color="auto"/>
            </w:tcBorders>
          </w:tcPr>
          <w:p w14:paraId="31062146" w14:textId="2437D553" w:rsidR="00726CC2" w:rsidRPr="006D3D76" w:rsidRDefault="006D3D76" w:rsidP="0094154F">
            <w:pPr>
              <w:pStyle w:val="NormalWeb"/>
              <w:spacing w:before="0" w:beforeAutospacing="0" w:after="0" w:afterAutospacing="0"/>
              <w:jc w:val="center"/>
              <w:rPr>
                <w:b/>
              </w:rPr>
            </w:pPr>
            <w:r w:rsidRPr="006D3D76">
              <w:rPr>
                <w:b/>
              </w:rPr>
              <w:lastRenderedPageBreak/>
              <w:t>Nav ņemts vērā.</w:t>
            </w:r>
          </w:p>
          <w:p w14:paraId="0A3E84BC" w14:textId="77777777" w:rsidR="006D3D76" w:rsidRDefault="006D3D76" w:rsidP="001064AA">
            <w:pPr>
              <w:pStyle w:val="NormalWeb"/>
              <w:spacing w:before="0" w:beforeAutospacing="0" w:after="0" w:afterAutospacing="0"/>
              <w:jc w:val="both"/>
            </w:pPr>
          </w:p>
          <w:p w14:paraId="680AB73E" w14:textId="77777777" w:rsidR="006D3D76" w:rsidRDefault="006D3D76" w:rsidP="006D3D76">
            <w:pPr>
              <w:pStyle w:val="NormalWeb"/>
              <w:spacing w:before="0" w:beforeAutospacing="0" w:after="120" w:afterAutospacing="0"/>
              <w:jc w:val="both"/>
            </w:pPr>
            <w:r w:rsidRPr="00A50040">
              <w:t>Skaidrojam, ka šobrīd</w:t>
            </w:r>
            <w:r>
              <w:t xml:space="preserve"> jau ir </w:t>
            </w:r>
            <w:r w:rsidRPr="00A50040">
              <w:t xml:space="preserve"> veikt</w:t>
            </w:r>
            <w:r>
              <w:t>s</w:t>
            </w:r>
            <w:r w:rsidRPr="00A50040">
              <w:t xml:space="preserve"> vairāku</w:t>
            </w:r>
            <w:r>
              <w:t xml:space="preserve"> modeļu izvērtējums,</w:t>
            </w:r>
            <w:r w:rsidRPr="00B56798">
              <w:t xml:space="preserve"> gatavojot 2014.-2020.gada plānošanas perioda vadības un kontroles sistēmas piedāvājumu, un papildus izvērtējums nebūtu lietderīgs</w:t>
            </w:r>
            <w:r>
              <w:t>, ņemot vērā šādus faktorus:</w:t>
            </w:r>
          </w:p>
          <w:p w14:paraId="7E24BA68" w14:textId="77777777" w:rsidR="006D3D76" w:rsidRDefault="006D3D76" w:rsidP="006D3D76">
            <w:pPr>
              <w:pStyle w:val="NormalWeb"/>
              <w:numPr>
                <w:ilvl w:val="0"/>
                <w:numId w:val="37"/>
              </w:numPr>
              <w:spacing w:before="0" w:beforeAutospacing="0" w:after="120" w:afterAutospacing="0"/>
              <w:ind w:left="41" w:hanging="77"/>
              <w:jc w:val="both"/>
            </w:pPr>
            <w:r>
              <w:t>N</w:t>
            </w:r>
            <w:r w:rsidRPr="00A50040">
              <w:t xml:space="preserve">av apstiprināts NAP 2027, līdz ar to nav zināmas precīzas investīcijas, uz kā pamata būtu jāvērtē institucionālā ietvara maiņa. </w:t>
            </w:r>
          </w:p>
          <w:p w14:paraId="621035C5" w14:textId="77777777" w:rsidR="006D3D76" w:rsidRDefault="006D3D76" w:rsidP="006D3D76">
            <w:pPr>
              <w:pStyle w:val="NormalWeb"/>
              <w:numPr>
                <w:ilvl w:val="0"/>
                <w:numId w:val="37"/>
              </w:numPr>
              <w:spacing w:before="0" w:beforeAutospacing="0" w:after="120" w:afterAutospacing="0"/>
              <w:ind w:left="41" w:hanging="77"/>
              <w:jc w:val="both"/>
            </w:pPr>
            <w:r>
              <w:t xml:space="preserve">Veiktā analīze ietver: 1. apturētos maksājumus valstij; 2. </w:t>
            </w:r>
            <w:r w:rsidRPr="00EB042E">
              <w:t xml:space="preserve">Atšķirīga iestāžu </w:t>
            </w:r>
            <w:r w:rsidRPr="00EB042E">
              <w:lastRenderedPageBreak/>
              <w:t>sagatavotība (2014.gada 12</w:t>
            </w:r>
            <w:r>
              <w:t>.</w:t>
            </w:r>
            <w:r w:rsidRPr="00EB042E">
              <w:t>-16.maija EK audita novērojums</w:t>
            </w:r>
            <w:r>
              <w:t>); 3. būtiskas atšķirības Maksājumu pieprasījumu izskatīšanas termiņos (ar ļoti būtiskiem kavējumiem);</w:t>
            </w:r>
          </w:p>
          <w:p w14:paraId="22EBA880" w14:textId="77777777" w:rsidR="006D3D76" w:rsidRDefault="006D3D76" w:rsidP="006D3D76">
            <w:pPr>
              <w:pStyle w:val="NormalWeb"/>
              <w:numPr>
                <w:ilvl w:val="0"/>
                <w:numId w:val="37"/>
              </w:numPr>
              <w:spacing w:before="0" w:beforeAutospacing="0" w:after="120" w:afterAutospacing="0"/>
              <w:ind w:left="41" w:hanging="77"/>
              <w:jc w:val="both"/>
            </w:pPr>
            <w:r>
              <w:t>Revīzijas iestādes audits ir galvenais rādītājs, kas apliecina gan sistēmas darbības likumību, gan efektivitāti un Revīzijas iestādes auditi atzīst esošo sistēmu par atbilstošu regulas un labās prakses prasībām.</w:t>
            </w:r>
          </w:p>
          <w:p w14:paraId="45ABF97C" w14:textId="77777777" w:rsidR="006D3D76" w:rsidRDefault="006D3D76" w:rsidP="006D3D76">
            <w:pPr>
              <w:pStyle w:val="NormalWeb"/>
              <w:numPr>
                <w:ilvl w:val="0"/>
                <w:numId w:val="37"/>
              </w:numPr>
              <w:spacing w:before="0" w:beforeAutospacing="0" w:after="120" w:afterAutospacing="0"/>
              <w:ind w:left="41" w:hanging="77"/>
              <w:jc w:val="both"/>
            </w:pPr>
            <w:r>
              <w:t>Arī Revīzijas palātas audits, kas veica vienas konkrētas jomas revīziju (krāpšanas risku vadība) apliecināja, ka esošās sistēmas ietvaros ir nodrošināta laba pārvaldība.</w:t>
            </w:r>
          </w:p>
          <w:p w14:paraId="718EF2B8" w14:textId="77777777" w:rsidR="006D3D76" w:rsidRDefault="006D3D76" w:rsidP="006D3D76">
            <w:pPr>
              <w:pStyle w:val="NormalWeb"/>
              <w:numPr>
                <w:ilvl w:val="0"/>
                <w:numId w:val="37"/>
              </w:numPr>
              <w:spacing w:before="0" w:beforeAutospacing="0" w:after="120" w:afterAutospacing="0"/>
              <w:ind w:left="41" w:hanging="77"/>
              <w:jc w:val="both"/>
            </w:pPr>
            <w:r w:rsidRPr="00B56798">
              <w:t>Savukārt V</w:t>
            </w:r>
            <w:r>
              <w:t>adības un kontroles sistēmā</w:t>
            </w:r>
            <w:r w:rsidRPr="00B56798">
              <w:t xml:space="preserve"> iesaistīto iestāžu analīze jau veikta plānošanas perioda gaitā gan no pakalpojuma saņēmēju puses, gan no likumdevēja (</w:t>
            </w:r>
            <w:r w:rsidRPr="00FB2095">
              <w:t>Saeimas Publisko izdevumu un revīzijas komisija</w:t>
            </w:r>
            <w:r>
              <w:t xml:space="preserve"> </w:t>
            </w:r>
            <w:r w:rsidRPr="00B56798">
              <w:t xml:space="preserve">un </w:t>
            </w:r>
            <w:r w:rsidRPr="00FB2095">
              <w:t>Saeimas Eiropas lietu komisija</w:t>
            </w:r>
            <w:r w:rsidRPr="00B56798">
              <w:t>) puses</w:t>
            </w:r>
            <w:r>
              <w:t xml:space="preserve">, kuras </w:t>
            </w:r>
            <w:r>
              <w:lastRenderedPageBreak/>
              <w:t>atzina sistēmu par klientiem draudzīgu un efektīvu.</w:t>
            </w:r>
          </w:p>
          <w:p w14:paraId="14027388" w14:textId="77777777" w:rsidR="006D3D76" w:rsidRDefault="006D3D76" w:rsidP="006D3D76">
            <w:pPr>
              <w:pStyle w:val="NormalWeb"/>
              <w:numPr>
                <w:ilvl w:val="0"/>
                <w:numId w:val="37"/>
              </w:numPr>
              <w:spacing w:before="0" w:beforeAutospacing="0" w:after="120" w:afterAutospacing="0"/>
              <w:ind w:left="41" w:hanging="77"/>
              <w:jc w:val="both"/>
            </w:pPr>
            <w:r>
              <w:t xml:space="preserve">Piedāvājot jaunā 2021.-2027.gada perioda institucionālo modeli, tika analizēts, ka ar veiktajām reformām, augstākminētie sistēmas darbības trūkumi ir novērsti. </w:t>
            </w:r>
          </w:p>
          <w:p w14:paraId="3D16F775" w14:textId="77777777" w:rsidR="006D3D76" w:rsidRDefault="006D3D76" w:rsidP="006D3D76">
            <w:pPr>
              <w:pStyle w:val="NormalWeb"/>
              <w:numPr>
                <w:ilvl w:val="0"/>
                <w:numId w:val="37"/>
              </w:numPr>
              <w:spacing w:before="0" w:beforeAutospacing="0" w:after="120" w:afterAutospacing="0"/>
              <w:ind w:left="41" w:hanging="77"/>
              <w:jc w:val="both"/>
            </w:pPr>
            <w:r>
              <w:t xml:space="preserve">Arī Eiropas Komisija 2019.gada 11.aprīļa 2021.-2027.gada Kohēzijas politikas plānošanas perioda  dialoga uzsākšanas  pasākumā norādīja, ka Latvijai būtu jāturpina ar esošo vadības un kontroles sistēmu, norādot to kā labās prakses piemēru.  </w:t>
            </w:r>
          </w:p>
          <w:p w14:paraId="26C7B365" w14:textId="056851F3" w:rsidR="006D3D76" w:rsidRPr="00937060" w:rsidRDefault="006D3D76" w:rsidP="006D3D76">
            <w:pPr>
              <w:pStyle w:val="NormalWeb"/>
              <w:spacing w:before="0" w:beforeAutospacing="0" w:after="0" w:afterAutospacing="0"/>
              <w:jc w:val="both"/>
            </w:pPr>
            <w:r>
              <w:t>Informējam, ka a</w:t>
            </w:r>
            <w:r w:rsidRPr="00142974">
              <w:t>ttiecībā uz ES KP fondu administrēšanu</w:t>
            </w:r>
            <w:r>
              <w:t xml:space="preserve"> 2014. – 2020.gada plānošanas periodā</w:t>
            </w:r>
            <w:r w:rsidRPr="00142974">
              <w:t xml:space="preserve"> </w:t>
            </w:r>
            <w:r>
              <w:t>2.25</w:t>
            </w:r>
            <w:r w:rsidRPr="00142974">
              <w:t xml:space="preserve">% </w:t>
            </w:r>
            <w:r>
              <w:t xml:space="preserve">no ES KP fondu finansējuma </w:t>
            </w:r>
            <w:r w:rsidRPr="00142974">
              <w:t>tiek novirzīti ES KP fondu sistēmas vadībai (2007. – 2013.gadā tie bija 2,5 %)</w:t>
            </w:r>
            <w:r>
              <w:t xml:space="preserve">. </w:t>
            </w:r>
          </w:p>
        </w:tc>
        <w:tc>
          <w:tcPr>
            <w:tcW w:w="2385" w:type="dxa"/>
            <w:tcBorders>
              <w:top w:val="single" w:sz="6" w:space="0" w:color="000000"/>
              <w:left w:val="single" w:sz="4" w:space="0" w:color="auto"/>
              <w:bottom w:val="single" w:sz="6" w:space="0" w:color="000000"/>
              <w:right w:val="single" w:sz="6" w:space="0" w:color="000000"/>
            </w:tcBorders>
          </w:tcPr>
          <w:p w14:paraId="0C6F86E4" w14:textId="77777777" w:rsidR="006D3D76" w:rsidRDefault="006D3D76" w:rsidP="006D3D76">
            <w:pPr>
              <w:widowControl w:val="0"/>
              <w:jc w:val="both"/>
              <w:rPr>
                <w:rFonts w:eastAsia="Calibri"/>
                <w:lang w:eastAsia="en-US"/>
              </w:rPr>
            </w:pPr>
            <w:r>
              <w:rPr>
                <w:b/>
                <w:u w:val="single"/>
              </w:rPr>
              <w:lastRenderedPageBreak/>
              <w:t>Ekonomikas</w:t>
            </w:r>
            <w:r w:rsidRPr="003B1E10">
              <w:rPr>
                <w:b/>
                <w:u w:val="single"/>
              </w:rPr>
              <w:t xml:space="preserve"> ministrijas 29.05.2019. iebildums:</w:t>
            </w:r>
          </w:p>
          <w:p w14:paraId="2D9680D7" w14:textId="77777777" w:rsidR="006D3D76" w:rsidRDefault="006D3D76" w:rsidP="006D3D76">
            <w:pPr>
              <w:widowControl w:val="0"/>
              <w:jc w:val="both"/>
              <w:rPr>
                <w:rFonts w:eastAsia="Calibri"/>
                <w:lang w:eastAsia="en-US"/>
              </w:rPr>
            </w:pPr>
            <w:r>
              <w:t xml:space="preserve">EM uztur iepriekš izteikto iebildumu Nr.1.3. (2019.gada 20.maija vēstule Nr. 3.1-20/2019/106): </w:t>
            </w:r>
            <w:r>
              <w:rPr>
                <w:i/>
                <w:iCs/>
              </w:rPr>
              <w:t xml:space="preserve">“lai secinātu, vai faktiski ir samazināts Kohēzijas politikas fondu administrēšanā iesaistīto iestāžu skaits un kopējās administratīvās izmaksas 2014-2020.plānošanas periodā, lūdzam papildināt informatīvā ziņojuma 3.2. sadaļu </w:t>
            </w:r>
            <w:r>
              <w:rPr>
                <w:i/>
                <w:iCs/>
              </w:rPr>
              <w:lastRenderedPageBreak/>
              <w:t xml:space="preserve">ar izvērtējumu par 2014-2020.plānošanas perioda sistēmas kopējām izmaksām, t.sk., ņemot vērā izmaksas, kas rodas izmantojot nozaru ministriju un to padotībā esošo institūciju ekspertu kapacitāti par ieviešanas jautājumiem specifisku projektu gadījumos (it sevišķi, kur finansējuma saņēmēji nav valsts pārvaldes un to padotības iestādes vai kapitālsabiedrības un kuru īstenošanas laikā nepieciešams nodrošināt nepārtrauktu analīzi par virzību uz definēto mērķu sasniegšanu un nepieciešams nodrošināt pastiprinātu darbu ar finansējuma saņēmējiem, lai nodrošinātu plānoto un īstenojamo darbību </w:t>
            </w:r>
            <w:r>
              <w:rPr>
                <w:i/>
                <w:iCs/>
              </w:rPr>
              <w:lastRenderedPageBreak/>
              <w:t xml:space="preserve">atbilstību darbības programmā definētajām nozares vajadzībām, t.sk., iekļaujot nozaru ministriju un tās padotībā esošu institūciju izmaksas ilgtermiņa projektos)”. </w:t>
            </w:r>
            <w:r>
              <w:t>Vēršam uzmanību, ka detalizēta informācija par kopējām esošās fondu ieviešanas institucionālās sistēmas izmaksām ir nepieciešama, lai novērtētu, vai 2014-2020.plānošanas periodā ir sasniegts šai sistēmai izvirzītais resursu optimizācijas mērķis.</w:t>
            </w:r>
          </w:p>
          <w:p w14:paraId="5639F9A4" w14:textId="224F54E9" w:rsidR="00726CC2" w:rsidRPr="00937060" w:rsidRDefault="00726CC2" w:rsidP="00726CC2">
            <w:pPr>
              <w:pStyle w:val="naisf"/>
              <w:widowControl w:val="0"/>
              <w:tabs>
                <w:tab w:val="left" w:pos="1260"/>
              </w:tabs>
              <w:adjustRightInd w:val="0"/>
              <w:spacing w:before="120" w:after="0"/>
              <w:ind w:firstLine="0"/>
              <w:textAlignment w:val="baseline"/>
              <w:rPr>
                <w:b/>
                <w:sz w:val="23"/>
                <w:szCs w:val="23"/>
              </w:rPr>
            </w:pPr>
          </w:p>
        </w:tc>
        <w:tc>
          <w:tcPr>
            <w:tcW w:w="2010" w:type="dxa"/>
            <w:tcBorders>
              <w:top w:val="single" w:sz="4" w:space="0" w:color="auto"/>
              <w:left w:val="single" w:sz="4" w:space="0" w:color="auto"/>
              <w:bottom w:val="single" w:sz="4" w:space="0" w:color="auto"/>
              <w:right w:val="single" w:sz="4" w:space="0" w:color="auto"/>
            </w:tcBorders>
          </w:tcPr>
          <w:p w14:paraId="092ADB27" w14:textId="24E38D1E" w:rsidR="00726CC2" w:rsidRPr="000153D1" w:rsidRDefault="000153D1" w:rsidP="000153D1">
            <w:pPr>
              <w:tabs>
                <w:tab w:val="left" w:pos="426"/>
              </w:tabs>
              <w:spacing w:before="120"/>
              <w:ind w:right="26"/>
              <w:jc w:val="both"/>
              <w:rPr>
                <w:sz w:val="23"/>
                <w:szCs w:val="23"/>
              </w:rPr>
            </w:pPr>
            <w:r w:rsidRPr="000153D1">
              <w:rPr>
                <w:sz w:val="23"/>
                <w:szCs w:val="23"/>
              </w:rPr>
              <w:lastRenderedPageBreak/>
              <w:t xml:space="preserve">Skatīt precizēto </w:t>
            </w:r>
            <w:r w:rsidRPr="000153D1">
              <w:rPr>
                <w:rFonts w:eastAsia="Calibri"/>
                <w:lang w:eastAsia="en-US"/>
              </w:rPr>
              <w:t>informatīvā ziņojuma 3.2. sadaļu “ES KP Institucionālā sistēma”</w:t>
            </w:r>
          </w:p>
        </w:tc>
      </w:tr>
    </w:tbl>
    <w:p w14:paraId="6DD0327D" w14:textId="77777777" w:rsidR="007B471E" w:rsidRPr="00937060" w:rsidRDefault="007B471E" w:rsidP="005D67F7">
      <w:pPr>
        <w:pStyle w:val="naisf"/>
        <w:spacing w:before="0" w:after="0"/>
        <w:ind w:firstLine="0"/>
        <w:rPr>
          <w:b/>
          <w:sz w:val="20"/>
          <w:szCs w:val="20"/>
        </w:rPr>
      </w:pPr>
    </w:p>
    <w:p w14:paraId="532EEEE9" w14:textId="77777777" w:rsidR="00D21795" w:rsidRPr="00937060" w:rsidRDefault="00D21795" w:rsidP="005D67F7">
      <w:pPr>
        <w:pStyle w:val="naisf"/>
        <w:spacing w:before="0" w:after="0"/>
        <w:ind w:firstLine="0"/>
        <w:rPr>
          <w:b/>
        </w:rPr>
      </w:pPr>
    </w:p>
    <w:p w14:paraId="672DDC05" w14:textId="3D17C009" w:rsidR="005D67F7" w:rsidRPr="00937060" w:rsidRDefault="005D67F7" w:rsidP="005D67F7">
      <w:pPr>
        <w:pStyle w:val="naisf"/>
        <w:spacing w:before="0" w:after="0"/>
        <w:ind w:firstLine="0"/>
        <w:rPr>
          <w:b/>
        </w:rPr>
      </w:pPr>
      <w:r w:rsidRPr="00937060">
        <w:rPr>
          <w:b/>
        </w:rPr>
        <w:t xml:space="preserve">Informācija par starpministriju (starpinstitūciju) </w:t>
      </w:r>
      <w:r w:rsidRPr="0094154F">
        <w:rPr>
          <w:b/>
        </w:rPr>
        <w:t>sanāksmi</w:t>
      </w:r>
      <w:r w:rsidRPr="00937060">
        <w:rPr>
          <w:b/>
        </w:rPr>
        <w:t xml:space="preserve"> </w:t>
      </w:r>
      <w:r w:rsidR="00E3656E" w:rsidRPr="00937060">
        <w:rPr>
          <w:b/>
        </w:rPr>
        <w:t xml:space="preserve">un </w:t>
      </w:r>
      <w:r w:rsidRPr="00937060">
        <w:rPr>
          <w:b/>
          <w:u w:val="single"/>
        </w:rPr>
        <w:t>elektronisko saskaņošanu</w:t>
      </w:r>
    </w:p>
    <w:p w14:paraId="655E9A55" w14:textId="77777777" w:rsidR="005D67F7" w:rsidRPr="00937060" w:rsidRDefault="005D67F7" w:rsidP="005D67F7">
      <w:pPr>
        <w:pStyle w:val="naisf"/>
        <w:spacing w:before="0" w:after="0"/>
        <w:ind w:firstLine="0"/>
        <w:rPr>
          <w:b/>
          <w:sz w:val="22"/>
          <w:szCs w:val="22"/>
        </w:rPr>
      </w:pPr>
    </w:p>
    <w:tbl>
      <w:tblPr>
        <w:tblW w:w="13892" w:type="dxa"/>
        <w:tblLook w:val="00A0" w:firstRow="1" w:lastRow="0" w:firstColumn="1" w:lastColumn="0" w:noHBand="0" w:noVBand="0"/>
      </w:tblPr>
      <w:tblGrid>
        <w:gridCol w:w="5387"/>
        <w:gridCol w:w="8505"/>
      </w:tblGrid>
      <w:tr w:rsidR="00937060" w:rsidRPr="00937060" w14:paraId="412F8FEC" w14:textId="77777777" w:rsidTr="00020794">
        <w:trPr>
          <w:trHeight w:val="366"/>
        </w:trPr>
        <w:tc>
          <w:tcPr>
            <w:tcW w:w="5387" w:type="dxa"/>
          </w:tcPr>
          <w:p w14:paraId="7953AC02" w14:textId="77777777" w:rsidR="007B4C0F" w:rsidRPr="00937060" w:rsidRDefault="005D67F7" w:rsidP="005D67F7">
            <w:pPr>
              <w:pStyle w:val="naisf"/>
              <w:spacing w:before="0" w:after="0"/>
              <w:ind w:firstLine="0"/>
            </w:pPr>
            <w:r w:rsidRPr="00937060">
              <w:t>D</w:t>
            </w:r>
            <w:r w:rsidR="007B4C0F" w:rsidRPr="00937060">
              <w:t>atums</w:t>
            </w:r>
          </w:p>
        </w:tc>
        <w:tc>
          <w:tcPr>
            <w:tcW w:w="8505" w:type="dxa"/>
          </w:tcPr>
          <w:p w14:paraId="19FAAF9B" w14:textId="30916A6B" w:rsidR="00E3204E" w:rsidRPr="00937060" w:rsidRDefault="00100010" w:rsidP="00D21795">
            <w:pPr>
              <w:pStyle w:val="NormalWeb"/>
              <w:spacing w:before="0" w:beforeAutospacing="0" w:after="0" w:afterAutospacing="0"/>
              <w:jc w:val="both"/>
            </w:pPr>
            <w:r w:rsidRPr="00937060">
              <w:t>201</w:t>
            </w:r>
            <w:r w:rsidR="00D21795" w:rsidRPr="00937060">
              <w:t>9</w:t>
            </w:r>
            <w:r w:rsidR="00AB65DF" w:rsidRPr="00937060">
              <w:t xml:space="preserve">.gada </w:t>
            </w:r>
            <w:r w:rsidR="006A2DA1">
              <w:t>24</w:t>
            </w:r>
            <w:r w:rsidR="00D21795" w:rsidRPr="00937060">
              <w:t>.maijs</w:t>
            </w:r>
          </w:p>
        </w:tc>
      </w:tr>
      <w:tr w:rsidR="00937060" w:rsidRPr="00937060" w14:paraId="649A107C" w14:textId="77777777" w:rsidTr="00020794">
        <w:trPr>
          <w:trHeight w:val="80"/>
        </w:trPr>
        <w:tc>
          <w:tcPr>
            <w:tcW w:w="5387" w:type="dxa"/>
          </w:tcPr>
          <w:p w14:paraId="58B11691" w14:textId="085BEEF1" w:rsidR="003C27A2" w:rsidRPr="00937060" w:rsidRDefault="003C27A2" w:rsidP="007B4C0F">
            <w:pPr>
              <w:pStyle w:val="naisf"/>
              <w:spacing w:before="0" w:after="0"/>
              <w:ind w:firstLine="0"/>
            </w:pPr>
          </w:p>
        </w:tc>
        <w:tc>
          <w:tcPr>
            <w:tcW w:w="8505" w:type="dxa"/>
          </w:tcPr>
          <w:p w14:paraId="1CBB9D9B" w14:textId="77777777" w:rsidR="003C27A2" w:rsidRPr="00937060" w:rsidRDefault="003C27A2" w:rsidP="00A766CF">
            <w:pPr>
              <w:pStyle w:val="NormalWeb"/>
              <w:spacing w:before="0" w:beforeAutospacing="0" w:after="0" w:afterAutospacing="0"/>
              <w:jc w:val="both"/>
              <w:rPr>
                <w:sz w:val="20"/>
                <w:szCs w:val="20"/>
              </w:rPr>
            </w:pPr>
          </w:p>
        </w:tc>
      </w:tr>
      <w:tr w:rsidR="00937060" w:rsidRPr="00937060" w14:paraId="54E68B13" w14:textId="77777777" w:rsidTr="00AC1986">
        <w:tc>
          <w:tcPr>
            <w:tcW w:w="5387" w:type="dxa"/>
          </w:tcPr>
          <w:p w14:paraId="05774256" w14:textId="77777777" w:rsidR="007B4C0F" w:rsidRPr="00937060" w:rsidRDefault="00365CC0" w:rsidP="003C27A2">
            <w:pPr>
              <w:pStyle w:val="naiskr"/>
              <w:spacing w:before="0" w:after="0"/>
            </w:pPr>
            <w:r w:rsidRPr="00937060">
              <w:t>Saskaņošanas dalībnieki</w:t>
            </w:r>
          </w:p>
        </w:tc>
        <w:tc>
          <w:tcPr>
            <w:tcW w:w="8505" w:type="dxa"/>
          </w:tcPr>
          <w:p w14:paraId="4B389630" w14:textId="631D8D91" w:rsidR="0062007C" w:rsidRPr="00937060" w:rsidRDefault="00D35172" w:rsidP="00D21795">
            <w:r w:rsidRPr="00937060">
              <w:t xml:space="preserve">Tieslietu ministrija, Ekonomikas ministrija, </w:t>
            </w:r>
            <w:r w:rsidR="003B1BCA" w:rsidRPr="00937060">
              <w:t>Iekšlietu ministrija, Izglītības un zinātnes ministrija</w:t>
            </w:r>
            <w:r w:rsidR="0083533A" w:rsidRPr="00937060">
              <w:t xml:space="preserve">, Kultūras ministrija, Labklājības ministrija, </w:t>
            </w:r>
            <w:r w:rsidRPr="00937060">
              <w:t xml:space="preserve">Satiksmes ministrija, Veselības ministrija, Vides aizsardzības un reģionālās attīstības ministrija, </w:t>
            </w:r>
            <w:r w:rsidR="00623E90" w:rsidRPr="00937060">
              <w:t xml:space="preserve">Zemkopības ministrija, </w:t>
            </w:r>
            <w:r w:rsidR="00D21795" w:rsidRPr="00937060">
              <w:t>Valsts kanceleja</w:t>
            </w:r>
            <w:r w:rsidR="00E44BE0">
              <w:t xml:space="preserve">, </w:t>
            </w:r>
            <w:r w:rsidR="00E44BE0" w:rsidRPr="00E44BE0">
              <w:t>Latvijas Lielo pilsētu asociācija</w:t>
            </w:r>
          </w:p>
        </w:tc>
      </w:tr>
      <w:tr w:rsidR="00937060" w:rsidRPr="00937060" w14:paraId="6271757D" w14:textId="77777777" w:rsidTr="00AC1986">
        <w:trPr>
          <w:trHeight w:val="285"/>
        </w:trPr>
        <w:tc>
          <w:tcPr>
            <w:tcW w:w="5387" w:type="dxa"/>
          </w:tcPr>
          <w:p w14:paraId="57C2ADFF" w14:textId="77777777" w:rsidR="00200E06" w:rsidRPr="00937060" w:rsidRDefault="00200E06" w:rsidP="000D0AED">
            <w:pPr>
              <w:pStyle w:val="naiskr"/>
              <w:spacing w:before="0" w:after="0"/>
            </w:pPr>
            <w:r w:rsidRPr="00937060">
              <w:t>Saskaņošanas dalībnieki izskatīja šādu ministriju (citu institūciju) iebildumus</w:t>
            </w:r>
          </w:p>
        </w:tc>
        <w:tc>
          <w:tcPr>
            <w:tcW w:w="8505" w:type="dxa"/>
          </w:tcPr>
          <w:p w14:paraId="453A2385" w14:textId="2878928C" w:rsidR="00E401A6" w:rsidRPr="00937060" w:rsidRDefault="0083533A" w:rsidP="00A256CB">
            <w:pPr>
              <w:pStyle w:val="naiskr"/>
              <w:spacing w:before="120" w:after="0"/>
              <w:ind w:firstLine="11"/>
            </w:pPr>
            <w:r w:rsidRPr="00937060">
              <w:t xml:space="preserve">Tieslietu ministrija, </w:t>
            </w:r>
            <w:r w:rsidR="00F476EA" w:rsidRPr="00937060">
              <w:t>Ekonomikas ministrija</w:t>
            </w:r>
            <w:r w:rsidR="00F02442" w:rsidRPr="00937060">
              <w:t xml:space="preserve">, </w:t>
            </w:r>
            <w:r w:rsidR="003B1BCA" w:rsidRPr="00937060">
              <w:t xml:space="preserve">Izglītības un zinātnes ministrija, </w:t>
            </w:r>
            <w:r w:rsidR="00340275" w:rsidRPr="00937060">
              <w:t>Labklājības ministrija</w:t>
            </w:r>
            <w:r w:rsidR="0021763D" w:rsidRPr="00937060">
              <w:t xml:space="preserve">, </w:t>
            </w:r>
            <w:r w:rsidR="00A256CB" w:rsidRPr="00937060">
              <w:t xml:space="preserve">Kultūras, ministrija, </w:t>
            </w:r>
            <w:r w:rsidR="00EE0430" w:rsidRPr="00937060">
              <w:t>Satiksmes ministrija</w:t>
            </w:r>
            <w:r w:rsidR="007E1E18" w:rsidRPr="00937060">
              <w:t xml:space="preserve">, </w:t>
            </w:r>
            <w:r w:rsidRPr="00937060">
              <w:t>Vides aizsardzības un reģionālās attīstības ministrija</w:t>
            </w:r>
            <w:r w:rsidR="0021763D" w:rsidRPr="00937060">
              <w:t xml:space="preserve">, </w:t>
            </w:r>
            <w:r w:rsidR="003B1BCA" w:rsidRPr="00937060">
              <w:t xml:space="preserve">Valsts kanceleja, </w:t>
            </w:r>
            <w:r w:rsidR="00A256CB" w:rsidRPr="00937060">
              <w:t>Zemkopības ministrija</w:t>
            </w:r>
            <w:r w:rsidR="00EE0430" w:rsidRPr="00937060">
              <w:t>, Latvijas Lielo pilsētu asociācija</w:t>
            </w:r>
          </w:p>
        </w:tc>
      </w:tr>
      <w:tr w:rsidR="00937060" w:rsidRPr="00937060" w14:paraId="012E8F64" w14:textId="77777777" w:rsidTr="00AC1986">
        <w:trPr>
          <w:trHeight w:val="465"/>
        </w:trPr>
        <w:tc>
          <w:tcPr>
            <w:tcW w:w="13892" w:type="dxa"/>
            <w:gridSpan w:val="2"/>
          </w:tcPr>
          <w:p w14:paraId="35B523E3" w14:textId="77777777" w:rsidR="007B4C0F" w:rsidRPr="00937060" w:rsidRDefault="007B4C0F" w:rsidP="007208C6">
            <w:pPr>
              <w:pStyle w:val="naisc"/>
              <w:spacing w:before="0" w:after="0"/>
              <w:jc w:val="left"/>
              <w:rPr>
                <w:sz w:val="20"/>
                <w:szCs w:val="20"/>
              </w:rPr>
            </w:pPr>
          </w:p>
        </w:tc>
      </w:tr>
      <w:tr w:rsidR="007B4C0F" w:rsidRPr="00937060" w14:paraId="737861A4" w14:textId="77777777" w:rsidTr="00AC1986">
        <w:tc>
          <w:tcPr>
            <w:tcW w:w="5387" w:type="dxa"/>
          </w:tcPr>
          <w:p w14:paraId="723F8D39" w14:textId="77777777" w:rsidR="007B4C0F" w:rsidRPr="00937060" w:rsidRDefault="007B4C0F" w:rsidP="0036160E">
            <w:pPr>
              <w:pStyle w:val="naiskr"/>
              <w:spacing w:before="0" w:after="0"/>
            </w:pPr>
            <w:r w:rsidRPr="00937060">
              <w:lastRenderedPageBreak/>
              <w:t>Ministrijas (citas institūcijas), kuras nav ieradušās uz sanāksmi vai kuras nav atbildējušas uz uzaicinājumu piedalīties elektroniskajā saskaņošanā</w:t>
            </w:r>
          </w:p>
        </w:tc>
        <w:tc>
          <w:tcPr>
            <w:tcW w:w="8505" w:type="dxa"/>
          </w:tcPr>
          <w:p w14:paraId="0B19AFC2" w14:textId="2C6B5D6E" w:rsidR="007B4C0F" w:rsidRPr="00937060" w:rsidRDefault="007B4C0F" w:rsidP="00E401A6">
            <w:pPr>
              <w:pStyle w:val="naiskr"/>
              <w:spacing w:before="0" w:after="0"/>
              <w:ind w:firstLine="34"/>
            </w:pPr>
          </w:p>
        </w:tc>
      </w:tr>
    </w:tbl>
    <w:p w14:paraId="6C46CB4F" w14:textId="30B12966" w:rsidR="007B471E" w:rsidRPr="00937060" w:rsidRDefault="007B471E" w:rsidP="00184479">
      <w:pPr>
        <w:pStyle w:val="naisf"/>
        <w:spacing w:before="0" w:after="0"/>
        <w:ind w:firstLine="0"/>
        <w:jc w:val="center"/>
        <w:rPr>
          <w:b/>
        </w:rPr>
      </w:pPr>
    </w:p>
    <w:p w14:paraId="178DEC79" w14:textId="77777777" w:rsidR="004E7B17" w:rsidRPr="00937060" w:rsidRDefault="004E7B17" w:rsidP="00184479">
      <w:pPr>
        <w:pStyle w:val="naisf"/>
        <w:spacing w:before="0" w:after="0"/>
        <w:ind w:firstLine="0"/>
        <w:jc w:val="center"/>
        <w:rPr>
          <w:b/>
        </w:rPr>
      </w:pPr>
    </w:p>
    <w:p w14:paraId="72F283EA" w14:textId="77777777" w:rsidR="007B4C0F" w:rsidRPr="00937060" w:rsidRDefault="00134188" w:rsidP="007B471E">
      <w:pPr>
        <w:pStyle w:val="naisf"/>
        <w:numPr>
          <w:ilvl w:val="0"/>
          <w:numId w:val="7"/>
        </w:numPr>
        <w:spacing w:before="0" w:after="0"/>
        <w:jc w:val="center"/>
        <w:rPr>
          <w:b/>
        </w:rPr>
      </w:pPr>
      <w:r w:rsidRPr="00937060">
        <w:rPr>
          <w:b/>
        </w:rPr>
        <w:t>Jautājumi, par kuriem saskaņošanā vienošan</w:t>
      </w:r>
      <w:r w:rsidR="00144622" w:rsidRPr="00937060">
        <w:rPr>
          <w:b/>
        </w:rPr>
        <w:t>ā</w:t>
      </w:r>
      <w:r w:rsidRPr="00937060">
        <w:rPr>
          <w:b/>
        </w:rPr>
        <w:t>s ir panākta</w:t>
      </w:r>
    </w:p>
    <w:p w14:paraId="5CBBAFB4" w14:textId="77777777" w:rsidR="00023D52" w:rsidRPr="00937060" w:rsidRDefault="00023D52" w:rsidP="00023D52">
      <w:pPr>
        <w:pStyle w:val="naisf"/>
        <w:spacing w:before="0" w:after="0"/>
        <w:ind w:left="1080" w:firstLine="0"/>
        <w:rPr>
          <w:b/>
        </w:rPr>
      </w:pPr>
    </w:p>
    <w:tbl>
      <w:tblPr>
        <w:tblW w:w="5000" w:type="pct"/>
        <w:tblInd w:w="-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08"/>
        <w:gridCol w:w="3328"/>
        <w:gridCol w:w="3968"/>
        <w:gridCol w:w="3400"/>
        <w:gridCol w:w="2769"/>
      </w:tblGrid>
      <w:tr w:rsidR="00937060" w:rsidRPr="00937060" w14:paraId="7B61A7DE" w14:textId="77777777" w:rsidTr="00C066E7">
        <w:tc>
          <w:tcPr>
            <w:tcW w:w="283" w:type="pct"/>
            <w:tcBorders>
              <w:top w:val="single" w:sz="6" w:space="0" w:color="000000"/>
              <w:left w:val="single" w:sz="6" w:space="0" w:color="000000"/>
              <w:bottom w:val="single" w:sz="6" w:space="0" w:color="000000"/>
              <w:right w:val="single" w:sz="6" w:space="0" w:color="000000"/>
            </w:tcBorders>
            <w:vAlign w:val="center"/>
          </w:tcPr>
          <w:p w14:paraId="2750646F" w14:textId="77777777" w:rsidR="00785987" w:rsidRPr="00937060" w:rsidRDefault="00785987" w:rsidP="009623BC">
            <w:pPr>
              <w:pStyle w:val="naisc"/>
              <w:spacing w:before="0" w:after="0"/>
            </w:pPr>
            <w:r w:rsidRPr="00937060">
              <w:t>Nr. p.k.</w:t>
            </w:r>
          </w:p>
        </w:tc>
        <w:tc>
          <w:tcPr>
            <w:tcW w:w="1166" w:type="pct"/>
            <w:tcBorders>
              <w:top w:val="single" w:sz="6" w:space="0" w:color="000000"/>
              <w:left w:val="single" w:sz="6" w:space="0" w:color="000000"/>
              <w:bottom w:val="single" w:sz="6" w:space="0" w:color="000000"/>
              <w:right w:val="single" w:sz="6" w:space="0" w:color="000000"/>
            </w:tcBorders>
            <w:vAlign w:val="center"/>
          </w:tcPr>
          <w:p w14:paraId="5229BA35" w14:textId="77777777" w:rsidR="00785987" w:rsidRPr="00937060" w:rsidRDefault="00785987" w:rsidP="009623BC">
            <w:pPr>
              <w:pStyle w:val="naisc"/>
              <w:spacing w:before="0" w:after="0"/>
              <w:ind w:firstLine="12"/>
            </w:pPr>
            <w:r w:rsidRPr="00937060">
              <w:t>Saskaņošanai nosūtītā projekta redakcija (konkrēta punkta (panta) redakcija)</w:t>
            </w:r>
          </w:p>
        </w:tc>
        <w:tc>
          <w:tcPr>
            <w:tcW w:w="1390" w:type="pct"/>
            <w:tcBorders>
              <w:top w:val="single" w:sz="6" w:space="0" w:color="000000"/>
              <w:left w:val="single" w:sz="6" w:space="0" w:color="000000"/>
              <w:bottom w:val="single" w:sz="6" w:space="0" w:color="000000"/>
              <w:right w:val="single" w:sz="6" w:space="0" w:color="000000"/>
            </w:tcBorders>
            <w:vAlign w:val="center"/>
          </w:tcPr>
          <w:p w14:paraId="25D972D3" w14:textId="77777777" w:rsidR="00785987" w:rsidRPr="00937060" w:rsidRDefault="00785987" w:rsidP="009623BC">
            <w:pPr>
              <w:pStyle w:val="naisc"/>
              <w:spacing w:before="0" w:after="0"/>
              <w:ind w:right="3"/>
            </w:pPr>
            <w:r w:rsidRPr="00937060">
              <w:t>Atzinumā norādītais ministrijas (citas institūcijas) iebildums, kā arī saskaņošanā papildus izteiktais iebildums par projekta konkrēto punktu (pantu)</w:t>
            </w:r>
          </w:p>
        </w:tc>
        <w:tc>
          <w:tcPr>
            <w:tcW w:w="1191" w:type="pct"/>
            <w:tcBorders>
              <w:top w:val="single" w:sz="6" w:space="0" w:color="000000"/>
              <w:left w:val="single" w:sz="6" w:space="0" w:color="000000"/>
              <w:bottom w:val="single" w:sz="6" w:space="0" w:color="000000"/>
              <w:right w:val="single" w:sz="6" w:space="0" w:color="000000"/>
            </w:tcBorders>
            <w:vAlign w:val="center"/>
          </w:tcPr>
          <w:p w14:paraId="2216CDE3" w14:textId="77777777" w:rsidR="00785987" w:rsidRPr="00937060" w:rsidRDefault="00785987" w:rsidP="009623BC">
            <w:pPr>
              <w:pStyle w:val="naisc"/>
              <w:spacing w:before="0" w:after="0"/>
              <w:ind w:firstLine="21"/>
            </w:pPr>
            <w:r w:rsidRPr="00937060">
              <w:t>Atbildīgās ministrijas norāde par to, ka iebildums ir ņemts vērā, vai informācija par saskaņošanā panākto alternatīvo risinājumu</w:t>
            </w:r>
          </w:p>
        </w:tc>
        <w:tc>
          <w:tcPr>
            <w:tcW w:w="970" w:type="pct"/>
            <w:tcBorders>
              <w:top w:val="single" w:sz="4" w:space="0" w:color="auto"/>
              <w:left w:val="single" w:sz="4" w:space="0" w:color="auto"/>
              <w:bottom w:val="single" w:sz="4" w:space="0" w:color="auto"/>
            </w:tcBorders>
            <w:vAlign w:val="center"/>
          </w:tcPr>
          <w:p w14:paraId="5FE55102" w14:textId="77777777" w:rsidR="00785987" w:rsidRPr="00937060" w:rsidRDefault="00785987" w:rsidP="009623BC">
            <w:pPr>
              <w:jc w:val="center"/>
            </w:pPr>
            <w:r w:rsidRPr="00937060">
              <w:t>Projekta attiecīgā punkta (panta) galīgā redakcija</w:t>
            </w:r>
          </w:p>
        </w:tc>
      </w:tr>
      <w:tr w:rsidR="00937060" w:rsidRPr="00937060" w14:paraId="0B79D2D7" w14:textId="77777777" w:rsidTr="00C066E7">
        <w:tc>
          <w:tcPr>
            <w:tcW w:w="283" w:type="pct"/>
            <w:tcBorders>
              <w:top w:val="single" w:sz="6" w:space="0" w:color="000000"/>
              <w:left w:val="single" w:sz="6" w:space="0" w:color="000000"/>
              <w:bottom w:val="single" w:sz="4" w:space="0" w:color="auto"/>
              <w:right w:val="single" w:sz="6" w:space="0" w:color="000000"/>
            </w:tcBorders>
          </w:tcPr>
          <w:p w14:paraId="6C71F04C" w14:textId="77777777" w:rsidR="00785987" w:rsidRPr="00937060" w:rsidRDefault="00785987" w:rsidP="003B71E0">
            <w:pPr>
              <w:pStyle w:val="naisc"/>
              <w:spacing w:before="0" w:after="0"/>
            </w:pPr>
            <w:r w:rsidRPr="00937060">
              <w:t>1</w:t>
            </w:r>
          </w:p>
        </w:tc>
        <w:tc>
          <w:tcPr>
            <w:tcW w:w="1166" w:type="pct"/>
            <w:tcBorders>
              <w:top w:val="single" w:sz="6" w:space="0" w:color="000000"/>
              <w:left w:val="single" w:sz="6" w:space="0" w:color="000000"/>
              <w:bottom w:val="single" w:sz="4" w:space="0" w:color="auto"/>
              <w:right w:val="single" w:sz="6" w:space="0" w:color="000000"/>
            </w:tcBorders>
          </w:tcPr>
          <w:p w14:paraId="6A1C8F2A" w14:textId="77777777" w:rsidR="00785987" w:rsidRPr="00937060" w:rsidRDefault="00785987" w:rsidP="003B71E0">
            <w:pPr>
              <w:pStyle w:val="naisc"/>
              <w:spacing w:before="0" w:after="0"/>
              <w:ind w:firstLine="720"/>
            </w:pPr>
            <w:r w:rsidRPr="00937060">
              <w:t>2</w:t>
            </w:r>
          </w:p>
        </w:tc>
        <w:tc>
          <w:tcPr>
            <w:tcW w:w="1390" w:type="pct"/>
            <w:tcBorders>
              <w:top w:val="single" w:sz="6" w:space="0" w:color="000000"/>
              <w:left w:val="single" w:sz="6" w:space="0" w:color="000000"/>
              <w:bottom w:val="single" w:sz="4" w:space="0" w:color="auto"/>
              <w:right w:val="single" w:sz="6" w:space="0" w:color="000000"/>
            </w:tcBorders>
          </w:tcPr>
          <w:p w14:paraId="64AD2C53" w14:textId="77777777" w:rsidR="00785987" w:rsidRPr="00937060" w:rsidRDefault="00785987" w:rsidP="003B71E0">
            <w:pPr>
              <w:pStyle w:val="naisc"/>
              <w:spacing w:before="0" w:after="0"/>
              <w:ind w:firstLine="720"/>
            </w:pPr>
            <w:r w:rsidRPr="00937060">
              <w:t>3</w:t>
            </w:r>
          </w:p>
        </w:tc>
        <w:tc>
          <w:tcPr>
            <w:tcW w:w="1191" w:type="pct"/>
            <w:tcBorders>
              <w:top w:val="single" w:sz="6" w:space="0" w:color="000000"/>
              <w:left w:val="single" w:sz="6" w:space="0" w:color="000000"/>
              <w:bottom w:val="single" w:sz="4" w:space="0" w:color="auto"/>
              <w:right w:val="single" w:sz="6" w:space="0" w:color="000000"/>
            </w:tcBorders>
          </w:tcPr>
          <w:p w14:paraId="628A65D6" w14:textId="77777777" w:rsidR="00785987" w:rsidRPr="00937060" w:rsidRDefault="00785987" w:rsidP="003B71E0">
            <w:pPr>
              <w:pStyle w:val="naisc"/>
              <w:spacing w:before="0" w:after="0"/>
              <w:ind w:firstLine="720"/>
            </w:pPr>
            <w:r w:rsidRPr="00937060">
              <w:t>4</w:t>
            </w:r>
          </w:p>
        </w:tc>
        <w:tc>
          <w:tcPr>
            <w:tcW w:w="970" w:type="pct"/>
            <w:tcBorders>
              <w:top w:val="single" w:sz="4" w:space="0" w:color="auto"/>
              <w:left w:val="single" w:sz="4" w:space="0" w:color="auto"/>
              <w:bottom w:val="single" w:sz="4" w:space="0" w:color="auto"/>
            </w:tcBorders>
          </w:tcPr>
          <w:p w14:paraId="72719BFB" w14:textId="77777777" w:rsidR="00785987" w:rsidRPr="00937060" w:rsidRDefault="00785987" w:rsidP="003B71E0">
            <w:pPr>
              <w:jc w:val="center"/>
            </w:pPr>
            <w:r w:rsidRPr="00937060">
              <w:t>5</w:t>
            </w:r>
          </w:p>
        </w:tc>
      </w:tr>
      <w:tr w:rsidR="00937060" w:rsidRPr="00937060" w14:paraId="73FBEAF0" w14:textId="77777777" w:rsidTr="00B90CB9">
        <w:tc>
          <w:tcPr>
            <w:tcW w:w="5000" w:type="pct"/>
            <w:gridSpan w:val="5"/>
            <w:tcBorders>
              <w:top w:val="single" w:sz="6" w:space="0" w:color="000000"/>
              <w:left w:val="single" w:sz="6" w:space="0" w:color="000000"/>
              <w:bottom w:val="single" w:sz="4" w:space="0" w:color="auto"/>
            </w:tcBorders>
          </w:tcPr>
          <w:p w14:paraId="2862DE6E" w14:textId="6896EC0E" w:rsidR="00B90CB9" w:rsidRPr="00937060" w:rsidRDefault="00B90CB9" w:rsidP="003B71E0">
            <w:pPr>
              <w:jc w:val="center"/>
            </w:pPr>
            <w:r w:rsidRPr="00937060">
              <w:rPr>
                <w:b/>
              </w:rPr>
              <w:t>Par Ministru kabineta sēdes protokollēmuma projektu “</w:t>
            </w:r>
            <w:r w:rsidRPr="00937060">
              <w:rPr>
                <w:b/>
                <w:lang w:eastAsia="en-US"/>
              </w:rPr>
              <w:t>Informatīvais ziņojums “</w:t>
            </w:r>
            <w:r w:rsidRPr="00937060">
              <w:rPr>
                <w:b/>
                <w:bCs/>
                <w:lang w:eastAsia="en-US"/>
              </w:rPr>
              <w:t>Par Eiropas Reģionālās attīstības fonda, Eiropas Sociālā fonda plus, Kohēzijas fonda ieviešanu 2021. - 2027. gadā Latvijā</w:t>
            </w:r>
            <w:r w:rsidRPr="00937060">
              <w:rPr>
                <w:b/>
                <w:lang w:eastAsia="en-US"/>
              </w:rPr>
              <w:t>”” (turpmāk – MK sēdes protokollēmuma projekts)</w:t>
            </w:r>
          </w:p>
        </w:tc>
      </w:tr>
      <w:tr w:rsidR="00937060" w:rsidRPr="00937060" w14:paraId="129E332C" w14:textId="77777777" w:rsidTr="00524CB9">
        <w:tc>
          <w:tcPr>
            <w:tcW w:w="283" w:type="pct"/>
            <w:tcBorders>
              <w:top w:val="single" w:sz="6" w:space="0" w:color="000000"/>
              <w:left w:val="single" w:sz="6" w:space="0" w:color="000000"/>
              <w:bottom w:val="single" w:sz="4" w:space="0" w:color="auto"/>
              <w:right w:val="single" w:sz="6" w:space="0" w:color="000000"/>
            </w:tcBorders>
          </w:tcPr>
          <w:p w14:paraId="427BB351" w14:textId="53FF07B2" w:rsidR="00B90CB9" w:rsidRPr="00937060" w:rsidRDefault="00B90CB9" w:rsidP="00B60E7A">
            <w:pPr>
              <w:pStyle w:val="naisc"/>
              <w:numPr>
                <w:ilvl w:val="0"/>
                <w:numId w:val="36"/>
              </w:numPr>
              <w:spacing w:before="0" w:after="0"/>
            </w:pPr>
          </w:p>
        </w:tc>
        <w:tc>
          <w:tcPr>
            <w:tcW w:w="1166" w:type="pct"/>
            <w:tcBorders>
              <w:top w:val="single" w:sz="6" w:space="0" w:color="000000"/>
              <w:left w:val="single" w:sz="6" w:space="0" w:color="000000"/>
              <w:bottom w:val="single" w:sz="4" w:space="0" w:color="auto"/>
              <w:right w:val="single" w:sz="6" w:space="0" w:color="000000"/>
            </w:tcBorders>
          </w:tcPr>
          <w:p w14:paraId="10733895" w14:textId="77777777" w:rsidR="00B90CB9" w:rsidRPr="00937060" w:rsidRDefault="00B90CB9" w:rsidP="00B90CB9">
            <w:pPr>
              <w:pStyle w:val="Title"/>
              <w:ind w:hanging="33"/>
              <w:jc w:val="both"/>
              <w:outlineLvl w:val="0"/>
              <w:rPr>
                <w:sz w:val="24"/>
                <w:szCs w:val="24"/>
              </w:rPr>
            </w:pPr>
            <w:r w:rsidRPr="00937060">
              <w:rPr>
                <w:sz w:val="24"/>
                <w:szCs w:val="24"/>
              </w:rPr>
              <w:t>MK sēdes protokollēmuma projekts</w:t>
            </w:r>
          </w:p>
          <w:p w14:paraId="2F4E53D8" w14:textId="77777777" w:rsidR="00B90CB9" w:rsidRPr="00937060" w:rsidRDefault="00B90CB9" w:rsidP="00B90CB9">
            <w:pPr>
              <w:pStyle w:val="Title"/>
              <w:ind w:hanging="33"/>
              <w:jc w:val="both"/>
              <w:outlineLvl w:val="0"/>
              <w:rPr>
                <w:sz w:val="24"/>
                <w:szCs w:val="24"/>
              </w:rPr>
            </w:pPr>
            <w:r w:rsidRPr="00937060">
              <w:rPr>
                <w:sz w:val="24"/>
                <w:szCs w:val="24"/>
              </w:rPr>
              <w:t xml:space="preserve">[..] </w:t>
            </w:r>
          </w:p>
          <w:p w14:paraId="28D7754D" w14:textId="4B2ED52A" w:rsidR="007F4238" w:rsidRPr="00937060" w:rsidRDefault="00B90CB9" w:rsidP="00B9456C">
            <w:pPr>
              <w:pStyle w:val="naisc"/>
              <w:jc w:val="both"/>
            </w:pPr>
            <w:r w:rsidRPr="00937060">
              <w:t>“3.</w:t>
            </w:r>
            <w:r w:rsidR="007F4238" w:rsidRPr="00937060">
              <w:rPr>
                <w:sz w:val="28"/>
                <w:szCs w:val="28"/>
                <w:lang w:eastAsia="en-US"/>
              </w:rPr>
              <w:t xml:space="preserve"> </w:t>
            </w:r>
            <w:r w:rsidR="007F4238" w:rsidRPr="00937060">
              <w:t xml:space="preserve">Atbalstīt informatīvajā ziņojumā piedāvāto risinājumu, ka </w:t>
            </w:r>
            <w:r w:rsidR="007F4238" w:rsidRPr="00937060">
              <w:rPr>
                <w:bCs/>
              </w:rPr>
              <w:t>Eiropas Savienības Kohēzijas politikas fondu (Eiropas Reģionālā attīstības fonda, Eiropas Sociālā fonda plus un Kohēzijas fonda) institucionālā sistēma darbojas atbilstoši 2014. - 2020. gada plānošanas periodā izveidotajai sistēmai.”</w:t>
            </w:r>
          </w:p>
          <w:p w14:paraId="1E9B12E1" w14:textId="6AF34348" w:rsidR="00B90CB9" w:rsidRPr="00937060" w:rsidRDefault="00B90CB9" w:rsidP="007F4238">
            <w:pPr>
              <w:pStyle w:val="naisc"/>
              <w:spacing w:before="0" w:after="0"/>
              <w:jc w:val="left"/>
            </w:pPr>
          </w:p>
        </w:tc>
        <w:tc>
          <w:tcPr>
            <w:tcW w:w="1390" w:type="pct"/>
            <w:tcBorders>
              <w:top w:val="single" w:sz="6" w:space="0" w:color="000000"/>
              <w:left w:val="single" w:sz="6" w:space="0" w:color="000000"/>
              <w:bottom w:val="single" w:sz="4" w:space="0" w:color="auto"/>
              <w:right w:val="single" w:sz="6" w:space="0" w:color="000000"/>
            </w:tcBorders>
          </w:tcPr>
          <w:p w14:paraId="1D016956" w14:textId="77777777" w:rsidR="00B90CB9" w:rsidRPr="00937060" w:rsidRDefault="007F4238" w:rsidP="007F4238">
            <w:pPr>
              <w:pStyle w:val="naisc"/>
              <w:spacing w:before="0" w:after="0"/>
              <w:jc w:val="left"/>
              <w:rPr>
                <w:b/>
                <w:u w:val="single"/>
              </w:rPr>
            </w:pPr>
            <w:r w:rsidRPr="00937060">
              <w:rPr>
                <w:b/>
                <w:u w:val="single"/>
              </w:rPr>
              <w:t>Ekonomikas ministrija:</w:t>
            </w:r>
          </w:p>
          <w:p w14:paraId="59BF3D56" w14:textId="77777777" w:rsidR="00341FA9" w:rsidRPr="00937060" w:rsidRDefault="00341FA9" w:rsidP="00341FA9">
            <w:pPr>
              <w:widowControl w:val="0"/>
              <w:jc w:val="both"/>
              <w:rPr>
                <w:rFonts w:eastAsia="Calibri"/>
                <w:lang w:eastAsia="en-US"/>
              </w:rPr>
            </w:pPr>
            <w:r w:rsidRPr="00937060">
              <w:rPr>
                <w:rFonts w:eastAsia="Calibri"/>
                <w:lang w:eastAsia="en-US"/>
              </w:rPr>
              <w:t xml:space="preserve">Secinām, ka informatīvā ziņojuma 3.2. sadaļa “ES KP Institucionālā sistēma” ir </w:t>
            </w:r>
            <w:r w:rsidRPr="00937060">
              <w:rPr>
                <w:rFonts w:eastAsia="Calibri"/>
                <w:b/>
                <w:lang w:eastAsia="en-US"/>
              </w:rPr>
              <w:t>sagatavota bez detalizētas analīzes</w:t>
            </w:r>
            <w:r w:rsidRPr="00937060">
              <w:rPr>
                <w:rFonts w:eastAsia="Calibri"/>
                <w:lang w:eastAsia="en-US"/>
              </w:rPr>
              <w:t xml:space="preserve">, kā pamatojumu esošās sistēmas saglabāšanai norādot sistēmas pēctecību un finansējuma pārrāvuma riska mazināšanu, tāpat </w:t>
            </w:r>
            <w:r w:rsidRPr="00937060">
              <w:rPr>
                <w:rFonts w:eastAsia="Calibri"/>
                <w:b/>
                <w:lang w:eastAsia="en-US"/>
              </w:rPr>
              <w:t>nav sniegta faktos balstīta argumentācija</w:t>
            </w:r>
            <w:r w:rsidRPr="00937060">
              <w:rPr>
                <w:rFonts w:eastAsia="Calibri"/>
                <w:lang w:eastAsia="en-US"/>
              </w:rPr>
              <w:t xml:space="preserve"> par informatīvajā ziņojumā izteiktajiem papildu ieguvumiem (piem., mazāks administratīvais slogs, kad kopumā nodrošināta vienota pieeja), kā arī nav skaidrs, vai un kā šie “papildu” ieguvumi ir vērtējami pret 2014-2020.plānošanas perioda institucionālo sistēmu.</w:t>
            </w:r>
          </w:p>
          <w:p w14:paraId="18A0FE10" w14:textId="77777777" w:rsidR="00341FA9" w:rsidRPr="00937060" w:rsidRDefault="00341FA9" w:rsidP="00341FA9">
            <w:pPr>
              <w:widowControl w:val="0"/>
              <w:jc w:val="both"/>
              <w:rPr>
                <w:rFonts w:eastAsia="Calibri"/>
                <w:lang w:eastAsia="en-US"/>
              </w:rPr>
            </w:pPr>
            <w:r w:rsidRPr="00937060">
              <w:rPr>
                <w:rFonts w:eastAsia="Calibri"/>
                <w:lang w:eastAsia="en-US"/>
              </w:rPr>
              <w:t xml:space="preserve"> Informatīvā ziņojumā ir norādīts, ka “</w:t>
            </w:r>
            <w:r w:rsidRPr="00937060">
              <w:rPr>
                <w:rFonts w:eastAsia="Calibri"/>
                <w:i/>
                <w:lang w:eastAsia="en-US"/>
              </w:rPr>
              <w:t xml:space="preserve">kopējā fondu regula paredz, ka 2021. </w:t>
            </w:r>
            <w:r w:rsidRPr="00937060">
              <w:rPr>
                <w:rFonts w:eastAsia="Calibri"/>
                <w:i/>
                <w:lang w:eastAsia="en-US"/>
              </w:rPr>
              <w:lastRenderedPageBreak/>
              <w:t>– 2027. gada plānošanas periodā finansējuma saņēmējs būs tas, kas saņem atbalstu valsts atbalsta shēmu gadījumā, līdz ar to ES KP fondu atbalsta mehānisms jāveido tā, lai sadarbības iestāde CFLA tieši sadarbojas ar finansējuma saņēmēju/gala labuma guvēju valsts atbalsta shēmu gadījumā, proti, apstiprina projektu un slēdz līgumu, izslēdzot vairāku pakāpju administrēšanas shēmas izmantošanu</w:t>
            </w:r>
            <w:r w:rsidRPr="00937060">
              <w:rPr>
                <w:rFonts w:eastAsia="Calibri"/>
                <w:lang w:eastAsia="en-US"/>
              </w:rPr>
              <w:t xml:space="preserve">”, taču nav sniegta analīze par to, vai un kā praktiski tas izmainīs esošo atbalsta programmu ieviešanas institucionālo konstrukciju un iesaistīto institūciju lomu. </w:t>
            </w:r>
          </w:p>
          <w:p w14:paraId="733F5BEA" w14:textId="77777777" w:rsidR="00341FA9" w:rsidRPr="00937060" w:rsidRDefault="00341FA9" w:rsidP="00341FA9">
            <w:pPr>
              <w:widowControl w:val="0"/>
              <w:ind w:firstLine="851"/>
              <w:jc w:val="both"/>
              <w:rPr>
                <w:rFonts w:eastAsia="Calibri"/>
                <w:lang w:eastAsia="en-US"/>
              </w:rPr>
            </w:pPr>
            <w:r w:rsidRPr="00937060">
              <w:rPr>
                <w:rFonts w:eastAsia="Calibri"/>
                <w:lang w:eastAsia="en-US"/>
              </w:rPr>
              <w:t xml:space="preserve">Gatavojoties 2014-2020.plānošanas perioda uzsākšanai tika sagatavota koncepcija par Eiropas Reģionālās attīstības fonda, Eiropas Sociālā fonda, Kohēzijas fonda, Eiropas Lauksaimniecības fonda lauku attīstībai un Eiropas Jūrlietu un zivsaimniecības fonda ieviešanu 2014.-2020.gadā Latvijā, kurā tika analizēti vairāki institucionālās sistēmas ieviešanas modeļi, kā arī noteiktas to stiprās un vājās puses. Papildus izvērtējums tika sniegts arī Finanšu ministrijas izstrādātajā informatīvajā ziņojumā par Eiropas Reģionālās attīstības fonda, Eiropas Sociālā fonda un Kohēzijas fonda vadības un </w:t>
            </w:r>
            <w:r w:rsidRPr="00937060">
              <w:rPr>
                <w:rFonts w:eastAsia="Calibri"/>
                <w:lang w:eastAsia="en-US"/>
              </w:rPr>
              <w:lastRenderedPageBreak/>
              <w:t xml:space="preserve">kontroles sistēmu 2014.-2020.gada plānošanas periodam. </w:t>
            </w:r>
            <w:r w:rsidRPr="00937060">
              <w:rPr>
                <w:rFonts w:eastAsia="Calibri"/>
                <w:b/>
                <w:lang w:eastAsia="en-US"/>
              </w:rPr>
              <w:t>Atgādinām, ka arī toreiz būtisks un joprojām nemainīgi svarīgs uzstādījums ir bijis finansējuma pārrāvuma riska mazināšana starp plānošanas periodiem, vienlaikus tas nav bijis šķērslis veikt institucionālās sistēmas aptverošu izvērtējumu un attiecīgi arī ierosināt tās reformu</w:t>
            </w:r>
            <w:r w:rsidRPr="00937060">
              <w:rPr>
                <w:rFonts w:eastAsia="Calibri"/>
                <w:lang w:eastAsia="en-US"/>
              </w:rPr>
              <w:t xml:space="preserve">. Pieņemot lēmumu par sistēmu ar vienu sadarbības iestādi, kā būtiskākais risks tika norādīts nepieciešamās kapacitātes nodrošināšana darbā ar visiem Kohēzijas politikas fondu finansējuma saņēmējiem, īpaši komersantiem un Eiropas Sociālā fonda tipa aktivitātēm, un visām atbildīgajām iestādēm, savukārt kā būtisks ieguvums tika minēta optimizācija un zemāki sistēmas uzturēšanas izdevumi (piem., sadarbības iestādes administrēšanas izdevumi, izdevumi sistēmas pielāgošanai nepieciešamajām izmaiņām), salīdzinot ar 2007 – 2013. periodu. </w:t>
            </w:r>
          </w:p>
          <w:p w14:paraId="60B6115F" w14:textId="77777777" w:rsidR="00341FA9" w:rsidRPr="00937060" w:rsidRDefault="00341FA9" w:rsidP="00341FA9">
            <w:pPr>
              <w:widowControl w:val="0"/>
              <w:ind w:firstLine="851"/>
              <w:jc w:val="both"/>
              <w:rPr>
                <w:rFonts w:eastAsia="Calibri"/>
                <w:lang w:eastAsia="en-US"/>
              </w:rPr>
            </w:pPr>
            <w:r w:rsidRPr="00937060">
              <w:rPr>
                <w:rFonts w:eastAsia="Calibri"/>
                <w:lang w:eastAsia="en-US"/>
              </w:rPr>
              <w:t>Informatīvajā ziņojumā deklaratīvi secināts, ka “</w:t>
            </w:r>
            <w:r w:rsidRPr="00937060">
              <w:rPr>
                <w:rFonts w:eastAsia="Calibri"/>
                <w:i/>
                <w:lang w:eastAsia="en-US"/>
              </w:rPr>
              <w:t xml:space="preserve">sistēma ir sevi pierādījusi 2014. – 2020. gada plānošanas periodā, proti, tā ir vērsta uz klientu, nodrošinot vienkāršotu administrēšanas sistēmu, daudzlīmeņu kontroļu sloga samazināšanu, vienotu praksi un prasības finansējuma </w:t>
            </w:r>
            <w:r w:rsidRPr="00937060">
              <w:rPr>
                <w:rFonts w:eastAsia="Calibri"/>
                <w:i/>
                <w:lang w:eastAsia="en-US"/>
              </w:rPr>
              <w:lastRenderedPageBreak/>
              <w:t>saņēmējam, tādējādi nodrošinot efektīvu ES fondu īstenošanu, kas vērsta uz rezultātu sasniegšanu</w:t>
            </w:r>
            <w:r w:rsidRPr="00937060">
              <w:rPr>
                <w:rFonts w:eastAsia="Calibri"/>
                <w:lang w:eastAsia="en-US"/>
              </w:rPr>
              <w:t>”. EM ieskatā iepriekš minētā secinājuma pamatojums nav pietiekams, ja tas balstīts tikai uz Revīzijas iestādes Gada kontroles ziņojumu par kļūdu līmeni un ieteikumu neesamību.</w:t>
            </w:r>
          </w:p>
          <w:p w14:paraId="43C562F8" w14:textId="17BC1058" w:rsidR="00341FA9" w:rsidRPr="00937060" w:rsidRDefault="00341FA9" w:rsidP="00341FA9">
            <w:pPr>
              <w:widowControl w:val="0"/>
              <w:jc w:val="both"/>
              <w:rPr>
                <w:rFonts w:eastAsia="Calibri"/>
                <w:lang w:eastAsia="en-US"/>
              </w:rPr>
            </w:pPr>
            <w:r w:rsidRPr="00937060">
              <w:rPr>
                <w:rFonts w:eastAsia="Calibri"/>
                <w:lang w:eastAsia="en-US"/>
              </w:rPr>
              <w:t>Ievērojot iepriekš minēto:</w:t>
            </w:r>
          </w:p>
          <w:p w14:paraId="0672AECC" w14:textId="56C6EDBC" w:rsidR="00341FA9" w:rsidRPr="00937060" w:rsidRDefault="00341FA9" w:rsidP="00341FA9">
            <w:pPr>
              <w:widowControl w:val="0"/>
              <w:spacing w:after="200" w:line="276" w:lineRule="auto"/>
              <w:jc w:val="both"/>
              <w:rPr>
                <w:rFonts w:eastAsia="Calibri"/>
                <w:b/>
                <w:lang w:eastAsia="en-US"/>
              </w:rPr>
            </w:pPr>
            <w:r w:rsidRPr="00937060">
              <w:rPr>
                <w:rFonts w:eastAsia="Calibri"/>
                <w:lang w:eastAsia="en-US"/>
              </w:rPr>
              <w:t xml:space="preserve">Iebilstam pret informatīvā ziņojuma sadaļas “Turpmākā rīcība” 2.punktu </w:t>
            </w:r>
            <w:r w:rsidRPr="00937060">
              <w:rPr>
                <w:rFonts w:eastAsia="Calibri"/>
                <w:b/>
                <w:lang w:eastAsia="en-US"/>
              </w:rPr>
              <w:t>un protokollēmuma 3.punktu.</w:t>
            </w:r>
          </w:p>
          <w:p w14:paraId="3E2FFD28" w14:textId="250D0C62" w:rsidR="00341FA9" w:rsidRPr="00937060" w:rsidRDefault="00341FA9" w:rsidP="00341FA9">
            <w:pPr>
              <w:widowControl w:val="0"/>
              <w:jc w:val="both"/>
              <w:rPr>
                <w:rFonts w:eastAsia="Calibri"/>
                <w:lang w:eastAsia="en-US"/>
              </w:rPr>
            </w:pPr>
            <w:r w:rsidRPr="00937060">
              <w:rPr>
                <w:rFonts w:eastAsia="Calibri"/>
                <w:lang w:eastAsia="en-US"/>
              </w:rPr>
              <w:t>Pamatojoties uz būtiski papildinātu informatīvā ziņojuma 3.2. sadaļu un rekomendēto modeli, lūdzam papildināt protokollēmuma projektu ar uzdevumu FM saprātīgā termiņā sagatavot rīcības plānu rekomendētajā modelī paredzēto risku mazināšanai, ja riski tiktu identificēti.</w:t>
            </w:r>
          </w:p>
        </w:tc>
        <w:tc>
          <w:tcPr>
            <w:tcW w:w="1191" w:type="pct"/>
            <w:tcBorders>
              <w:top w:val="single" w:sz="6" w:space="0" w:color="000000"/>
              <w:left w:val="single" w:sz="6" w:space="0" w:color="000000"/>
              <w:bottom w:val="single" w:sz="4" w:space="0" w:color="auto"/>
              <w:right w:val="single" w:sz="6" w:space="0" w:color="000000"/>
            </w:tcBorders>
          </w:tcPr>
          <w:p w14:paraId="3C5573A1" w14:textId="4D67DB14" w:rsidR="003E7078" w:rsidRDefault="00120C03" w:rsidP="003E7078">
            <w:pPr>
              <w:pStyle w:val="NormalWeb"/>
              <w:spacing w:before="0" w:beforeAutospacing="0" w:after="120" w:afterAutospacing="0"/>
              <w:jc w:val="center"/>
              <w:rPr>
                <w:b/>
              </w:rPr>
            </w:pPr>
            <w:r>
              <w:rPr>
                <w:b/>
              </w:rPr>
              <w:lastRenderedPageBreak/>
              <w:t>Ņ</w:t>
            </w:r>
            <w:r w:rsidR="003E7078">
              <w:rPr>
                <w:b/>
              </w:rPr>
              <w:t>emts vērā.</w:t>
            </w:r>
          </w:p>
          <w:p w14:paraId="4E17A04B" w14:textId="6CB96658" w:rsidR="00B56798" w:rsidRDefault="003E7078" w:rsidP="00C95535">
            <w:pPr>
              <w:pStyle w:val="NormalWeb"/>
              <w:spacing w:before="0" w:beforeAutospacing="0" w:after="120" w:afterAutospacing="0"/>
              <w:jc w:val="both"/>
            </w:pPr>
            <w:r w:rsidRPr="00A50040">
              <w:t>Skaidrojam, ka šobrīd</w:t>
            </w:r>
            <w:r w:rsidR="00B56798">
              <w:t xml:space="preserve"> jau ir </w:t>
            </w:r>
            <w:r w:rsidRPr="00A50040">
              <w:t xml:space="preserve"> veikt</w:t>
            </w:r>
            <w:r w:rsidR="00B56798">
              <w:t>s</w:t>
            </w:r>
            <w:r w:rsidRPr="00A50040">
              <w:t xml:space="preserve"> vairāku</w:t>
            </w:r>
            <w:r w:rsidR="00B56798">
              <w:t xml:space="preserve"> modeļu izvērtējums</w:t>
            </w:r>
            <w:r w:rsidR="00C35E98">
              <w:t>,</w:t>
            </w:r>
            <w:r w:rsidR="00B56798" w:rsidRPr="00B56798">
              <w:t xml:space="preserve"> gatavojot 2014.-2020.gada plānošanas perioda vadības un kontroles sistēmas piedāvājumu, un papildus izvērtējums nebūtu lietderīgs</w:t>
            </w:r>
            <w:r w:rsidR="00FB2095">
              <w:t>, ņemot vērā šādus faktorus</w:t>
            </w:r>
            <w:r w:rsidR="00B56798">
              <w:t>:</w:t>
            </w:r>
          </w:p>
          <w:p w14:paraId="1E74822C" w14:textId="140FEE3B" w:rsidR="00C95535" w:rsidRDefault="00B56798" w:rsidP="00B56798">
            <w:pPr>
              <w:pStyle w:val="NormalWeb"/>
              <w:numPr>
                <w:ilvl w:val="0"/>
                <w:numId w:val="37"/>
              </w:numPr>
              <w:spacing w:before="0" w:beforeAutospacing="0" w:after="120" w:afterAutospacing="0"/>
              <w:ind w:left="41" w:hanging="77"/>
              <w:jc w:val="both"/>
            </w:pPr>
            <w:r>
              <w:t>N</w:t>
            </w:r>
            <w:r w:rsidR="003E7078" w:rsidRPr="00A50040">
              <w:t xml:space="preserve">av apstiprināts NAP 2027, līdz ar to nav zināmas precīzas investīcijas, uz kā pamata būtu jāvērtē institucionālā ietvara maiņa. </w:t>
            </w:r>
          </w:p>
          <w:p w14:paraId="591AD2E4" w14:textId="40A8C50F" w:rsidR="00B56798" w:rsidRDefault="00FB2095" w:rsidP="00B56798">
            <w:pPr>
              <w:pStyle w:val="NormalWeb"/>
              <w:numPr>
                <w:ilvl w:val="0"/>
                <w:numId w:val="37"/>
              </w:numPr>
              <w:spacing w:before="0" w:beforeAutospacing="0" w:after="120" w:afterAutospacing="0"/>
              <w:ind w:left="41" w:hanging="77"/>
              <w:jc w:val="both"/>
            </w:pPr>
            <w:r>
              <w:t>V</w:t>
            </w:r>
            <w:r w:rsidR="00B56798">
              <w:t>eikt</w:t>
            </w:r>
            <w:r w:rsidR="00C35E98">
              <w:t>ā</w:t>
            </w:r>
            <w:r w:rsidR="00B56798">
              <w:t xml:space="preserve"> analīze ietver: 1. apturētos m</w:t>
            </w:r>
            <w:r>
              <w:t>aksājumus</w:t>
            </w:r>
            <w:r w:rsidR="00B56798">
              <w:t xml:space="preserve"> valstij; 2. </w:t>
            </w:r>
            <w:r w:rsidR="00B56798" w:rsidRPr="00EB042E">
              <w:t>Atšķirīga iestāžu sagatavotība (2014.gada 12</w:t>
            </w:r>
            <w:r>
              <w:t>.</w:t>
            </w:r>
            <w:r w:rsidR="00B56798" w:rsidRPr="00EB042E">
              <w:t xml:space="preserve">-16.maija EK </w:t>
            </w:r>
            <w:r w:rsidR="00B56798" w:rsidRPr="00EB042E">
              <w:lastRenderedPageBreak/>
              <w:t>audita novērojums</w:t>
            </w:r>
            <w:r w:rsidR="00B56798">
              <w:t>); 3. būtiskas atšķirības Maksājumu pieprasījumu izskatīšanas termiņos (ar ļoti būtiskiem kavējumiem);</w:t>
            </w:r>
          </w:p>
          <w:p w14:paraId="2E45C5A4" w14:textId="743440C8" w:rsidR="00B56798" w:rsidRDefault="00B56798" w:rsidP="00B56798">
            <w:pPr>
              <w:pStyle w:val="NormalWeb"/>
              <w:numPr>
                <w:ilvl w:val="0"/>
                <w:numId w:val="37"/>
              </w:numPr>
              <w:spacing w:before="0" w:beforeAutospacing="0" w:after="120" w:afterAutospacing="0"/>
              <w:ind w:left="41" w:hanging="77"/>
              <w:jc w:val="both"/>
            </w:pPr>
            <w:r>
              <w:t>Revīzijas iestādes audits ir galvenais rādītājs, kas apliecina gan sistēmas darbības likumību</w:t>
            </w:r>
            <w:r w:rsidR="00C35E98">
              <w:t>,</w:t>
            </w:r>
            <w:r>
              <w:t xml:space="preserve"> gan efektivitāti un Revīzijas iestādes </w:t>
            </w:r>
            <w:r w:rsidR="009E6B5B">
              <w:t>auditi atzīst esošo sistēm</w:t>
            </w:r>
            <w:r w:rsidR="00C35E98">
              <w:t>u par atbilstošu regulas un labā</w:t>
            </w:r>
            <w:r w:rsidR="009E6B5B">
              <w:t>s prakses prasībām</w:t>
            </w:r>
            <w:r>
              <w:t>.</w:t>
            </w:r>
          </w:p>
          <w:p w14:paraId="3F29BD6B" w14:textId="3C037A38" w:rsidR="00B56798" w:rsidRDefault="00B56798" w:rsidP="00B56798">
            <w:pPr>
              <w:pStyle w:val="NormalWeb"/>
              <w:numPr>
                <w:ilvl w:val="0"/>
                <w:numId w:val="37"/>
              </w:numPr>
              <w:spacing w:before="0" w:beforeAutospacing="0" w:after="120" w:afterAutospacing="0"/>
              <w:ind w:left="41" w:hanging="77"/>
              <w:jc w:val="both"/>
            </w:pPr>
            <w:r>
              <w:t>Arī Revīzijas palātas audits, kas veica vienas konkrētas jomas revīziju (krāpšanas risku vadība) apliecināja, ka esošās sistēmas ietvaros ir nodrošināta laba pārvaldība.</w:t>
            </w:r>
          </w:p>
          <w:p w14:paraId="69676369" w14:textId="619A8559" w:rsidR="009E6B5B" w:rsidRDefault="009E6B5B" w:rsidP="00FB2095">
            <w:pPr>
              <w:pStyle w:val="NormalWeb"/>
              <w:numPr>
                <w:ilvl w:val="0"/>
                <w:numId w:val="37"/>
              </w:numPr>
              <w:spacing w:before="0" w:beforeAutospacing="0" w:after="120" w:afterAutospacing="0"/>
              <w:ind w:left="41" w:hanging="77"/>
              <w:jc w:val="both"/>
            </w:pPr>
            <w:r w:rsidRPr="00B56798">
              <w:t>Savukārt V</w:t>
            </w:r>
            <w:r w:rsidR="00C35E98">
              <w:t>adības un kontroles sistēmā</w:t>
            </w:r>
            <w:r w:rsidRPr="00B56798">
              <w:t xml:space="preserve"> iesaistīto iestāžu analīze jau veikta plānošanas perioda gaitā gan no pakalpojuma saņēmēju puses, gan no likumdevēja (</w:t>
            </w:r>
            <w:r w:rsidR="00FB2095" w:rsidRPr="00FB2095">
              <w:t>Saeimas Publisko izdevumu un revīzijas komisija</w:t>
            </w:r>
            <w:r w:rsidR="00FB2095">
              <w:t xml:space="preserve"> </w:t>
            </w:r>
            <w:r w:rsidRPr="00B56798">
              <w:t xml:space="preserve">un </w:t>
            </w:r>
            <w:r w:rsidR="00FB2095" w:rsidRPr="00FB2095">
              <w:t>Saeimas Eiropas lietu komisija</w:t>
            </w:r>
            <w:r w:rsidRPr="00B56798">
              <w:t>) puses</w:t>
            </w:r>
            <w:r>
              <w:t>, kuras atzina sistēmu par klientiem draudzīgu un efektīvu.</w:t>
            </w:r>
          </w:p>
          <w:p w14:paraId="4EBC50A5" w14:textId="68B318C8" w:rsidR="00B56798" w:rsidRDefault="00B56798" w:rsidP="00B56798">
            <w:pPr>
              <w:pStyle w:val="NormalWeb"/>
              <w:numPr>
                <w:ilvl w:val="0"/>
                <w:numId w:val="37"/>
              </w:numPr>
              <w:spacing w:before="0" w:beforeAutospacing="0" w:after="120" w:afterAutospacing="0"/>
              <w:ind w:left="41" w:hanging="77"/>
              <w:jc w:val="both"/>
            </w:pPr>
            <w:r>
              <w:lastRenderedPageBreak/>
              <w:t>Piedāvājot jaunā 2021</w:t>
            </w:r>
            <w:r w:rsidR="00FB2095">
              <w:t>.</w:t>
            </w:r>
            <w:r>
              <w:t>-2027</w:t>
            </w:r>
            <w:r w:rsidR="00FB2095">
              <w:t>.gada</w:t>
            </w:r>
            <w:r>
              <w:t xml:space="preserve"> perioda institucionālo modeli, tika analizēts, ka ar veiktajām reformām, augstākminētie sistēmas darbības trūkumi ir novērsti. </w:t>
            </w:r>
          </w:p>
          <w:p w14:paraId="4805A326" w14:textId="751BF0F0" w:rsidR="00FB2095" w:rsidRDefault="00FB2095" w:rsidP="00B56798">
            <w:pPr>
              <w:pStyle w:val="NormalWeb"/>
              <w:numPr>
                <w:ilvl w:val="0"/>
                <w:numId w:val="37"/>
              </w:numPr>
              <w:spacing w:before="0" w:beforeAutospacing="0" w:after="120" w:afterAutospacing="0"/>
              <w:ind w:left="41" w:hanging="77"/>
              <w:jc w:val="both"/>
            </w:pPr>
            <w:r>
              <w:t xml:space="preserve">Arī Eiropas Komisija 2019.gada 11.aprīļa 2021.-2027.gada Kohēzijas politikas plānošanas perioda  dialoga uzsākšanas  pasākumā </w:t>
            </w:r>
            <w:r w:rsidR="00C35E98">
              <w:t>norādīja</w:t>
            </w:r>
            <w:r>
              <w:t>, ka Latvija</w:t>
            </w:r>
            <w:r w:rsidR="00C35E98">
              <w:t>i</w:t>
            </w:r>
            <w:r>
              <w:t xml:space="preserve"> būtu jāturpina ar esošo </w:t>
            </w:r>
            <w:r w:rsidR="00013F09">
              <w:t>vadība</w:t>
            </w:r>
            <w:r w:rsidR="00C35E98">
              <w:t>s</w:t>
            </w:r>
            <w:r w:rsidR="00013F09">
              <w:t xml:space="preserve"> un kontroles sistēmu, </w:t>
            </w:r>
            <w:r w:rsidR="00C35E98">
              <w:t>norādot to kā labā</w:t>
            </w:r>
            <w:r w:rsidR="00013F09">
              <w:t xml:space="preserve">s prakses piemēru. </w:t>
            </w:r>
            <w:r>
              <w:t xml:space="preserve"> </w:t>
            </w:r>
          </w:p>
          <w:p w14:paraId="59EBCD3B" w14:textId="38E1EFE1" w:rsidR="00B90CB9" w:rsidRDefault="003E7078" w:rsidP="00B56798">
            <w:pPr>
              <w:pStyle w:val="naisc"/>
              <w:spacing w:before="0" w:after="0"/>
              <w:jc w:val="both"/>
            </w:pPr>
            <w:r>
              <w:t xml:space="preserve">Attiecībā uz Kopējās fondu regulas priekšlikumu par finansējuma saņēmēju valsts atbalsta gadījumā, vēršam uzmanību, ka tas šobrīd ir regulas priekšlikums, līdz ar to gala redakcija var vēl mainīties. Tomēr, vērtējot daudzpakāpju ieviešanas shēmas specifiskos atbalsta mērķus vai pasākumus, šobrīd ir secināms, ka tas rada papildu administratīvo slogu, kā arī minētajās shēmās nesekmējas ar investīciju novirzīšanu pasākuma tiešajam mērķim, līdz ar to FM no resursu efektīvas izmantošanas viedokļa atbalsta </w:t>
            </w:r>
            <w:r>
              <w:lastRenderedPageBreak/>
              <w:t>Kopējās fondu regulas priekšlikumu.</w:t>
            </w:r>
          </w:p>
          <w:p w14:paraId="520FC2F1" w14:textId="10243BE7" w:rsidR="00C02207" w:rsidRPr="00937060" w:rsidRDefault="00C02207" w:rsidP="00C02207">
            <w:pPr>
              <w:pStyle w:val="naisc"/>
              <w:spacing w:before="0" w:after="0"/>
              <w:ind w:firstLine="720"/>
              <w:jc w:val="both"/>
            </w:pPr>
          </w:p>
        </w:tc>
        <w:tc>
          <w:tcPr>
            <w:tcW w:w="970" w:type="pct"/>
            <w:tcBorders>
              <w:top w:val="single" w:sz="4" w:space="0" w:color="auto"/>
              <w:left w:val="single" w:sz="4" w:space="0" w:color="auto"/>
              <w:bottom w:val="single" w:sz="4" w:space="0" w:color="auto"/>
            </w:tcBorders>
          </w:tcPr>
          <w:p w14:paraId="41B68878" w14:textId="2B6AD154" w:rsidR="00B90CB9" w:rsidRPr="00937060" w:rsidRDefault="004744B8" w:rsidP="004744B8">
            <w:pPr>
              <w:jc w:val="both"/>
            </w:pPr>
            <w:r>
              <w:lastRenderedPageBreak/>
              <w:t>Skatīt precizēto protokollēmumu.</w:t>
            </w:r>
          </w:p>
        </w:tc>
      </w:tr>
      <w:tr w:rsidR="00937060" w:rsidRPr="00937060" w14:paraId="2B7D25E1" w14:textId="77777777" w:rsidTr="0012446B">
        <w:trPr>
          <w:trHeight w:val="404"/>
        </w:trPr>
        <w:tc>
          <w:tcPr>
            <w:tcW w:w="5000" w:type="pct"/>
            <w:gridSpan w:val="5"/>
            <w:tcBorders>
              <w:top w:val="single" w:sz="6" w:space="0" w:color="000000"/>
              <w:left w:val="single" w:sz="6" w:space="0" w:color="000000"/>
              <w:bottom w:val="single" w:sz="6" w:space="0" w:color="000000"/>
            </w:tcBorders>
            <w:shd w:val="clear" w:color="auto" w:fill="auto"/>
          </w:tcPr>
          <w:p w14:paraId="3C051ED8" w14:textId="624D5A9A" w:rsidR="0012446B" w:rsidRPr="00937060" w:rsidRDefault="004E61D1" w:rsidP="0012446B">
            <w:pPr>
              <w:pStyle w:val="Title"/>
              <w:ind w:hanging="33"/>
              <w:outlineLvl w:val="0"/>
              <w:rPr>
                <w:b/>
                <w:sz w:val="24"/>
                <w:szCs w:val="24"/>
              </w:rPr>
            </w:pPr>
            <w:r w:rsidRPr="00937060">
              <w:rPr>
                <w:b/>
                <w:sz w:val="24"/>
                <w:szCs w:val="24"/>
              </w:rPr>
              <w:lastRenderedPageBreak/>
              <w:t>Par informatīvā ziņojuma projektu „</w:t>
            </w:r>
            <w:r w:rsidRPr="00937060">
              <w:rPr>
                <w:b/>
                <w:bCs/>
                <w:sz w:val="24"/>
                <w:szCs w:val="24"/>
              </w:rPr>
              <w:t>Informatīvais ziņojums par Eiropas Reģionālās attīstības fonda, Eiropas Sociālā fonda plus un Kohēzijas fonda ieviešanu 2021.–2027.gadā Latvijā</w:t>
            </w:r>
            <w:r w:rsidRPr="00937060">
              <w:rPr>
                <w:b/>
                <w:sz w:val="24"/>
                <w:szCs w:val="24"/>
              </w:rPr>
              <w:t>” (turpmāk –</w:t>
            </w:r>
            <w:r w:rsidR="001A0C4B" w:rsidRPr="00937060">
              <w:rPr>
                <w:b/>
                <w:sz w:val="24"/>
                <w:szCs w:val="24"/>
              </w:rPr>
              <w:t xml:space="preserve"> i</w:t>
            </w:r>
            <w:r w:rsidRPr="00937060">
              <w:rPr>
                <w:b/>
                <w:sz w:val="24"/>
                <w:szCs w:val="24"/>
              </w:rPr>
              <w:t>nformatīvais ziņojums)</w:t>
            </w:r>
          </w:p>
        </w:tc>
      </w:tr>
      <w:tr w:rsidR="00937060" w:rsidRPr="00937060" w14:paraId="2327EE9C" w14:textId="77777777" w:rsidTr="00C066E7">
        <w:trPr>
          <w:trHeight w:val="404"/>
        </w:trPr>
        <w:tc>
          <w:tcPr>
            <w:tcW w:w="283" w:type="pct"/>
            <w:tcBorders>
              <w:top w:val="single" w:sz="6" w:space="0" w:color="000000"/>
              <w:left w:val="single" w:sz="6" w:space="0" w:color="000000"/>
              <w:bottom w:val="single" w:sz="6" w:space="0" w:color="000000"/>
              <w:right w:val="single" w:sz="4" w:space="0" w:color="auto"/>
            </w:tcBorders>
            <w:shd w:val="clear" w:color="auto" w:fill="auto"/>
          </w:tcPr>
          <w:p w14:paraId="327C1652" w14:textId="77777777" w:rsidR="00841A03" w:rsidRPr="00937060" w:rsidRDefault="00841A03" w:rsidP="00B60E7A">
            <w:pPr>
              <w:pStyle w:val="naisc"/>
              <w:numPr>
                <w:ilvl w:val="0"/>
                <w:numId w:val="36"/>
              </w:numPr>
              <w:spacing w:before="0" w:after="0"/>
            </w:pPr>
          </w:p>
        </w:tc>
        <w:tc>
          <w:tcPr>
            <w:tcW w:w="1166" w:type="pct"/>
            <w:tcBorders>
              <w:left w:val="single" w:sz="4" w:space="0" w:color="auto"/>
              <w:bottom w:val="single" w:sz="4" w:space="0" w:color="auto"/>
              <w:right w:val="single" w:sz="4" w:space="0" w:color="auto"/>
            </w:tcBorders>
          </w:tcPr>
          <w:p w14:paraId="5D710C32" w14:textId="5D95795D" w:rsidR="00841A03" w:rsidRPr="00937060" w:rsidRDefault="00841A03" w:rsidP="000402EE">
            <w:pPr>
              <w:pStyle w:val="Title"/>
              <w:ind w:hanging="33"/>
              <w:jc w:val="both"/>
              <w:outlineLvl w:val="0"/>
              <w:rPr>
                <w:sz w:val="24"/>
                <w:szCs w:val="24"/>
              </w:rPr>
            </w:pPr>
            <w:r w:rsidRPr="00937060">
              <w:rPr>
                <w:sz w:val="24"/>
                <w:szCs w:val="24"/>
              </w:rPr>
              <w:t>Informatīvā ziņojuma ievads</w:t>
            </w:r>
          </w:p>
        </w:tc>
        <w:tc>
          <w:tcPr>
            <w:tcW w:w="1390" w:type="pct"/>
            <w:tcBorders>
              <w:top w:val="single" w:sz="6" w:space="0" w:color="000000"/>
              <w:left w:val="single" w:sz="4" w:space="0" w:color="auto"/>
              <w:bottom w:val="single" w:sz="6" w:space="0" w:color="000000"/>
              <w:right w:val="single" w:sz="6" w:space="0" w:color="000000"/>
            </w:tcBorders>
          </w:tcPr>
          <w:p w14:paraId="2EA5858F" w14:textId="64D4EAB8" w:rsidR="00841A03" w:rsidRPr="00937060" w:rsidRDefault="00841A03" w:rsidP="00841A03">
            <w:pPr>
              <w:widowControl w:val="0"/>
              <w:jc w:val="both"/>
              <w:rPr>
                <w:rFonts w:eastAsia="Calibri"/>
                <w:b/>
                <w:u w:val="single"/>
                <w:lang w:eastAsia="en-US"/>
              </w:rPr>
            </w:pPr>
            <w:r w:rsidRPr="00937060">
              <w:rPr>
                <w:rFonts w:eastAsia="Calibri"/>
                <w:b/>
                <w:u w:val="single"/>
                <w:lang w:eastAsia="en-US"/>
              </w:rPr>
              <w:t>Valsts kanceleja:</w:t>
            </w:r>
          </w:p>
          <w:p w14:paraId="54EDD425" w14:textId="47AE359B" w:rsidR="00841A03" w:rsidRPr="00937060" w:rsidRDefault="00841A03" w:rsidP="00841A03">
            <w:pPr>
              <w:widowControl w:val="0"/>
              <w:jc w:val="both"/>
              <w:rPr>
                <w:rFonts w:eastAsia="Calibri"/>
                <w:lang w:eastAsia="en-US"/>
              </w:rPr>
            </w:pPr>
            <w:r w:rsidRPr="00937060">
              <w:rPr>
                <w:rFonts w:eastAsia="Calibri"/>
                <w:lang w:eastAsia="en-US"/>
              </w:rPr>
              <w:t>Lūdzam informatīvā ziņojuma trešajā rindkopā nomainīt saīsinājumu “turpmāk – Kopējā fondu regula” ar saīsinājumu “turpmāk – Kopējās fondu regulas priekšlikums”, jo šī regula vēl nav apstiprināta, un runājot par citām regulām, tiek runāts par šo regulu priekšlikumu.</w:t>
            </w:r>
          </w:p>
        </w:tc>
        <w:tc>
          <w:tcPr>
            <w:tcW w:w="1191" w:type="pct"/>
            <w:tcBorders>
              <w:top w:val="single" w:sz="6" w:space="0" w:color="000000"/>
              <w:left w:val="single" w:sz="6" w:space="0" w:color="000000"/>
              <w:bottom w:val="single" w:sz="6" w:space="0" w:color="000000"/>
              <w:right w:val="single" w:sz="4" w:space="0" w:color="auto"/>
            </w:tcBorders>
          </w:tcPr>
          <w:p w14:paraId="42F0848E" w14:textId="7F56FD8B" w:rsidR="00841A03" w:rsidRPr="004744B8" w:rsidRDefault="00937060" w:rsidP="00C20D1A">
            <w:pPr>
              <w:pStyle w:val="NormalWeb"/>
              <w:spacing w:before="0" w:beforeAutospacing="0" w:after="120" w:afterAutospacing="0"/>
              <w:jc w:val="center"/>
              <w:rPr>
                <w:b/>
              </w:rPr>
            </w:pPr>
            <w:r w:rsidRPr="004744B8">
              <w:rPr>
                <w:b/>
              </w:rPr>
              <w:t>Ņemts vērā.</w:t>
            </w:r>
          </w:p>
        </w:tc>
        <w:tc>
          <w:tcPr>
            <w:tcW w:w="970" w:type="pct"/>
            <w:tcBorders>
              <w:left w:val="single" w:sz="4" w:space="0" w:color="auto"/>
              <w:bottom w:val="single" w:sz="4" w:space="0" w:color="auto"/>
            </w:tcBorders>
          </w:tcPr>
          <w:p w14:paraId="201A11C1" w14:textId="2D5077A3" w:rsidR="00841A03" w:rsidRPr="00937060" w:rsidRDefault="00C001D0" w:rsidP="000402EE">
            <w:pPr>
              <w:pStyle w:val="Title"/>
              <w:ind w:hanging="33"/>
              <w:jc w:val="both"/>
              <w:outlineLvl w:val="0"/>
              <w:rPr>
                <w:sz w:val="24"/>
                <w:szCs w:val="24"/>
              </w:rPr>
            </w:pPr>
            <w:r w:rsidRPr="00937060">
              <w:rPr>
                <w:sz w:val="24"/>
                <w:szCs w:val="24"/>
              </w:rPr>
              <w:t>Lūdzu skatīt precizēto informatīvo ziņojumu</w:t>
            </w:r>
            <w:r w:rsidR="004744B8">
              <w:rPr>
                <w:sz w:val="24"/>
                <w:szCs w:val="24"/>
              </w:rPr>
              <w:t>.</w:t>
            </w:r>
          </w:p>
        </w:tc>
      </w:tr>
      <w:tr w:rsidR="00937060" w:rsidRPr="00937060" w14:paraId="20D01809" w14:textId="77777777" w:rsidTr="00C066E7">
        <w:trPr>
          <w:trHeight w:val="404"/>
        </w:trPr>
        <w:tc>
          <w:tcPr>
            <w:tcW w:w="283" w:type="pct"/>
            <w:tcBorders>
              <w:top w:val="single" w:sz="6" w:space="0" w:color="000000"/>
              <w:left w:val="single" w:sz="6" w:space="0" w:color="000000"/>
              <w:bottom w:val="single" w:sz="6" w:space="0" w:color="000000"/>
              <w:right w:val="single" w:sz="4" w:space="0" w:color="auto"/>
            </w:tcBorders>
            <w:shd w:val="clear" w:color="auto" w:fill="auto"/>
          </w:tcPr>
          <w:p w14:paraId="28E2AF2B" w14:textId="77777777" w:rsidR="0009467C" w:rsidRPr="00937060" w:rsidRDefault="0009467C" w:rsidP="00B60E7A">
            <w:pPr>
              <w:pStyle w:val="naisc"/>
              <w:numPr>
                <w:ilvl w:val="0"/>
                <w:numId w:val="36"/>
              </w:numPr>
              <w:spacing w:before="0" w:after="0"/>
            </w:pPr>
          </w:p>
        </w:tc>
        <w:tc>
          <w:tcPr>
            <w:tcW w:w="1166" w:type="pct"/>
            <w:tcBorders>
              <w:left w:val="single" w:sz="4" w:space="0" w:color="auto"/>
              <w:bottom w:val="single" w:sz="4" w:space="0" w:color="auto"/>
              <w:right w:val="single" w:sz="4" w:space="0" w:color="auto"/>
            </w:tcBorders>
          </w:tcPr>
          <w:p w14:paraId="1B66BC25" w14:textId="7EAF4ECB" w:rsidR="0009467C" w:rsidRPr="00937060" w:rsidRDefault="004C50AC" w:rsidP="000402EE">
            <w:pPr>
              <w:pStyle w:val="Title"/>
              <w:ind w:hanging="33"/>
              <w:jc w:val="both"/>
              <w:outlineLvl w:val="0"/>
              <w:rPr>
                <w:sz w:val="24"/>
                <w:szCs w:val="24"/>
              </w:rPr>
            </w:pPr>
            <w:r w:rsidRPr="00937060">
              <w:rPr>
                <w:sz w:val="24"/>
                <w:szCs w:val="24"/>
              </w:rPr>
              <w:t>1.sadaļa “Plānošanas dokumenti un to koordinācija”</w:t>
            </w:r>
            <w:r w:rsidR="00716273" w:rsidRPr="00937060">
              <w:rPr>
                <w:sz w:val="24"/>
                <w:szCs w:val="24"/>
              </w:rPr>
              <w:t>, 6.rindkopa</w:t>
            </w:r>
          </w:p>
        </w:tc>
        <w:tc>
          <w:tcPr>
            <w:tcW w:w="1390" w:type="pct"/>
            <w:tcBorders>
              <w:top w:val="single" w:sz="6" w:space="0" w:color="000000"/>
              <w:left w:val="single" w:sz="4" w:space="0" w:color="auto"/>
              <w:bottom w:val="single" w:sz="6" w:space="0" w:color="000000"/>
              <w:right w:val="single" w:sz="6" w:space="0" w:color="000000"/>
            </w:tcBorders>
          </w:tcPr>
          <w:p w14:paraId="3641CEDF" w14:textId="1B1D65FD" w:rsidR="0009467C" w:rsidRPr="00937060" w:rsidRDefault="0009467C" w:rsidP="0009467C">
            <w:pPr>
              <w:widowControl w:val="0"/>
              <w:ind w:right="57"/>
              <w:jc w:val="both"/>
              <w:rPr>
                <w:rFonts w:eastAsia="Calibri"/>
                <w:b/>
                <w:u w:val="single"/>
              </w:rPr>
            </w:pPr>
            <w:r w:rsidRPr="00937060">
              <w:rPr>
                <w:rFonts w:eastAsia="Calibri"/>
                <w:b/>
                <w:u w:val="single"/>
              </w:rPr>
              <w:t>Zemkopības ministrija:</w:t>
            </w:r>
          </w:p>
          <w:p w14:paraId="4F4CA1C5" w14:textId="1D35BF2A" w:rsidR="0009467C" w:rsidRPr="00937060" w:rsidRDefault="0009467C" w:rsidP="006904F7">
            <w:pPr>
              <w:widowControl w:val="0"/>
              <w:ind w:right="57"/>
              <w:jc w:val="both"/>
              <w:rPr>
                <w:rFonts w:eastAsia="Calibri"/>
              </w:rPr>
            </w:pPr>
            <w:r w:rsidRPr="00937060">
              <w:rPr>
                <w:rFonts w:eastAsia="Calibri"/>
              </w:rPr>
              <w:t xml:space="preserve">1. sadaļā “Plānošanas dokumenti un to </w:t>
            </w:r>
            <w:r w:rsidRPr="00937060">
              <w:rPr>
                <w:rFonts w:eastAsia="Calibri"/>
              </w:rPr>
              <w:lastRenderedPageBreak/>
              <w:t xml:space="preserve">koordinācija” precizēt rindkopu, kurā minēts, ka “Partnerības līguma vadības grupas ietvaros tiks nodrošināta nozaru politiku plānoto un īstenošanā esošo pasākumu atbilstoša finansējuma plānošana, piesaiste un rezultātu sasniegšanas augstāka līmeņa virsuzraudzība.”, vārdus “nozaru politiku” aizvietojot ar “KP” jeb Kohēzijas politiku. Norādām, ka 2014.-2020. gada plānošanas periodā attiecībā uz Eiropas Jūrlietu un zivsaimniecības fondu finansējuma plānošana, piesaiste un rezultātu sasniegšanas virsuzraudzība netiek veikta Partnerības </w:t>
            </w:r>
            <w:r w:rsidR="006904F7" w:rsidRPr="00937060">
              <w:rPr>
                <w:rFonts w:eastAsia="Calibri"/>
              </w:rPr>
              <w:t>līguma vadības grupas ietvaros.</w:t>
            </w:r>
          </w:p>
        </w:tc>
        <w:tc>
          <w:tcPr>
            <w:tcW w:w="1191" w:type="pct"/>
            <w:tcBorders>
              <w:top w:val="single" w:sz="6" w:space="0" w:color="000000"/>
              <w:left w:val="single" w:sz="6" w:space="0" w:color="000000"/>
              <w:bottom w:val="single" w:sz="6" w:space="0" w:color="000000"/>
              <w:right w:val="single" w:sz="4" w:space="0" w:color="auto"/>
            </w:tcBorders>
          </w:tcPr>
          <w:p w14:paraId="49E6E399" w14:textId="6F96577E" w:rsidR="0009467C" w:rsidRPr="004744B8" w:rsidRDefault="00937060" w:rsidP="00C20D1A">
            <w:pPr>
              <w:pStyle w:val="NormalWeb"/>
              <w:spacing w:before="0" w:beforeAutospacing="0" w:after="120" w:afterAutospacing="0"/>
              <w:jc w:val="center"/>
              <w:rPr>
                <w:b/>
              </w:rPr>
            </w:pPr>
            <w:r w:rsidRPr="004744B8">
              <w:rPr>
                <w:b/>
              </w:rPr>
              <w:lastRenderedPageBreak/>
              <w:t>Ņemts vērā.</w:t>
            </w:r>
          </w:p>
        </w:tc>
        <w:tc>
          <w:tcPr>
            <w:tcW w:w="970" w:type="pct"/>
            <w:tcBorders>
              <w:left w:val="single" w:sz="4" w:space="0" w:color="auto"/>
              <w:bottom w:val="single" w:sz="4" w:space="0" w:color="auto"/>
            </w:tcBorders>
          </w:tcPr>
          <w:p w14:paraId="39B6470A" w14:textId="02D3A94A" w:rsidR="0009467C" w:rsidRPr="00937060" w:rsidRDefault="001A0C4B" w:rsidP="000402EE">
            <w:pPr>
              <w:pStyle w:val="Title"/>
              <w:ind w:hanging="33"/>
              <w:jc w:val="both"/>
              <w:outlineLvl w:val="0"/>
              <w:rPr>
                <w:sz w:val="24"/>
                <w:szCs w:val="24"/>
              </w:rPr>
            </w:pPr>
            <w:r w:rsidRPr="00937060">
              <w:rPr>
                <w:sz w:val="24"/>
                <w:szCs w:val="24"/>
              </w:rPr>
              <w:t>Lūdzu skatīt precizēto informatīvo ziņojumu</w:t>
            </w:r>
            <w:r w:rsidR="004744B8">
              <w:rPr>
                <w:sz w:val="24"/>
                <w:szCs w:val="24"/>
              </w:rPr>
              <w:t>.</w:t>
            </w:r>
          </w:p>
        </w:tc>
      </w:tr>
      <w:tr w:rsidR="00937060" w:rsidRPr="00937060" w14:paraId="46586AF1" w14:textId="77777777" w:rsidTr="00C066E7">
        <w:trPr>
          <w:trHeight w:val="404"/>
        </w:trPr>
        <w:tc>
          <w:tcPr>
            <w:tcW w:w="283" w:type="pct"/>
            <w:tcBorders>
              <w:top w:val="single" w:sz="6" w:space="0" w:color="000000"/>
              <w:left w:val="single" w:sz="6" w:space="0" w:color="000000"/>
              <w:bottom w:val="single" w:sz="6" w:space="0" w:color="000000"/>
              <w:right w:val="single" w:sz="4" w:space="0" w:color="auto"/>
            </w:tcBorders>
            <w:shd w:val="clear" w:color="auto" w:fill="auto"/>
          </w:tcPr>
          <w:p w14:paraId="42DF52A0" w14:textId="77777777" w:rsidR="009D1E44" w:rsidRPr="00937060" w:rsidRDefault="009D1E44" w:rsidP="00B60E7A">
            <w:pPr>
              <w:pStyle w:val="naisc"/>
              <w:numPr>
                <w:ilvl w:val="0"/>
                <w:numId w:val="36"/>
              </w:numPr>
              <w:spacing w:before="0" w:after="0"/>
            </w:pPr>
          </w:p>
        </w:tc>
        <w:tc>
          <w:tcPr>
            <w:tcW w:w="1166" w:type="pct"/>
            <w:tcBorders>
              <w:left w:val="single" w:sz="4" w:space="0" w:color="auto"/>
              <w:bottom w:val="single" w:sz="4" w:space="0" w:color="auto"/>
              <w:right w:val="single" w:sz="4" w:space="0" w:color="auto"/>
            </w:tcBorders>
          </w:tcPr>
          <w:p w14:paraId="0C71968D" w14:textId="376EE6A0" w:rsidR="009D1E44" w:rsidRPr="00937060" w:rsidRDefault="009D1E44" w:rsidP="000402EE">
            <w:pPr>
              <w:pStyle w:val="Title"/>
              <w:ind w:hanging="33"/>
              <w:jc w:val="both"/>
              <w:outlineLvl w:val="0"/>
              <w:rPr>
                <w:sz w:val="24"/>
                <w:szCs w:val="24"/>
              </w:rPr>
            </w:pPr>
            <w:r w:rsidRPr="00937060">
              <w:rPr>
                <w:sz w:val="24"/>
                <w:szCs w:val="24"/>
              </w:rPr>
              <w:t>1.sadaļa “Plānošanas dokumenti un to koordinācija”, 6.rindkopa</w:t>
            </w:r>
          </w:p>
        </w:tc>
        <w:tc>
          <w:tcPr>
            <w:tcW w:w="1390" w:type="pct"/>
            <w:tcBorders>
              <w:top w:val="single" w:sz="6" w:space="0" w:color="000000"/>
              <w:left w:val="single" w:sz="4" w:space="0" w:color="auto"/>
              <w:bottom w:val="single" w:sz="6" w:space="0" w:color="000000"/>
              <w:right w:val="single" w:sz="6" w:space="0" w:color="000000"/>
            </w:tcBorders>
          </w:tcPr>
          <w:p w14:paraId="1ECF6C85" w14:textId="60A0FC0A" w:rsidR="009D1E44" w:rsidRPr="00937060" w:rsidRDefault="009D1E44" w:rsidP="009D1E44">
            <w:pPr>
              <w:widowControl w:val="0"/>
              <w:jc w:val="both"/>
              <w:rPr>
                <w:rFonts w:eastAsia="Calibri"/>
                <w:b/>
                <w:u w:val="single"/>
                <w:lang w:eastAsia="en-US"/>
              </w:rPr>
            </w:pPr>
            <w:r w:rsidRPr="00937060">
              <w:rPr>
                <w:rFonts w:eastAsia="Calibri"/>
                <w:b/>
                <w:u w:val="single"/>
                <w:lang w:eastAsia="en-US"/>
              </w:rPr>
              <w:t>Valsts kanceleja:</w:t>
            </w:r>
          </w:p>
          <w:p w14:paraId="7CA96235" w14:textId="3DE4C455" w:rsidR="009D1E44" w:rsidRPr="00937060" w:rsidRDefault="009D1E44" w:rsidP="009D1E44">
            <w:pPr>
              <w:widowControl w:val="0"/>
              <w:jc w:val="both"/>
              <w:rPr>
                <w:rFonts w:eastAsia="Calibri"/>
                <w:lang w:eastAsia="en-US"/>
              </w:rPr>
            </w:pPr>
            <w:r w:rsidRPr="00937060">
              <w:rPr>
                <w:rFonts w:eastAsia="Calibri"/>
                <w:lang w:eastAsia="en-US"/>
              </w:rPr>
              <w:t>Lūdzam papildināt informatīvā ziņojuma 1.sadaļas sestās rindkopas otro teikumu, izsakot tā sākumu šādā redakcijā: “Vadības grupā tiks iesaistītas visas nozaru ministrijas, Valsts kanceleja un sadarbības partneri,”.</w:t>
            </w:r>
          </w:p>
        </w:tc>
        <w:tc>
          <w:tcPr>
            <w:tcW w:w="1191" w:type="pct"/>
            <w:tcBorders>
              <w:top w:val="single" w:sz="6" w:space="0" w:color="000000"/>
              <w:left w:val="single" w:sz="6" w:space="0" w:color="000000"/>
              <w:bottom w:val="single" w:sz="6" w:space="0" w:color="000000"/>
              <w:right w:val="single" w:sz="4" w:space="0" w:color="auto"/>
            </w:tcBorders>
          </w:tcPr>
          <w:p w14:paraId="092973EF" w14:textId="5E5ED4C0" w:rsidR="009D1E44" w:rsidRPr="004744B8" w:rsidRDefault="00D20FA0" w:rsidP="00C20D1A">
            <w:pPr>
              <w:pStyle w:val="NormalWeb"/>
              <w:spacing w:before="0" w:beforeAutospacing="0" w:after="120" w:afterAutospacing="0"/>
              <w:jc w:val="center"/>
              <w:rPr>
                <w:b/>
              </w:rPr>
            </w:pPr>
            <w:r w:rsidRPr="004744B8">
              <w:rPr>
                <w:b/>
              </w:rPr>
              <w:t>Ņemts vērā.</w:t>
            </w:r>
          </w:p>
        </w:tc>
        <w:tc>
          <w:tcPr>
            <w:tcW w:w="970" w:type="pct"/>
            <w:tcBorders>
              <w:left w:val="single" w:sz="4" w:space="0" w:color="auto"/>
              <w:bottom w:val="single" w:sz="4" w:space="0" w:color="auto"/>
            </w:tcBorders>
          </w:tcPr>
          <w:p w14:paraId="165141DD" w14:textId="18F3366E" w:rsidR="009D1E44" w:rsidRPr="00937060" w:rsidRDefault="001A0C4B" w:rsidP="000402EE">
            <w:pPr>
              <w:pStyle w:val="Title"/>
              <w:ind w:hanging="33"/>
              <w:jc w:val="both"/>
              <w:outlineLvl w:val="0"/>
              <w:rPr>
                <w:sz w:val="24"/>
                <w:szCs w:val="24"/>
              </w:rPr>
            </w:pPr>
            <w:r w:rsidRPr="00937060">
              <w:rPr>
                <w:sz w:val="24"/>
                <w:szCs w:val="24"/>
              </w:rPr>
              <w:t>Lūdzu skatīt precizēto informatīvo ziņojumu</w:t>
            </w:r>
          </w:p>
        </w:tc>
      </w:tr>
      <w:tr w:rsidR="00937060" w:rsidRPr="00937060" w14:paraId="3B52207F" w14:textId="77777777" w:rsidTr="00C066E7">
        <w:trPr>
          <w:trHeight w:val="404"/>
        </w:trPr>
        <w:tc>
          <w:tcPr>
            <w:tcW w:w="283" w:type="pct"/>
            <w:tcBorders>
              <w:top w:val="single" w:sz="6" w:space="0" w:color="000000"/>
              <w:left w:val="single" w:sz="6" w:space="0" w:color="000000"/>
              <w:bottom w:val="single" w:sz="6" w:space="0" w:color="000000"/>
              <w:right w:val="single" w:sz="4" w:space="0" w:color="auto"/>
            </w:tcBorders>
            <w:shd w:val="clear" w:color="auto" w:fill="auto"/>
          </w:tcPr>
          <w:p w14:paraId="20DD29F6" w14:textId="77777777" w:rsidR="00C001D0" w:rsidRPr="00937060" w:rsidRDefault="00C001D0" w:rsidP="00B60E7A">
            <w:pPr>
              <w:pStyle w:val="naisc"/>
              <w:numPr>
                <w:ilvl w:val="0"/>
                <w:numId w:val="36"/>
              </w:numPr>
              <w:spacing w:before="0" w:after="0"/>
            </w:pPr>
          </w:p>
        </w:tc>
        <w:tc>
          <w:tcPr>
            <w:tcW w:w="1166" w:type="pct"/>
            <w:tcBorders>
              <w:left w:val="single" w:sz="4" w:space="0" w:color="auto"/>
              <w:bottom w:val="single" w:sz="4" w:space="0" w:color="auto"/>
              <w:right w:val="single" w:sz="4" w:space="0" w:color="auto"/>
            </w:tcBorders>
          </w:tcPr>
          <w:p w14:paraId="5F9F959C" w14:textId="700F95B5" w:rsidR="00C001D0" w:rsidRPr="00937060" w:rsidRDefault="00C001D0" w:rsidP="00C001D0">
            <w:pPr>
              <w:pStyle w:val="Title"/>
              <w:ind w:hanging="33"/>
              <w:jc w:val="both"/>
              <w:outlineLvl w:val="0"/>
              <w:rPr>
                <w:sz w:val="24"/>
                <w:szCs w:val="24"/>
              </w:rPr>
            </w:pPr>
            <w:r w:rsidRPr="00937060">
              <w:rPr>
                <w:sz w:val="24"/>
                <w:szCs w:val="24"/>
              </w:rPr>
              <w:t>1.sadaļa “Plānošanas dokumenti un to koordinācija”, 7.rindkopa</w:t>
            </w:r>
          </w:p>
        </w:tc>
        <w:tc>
          <w:tcPr>
            <w:tcW w:w="1390" w:type="pct"/>
            <w:tcBorders>
              <w:top w:val="single" w:sz="6" w:space="0" w:color="000000"/>
              <w:left w:val="single" w:sz="4" w:space="0" w:color="auto"/>
              <w:bottom w:val="single" w:sz="6" w:space="0" w:color="000000"/>
              <w:right w:val="single" w:sz="6" w:space="0" w:color="000000"/>
            </w:tcBorders>
          </w:tcPr>
          <w:p w14:paraId="48C627FD" w14:textId="77777777" w:rsidR="00C001D0" w:rsidRPr="00937060" w:rsidRDefault="00C001D0" w:rsidP="00C001D0">
            <w:pPr>
              <w:pStyle w:val="NoSpacing"/>
              <w:tabs>
                <w:tab w:val="left" w:pos="851"/>
              </w:tabs>
              <w:spacing w:after="120"/>
              <w:contextualSpacing/>
              <w:rPr>
                <w:b/>
                <w:u w:val="single"/>
              </w:rPr>
            </w:pPr>
            <w:r w:rsidRPr="00937060">
              <w:rPr>
                <w:b/>
                <w:u w:val="single"/>
              </w:rPr>
              <w:t>Labklājības ministrija:</w:t>
            </w:r>
          </w:p>
          <w:p w14:paraId="083B7A4F" w14:textId="74F8EF7F" w:rsidR="00C001D0" w:rsidRPr="00937060" w:rsidRDefault="00C001D0" w:rsidP="00C001D0">
            <w:pPr>
              <w:widowControl w:val="0"/>
              <w:jc w:val="both"/>
              <w:rPr>
                <w:rFonts w:eastAsia="Calibri"/>
                <w:b/>
                <w:u w:val="single"/>
                <w:lang w:eastAsia="en-US"/>
              </w:rPr>
            </w:pPr>
            <w:r w:rsidRPr="00937060">
              <w:t xml:space="preserve">Precizēt 1. sadaļas “Plānošanas dokumenti un to koordinācija” pēdējo rindkopu, kurā FM noteikta kā visu Eiropas Savienības (turpmāk – ES) Kohēzijas politikas fondu vadošā iestāde, kas sagatavo multifondu programmu, iekļaujot Eiropas Reģionālās attīstības fonda, Eiropas </w:t>
            </w:r>
            <w:r w:rsidRPr="00937060">
              <w:lastRenderedPageBreak/>
              <w:t>Sociālā fonda plus (turpmāk – ESF+) un Kohēzijas fonda investīcijas. Atbilstoši Kopīgo noteikumu regulas priekšlikuma</w:t>
            </w:r>
            <w:r w:rsidRPr="00937060">
              <w:rPr>
                <w:vertAlign w:val="superscript"/>
              </w:rPr>
              <w:footnoteReference w:id="2"/>
            </w:r>
            <w:r w:rsidRPr="00937060">
              <w:t xml:space="preserve"> 65.pantam, dalībvalstij ir jānosaka vadošā iestāde un revīzijas iestāde katrai programmai vai vairākām programmām. Ņemot vērā minēto, lūdzam papildināt ar informāciju par attiecīgām programmām un to vadošajām iestādēm, tajā skaitā par programmu materiālās nenodrošinātības mazināšanai (turpmāk – Programma) (ESF+ regulas priekšlikuma</w:t>
            </w:r>
            <w:r w:rsidRPr="00937060">
              <w:rPr>
                <w:vertAlign w:val="superscript"/>
              </w:rPr>
              <w:footnoteReference w:id="3"/>
            </w:r>
            <w:r w:rsidRPr="00937060">
              <w:t xml:space="preserve"> 9.pants), un LM kā tās vadošo iestādi.</w:t>
            </w:r>
          </w:p>
        </w:tc>
        <w:tc>
          <w:tcPr>
            <w:tcW w:w="1191" w:type="pct"/>
            <w:tcBorders>
              <w:top w:val="single" w:sz="6" w:space="0" w:color="000000"/>
              <w:left w:val="single" w:sz="6" w:space="0" w:color="000000"/>
              <w:bottom w:val="single" w:sz="6" w:space="0" w:color="000000"/>
              <w:right w:val="single" w:sz="4" w:space="0" w:color="auto"/>
            </w:tcBorders>
          </w:tcPr>
          <w:p w14:paraId="6CCFED1B" w14:textId="555423A0" w:rsidR="00C001D0" w:rsidRPr="004744B8" w:rsidRDefault="00D20FA0" w:rsidP="00C20D1A">
            <w:pPr>
              <w:pStyle w:val="NormalWeb"/>
              <w:spacing w:before="0" w:beforeAutospacing="0" w:after="120" w:afterAutospacing="0"/>
              <w:jc w:val="center"/>
              <w:rPr>
                <w:b/>
              </w:rPr>
            </w:pPr>
            <w:r w:rsidRPr="004744B8">
              <w:rPr>
                <w:b/>
              </w:rPr>
              <w:lastRenderedPageBreak/>
              <w:t>Ņemts vērā.</w:t>
            </w:r>
          </w:p>
        </w:tc>
        <w:tc>
          <w:tcPr>
            <w:tcW w:w="970" w:type="pct"/>
            <w:tcBorders>
              <w:left w:val="single" w:sz="4" w:space="0" w:color="auto"/>
              <w:bottom w:val="single" w:sz="4" w:space="0" w:color="auto"/>
            </w:tcBorders>
          </w:tcPr>
          <w:p w14:paraId="7FC81ECA" w14:textId="02CB0762" w:rsidR="00C001D0" w:rsidRPr="00937060" w:rsidRDefault="00C001D0" w:rsidP="00C001D0">
            <w:pPr>
              <w:pStyle w:val="Title"/>
              <w:ind w:hanging="33"/>
              <w:jc w:val="both"/>
              <w:outlineLvl w:val="0"/>
              <w:rPr>
                <w:sz w:val="24"/>
                <w:szCs w:val="24"/>
              </w:rPr>
            </w:pPr>
            <w:r w:rsidRPr="00937060">
              <w:rPr>
                <w:sz w:val="24"/>
                <w:szCs w:val="24"/>
              </w:rPr>
              <w:t>Lūdzu skatīt precizēto informatīvo ziņojumu</w:t>
            </w:r>
          </w:p>
        </w:tc>
      </w:tr>
      <w:tr w:rsidR="00937060" w:rsidRPr="00937060" w14:paraId="6A35CC82" w14:textId="77777777" w:rsidTr="00C066E7">
        <w:trPr>
          <w:trHeight w:val="404"/>
        </w:trPr>
        <w:tc>
          <w:tcPr>
            <w:tcW w:w="283" w:type="pct"/>
            <w:tcBorders>
              <w:top w:val="single" w:sz="6" w:space="0" w:color="000000"/>
              <w:left w:val="single" w:sz="6" w:space="0" w:color="000000"/>
              <w:bottom w:val="single" w:sz="6" w:space="0" w:color="000000"/>
              <w:right w:val="single" w:sz="4" w:space="0" w:color="auto"/>
            </w:tcBorders>
            <w:shd w:val="clear" w:color="auto" w:fill="auto"/>
          </w:tcPr>
          <w:p w14:paraId="5C880F6B" w14:textId="77777777" w:rsidR="00C001D0" w:rsidRPr="00937060" w:rsidRDefault="00C001D0" w:rsidP="00B60E7A">
            <w:pPr>
              <w:pStyle w:val="naisc"/>
              <w:numPr>
                <w:ilvl w:val="0"/>
                <w:numId w:val="36"/>
              </w:numPr>
              <w:spacing w:before="0" w:after="0"/>
            </w:pPr>
          </w:p>
        </w:tc>
        <w:tc>
          <w:tcPr>
            <w:tcW w:w="1166" w:type="pct"/>
            <w:tcBorders>
              <w:left w:val="single" w:sz="4" w:space="0" w:color="auto"/>
              <w:bottom w:val="single" w:sz="4" w:space="0" w:color="auto"/>
              <w:right w:val="single" w:sz="4" w:space="0" w:color="auto"/>
            </w:tcBorders>
          </w:tcPr>
          <w:p w14:paraId="6AC465D1" w14:textId="41E6E323" w:rsidR="00C001D0" w:rsidRPr="00937060" w:rsidRDefault="00C001D0" w:rsidP="00C001D0">
            <w:pPr>
              <w:pStyle w:val="Title"/>
              <w:ind w:hanging="33"/>
              <w:jc w:val="both"/>
              <w:outlineLvl w:val="0"/>
              <w:rPr>
                <w:sz w:val="24"/>
                <w:szCs w:val="24"/>
              </w:rPr>
            </w:pPr>
            <w:r w:rsidRPr="00937060">
              <w:rPr>
                <w:sz w:val="24"/>
                <w:szCs w:val="24"/>
              </w:rPr>
              <w:t>1.sadaļa “Plānošanas dokumenti un to koordinācija”, vispārīgs komentārs</w:t>
            </w:r>
          </w:p>
        </w:tc>
        <w:tc>
          <w:tcPr>
            <w:tcW w:w="1390" w:type="pct"/>
            <w:tcBorders>
              <w:top w:val="single" w:sz="6" w:space="0" w:color="000000"/>
              <w:left w:val="single" w:sz="4" w:space="0" w:color="auto"/>
              <w:bottom w:val="single" w:sz="6" w:space="0" w:color="000000"/>
              <w:right w:val="single" w:sz="6" w:space="0" w:color="000000"/>
            </w:tcBorders>
          </w:tcPr>
          <w:p w14:paraId="51A499D2" w14:textId="77777777" w:rsidR="00C001D0" w:rsidRPr="00937060" w:rsidRDefault="00C001D0" w:rsidP="00C001D0">
            <w:pPr>
              <w:pStyle w:val="NoSpacing"/>
              <w:rPr>
                <w:b/>
                <w:u w:val="single"/>
              </w:rPr>
            </w:pPr>
            <w:r w:rsidRPr="00937060">
              <w:rPr>
                <w:b/>
                <w:u w:val="single"/>
              </w:rPr>
              <w:t>Vides aizsardzības un reģionālās attīstības ministrija:</w:t>
            </w:r>
          </w:p>
          <w:p w14:paraId="0B82FCFD" w14:textId="32ADF18B" w:rsidR="00C001D0" w:rsidRPr="00937060" w:rsidRDefault="00C001D0" w:rsidP="00C001D0">
            <w:pPr>
              <w:widowControl w:val="0"/>
              <w:jc w:val="both"/>
              <w:rPr>
                <w:rFonts w:eastAsia="Calibri"/>
                <w:b/>
                <w:u w:val="single"/>
                <w:lang w:eastAsia="en-US"/>
              </w:rPr>
            </w:pPr>
            <w:r w:rsidRPr="00937060">
              <w:t>Aicinām papildināt informatīvā ziņojuma 1.sadaļu par nepieciešamību nodrošināt ieguldījumu koordināciju un atbilstību teritoriju attīstības vajadzībām un iespējām, ņemot vērā, ka viens no ES definētajiem mērķiem ir teritoriālā kohēzija.</w:t>
            </w:r>
          </w:p>
        </w:tc>
        <w:tc>
          <w:tcPr>
            <w:tcW w:w="1191" w:type="pct"/>
            <w:tcBorders>
              <w:top w:val="single" w:sz="6" w:space="0" w:color="000000"/>
              <w:left w:val="single" w:sz="6" w:space="0" w:color="000000"/>
              <w:bottom w:val="single" w:sz="6" w:space="0" w:color="000000"/>
              <w:right w:val="single" w:sz="4" w:space="0" w:color="auto"/>
            </w:tcBorders>
          </w:tcPr>
          <w:p w14:paraId="3B302557" w14:textId="28D54AC7" w:rsidR="00C001D0" w:rsidRPr="004744B8" w:rsidRDefault="00017ECD" w:rsidP="00C20D1A">
            <w:pPr>
              <w:pStyle w:val="NormalWeb"/>
              <w:spacing w:before="0" w:beforeAutospacing="0" w:after="120" w:afterAutospacing="0"/>
              <w:jc w:val="center"/>
              <w:rPr>
                <w:b/>
              </w:rPr>
            </w:pPr>
            <w:r w:rsidRPr="004744B8">
              <w:rPr>
                <w:b/>
              </w:rPr>
              <w:t>Ņemts vērā.</w:t>
            </w:r>
          </w:p>
        </w:tc>
        <w:tc>
          <w:tcPr>
            <w:tcW w:w="970" w:type="pct"/>
            <w:tcBorders>
              <w:left w:val="single" w:sz="4" w:space="0" w:color="auto"/>
              <w:bottom w:val="single" w:sz="4" w:space="0" w:color="auto"/>
            </w:tcBorders>
          </w:tcPr>
          <w:p w14:paraId="4115539F" w14:textId="182F4690" w:rsidR="00C001D0" w:rsidRPr="00937060" w:rsidRDefault="001A0C4B" w:rsidP="00C001D0">
            <w:pPr>
              <w:pStyle w:val="Title"/>
              <w:ind w:hanging="33"/>
              <w:jc w:val="both"/>
              <w:outlineLvl w:val="0"/>
              <w:rPr>
                <w:sz w:val="24"/>
                <w:szCs w:val="24"/>
              </w:rPr>
            </w:pPr>
            <w:r w:rsidRPr="00937060">
              <w:rPr>
                <w:sz w:val="24"/>
                <w:szCs w:val="24"/>
              </w:rPr>
              <w:t>Lūdzu skatīt precizēto informatīvo ziņojumu</w:t>
            </w:r>
          </w:p>
        </w:tc>
      </w:tr>
      <w:tr w:rsidR="00937060" w:rsidRPr="00937060" w14:paraId="74F0EAB9" w14:textId="77777777" w:rsidTr="00C066E7">
        <w:trPr>
          <w:trHeight w:val="404"/>
        </w:trPr>
        <w:tc>
          <w:tcPr>
            <w:tcW w:w="283" w:type="pct"/>
            <w:tcBorders>
              <w:top w:val="single" w:sz="6" w:space="0" w:color="000000"/>
              <w:left w:val="single" w:sz="6" w:space="0" w:color="000000"/>
              <w:bottom w:val="single" w:sz="6" w:space="0" w:color="000000"/>
              <w:right w:val="single" w:sz="4" w:space="0" w:color="auto"/>
            </w:tcBorders>
            <w:shd w:val="clear" w:color="auto" w:fill="auto"/>
          </w:tcPr>
          <w:p w14:paraId="57867690" w14:textId="77777777" w:rsidR="0099691E" w:rsidRPr="00937060" w:rsidRDefault="0099691E" w:rsidP="00B60E7A">
            <w:pPr>
              <w:pStyle w:val="naisc"/>
              <w:numPr>
                <w:ilvl w:val="0"/>
                <w:numId w:val="36"/>
              </w:numPr>
              <w:spacing w:before="0" w:after="0"/>
            </w:pPr>
          </w:p>
        </w:tc>
        <w:tc>
          <w:tcPr>
            <w:tcW w:w="1166" w:type="pct"/>
            <w:tcBorders>
              <w:left w:val="single" w:sz="4" w:space="0" w:color="auto"/>
              <w:bottom w:val="single" w:sz="4" w:space="0" w:color="auto"/>
              <w:right w:val="single" w:sz="4" w:space="0" w:color="auto"/>
            </w:tcBorders>
          </w:tcPr>
          <w:p w14:paraId="5C7F500C" w14:textId="7237DD40" w:rsidR="0099691E" w:rsidRPr="00937060" w:rsidRDefault="004C50AC" w:rsidP="000402EE">
            <w:pPr>
              <w:pStyle w:val="Title"/>
              <w:ind w:hanging="33"/>
              <w:jc w:val="both"/>
              <w:outlineLvl w:val="0"/>
              <w:rPr>
                <w:sz w:val="24"/>
                <w:szCs w:val="24"/>
              </w:rPr>
            </w:pPr>
            <w:r w:rsidRPr="00937060">
              <w:rPr>
                <w:sz w:val="24"/>
                <w:szCs w:val="24"/>
              </w:rPr>
              <w:t>2.sadaļa</w:t>
            </w:r>
            <w:r w:rsidR="00716273" w:rsidRPr="00937060">
              <w:rPr>
                <w:sz w:val="24"/>
                <w:szCs w:val="24"/>
              </w:rPr>
              <w:t xml:space="preserve"> “Ieguldījumu priekšnosacījumi”, 1.rindkopa</w:t>
            </w:r>
          </w:p>
        </w:tc>
        <w:tc>
          <w:tcPr>
            <w:tcW w:w="1390" w:type="pct"/>
            <w:tcBorders>
              <w:top w:val="single" w:sz="6" w:space="0" w:color="000000"/>
              <w:left w:val="single" w:sz="4" w:space="0" w:color="auto"/>
              <w:bottom w:val="single" w:sz="6" w:space="0" w:color="000000"/>
              <w:right w:val="single" w:sz="6" w:space="0" w:color="000000"/>
            </w:tcBorders>
          </w:tcPr>
          <w:p w14:paraId="048F0E10" w14:textId="7D9754E5" w:rsidR="0099691E" w:rsidRPr="00937060" w:rsidRDefault="0099691E" w:rsidP="0099691E">
            <w:pPr>
              <w:widowControl w:val="0"/>
              <w:jc w:val="both"/>
              <w:rPr>
                <w:rFonts w:eastAsia="Calibri"/>
                <w:b/>
                <w:u w:val="single"/>
              </w:rPr>
            </w:pPr>
            <w:r w:rsidRPr="00937060">
              <w:rPr>
                <w:rFonts w:eastAsia="Calibri"/>
                <w:b/>
                <w:u w:val="single"/>
              </w:rPr>
              <w:t>Vides aizsardzības un reģionālās attīstības ministrija:</w:t>
            </w:r>
          </w:p>
          <w:p w14:paraId="1B2EBF1E" w14:textId="12DE0B0F" w:rsidR="0099691E" w:rsidRPr="00937060" w:rsidRDefault="0099691E" w:rsidP="0099691E">
            <w:pPr>
              <w:widowControl w:val="0"/>
              <w:jc w:val="both"/>
              <w:rPr>
                <w:rFonts w:eastAsia="Calibri"/>
              </w:rPr>
            </w:pPr>
            <w:r w:rsidRPr="00937060">
              <w:rPr>
                <w:rFonts w:eastAsia="Calibri"/>
              </w:rPr>
              <w:t xml:space="preserve">Aicinām informatīvā ziņojuma 4.lpp. “Ieguldījumu priekšnosacījumi” 1.rindkopā svītrot vārdus “lai uzsāktu”, </w:t>
            </w:r>
            <w:r w:rsidRPr="00937060">
              <w:rPr>
                <w:rFonts w:eastAsia="Calibri"/>
              </w:rPr>
              <w:lastRenderedPageBreak/>
              <w:t>ņemot vērā to, ka Kopējās fondu regulas projekts neaizliedz investīciju uzsākšanu, bet nosaka ierobežojumus attiecībā uz izdevumu deklarēšanu, proti, paredzot, ka izdevumus  par darbībām, kas saistītas ar specifisko atbalsta mērķi, nevar iekļaut maksājuma pieteikumos, kamēr Eiropas Komisija nav informējusi dalībvalsti par ieguldījumu priekšnosacījumu izpildi;</w:t>
            </w:r>
          </w:p>
        </w:tc>
        <w:tc>
          <w:tcPr>
            <w:tcW w:w="1191" w:type="pct"/>
            <w:tcBorders>
              <w:top w:val="single" w:sz="6" w:space="0" w:color="000000"/>
              <w:left w:val="single" w:sz="6" w:space="0" w:color="000000"/>
              <w:bottom w:val="single" w:sz="6" w:space="0" w:color="000000"/>
              <w:right w:val="single" w:sz="4" w:space="0" w:color="auto"/>
            </w:tcBorders>
          </w:tcPr>
          <w:p w14:paraId="6B66A4CF" w14:textId="2223869C" w:rsidR="0099691E" w:rsidRPr="004744B8" w:rsidRDefault="00017ECD" w:rsidP="00C20D1A">
            <w:pPr>
              <w:pStyle w:val="NormalWeb"/>
              <w:spacing w:before="0" w:beforeAutospacing="0" w:after="120" w:afterAutospacing="0"/>
              <w:jc w:val="center"/>
              <w:rPr>
                <w:b/>
              </w:rPr>
            </w:pPr>
            <w:r w:rsidRPr="004744B8">
              <w:rPr>
                <w:b/>
              </w:rPr>
              <w:lastRenderedPageBreak/>
              <w:t>Ņemts vērā.</w:t>
            </w:r>
          </w:p>
        </w:tc>
        <w:tc>
          <w:tcPr>
            <w:tcW w:w="970" w:type="pct"/>
            <w:tcBorders>
              <w:left w:val="single" w:sz="4" w:space="0" w:color="auto"/>
              <w:bottom w:val="single" w:sz="4" w:space="0" w:color="auto"/>
            </w:tcBorders>
          </w:tcPr>
          <w:p w14:paraId="5BCD7AE8" w14:textId="4B0937F4" w:rsidR="0099691E" w:rsidRPr="00937060" w:rsidRDefault="001A0C4B" w:rsidP="000402EE">
            <w:pPr>
              <w:pStyle w:val="Title"/>
              <w:ind w:hanging="33"/>
              <w:jc w:val="both"/>
              <w:outlineLvl w:val="0"/>
              <w:rPr>
                <w:sz w:val="24"/>
                <w:szCs w:val="24"/>
              </w:rPr>
            </w:pPr>
            <w:r w:rsidRPr="00937060">
              <w:rPr>
                <w:sz w:val="24"/>
                <w:szCs w:val="24"/>
              </w:rPr>
              <w:t>Lūdzu skatīt precizēto informatīvo ziņojumu</w:t>
            </w:r>
          </w:p>
        </w:tc>
      </w:tr>
      <w:tr w:rsidR="00937060" w:rsidRPr="00937060" w14:paraId="1D586F35" w14:textId="77777777" w:rsidTr="00C066E7">
        <w:trPr>
          <w:trHeight w:val="404"/>
        </w:trPr>
        <w:tc>
          <w:tcPr>
            <w:tcW w:w="283" w:type="pct"/>
            <w:tcBorders>
              <w:top w:val="single" w:sz="6" w:space="0" w:color="000000"/>
              <w:left w:val="single" w:sz="6" w:space="0" w:color="000000"/>
              <w:bottom w:val="single" w:sz="6" w:space="0" w:color="000000"/>
              <w:right w:val="single" w:sz="4" w:space="0" w:color="auto"/>
            </w:tcBorders>
            <w:shd w:val="clear" w:color="auto" w:fill="auto"/>
          </w:tcPr>
          <w:p w14:paraId="46FAE926" w14:textId="77777777" w:rsidR="00716273" w:rsidRPr="00937060" w:rsidRDefault="00716273" w:rsidP="00B60E7A">
            <w:pPr>
              <w:pStyle w:val="naisc"/>
              <w:numPr>
                <w:ilvl w:val="0"/>
                <w:numId w:val="36"/>
              </w:numPr>
              <w:spacing w:before="0" w:after="0"/>
            </w:pPr>
          </w:p>
        </w:tc>
        <w:tc>
          <w:tcPr>
            <w:tcW w:w="1166" w:type="pct"/>
            <w:tcBorders>
              <w:left w:val="single" w:sz="4" w:space="0" w:color="auto"/>
              <w:bottom w:val="single" w:sz="4" w:space="0" w:color="auto"/>
              <w:right w:val="single" w:sz="4" w:space="0" w:color="auto"/>
            </w:tcBorders>
          </w:tcPr>
          <w:p w14:paraId="22CF319F" w14:textId="1E409198" w:rsidR="00716273" w:rsidRPr="00937060" w:rsidRDefault="00841A03" w:rsidP="000402EE">
            <w:pPr>
              <w:pStyle w:val="Title"/>
              <w:ind w:hanging="33"/>
              <w:jc w:val="both"/>
              <w:outlineLvl w:val="0"/>
              <w:rPr>
                <w:sz w:val="24"/>
                <w:szCs w:val="24"/>
              </w:rPr>
            </w:pPr>
            <w:r w:rsidRPr="00937060">
              <w:rPr>
                <w:sz w:val="24"/>
                <w:szCs w:val="24"/>
              </w:rPr>
              <w:t>2.sadaļa “Ieguldījumu priekšnosacījumi”, 3.rindkopa</w:t>
            </w:r>
          </w:p>
        </w:tc>
        <w:tc>
          <w:tcPr>
            <w:tcW w:w="1390" w:type="pct"/>
            <w:tcBorders>
              <w:top w:val="single" w:sz="6" w:space="0" w:color="000000"/>
              <w:left w:val="single" w:sz="4" w:space="0" w:color="auto"/>
              <w:bottom w:val="single" w:sz="6" w:space="0" w:color="000000"/>
              <w:right w:val="single" w:sz="6" w:space="0" w:color="000000"/>
            </w:tcBorders>
          </w:tcPr>
          <w:p w14:paraId="3CC4800E" w14:textId="49BA8251" w:rsidR="00841A03" w:rsidRPr="00937060" w:rsidRDefault="00841A03" w:rsidP="00841A03">
            <w:pPr>
              <w:widowControl w:val="0"/>
              <w:jc w:val="both"/>
              <w:rPr>
                <w:rFonts w:eastAsia="Calibri"/>
                <w:b/>
                <w:u w:val="single"/>
                <w:lang w:eastAsia="en-US"/>
              </w:rPr>
            </w:pPr>
            <w:r w:rsidRPr="00937060">
              <w:rPr>
                <w:rFonts w:eastAsia="Calibri"/>
                <w:b/>
                <w:u w:val="single"/>
                <w:lang w:eastAsia="en-US"/>
              </w:rPr>
              <w:t>Valsts kanceleja:</w:t>
            </w:r>
          </w:p>
          <w:p w14:paraId="01AF59F0" w14:textId="7899BBBF" w:rsidR="00716273" w:rsidRPr="00937060" w:rsidRDefault="00841A03" w:rsidP="00841A03">
            <w:pPr>
              <w:widowControl w:val="0"/>
              <w:jc w:val="both"/>
              <w:rPr>
                <w:rFonts w:eastAsia="Calibri"/>
                <w:lang w:eastAsia="en-US"/>
              </w:rPr>
            </w:pPr>
            <w:r w:rsidRPr="00937060">
              <w:rPr>
                <w:rFonts w:eastAsia="Calibri"/>
                <w:lang w:eastAsia="en-US"/>
              </w:rPr>
              <w:t>Informatīvā ziņojuma 2.sadaļas trešā rindkopa ir saistīta ar šī ziņojuma 1.pielikumu, tātad atbildīgo institūciju sarakstiem ir jābūt identiskiem, taču politikas mērķa “Zaļāka Eiropa” ietvaros par priekšnosacījumiem atbildīga ir arī Zemkopības ministrijas (turpmāk – ZM), bet 1.pielikumā pie 2.politiskā mērķa ZM nav norādīta, līdzīgi kā politikas mērķa “Sociālāka Eiropa” ietvaros par priekšnosacījumiem ir atbildīgs PKC, bet 1.pielikumā “4. Sociālāka Eiropa, īstenojot Eiropas sociālo tiesību pīlāru” PKC nav norādīts.</w:t>
            </w:r>
          </w:p>
        </w:tc>
        <w:tc>
          <w:tcPr>
            <w:tcW w:w="1191" w:type="pct"/>
            <w:tcBorders>
              <w:top w:val="single" w:sz="6" w:space="0" w:color="000000"/>
              <w:left w:val="single" w:sz="6" w:space="0" w:color="000000"/>
              <w:bottom w:val="single" w:sz="6" w:space="0" w:color="000000"/>
              <w:right w:val="single" w:sz="4" w:space="0" w:color="auto"/>
            </w:tcBorders>
          </w:tcPr>
          <w:p w14:paraId="3F19F001" w14:textId="48B7891F" w:rsidR="00716273" w:rsidRPr="004744B8" w:rsidRDefault="00706803" w:rsidP="00C20D1A">
            <w:pPr>
              <w:pStyle w:val="NormalWeb"/>
              <w:spacing w:before="0" w:beforeAutospacing="0" w:after="120" w:afterAutospacing="0"/>
              <w:jc w:val="center"/>
              <w:rPr>
                <w:b/>
              </w:rPr>
            </w:pPr>
            <w:r w:rsidRPr="004744B8">
              <w:rPr>
                <w:b/>
              </w:rPr>
              <w:t>Ņemts vērā.</w:t>
            </w:r>
          </w:p>
        </w:tc>
        <w:tc>
          <w:tcPr>
            <w:tcW w:w="970" w:type="pct"/>
            <w:tcBorders>
              <w:left w:val="single" w:sz="4" w:space="0" w:color="auto"/>
              <w:bottom w:val="single" w:sz="4" w:space="0" w:color="auto"/>
            </w:tcBorders>
          </w:tcPr>
          <w:p w14:paraId="61192976" w14:textId="0E920F7E" w:rsidR="00716273" w:rsidRPr="00937060" w:rsidRDefault="00C12404" w:rsidP="000402EE">
            <w:pPr>
              <w:pStyle w:val="Title"/>
              <w:ind w:hanging="33"/>
              <w:jc w:val="both"/>
              <w:outlineLvl w:val="0"/>
              <w:rPr>
                <w:sz w:val="24"/>
                <w:szCs w:val="24"/>
              </w:rPr>
            </w:pPr>
            <w:r w:rsidRPr="00937060">
              <w:rPr>
                <w:sz w:val="24"/>
                <w:szCs w:val="24"/>
              </w:rPr>
              <w:t>Lūdzu skatīt precizēto informatīvo ziņojumu</w:t>
            </w:r>
            <w:r w:rsidR="00706803">
              <w:rPr>
                <w:sz w:val="24"/>
                <w:szCs w:val="24"/>
              </w:rPr>
              <w:t>.</w:t>
            </w:r>
          </w:p>
        </w:tc>
      </w:tr>
      <w:tr w:rsidR="00937060" w:rsidRPr="00937060" w14:paraId="7C612EB0" w14:textId="77777777" w:rsidTr="00C066E7">
        <w:trPr>
          <w:trHeight w:val="404"/>
        </w:trPr>
        <w:tc>
          <w:tcPr>
            <w:tcW w:w="283" w:type="pct"/>
            <w:tcBorders>
              <w:top w:val="single" w:sz="6" w:space="0" w:color="000000"/>
              <w:left w:val="single" w:sz="6" w:space="0" w:color="000000"/>
              <w:bottom w:val="single" w:sz="6" w:space="0" w:color="000000"/>
              <w:right w:val="single" w:sz="4" w:space="0" w:color="auto"/>
            </w:tcBorders>
            <w:shd w:val="clear" w:color="auto" w:fill="auto"/>
          </w:tcPr>
          <w:p w14:paraId="1B944C69" w14:textId="77777777" w:rsidR="009702AA" w:rsidRPr="00937060" w:rsidRDefault="009702AA" w:rsidP="00B60E7A">
            <w:pPr>
              <w:pStyle w:val="naisc"/>
              <w:numPr>
                <w:ilvl w:val="0"/>
                <w:numId w:val="36"/>
              </w:numPr>
              <w:spacing w:before="0" w:after="0"/>
            </w:pPr>
          </w:p>
        </w:tc>
        <w:tc>
          <w:tcPr>
            <w:tcW w:w="1166" w:type="pct"/>
            <w:tcBorders>
              <w:left w:val="single" w:sz="4" w:space="0" w:color="auto"/>
              <w:bottom w:val="single" w:sz="4" w:space="0" w:color="auto"/>
              <w:right w:val="single" w:sz="4" w:space="0" w:color="auto"/>
            </w:tcBorders>
          </w:tcPr>
          <w:p w14:paraId="234415D0" w14:textId="41227B21" w:rsidR="009702AA" w:rsidRPr="00937060" w:rsidRDefault="009702AA" w:rsidP="000402EE">
            <w:pPr>
              <w:pStyle w:val="Title"/>
              <w:ind w:hanging="33"/>
              <w:jc w:val="both"/>
              <w:outlineLvl w:val="0"/>
              <w:rPr>
                <w:sz w:val="24"/>
                <w:szCs w:val="24"/>
              </w:rPr>
            </w:pPr>
            <w:r w:rsidRPr="00937060">
              <w:rPr>
                <w:sz w:val="24"/>
                <w:szCs w:val="24"/>
              </w:rPr>
              <w:t>2.sadaļa “Ieguldījumu priekšnosacījumi”, 3.rindkopa</w:t>
            </w:r>
          </w:p>
        </w:tc>
        <w:tc>
          <w:tcPr>
            <w:tcW w:w="1390" w:type="pct"/>
            <w:tcBorders>
              <w:top w:val="single" w:sz="6" w:space="0" w:color="000000"/>
              <w:left w:val="single" w:sz="4" w:space="0" w:color="auto"/>
              <w:bottom w:val="single" w:sz="6" w:space="0" w:color="000000"/>
              <w:right w:val="single" w:sz="6" w:space="0" w:color="000000"/>
            </w:tcBorders>
          </w:tcPr>
          <w:p w14:paraId="0C4C6A59" w14:textId="6C2A227A" w:rsidR="009702AA" w:rsidRPr="00937060" w:rsidRDefault="009702AA" w:rsidP="009702AA">
            <w:pPr>
              <w:widowControl w:val="0"/>
              <w:jc w:val="both"/>
              <w:rPr>
                <w:rFonts w:eastAsia="Calibri"/>
                <w:b/>
                <w:u w:val="single"/>
                <w:lang w:eastAsia="en-US"/>
              </w:rPr>
            </w:pPr>
            <w:r w:rsidRPr="00937060">
              <w:rPr>
                <w:rFonts w:eastAsia="Calibri"/>
                <w:b/>
                <w:u w:val="single"/>
                <w:lang w:eastAsia="en-US"/>
              </w:rPr>
              <w:t>Valsts kanceleja:</w:t>
            </w:r>
          </w:p>
          <w:p w14:paraId="060592D9" w14:textId="671EBE76" w:rsidR="009702AA" w:rsidRPr="00937060" w:rsidRDefault="009702AA" w:rsidP="009702AA">
            <w:pPr>
              <w:jc w:val="both"/>
            </w:pPr>
            <w:r w:rsidRPr="00937060">
              <w:t xml:space="preserve">Lūdzam papildināt informatīvā ziņojuma 2.sadaļas trešās rindkopas politikas mērķa “Viedāka Eiropa” un politikas mērķa “Sociālāka Eiropa” aprakstu, kā arī attiecīgi 1.pielikuma tabulas “Tematiskie ieguldījumu </w:t>
            </w:r>
            <w:r w:rsidRPr="00937060">
              <w:lastRenderedPageBreak/>
              <w:t xml:space="preserve">priekšnosacījumi, ko piemēro ERAF, ESF+ un Kohēzijas fondam” 1. un 12.punktu ar Vides aizsardzības un reģionālās attīstības ministrijas (turpmāk – VARAM) un Valsts kancelejas līdzatbildību kolonnā “Atbildīgā iestāde” ieguldījumu priekšnosacījumu izpildē. Gan VARAM, gan Valsts kanceleja jau 2014.-2020.gada plānošanas periodā līdzdarbojas Viedās specializācijas stratēģijas īstenošanā un izpratnes veidošanā par šīs stratēģijas mērķiem un būtību, digitālās transformācijas un publisko pakalpojumu pilnveides, kā arī pieaugušo mūžizglītības, apmācību, kvalifikācijas paaugstināšanas un pārkvalifikācijas jomās. Nākotnes tautsaimniecības transformācija un industriālās politikas attīstība nav realizējama bez paradigmu maiņas un turpmākas digitalizācijas, digitālo prasmju un sistemātiskas nākotnes kompetenču pilnveides, pakalpojumu attīstības un inovāciju kultūras iedzīvināšanas valsts un privātajos sektoros. Rezultātā ir panākta vienošanās starp Izglītības un zinātnes ministriju, VARAM un Valsts kanceleju par turpmāku kopdarbu Viedās specializācijas stratēģijas (RIS3) un Izglītības attīstības pamatnostādņu izstrādē, kas sekmētu iepriekšminēto plānošanas dokumentu </w:t>
            </w:r>
            <w:r w:rsidRPr="00937060">
              <w:lastRenderedPageBreak/>
              <w:t>efektīvu realizāciju 2021.-2027. gada plānošanas periodā.</w:t>
            </w:r>
          </w:p>
        </w:tc>
        <w:tc>
          <w:tcPr>
            <w:tcW w:w="1191" w:type="pct"/>
            <w:tcBorders>
              <w:top w:val="single" w:sz="6" w:space="0" w:color="000000"/>
              <w:left w:val="single" w:sz="6" w:space="0" w:color="000000"/>
              <w:bottom w:val="single" w:sz="6" w:space="0" w:color="000000"/>
              <w:right w:val="single" w:sz="4" w:space="0" w:color="auto"/>
            </w:tcBorders>
          </w:tcPr>
          <w:p w14:paraId="43BC037F" w14:textId="77777777" w:rsidR="009702AA" w:rsidRPr="004744B8" w:rsidRDefault="00706803" w:rsidP="00C20D1A">
            <w:pPr>
              <w:pStyle w:val="NormalWeb"/>
              <w:spacing w:before="0" w:beforeAutospacing="0" w:after="120" w:afterAutospacing="0"/>
              <w:jc w:val="center"/>
              <w:rPr>
                <w:b/>
              </w:rPr>
            </w:pPr>
            <w:r w:rsidRPr="004744B8">
              <w:rPr>
                <w:b/>
              </w:rPr>
              <w:lastRenderedPageBreak/>
              <w:t>Ņemts vērā.</w:t>
            </w:r>
          </w:p>
          <w:p w14:paraId="1EDF50D9" w14:textId="6F16B815" w:rsidR="00706803" w:rsidRPr="00937060" w:rsidRDefault="00706803" w:rsidP="00E224C8">
            <w:pPr>
              <w:pStyle w:val="NormalWeb"/>
              <w:spacing w:before="0" w:beforeAutospacing="0" w:after="120" w:afterAutospacing="0"/>
              <w:jc w:val="both"/>
            </w:pPr>
            <w:r>
              <w:t xml:space="preserve">Skaidrojam, ka informatīvajā ziņojumā un 1.pielikumā ir iekļautas atbildīgās institūcijas, kas ir tieši atbildīgas par plānošanas dokumentu vai normatīvā regulējuma izstrādi, </w:t>
            </w:r>
            <w:r>
              <w:lastRenderedPageBreak/>
              <w:t>lai nodrošinātu priekšnosacījumu izpildi. Attiecīg</w:t>
            </w:r>
            <w:r w:rsidR="00E224C8">
              <w:t>i līdzatbildīgās ministrijas tie</w:t>
            </w:r>
            <w:r>
              <w:t>k aicinātas aktīvi iesaistīties</w:t>
            </w:r>
            <w:r w:rsidR="00E224C8">
              <w:t xml:space="preserve"> dokumentu skaņošanas procesā. Papildus tam vadošā iestāde gatavos detalizētāku priekšnosacījumu izpildes tabulu, norādot jau konkrētus plānošanas dokumentus, kā arī atbildīgās un līdzatbildīgās institūcijas informācijas iekļaušanai Darbības programmā. </w:t>
            </w:r>
          </w:p>
        </w:tc>
        <w:tc>
          <w:tcPr>
            <w:tcW w:w="970" w:type="pct"/>
            <w:tcBorders>
              <w:left w:val="single" w:sz="4" w:space="0" w:color="auto"/>
              <w:bottom w:val="single" w:sz="4" w:space="0" w:color="auto"/>
            </w:tcBorders>
          </w:tcPr>
          <w:p w14:paraId="782D4947" w14:textId="5657C773" w:rsidR="009702AA" w:rsidRPr="00937060" w:rsidRDefault="00706803" w:rsidP="000402EE">
            <w:pPr>
              <w:pStyle w:val="Title"/>
              <w:ind w:hanging="33"/>
              <w:jc w:val="both"/>
              <w:outlineLvl w:val="0"/>
              <w:rPr>
                <w:sz w:val="24"/>
                <w:szCs w:val="24"/>
              </w:rPr>
            </w:pPr>
            <w:r w:rsidRPr="00937060">
              <w:rPr>
                <w:sz w:val="24"/>
                <w:szCs w:val="24"/>
              </w:rPr>
              <w:lastRenderedPageBreak/>
              <w:t>Lūdzu skatīt precizēto informatīvo ziņojumu</w:t>
            </w:r>
            <w:r>
              <w:rPr>
                <w:sz w:val="24"/>
                <w:szCs w:val="24"/>
              </w:rPr>
              <w:t xml:space="preserve"> un 1.pielikumu.</w:t>
            </w:r>
          </w:p>
        </w:tc>
      </w:tr>
      <w:tr w:rsidR="00937060" w:rsidRPr="00937060" w14:paraId="1403BFB0" w14:textId="77777777" w:rsidTr="00C066E7">
        <w:trPr>
          <w:trHeight w:val="404"/>
        </w:trPr>
        <w:tc>
          <w:tcPr>
            <w:tcW w:w="283" w:type="pct"/>
            <w:tcBorders>
              <w:top w:val="single" w:sz="6" w:space="0" w:color="000000"/>
              <w:left w:val="single" w:sz="6" w:space="0" w:color="000000"/>
              <w:bottom w:val="single" w:sz="6" w:space="0" w:color="000000"/>
              <w:right w:val="single" w:sz="4" w:space="0" w:color="auto"/>
            </w:tcBorders>
            <w:shd w:val="clear" w:color="auto" w:fill="auto"/>
          </w:tcPr>
          <w:p w14:paraId="0B160F15" w14:textId="77777777" w:rsidR="006C212E" w:rsidRPr="00937060" w:rsidRDefault="006C212E" w:rsidP="00B60E7A">
            <w:pPr>
              <w:pStyle w:val="naisc"/>
              <w:numPr>
                <w:ilvl w:val="0"/>
                <w:numId w:val="36"/>
              </w:numPr>
              <w:spacing w:before="0" w:after="0"/>
            </w:pPr>
          </w:p>
        </w:tc>
        <w:tc>
          <w:tcPr>
            <w:tcW w:w="1166" w:type="pct"/>
            <w:tcBorders>
              <w:top w:val="single" w:sz="4" w:space="0" w:color="auto"/>
              <w:left w:val="single" w:sz="4" w:space="0" w:color="auto"/>
              <w:bottom w:val="single" w:sz="4" w:space="0" w:color="auto"/>
              <w:right w:val="single" w:sz="4" w:space="0" w:color="auto"/>
            </w:tcBorders>
          </w:tcPr>
          <w:p w14:paraId="684D480E" w14:textId="60128CB8" w:rsidR="006C212E" w:rsidRPr="00937060" w:rsidRDefault="006C212E" w:rsidP="006C212E">
            <w:pPr>
              <w:pStyle w:val="Title"/>
              <w:ind w:hanging="33"/>
              <w:jc w:val="both"/>
              <w:outlineLvl w:val="0"/>
              <w:rPr>
                <w:sz w:val="24"/>
                <w:szCs w:val="24"/>
              </w:rPr>
            </w:pPr>
            <w:r w:rsidRPr="00937060">
              <w:rPr>
                <w:sz w:val="24"/>
                <w:szCs w:val="24"/>
              </w:rPr>
              <w:t>2.sadaļa “Ieguldījumu priekšnosacījumi”, 3.rindkopa</w:t>
            </w:r>
          </w:p>
        </w:tc>
        <w:tc>
          <w:tcPr>
            <w:tcW w:w="1390" w:type="pct"/>
            <w:tcBorders>
              <w:top w:val="single" w:sz="6" w:space="0" w:color="000000"/>
              <w:left w:val="single" w:sz="4" w:space="0" w:color="auto"/>
              <w:bottom w:val="single" w:sz="6" w:space="0" w:color="000000"/>
              <w:right w:val="single" w:sz="6" w:space="0" w:color="000000"/>
            </w:tcBorders>
          </w:tcPr>
          <w:p w14:paraId="42AD581E" w14:textId="77777777" w:rsidR="006C212E" w:rsidRPr="00937060" w:rsidRDefault="006C212E" w:rsidP="006C212E">
            <w:pPr>
              <w:widowControl w:val="0"/>
              <w:ind w:right="57"/>
              <w:jc w:val="both"/>
              <w:rPr>
                <w:rFonts w:eastAsia="Calibri"/>
                <w:b/>
                <w:u w:val="single"/>
              </w:rPr>
            </w:pPr>
            <w:r w:rsidRPr="00937060">
              <w:rPr>
                <w:rFonts w:eastAsia="Calibri"/>
                <w:b/>
                <w:u w:val="single"/>
              </w:rPr>
              <w:t>Zemkopības ministrija:</w:t>
            </w:r>
          </w:p>
          <w:p w14:paraId="77D24076" w14:textId="0F1A589C" w:rsidR="006C212E" w:rsidRPr="00937060" w:rsidRDefault="006C212E" w:rsidP="006C212E">
            <w:pPr>
              <w:widowControl w:val="0"/>
              <w:jc w:val="both"/>
              <w:rPr>
                <w:rFonts w:eastAsia="Calibri"/>
                <w:b/>
                <w:u w:val="single"/>
                <w:lang w:eastAsia="en-US"/>
              </w:rPr>
            </w:pPr>
            <w:r w:rsidRPr="00937060">
              <w:rPr>
                <w:rFonts w:eastAsia="Calibri"/>
              </w:rPr>
              <w:t>2. sadaļā “Ieguldījumu priekšnosacījumi” precizēt par katru ieguldījumu priekšnosacījumu atbildīgo institūciju uzskaitījumu, Zemkopības ministriju norādot kā līdzatbildīgo, nevis atbildīgo institūciju par priekšnosacījumu izpildi politikas mērķa “Zaļāka Eiropa” ietvaros. Norādām, ka šāds precizējums būtu atbilstošs informatīvā ziņojuma projekta 1. pielikumā par katru ieguldījuma priekšnosacījumu un tā kritēriju izpildi norādītajām atbildīgajām institūcijām. Zemkopības ministrijas kā līdzatbildīgās iestādes kompetence saistībā ar lauku teritoriju applūšanas risku, tostarp stratēģiski svarīgu infrastruktūras objektu (ceļu, automaģistrāļu u.c.) applūšanas risku mazināšanas pasākumiem ir saskatāma i</w:t>
            </w:r>
            <w:r w:rsidRPr="00937060">
              <w:rPr>
                <w:rFonts w:eastAsia="Calibri"/>
                <w:noProof/>
              </w:rPr>
              <w:t>eguldījumu priekšnosacījuma Nr.5: “Efektīvs katastrofu risku pārvaldības satvars</w:t>
            </w:r>
            <w:r w:rsidRPr="00937060">
              <w:rPr>
                <w:rFonts w:eastAsia="Calibri"/>
              </w:rPr>
              <w:t xml:space="preserve">” izpildē, par kura izpildi kā atbildīgā iestāde ir noteikta Iekšlietu ministrija. </w:t>
            </w:r>
          </w:p>
        </w:tc>
        <w:tc>
          <w:tcPr>
            <w:tcW w:w="1191" w:type="pct"/>
            <w:tcBorders>
              <w:top w:val="single" w:sz="6" w:space="0" w:color="000000"/>
              <w:left w:val="single" w:sz="6" w:space="0" w:color="000000"/>
              <w:bottom w:val="single" w:sz="6" w:space="0" w:color="000000"/>
              <w:right w:val="single" w:sz="4" w:space="0" w:color="auto"/>
            </w:tcBorders>
          </w:tcPr>
          <w:p w14:paraId="57FFE6FA" w14:textId="2E9ED1CD" w:rsidR="006C212E" w:rsidRPr="004744B8" w:rsidRDefault="00E224C8" w:rsidP="00C20D1A">
            <w:pPr>
              <w:pStyle w:val="NormalWeb"/>
              <w:spacing w:before="0" w:beforeAutospacing="0" w:after="120" w:afterAutospacing="0"/>
              <w:jc w:val="center"/>
              <w:rPr>
                <w:b/>
              </w:rPr>
            </w:pPr>
            <w:r w:rsidRPr="004744B8">
              <w:rPr>
                <w:b/>
              </w:rPr>
              <w:t>Ņemts vērā.</w:t>
            </w:r>
          </w:p>
        </w:tc>
        <w:tc>
          <w:tcPr>
            <w:tcW w:w="970" w:type="pct"/>
            <w:tcBorders>
              <w:left w:val="single" w:sz="4" w:space="0" w:color="auto"/>
              <w:bottom w:val="single" w:sz="4" w:space="0" w:color="auto"/>
            </w:tcBorders>
          </w:tcPr>
          <w:p w14:paraId="0F4CE542" w14:textId="1DA55ABD" w:rsidR="006C212E" w:rsidRPr="00937060" w:rsidRDefault="00E224C8" w:rsidP="006C212E">
            <w:pPr>
              <w:pStyle w:val="Title"/>
              <w:ind w:hanging="33"/>
              <w:jc w:val="both"/>
              <w:outlineLvl w:val="0"/>
              <w:rPr>
                <w:sz w:val="24"/>
                <w:szCs w:val="24"/>
              </w:rPr>
            </w:pPr>
            <w:r w:rsidRPr="00937060">
              <w:rPr>
                <w:sz w:val="24"/>
                <w:szCs w:val="24"/>
              </w:rPr>
              <w:t>Lūdzu skatīt precizēto informatīvo ziņojumu</w:t>
            </w:r>
            <w:r>
              <w:rPr>
                <w:sz w:val="24"/>
                <w:szCs w:val="24"/>
              </w:rPr>
              <w:t xml:space="preserve"> un 1.pielikumu.</w:t>
            </w:r>
          </w:p>
        </w:tc>
      </w:tr>
      <w:tr w:rsidR="00937060" w:rsidRPr="00937060" w14:paraId="53BA0C4B" w14:textId="77777777" w:rsidTr="00C066E7">
        <w:trPr>
          <w:trHeight w:val="404"/>
        </w:trPr>
        <w:tc>
          <w:tcPr>
            <w:tcW w:w="283" w:type="pct"/>
            <w:tcBorders>
              <w:top w:val="single" w:sz="6" w:space="0" w:color="000000"/>
              <w:left w:val="single" w:sz="6" w:space="0" w:color="000000"/>
              <w:bottom w:val="single" w:sz="6" w:space="0" w:color="000000"/>
              <w:right w:val="single" w:sz="4" w:space="0" w:color="auto"/>
            </w:tcBorders>
            <w:shd w:val="clear" w:color="auto" w:fill="auto"/>
          </w:tcPr>
          <w:p w14:paraId="7555AEB9" w14:textId="77777777" w:rsidR="007134EC" w:rsidRPr="00937060" w:rsidRDefault="007134EC" w:rsidP="00B60E7A">
            <w:pPr>
              <w:pStyle w:val="naisc"/>
              <w:numPr>
                <w:ilvl w:val="0"/>
                <w:numId w:val="36"/>
              </w:numPr>
              <w:spacing w:before="0" w:after="0"/>
            </w:pPr>
          </w:p>
        </w:tc>
        <w:tc>
          <w:tcPr>
            <w:tcW w:w="1166" w:type="pct"/>
            <w:tcBorders>
              <w:top w:val="single" w:sz="4" w:space="0" w:color="auto"/>
              <w:left w:val="single" w:sz="4" w:space="0" w:color="auto"/>
              <w:bottom w:val="single" w:sz="4" w:space="0" w:color="auto"/>
              <w:right w:val="single" w:sz="4" w:space="0" w:color="auto"/>
            </w:tcBorders>
          </w:tcPr>
          <w:p w14:paraId="731CD2EF" w14:textId="0BD2910D" w:rsidR="007134EC" w:rsidRPr="00937060" w:rsidRDefault="007134EC" w:rsidP="006C212E">
            <w:pPr>
              <w:pStyle w:val="Title"/>
              <w:ind w:hanging="33"/>
              <w:jc w:val="both"/>
              <w:outlineLvl w:val="0"/>
              <w:rPr>
                <w:sz w:val="24"/>
                <w:szCs w:val="24"/>
              </w:rPr>
            </w:pPr>
            <w:r w:rsidRPr="00937060">
              <w:rPr>
                <w:sz w:val="24"/>
                <w:szCs w:val="24"/>
              </w:rPr>
              <w:t>2.sadaļa “Ieguldījumu priekšnosacījumi”, 3.rindkopa</w:t>
            </w:r>
          </w:p>
        </w:tc>
        <w:tc>
          <w:tcPr>
            <w:tcW w:w="1390" w:type="pct"/>
            <w:tcBorders>
              <w:top w:val="single" w:sz="6" w:space="0" w:color="000000"/>
              <w:left w:val="single" w:sz="4" w:space="0" w:color="auto"/>
              <w:bottom w:val="single" w:sz="6" w:space="0" w:color="000000"/>
              <w:right w:val="single" w:sz="6" w:space="0" w:color="000000"/>
            </w:tcBorders>
          </w:tcPr>
          <w:p w14:paraId="6F89219C" w14:textId="77777777" w:rsidR="007134EC" w:rsidRPr="00937060" w:rsidRDefault="007134EC" w:rsidP="006C212E">
            <w:pPr>
              <w:widowControl w:val="0"/>
              <w:ind w:right="57"/>
              <w:jc w:val="both"/>
              <w:rPr>
                <w:rFonts w:eastAsia="Calibri"/>
                <w:b/>
                <w:u w:val="single"/>
              </w:rPr>
            </w:pPr>
            <w:r w:rsidRPr="00937060">
              <w:rPr>
                <w:rFonts w:eastAsia="Calibri"/>
                <w:b/>
                <w:u w:val="single"/>
              </w:rPr>
              <w:t>Satiksmes ministrija:</w:t>
            </w:r>
          </w:p>
          <w:p w14:paraId="33D51209" w14:textId="4C436AF4" w:rsidR="007134EC" w:rsidRPr="00937060" w:rsidRDefault="007134EC" w:rsidP="006C212E">
            <w:pPr>
              <w:widowControl w:val="0"/>
              <w:ind w:right="57"/>
              <w:jc w:val="both"/>
              <w:rPr>
                <w:rFonts w:eastAsia="Calibri"/>
                <w:bCs/>
                <w:iCs/>
              </w:rPr>
            </w:pPr>
            <w:r w:rsidRPr="00937060">
              <w:rPr>
                <w:rFonts w:eastAsia="Calibri"/>
                <w:bCs/>
                <w:iCs/>
              </w:rPr>
              <w:t xml:space="preserve">Informatīvā ziņojuma 2.nodaļas </w:t>
            </w:r>
            <w:r w:rsidRPr="00937060">
              <w:rPr>
                <w:rFonts w:eastAsia="Calibri"/>
              </w:rPr>
              <w:t>„</w:t>
            </w:r>
            <w:r w:rsidRPr="00937060">
              <w:rPr>
                <w:rFonts w:eastAsia="Calibri"/>
                <w:bCs/>
                <w:iCs/>
              </w:rPr>
              <w:t xml:space="preserve">Ieguldījumu priekšnosacījumi” 3.rindkopā minēts, ka par </w:t>
            </w:r>
            <w:bookmarkStart w:id="1" w:name="_Hlk9253155"/>
            <w:r w:rsidRPr="00937060">
              <w:rPr>
                <w:rFonts w:eastAsia="Calibri"/>
                <w:bCs/>
                <w:iCs/>
              </w:rPr>
              <w:t xml:space="preserve">politikas mērķa Nr.2 “Zaļāka Eiropa” ieguldījumu </w:t>
            </w:r>
            <w:bookmarkStart w:id="2" w:name="_Hlk9253275"/>
            <w:r w:rsidRPr="00937060">
              <w:rPr>
                <w:rFonts w:eastAsia="Calibri"/>
                <w:bCs/>
                <w:iCs/>
              </w:rPr>
              <w:t>priekšnosacījumu izpildi</w:t>
            </w:r>
            <w:bookmarkEnd w:id="1"/>
            <w:r w:rsidRPr="00937060">
              <w:rPr>
                <w:rFonts w:eastAsia="Calibri"/>
                <w:bCs/>
                <w:iCs/>
              </w:rPr>
              <w:t xml:space="preserve"> </w:t>
            </w:r>
            <w:r w:rsidRPr="00937060">
              <w:rPr>
                <w:rFonts w:eastAsia="Calibri"/>
                <w:bCs/>
                <w:iCs/>
              </w:rPr>
              <w:lastRenderedPageBreak/>
              <w:t>ir atbildīga</w:t>
            </w:r>
            <w:bookmarkEnd w:id="2"/>
            <w:r w:rsidRPr="00937060">
              <w:rPr>
                <w:rFonts w:eastAsia="Calibri"/>
                <w:bCs/>
                <w:iCs/>
              </w:rPr>
              <w:t xml:space="preserve"> </w:t>
            </w:r>
            <w:bookmarkStart w:id="3" w:name="_Hlk9253465"/>
            <w:r w:rsidRPr="00937060">
              <w:rPr>
                <w:rFonts w:eastAsia="Calibri"/>
                <w:bCs/>
                <w:iCs/>
              </w:rPr>
              <w:t>Izglītības un zinātnes ministrija, Ekonomikas ministrija, Vides aizsardzības un reģionālās attīstības ministrija, Satiksmes ministrija, Zemkopības ministrija un Iekšlietu ministrija</w:t>
            </w:r>
            <w:bookmarkEnd w:id="3"/>
            <w:r w:rsidRPr="00937060">
              <w:rPr>
                <w:rFonts w:eastAsia="Calibri"/>
                <w:bCs/>
                <w:iCs/>
              </w:rPr>
              <w:t xml:space="preserve">. Savukārt informatīvā ziņojuma 1.pielikumā </w:t>
            </w:r>
            <w:r w:rsidRPr="00937060">
              <w:rPr>
                <w:rFonts w:eastAsia="Calibri"/>
              </w:rPr>
              <w:t>„</w:t>
            </w:r>
            <w:r w:rsidRPr="00937060">
              <w:rPr>
                <w:rFonts w:eastAsia="Calibri"/>
                <w:bCs/>
                <w:iCs/>
              </w:rPr>
              <w:t>2021.—2027.gada plānošanas perioda Kopējās fondu regulas III pielikumā noteiktie ieguldījumu priekšnosacījumi” kā atbildīgā iestāde par politikas mērķa Nr.2 “Zaļāka Eiropa” ieguldījumu priekšnosacījumu izpildi  norādīta Ekonomikas ministrija, Iekšlietu ministrija un Vides aizsardzības un reģionālās attīstības ministrija. Ņemot vērā minēto, lūdzam precizēt informatīvā ziņojuma redakciju, norādot, ka par politikas mērķa Nr.2 “Zaļāka Eiropa priekšnosacījumu izpildi ir atbildīga Ekonomikas ministrija, Iekšlietu ministrija un Vides aizsardzības un reģionālās attīstības ministrija, bet sinerģiju politikas mērķa priekšnosacījumu izpildē nodrošina</w:t>
            </w:r>
            <w:r w:rsidRPr="00937060">
              <w:rPr>
                <w:rFonts w:eastAsia="Calibri"/>
              </w:rPr>
              <w:t xml:space="preserve"> </w:t>
            </w:r>
            <w:r w:rsidRPr="00937060">
              <w:rPr>
                <w:rFonts w:eastAsia="Calibri"/>
                <w:bCs/>
                <w:iCs/>
              </w:rPr>
              <w:t xml:space="preserve">Izglītības un zinātnes ministrija, Satiksmes ministrija un  Zemkopības ministrija, īstenojot savas kompetences ietvaros noteikto politikas mērķu priekšnosacījumu izpildi atbilstoši informatīvā ziņojuma 1.pielikumā noteiktajam.  Vienlaikus vēršam uzmanību, ka gadījumā, ja </w:t>
            </w:r>
            <w:r w:rsidRPr="00937060">
              <w:rPr>
                <w:rFonts w:eastAsia="Calibri"/>
                <w:bCs/>
                <w:iCs/>
              </w:rPr>
              <w:lastRenderedPageBreak/>
              <w:t>Satiksmes ministrijai ir jāizpilda kāds no politikas mērķa Nr.2 “Zaļāka Eiropa” ieguldījumu priekšnosacījumiem, šim nolūkam ir jāparedz papildu finansējums, ņemot vērā, ka atbilstoši Ministru kabineta noteikumu projekta “Grozījumi Ministru kabineta 2018.gada 4.septembra noteikumos Nr. 562 „Darbības programmas „Izaugsme un nodarbinātība” 2.10. 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 prioritārā virziena „Tehniskā palīdzība „Kohēzijas fonda atbalsts Kohēzijas politikas fondu ieviešanai un vadībai”” projektu iesniegumu atlases otrās kārtas noteikumi”” sākotnējās ietekmes novērtējuma ziņojumā (anotācijā) minētajam, Satiksmes ministrijai nav piešķirts finansējums politikas mērķa Nr.2 “Zaļāka Eiropa” ieguldījumu priekšnosacījumu izpildei.</w:t>
            </w:r>
          </w:p>
        </w:tc>
        <w:tc>
          <w:tcPr>
            <w:tcW w:w="1191" w:type="pct"/>
            <w:tcBorders>
              <w:top w:val="single" w:sz="6" w:space="0" w:color="000000"/>
              <w:left w:val="single" w:sz="6" w:space="0" w:color="000000"/>
              <w:bottom w:val="single" w:sz="6" w:space="0" w:color="000000"/>
              <w:right w:val="single" w:sz="4" w:space="0" w:color="auto"/>
            </w:tcBorders>
          </w:tcPr>
          <w:p w14:paraId="1021BCD0" w14:textId="11FA9954" w:rsidR="007134EC" w:rsidRPr="004744B8" w:rsidRDefault="00DF74F0" w:rsidP="00C20D1A">
            <w:pPr>
              <w:pStyle w:val="NormalWeb"/>
              <w:spacing w:before="0" w:beforeAutospacing="0" w:after="120" w:afterAutospacing="0"/>
              <w:jc w:val="center"/>
              <w:rPr>
                <w:b/>
              </w:rPr>
            </w:pPr>
            <w:r w:rsidRPr="004744B8">
              <w:rPr>
                <w:b/>
              </w:rPr>
              <w:lastRenderedPageBreak/>
              <w:t>Ņemts vērā.</w:t>
            </w:r>
          </w:p>
        </w:tc>
        <w:tc>
          <w:tcPr>
            <w:tcW w:w="970" w:type="pct"/>
            <w:tcBorders>
              <w:left w:val="single" w:sz="4" w:space="0" w:color="auto"/>
              <w:bottom w:val="single" w:sz="4" w:space="0" w:color="auto"/>
            </w:tcBorders>
          </w:tcPr>
          <w:p w14:paraId="79552D5C" w14:textId="05171287" w:rsidR="007134EC" w:rsidRPr="00937060" w:rsidRDefault="00DF74F0" w:rsidP="006C212E">
            <w:pPr>
              <w:pStyle w:val="Title"/>
              <w:ind w:hanging="33"/>
              <w:jc w:val="both"/>
              <w:outlineLvl w:val="0"/>
              <w:rPr>
                <w:sz w:val="24"/>
                <w:szCs w:val="24"/>
              </w:rPr>
            </w:pPr>
            <w:r w:rsidRPr="00937060">
              <w:rPr>
                <w:sz w:val="24"/>
                <w:szCs w:val="24"/>
              </w:rPr>
              <w:t>Lūdzu skatīt precizēto informatīvo ziņojumu</w:t>
            </w:r>
            <w:r>
              <w:rPr>
                <w:sz w:val="24"/>
                <w:szCs w:val="24"/>
              </w:rPr>
              <w:t xml:space="preserve"> un 1.pielikumu.</w:t>
            </w:r>
          </w:p>
        </w:tc>
      </w:tr>
      <w:tr w:rsidR="00937060" w:rsidRPr="00937060" w14:paraId="2DE7249A" w14:textId="77777777" w:rsidTr="00C066E7">
        <w:trPr>
          <w:trHeight w:val="404"/>
        </w:trPr>
        <w:tc>
          <w:tcPr>
            <w:tcW w:w="283" w:type="pct"/>
            <w:tcBorders>
              <w:top w:val="single" w:sz="6" w:space="0" w:color="000000"/>
              <w:left w:val="single" w:sz="6" w:space="0" w:color="000000"/>
              <w:bottom w:val="single" w:sz="6" w:space="0" w:color="000000"/>
              <w:right w:val="single" w:sz="4" w:space="0" w:color="auto"/>
            </w:tcBorders>
            <w:shd w:val="clear" w:color="auto" w:fill="FFFFFF" w:themeFill="background1"/>
          </w:tcPr>
          <w:p w14:paraId="63E5E21A" w14:textId="77777777" w:rsidR="00716273" w:rsidRPr="00937060" w:rsidRDefault="00716273" w:rsidP="00B60E7A">
            <w:pPr>
              <w:pStyle w:val="naisc"/>
              <w:numPr>
                <w:ilvl w:val="0"/>
                <w:numId w:val="36"/>
              </w:numPr>
              <w:spacing w:before="0" w:after="0"/>
            </w:pPr>
          </w:p>
        </w:tc>
        <w:tc>
          <w:tcPr>
            <w:tcW w:w="1166" w:type="pct"/>
            <w:tcBorders>
              <w:top w:val="single" w:sz="4" w:space="0" w:color="auto"/>
              <w:left w:val="single" w:sz="4" w:space="0" w:color="auto"/>
              <w:bottom w:val="single" w:sz="4" w:space="0" w:color="auto"/>
              <w:right w:val="single" w:sz="4" w:space="0" w:color="auto"/>
            </w:tcBorders>
          </w:tcPr>
          <w:p w14:paraId="051FEAE5" w14:textId="5B10CB72" w:rsidR="00716273" w:rsidRPr="00937060" w:rsidRDefault="00716273" w:rsidP="006043F2">
            <w:pPr>
              <w:pStyle w:val="Title"/>
              <w:ind w:hanging="33"/>
              <w:jc w:val="both"/>
              <w:outlineLvl w:val="0"/>
              <w:rPr>
                <w:sz w:val="24"/>
                <w:szCs w:val="24"/>
              </w:rPr>
            </w:pPr>
            <w:r w:rsidRPr="00937060">
              <w:rPr>
                <w:sz w:val="24"/>
                <w:szCs w:val="24"/>
              </w:rPr>
              <w:t>2.sadaļa “Ieguldījumu priekšnosacījumi”, 5.rindkopa</w:t>
            </w:r>
          </w:p>
        </w:tc>
        <w:tc>
          <w:tcPr>
            <w:tcW w:w="1390" w:type="pct"/>
            <w:tcBorders>
              <w:top w:val="single" w:sz="6" w:space="0" w:color="000000"/>
              <w:left w:val="single" w:sz="4" w:space="0" w:color="auto"/>
              <w:bottom w:val="single" w:sz="6" w:space="0" w:color="000000"/>
              <w:right w:val="single" w:sz="6" w:space="0" w:color="000000"/>
            </w:tcBorders>
          </w:tcPr>
          <w:p w14:paraId="348318CD" w14:textId="77777777" w:rsidR="00716273" w:rsidRPr="00937060" w:rsidRDefault="00716273" w:rsidP="006043F2">
            <w:pPr>
              <w:pStyle w:val="NoSpacing"/>
              <w:rPr>
                <w:b/>
                <w:szCs w:val="24"/>
                <w:u w:val="single"/>
              </w:rPr>
            </w:pPr>
            <w:r w:rsidRPr="00937060">
              <w:rPr>
                <w:b/>
                <w:szCs w:val="24"/>
                <w:u w:val="single"/>
              </w:rPr>
              <w:t>Labklājības ministrija:</w:t>
            </w:r>
          </w:p>
          <w:p w14:paraId="245B4080" w14:textId="77777777" w:rsidR="00716273" w:rsidRPr="00937060" w:rsidRDefault="00716273" w:rsidP="006043F2">
            <w:pPr>
              <w:pStyle w:val="NoSpacing"/>
              <w:rPr>
                <w:b/>
                <w:szCs w:val="24"/>
                <w:u w:val="single"/>
              </w:rPr>
            </w:pPr>
            <w:r w:rsidRPr="00937060">
              <w:rPr>
                <w:szCs w:val="24"/>
                <w:lang w:eastAsia="lv-LV"/>
              </w:rPr>
              <w:t xml:space="preserve">Lūdzam papildināt informatīvā ziņojuma 2.sadaļas “Ieguldījumu priekšnosacījumi” piekto rindkopu ar </w:t>
            </w:r>
            <w:r w:rsidRPr="00937060">
              <w:rPr>
                <w:szCs w:val="24"/>
                <w:lang w:eastAsia="lv-LV"/>
              </w:rPr>
              <w:lastRenderedPageBreak/>
              <w:t>informāciju par to, kā ierobežojums iekļaut izdevumus maksājuma pieprasījumos, kamēr Eiropas Komisija (turpmāk – EK) nav informējusi dalībvalsti par ieguldījumu priekšnosacījumu izpildi, ietekmē n+2 principa izpildi un kā FM nodrošinās risku vadību.</w:t>
            </w:r>
          </w:p>
        </w:tc>
        <w:tc>
          <w:tcPr>
            <w:tcW w:w="1191" w:type="pct"/>
            <w:tcBorders>
              <w:top w:val="single" w:sz="6" w:space="0" w:color="000000"/>
              <w:left w:val="single" w:sz="6" w:space="0" w:color="000000"/>
              <w:bottom w:val="single" w:sz="6" w:space="0" w:color="000000"/>
              <w:right w:val="single" w:sz="4" w:space="0" w:color="auto"/>
            </w:tcBorders>
          </w:tcPr>
          <w:p w14:paraId="3811E047" w14:textId="40E5FCF0" w:rsidR="00716273" w:rsidRDefault="008828E2" w:rsidP="00C20D1A">
            <w:pPr>
              <w:pStyle w:val="NormalWeb"/>
              <w:spacing w:before="0" w:beforeAutospacing="0" w:after="120" w:afterAutospacing="0"/>
              <w:jc w:val="center"/>
              <w:rPr>
                <w:b/>
              </w:rPr>
            </w:pPr>
            <w:r>
              <w:rPr>
                <w:b/>
              </w:rPr>
              <w:lastRenderedPageBreak/>
              <w:t>Ņemts vērā.</w:t>
            </w:r>
          </w:p>
          <w:p w14:paraId="5BC621AD" w14:textId="2406EDA3" w:rsidR="008828E2" w:rsidRPr="008828E2" w:rsidRDefault="008828E2" w:rsidP="008828E2">
            <w:pPr>
              <w:pStyle w:val="NormalWeb"/>
              <w:spacing w:before="0" w:beforeAutospacing="0" w:after="120" w:afterAutospacing="0"/>
              <w:jc w:val="both"/>
            </w:pPr>
            <w:r>
              <w:t xml:space="preserve">Skaidrojam, ka FM līdz 2020.gada aprīlim (kā norādīts informatīvā ziņojuma 4.sadaļas </w:t>
            </w:r>
            <w:r>
              <w:lastRenderedPageBreak/>
              <w:t xml:space="preserve">pēdējā rindkopā) sagatavos priekšlikumu par ātrāk uzsākamajiem specifiskajiem atbalsta mērķiem, ņemot vērā visus riskus un investīciju aizkavēšanās faktorus, t.sk. priekšnosacījumu izpildi. </w:t>
            </w:r>
          </w:p>
        </w:tc>
        <w:tc>
          <w:tcPr>
            <w:tcW w:w="970" w:type="pct"/>
            <w:tcBorders>
              <w:left w:val="single" w:sz="4" w:space="0" w:color="auto"/>
              <w:bottom w:val="single" w:sz="4" w:space="0" w:color="auto"/>
            </w:tcBorders>
          </w:tcPr>
          <w:p w14:paraId="5B06C602" w14:textId="480904D8" w:rsidR="00716273" w:rsidRPr="00937060" w:rsidRDefault="008828E2" w:rsidP="006043F2">
            <w:pPr>
              <w:pStyle w:val="Title"/>
              <w:jc w:val="both"/>
              <w:outlineLvl w:val="0"/>
              <w:rPr>
                <w:sz w:val="24"/>
                <w:szCs w:val="24"/>
              </w:rPr>
            </w:pPr>
            <w:r w:rsidRPr="00937060">
              <w:rPr>
                <w:sz w:val="24"/>
                <w:szCs w:val="24"/>
              </w:rPr>
              <w:lastRenderedPageBreak/>
              <w:t>Lūdzu skatīt precizēto informatīvo ziņojumu</w:t>
            </w:r>
            <w:r>
              <w:rPr>
                <w:sz w:val="24"/>
                <w:szCs w:val="24"/>
              </w:rPr>
              <w:t>.</w:t>
            </w:r>
          </w:p>
        </w:tc>
      </w:tr>
      <w:tr w:rsidR="00937060" w:rsidRPr="00937060" w14:paraId="2DD829D9" w14:textId="77777777" w:rsidTr="00C066E7">
        <w:trPr>
          <w:trHeight w:val="404"/>
        </w:trPr>
        <w:tc>
          <w:tcPr>
            <w:tcW w:w="283" w:type="pct"/>
            <w:tcBorders>
              <w:top w:val="single" w:sz="6" w:space="0" w:color="000000"/>
              <w:left w:val="single" w:sz="6" w:space="0" w:color="000000"/>
              <w:bottom w:val="single" w:sz="6" w:space="0" w:color="000000"/>
              <w:right w:val="single" w:sz="4" w:space="0" w:color="auto"/>
            </w:tcBorders>
            <w:shd w:val="clear" w:color="auto" w:fill="FFFFFF" w:themeFill="background1"/>
          </w:tcPr>
          <w:p w14:paraId="1773F4AD" w14:textId="77777777" w:rsidR="00716273" w:rsidRPr="00937060" w:rsidRDefault="00716273" w:rsidP="00B60E7A">
            <w:pPr>
              <w:pStyle w:val="naisc"/>
              <w:numPr>
                <w:ilvl w:val="0"/>
                <w:numId w:val="36"/>
              </w:numPr>
              <w:spacing w:before="0" w:after="0"/>
            </w:pPr>
          </w:p>
        </w:tc>
        <w:tc>
          <w:tcPr>
            <w:tcW w:w="1166" w:type="pct"/>
            <w:tcBorders>
              <w:top w:val="single" w:sz="4" w:space="0" w:color="auto"/>
              <w:left w:val="single" w:sz="4" w:space="0" w:color="auto"/>
              <w:bottom w:val="single" w:sz="4" w:space="0" w:color="auto"/>
              <w:right w:val="single" w:sz="4" w:space="0" w:color="auto"/>
            </w:tcBorders>
          </w:tcPr>
          <w:p w14:paraId="567E4453" w14:textId="24AA4730" w:rsidR="00716273" w:rsidRPr="00937060" w:rsidRDefault="00716273" w:rsidP="006043F2">
            <w:pPr>
              <w:pStyle w:val="Title"/>
              <w:ind w:hanging="33"/>
              <w:jc w:val="both"/>
              <w:outlineLvl w:val="0"/>
              <w:rPr>
                <w:sz w:val="24"/>
                <w:szCs w:val="24"/>
              </w:rPr>
            </w:pPr>
            <w:r w:rsidRPr="00937060">
              <w:rPr>
                <w:sz w:val="24"/>
                <w:szCs w:val="24"/>
              </w:rPr>
              <w:t>2.sadaļa “Ieguldījumu priekšnosacījumi”, 7.rindkopa</w:t>
            </w:r>
          </w:p>
        </w:tc>
        <w:tc>
          <w:tcPr>
            <w:tcW w:w="1390" w:type="pct"/>
            <w:tcBorders>
              <w:top w:val="single" w:sz="6" w:space="0" w:color="000000"/>
              <w:left w:val="single" w:sz="4" w:space="0" w:color="auto"/>
              <w:bottom w:val="single" w:sz="6" w:space="0" w:color="000000"/>
              <w:right w:val="single" w:sz="6" w:space="0" w:color="000000"/>
            </w:tcBorders>
          </w:tcPr>
          <w:p w14:paraId="450FF5D3" w14:textId="77777777" w:rsidR="00716273" w:rsidRPr="00937060" w:rsidRDefault="00716273" w:rsidP="006043F2">
            <w:pPr>
              <w:pStyle w:val="NoSpacing"/>
              <w:tabs>
                <w:tab w:val="left" w:pos="851"/>
              </w:tabs>
              <w:spacing w:after="120"/>
              <w:contextualSpacing/>
              <w:rPr>
                <w:b/>
                <w:u w:val="single"/>
              </w:rPr>
            </w:pPr>
            <w:r w:rsidRPr="00937060">
              <w:rPr>
                <w:b/>
                <w:u w:val="single"/>
              </w:rPr>
              <w:t>Labklājības ministrija:</w:t>
            </w:r>
          </w:p>
          <w:p w14:paraId="1056790C" w14:textId="77777777" w:rsidR="00716273" w:rsidRPr="00937060" w:rsidRDefault="00716273" w:rsidP="006043F2">
            <w:pPr>
              <w:pStyle w:val="NoSpacing"/>
              <w:rPr>
                <w:b/>
                <w:szCs w:val="24"/>
                <w:u w:val="single"/>
              </w:rPr>
            </w:pPr>
            <w:r w:rsidRPr="00937060">
              <w:rPr>
                <w:szCs w:val="24"/>
              </w:rPr>
              <w:t>Lūdzam papildināt informatīvā ziņojuma 2.sadaļas “Ieguldījumu priekšnosacījumi” pēdējo rindkopu kontekstā ar protokollēmuma projekta 4.punktā noteikto, skaidrojot, vai atbildīgajai iestādei jāziņo FM par katra konkrētā ieguldījumu priekšnosacījuma katra kritērija izpildi vai brīdī, kad izpildīti visi atbildīgās iestādes pārziņā esošie katra konkrētā ieguldījumu priekšnosacījuma kritēriji. Lūdzam arī skaidrot, kā plānots vērtēt ieguldījumu priekšnosacījuma kritēriju izpildi gadījumos, kad to izpildē iesaistītas vairākas atbildīgās iestādes un kā FM nodrošinās risku vadību n+2 principa izpildei.</w:t>
            </w:r>
          </w:p>
        </w:tc>
        <w:tc>
          <w:tcPr>
            <w:tcW w:w="1191" w:type="pct"/>
            <w:tcBorders>
              <w:top w:val="single" w:sz="6" w:space="0" w:color="000000"/>
              <w:left w:val="single" w:sz="6" w:space="0" w:color="000000"/>
              <w:bottom w:val="single" w:sz="6" w:space="0" w:color="000000"/>
              <w:right w:val="single" w:sz="4" w:space="0" w:color="auto"/>
            </w:tcBorders>
          </w:tcPr>
          <w:p w14:paraId="2D10CEFD" w14:textId="77777777" w:rsidR="00716273" w:rsidRDefault="008828E2" w:rsidP="00C20D1A">
            <w:pPr>
              <w:pStyle w:val="NormalWeb"/>
              <w:spacing w:before="0" w:beforeAutospacing="0" w:after="120" w:afterAutospacing="0"/>
              <w:jc w:val="center"/>
              <w:rPr>
                <w:b/>
              </w:rPr>
            </w:pPr>
            <w:r>
              <w:rPr>
                <w:b/>
              </w:rPr>
              <w:t>Ņemts vērā.</w:t>
            </w:r>
          </w:p>
          <w:p w14:paraId="606E6938" w14:textId="4A225813" w:rsidR="008828E2" w:rsidRPr="00F52EF9" w:rsidRDefault="00F52EF9" w:rsidP="00F52EF9">
            <w:pPr>
              <w:pStyle w:val="NormalWeb"/>
              <w:spacing w:before="0" w:beforeAutospacing="0" w:after="120" w:afterAutospacing="0"/>
              <w:jc w:val="both"/>
            </w:pPr>
            <w:r w:rsidRPr="00F52EF9">
              <w:t>Ska</w:t>
            </w:r>
            <w:r>
              <w:t>i</w:t>
            </w:r>
            <w:r w:rsidRPr="00F52EF9">
              <w:t xml:space="preserve">drojam, ka </w:t>
            </w:r>
            <w:r>
              <w:t>atbildīgajām institūcijām jāziņo par katra priekšnosacījuma kritērija izpildi atsevišķi, ja katram no tiem ir noteikts atšķirīgs termiņš vai atšķirīga atbildīgā institūcija, lai novērtētu progresu, savukārt, ja visiem priekšnosacījuma kritērijiem noteikts viens termiņš, tad par tiem ziņo kopā.</w:t>
            </w:r>
          </w:p>
        </w:tc>
        <w:tc>
          <w:tcPr>
            <w:tcW w:w="970" w:type="pct"/>
            <w:tcBorders>
              <w:left w:val="single" w:sz="4" w:space="0" w:color="auto"/>
              <w:bottom w:val="single" w:sz="4" w:space="0" w:color="auto"/>
            </w:tcBorders>
          </w:tcPr>
          <w:p w14:paraId="06C77B77" w14:textId="2CCC3DDD" w:rsidR="00716273" w:rsidRPr="00937060" w:rsidRDefault="00F52EF9" w:rsidP="006043F2">
            <w:pPr>
              <w:pStyle w:val="Title"/>
              <w:jc w:val="both"/>
              <w:outlineLvl w:val="0"/>
              <w:rPr>
                <w:sz w:val="24"/>
                <w:szCs w:val="24"/>
              </w:rPr>
            </w:pPr>
            <w:r w:rsidRPr="00937060">
              <w:rPr>
                <w:sz w:val="24"/>
                <w:szCs w:val="24"/>
              </w:rPr>
              <w:t>Lūdzu skatīt precizēto informatīvo ziņojumu</w:t>
            </w:r>
            <w:r>
              <w:rPr>
                <w:sz w:val="24"/>
                <w:szCs w:val="24"/>
              </w:rPr>
              <w:t>.</w:t>
            </w:r>
          </w:p>
        </w:tc>
      </w:tr>
      <w:tr w:rsidR="003D5FE1" w:rsidRPr="00937060" w14:paraId="2116513A" w14:textId="77777777" w:rsidTr="003E7078">
        <w:trPr>
          <w:trHeight w:val="404"/>
        </w:trPr>
        <w:tc>
          <w:tcPr>
            <w:tcW w:w="283" w:type="pct"/>
            <w:tcBorders>
              <w:top w:val="single" w:sz="6" w:space="0" w:color="000000"/>
              <w:left w:val="single" w:sz="6" w:space="0" w:color="000000"/>
              <w:bottom w:val="single" w:sz="6" w:space="0" w:color="000000"/>
              <w:right w:val="single" w:sz="4" w:space="0" w:color="auto"/>
            </w:tcBorders>
            <w:shd w:val="clear" w:color="auto" w:fill="FFFFFF" w:themeFill="background1"/>
          </w:tcPr>
          <w:p w14:paraId="2F6838EC" w14:textId="77777777" w:rsidR="003D5FE1" w:rsidRPr="00937060" w:rsidRDefault="003D5FE1" w:rsidP="00B60E7A">
            <w:pPr>
              <w:pStyle w:val="naisc"/>
              <w:numPr>
                <w:ilvl w:val="0"/>
                <w:numId w:val="36"/>
              </w:numPr>
              <w:spacing w:before="0" w:after="0"/>
            </w:pPr>
          </w:p>
        </w:tc>
        <w:tc>
          <w:tcPr>
            <w:tcW w:w="1166" w:type="pct"/>
            <w:tcBorders>
              <w:top w:val="single" w:sz="4" w:space="0" w:color="auto"/>
              <w:left w:val="single" w:sz="4" w:space="0" w:color="auto"/>
              <w:right w:val="single" w:sz="4" w:space="0" w:color="auto"/>
            </w:tcBorders>
          </w:tcPr>
          <w:p w14:paraId="4C5C8DDA" w14:textId="05F3D1B9" w:rsidR="003D5FE1" w:rsidRPr="00937060" w:rsidRDefault="003D5FE1" w:rsidP="003D5FE1">
            <w:pPr>
              <w:pStyle w:val="Title"/>
              <w:ind w:hanging="33"/>
              <w:jc w:val="both"/>
              <w:outlineLvl w:val="0"/>
              <w:rPr>
                <w:sz w:val="24"/>
                <w:szCs w:val="24"/>
              </w:rPr>
            </w:pPr>
            <w:r w:rsidRPr="00937060">
              <w:rPr>
                <w:sz w:val="24"/>
                <w:szCs w:val="24"/>
              </w:rPr>
              <w:t>3.sadaļa “ES KP fondu ieviešanas institucionālā sistēma”,  3.1.apakšsadaļa “Regulu priekšlikumos noteiktais institucionālais ietvars un funkcijas” 1.rindkopa</w:t>
            </w:r>
          </w:p>
        </w:tc>
        <w:tc>
          <w:tcPr>
            <w:tcW w:w="1390" w:type="pct"/>
            <w:tcBorders>
              <w:top w:val="single" w:sz="6" w:space="0" w:color="000000"/>
              <w:left w:val="single" w:sz="4" w:space="0" w:color="auto"/>
              <w:bottom w:val="single" w:sz="4" w:space="0" w:color="auto"/>
              <w:right w:val="single" w:sz="6" w:space="0" w:color="000000"/>
            </w:tcBorders>
          </w:tcPr>
          <w:p w14:paraId="479CB267" w14:textId="2D9F6DE5" w:rsidR="003D5FE1" w:rsidRPr="00937060" w:rsidRDefault="003D5FE1" w:rsidP="003D5FE1">
            <w:pPr>
              <w:pStyle w:val="NoSpacing"/>
              <w:tabs>
                <w:tab w:val="left" w:pos="851"/>
              </w:tabs>
              <w:spacing w:after="120"/>
              <w:contextualSpacing/>
              <w:rPr>
                <w:b/>
                <w:u w:val="single"/>
              </w:rPr>
            </w:pPr>
            <w:r w:rsidRPr="00937060">
              <w:rPr>
                <w:b/>
                <w:u w:val="single"/>
              </w:rPr>
              <w:t>Labklājības ministrija:</w:t>
            </w:r>
          </w:p>
          <w:p w14:paraId="15BAAF0D" w14:textId="5E394A38" w:rsidR="003D5FE1" w:rsidRPr="00937060" w:rsidRDefault="003D5FE1" w:rsidP="003D5FE1">
            <w:pPr>
              <w:spacing w:after="120"/>
              <w:jc w:val="both"/>
            </w:pPr>
            <w:r w:rsidRPr="00937060">
              <w:t xml:space="preserve">Ņemot vērā 1.1.punktā minēto, attiecīgi precizēt informatīvā ziņojuma 3.1.sadaļas “Regulu priekšlikumos noteiktais institucionālais ietvars un funkcijas” pirmo rindkopu. </w:t>
            </w:r>
          </w:p>
        </w:tc>
        <w:tc>
          <w:tcPr>
            <w:tcW w:w="1191" w:type="pct"/>
            <w:tcBorders>
              <w:top w:val="single" w:sz="6" w:space="0" w:color="000000"/>
              <w:left w:val="single" w:sz="6" w:space="0" w:color="000000"/>
              <w:bottom w:val="single" w:sz="4" w:space="0" w:color="auto"/>
              <w:right w:val="single" w:sz="4" w:space="0" w:color="auto"/>
            </w:tcBorders>
          </w:tcPr>
          <w:p w14:paraId="35DA4ACF" w14:textId="6DDAD8DE" w:rsidR="003D5FE1" w:rsidRPr="004744B8" w:rsidRDefault="003D5FE1" w:rsidP="00C20D1A">
            <w:pPr>
              <w:pStyle w:val="NormalWeb"/>
              <w:spacing w:before="0" w:beforeAutospacing="0" w:after="120" w:afterAutospacing="0"/>
              <w:jc w:val="center"/>
              <w:rPr>
                <w:b/>
              </w:rPr>
            </w:pPr>
            <w:r w:rsidRPr="004744B8">
              <w:rPr>
                <w:b/>
              </w:rPr>
              <w:t>Ņemts vērā.</w:t>
            </w:r>
          </w:p>
        </w:tc>
        <w:tc>
          <w:tcPr>
            <w:tcW w:w="970" w:type="pct"/>
            <w:tcBorders>
              <w:left w:val="single" w:sz="4" w:space="0" w:color="auto"/>
              <w:bottom w:val="single" w:sz="4" w:space="0" w:color="auto"/>
            </w:tcBorders>
          </w:tcPr>
          <w:p w14:paraId="1274ACD0" w14:textId="4BFBB2EE" w:rsidR="003D5FE1" w:rsidRPr="00937060" w:rsidRDefault="003D5FE1" w:rsidP="003D5FE1">
            <w:pPr>
              <w:pStyle w:val="Title"/>
              <w:jc w:val="both"/>
              <w:outlineLvl w:val="0"/>
              <w:rPr>
                <w:b/>
                <w:sz w:val="24"/>
                <w:szCs w:val="24"/>
              </w:rPr>
            </w:pPr>
            <w:r w:rsidRPr="00937060">
              <w:rPr>
                <w:sz w:val="24"/>
                <w:szCs w:val="24"/>
              </w:rPr>
              <w:t>Lūdzu skatīt precizēto informatīvo ziņojumu</w:t>
            </w:r>
            <w:r>
              <w:rPr>
                <w:sz w:val="24"/>
                <w:szCs w:val="24"/>
              </w:rPr>
              <w:t>.</w:t>
            </w:r>
          </w:p>
        </w:tc>
      </w:tr>
      <w:tr w:rsidR="003D5FE1" w:rsidRPr="00937060" w14:paraId="3D9477A1" w14:textId="77777777" w:rsidTr="003E7078">
        <w:trPr>
          <w:trHeight w:val="404"/>
        </w:trPr>
        <w:tc>
          <w:tcPr>
            <w:tcW w:w="283" w:type="pct"/>
            <w:tcBorders>
              <w:top w:val="single" w:sz="6" w:space="0" w:color="000000"/>
              <w:left w:val="single" w:sz="6" w:space="0" w:color="000000"/>
              <w:bottom w:val="single" w:sz="6" w:space="0" w:color="000000"/>
              <w:right w:val="single" w:sz="4" w:space="0" w:color="auto"/>
            </w:tcBorders>
            <w:shd w:val="clear" w:color="auto" w:fill="FFFFFF" w:themeFill="background1"/>
          </w:tcPr>
          <w:p w14:paraId="0E963813" w14:textId="77777777" w:rsidR="003D5FE1" w:rsidRPr="00937060" w:rsidRDefault="003D5FE1" w:rsidP="00B60E7A">
            <w:pPr>
              <w:pStyle w:val="naisc"/>
              <w:numPr>
                <w:ilvl w:val="0"/>
                <w:numId w:val="36"/>
              </w:numPr>
              <w:spacing w:before="0" w:after="0"/>
            </w:pPr>
          </w:p>
        </w:tc>
        <w:tc>
          <w:tcPr>
            <w:tcW w:w="1166" w:type="pct"/>
            <w:tcBorders>
              <w:top w:val="single" w:sz="4" w:space="0" w:color="auto"/>
              <w:left w:val="single" w:sz="4" w:space="0" w:color="auto"/>
              <w:bottom w:val="single" w:sz="4" w:space="0" w:color="auto"/>
              <w:right w:val="single" w:sz="4" w:space="0" w:color="auto"/>
            </w:tcBorders>
          </w:tcPr>
          <w:p w14:paraId="33F1E487" w14:textId="4237E1F4" w:rsidR="003D5FE1" w:rsidRPr="00937060" w:rsidRDefault="003D5FE1" w:rsidP="003D5FE1">
            <w:pPr>
              <w:pStyle w:val="Title"/>
              <w:ind w:hanging="33"/>
              <w:jc w:val="both"/>
              <w:outlineLvl w:val="0"/>
              <w:rPr>
                <w:sz w:val="24"/>
                <w:szCs w:val="24"/>
              </w:rPr>
            </w:pPr>
            <w:r w:rsidRPr="00937060">
              <w:rPr>
                <w:sz w:val="24"/>
                <w:szCs w:val="24"/>
              </w:rPr>
              <w:t>3.2. apakšsadaļa “ES KP institucionālā sistēma”, nosaukums</w:t>
            </w:r>
          </w:p>
        </w:tc>
        <w:tc>
          <w:tcPr>
            <w:tcW w:w="1390" w:type="pct"/>
            <w:tcBorders>
              <w:top w:val="single" w:sz="4" w:space="0" w:color="auto"/>
              <w:left w:val="single" w:sz="4" w:space="0" w:color="auto"/>
              <w:bottom w:val="single" w:sz="6" w:space="0" w:color="000000"/>
              <w:right w:val="single" w:sz="6" w:space="0" w:color="000000"/>
            </w:tcBorders>
          </w:tcPr>
          <w:p w14:paraId="024A7962" w14:textId="77777777" w:rsidR="003D5FE1" w:rsidRPr="00937060" w:rsidRDefault="003D5FE1" w:rsidP="003D5FE1">
            <w:pPr>
              <w:pStyle w:val="NoSpacing"/>
              <w:tabs>
                <w:tab w:val="left" w:pos="851"/>
              </w:tabs>
              <w:spacing w:after="120"/>
              <w:contextualSpacing/>
              <w:rPr>
                <w:b/>
                <w:u w:val="single"/>
              </w:rPr>
            </w:pPr>
            <w:r w:rsidRPr="00937060">
              <w:rPr>
                <w:b/>
                <w:u w:val="single"/>
              </w:rPr>
              <w:t>Labklājības ministrija:</w:t>
            </w:r>
          </w:p>
          <w:p w14:paraId="61D8EEA6" w14:textId="7E1F67CF" w:rsidR="003D5FE1" w:rsidRPr="00937060" w:rsidRDefault="003D5FE1" w:rsidP="003D5FE1">
            <w:pPr>
              <w:pStyle w:val="NoSpacing"/>
              <w:tabs>
                <w:tab w:val="left" w:pos="851"/>
              </w:tabs>
              <w:spacing w:after="120"/>
              <w:contextualSpacing/>
              <w:rPr>
                <w:b/>
                <w:u w:val="single"/>
              </w:rPr>
            </w:pPr>
            <w:r w:rsidRPr="00937060">
              <w:t>Precizēt informatīvā ziņojuma 3.2.sadaļas nosaukumu, izsakot to šādā redakcijā: “ES KP fondu institucionālā sistēma”.</w:t>
            </w:r>
          </w:p>
        </w:tc>
        <w:tc>
          <w:tcPr>
            <w:tcW w:w="1191" w:type="pct"/>
            <w:tcBorders>
              <w:top w:val="single" w:sz="4" w:space="0" w:color="auto"/>
              <w:left w:val="single" w:sz="6" w:space="0" w:color="000000"/>
              <w:bottom w:val="single" w:sz="4" w:space="0" w:color="auto"/>
              <w:right w:val="single" w:sz="4" w:space="0" w:color="auto"/>
            </w:tcBorders>
          </w:tcPr>
          <w:p w14:paraId="5A484DD0" w14:textId="4305A1D0" w:rsidR="003D5FE1" w:rsidRPr="004744B8" w:rsidRDefault="003D5FE1" w:rsidP="00C20D1A">
            <w:pPr>
              <w:pStyle w:val="NormalWeb"/>
              <w:spacing w:before="0" w:beforeAutospacing="0" w:after="120" w:afterAutospacing="0"/>
              <w:jc w:val="center"/>
              <w:rPr>
                <w:b/>
              </w:rPr>
            </w:pPr>
            <w:r w:rsidRPr="004744B8">
              <w:rPr>
                <w:b/>
              </w:rPr>
              <w:t>Ņemts vērā.</w:t>
            </w:r>
          </w:p>
        </w:tc>
        <w:tc>
          <w:tcPr>
            <w:tcW w:w="970" w:type="pct"/>
            <w:tcBorders>
              <w:top w:val="single" w:sz="4" w:space="0" w:color="auto"/>
              <w:left w:val="single" w:sz="4" w:space="0" w:color="auto"/>
              <w:bottom w:val="single" w:sz="4" w:space="0" w:color="auto"/>
            </w:tcBorders>
          </w:tcPr>
          <w:p w14:paraId="22DE19E7" w14:textId="7C94549A" w:rsidR="003D5FE1" w:rsidRPr="00937060" w:rsidRDefault="00C95535" w:rsidP="003D5FE1">
            <w:pPr>
              <w:pStyle w:val="Title"/>
              <w:jc w:val="both"/>
              <w:outlineLvl w:val="0"/>
              <w:rPr>
                <w:b/>
                <w:sz w:val="24"/>
                <w:szCs w:val="24"/>
              </w:rPr>
            </w:pPr>
            <w:r w:rsidRPr="00937060">
              <w:rPr>
                <w:sz w:val="24"/>
                <w:szCs w:val="24"/>
              </w:rPr>
              <w:t>Lūdzu skatīt precizēto informatīvo ziņojumu</w:t>
            </w:r>
            <w:r>
              <w:rPr>
                <w:sz w:val="24"/>
                <w:szCs w:val="24"/>
              </w:rPr>
              <w:t>.</w:t>
            </w:r>
          </w:p>
        </w:tc>
      </w:tr>
      <w:tr w:rsidR="003D5FE1" w:rsidRPr="00937060" w14:paraId="0B933C9C" w14:textId="77777777" w:rsidTr="003E7078">
        <w:trPr>
          <w:trHeight w:val="404"/>
        </w:trPr>
        <w:tc>
          <w:tcPr>
            <w:tcW w:w="283" w:type="pct"/>
            <w:tcBorders>
              <w:top w:val="single" w:sz="6" w:space="0" w:color="000000"/>
              <w:left w:val="single" w:sz="6" w:space="0" w:color="000000"/>
              <w:bottom w:val="single" w:sz="6" w:space="0" w:color="000000"/>
              <w:right w:val="single" w:sz="4" w:space="0" w:color="auto"/>
            </w:tcBorders>
            <w:shd w:val="clear" w:color="auto" w:fill="FFFFFF" w:themeFill="background1"/>
          </w:tcPr>
          <w:p w14:paraId="75FFB2EC" w14:textId="77777777" w:rsidR="003D5FE1" w:rsidRPr="00937060" w:rsidRDefault="003D5FE1" w:rsidP="00B60E7A">
            <w:pPr>
              <w:pStyle w:val="naisc"/>
              <w:numPr>
                <w:ilvl w:val="0"/>
                <w:numId w:val="36"/>
              </w:numPr>
              <w:spacing w:before="0" w:after="0"/>
            </w:pPr>
          </w:p>
        </w:tc>
        <w:tc>
          <w:tcPr>
            <w:tcW w:w="1166" w:type="pct"/>
            <w:tcBorders>
              <w:top w:val="single" w:sz="4" w:space="0" w:color="auto"/>
              <w:left w:val="single" w:sz="4" w:space="0" w:color="auto"/>
              <w:bottom w:val="single" w:sz="4" w:space="0" w:color="auto"/>
              <w:right w:val="single" w:sz="4" w:space="0" w:color="auto"/>
            </w:tcBorders>
          </w:tcPr>
          <w:p w14:paraId="6D800C94" w14:textId="5DC7D5B6" w:rsidR="003D5FE1" w:rsidRPr="00937060" w:rsidRDefault="003D5FE1" w:rsidP="003D5FE1">
            <w:pPr>
              <w:pStyle w:val="Title"/>
              <w:ind w:hanging="33"/>
              <w:jc w:val="both"/>
              <w:outlineLvl w:val="0"/>
              <w:rPr>
                <w:sz w:val="24"/>
                <w:szCs w:val="24"/>
              </w:rPr>
            </w:pPr>
            <w:r w:rsidRPr="00937060">
              <w:rPr>
                <w:sz w:val="24"/>
                <w:szCs w:val="24"/>
              </w:rPr>
              <w:t>3.2. apakšsadaļa “ES KP Institucionālā sistēma”, 1.rindkopa</w:t>
            </w:r>
          </w:p>
        </w:tc>
        <w:tc>
          <w:tcPr>
            <w:tcW w:w="1390" w:type="pct"/>
            <w:tcBorders>
              <w:top w:val="single" w:sz="6" w:space="0" w:color="000000"/>
              <w:left w:val="single" w:sz="4" w:space="0" w:color="auto"/>
              <w:bottom w:val="single" w:sz="6" w:space="0" w:color="000000"/>
              <w:right w:val="single" w:sz="6" w:space="0" w:color="000000"/>
            </w:tcBorders>
          </w:tcPr>
          <w:p w14:paraId="565E8035" w14:textId="77777777" w:rsidR="003D5FE1" w:rsidRPr="00937060" w:rsidRDefault="003D5FE1" w:rsidP="003D5FE1">
            <w:pPr>
              <w:pStyle w:val="NoSpacing"/>
              <w:rPr>
                <w:b/>
                <w:u w:val="single"/>
              </w:rPr>
            </w:pPr>
            <w:r w:rsidRPr="00937060">
              <w:rPr>
                <w:b/>
                <w:u w:val="single"/>
              </w:rPr>
              <w:t>Vides aizsardzības un reģionālās attīstības ministrija:</w:t>
            </w:r>
          </w:p>
          <w:p w14:paraId="646F8BEA" w14:textId="026949F9" w:rsidR="003D5FE1" w:rsidRPr="00937060" w:rsidRDefault="003D5FE1" w:rsidP="003D5FE1">
            <w:pPr>
              <w:pStyle w:val="NoSpacing"/>
              <w:tabs>
                <w:tab w:val="left" w:pos="851"/>
              </w:tabs>
              <w:spacing w:after="120"/>
              <w:contextualSpacing/>
              <w:rPr>
                <w:b/>
                <w:u w:val="single"/>
              </w:rPr>
            </w:pPr>
            <w:r w:rsidRPr="00937060">
              <w:rPr>
                <w:rFonts w:eastAsiaTheme="minorHAnsi"/>
              </w:rPr>
              <w:t>Aicinām informatīvā ziņojuma 7.lpp. 3.2.sadaļas “ES KP Institucionālā sistēma” 2.punktā (3.rindkopa) attiecībā uz atbildīgās iestādes funkcijām norādīt atbildību par specifiskā atbalsta mērķa</w:t>
            </w:r>
            <w:r w:rsidRPr="00937060">
              <w:t xml:space="preserve"> </w:t>
            </w:r>
            <w:r w:rsidRPr="00937060">
              <w:rPr>
                <w:rFonts w:eastAsiaTheme="minorHAnsi"/>
              </w:rPr>
              <w:t xml:space="preserve">vai pasākuma īstenošanu, ņemot vērā Eiropas Parlamenta un Padome regulas par ERAF un Kohēzijas fondu projekta 2.pantā definētos ERAF un Kohēzijas fonda konkrētos mērķus, kuri ir plašāki nekā ES fondu 2014.-2020.gada plānošanas periodā, t.i., viena specifiskā atbalsta mērķa ietvaros var tikt ietverti vairāku atbildīgo iestāžu pasākumi. Piemēram, saskaņā ar iepriekš minētās Regulas projekta 2.panta (b) “zaļāka Eiropa ar zemām oglekļa emisijām, veicinot tīru un taisnīgu enerģētikas pārkārtošanu, “zaļas” un “zilas” investīcijas, aprites ekonomiku, pielāgošanos klimata pārmaiņām un risku novēršanu” (PM Nr. 2) i) apakšpunktu viens no specifiskajiem atbalsta mērķiem ir veicināt energoefektivitātes pasākumus, kas ietver ieguldījumus </w:t>
            </w:r>
            <w:r w:rsidRPr="00937060">
              <w:rPr>
                <w:rFonts w:eastAsiaTheme="minorHAnsi"/>
              </w:rPr>
              <w:lastRenderedPageBreak/>
              <w:t>gan valsts, gan pašvaldību, gan daudzdzīvokļu ēkās, par kuru īstenošanu (t.sk. MK noteikumu un kritēriju izstrādi) varētu būt atbildīgas dažādas atbildīgās iestādes. Attiecīgi lūdzam precizēt arī informatīvā ziņojuma 2.pielikuma “ES KP fondu nepieciešamo plānošanas dokumentu un tiesību aktu sagatavošanas indikatīvais laika grafiks”  sadaļas, piemēram, 26., 31.uzdevums,</w:t>
            </w:r>
            <w:r w:rsidRPr="00937060">
              <w:t xml:space="preserve"> </w:t>
            </w:r>
            <w:r w:rsidRPr="00937060">
              <w:rPr>
                <w:vertAlign w:val="superscript"/>
              </w:rPr>
              <w:t xml:space="preserve">5,6 </w:t>
            </w:r>
            <w:r w:rsidRPr="00937060">
              <w:t>zemsvītras atsauces.</w:t>
            </w:r>
          </w:p>
        </w:tc>
        <w:tc>
          <w:tcPr>
            <w:tcW w:w="1191" w:type="pct"/>
            <w:tcBorders>
              <w:top w:val="single" w:sz="4" w:space="0" w:color="auto"/>
              <w:left w:val="single" w:sz="6" w:space="0" w:color="000000"/>
              <w:bottom w:val="single" w:sz="6" w:space="0" w:color="000000"/>
              <w:right w:val="single" w:sz="4" w:space="0" w:color="auto"/>
            </w:tcBorders>
          </w:tcPr>
          <w:p w14:paraId="26577D7B" w14:textId="00C4C672" w:rsidR="003D5FE1" w:rsidRPr="004744B8" w:rsidRDefault="00BA5E98" w:rsidP="00C20D1A">
            <w:pPr>
              <w:pStyle w:val="NormalWeb"/>
              <w:spacing w:before="0" w:beforeAutospacing="0" w:after="120" w:afterAutospacing="0"/>
              <w:jc w:val="center"/>
              <w:rPr>
                <w:b/>
              </w:rPr>
            </w:pPr>
            <w:r w:rsidRPr="004744B8">
              <w:rPr>
                <w:b/>
              </w:rPr>
              <w:lastRenderedPageBreak/>
              <w:t>Ņemts vērā.</w:t>
            </w:r>
          </w:p>
        </w:tc>
        <w:tc>
          <w:tcPr>
            <w:tcW w:w="970" w:type="pct"/>
            <w:tcBorders>
              <w:top w:val="single" w:sz="4" w:space="0" w:color="auto"/>
              <w:left w:val="single" w:sz="4" w:space="0" w:color="auto"/>
            </w:tcBorders>
          </w:tcPr>
          <w:p w14:paraId="057599A0" w14:textId="6F35DE57" w:rsidR="003D5FE1" w:rsidRPr="00937060" w:rsidRDefault="00BA5E98" w:rsidP="003D5FE1">
            <w:pPr>
              <w:pStyle w:val="Title"/>
              <w:jc w:val="both"/>
              <w:outlineLvl w:val="0"/>
              <w:rPr>
                <w:b/>
                <w:sz w:val="24"/>
                <w:szCs w:val="24"/>
              </w:rPr>
            </w:pPr>
            <w:r w:rsidRPr="00937060">
              <w:rPr>
                <w:sz w:val="24"/>
                <w:szCs w:val="24"/>
              </w:rPr>
              <w:t>Lūdzu skatīt precizēto informatīvo ziņojumu</w:t>
            </w:r>
            <w:r>
              <w:rPr>
                <w:sz w:val="24"/>
                <w:szCs w:val="24"/>
              </w:rPr>
              <w:t xml:space="preserve"> un 2.pielikumu.</w:t>
            </w:r>
          </w:p>
        </w:tc>
      </w:tr>
      <w:tr w:rsidR="0035508B" w:rsidRPr="00937060" w14:paraId="2DD3FF76" w14:textId="77777777" w:rsidTr="00C066E7">
        <w:trPr>
          <w:trHeight w:val="404"/>
        </w:trPr>
        <w:tc>
          <w:tcPr>
            <w:tcW w:w="283" w:type="pct"/>
            <w:tcBorders>
              <w:top w:val="single" w:sz="6" w:space="0" w:color="000000"/>
              <w:left w:val="single" w:sz="6" w:space="0" w:color="000000"/>
              <w:bottom w:val="single" w:sz="6" w:space="0" w:color="000000"/>
              <w:right w:val="single" w:sz="4" w:space="0" w:color="auto"/>
            </w:tcBorders>
            <w:shd w:val="clear" w:color="auto" w:fill="FFFFFF" w:themeFill="background1"/>
          </w:tcPr>
          <w:p w14:paraId="4D3E0D92" w14:textId="77777777" w:rsidR="0035508B" w:rsidRPr="00937060" w:rsidRDefault="0035508B" w:rsidP="00B60E7A">
            <w:pPr>
              <w:pStyle w:val="naisc"/>
              <w:numPr>
                <w:ilvl w:val="0"/>
                <w:numId w:val="36"/>
              </w:numPr>
              <w:spacing w:before="0" w:after="0"/>
            </w:pPr>
          </w:p>
        </w:tc>
        <w:tc>
          <w:tcPr>
            <w:tcW w:w="1166" w:type="pct"/>
            <w:tcBorders>
              <w:top w:val="single" w:sz="4" w:space="0" w:color="auto"/>
              <w:left w:val="single" w:sz="4" w:space="0" w:color="auto"/>
              <w:bottom w:val="single" w:sz="4" w:space="0" w:color="auto"/>
              <w:right w:val="single" w:sz="4" w:space="0" w:color="auto"/>
            </w:tcBorders>
          </w:tcPr>
          <w:p w14:paraId="609B8423" w14:textId="2B2E5F2B" w:rsidR="0035508B" w:rsidRPr="00937060" w:rsidRDefault="0035508B" w:rsidP="0035508B">
            <w:pPr>
              <w:pStyle w:val="Title"/>
              <w:ind w:hanging="33"/>
              <w:jc w:val="both"/>
              <w:outlineLvl w:val="0"/>
              <w:rPr>
                <w:sz w:val="24"/>
                <w:szCs w:val="24"/>
              </w:rPr>
            </w:pPr>
            <w:r w:rsidRPr="00937060">
              <w:rPr>
                <w:sz w:val="24"/>
                <w:szCs w:val="24"/>
              </w:rPr>
              <w:t>3.2. apakšsadaļa “ES KP Institucionālā sistēma”, 2.rindkopa</w:t>
            </w:r>
          </w:p>
        </w:tc>
        <w:tc>
          <w:tcPr>
            <w:tcW w:w="1390" w:type="pct"/>
            <w:tcBorders>
              <w:top w:val="single" w:sz="6" w:space="0" w:color="000000"/>
              <w:left w:val="single" w:sz="4" w:space="0" w:color="auto"/>
              <w:bottom w:val="single" w:sz="6" w:space="0" w:color="000000"/>
              <w:right w:val="single" w:sz="6" w:space="0" w:color="000000"/>
            </w:tcBorders>
          </w:tcPr>
          <w:p w14:paraId="2B997C78" w14:textId="77777777" w:rsidR="0035508B" w:rsidRPr="00937060" w:rsidRDefault="0035508B" w:rsidP="0035508B">
            <w:pPr>
              <w:pStyle w:val="NoSpacing"/>
              <w:rPr>
                <w:b/>
                <w:u w:val="single"/>
              </w:rPr>
            </w:pPr>
            <w:r w:rsidRPr="00937060">
              <w:rPr>
                <w:b/>
                <w:u w:val="single"/>
              </w:rPr>
              <w:t>Labklājības ministrija:</w:t>
            </w:r>
          </w:p>
          <w:p w14:paraId="49291459" w14:textId="26D492C7" w:rsidR="0035508B" w:rsidRPr="00937060" w:rsidRDefault="0035508B" w:rsidP="0035508B">
            <w:pPr>
              <w:pStyle w:val="NoSpacing"/>
              <w:rPr>
                <w:b/>
                <w:szCs w:val="24"/>
                <w:u w:val="single"/>
              </w:rPr>
            </w:pPr>
            <w:r w:rsidRPr="00937060">
              <w:rPr>
                <w:szCs w:val="24"/>
                <w:lang w:eastAsia="lv-LV"/>
              </w:rPr>
              <w:t xml:space="preserve">Ņemot vērā, ka pastāv atšķirības EK un nacionālā izpratnē par </w:t>
            </w:r>
            <w:r w:rsidRPr="00937060">
              <w:rPr>
                <w:i/>
                <w:szCs w:val="24"/>
                <w:lang w:eastAsia="lv-LV"/>
              </w:rPr>
              <w:t>de minimis</w:t>
            </w:r>
            <w:r w:rsidRPr="00937060">
              <w:rPr>
                <w:szCs w:val="24"/>
                <w:lang w:eastAsia="lv-LV"/>
              </w:rPr>
              <w:t xml:space="preserve"> atbalsta klasificēšanu kā valsts atbalsta shēmas sastāvdaļu (proti, EK uzskata, ka </w:t>
            </w:r>
            <w:r w:rsidRPr="00937060">
              <w:rPr>
                <w:i/>
                <w:szCs w:val="24"/>
                <w:lang w:eastAsia="lv-LV"/>
              </w:rPr>
              <w:t>de minimis</w:t>
            </w:r>
            <w:r w:rsidRPr="00937060">
              <w:rPr>
                <w:szCs w:val="24"/>
                <w:lang w:eastAsia="lv-LV"/>
              </w:rPr>
              <w:t xml:space="preserve"> atbalsts nav valsts atbalsts Līguma par Eiropas Savienības darbību 107.panta izpratnē), lūdzam precizēt, kādus atbalsta veidus ietver vārdi “valsts atbalsta shēma”, vai tā ietver arī </w:t>
            </w:r>
            <w:r w:rsidRPr="00937060">
              <w:rPr>
                <w:i/>
                <w:szCs w:val="24"/>
                <w:lang w:eastAsia="lv-LV"/>
              </w:rPr>
              <w:t>de minimis</w:t>
            </w:r>
            <w:r w:rsidRPr="00937060">
              <w:rPr>
                <w:szCs w:val="24"/>
                <w:lang w:eastAsia="lv-LV"/>
              </w:rPr>
              <w:t xml:space="preserve"> atbalstu. Vienlaikus norādām, ka attiecībā uz labklājības nozares specifiskajiem atbalsta mērķiem nav atbalstāms informatīvajā ziņojumā plānotais mehānisms, kad valsts atbalsta shēmu gadījumā sadarbības iestāde Centrālā finanšu un līgumu aģentūra tieši sadarbojas ar finansējuma saņēmēju/gala labuma guvēju, apstiprina projektu un slēdz līgumu, jo tas ir pretrunā ar nacionālajā </w:t>
            </w:r>
            <w:r w:rsidRPr="00937060">
              <w:rPr>
                <w:szCs w:val="24"/>
                <w:lang w:eastAsia="lv-LV"/>
              </w:rPr>
              <w:lastRenderedPageBreak/>
              <w:t>regulējumā noteikto aktīvās darba tirgus politikas pasākumu un sociālās uzņēmējdarbības politikas ieviešanas mehānismu. Attiecīgi lūdzam precizēt informatīvā ziņojuma 3.2.sadaļas “EP KP Institucionālā sistēma” otro rindkopu.</w:t>
            </w:r>
          </w:p>
        </w:tc>
        <w:tc>
          <w:tcPr>
            <w:tcW w:w="1191" w:type="pct"/>
            <w:tcBorders>
              <w:top w:val="single" w:sz="6" w:space="0" w:color="000000"/>
              <w:left w:val="single" w:sz="6" w:space="0" w:color="000000"/>
              <w:bottom w:val="single" w:sz="6" w:space="0" w:color="000000"/>
              <w:right w:val="single" w:sz="4" w:space="0" w:color="auto"/>
            </w:tcBorders>
          </w:tcPr>
          <w:p w14:paraId="3055BD3C" w14:textId="47000943" w:rsidR="0035508B" w:rsidRDefault="0035508B" w:rsidP="00C20D1A">
            <w:pPr>
              <w:pStyle w:val="NormalWeb"/>
              <w:spacing w:before="0" w:beforeAutospacing="0" w:after="120" w:afterAutospacing="0"/>
              <w:jc w:val="center"/>
              <w:rPr>
                <w:b/>
              </w:rPr>
            </w:pPr>
            <w:r>
              <w:rPr>
                <w:b/>
              </w:rPr>
              <w:lastRenderedPageBreak/>
              <w:t>Ņemts vērā.</w:t>
            </w:r>
          </w:p>
          <w:p w14:paraId="7E750EA7" w14:textId="77777777" w:rsidR="0035508B" w:rsidRDefault="0035508B" w:rsidP="0035508B">
            <w:pPr>
              <w:pStyle w:val="NormalWeb"/>
              <w:spacing w:before="0" w:beforeAutospacing="0" w:after="120" w:afterAutospacing="0"/>
              <w:jc w:val="both"/>
            </w:pPr>
            <w:r w:rsidRPr="00125D14">
              <w:t xml:space="preserve">Skaidrojam, ka informatīvā ziņojuma tekstā ar valsts atbalstu tiek saprasts valsts atbalsts, nevis de minimis. </w:t>
            </w:r>
          </w:p>
          <w:p w14:paraId="47FE67CF" w14:textId="1752A3B7" w:rsidR="0035508B" w:rsidRPr="00125D14" w:rsidRDefault="0035508B" w:rsidP="0035508B">
            <w:pPr>
              <w:pStyle w:val="NormalWeb"/>
              <w:spacing w:before="0" w:beforeAutospacing="0" w:after="120" w:afterAutospacing="0"/>
              <w:jc w:val="both"/>
            </w:pPr>
            <w:r>
              <w:t xml:space="preserve">Vēršam uzmanību, ka šobrīd kopējās fondu regulas priekšlikums paredz ierobežojumu attiecībā uz valsts atbalsts shēmām, līdz ar to, ja šāda redakcija tiks apstiprināta, dalībvalstij būs jāskaņo ar EK attiecīgo specifisko atbalsta mērķu ieviešanas mehānismi, ja nacionālais regulējums nosaka citādi. </w:t>
            </w:r>
          </w:p>
        </w:tc>
        <w:tc>
          <w:tcPr>
            <w:tcW w:w="970" w:type="pct"/>
            <w:tcBorders>
              <w:left w:val="single" w:sz="4" w:space="0" w:color="auto"/>
              <w:bottom w:val="single" w:sz="4" w:space="0" w:color="auto"/>
            </w:tcBorders>
          </w:tcPr>
          <w:p w14:paraId="05E14300" w14:textId="3DF3632C" w:rsidR="0035508B" w:rsidRPr="00937060" w:rsidRDefault="0035508B" w:rsidP="0035508B">
            <w:pPr>
              <w:pStyle w:val="Title"/>
              <w:jc w:val="both"/>
              <w:outlineLvl w:val="0"/>
              <w:rPr>
                <w:sz w:val="24"/>
                <w:szCs w:val="24"/>
              </w:rPr>
            </w:pPr>
            <w:r w:rsidRPr="00937060">
              <w:rPr>
                <w:sz w:val="24"/>
                <w:szCs w:val="24"/>
              </w:rPr>
              <w:t>Lūdzu skatīt precizēto informatīvo ziņojumu</w:t>
            </w:r>
            <w:r>
              <w:rPr>
                <w:sz w:val="24"/>
                <w:szCs w:val="24"/>
              </w:rPr>
              <w:t>.</w:t>
            </w:r>
          </w:p>
        </w:tc>
      </w:tr>
      <w:tr w:rsidR="0035508B" w:rsidRPr="00937060" w14:paraId="0D382A37" w14:textId="77777777" w:rsidTr="00C066E7">
        <w:trPr>
          <w:trHeight w:val="404"/>
        </w:trPr>
        <w:tc>
          <w:tcPr>
            <w:tcW w:w="283" w:type="pct"/>
            <w:tcBorders>
              <w:top w:val="single" w:sz="6" w:space="0" w:color="000000"/>
              <w:left w:val="single" w:sz="6" w:space="0" w:color="000000"/>
              <w:bottom w:val="single" w:sz="6" w:space="0" w:color="000000"/>
              <w:right w:val="single" w:sz="4" w:space="0" w:color="auto"/>
            </w:tcBorders>
            <w:shd w:val="clear" w:color="auto" w:fill="FFFFFF" w:themeFill="background1"/>
          </w:tcPr>
          <w:p w14:paraId="4BB98F81" w14:textId="77777777" w:rsidR="0035508B" w:rsidRPr="00937060" w:rsidRDefault="0035508B" w:rsidP="00B60E7A">
            <w:pPr>
              <w:pStyle w:val="naisc"/>
              <w:numPr>
                <w:ilvl w:val="0"/>
                <w:numId w:val="36"/>
              </w:numPr>
              <w:spacing w:before="0" w:after="0"/>
            </w:pPr>
          </w:p>
        </w:tc>
        <w:tc>
          <w:tcPr>
            <w:tcW w:w="1166" w:type="pct"/>
            <w:tcBorders>
              <w:top w:val="single" w:sz="4" w:space="0" w:color="auto"/>
              <w:left w:val="single" w:sz="4" w:space="0" w:color="auto"/>
              <w:bottom w:val="single" w:sz="4" w:space="0" w:color="auto"/>
              <w:right w:val="single" w:sz="4" w:space="0" w:color="auto"/>
            </w:tcBorders>
          </w:tcPr>
          <w:p w14:paraId="28C31F62" w14:textId="541A9D3E" w:rsidR="0035508B" w:rsidRPr="00937060" w:rsidRDefault="0035508B" w:rsidP="0035508B">
            <w:pPr>
              <w:pStyle w:val="Title"/>
              <w:jc w:val="both"/>
              <w:outlineLvl w:val="0"/>
              <w:rPr>
                <w:sz w:val="24"/>
                <w:szCs w:val="24"/>
              </w:rPr>
            </w:pPr>
            <w:r w:rsidRPr="00937060">
              <w:rPr>
                <w:sz w:val="24"/>
                <w:szCs w:val="24"/>
              </w:rPr>
              <w:t xml:space="preserve">3.2. apakšsadaļa “ES KP Institucionālā sistēma”, Informatīvā ziņojuma 2.attēls </w:t>
            </w:r>
          </w:p>
        </w:tc>
        <w:tc>
          <w:tcPr>
            <w:tcW w:w="1390" w:type="pct"/>
            <w:tcBorders>
              <w:top w:val="single" w:sz="6" w:space="0" w:color="000000"/>
              <w:left w:val="single" w:sz="4" w:space="0" w:color="auto"/>
              <w:bottom w:val="single" w:sz="6" w:space="0" w:color="000000"/>
              <w:right w:val="single" w:sz="6" w:space="0" w:color="000000"/>
            </w:tcBorders>
          </w:tcPr>
          <w:p w14:paraId="05EF9644" w14:textId="77777777" w:rsidR="0035508B" w:rsidRPr="00937060" w:rsidRDefault="0035508B" w:rsidP="0035508B">
            <w:pPr>
              <w:pStyle w:val="NoSpacing"/>
              <w:rPr>
                <w:b/>
                <w:szCs w:val="24"/>
                <w:u w:val="single"/>
              </w:rPr>
            </w:pPr>
            <w:r w:rsidRPr="00937060">
              <w:rPr>
                <w:b/>
                <w:szCs w:val="24"/>
                <w:u w:val="single"/>
              </w:rPr>
              <w:t>Labklājības ministrija:</w:t>
            </w:r>
          </w:p>
          <w:p w14:paraId="6097AC12" w14:textId="7DDEA8A7" w:rsidR="0035508B" w:rsidRPr="00937060" w:rsidRDefault="0035508B" w:rsidP="0035508B">
            <w:pPr>
              <w:spacing w:after="120"/>
              <w:jc w:val="both"/>
            </w:pPr>
            <w:r w:rsidRPr="00937060">
              <w:t xml:space="preserve">Lūdzam precizēt 2.attēlu, atspoguļojot sadarbības iestādes un atbildīgās iestādes sadarbību. </w:t>
            </w:r>
          </w:p>
        </w:tc>
        <w:tc>
          <w:tcPr>
            <w:tcW w:w="1191" w:type="pct"/>
            <w:tcBorders>
              <w:top w:val="single" w:sz="6" w:space="0" w:color="000000"/>
              <w:left w:val="single" w:sz="6" w:space="0" w:color="000000"/>
              <w:bottom w:val="single" w:sz="6" w:space="0" w:color="000000"/>
              <w:right w:val="single" w:sz="4" w:space="0" w:color="auto"/>
            </w:tcBorders>
          </w:tcPr>
          <w:p w14:paraId="35B11498" w14:textId="549191F4" w:rsidR="0035508B" w:rsidRPr="00937060" w:rsidRDefault="00C25F95" w:rsidP="00C20D1A">
            <w:pPr>
              <w:pStyle w:val="NormalWeb"/>
              <w:spacing w:before="0" w:beforeAutospacing="0" w:after="120" w:afterAutospacing="0"/>
              <w:jc w:val="center"/>
              <w:rPr>
                <w:b/>
              </w:rPr>
            </w:pPr>
            <w:r>
              <w:rPr>
                <w:b/>
              </w:rPr>
              <w:t>Ņemts vērā.</w:t>
            </w:r>
          </w:p>
        </w:tc>
        <w:tc>
          <w:tcPr>
            <w:tcW w:w="970" w:type="pct"/>
            <w:tcBorders>
              <w:left w:val="single" w:sz="4" w:space="0" w:color="auto"/>
              <w:bottom w:val="single" w:sz="4" w:space="0" w:color="auto"/>
            </w:tcBorders>
          </w:tcPr>
          <w:p w14:paraId="656FCDD4" w14:textId="236BFC9F" w:rsidR="0035508B" w:rsidRPr="00937060" w:rsidRDefault="00C25F95" w:rsidP="0035508B">
            <w:pPr>
              <w:pStyle w:val="Title"/>
              <w:jc w:val="both"/>
              <w:outlineLvl w:val="0"/>
              <w:rPr>
                <w:sz w:val="24"/>
                <w:szCs w:val="24"/>
              </w:rPr>
            </w:pPr>
            <w:r w:rsidRPr="00937060">
              <w:rPr>
                <w:sz w:val="24"/>
                <w:szCs w:val="24"/>
              </w:rPr>
              <w:t>Lūdzu skatīt precizēto informatīvo ziņojumu</w:t>
            </w:r>
            <w:r>
              <w:rPr>
                <w:sz w:val="24"/>
                <w:szCs w:val="24"/>
              </w:rPr>
              <w:t>.</w:t>
            </w:r>
          </w:p>
        </w:tc>
      </w:tr>
      <w:tr w:rsidR="0035508B" w:rsidRPr="00937060" w14:paraId="546A8AAA" w14:textId="77777777" w:rsidTr="00C066E7">
        <w:trPr>
          <w:trHeight w:val="404"/>
        </w:trPr>
        <w:tc>
          <w:tcPr>
            <w:tcW w:w="283" w:type="pct"/>
            <w:tcBorders>
              <w:top w:val="single" w:sz="6" w:space="0" w:color="000000"/>
              <w:left w:val="single" w:sz="6" w:space="0" w:color="000000"/>
              <w:bottom w:val="single" w:sz="6" w:space="0" w:color="000000"/>
              <w:right w:val="single" w:sz="4" w:space="0" w:color="auto"/>
            </w:tcBorders>
            <w:shd w:val="clear" w:color="auto" w:fill="FFFFFF" w:themeFill="background1"/>
          </w:tcPr>
          <w:p w14:paraId="47EB6B8E" w14:textId="77777777" w:rsidR="0035508B" w:rsidRPr="00937060" w:rsidRDefault="0035508B" w:rsidP="00B60E7A">
            <w:pPr>
              <w:pStyle w:val="naisc"/>
              <w:numPr>
                <w:ilvl w:val="0"/>
                <w:numId w:val="36"/>
              </w:numPr>
              <w:spacing w:before="0" w:after="0"/>
            </w:pPr>
          </w:p>
        </w:tc>
        <w:tc>
          <w:tcPr>
            <w:tcW w:w="1166" w:type="pct"/>
            <w:tcBorders>
              <w:top w:val="single" w:sz="4" w:space="0" w:color="auto"/>
              <w:left w:val="single" w:sz="4" w:space="0" w:color="auto"/>
              <w:bottom w:val="single" w:sz="4" w:space="0" w:color="auto"/>
              <w:right w:val="single" w:sz="4" w:space="0" w:color="auto"/>
            </w:tcBorders>
          </w:tcPr>
          <w:p w14:paraId="2D89FD94" w14:textId="0510DFBA" w:rsidR="0035508B" w:rsidRPr="00937060" w:rsidRDefault="0035508B" w:rsidP="0035508B">
            <w:pPr>
              <w:pStyle w:val="Title"/>
              <w:ind w:hanging="33"/>
              <w:jc w:val="both"/>
              <w:outlineLvl w:val="0"/>
              <w:rPr>
                <w:sz w:val="24"/>
                <w:szCs w:val="24"/>
              </w:rPr>
            </w:pPr>
            <w:r w:rsidRPr="00937060">
              <w:rPr>
                <w:sz w:val="24"/>
                <w:szCs w:val="24"/>
              </w:rPr>
              <w:t>3.2. apakšsadaļa “ES KP Institucionālā sistēma”, 6.rindkopa</w:t>
            </w:r>
          </w:p>
        </w:tc>
        <w:tc>
          <w:tcPr>
            <w:tcW w:w="1390" w:type="pct"/>
            <w:tcBorders>
              <w:top w:val="single" w:sz="6" w:space="0" w:color="000000"/>
              <w:left w:val="single" w:sz="4" w:space="0" w:color="auto"/>
              <w:bottom w:val="single" w:sz="6" w:space="0" w:color="000000"/>
              <w:right w:val="single" w:sz="6" w:space="0" w:color="000000"/>
            </w:tcBorders>
          </w:tcPr>
          <w:p w14:paraId="53F50593" w14:textId="77777777" w:rsidR="0035508B" w:rsidRPr="00937060" w:rsidRDefault="0035508B" w:rsidP="0035508B">
            <w:pPr>
              <w:pStyle w:val="NoSpacing"/>
              <w:rPr>
                <w:b/>
                <w:u w:val="single"/>
              </w:rPr>
            </w:pPr>
            <w:r w:rsidRPr="00937060">
              <w:rPr>
                <w:b/>
                <w:u w:val="single"/>
              </w:rPr>
              <w:t>Labklājības ministrija:</w:t>
            </w:r>
          </w:p>
          <w:p w14:paraId="21D1EC30" w14:textId="6C8E44A3" w:rsidR="0035508B" w:rsidRPr="00937060" w:rsidRDefault="0035508B" w:rsidP="0035508B">
            <w:pPr>
              <w:spacing w:after="120"/>
              <w:jc w:val="both"/>
            </w:pPr>
            <w:r w:rsidRPr="00937060">
              <w:t xml:space="preserve">Lūdzam precizēt informatīvā ziņojuma 3.2.sadaļas “ES KP Institucionālā sistēma” pēdējā rindkopā minēto, ka vadošā iestāde nodrošinās kritērijus, tādējādi novēršot pretrunu ar minētās sadaļas pirmās rindkopas 2) punktā minēto, ka projektu iesniegumu atlases kritērijus sadarbībā ar sadarbības partneriem nodrošina atbildīgā iestāde. </w:t>
            </w:r>
          </w:p>
        </w:tc>
        <w:tc>
          <w:tcPr>
            <w:tcW w:w="1191" w:type="pct"/>
            <w:tcBorders>
              <w:top w:val="single" w:sz="6" w:space="0" w:color="000000"/>
              <w:left w:val="single" w:sz="6" w:space="0" w:color="000000"/>
              <w:bottom w:val="single" w:sz="6" w:space="0" w:color="000000"/>
              <w:right w:val="single" w:sz="4" w:space="0" w:color="auto"/>
            </w:tcBorders>
          </w:tcPr>
          <w:p w14:paraId="257C0990" w14:textId="79C71CBD" w:rsidR="0035508B" w:rsidRDefault="00297BD9" w:rsidP="00C20D1A">
            <w:pPr>
              <w:pStyle w:val="NormalWeb"/>
              <w:spacing w:before="0" w:beforeAutospacing="0" w:after="120" w:afterAutospacing="0"/>
              <w:jc w:val="center"/>
              <w:rPr>
                <w:b/>
              </w:rPr>
            </w:pPr>
            <w:r>
              <w:rPr>
                <w:b/>
              </w:rPr>
              <w:t>Ņ</w:t>
            </w:r>
            <w:r w:rsidR="00BC7C84">
              <w:rPr>
                <w:b/>
              </w:rPr>
              <w:t>emts vērā.</w:t>
            </w:r>
          </w:p>
          <w:p w14:paraId="0D5EA39D" w14:textId="133DB020" w:rsidR="00BC7C84" w:rsidRPr="00BC7C84" w:rsidRDefault="00BC7C84" w:rsidP="00297BD9">
            <w:pPr>
              <w:pStyle w:val="NormalWeb"/>
              <w:spacing w:before="0" w:beforeAutospacing="0" w:after="120" w:afterAutospacing="0"/>
              <w:jc w:val="both"/>
            </w:pPr>
            <w:r w:rsidRPr="00BC7C84">
              <w:t xml:space="preserve">Skaidrojam, ka </w:t>
            </w:r>
            <w:r>
              <w:t>pēdējā rindkopā domāti kopējie kritēriji, kurus izstrādās FM un kuri tiks iekļauti kritēriju vadlīnijās līdzīgi kā 2014.-2020.gada plānošanas periodā</w:t>
            </w:r>
            <w:r w:rsidR="00297BD9">
              <w:t>, kā arī vēršam uzmanību, ka FM kritēriju saskaņošanas procesā nodrošina to atbilstību E</w:t>
            </w:r>
            <w:r w:rsidR="00442A87">
              <w:t>S</w:t>
            </w:r>
            <w:r w:rsidR="00297BD9">
              <w:t xml:space="preserve"> fondu regulējumam un prasībām. </w:t>
            </w:r>
          </w:p>
        </w:tc>
        <w:tc>
          <w:tcPr>
            <w:tcW w:w="970" w:type="pct"/>
            <w:tcBorders>
              <w:left w:val="single" w:sz="4" w:space="0" w:color="auto"/>
              <w:bottom w:val="single" w:sz="4" w:space="0" w:color="auto"/>
            </w:tcBorders>
          </w:tcPr>
          <w:p w14:paraId="02B77E07" w14:textId="69B5C249" w:rsidR="0035508B" w:rsidRPr="00937060" w:rsidRDefault="00BC7C84" w:rsidP="0035508B">
            <w:pPr>
              <w:pStyle w:val="Title"/>
              <w:jc w:val="both"/>
              <w:outlineLvl w:val="0"/>
              <w:rPr>
                <w:sz w:val="24"/>
                <w:szCs w:val="24"/>
              </w:rPr>
            </w:pPr>
            <w:r w:rsidRPr="00937060">
              <w:rPr>
                <w:sz w:val="24"/>
                <w:szCs w:val="24"/>
              </w:rPr>
              <w:t>Lūdzu skatīt precizēto informatīvo ziņojumu</w:t>
            </w:r>
            <w:r>
              <w:rPr>
                <w:sz w:val="24"/>
                <w:szCs w:val="24"/>
              </w:rPr>
              <w:t>.</w:t>
            </w:r>
          </w:p>
        </w:tc>
      </w:tr>
      <w:tr w:rsidR="0035508B" w:rsidRPr="00937060" w14:paraId="660C7337" w14:textId="77777777" w:rsidTr="00C066E7">
        <w:trPr>
          <w:trHeight w:val="404"/>
        </w:trPr>
        <w:tc>
          <w:tcPr>
            <w:tcW w:w="283" w:type="pct"/>
            <w:tcBorders>
              <w:top w:val="single" w:sz="6" w:space="0" w:color="000000"/>
              <w:left w:val="single" w:sz="6" w:space="0" w:color="000000"/>
              <w:bottom w:val="single" w:sz="6" w:space="0" w:color="000000"/>
              <w:right w:val="single" w:sz="4" w:space="0" w:color="auto"/>
            </w:tcBorders>
            <w:shd w:val="clear" w:color="auto" w:fill="FFFFFF" w:themeFill="background1"/>
          </w:tcPr>
          <w:p w14:paraId="60CEF4E4" w14:textId="77777777" w:rsidR="0035508B" w:rsidRPr="00937060" w:rsidRDefault="0035508B" w:rsidP="00B60E7A">
            <w:pPr>
              <w:pStyle w:val="naisc"/>
              <w:numPr>
                <w:ilvl w:val="0"/>
                <w:numId w:val="36"/>
              </w:numPr>
              <w:spacing w:before="0" w:after="0"/>
            </w:pPr>
          </w:p>
        </w:tc>
        <w:tc>
          <w:tcPr>
            <w:tcW w:w="1166" w:type="pct"/>
            <w:tcBorders>
              <w:top w:val="single" w:sz="4" w:space="0" w:color="auto"/>
              <w:left w:val="single" w:sz="4" w:space="0" w:color="auto"/>
              <w:bottom w:val="single" w:sz="4" w:space="0" w:color="auto"/>
              <w:right w:val="single" w:sz="4" w:space="0" w:color="auto"/>
            </w:tcBorders>
          </w:tcPr>
          <w:p w14:paraId="7E95B9BF" w14:textId="4D4A44A9" w:rsidR="0035508B" w:rsidRPr="00937060" w:rsidRDefault="0035508B" w:rsidP="0035508B">
            <w:pPr>
              <w:pStyle w:val="Title"/>
              <w:ind w:hanging="33"/>
              <w:jc w:val="both"/>
              <w:outlineLvl w:val="0"/>
              <w:rPr>
                <w:sz w:val="24"/>
                <w:szCs w:val="24"/>
              </w:rPr>
            </w:pPr>
            <w:r w:rsidRPr="00937060">
              <w:rPr>
                <w:sz w:val="24"/>
                <w:szCs w:val="24"/>
              </w:rPr>
              <w:t>3.2. apakšsadaļa “ES KP Institucionālā sistēma”, 6.rindkopa</w:t>
            </w:r>
          </w:p>
        </w:tc>
        <w:tc>
          <w:tcPr>
            <w:tcW w:w="1390" w:type="pct"/>
            <w:tcBorders>
              <w:top w:val="single" w:sz="6" w:space="0" w:color="000000"/>
              <w:left w:val="single" w:sz="4" w:space="0" w:color="auto"/>
              <w:bottom w:val="single" w:sz="6" w:space="0" w:color="000000"/>
              <w:right w:val="single" w:sz="6" w:space="0" w:color="000000"/>
            </w:tcBorders>
          </w:tcPr>
          <w:p w14:paraId="4EF2E2E4" w14:textId="23E984B9" w:rsidR="0035508B" w:rsidRPr="00937060" w:rsidRDefault="0035508B" w:rsidP="0035508B">
            <w:pPr>
              <w:widowControl w:val="0"/>
              <w:jc w:val="both"/>
              <w:rPr>
                <w:rFonts w:eastAsia="Calibri"/>
                <w:b/>
                <w:u w:val="single"/>
                <w:lang w:eastAsia="en-US"/>
              </w:rPr>
            </w:pPr>
            <w:r w:rsidRPr="00937060">
              <w:rPr>
                <w:rFonts w:eastAsia="Calibri"/>
                <w:b/>
                <w:u w:val="single"/>
                <w:lang w:eastAsia="en-US"/>
              </w:rPr>
              <w:t>Valsts kanceleja:</w:t>
            </w:r>
          </w:p>
          <w:p w14:paraId="5103DC4E" w14:textId="63FBD3A2" w:rsidR="0035508B" w:rsidRPr="00937060" w:rsidRDefault="0035508B" w:rsidP="0035508B">
            <w:pPr>
              <w:widowControl w:val="0"/>
              <w:jc w:val="both"/>
              <w:rPr>
                <w:rFonts w:eastAsia="Calibri"/>
                <w:lang w:eastAsia="en-US"/>
              </w:rPr>
            </w:pPr>
            <w:r w:rsidRPr="00937060">
              <w:rPr>
                <w:rFonts w:eastAsia="Calibri"/>
                <w:lang w:eastAsia="en-US"/>
              </w:rPr>
              <w:t xml:space="preserve">Lūdzam skaidrot 3.2. sadaļas pēdējo rindkopu, kādus kritērijus nodrošinās Finanšu ministrija kā ES KP fondu vadošā iestāde. Saprotams, ka Finanšu ministrija var nodrošināt attiecīgās procedūras, kas ir nediskriminējošas, pārredzamas, nodrošina dzimumu līdztiesību un ņem vērā Eiropas Savienības Pamattiesību hartu un ilgtspējīgas attīstības principu, un </w:t>
            </w:r>
            <w:r w:rsidRPr="00937060">
              <w:rPr>
                <w:rFonts w:eastAsia="Calibri"/>
                <w:lang w:eastAsia="en-US"/>
              </w:rPr>
              <w:lastRenderedPageBreak/>
              <w:t>Savienības politiku vides jomā.</w:t>
            </w:r>
          </w:p>
        </w:tc>
        <w:tc>
          <w:tcPr>
            <w:tcW w:w="1191" w:type="pct"/>
            <w:tcBorders>
              <w:top w:val="single" w:sz="6" w:space="0" w:color="000000"/>
              <w:left w:val="single" w:sz="6" w:space="0" w:color="000000"/>
              <w:bottom w:val="single" w:sz="6" w:space="0" w:color="000000"/>
              <w:right w:val="single" w:sz="4" w:space="0" w:color="auto"/>
            </w:tcBorders>
          </w:tcPr>
          <w:p w14:paraId="0785D236" w14:textId="4B341645" w:rsidR="0035508B" w:rsidRDefault="00297BD9" w:rsidP="00C20D1A">
            <w:pPr>
              <w:pStyle w:val="NormalWeb"/>
              <w:spacing w:before="0" w:beforeAutospacing="0" w:after="120" w:afterAutospacing="0"/>
              <w:jc w:val="center"/>
              <w:rPr>
                <w:b/>
              </w:rPr>
            </w:pPr>
            <w:r>
              <w:rPr>
                <w:b/>
              </w:rPr>
              <w:lastRenderedPageBreak/>
              <w:t>Ņemts vērā.</w:t>
            </w:r>
          </w:p>
          <w:p w14:paraId="1C27895C" w14:textId="4397A9B0" w:rsidR="00297BD9" w:rsidRPr="00937060" w:rsidRDefault="00297BD9" w:rsidP="00442A87">
            <w:pPr>
              <w:pStyle w:val="NormalWeb"/>
              <w:spacing w:before="0" w:beforeAutospacing="0" w:after="120" w:afterAutospacing="0"/>
              <w:jc w:val="both"/>
              <w:rPr>
                <w:b/>
              </w:rPr>
            </w:pPr>
            <w:r w:rsidRPr="00BC7C84">
              <w:t xml:space="preserve">Skaidrojam, ka </w:t>
            </w:r>
            <w:r>
              <w:t>pēdējā rindkopā domāti kopējie kritēriji, kurus izstrādās FM un kuri tiks iekļauti kritēriju vadlīnijās līdzīgi kā 2014.-2020.gada plānošanas periodā</w:t>
            </w:r>
            <w:r w:rsidR="00442A87">
              <w:t xml:space="preserve">, kā arī vēršam uzmanību, ka FM kritēriju saskaņošanas procesā nodrošina to atbilstību </w:t>
            </w:r>
            <w:r w:rsidR="00442A87">
              <w:lastRenderedPageBreak/>
              <w:t>ES fondu regulējumam un prasībām.</w:t>
            </w:r>
          </w:p>
        </w:tc>
        <w:tc>
          <w:tcPr>
            <w:tcW w:w="970" w:type="pct"/>
            <w:tcBorders>
              <w:left w:val="single" w:sz="4" w:space="0" w:color="auto"/>
              <w:bottom w:val="single" w:sz="4" w:space="0" w:color="auto"/>
            </w:tcBorders>
          </w:tcPr>
          <w:p w14:paraId="33CD4CEA" w14:textId="0D7441C4" w:rsidR="0035508B" w:rsidRPr="00937060" w:rsidRDefault="00442A87" w:rsidP="0035508B">
            <w:pPr>
              <w:pStyle w:val="Title"/>
              <w:jc w:val="both"/>
              <w:outlineLvl w:val="0"/>
              <w:rPr>
                <w:sz w:val="24"/>
                <w:szCs w:val="24"/>
              </w:rPr>
            </w:pPr>
            <w:r w:rsidRPr="00937060">
              <w:rPr>
                <w:sz w:val="24"/>
                <w:szCs w:val="24"/>
              </w:rPr>
              <w:lastRenderedPageBreak/>
              <w:t>Lūdzu skatīt precizēto informatīvo ziņojumu</w:t>
            </w:r>
            <w:r>
              <w:rPr>
                <w:sz w:val="24"/>
                <w:szCs w:val="24"/>
              </w:rPr>
              <w:t>.</w:t>
            </w:r>
          </w:p>
        </w:tc>
      </w:tr>
      <w:tr w:rsidR="006C27DD" w:rsidRPr="00937060" w14:paraId="16AEA65E" w14:textId="77777777" w:rsidTr="00C066E7">
        <w:trPr>
          <w:trHeight w:val="404"/>
        </w:trPr>
        <w:tc>
          <w:tcPr>
            <w:tcW w:w="283" w:type="pct"/>
            <w:tcBorders>
              <w:top w:val="single" w:sz="6" w:space="0" w:color="000000"/>
              <w:left w:val="single" w:sz="6" w:space="0" w:color="000000"/>
              <w:bottom w:val="single" w:sz="6" w:space="0" w:color="000000"/>
              <w:right w:val="single" w:sz="4" w:space="0" w:color="auto"/>
            </w:tcBorders>
            <w:shd w:val="clear" w:color="auto" w:fill="FFFFFF" w:themeFill="background1"/>
          </w:tcPr>
          <w:p w14:paraId="64212C8E" w14:textId="77777777" w:rsidR="006C27DD" w:rsidRPr="00937060" w:rsidRDefault="006C27DD" w:rsidP="00B60E7A">
            <w:pPr>
              <w:pStyle w:val="naisc"/>
              <w:numPr>
                <w:ilvl w:val="0"/>
                <w:numId w:val="36"/>
              </w:numPr>
              <w:spacing w:before="0" w:after="0"/>
            </w:pPr>
          </w:p>
        </w:tc>
        <w:tc>
          <w:tcPr>
            <w:tcW w:w="1166" w:type="pct"/>
            <w:tcBorders>
              <w:top w:val="single" w:sz="4" w:space="0" w:color="auto"/>
              <w:left w:val="single" w:sz="4" w:space="0" w:color="auto"/>
              <w:bottom w:val="single" w:sz="4" w:space="0" w:color="auto"/>
              <w:right w:val="single" w:sz="4" w:space="0" w:color="auto"/>
            </w:tcBorders>
          </w:tcPr>
          <w:p w14:paraId="67B7261D" w14:textId="65BB23DA" w:rsidR="006C27DD" w:rsidRPr="00937060" w:rsidRDefault="006C27DD" w:rsidP="0035508B">
            <w:pPr>
              <w:pStyle w:val="Title"/>
              <w:ind w:hanging="33"/>
              <w:jc w:val="both"/>
              <w:outlineLvl w:val="0"/>
              <w:rPr>
                <w:sz w:val="24"/>
                <w:szCs w:val="24"/>
              </w:rPr>
            </w:pPr>
            <w:r w:rsidRPr="00937060">
              <w:rPr>
                <w:sz w:val="24"/>
                <w:szCs w:val="24"/>
              </w:rPr>
              <w:t>3.2. apakšsadaļa “ES KP Institucionālā sistēma”, vispārīgs komentārs</w:t>
            </w:r>
          </w:p>
        </w:tc>
        <w:tc>
          <w:tcPr>
            <w:tcW w:w="1390" w:type="pct"/>
            <w:tcBorders>
              <w:top w:val="single" w:sz="6" w:space="0" w:color="000000"/>
              <w:left w:val="single" w:sz="4" w:space="0" w:color="auto"/>
              <w:bottom w:val="single" w:sz="6" w:space="0" w:color="000000"/>
              <w:right w:val="single" w:sz="6" w:space="0" w:color="000000"/>
            </w:tcBorders>
          </w:tcPr>
          <w:p w14:paraId="10C62E9E" w14:textId="77777777" w:rsidR="006C27DD" w:rsidRDefault="006C27DD" w:rsidP="0035508B">
            <w:pPr>
              <w:pStyle w:val="NoSpacing"/>
              <w:rPr>
                <w:b/>
                <w:u w:val="single"/>
              </w:rPr>
            </w:pPr>
            <w:r>
              <w:rPr>
                <w:b/>
                <w:u w:val="single"/>
              </w:rPr>
              <w:t>Ekonomikas</w:t>
            </w:r>
            <w:r w:rsidRPr="003B1E10">
              <w:rPr>
                <w:b/>
                <w:u w:val="single"/>
              </w:rPr>
              <w:t xml:space="preserve"> ministrijas 29.05.2019. iebildums</w:t>
            </w:r>
            <w:r>
              <w:rPr>
                <w:b/>
                <w:u w:val="single"/>
              </w:rPr>
              <w:t>:</w:t>
            </w:r>
          </w:p>
          <w:p w14:paraId="745B6AAB" w14:textId="6C1D376F" w:rsidR="006C27DD" w:rsidRDefault="006C27DD" w:rsidP="0035508B">
            <w:pPr>
              <w:pStyle w:val="NoSpacing"/>
              <w:rPr>
                <w:b/>
                <w:u w:val="single"/>
              </w:rPr>
            </w:pPr>
            <w:r>
              <w:t>Papildus EM lūdz papildināt informatīvo ziņojumu 3.2.sadaļā ar atrunu: “Ņemot vērā, ka Kopējās fondu regulas gala redakcijas vēl var mainīties, nacionāli var būt nepieciešams atgriezties pie diskusijas par  ES KP fondu ieviešanas institucionālās sistēmas uzbūvi, konkrēti – par atsevišķu institucionālās sistēmas dalībnieku lomu tajā, ievērojot gan NAP un NIP (RIS3) sagatavošanas rezultātus, gan reaģējot uz investīciju un inovāciju politikas ieviešanas modeļa attīstību Latvijā (piem., Inovācijas Fonda izveide).</w:t>
            </w:r>
          </w:p>
          <w:p w14:paraId="783E2144" w14:textId="41B914B0" w:rsidR="006C27DD" w:rsidRPr="00937060" w:rsidRDefault="006C27DD" w:rsidP="0035508B">
            <w:pPr>
              <w:pStyle w:val="NoSpacing"/>
              <w:rPr>
                <w:b/>
                <w:szCs w:val="24"/>
                <w:u w:val="single"/>
              </w:rPr>
            </w:pPr>
          </w:p>
        </w:tc>
        <w:tc>
          <w:tcPr>
            <w:tcW w:w="1191" w:type="pct"/>
            <w:tcBorders>
              <w:top w:val="single" w:sz="6" w:space="0" w:color="000000"/>
              <w:left w:val="single" w:sz="6" w:space="0" w:color="000000"/>
              <w:bottom w:val="single" w:sz="6" w:space="0" w:color="000000"/>
              <w:right w:val="single" w:sz="4" w:space="0" w:color="auto"/>
            </w:tcBorders>
          </w:tcPr>
          <w:p w14:paraId="028F1BC7" w14:textId="5F41D8EF" w:rsidR="006C27DD" w:rsidRDefault="00107EDB" w:rsidP="00C20D1A">
            <w:pPr>
              <w:pStyle w:val="NormalWeb"/>
              <w:spacing w:before="0" w:beforeAutospacing="0" w:after="120" w:afterAutospacing="0"/>
              <w:jc w:val="center"/>
              <w:rPr>
                <w:b/>
              </w:rPr>
            </w:pPr>
            <w:r>
              <w:rPr>
                <w:b/>
              </w:rPr>
              <w:t>Ņemts vērā.</w:t>
            </w:r>
          </w:p>
        </w:tc>
        <w:tc>
          <w:tcPr>
            <w:tcW w:w="970" w:type="pct"/>
            <w:tcBorders>
              <w:left w:val="single" w:sz="4" w:space="0" w:color="auto"/>
              <w:bottom w:val="single" w:sz="4" w:space="0" w:color="auto"/>
            </w:tcBorders>
          </w:tcPr>
          <w:p w14:paraId="47294E53" w14:textId="3DF044AF" w:rsidR="006C27DD" w:rsidRPr="00937060" w:rsidRDefault="006C27DD" w:rsidP="0035508B">
            <w:pPr>
              <w:pStyle w:val="Title"/>
              <w:jc w:val="both"/>
              <w:outlineLvl w:val="0"/>
              <w:rPr>
                <w:sz w:val="24"/>
                <w:szCs w:val="24"/>
              </w:rPr>
            </w:pPr>
            <w:r w:rsidRPr="00937060">
              <w:rPr>
                <w:sz w:val="24"/>
                <w:szCs w:val="24"/>
              </w:rPr>
              <w:t>Lūdzu skatīt precizēto informatīvo ziņojumu</w:t>
            </w:r>
            <w:r>
              <w:rPr>
                <w:sz w:val="24"/>
                <w:szCs w:val="24"/>
              </w:rPr>
              <w:t>.</w:t>
            </w:r>
          </w:p>
        </w:tc>
      </w:tr>
      <w:tr w:rsidR="0035508B" w:rsidRPr="00937060" w14:paraId="67A3B6CC" w14:textId="77777777" w:rsidTr="00C066E7">
        <w:trPr>
          <w:trHeight w:val="404"/>
        </w:trPr>
        <w:tc>
          <w:tcPr>
            <w:tcW w:w="283" w:type="pct"/>
            <w:tcBorders>
              <w:top w:val="single" w:sz="6" w:space="0" w:color="000000"/>
              <w:left w:val="single" w:sz="6" w:space="0" w:color="000000"/>
              <w:bottom w:val="single" w:sz="6" w:space="0" w:color="000000"/>
              <w:right w:val="single" w:sz="4" w:space="0" w:color="auto"/>
            </w:tcBorders>
            <w:shd w:val="clear" w:color="auto" w:fill="FFFFFF" w:themeFill="background1"/>
          </w:tcPr>
          <w:p w14:paraId="1C54EE83" w14:textId="77777777" w:rsidR="0035508B" w:rsidRPr="00937060" w:rsidRDefault="0035508B" w:rsidP="00B60E7A">
            <w:pPr>
              <w:pStyle w:val="naisc"/>
              <w:numPr>
                <w:ilvl w:val="0"/>
                <w:numId w:val="36"/>
              </w:numPr>
              <w:spacing w:before="0" w:after="0"/>
            </w:pPr>
          </w:p>
        </w:tc>
        <w:tc>
          <w:tcPr>
            <w:tcW w:w="1166" w:type="pct"/>
            <w:tcBorders>
              <w:top w:val="single" w:sz="4" w:space="0" w:color="auto"/>
              <w:left w:val="single" w:sz="4" w:space="0" w:color="auto"/>
              <w:bottom w:val="single" w:sz="4" w:space="0" w:color="auto"/>
              <w:right w:val="single" w:sz="4" w:space="0" w:color="auto"/>
            </w:tcBorders>
          </w:tcPr>
          <w:p w14:paraId="014ECC7E" w14:textId="174AB352" w:rsidR="0035508B" w:rsidRPr="00937060" w:rsidRDefault="0035508B" w:rsidP="0035508B">
            <w:pPr>
              <w:pStyle w:val="Title"/>
              <w:ind w:hanging="33"/>
              <w:jc w:val="both"/>
              <w:outlineLvl w:val="0"/>
              <w:rPr>
                <w:sz w:val="24"/>
                <w:szCs w:val="24"/>
              </w:rPr>
            </w:pPr>
            <w:r w:rsidRPr="00937060">
              <w:rPr>
                <w:sz w:val="24"/>
                <w:szCs w:val="24"/>
              </w:rPr>
              <w:t>3.2. apakšsadaļa “ES KP Institucionālā sistēma”, vispārīgs komentārs</w:t>
            </w:r>
          </w:p>
        </w:tc>
        <w:tc>
          <w:tcPr>
            <w:tcW w:w="1390" w:type="pct"/>
            <w:tcBorders>
              <w:top w:val="single" w:sz="6" w:space="0" w:color="000000"/>
              <w:left w:val="single" w:sz="4" w:space="0" w:color="auto"/>
              <w:bottom w:val="single" w:sz="6" w:space="0" w:color="000000"/>
              <w:right w:val="single" w:sz="6" w:space="0" w:color="000000"/>
            </w:tcBorders>
          </w:tcPr>
          <w:p w14:paraId="7872A82B" w14:textId="77777777" w:rsidR="0035508B" w:rsidRPr="00937060" w:rsidRDefault="0035508B" w:rsidP="0035508B">
            <w:pPr>
              <w:pStyle w:val="NoSpacing"/>
              <w:rPr>
                <w:b/>
                <w:szCs w:val="24"/>
                <w:u w:val="single"/>
              </w:rPr>
            </w:pPr>
            <w:r w:rsidRPr="00937060">
              <w:rPr>
                <w:b/>
                <w:szCs w:val="24"/>
                <w:u w:val="single"/>
              </w:rPr>
              <w:t>Izglītības un zinātnes ministrija:</w:t>
            </w:r>
          </w:p>
          <w:p w14:paraId="61AA752D" w14:textId="77777777" w:rsidR="0035508B" w:rsidRPr="00937060" w:rsidRDefault="0035508B" w:rsidP="0035508B">
            <w:pPr>
              <w:widowControl w:val="0"/>
              <w:tabs>
                <w:tab w:val="left" w:pos="1134"/>
              </w:tabs>
              <w:jc w:val="both"/>
              <w:rPr>
                <w:rFonts w:eastAsia="Calibri"/>
                <w:lang w:eastAsia="en-US"/>
              </w:rPr>
            </w:pPr>
            <w:r w:rsidRPr="00937060">
              <w:rPr>
                <w:rFonts w:eastAsia="Calibri"/>
                <w:lang w:eastAsia="en-US"/>
              </w:rPr>
              <w:t>informējam, ka 2017.-2018.gadā programmas „Apvārsnis 2020” Politikas atbalsta vienības eksperti veica Latvijas zinātnes finansēšanas sistēmas izvērtējumu</w:t>
            </w:r>
            <w:r w:rsidRPr="00937060">
              <w:rPr>
                <w:rFonts w:eastAsia="Calibri"/>
                <w:vertAlign w:val="superscript"/>
                <w:lang w:eastAsia="en-US"/>
              </w:rPr>
              <w:footnoteReference w:id="4"/>
            </w:r>
            <w:r w:rsidRPr="00937060">
              <w:rPr>
                <w:rFonts w:eastAsia="Calibri"/>
                <w:lang w:eastAsia="en-US"/>
              </w:rPr>
              <w:t xml:space="preserve"> (turpmāk – izvērtējums). Viena no piecām izvērtējumā izteiktajām ekspertu rekomendācijām zinātnes finansēšanas sistēmas uzlabošanai ir publisko organizāciju struktūru un pārvaldības racionalizācija un vienkāršošana, </w:t>
            </w:r>
            <w:r w:rsidRPr="00937060">
              <w:rPr>
                <w:rFonts w:eastAsia="Calibri"/>
                <w:lang w:eastAsia="en-US"/>
              </w:rPr>
              <w:lastRenderedPageBreak/>
              <w:t>tostarp, vēršot uzmanību uz pastāvošo institucionālo sadrumstalotību pētniecību finansējošo aģentūru jomā, rekomendējot centralizēt zinātnes un inovāciju finansēšanas institūcijas. Vienotas aģentūras izveide, kurā tostarp koncentrētos gan struktūrfondu, gan valsts budžeta finansējuma investīciju programmas, ekspertu vērtējumā nodrošinātu nepieciešamo zinātniskās ekspertīzes un administratīvo kritisko masu un kapacitāti, kā rezultātā tiktu sekmēta arī kopējā nacionālā pētniecības un attīstības (turpmāk - P&amp;A) sistēmas jauda un kapacitāte.</w:t>
            </w:r>
          </w:p>
          <w:p w14:paraId="3C281622" w14:textId="77777777" w:rsidR="0035508B" w:rsidRDefault="0035508B" w:rsidP="0035508B">
            <w:pPr>
              <w:widowControl w:val="0"/>
              <w:jc w:val="both"/>
              <w:rPr>
                <w:rFonts w:eastAsia="Calibri"/>
                <w:lang w:eastAsia="en-US"/>
              </w:rPr>
            </w:pPr>
            <w:r w:rsidRPr="00937060">
              <w:rPr>
                <w:rFonts w:eastAsia="Calibri"/>
                <w:lang w:eastAsia="en-US"/>
              </w:rPr>
              <w:t xml:space="preserve">Arī ministrija saskata nepieciešamību veikt uzlabojumus esošajā pārvaldības modelī, mērķtiecīgi virzoties uz resursu maksimālu koncentrāciju. Šobrīd ministrija sadarbībā ar Ekonomikas ministriju veic darbu, lai identificētu atbilstošāko institucionālo modeli, tajā skaitā izvērtējot iespējas ES fondu P&amp;A investīciju programmu administrēšanu nodot vienotas zinātni finansējošās aģentūras pārraudzībā. Ievērojot minēto, lūdzam precizēt informatīvā ziņojuma projekta 3.2.sadaļā „ES KP Institucionālā sistēma” iekļauto informāciju par ES fondu programmu 2021. – 2027.gada plānošanas perioda institucionālās pārvaldības modeli, paredzot </w:t>
            </w:r>
            <w:r w:rsidRPr="00937060">
              <w:rPr>
                <w:rFonts w:eastAsia="Calibri"/>
                <w:lang w:eastAsia="en-US"/>
              </w:rPr>
              <w:lastRenderedPageBreak/>
              <w:t>iespējamību, ka ES fondu P&amp;A programmu īstenošanā sadarbības iestādes funkcijas varētu pildīt institūcija, kuras funkcionālā pārraudzībā ir nodota visu publiskā P&amp;A finansējuma investīciju programmu ieviešana.</w:t>
            </w:r>
          </w:p>
          <w:p w14:paraId="3C61742C" w14:textId="77777777" w:rsidR="000B5240" w:rsidRDefault="000B5240" w:rsidP="0035508B">
            <w:pPr>
              <w:widowControl w:val="0"/>
              <w:jc w:val="both"/>
              <w:rPr>
                <w:rFonts w:eastAsia="Calibri"/>
                <w:lang w:eastAsia="en-US"/>
              </w:rPr>
            </w:pPr>
          </w:p>
          <w:p w14:paraId="3B555BE9" w14:textId="0E625C24" w:rsidR="000B5240" w:rsidRDefault="000B5240" w:rsidP="0035508B">
            <w:pPr>
              <w:widowControl w:val="0"/>
              <w:jc w:val="both"/>
              <w:rPr>
                <w:rFonts w:eastAsia="Calibri"/>
                <w:b/>
                <w:u w:val="single"/>
                <w:lang w:eastAsia="en-US"/>
              </w:rPr>
            </w:pPr>
            <w:r w:rsidRPr="000B5240">
              <w:rPr>
                <w:rFonts w:eastAsia="Calibri"/>
                <w:b/>
                <w:u w:val="single"/>
                <w:lang w:eastAsia="en-US"/>
              </w:rPr>
              <w:t>Izglītības un zinātnes ministrijas 29.05.2019.iebildums:</w:t>
            </w:r>
          </w:p>
          <w:p w14:paraId="56B22C92" w14:textId="77777777" w:rsidR="000B5240" w:rsidRPr="005F07C6" w:rsidRDefault="000B5240" w:rsidP="008D4803">
            <w:pPr>
              <w:spacing w:after="120"/>
              <w:jc w:val="both"/>
              <w:rPr>
                <w:szCs w:val="28"/>
              </w:rPr>
            </w:pPr>
            <w:r w:rsidRPr="005F07C6">
              <w:rPr>
                <w:szCs w:val="28"/>
              </w:rPr>
              <w:t xml:space="preserve">Neapstrīdot 2014.-2020.gada plānošanas perioda institucionālās sistēmas sekmīgu darbību kopumā, uzturam 2019. gada 16. maija IZM </w:t>
            </w:r>
            <w:r>
              <w:rPr>
                <w:szCs w:val="28"/>
              </w:rPr>
              <w:t xml:space="preserve">vēstulē Nr. </w:t>
            </w:r>
            <w:r w:rsidRPr="005F07C6">
              <w:rPr>
                <w:szCs w:val="28"/>
              </w:rPr>
              <w:t>4-3.2e/19/1379</w:t>
            </w:r>
            <w:r>
              <w:rPr>
                <w:szCs w:val="28"/>
              </w:rPr>
              <w:t xml:space="preserve"> „Atzinums par informatīvā ziņojuma projektu”</w:t>
            </w:r>
            <w:r w:rsidRPr="005F07C6">
              <w:rPr>
                <w:szCs w:val="28"/>
              </w:rPr>
              <w:t xml:space="preserve"> izteikto iebildumu Nr.7 par precizējumu </w:t>
            </w:r>
            <w:r>
              <w:rPr>
                <w:szCs w:val="28"/>
              </w:rPr>
              <w:t>veikšanu</w:t>
            </w:r>
            <w:r w:rsidRPr="005F07C6">
              <w:rPr>
                <w:szCs w:val="28"/>
              </w:rPr>
              <w:t xml:space="preserve"> informatīvā ziņojuma projekta 3.2.</w:t>
            </w:r>
            <w:r>
              <w:rPr>
                <w:szCs w:val="28"/>
              </w:rPr>
              <w:t xml:space="preserve"> </w:t>
            </w:r>
            <w:r w:rsidRPr="005F07C6">
              <w:rPr>
                <w:szCs w:val="28"/>
              </w:rPr>
              <w:t xml:space="preserve">sadaļā „ES KP Institucionālā sistēma”, tostarp uzsveram nepieciešamību informatīvā ziņojuma projektā izvērtēt optimālo institucionālā ietvara piedāvājumu pētniecības un inovāciju (turpmāk – P&amp;I) finansēšanas sistēmas uzlabošanai 2021. – 2027. gada plānošanas periodā, kas ievērojami sekmētu P&amp;I programmu ieviešanu. </w:t>
            </w:r>
          </w:p>
          <w:p w14:paraId="0C64CEB5" w14:textId="77777777" w:rsidR="000B5240" w:rsidRPr="005F07C6" w:rsidRDefault="000B5240" w:rsidP="008D4803">
            <w:pPr>
              <w:spacing w:after="120"/>
              <w:jc w:val="both"/>
              <w:rPr>
                <w:szCs w:val="28"/>
              </w:rPr>
            </w:pPr>
            <w:r w:rsidRPr="005F07C6">
              <w:rPr>
                <w:szCs w:val="28"/>
              </w:rPr>
              <w:t xml:space="preserve">Iebildumu vērtējam (uzturam) kā pamatotu, ņemot vērā, ka: </w:t>
            </w:r>
          </w:p>
          <w:p w14:paraId="125ABE4A" w14:textId="77777777" w:rsidR="000B5240" w:rsidRPr="005F07C6" w:rsidRDefault="000B5240" w:rsidP="000B5240">
            <w:pPr>
              <w:spacing w:after="120"/>
              <w:ind w:firstLine="851"/>
              <w:jc w:val="both"/>
              <w:rPr>
                <w:szCs w:val="28"/>
              </w:rPr>
            </w:pPr>
            <w:r w:rsidRPr="005F07C6">
              <w:rPr>
                <w:szCs w:val="28"/>
              </w:rPr>
              <w:t xml:space="preserve">1) 2019. gada 7. maijā Ministru kabineta (turpmāk – MK) rīkojumā Nr. 210 (prot. Nr. 21 27. §) </w:t>
            </w:r>
            <w:r w:rsidRPr="005F07C6">
              <w:rPr>
                <w:szCs w:val="28"/>
              </w:rPr>
              <w:lastRenderedPageBreak/>
              <w:t>apstiprinātajā Valdības rīcības plānā (pasākums Nr. 40.1. un 40.2.) un Saeimas 2018. gada 21. jūnija paziņojumā “Par Latvijas inovāciju un tehnoloģiju atbalsta fonda izveidi” un pakārtoti – Ministru prezidenta 2018.</w:t>
            </w:r>
            <w:r>
              <w:rPr>
                <w:szCs w:val="28"/>
              </w:rPr>
              <w:t xml:space="preserve"> </w:t>
            </w:r>
            <w:r w:rsidRPr="005F07C6">
              <w:rPr>
                <w:szCs w:val="28"/>
              </w:rPr>
              <w:t>gada 27.</w:t>
            </w:r>
            <w:r>
              <w:rPr>
                <w:szCs w:val="28"/>
              </w:rPr>
              <w:t xml:space="preserve"> </w:t>
            </w:r>
            <w:r w:rsidRPr="005F07C6">
              <w:rPr>
                <w:szCs w:val="28"/>
              </w:rPr>
              <w:t xml:space="preserve">jūnija rezolūcijā Nr.12/2018-JUR-81 dotajā uzdevumā Ekonomikas ministrijai un IZM, tostarp sadarbībā ar Finanšu ministriju, nostiprināts mandāts rast risinājumus efektīvai zinātnes un inovāciju finansēšanas sistēmas institucionālā modeļa sadrumstalotības novēršanai. ES fondu P&amp;I investīciju programmas un to administrēšana ir minētā finansēšanas modeļa neatņemama sastāvdaļa, tādējādi uzskatām, ka ES fondu 2021. – 2027. gada plānošanas perioda institucionālā sistēma un potenciāla institucionālā ietvara maiņa attiecībā uz P&amp;I investīciju programmu ieviešanu jau šobrīd neatrauti skatāma no minētajos nacionāla līmeņa dokumentos dotā uzdevuma. Vienlaikus skaidrojam, ka, lai arī šobrīd vēl nav apstiprināts Nacionālais attīstības plāns 2021. – 2027. gadam, mērķtiecīga virzība uz valsts budžeta finansējuma pieaugumu </w:t>
            </w:r>
            <w:r>
              <w:rPr>
                <w:szCs w:val="28"/>
              </w:rPr>
              <w:t>pētniecībai un attīstībai</w:t>
            </w:r>
            <w:r w:rsidRPr="005F07C6">
              <w:rPr>
                <w:szCs w:val="28"/>
              </w:rPr>
              <w:t xml:space="preserve"> tuvāko gadu ietvarā nostiprināta Valdības rīcības plānā (pasākumi Nr. 56.1; 56.2.; 56.3; 56.4; 56.5). </w:t>
            </w:r>
          </w:p>
          <w:p w14:paraId="3E42C9C4" w14:textId="77777777" w:rsidR="000B5240" w:rsidRPr="005F07C6" w:rsidRDefault="000B5240" w:rsidP="000B5240">
            <w:pPr>
              <w:spacing w:after="120"/>
              <w:ind w:firstLine="851"/>
              <w:jc w:val="both"/>
              <w:rPr>
                <w:szCs w:val="28"/>
              </w:rPr>
            </w:pPr>
            <w:r>
              <w:rPr>
                <w:szCs w:val="28"/>
              </w:rPr>
              <w:lastRenderedPageBreak/>
              <w:t>2) uz sadrumstaloto P</w:t>
            </w:r>
            <w:r w:rsidRPr="005F07C6">
              <w:rPr>
                <w:szCs w:val="28"/>
              </w:rPr>
              <w:t>&amp;I finansēšanas sistēmas</w:t>
            </w:r>
            <w:r>
              <w:rPr>
                <w:szCs w:val="28"/>
              </w:rPr>
              <w:t xml:space="preserve"> modeli, kas kavē nacionālās P</w:t>
            </w:r>
            <w:r w:rsidRPr="005F07C6">
              <w:rPr>
                <w:szCs w:val="28"/>
              </w:rPr>
              <w:t>&amp;I kapacitātes potenciāla attīstību pilnā apmērā, kā arī nepieciešamību veikt institucionālās sistēmas maksimālu koncentrāciju, norāda vairāki ārējo starptautisko institūciju un ekspertu veikti izvērtējumi:</w:t>
            </w:r>
          </w:p>
          <w:p w14:paraId="2343367A" w14:textId="77777777" w:rsidR="000B5240" w:rsidRPr="005F07C6" w:rsidRDefault="000B5240" w:rsidP="000B5240">
            <w:pPr>
              <w:pStyle w:val="ListParagraph"/>
              <w:widowControl w:val="0"/>
              <w:numPr>
                <w:ilvl w:val="0"/>
                <w:numId w:val="38"/>
              </w:numPr>
              <w:spacing w:after="120" w:line="240" w:lineRule="auto"/>
              <w:ind w:left="324"/>
              <w:jc w:val="both"/>
              <w:rPr>
                <w:rFonts w:ascii="Times New Roman" w:hAnsi="Times New Roman"/>
                <w:sz w:val="24"/>
                <w:szCs w:val="28"/>
              </w:rPr>
            </w:pPr>
            <w:r w:rsidRPr="005F07C6">
              <w:rPr>
                <w:rFonts w:ascii="Times New Roman" w:hAnsi="Times New Roman"/>
                <w:sz w:val="24"/>
                <w:szCs w:val="28"/>
              </w:rPr>
              <w:t>IZM 2019. gada 16. maija IZM atzinumā izteiktajā iebildumā Nr.7 minētais programmas „Apvārsnis 2020” Politikas atbalsta vienības ekspertu veiktais Latvijas zinātnes finansēšanas sistēmas izvērtējums</w:t>
            </w:r>
            <w:r>
              <w:rPr>
                <w:rFonts w:ascii="Times New Roman" w:hAnsi="Times New Roman"/>
                <w:sz w:val="24"/>
                <w:szCs w:val="28"/>
              </w:rPr>
              <w:t xml:space="preserve">, </w:t>
            </w:r>
            <w:r>
              <w:rPr>
                <w:rFonts w:ascii="Times New Roman" w:hAnsi="Times New Roman"/>
                <w:sz w:val="24"/>
                <w:szCs w:val="24"/>
              </w:rPr>
              <w:t>kurā eksperti tostarp akcentē nepieciešamību struktūrfondu investīciju programmu ieviešanas institucionālo pārvaldību koncentrēt kopējā P&amp;A publisko investīciju ieviešanas pārvaldības sistēmā</w:t>
            </w:r>
            <w:r w:rsidRPr="005F07C6">
              <w:rPr>
                <w:rFonts w:ascii="Times New Roman" w:hAnsi="Times New Roman"/>
                <w:sz w:val="24"/>
                <w:szCs w:val="28"/>
              </w:rPr>
              <w:t>;</w:t>
            </w:r>
          </w:p>
          <w:p w14:paraId="648DAABA" w14:textId="77777777" w:rsidR="000B5240" w:rsidRPr="005F07C6" w:rsidRDefault="000B5240" w:rsidP="000B5240">
            <w:pPr>
              <w:pStyle w:val="ListParagraph"/>
              <w:widowControl w:val="0"/>
              <w:numPr>
                <w:ilvl w:val="0"/>
                <w:numId w:val="38"/>
              </w:numPr>
              <w:spacing w:after="120" w:line="240" w:lineRule="auto"/>
              <w:ind w:left="324"/>
              <w:jc w:val="both"/>
              <w:rPr>
                <w:rFonts w:ascii="Times New Roman" w:hAnsi="Times New Roman"/>
                <w:sz w:val="24"/>
                <w:szCs w:val="28"/>
              </w:rPr>
            </w:pPr>
            <w:r w:rsidRPr="005F07C6">
              <w:rPr>
                <w:rFonts w:ascii="Times New Roman" w:hAnsi="Times New Roman"/>
                <w:sz w:val="24"/>
                <w:szCs w:val="28"/>
              </w:rPr>
              <w:t>Eiropas Semestra 2019 ietvaros Eiropas Komisijas veiktais Latvijas izvērtējums , uz kā pamata cita starpā izteiktas arī Eiropas Komisijas rekomendācijas Kohēzijas politikas investīciju ieviešanai;</w:t>
            </w:r>
          </w:p>
          <w:p w14:paraId="29DB9B8E" w14:textId="77777777" w:rsidR="000B5240" w:rsidRPr="005F07C6" w:rsidRDefault="000B5240" w:rsidP="000B5240">
            <w:pPr>
              <w:pStyle w:val="ListParagraph"/>
              <w:widowControl w:val="0"/>
              <w:numPr>
                <w:ilvl w:val="0"/>
                <w:numId w:val="38"/>
              </w:numPr>
              <w:spacing w:after="120" w:line="240" w:lineRule="auto"/>
              <w:ind w:left="324"/>
              <w:jc w:val="both"/>
              <w:rPr>
                <w:rFonts w:ascii="Times New Roman" w:hAnsi="Times New Roman"/>
                <w:sz w:val="24"/>
                <w:szCs w:val="28"/>
              </w:rPr>
            </w:pPr>
            <w:r w:rsidRPr="005F07C6">
              <w:rPr>
                <w:rFonts w:ascii="Times New Roman" w:hAnsi="Times New Roman"/>
                <w:sz w:val="24"/>
                <w:szCs w:val="28"/>
              </w:rPr>
              <w:t>OECD Ekonomikas departamenta 2019.gada OECD Ekonomikas pārskata par Latviju kopsavilkums un rekomendācijas.</w:t>
            </w:r>
          </w:p>
          <w:p w14:paraId="68EB6555" w14:textId="77777777" w:rsidR="000B5240" w:rsidRPr="005F07C6" w:rsidRDefault="000B5240" w:rsidP="000B5240">
            <w:pPr>
              <w:spacing w:after="120"/>
              <w:ind w:firstLine="851"/>
              <w:jc w:val="both"/>
              <w:rPr>
                <w:szCs w:val="28"/>
              </w:rPr>
            </w:pPr>
            <w:r w:rsidRPr="005F07C6">
              <w:rPr>
                <w:szCs w:val="28"/>
              </w:rPr>
              <w:lastRenderedPageBreak/>
              <w:t>Saskaņā ar šajos izvērtējumos minēto, institucionālās sistēmas sakārtošana sniegs ie</w:t>
            </w:r>
            <w:r>
              <w:rPr>
                <w:szCs w:val="28"/>
              </w:rPr>
              <w:t>guldījumu kopējās nacionālās P</w:t>
            </w:r>
            <w:r w:rsidRPr="005F07C6">
              <w:rPr>
                <w:szCs w:val="28"/>
              </w:rPr>
              <w:t>&amp;I sistēmas jaudas un kapacitātes paaugstināšanā, kas ir būtisks priekšnoteikums Latvijas Viedās specializācijas ietvaros izvirzīto mērķu sasniegšanai, tostarp ilgtspējīgas un tehnoloģiju un zinātņietilpīgas tautsaimniecības transformācijai.</w:t>
            </w:r>
          </w:p>
          <w:p w14:paraId="6E75800E" w14:textId="299B6A69" w:rsidR="000B5240" w:rsidRPr="000B5240" w:rsidRDefault="000B5240" w:rsidP="000B5240">
            <w:pPr>
              <w:widowControl w:val="0"/>
              <w:jc w:val="both"/>
              <w:rPr>
                <w:rFonts w:eastAsia="Calibri"/>
                <w:b/>
                <w:u w:val="single"/>
                <w:lang w:eastAsia="en-US"/>
              </w:rPr>
            </w:pPr>
            <w:r w:rsidRPr="005F07C6">
              <w:rPr>
                <w:szCs w:val="28"/>
              </w:rPr>
              <w:t>3)  pēctecīga 2021. – 2027. gada ES fondu plānošanas perioda institucionālās sistēmas modeļa saglabāšana attiecībā uz P&amp;I programmu ieviešanas administrēšanu, lai arī nenoliedzami uzrādīs rezultātu, tomēr nenodrošinās maksimālu investīciju atdevi un neattīstīs tādu sistēmas potenciālu, kāds būtu iespējams institucionālo resursu mērķtiecīgas koncentrācijas ietvarā. P&amp;I finansēšanas modeļa specifika ir sistēmas orientācija uz finansējuma piesaisti projektu konkursu rezultātā un ES fondu P&amp;I programmas ir tikai viens no šīs sistēmas elementiem. Tādējādi kopsakarā ar šī iebilduma 1. un 2. punktā minēto uzskatām, ka nepieciešams uzsākt ilgtermiņa darbu pie tāda P&amp;I finansēšanas institucionālā modeļa kapacitātes stiprināšanas, kas pēc 2021. – 2027.</w:t>
            </w:r>
            <w:r>
              <w:rPr>
                <w:szCs w:val="28"/>
              </w:rPr>
              <w:t xml:space="preserve"> </w:t>
            </w:r>
            <w:r w:rsidRPr="005F07C6">
              <w:rPr>
                <w:szCs w:val="28"/>
              </w:rPr>
              <w:t xml:space="preserve">gada ES fondu plānošanas perioda </w:t>
            </w:r>
            <w:r w:rsidRPr="005F07C6">
              <w:rPr>
                <w:szCs w:val="28"/>
              </w:rPr>
              <w:lastRenderedPageBreak/>
              <w:t xml:space="preserve">beigām turpina darbību, administrējot valsts budžeta </w:t>
            </w:r>
            <w:r w:rsidRPr="004A7BC3">
              <w:t>investīciju programmas.</w:t>
            </w:r>
          </w:p>
          <w:p w14:paraId="4707BA64" w14:textId="6BA530FD" w:rsidR="000B5240" w:rsidRPr="00937060" w:rsidRDefault="000B5240" w:rsidP="0035508B">
            <w:pPr>
              <w:widowControl w:val="0"/>
              <w:jc w:val="both"/>
              <w:rPr>
                <w:rFonts w:eastAsia="Calibri"/>
                <w:b/>
                <w:u w:val="single"/>
                <w:lang w:eastAsia="en-US"/>
              </w:rPr>
            </w:pPr>
          </w:p>
        </w:tc>
        <w:tc>
          <w:tcPr>
            <w:tcW w:w="1191" w:type="pct"/>
            <w:tcBorders>
              <w:top w:val="single" w:sz="6" w:space="0" w:color="000000"/>
              <w:left w:val="single" w:sz="6" w:space="0" w:color="000000"/>
              <w:bottom w:val="single" w:sz="6" w:space="0" w:color="000000"/>
              <w:right w:val="single" w:sz="4" w:space="0" w:color="auto"/>
            </w:tcBorders>
          </w:tcPr>
          <w:p w14:paraId="4572E51C" w14:textId="7C34BE41" w:rsidR="0035508B" w:rsidRDefault="000B5240" w:rsidP="00C20D1A">
            <w:pPr>
              <w:pStyle w:val="NormalWeb"/>
              <w:spacing w:before="0" w:beforeAutospacing="0" w:after="120" w:afterAutospacing="0"/>
              <w:jc w:val="center"/>
              <w:rPr>
                <w:b/>
              </w:rPr>
            </w:pPr>
            <w:r>
              <w:rPr>
                <w:b/>
              </w:rPr>
              <w:lastRenderedPageBreak/>
              <w:t>Panākta vienošanās saskaņošanas laikā</w:t>
            </w:r>
            <w:r w:rsidR="00CF4763">
              <w:rPr>
                <w:b/>
              </w:rPr>
              <w:t>.</w:t>
            </w:r>
          </w:p>
          <w:p w14:paraId="0E866626" w14:textId="2FCBC488" w:rsidR="00CF4763" w:rsidRPr="00937060" w:rsidRDefault="000B5240" w:rsidP="000B5240">
            <w:pPr>
              <w:pStyle w:val="NormalWeb"/>
              <w:spacing w:before="0" w:beforeAutospacing="0" w:after="120" w:afterAutospacing="0"/>
              <w:jc w:val="both"/>
              <w:rPr>
                <w:b/>
              </w:rPr>
            </w:pPr>
            <w:r w:rsidRPr="000B5240">
              <w:t>Informatīvais ziņojums papildināts ar rindkopu par</w:t>
            </w:r>
            <w:r>
              <w:rPr>
                <w:b/>
              </w:rPr>
              <w:t xml:space="preserve"> </w:t>
            </w:r>
            <w:r>
              <w:t xml:space="preserve"> diskusiju par  ES KP fondu ieviešanas institucionālās sistēmas uzbūvi, vērtējot NAP2027 sagatavošanas rezultātus, gan reaģējot uz investīciju un inovāciju politikas </w:t>
            </w:r>
            <w:r>
              <w:lastRenderedPageBreak/>
              <w:t>ieviešanas modeļa attīstību Latvijā.</w:t>
            </w:r>
          </w:p>
        </w:tc>
        <w:tc>
          <w:tcPr>
            <w:tcW w:w="970" w:type="pct"/>
            <w:tcBorders>
              <w:left w:val="single" w:sz="4" w:space="0" w:color="auto"/>
              <w:bottom w:val="single" w:sz="4" w:space="0" w:color="auto"/>
            </w:tcBorders>
          </w:tcPr>
          <w:p w14:paraId="55097A3F" w14:textId="264C913C" w:rsidR="0035508B" w:rsidRPr="00937060" w:rsidRDefault="00CF4763" w:rsidP="0035508B">
            <w:pPr>
              <w:pStyle w:val="Title"/>
              <w:jc w:val="both"/>
              <w:outlineLvl w:val="0"/>
              <w:rPr>
                <w:sz w:val="24"/>
                <w:szCs w:val="24"/>
              </w:rPr>
            </w:pPr>
            <w:r w:rsidRPr="00937060">
              <w:rPr>
                <w:sz w:val="24"/>
                <w:szCs w:val="24"/>
              </w:rPr>
              <w:lastRenderedPageBreak/>
              <w:t>Lūdzu skatīt precizēto informatīvo ziņojumu</w:t>
            </w:r>
            <w:r>
              <w:rPr>
                <w:sz w:val="24"/>
                <w:szCs w:val="24"/>
              </w:rPr>
              <w:t>.</w:t>
            </w:r>
          </w:p>
        </w:tc>
      </w:tr>
      <w:tr w:rsidR="0035508B" w:rsidRPr="00937060" w14:paraId="5FF0E443" w14:textId="77777777" w:rsidTr="00C066E7">
        <w:trPr>
          <w:trHeight w:val="404"/>
        </w:trPr>
        <w:tc>
          <w:tcPr>
            <w:tcW w:w="283" w:type="pct"/>
            <w:tcBorders>
              <w:top w:val="single" w:sz="6" w:space="0" w:color="000000"/>
              <w:left w:val="single" w:sz="6" w:space="0" w:color="000000"/>
              <w:bottom w:val="single" w:sz="6" w:space="0" w:color="000000"/>
              <w:right w:val="single" w:sz="4" w:space="0" w:color="auto"/>
            </w:tcBorders>
            <w:shd w:val="clear" w:color="auto" w:fill="FFFFFF" w:themeFill="background1"/>
          </w:tcPr>
          <w:p w14:paraId="4E21F19A" w14:textId="77777777" w:rsidR="0035508B" w:rsidRPr="00937060" w:rsidRDefault="0035508B" w:rsidP="00B60E7A">
            <w:pPr>
              <w:pStyle w:val="naisc"/>
              <w:numPr>
                <w:ilvl w:val="0"/>
                <w:numId w:val="36"/>
              </w:numPr>
              <w:spacing w:before="0" w:after="0"/>
            </w:pPr>
          </w:p>
        </w:tc>
        <w:tc>
          <w:tcPr>
            <w:tcW w:w="1166" w:type="pct"/>
            <w:tcBorders>
              <w:top w:val="single" w:sz="4" w:space="0" w:color="auto"/>
              <w:left w:val="single" w:sz="4" w:space="0" w:color="auto"/>
              <w:bottom w:val="single" w:sz="4" w:space="0" w:color="auto"/>
              <w:right w:val="single" w:sz="4" w:space="0" w:color="auto"/>
            </w:tcBorders>
          </w:tcPr>
          <w:p w14:paraId="073E79AA" w14:textId="2FD93193" w:rsidR="0035508B" w:rsidRPr="00937060" w:rsidRDefault="0035508B" w:rsidP="0035508B">
            <w:pPr>
              <w:pStyle w:val="Title"/>
              <w:ind w:hanging="33"/>
              <w:jc w:val="both"/>
              <w:outlineLvl w:val="0"/>
              <w:rPr>
                <w:sz w:val="24"/>
                <w:szCs w:val="24"/>
              </w:rPr>
            </w:pPr>
            <w:r w:rsidRPr="00937060">
              <w:rPr>
                <w:sz w:val="24"/>
                <w:szCs w:val="24"/>
              </w:rPr>
              <w:t>3.2. apakšsadaļa “ES KP Institucionālā sistēma”, vispārīgs komentārs</w:t>
            </w:r>
          </w:p>
        </w:tc>
        <w:tc>
          <w:tcPr>
            <w:tcW w:w="1390" w:type="pct"/>
            <w:tcBorders>
              <w:top w:val="single" w:sz="6" w:space="0" w:color="000000"/>
              <w:left w:val="single" w:sz="4" w:space="0" w:color="auto"/>
              <w:bottom w:val="single" w:sz="6" w:space="0" w:color="000000"/>
              <w:right w:val="single" w:sz="6" w:space="0" w:color="000000"/>
            </w:tcBorders>
          </w:tcPr>
          <w:p w14:paraId="3A4F9CC9" w14:textId="77777777" w:rsidR="0035508B" w:rsidRPr="00937060" w:rsidRDefault="0035508B" w:rsidP="0035508B">
            <w:pPr>
              <w:pStyle w:val="NoSpacing"/>
              <w:rPr>
                <w:b/>
                <w:u w:val="single"/>
              </w:rPr>
            </w:pPr>
            <w:r w:rsidRPr="00937060">
              <w:rPr>
                <w:b/>
                <w:u w:val="single"/>
              </w:rPr>
              <w:t>Labklājības ministrija:</w:t>
            </w:r>
          </w:p>
          <w:p w14:paraId="02CE24A3" w14:textId="1B3E9055" w:rsidR="0035508B" w:rsidRPr="00937060" w:rsidRDefault="0035508B" w:rsidP="0035508B">
            <w:pPr>
              <w:widowControl w:val="0"/>
              <w:jc w:val="both"/>
              <w:rPr>
                <w:rFonts w:eastAsia="Calibri"/>
                <w:b/>
                <w:u w:val="single"/>
                <w:lang w:eastAsia="en-US"/>
              </w:rPr>
            </w:pPr>
            <w:r w:rsidRPr="00937060">
              <w:t>Ņemot vērā protokollēmuma 3.punktā noteikto, ka ES Kohēzijas politikas fondu institucionālā sistēma 2021.-2027.gada plānošanas periodā darbosies atbilstoši 2014.-2020.gada plānošanas periodā izveidotajai institucionālajai sistēmai, un ņemot vērā to, ka Eiropas Atbalsta fonds vistrūcīgākajām personām (turpmāk – EAFVP) 2021.-2027.gada plānošanas periodā ir integrēts ESF+ ietvaros, precizēt 3.2.sadaļas tekstu, jo plānots, ka Programma 2021.-2027.gada plānošanas periodā darbosies atbilstoši esošajai EAFVP institucionālajai sistēmai, kas ir atšķirīga no ES Kohēzijas politikas fondu institucionālās sistēmas.</w:t>
            </w:r>
          </w:p>
        </w:tc>
        <w:tc>
          <w:tcPr>
            <w:tcW w:w="1191" w:type="pct"/>
            <w:tcBorders>
              <w:top w:val="single" w:sz="6" w:space="0" w:color="000000"/>
              <w:left w:val="single" w:sz="6" w:space="0" w:color="000000"/>
              <w:bottom w:val="single" w:sz="6" w:space="0" w:color="000000"/>
              <w:right w:val="single" w:sz="4" w:space="0" w:color="auto"/>
            </w:tcBorders>
          </w:tcPr>
          <w:p w14:paraId="39602555" w14:textId="0AC49DEA" w:rsidR="0035508B" w:rsidRPr="00937060" w:rsidRDefault="005155AA" w:rsidP="00C20D1A">
            <w:pPr>
              <w:pStyle w:val="NormalWeb"/>
              <w:spacing w:before="0" w:beforeAutospacing="0" w:after="120" w:afterAutospacing="0"/>
              <w:jc w:val="center"/>
              <w:rPr>
                <w:b/>
              </w:rPr>
            </w:pPr>
            <w:r>
              <w:rPr>
                <w:b/>
              </w:rPr>
              <w:t>Ņemts vērā.</w:t>
            </w:r>
          </w:p>
        </w:tc>
        <w:tc>
          <w:tcPr>
            <w:tcW w:w="970" w:type="pct"/>
            <w:tcBorders>
              <w:left w:val="single" w:sz="4" w:space="0" w:color="auto"/>
              <w:bottom w:val="single" w:sz="4" w:space="0" w:color="auto"/>
            </w:tcBorders>
          </w:tcPr>
          <w:p w14:paraId="3884F67D" w14:textId="72DFF92F" w:rsidR="0035508B" w:rsidRPr="00937060" w:rsidRDefault="005155AA" w:rsidP="0035508B">
            <w:pPr>
              <w:pStyle w:val="Title"/>
              <w:jc w:val="both"/>
              <w:outlineLvl w:val="0"/>
              <w:rPr>
                <w:sz w:val="24"/>
                <w:szCs w:val="24"/>
              </w:rPr>
            </w:pPr>
            <w:r w:rsidRPr="00937060">
              <w:rPr>
                <w:sz w:val="24"/>
                <w:szCs w:val="24"/>
              </w:rPr>
              <w:t>Lūdzu skatīt precizēto informatīvo ziņojumu</w:t>
            </w:r>
            <w:r>
              <w:rPr>
                <w:sz w:val="24"/>
                <w:szCs w:val="24"/>
              </w:rPr>
              <w:t xml:space="preserve"> un protokollēmumu.</w:t>
            </w:r>
          </w:p>
        </w:tc>
      </w:tr>
      <w:tr w:rsidR="0035508B" w:rsidRPr="00937060" w14:paraId="31A28956" w14:textId="77777777" w:rsidTr="00C066E7">
        <w:trPr>
          <w:trHeight w:val="404"/>
        </w:trPr>
        <w:tc>
          <w:tcPr>
            <w:tcW w:w="283" w:type="pct"/>
            <w:tcBorders>
              <w:top w:val="single" w:sz="6" w:space="0" w:color="000000"/>
              <w:left w:val="single" w:sz="6" w:space="0" w:color="000000"/>
              <w:bottom w:val="single" w:sz="6" w:space="0" w:color="000000"/>
              <w:right w:val="single" w:sz="4" w:space="0" w:color="auto"/>
            </w:tcBorders>
            <w:shd w:val="clear" w:color="auto" w:fill="FFFFFF" w:themeFill="background1"/>
          </w:tcPr>
          <w:p w14:paraId="041413EF" w14:textId="77777777" w:rsidR="0035508B" w:rsidRPr="00937060" w:rsidRDefault="0035508B" w:rsidP="00B60E7A">
            <w:pPr>
              <w:pStyle w:val="naisc"/>
              <w:numPr>
                <w:ilvl w:val="0"/>
                <w:numId w:val="36"/>
              </w:numPr>
              <w:spacing w:before="0" w:after="0"/>
            </w:pPr>
          </w:p>
        </w:tc>
        <w:tc>
          <w:tcPr>
            <w:tcW w:w="1166" w:type="pct"/>
            <w:tcBorders>
              <w:top w:val="single" w:sz="4" w:space="0" w:color="auto"/>
              <w:left w:val="single" w:sz="4" w:space="0" w:color="auto"/>
              <w:bottom w:val="single" w:sz="4" w:space="0" w:color="auto"/>
              <w:right w:val="single" w:sz="4" w:space="0" w:color="auto"/>
            </w:tcBorders>
          </w:tcPr>
          <w:p w14:paraId="114D5B6B" w14:textId="4A33C107" w:rsidR="0035508B" w:rsidRPr="00937060" w:rsidRDefault="0035508B" w:rsidP="0035508B">
            <w:pPr>
              <w:pStyle w:val="Title"/>
              <w:ind w:hanging="33"/>
              <w:jc w:val="both"/>
              <w:outlineLvl w:val="0"/>
              <w:rPr>
                <w:sz w:val="24"/>
                <w:szCs w:val="24"/>
              </w:rPr>
            </w:pPr>
            <w:r w:rsidRPr="00937060">
              <w:rPr>
                <w:sz w:val="24"/>
                <w:szCs w:val="24"/>
              </w:rPr>
              <w:t>3.2. apakšsadaļa “ES KP Institucionālā sistēma”, vispārīgs komentārs</w:t>
            </w:r>
          </w:p>
        </w:tc>
        <w:tc>
          <w:tcPr>
            <w:tcW w:w="1390" w:type="pct"/>
            <w:tcBorders>
              <w:top w:val="single" w:sz="6" w:space="0" w:color="000000"/>
              <w:left w:val="single" w:sz="4" w:space="0" w:color="auto"/>
              <w:bottom w:val="single" w:sz="6" w:space="0" w:color="000000"/>
              <w:right w:val="single" w:sz="6" w:space="0" w:color="000000"/>
            </w:tcBorders>
          </w:tcPr>
          <w:p w14:paraId="3E811391" w14:textId="77777777" w:rsidR="0035508B" w:rsidRPr="00937060" w:rsidRDefault="0035508B" w:rsidP="0035508B">
            <w:pPr>
              <w:pStyle w:val="NoSpacing"/>
              <w:rPr>
                <w:b/>
                <w:u w:val="single"/>
              </w:rPr>
            </w:pPr>
            <w:r w:rsidRPr="00937060">
              <w:rPr>
                <w:b/>
                <w:u w:val="single"/>
              </w:rPr>
              <w:t>Labklājības ministrija:</w:t>
            </w:r>
          </w:p>
          <w:p w14:paraId="5FB8D60F" w14:textId="78D87C56" w:rsidR="0035508B" w:rsidRPr="00937060" w:rsidRDefault="0035508B" w:rsidP="0035508B">
            <w:pPr>
              <w:widowControl w:val="0"/>
              <w:jc w:val="both"/>
              <w:rPr>
                <w:rFonts w:eastAsia="Calibri"/>
                <w:b/>
                <w:u w:val="single"/>
                <w:lang w:eastAsia="en-US"/>
              </w:rPr>
            </w:pPr>
            <w:r w:rsidRPr="00937060">
              <w:t>Lūdzam precizēt informatīvā ziņojuma 3.2.sadaļā “ES KP Institucionālā sistēma” minēto iestāžu funkciju aprakstu, jo šī brīža informatīvā ziņojuma redakcijā iestāžu funkcijas atspoguļotas nepilnīgi un daļēji.</w:t>
            </w:r>
          </w:p>
        </w:tc>
        <w:tc>
          <w:tcPr>
            <w:tcW w:w="1191" w:type="pct"/>
            <w:tcBorders>
              <w:top w:val="single" w:sz="6" w:space="0" w:color="000000"/>
              <w:left w:val="single" w:sz="6" w:space="0" w:color="000000"/>
              <w:bottom w:val="single" w:sz="6" w:space="0" w:color="000000"/>
              <w:right w:val="single" w:sz="4" w:space="0" w:color="auto"/>
            </w:tcBorders>
          </w:tcPr>
          <w:p w14:paraId="521FDFEE" w14:textId="61588642" w:rsidR="0035508B" w:rsidRDefault="009A1EFE" w:rsidP="009A1EFE">
            <w:pPr>
              <w:pStyle w:val="NormalWeb"/>
              <w:spacing w:before="0" w:beforeAutospacing="0" w:after="120" w:afterAutospacing="0"/>
              <w:jc w:val="center"/>
              <w:rPr>
                <w:b/>
              </w:rPr>
            </w:pPr>
            <w:r>
              <w:rPr>
                <w:b/>
              </w:rPr>
              <w:t>Panākta vienošanās saskaņošanas laikā.</w:t>
            </w:r>
          </w:p>
          <w:p w14:paraId="50F8F482" w14:textId="6272DD03" w:rsidR="005155AA" w:rsidRPr="005155AA" w:rsidRDefault="005155AA" w:rsidP="005155AA">
            <w:pPr>
              <w:pStyle w:val="NormalWeb"/>
              <w:spacing w:before="0" w:beforeAutospacing="0" w:after="120" w:afterAutospacing="0"/>
              <w:jc w:val="both"/>
            </w:pPr>
            <w:r w:rsidRPr="005155AA">
              <w:t xml:space="preserve">Skaidrojam, ka ziņojumā norādītas iestāžu pamatfunkcijas, bet to detalizētāks atspoguļojums un deleģējums tiks atrunāts ES KP fondu likumā. </w:t>
            </w:r>
          </w:p>
        </w:tc>
        <w:tc>
          <w:tcPr>
            <w:tcW w:w="970" w:type="pct"/>
            <w:tcBorders>
              <w:left w:val="single" w:sz="4" w:space="0" w:color="auto"/>
              <w:bottom w:val="single" w:sz="4" w:space="0" w:color="auto"/>
            </w:tcBorders>
          </w:tcPr>
          <w:p w14:paraId="79C9111D" w14:textId="1EA191AC" w:rsidR="0035508B" w:rsidRPr="00937060" w:rsidRDefault="005155AA" w:rsidP="0035508B">
            <w:pPr>
              <w:pStyle w:val="Title"/>
              <w:jc w:val="both"/>
              <w:outlineLvl w:val="0"/>
              <w:rPr>
                <w:sz w:val="24"/>
                <w:szCs w:val="24"/>
              </w:rPr>
            </w:pPr>
            <w:r w:rsidRPr="00937060">
              <w:rPr>
                <w:sz w:val="24"/>
                <w:szCs w:val="24"/>
              </w:rPr>
              <w:t>Lūdzu skatīt precizēto informatīvo ziņojumu</w:t>
            </w:r>
            <w:r>
              <w:rPr>
                <w:sz w:val="24"/>
                <w:szCs w:val="24"/>
              </w:rPr>
              <w:t>.</w:t>
            </w:r>
          </w:p>
        </w:tc>
      </w:tr>
      <w:tr w:rsidR="0035508B" w:rsidRPr="00937060" w14:paraId="3B8578BB" w14:textId="77777777" w:rsidTr="00C066E7">
        <w:trPr>
          <w:trHeight w:val="404"/>
        </w:trPr>
        <w:tc>
          <w:tcPr>
            <w:tcW w:w="283" w:type="pct"/>
            <w:tcBorders>
              <w:top w:val="single" w:sz="6" w:space="0" w:color="000000"/>
              <w:left w:val="single" w:sz="6" w:space="0" w:color="000000"/>
              <w:bottom w:val="single" w:sz="6" w:space="0" w:color="000000"/>
              <w:right w:val="single" w:sz="4" w:space="0" w:color="auto"/>
            </w:tcBorders>
            <w:shd w:val="clear" w:color="auto" w:fill="FFFFFF" w:themeFill="background1"/>
          </w:tcPr>
          <w:p w14:paraId="751B041C" w14:textId="77777777" w:rsidR="0035508B" w:rsidRPr="00937060" w:rsidRDefault="0035508B" w:rsidP="00B60E7A">
            <w:pPr>
              <w:pStyle w:val="naisc"/>
              <w:numPr>
                <w:ilvl w:val="0"/>
                <w:numId w:val="36"/>
              </w:numPr>
              <w:spacing w:before="0" w:after="0"/>
            </w:pPr>
          </w:p>
        </w:tc>
        <w:tc>
          <w:tcPr>
            <w:tcW w:w="1166" w:type="pct"/>
            <w:tcBorders>
              <w:top w:val="single" w:sz="4" w:space="0" w:color="auto"/>
              <w:left w:val="single" w:sz="4" w:space="0" w:color="auto"/>
              <w:bottom w:val="single" w:sz="4" w:space="0" w:color="auto"/>
              <w:right w:val="single" w:sz="4" w:space="0" w:color="auto"/>
            </w:tcBorders>
          </w:tcPr>
          <w:p w14:paraId="2879A3D4" w14:textId="5962D571" w:rsidR="0035508B" w:rsidRPr="00937060" w:rsidRDefault="0035508B" w:rsidP="0035508B">
            <w:pPr>
              <w:pStyle w:val="Title"/>
              <w:ind w:hanging="33"/>
              <w:jc w:val="both"/>
              <w:outlineLvl w:val="0"/>
              <w:rPr>
                <w:sz w:val="24"/>
                <w:szCs w:val="24"/>
              </w:rPr>
            </w:pPr>
            <w:r w:rsidRPr="00937060">
              <w:rPr>
                <w:sz w:val="24"/>
                <w:szCs w:val="24"/>
              </w:rPr>
              <w:t>3.2. apakšsadaļa “ES KP Institucionālā sistēma”, vispārīgs komentārs</w:t>
            </w:r>
          </w:p>
        </w:tc>
        <w:tc>
          <w:tcPr>
            <w:tcW w:w="1390" w:type="pct"/>
            <w:tcBorders>
              <w:top w:val="single" w:sz="6" w:space="0" w:color="000000"/>
              <w:left w:val="single" w:sz="4" w:space="0" w:color="auto"/>
              <w:bottom w:val="single" w:sz="6" w:space="0" w:color="000000"/>
              <w:right w:val="single" w:sz="6" w:space="0" w:color="000000"/>
            </w:tcBorders>
          </w:tcPr>
          <w:p w14:paraId="1D1CBDDE" w14:textId="77777777" w:rsidR="0035508B" w:rsidRPr="00937060" w:rsidRDefault="0035508B" w:rsidP="0035508B">
            <w:pPr>
              <w:pStyle w:val="NoSpacing"/>
              <w:rPr>
                <w:b/>
                <w:u w:val="single"/>
              </w:rPr>
            </w:pPr>
            <w:r w:rsidRPr="00937060">
              <w:rPr>
                <w:b/>
                <w:u w:val="single"/>
              </w:rPr>
              <w:t>Vides aizsardzības un reģionālās attīstības ministrija:</w:t>
            </w:r>
          </w:p>
          <w:p w14:paraId="5D8EC704" w14:textId="533AE98F" w:rsidR="0035508B" w:rsidRPr="00937060" w:rsidRDefault="0035508B" w:rsidP="0035508B">
            <w:pPr>
              <w:jc w:val="both"/>
            </w:pPr>
            <w:r w:rsidRPr="00937060">
              <w:t xml:space="preserve">Lūdzam papildināt ziņojuma 9.lpp 3.2. apakšpunktu ar informāciju, </w:t>
            </w:r>
            <w:r w:rsidRPr="00937060">
              <w:lastRenderedPageBreak/>
              <w:t>paredzot,  ka procedūras, kas saistās ar līdztiesības, ilgtspējības un vides jautājumiem tiks veiktas, iesaistot attiecīgas nozaru ministrijas, kā arī skaidrot, kādas procedūras tiek plānotas.</w:t>
            </w:r>
          </w:p>
        </w:tc>
        <w:tc>
          <w:tcPr>
            <w:tcW w:w="1191" w:type="pct"/>
            <w:tcBorders>
              <w:top w:val="single" w:sz="6" w:space="0" w:color="000000"/>
              <w:left w:val="single" w:sz="6" w:space="0" w:color="000000"/>
              <w:bottom w:val="single" w:sz="6" w:space="0" w:color="000000"/>
              <w:right w:val="single" w:sz="4" w:space="0" w:color="auto"/>
            </w:tcBorders>
          </w:tcPr>
          <w:p w14:paraId="75031B69" w14:textId="3C7813E3" w:rsidR="0035508B" w:rsidRDefault="00D36DCE" w:rsidP="00C20D1A">
            <w:pPr>
              <w:pStyle w:val="NormalWeb"/>
              <w:spacing w:before="0" w:beforeAutospacing="0" w:after="120" w:afterAutospacing="0"/>
              <w:jc w:val="center"/>
              <w:rPr>
                <w:b/>
              </w:rPr>
            </w:pPr>
            <w:r>
              <w:rPr>
                <w:b/>
              </w:rPr>
              <w:lastRenderedPageBreak/>
              <w:t>Ņemts vērā.</w:t>
            </w:r>
          </w:p>
          <w:p w14:paraId="491382D2" w14:textId="51B5451B" w:rsidR="00D36DCE" w:rsidRDefault="00D36DCE" w:rsidP="00D36DCE">
            <w:pPr>
              <w:pStyle w:val="NormalWeb"/>
              <w:spacing w:before="0" w:beforeAutospacing="0" w:after="120" w:afterAutospacing="0"/>
              <w:jc w:val="both"/>
              <w:rPr>
                <w:b/>
              </w:rPr>
            </w:pPr>
            <w:r w:rsidRPr="00D36DCE">
              <w:t xml:space="preserve">Norādām, ka atbildīgās nozaru ministrijas plānots piesaistīt, izstrādājot vadības un kontroles </w:t>
            </w:r>
            <w:r w:rsidRPr="00D36DCE">
              <w:lastRenderedPageBreak/>
              <w:t>sistēmu, kas ietver arī procedūras par</w:t>
            </w:r>
            <w:r>
              <w:rPr>
                <w:b/>
              </w:rPr>
              <w:t xml:space="preserve"> </w:t>
            </w:r>
            <w:r w:rsidRPr="00937060">
              <w:t>līdztiesības, ilgtspējības un vides jautājumiem</w:t>
            </w:r>
            <w:r>
              <w:rPr>
                <w:b/>
              </w:rPr>
              <w:t xml:space="preserve">. </w:t>
            </w:r>
          </w:p>
          <w:p w14:paraId="4975DDD6" w14:textId="5E20AB30" w:rsidR="00D36DCE" w:rsidRPr="00937060" w:rsidRDefault="00D36DCE" w:rsidP="0035508B">
            <w:pPr>
              <w:pStyle w:val="NormalWeb"/>
              <w:spacing w:before="0" w:beforeAutospacing="0" w:after="120" w:afterAutospacing="0"/>
              <w:jc w:val="center"/>
              <w:rPr>
                <w:b/>
              </w:rPr>
            </w:pPr>
          </w:p>
        </w:tc>
        <w:tc>
          <w:tcPr>
            <w:tcW w:w="970" w:type="pct"/>
            <w:tcBorders>
              <w:left w:val="single" w:sz="4" w:space="0" w:color="auto"/>
              <w:bottom w:val="single" w:sz="4" w:space="0" w:color="auto"/>
            </w:tcBorders>
          </w:tcPr>
          <w:p w14:paraId="49CC3E79" w14:textId="6FA81D2A" w:rsidR="0035508B" w:rsidRPr="00937060" w:rsidRDefault="00D36DCE" w:rsidP="0035508B">
            <w:pPr>
              <w:pStyle w:val="Title"/>
              <w:jc w:val="both"/>
              <w:outlineLvl w:val="0"/>
              <w:rPr>
                <w:sz w:val="24"/>
                <w:szCs w:val="24"/>
              </w:rPr>
            </w:pPr>
            <w:r w:rsidRPr="00937060">
              <w:rPr>
                <w:sz w:val="24"/>
                <w:szCs w:val="24"/>
              </w:rPr>
              <w:lastRenderedPageBreak/>
              <w:t>Lūdzu skatīt precizēto informatīvo ziņojumu</w:t>
            </w:r>
            <w:r>
              <w:rPr>
                <w:sz w:val="24"/>
                <w:szCs w:val="24"/>
              </w:rPr>
              <w:t>.</w:t>
            </w:r>
          </w:p>
        </w:tc>
      </w:tr>
      <w:tr w:rsidR="00C60222" w:rsidRPr="00937060" w14:paraId="66F981D7" w14:textId="77777777" w:rsidTr="00C066E7">
        <w:trPr>
          <w:trHeight w:val="404"/>
        </w:trPr>
        <w:tc>
          <w:tcPr>
            <w:tcW w:w="283" w:type="pct"/>
            <w:tcBorders>
              <w:top w:val="single" w:sz="6" w:space="0" w:color="000000"/>
              <w:left w:val="single" w:sz="6" w:space="0" w:color="000000"/>
              <w:bottom w:val="single" w:sz="6" w:space="0" w:color="000000"/>
              <w:right w:val="single" w:sz="4" w:space="0" w:color="auto"/>
            </w:tcBorders>
            <w:shd w:val="clear" w:color="auto" w:fill="FFFFFF" w:themeFill="background1"/>
          </w:tcPr>
          <w:p w14:paraId="4E4421ED" w14:textId="77777777" w:rsidR="00C60222" w:rsidRPr="00937060" w:rsidRDefault="00C60222" w:rsidP="00B60E7A">
            <w:pPr>
              <w:pStyle w:val="naisc"/>
              <w:numPr>
                <w:ilvl w:val="0"/>
                <w:numId w:val="36"/>
              </w:numPr>
              <w:spacing w:before="0" w:after="0"/>
            </w:pPr>
          </w:p>
        </w:tc>
        <w:tc>
          <w:tcPr>
            <w:tcW w:w="1166" w:type="pct"/>
            <w:tcBorders>
              <w:top w:val="single" w:sz="4" w:space="0" w:color="auto"/>
              <w:left w:val="single" w:sz="4" w:space="0" w:color="auto"/>
              <w:bottom w:val="single" w:sz="4" w:space="0" w:color="auto"/>
              <w:right w:val="single" w:sz="4" w:space="0" w:color="auto"/>
            </w:tcBorders>
          </w:tcPr>
          <w:p w14:paraId="26D653AC" w14:textId="4AB32AFB" w:rsidR="00C60222" w:rsidRPr="00937060" w:rsidRDefault="00C60222" w:rsidP="0035508B">
            <w:pPr>
              <w:pStyle w:val="Title"/>
              <w:ind w:hanging="33"/>
              <w:jc w:val="both"/>
              <w:outlineLvl w:val="0"/>
              <w:rPr>
                <w:sz w:val="24"/>
                <w:szCs w:val="24"/>
              </w:rPr>
            </w:pPr>
            <w:r w:rsidRPr="00937060">
              <w:rPr>
                <w:sz w:val="24"/>
                <w:szCs w:val="24"/>
              </w:rPr>
              <w:t>3.2. apakšsadaļa “ES KP Institucionālā sistēma”, vispārīgs komentārs</w:t>
            </w:r>
          </w:p>
        </w:tc>
        <w:tc>
          <w:tcPr>
            <w:tcW w:w="1390" w:type="pct"/>
            <w:tcBorders>
              <w:top w:val="single" w:sz="6" w:space="0" w:color="000000"/>
              <w:left w:val="single" w:sz="4" w:space="0" w:color="auto"/>
              <w:bottom w:val="single" w:sz="6" w:space="0" w:color="000000"/>
              <w:right w:val="single" w:sz="6" w:space="0" w:color="000000"/>
            </w:tcBorders>
          </w:tcPr>
          <w:p w14:paraId="646A46D7" w14:textId="22693B0D" w:rsidR="00C60222" w:rsidRPr="001C62DB" w:rsidRDefault="00C60222" w:rsidP="00C60222">
            <w:pPr>
              <w:pStyle w:val="NoSpacing"/>
              <w:rPr>
                <w:b/>
                <w:szCs w:val="24"/>
                <w:u w:val="single"/>
              </w:rPr>
            </w:pPr>
            <w:r w:rsidRPr="00F45597">
              <w:rPr>
                <w:b/>
                <w:szCs w:val="24"/>
                <w:u w:val="single"/>
              </w:rPr>
              <w:t>Latv</w:t>
            </w:r>
            <w:r>
              <w:rPr>
                <w:b/>
                <w:szCs w:val="24"/>
                <w:u w:val="single"/>
              </w:rPr>
              <w:t>ijas Lielo pilsētu asociācija</w:t>
            </w:r>
          </w:p>
          <w:p w14:paraId="5C2CA2B6" w14:textId="77777777" w:rsidR="00C60222" w:rsidRPr="00F45597" w:rsidRDefault="00C60222" w:rsidP="00C60222">
            <w:pPr>
              <w:pStyle w:val="NoSpacing"/>
              <w:rPr>
                <w:szCs w:val="24"/>
              </w:rPr>
            </w:pPr>
            <w:r w:rsidRPr="00F45597">
              <w:rPr>
                <w:szCs w:val="24"/>
              </w:rPr>
              <w:t>Rīgas pilsētas pašvaldība ierosina 2021.–2027.gada plānošanas periodā republikas pilsētu pašvaldībām dot iespēju uzņemties (nav obligāts pienākums, bet tikai kā izvēles iespēja) sadarbības iestādes funkcijas izpildi, deleģējot tām atsevišķu ES fondu aktivitāšu projektu iesniegumu atlases un vērtēšanas nodrošināšanu.</w:t>
            </w:r>
          </w:p>
          <w:p w14:paraId="061AA39C" w14:textId="77777777" w:rsidR="00C60222" w:rsidRDefault="00C60222" w:rsidP="0035508B">
            <w:pPr>
              <w:widowControl w:val="0"/>
              <w:jc w:val="both"/>
              <w:rPr>
                <w:rFonts w:eastAsia="Calibri"/>
                <w:b/>
                <w:u w:val="single"/>
                <w:lang w:eastAsia="en-US"/>
              </w:rPr>
            </w:pPr>
          </w:p>
          <w:p w14:paraId="7A0B9BBF" w14:textId="48549662" w:rsidR="00C60222" w:rsidRDefault="00817FCB" w:rsidP="0035508B">
            <w:pPr>
              <w:widowControl w:val="0"/>
              <w:jc w:val="both"/>
              <w:rPr>
                <w:b/>
                <w:u w:val="single"/>
              </w:rPr>
            </w:pPr>
            <w:r w:rsidRPr="00F45597">
              <w:rPr>
                <w:b/>
                <w:u w:val="single"/>
              </w:rPr>
              <w:t>Latv</w:t>
            </w:r>
            <w:r>
              <w:rPr>
                <w:b/>
                <w:u w:val="single"/>
              </w:rPr>
              <w:t>ijas Lielo pilsētu asociācija</w:t>
            </w:r>
            <w:r w:rsidRPr="003B1E10">
              <w:rPr>
                <w:b/>
                <w:u w:val="single"/>
              </w:rPr>
              <w:t>s 29.05.2019. iebildums</w:t>
            </w:r>
            <w:r>
              <w:rPr>
                <w:b/>
                <w:u w:val="single"/>
              </w:rPr>
              <w:t>:</w:t>
            </w:r>
          </w:p>
          <w:p w14:paraId="1FD04EF5" w14:textId="77777777" w:rsidR="00817FCB" w:rsidRDefault="00817FCB" w:rsidP="00817FCB">
            <w:pPr>
              <w:pStyle w:val="NoSpacing"/>
              <w:rPr>
                <w:bCs/>
                <w:szCs w:val="24"/>
              </w:rPr>
            </w:pPr>
            <w:r>
              <w:rPr>
                <w:bCs/>
                <w:szCs w:val="24"/>
              </w:rPr>
              <w:t>Vēršam uzmanību, ka nav skaidri saprotama Finanšu ministrijas (turpmāk – FM) norāde par “institucionālā ietvara maiņu” un izrietošu kavēšanos nākamā plānošanas perioda uzsākšanai.</w:t>
            </w:r>
          </w:p>
          <w:p w14:paraId="1571E0DA" w14:textId="77777777" w:rsidR="00817FCB" w:rsidRDefault="00817FCB" w:rsidP="00817FCB">
            <w:pPr>
              <w:pStyle w:val="NoSpacing"/>
              <w:rPr>
                <w:bCs/>
                <w:szCs w:val="24"/>
              </w:rPr>
            </w:pPr>
            <w:r>
              <w:rPr>
                <w:bCs/>
                <w:szCs w:val="24"/>
              </w:rPr>
              <w:t xml:space="preserve">Norādām, ka </w:t>
            </w:r>
            <w:r w:rsidRPr="00E31D82">
              <w:rPr>
                <w:b/>
                <w:bCs/>
                <w:szCs w:val="24"/>
                <w:u w:val="single"/>
              </w:rPr>
              <w:t>regulu priekšlikumi paredz atbalstu ilgtspējīgai pilsētu attīstībai un resursu iezīmēšanu integrēto teritoriālo investīciju ietvarā</w:t>
            </w:r>
            <w:r>
              <w:rPr>
                <w:bCs/>
                <w:szCs w:val="24"/>
              </w:rPr>
              <w:t xml:space="preserve">. </w:t>
            </w:r>
            <w:r w:rsidRPr="00246CDA">
              <w:rPr>
                <w:bCs/>
                <w:szCs w:val="24"/>
              </w:rPr>
              <w:t>P</w:t>
            </w:r>
            <w:r>
              <w:rPr>
                <w:bCs/>
                <w:szCs w:val="24"/>
              </w:rPr>
              <w:t>iemēram, p</w:t>
            </w:r>
            <w:r w:rsidRPr="00246CDA">
              <w:rPr>
                <w:bCs/>
                <w:szCs w:val="24"/>
              </w:rPr>
              <w:t>riekšlikums</w:t>
            </w:r>
            <w:r>
              <w:rPr>
                <w:bCs/>
                <w:szCs w:val="24"/>
              </w:rPr>
              <w:t xml:space="preserve"> Eiropas Parlamenta un Padomes </w:t>
            </w:r>
            <w:r>
              <w:rPr>
                <w:bCs/>
                <w:szCs w:val="24"/>
              </w:rPr>
              <w:lastRenderedPageBreak/>
              <w:t xml:space="preserve">regulai </w:t>
            </w:r>
            <w:r w:rsidRPr="00246CDA">
              <w:rPr>
                <w:bCs/>
                <w:szCs w:val="24"/>
              </w:rPr>
              <w:t>par Eiropas Reģionālās attīstības fondu un Kohēzijas fondu</w:t>
            </w:r>
            <w:r>
              <w:rPr>
                <w:rStyle w:val="FootnoteReference"/>
                <w:bCs/>
                <w:szCs w:val="24"/>
              </w:rPr>
              <w:footnoteReference w:id="5"/>
            </w:r>
            <w:r>
              <w:rPr>
                <w:bCs/>
                <w:szCs w:val="24"/>
              </w:rPr>
              <w:t>:</w:t>
            </w:r>
          </w:p>
          <w:p w14:paraId="4CCBC87C" w14:textId="77777777" w:rsidR="00817FCB" w:rsidRDefault="00817FCB" w:rsidP="00817FCB">
            <w:pPr>
              <w:pStyle w:val="NoSpacing"/>
              <w:rPr>
                <w:bCs/>
                <w:i/>
                <w:szCs w:val="24"/>
              </w:rPr>
            </w:pPr>
            <w:r>
              <w:rPr>
                <w:bCs/>
                <w:i/>
                <w:szCs w:val="24"/>
              </w:rPr>
              <w:t>“</w:t>
            </w:r>
            <w:r w:rsidRPr="00246CDA">
              <w:rPr>
                <w:bCs/>
                <w:i/>
                <w:szCs w:val="24"/>
              </w:rPr>
              <w:t>(25) Ilgtspējīgas pilsētattīstības ietvarā būtu jāatbalsta integrēta teritoriālā attīstība, lai</w:t>
            </w:r>
            <w:r>
              <w:rPr>
                <w:bCs/>
                <w:i/>
                <w:szCs w:val="24"/>
              </w:rPr>
              <w:t xml:space="preserve"> </w:t>
            </w:r>
            <w:r w:rsidRPr="00246CDA">
              <w:rPr>
                <w:bCs/>
                <w:i/>
                <w:szCs w:val="24"/>
              </w:rPr>
              <w:t>sekmīgāk risinātu ekonomiskās, vidiskās, klimatiskās, demogrāfiskās un sociālās</w:t>
            </w:r>
            <w:r>
              <w:rPr>
                <w:bCs/>
                <w:i/>
                <w:szCs w:val="24"/>
              </w:rPr>
              <w:t xml:space="preserve"> </w:t>
            </w:r>
            <w:r w:rsidRPr="00246CDA">
              <w:rPr>
                <w:bCs/>
                <w:i/>
                <w:szCs w:val="24"/>
              </w:rPr>
              <w:t>problēmas, kas skar pilsētu teritorijas, tostarp funkcionālās pilsētu teritorijas, turklāt</w:t>
            </w:r>
            <w:r>
              <w:rPr>
                <w:bCs/>
                <w:i/>
                <w:szCs w:val="24"/>
              </w:rPr>
              <w:t xml:space="preserve"> </w:t>
            </w:r>
            <w:r w:rsidRPr="00246CDA">
              <w:rPr>
                <w:bCs/>
                <w:i/>
                <w:szCs w:val="24"/>
              </w:rPr>
              <w:t>vienlaikus jāņem vērā vajadzība veicināt saikņu veidošanu starp pilsētu un lauku</w:t>
            </w:r>
            <w:r>
              <w:rPr>
                <w:bCs/>
                <w:i/>
                <w:szCs w:val="24"/>
              </w:rPr>
              <w:t xml:space="preserve"> </w:t>
            </w:r>
            <w:r w:rsidRPr="00246CDA">
              <w:rPr>
                <w:bCs/>
                <w:i/>
                <w:szCs w:val="24"/>
              </w:rPr>
              <w:t>teritorijām. Principi, pēc kuriem atlasīs tās pilsētu teritorijas, kurās īstenojamas</w:t>
            </w:r>
            <w:r>
              <w:rPr>
                <w:bCs/>
                <w:i/>
                <w:szCs w:val="24"/>
              </w:rPr>
              <w:t xml:space="preserve"> </w:t>
            </w:r>
            <w:r w:rsidRPr="00246CDA">
              <w:rPr>
                <w:bCs/>
                <w:i/>
                <w:szCs w:val="24"/>
              </w:rPr>
              <w:t>integrētas darbības ilgtspējīgai pilsētattīstībai, un minēto darbību finansējuma</w:t>
            </w:r>
            <w:r>
              <w:rPr>
                <w:bCs/>
                <w:i/>
                <w:szCs w:val="24"/>
              </w:rPr>
              <w:t xml:space="preserve"> </w:t>
            </w:r>
            <w:r w:rsidRPr="00246CDA">
              <w:rPr>
                <w:bCs/>
                <w:i/>
                <w:szCs w:val="24"/>
              </w:rPr>
              <w:t>indikatīvās summas būtu jānosaka mērķa “Investīcijas nodarbinātībai un izaugsmei”</w:t>
            </w:r>
            <w:r>
              <w:rPr>
                <w:bCs/>
                <w:i/>
                <w:szCs w:val="24"/>
              </w:rPr>
              <w:t xml:space="preserve"> </w:t>
            </w:r>
            <w:r w:rsidRPr="00246CDA">
              <w:rPr>
                <w:bCs/>
                <w:i/>
                <w:szCs w:val="24"/>
              </w:rPr>
              <w:t xml:space="preserve">programmās, un šim nolūkam </w:t>
            </w:r>
            <w:r w:rsidRPr="00246CDA">
              <w:rPr>
                <w:b/>
                <w:bCs/>
                <w:i/>
                <w:szCs w:val="24"/>
                <w:u w:val="single"/>
              </w:rPr>
              <w:t>valstu līmenī būtu jāpiešķir vismaz 6% no ERAF līdzekļiem</w:t>
            </w:r>
            <w:r w:rsidRPr="00246CDA">
              <w:rPr>
                <w:bCs/>
                <w:i/>
                <w:szCs w:val="24"/>
              </w:rPr>
              <w:t>.</w:t>
            </w:r>
            <w:r>
              <w:rPr>
                <w:bCs/>
                <w:i/>
                <w:szCs w:val="24"/>
              </w:rPr>
              <w:t>(..)”</w:t>
            </w:r>
          </w:p>
          <w:p w14:paraId="40D72D37" w14:textId="77777777" w:rsidR="00817FCB" w:rsidRDefault="00817FCB" w:rsidP="00817FCB">
            <w:pPr>
              <w:pStyle w:val="NoSpacing"/>
              <w:rPr>
                <w:bCs/>
                <w:szCs w:val="24"/>
              </w:rPr>
            </w:pPr>
            <w:r>
              <w:rPr>
                <w:bCs/>
                <w:szCs w:val="24"/>
              </w:rPr>
              <w:t xml:space="preserve">Papildus norādām, ka </w:t>
            </w:r>
            <w:r w:rsidRPr="00E31D82">
              <w:rPr>
                <w:b/>
                <w:bCs/>
                <w:szCs w:val="24"/>
                <w:u w:val="single"/>
              </w:rPr>
              <w:t>arī Latvijas pozīcija par Kohēzijas politiku pēc 2020.gada paredz atbalstu pilsētvides iniciatīvām</w:t>
            </w:r>
            <w:r>
              <w:rPr>
                <w:bCs/>
                <w:szCs w:val="24"/>
              </w:rPr>
              <w:t xml:space="preserve"> integrēto teritoriālo investīciju ietvarā.</w:t>
            </w:r>
          </w:p>
          <w:p w14:paraId="19EE6D9A" w14:textId="77777777" w:rsidR="00817FCB" w:rsidRDefault="00817FCB" w:rsidP="00817FCB">
            <w:pPr>
              <w:pStyle w:val="NoSpacing"/>
              <w:rPr>
                <w:bCs/>
                <w:szCs w:val="24"/>
              </w:rPr>
            </w:pPr>
            <w:r>
              <w:rPr>
                <w:bCs/>
                <w:szCs w:val="24"/>
              </w:rPr>
              <w:t xml:space="preserve">Ņemot vērā iepriekš minēto, </w:t>
            </w:r>
            <w:r w:rsidRPr="00455397">
              <w:rPr>
                <w:b/>
                <w:bCs/>
                <w:szCs w:val="24"/>
                <w:u w:val="single"/>
              </w:rPr>
              <w:t xml:space="preserve">iebilstam pret FM </w:t>
            </w:r>
            <w:r>
              <w:rPr>
                <w:b/>
                <w:bCs/>
                <w:szCs w:val="24"/>
                <w:u w:val="single"/>
              </w:rPr>
              <w:t>sniegto skaidrojumu</w:t>
            </w:r>
            <w:r w:rsidRPr="00455397">
              <w:rPr>
                <w:b/>
                <w:bCs/>
                <w:szCs w:val="24"/>
                <w:u w:val="single"/>
              </w:rPr>
              <w:t xml:space="preserve"> attiecībā uz ieguldījumiem pilsētvidē nākamajā ES fondu plānošanas periodā</w:t>
            </w:r>
            <w:r>
              <w:rPr>
                <w:bCs/>
                <w:szCs w:val="24"/>
              </w:rPr>
              <w:t>.</w:t>
            </w:r>
          </w:p>
          <w:p w14:paraId="6AEF5F85" w14:textId="77777777" w:rsidR="00817FCB" w:rsidRPr="00BB2A8A" w:rsidRDefault="00817FCB" w:rsidP="00817FCB">
            <w:pPr>
              <w:pStyle w:val="NoSpacing"/>
              <w:rPr>
                <w:bCs/>
                <w:szCs w:val="24"/>
              </w:rPr>
            </w:pPr>
          </w:p>
          <w:p w14:paraId="7019FA37" w14:textId="7C306274" w:rsidR="00817FCB" w:rsidRDefault="00817FCB" w:rsidP="00817FCB">
            <w:pPr>
              <w:widowControl w:val="0"/>
              <w:jc w:val="both"/>
              <w:rPr>
                <w:rFonts w:eastAsia="Calibri"/>
                <w:b/>
                <w:u w:val="single"/>
                <w:lang w:eastAsia="en-US"/>
              </w:rPr>
            </w:pPr>
            <w:r>
              <w:lastRenderedPageBreak/>
              <w:t>Papildus norādām, ka LLPA viedoklis attiecībā uz pašvaldību iespēju ES fondu 2021.-2027. gada plānošanas periodā veikt integrēto teritoriālo investīciju projektu atlasi paliek nemainīgs – paredzot to kā izvēles iespēju pilsētu pašvaldībām.</w:t>
            </w:r>
          </w:p>
          <w:p w14:paraId="0754A768" w14:textId="73114EDE" w:rsidR="00C60222" w:rsidRPr="00937060" w:rsidRDefault="00C60222" w:rsidP="0035508B">
            <w:pPr>
              <w:widowControl w:val="0"/>
              <w:jc w:val="both"/>
              <w:rPr>
                <w:rFonts w:eastAsia="Calibri"/>
                <w:b/>
                <w:u w:val="single"/>
                <w:lang w:eastAsia="en-US"/>
              </w:rPr>
            </w:pPr>
          </w:p>
        </w:tc>
        <w:tc>
          <w:tcPr>
            <w:tcW w:w="1191" w:type="pct"/>
            <w:tcBorders>
              <w:top w:val="single" w:sz="6" w:space="0" w:color="000000"/>
              <w:left w:val="single" w:sz="6" w:space="0" w:color="000000"/>
              <w:bottom w:val="single" w:sz="6" w:space="0" w:color="000000"/>
              <w:right w:val="single" w:sz="4" w:space="0" w:color="auto"/>
            </w:tcBorders>
          </w:tcPr>
          <w:p w14:paraId="012EBC93" w14:textId="77777777" w:rsidR="00C60222" w:rsidRDefault="00817FCB" w:rsidP="00C20D1A">
            <w:pPr>
              <w:pStyle w:val="NormalWeb"/>
              <w:spacing w:before="0" w:beforeAutospacing="0" w:after="120" w:afterAutospacing="0"/>
              <w:jc w:val="center"/>
              <w:rPr>
                <w:b/>
              </w:rPr>
            </w:pPr>
            <w:r>
              <w:rPr>
                <w:b/>
              </w:rPr>
              <w:lastRenderedPageBreak/>
              <w:t>Panākta vienošanās saskaņošanas laikā.</w:t>
            </w:r>
          </w:p>
          <w:p w14:paraId="3AC3327F" w14:textId="76AF1B4A" w:rsidR="00817FCB" w:rsidRDefault="00817FCB" w:rsidP="00817FCB">
            <w:pPr>
              <w:pStyle w:val="NoSpacing"/>
              <w:rPr>
                <w:szCs w:val="24"/>
              </w:rPr>
            </w:pPr>
            <w:r w:rsidRPr="00F45597">
              <w:rPr>
                <w:szCs w:val="24"/>
              </w:rPr>
              <w:t xml:space="preserve">Norādām, ka šobrīd ir uzsāktas diskusijas par Administratīvi teritoriālo reformu, kā arī  nav apstiprināts NAP 2027, līdz ar to </w:t>
            </w:r>
            <w:r w:rsidRPr="00817FCB">
              <w:rPr>
                <w:szCs w:val="24"/>
              </w:rPr>
              <w:t>nav zināmas precīzas investīcijas</w:t>
            </w:r>
            <w:r>
              <w:rPr>
                <w:szCs w:val="24"/>
              </w:rPr>
              <w:t xml:space="preserve"> 2021.-2027.gada plānošanas periodam. </w:t>
            </w:r>
            <w:r w:rsidRPr="00817FCB">
              <w:rPr>
                <w:szCs w:val="24"/>
              </w:rPr>
              <w:t xml:space="preserve"> </w:t>
            </w:r>
          </w:p>
          <w:p w14:paraId="797D7AD2" w14:textId="64E4A684" w:rsidR="00817FCB" w:rsidRDefault="00817FCB" w:rsidP="00817FCB">
            <w:pPr>
              <w:pStyle w:val="NoSpacing"/>
              <w:rPr>
                <w:szCs w:val="24"/>
              </w:rPr>
            </w:pPr>
            <w:r>
              <w:rPr>
                <w:szCs w:val="24"/>
              </w:rPr>
              <w:t>Skaidrojam, ka šobrīd informatīvais ziņojums ietver koncepciju par ieviešanas sistēmu, tomēr detalizētāks funkciju sadalījums, tai skaitā funkciju deleģēšana, tiks atrunāta ES KP fondu likumā, to izdiskutējot ar visām ES KP fondu ieviešanā iesaistītajām institūcijām un partneriem, panākot labāko iespējamo risinājumu</w:t>
            </w:r>
            <w:r w:rsidR="00892B02">
              <w:rPr>
                <w:szCs w:val="24"/>
              </w:rPr>
              <w:t>.</w:t>
            </w:r>
          </w:p>
          <w:p w14:paraId="55A703EA" w14:textId="4C966891" w:rsidR="00817FCB" w:rsidRDefault="00817FCB" w:rsidP="00817FCB">
            <w:pPr>
              <w:pStyle w:val="NormalWeb"/>
              <w:spacing w:before="0" w:beforeAutospacing="0" w:after="120" w:afterAutospacing="0"/>
              <w:jc w:val="center"/>
              <w:rPr>
                <w:b/>
              </w:rPr>
            </w:pPr>
          </w:p>
        </w:tc>
        <w:tc>
          <w:tcPr>
            <w:tcW w:w="970" w:type="pct"/>
            <w:tcBorders>
              <w:left w:val="single" w:sz="4" w:space="0" w:color="auto"/>
              <w:bottom w:val="single" w:sz="4" w:space="0" w:color="auto"/>
            </w:tcBorders>
          </w:tcPr>
          <w:p w14:paraId="034E1EA0" w14:textId="1976A1A8" w:rsidR="00C60222" w:rsidRPr="00937060" w:rsidRDefault="00817FCB" w:rsidP="0035508B">
            <w:pPr>
              <w:pStyle w:val="Title"/>
              <w:jc w:val="both"/>
              <w:outlineLvl w:val="0"/>
              <w:rPr>
                <w:sz w:val="24"/>
                <w:szCs w:val="24"/>
              </w:rPr>
            </w:pPr>
            <w:r w:rsidRPr="00937060">
              <w:rPr>
                <w:sz w:val="24"/>
                <w:szCs w:val="24"/>
              </w:rPr>
              <w:t>Lūdzu skatīt precizēto informatīvo ziņojumu</w:t>
            </w:r>
            <w:r>
              <w:rPr>
                <w:sz w:val="24"/>
                <w:szCs w:val="24"/>
              </w:rPr>
              <w:t>.</w:t>
            </w:r>
          </w:p>
        </w:tc>
      </w:tr>
      <w:tr w:rsidR="0035508B" w:rsidRPr="00937060" w14:paraId="4CE00E21" w14:textId="77777777" w:rsidTr="00C066E7">
        <w:trPr>
          <w:trHeight w:val="404"/>
        </w:trPr>
        <w:tc>
          <w:tcPr>
            <w:tcW w:w="283" w:type="pct"/>
            <w:tcBorders>
              <w:top w:val="single" w:sz="6" w:space="0" w:color="000000"/>
              <w:left w:val="single" w:sz="6" w:space="0" w:color="000000"/>
              <w:bottom w:val="single" w:sz="6" w:space="0" w:color="000000"/>
              <w:right w:val="single" w:sz="4" w:space="0" w:color="auto"/>
            </w:tcBorders>
            <w:shd w:val="clear" w:color="auto" w:fill="FFFFFF" w:themeFill="background1"/>
          </w:tcPr>
          <w:p w14:paraId="7DEF1B0A" w14:textId="77777777" w:rsidR="0035508B" w:rsidRPr="00937060" w:rsidRDefault="0035508B" w:rsidP="00B60E7A">
            <w:pPr>
              <w:pStyle w:val="naisc"/>
              <w:numPr>
                <w:ilvl w:val="0"/>
                <w:numId w:val="36"/>
              </w:numPr>
              <w:spacing w:before="0" w:after="0"/>
            </w:pPr>
          </w:p>
        </w:tc>
        <w:tc>
          <w:tcPr>
            <w:tcW w:w="1166" w:type="pct"/>
            <w:tcBorders>
              <w:top w:val="single" w:sz="4" w:space="0" w:color="auto"/>
              <w:left w:val="single" w:sz="4" w:space="0" w:color="auto"/>
              <w:bottom w:val="single" w:sz="4" w:space="0" w:color="auto"/>
              <w:right w:val="single" w:sz="4" w:space="0" w:color="auto"/>
            </w:tcBorders>
          </w:tcPr>
          <w:p w14:paraId="58ED5B1F" w14:textId="39455C83" w:rsidR="0035508B" w:rsidRPr="00937060" w:rsidRDefault="0035508B" w:rsidP="0035508B">
            <w:pPr>
              <w:pStyle w:val="Title"/>
              <w:ind w:hanging="33"/>
              <w:jc w:val="both"/>
              <w:outlineLvl w:val="0"/>
              <w:rPr>
                <w:sz w:val="24"/>
                <w:szCs w:val="24"/>
              </w:rPr>
            </w:pPr>
            <w:r w:rsidRPr="00937060">
              <w:rPr>
                <w:sz w:val="24"/>
                <w:szCs w:val="24"/>
              </w:rPr>
              <w:t>Informatīvā ziņojuma 4.sadaļa “Laika grafiks” apakšsadaļa “</w:t>
            </w:r>
            <w:r w:rsidRPr="00937060">
              <w:rPr>
                <w:rFonts w:eastAsia="Calibri"/>
                <w:sz w:val="24"/>
                <w:szCs w:val="24"/>
              </w:rPr>
              <w:t>Turpmākā rīcība”</w:t>
            </w:r>
          </w:p>
        </w:tc>
        <w:tc>
          <w:tcPr>
            <w:tcW w:w="1390" w:type="pct"/>
            <w:tcBorders>
              <w:top w:val="single" w:sz="6" w:space="0" w:color="000000"/>
              <w:left w:val="single" w:sz="4" w:space="0" w:color="auto"/>
              <w:bottom w:val="single" w:sz="6" w:space="0" w:color="000000"/>
              <w:right w:val="single" w:sz="6" w:space="0" w:color="000000"/>
            </w:tcBorders>
          </w:tcPr>
          <w:p w14:paraId="798B5D4B" w14:textId="77777777" w:rsidR="0035508B" w:rsidRPr="00937060" w:rsidRDefault="0035508B" w:rsidP="0035508B">
            <w:pPr>
              <w:widowControl w:val="0"/>
              <w:jc w:val="both"/>
              <w:rPr>
                <w:rFonts w:eastAsia="Calibri"/>
                <w:b/>
                <w:u w:val="single"/>
                <w:lang w:eastAsia="en-US"/>
              </w:rPr>
            </w:pPr>
            <w:r w:rsidRPr="00937060">
              <w:rPr>
                <w:rFonts w:eastAsia="Calibri"/>
                <w:b/>
                <w:u w:val="single"/>
                <w:lang w:eastAsia="en-US"/>
              </w:rPr>
              <w:t>Ekonomikas ministrija:</w:t>
            </w:r>
          </w:p>
          <w:p w14:paraId="7286F630" w14:textId="77777777" w:rsidR="0035508B" w:rsidRPr="00937060" w:rsidRDefault="0035508B" w:rsidP="0035508B">
            <w:pPr>
              <w:widowControl w:val="0"/>
              <w:ind w:firstLine="179"/>
              <w:jc w:val="both"/>
              <w:rPr>
                <w:rFonts w:eastAsia="Calibri"/>
                <w:lang w:eastAsia="en-US"/>
              </w:rPr>
            </w:pPr>
            <w:r w:rsidRPr="00937060">
              <w:rPr>
                <w:rFonts w:eastAsia="Calibri"/>
                <w:lang w:eastAsia="en-US"/>
              </w:rPr>
              <w:t xml:space="preserve">Secinām, ka informatīvā ziņojuma 3.2. sadaļa “ES KP Institucionālā sistēma” ir </w:t>
            </w:r>
            <w:r w:rsidRPr="00937060">
              <w:rPr>
                <w:rFonts w:eastAsia="Calibri"/>
                <w:b/>
                <w:lang w:eastAsia="en-US"/>
              </w:rPr>
              <w:t>sagatavota bez detalizētas analīzes</w:t>
            </w:r>
            <w:r w:rsidRPr="00937060">
              <w:rPr>
                <w:rFonts w:eastAsia="Calibri"/>
                <w:lang w:eastAsia="en-US"/>
              </w:rPr>
              <w:t xml:space="preserve">, kā pamatojumu esošās sistēmas saglabāšanai norādot sistēmas pēctecību un finansējuma pārrāvuma riska mazināšanu, tāpat </w:t>
            </w:r>
            <w:r w:rsidRPr="00937060">
              <w:rPr>
                <w:rFonts w:eastAsia="Calibri"/>
                <w:b/>
                <w:lang w:eastAsia="en-US"/>
              </w:rPr>
              <w:t>nav sniegta faktos balstīta argumentācija</w:t>
            </w:r>
            <w:r w:rsidRPr="00937060">
              <w:rPr>
                <w:rFonts w:eastAsia="Calibri"/>
                <w:lang w:eastAsia="en-US"/>
              </w:rPr>
              <w:t xml:space="preserve"> par informatīvajā ziņojumā izteiktajiem papildu ieguvumiem (piem., mazāks administratīvais slogs, kad kopumā nodrošināta vienota pieeja), kā arī nav skaidrs, vai un kā šie “papildu” ieguvumi ir vērtējami pret 2014-2020.plānošanas perioda institucionālo sistēmu.</w:t>
            </w:r>
          </w:p>
          <w:p w14:paraId="3E9F77AA" w14:textId="77777777" w:rsidR="0035508B" w:rsidRPr="00937060" w:rsidRDefault="0035508B" w:rsidP="0035508B">
            <w:pPr>
              <w:widowControl w:val="0"/>
              <w:jc w:val="both"/>
              <w:rPr>
                <w:rFonts w:eastAsia="Calibri"/>
                <w:lang w:eastAsia="en-US"/>
              </w:rPr>
            </w:pPr>
            <w:r w:rsidRPr="00937060">
              <w:rPr>
                <w:rFonts w:eastAsia="Calibri"/>
                <w:lang w:eastAsia="en-US"/>
              </w:rPr>
              <w:t xml:space="preserve"> Informatīvā ziņojumā ir norādīts, ka “</w:t>
            </w:r>
            <w:r w:rsidRPr="00937060">
              <w:rPr>
                <w:rFonts w:eastAsia="Calibri"/>
                <w:i/>
                <w:lang w:eastAsia="en-US"/>
              </w:rPr>
              <w:t xml:space="preserve">kopējā fondu regula paredz, ka 2021. – 2027. gada plānošanas periodā finansējuma saņēmējs būs tas, kas saņem atbalstu valsts atbalsta shēmu gadījumā, līdz ar to ES KP fondu atbalsta mehānisms jāveido tā, lai sadarbības iestāde CFLA tieši sadarbojas ar finansējuma </w:t>
            </w:r>
            <w:r w:rsidRPr="00937060">
              <w:rPr>
                <w:rFonts w:eastAsia="Calibri"/>
                <w:i/>
                <w:lang w:eastAsia="en-US"/>
              </w:rPr>
              <w:lastRenderedPageBreak/>
              <w:t>saņēmēju/gala labuma guvēju valsts atbalsta shēmu gadījumā, proti, apstiprina projektu un slēdz līgumu, izslēdzot vairāku pakāpju administrēšanas shēmas izmantošanu</w:t>
            </w:r>
            <w:r w:rsidRPr="00937060">
              <w:rPr>
                <w:rFonts w:eastAsia="Calibri"/>
                <w:lang w:eastAsia="en-US"/>
              </w:rPr>
              <w:t xml:space="preserve">”, taču nav sniegta analīze par to, vai un kā praktiski tas izmainīs esošo atbalsta programmu ieviešanas institucionālo konstrukciju un iesaistīto institūciju lomu. </w:t>
            </w:r>
          </w:p>
          <w:p w14:paraId="06BE81B7" w14:textId="77777777" w:rsidR="0035508B" w:rsidRPr="00937060" w:rsidRDefault="0035508B" w:rsidP="0035508B">
            <w:pPr>
              <w:widowControl w:val="0"/>
              <w:ind w:firstLine="179"/>
              <w:jc w:val="both"/>
              <w:rPr>
                <w:rFonts w:eastAsia="Calibri"/>
                <w:lang w:eastAsia="en-US"/>
              </w:rPr>
            </w:pPr>
            <w:r w:rsidRPr="00937060">
              <w:rPr>
                <w:rFonts w:eastAsia="Calibri"/>
                <w:lang w:eastAsia="en-US"/>
              </w:rPr>
              <w:t xml:space="preserve">Gatavojoties 2014-2020.plānošanas perioda uzsākšanai tika sagatavota koncepcija par Eiropas Reģionālās attīstības fonda, Eiropas Sociālā fonda, Kohēzijas fonda, Eiropas Lauksaimniecības fonda lauku attīstībai un Eiropas Jūrlietu un zivsaimniecības fonda ieviešanu 2014.-2020.gadā Latvijā, kurā tika analizēti vairāki institucionālās sistēmas ieviešanas modeļi, kā arī noteiktas to stiprās un vājās puses. Papildus izvērtējums tika sniegts arī Finanšu ministrijas izstrādātajā informatīvajā ziņojumā par Eiropas Reģionālās attīstības fonda, Eiropas Sociālā fonda un Kohēzijas fonda vadības un kontroles sistēmu 2014.-2020.gada plānošanas periodam. </w:t>
            </w:r>
            <w:r w:rsidRPr="00937060">
              <w:rPr>
                <w:rFonts w:eastAsia="Calibri"/>
                <w:b/>
                <w:lang w:eastAsia="en-US"/>
              </w:rPr>
              <w:t xml:space="preserve">Atgādinām, ka arī toreiz būtisks un joprojām nemainīgi svarīgs uzstādījums ir bijis finansējuma pārrāvuma riska mazināšana starp plānošanas periodiem, vienlaikus tas nav bijis </w:t>
            </w:r>
            <w:r w:rsidRPr="00937060">
              <w:rPr>
                <w:rFonts w:eastAsia="Calibri"/>
                <w:b/>
                <w:lang w:eastAsia="en-US"/>
              </w:rPr>
              <w:lastRenderedPageBreak/>
              <w:t>šķērslis veikt institucionālās sistēmas aptverošu izvērtējumu un attiecīgi arī ierosināt tās reformu</w:t>
            </w:r>
            <w:r w:rsidRPr="00937060">
              <w:rPr>
                <w:rFonts w:eastAsia="Calibri"/>
                <w:lang w:eastAsia="en-US"/>
              </w:rPr>
              <w:t xml:space="preserve">. Pieņemot lēmumu par sistēmu ar vienu sadarbības iestādi, kā būtiskākais risks tika norādīts nepieciešamās kapacitātes nodrošināšana darbā ar visiem Kohēzijas politikas fondu finansējuma saņēmējiem, īpaši komersantiem un Eiropas Sociālā fonda tipa aktivitātēm, un visām atbildīgajām iestādēm, savukārt kā būtisks ieguvums tika minēta optimizācija un zemāki sistēmas uzturēšanas izdevumi (piem., sadarbības iestādes administrēšanas izdevumi, izdevumi sistēmas pielāgošanai nepieciešamajām izmaiņām), salīdzinot ar 2007 – 2013. periodu. </w:t>
            </w:r>
          </w:p>
          <w:p w14:paraId="5582EB7F" w14:textId="77777777" w:rsidR="0035508B" w:rsidRPr="00937060" w:rsidRDefault="0035508B" w:rsidP="0035508B">
            <w:pPr>
              <w:widowControl w:val="0"/>
              <w:jc w:val="both"/>
              <w:rPr>
                <w:rFonts w:eastAsia="Calibri"/>
                <w:lang w:eastAsia="en-US"/>
              </w:rPr>
            </w:pPr>
            <w:r w:rsidRPr="00937060">
              <w:rPr>
                <w:rFonts w:eastAsia="Calibri"/>
                <w:lang w:eastAsia="en-US"/>
              </w:rPr>
              <w:t>Informatīvajā ziņojumā deklaratīvi secināts, ka “</w:t>
            </w:r>
            <w:r w:rsidRPr="00937060">
              <w:rPr>
                <w:rFonts w:eastAsia="Calibri"/>
                <w:i/>
                <w:lang w:eastAsia="en-US"/>
              </w:rPr>
              <w:t>sistēma ir sevi pierādījusi 2014. – 2020. gada plānošanas periodā, proti, tā ir vērsta uz klientu, nodrošinot vienkāršotu administrēšanas sistēmu, daudzlīmeņu kontroļu sloga samazināšanu, vienotu praksi un prasības finansējuma saņēmējam, tādējādi nodrošinot efektīvu ES fondu īstenošanu, kas vērsta uz rezultātu sasniegšanu</w:t>
            </w:r>
            <w:r w:rsidRPr="00937060">
              <w:rPr>
                <w:rFonts w:eastAsia="Calibri"/>
                <w:lang w:eastAsia="en-US"/>
              </w:rPr>
              <w:t xml:space="preserve">”. EM ieskatā iepriekš minētā secinājuma pamatojums nav pietiekams, ja tas balstīts tikai uz Revīzijas iestādes Gada kontroles ziņojumu par kļūdu līmeni un </w:t>
            </w:r>
            <w:r w:rsidRPr="00937060">
              <w:rPr>
                <w:rFonts w:eastAsia="Calibri"/>
                <w:lang w:eastAsia="en-US"/>
              </w:rPr>
              <w:lastRenderedPageBreak/>
              <w:t>ieteikumu neesamību.</w:t>
            </w:r>
          </w:p>
          <w:p w14:paraId="1A9152D0" w14:textId="77777777" w:rsidR="0035508B" w:rsidRPr="00937060" w:rsidRDefault="0035508B" w:rsidP="0035508B">
            <w:pPr>
              <w:widowControl w:val="0"/>
              <w:jc w:val="both"/>
              <w:rPr>
                <w:rFonts w:eastAsia="Calibri"/>
                <w:lang w:eastAsia="en-US"/>
              </w:rPr>
            </w:pPr>
            <w:r w:rsidRPr="00937060">
              <w:rPr>
                <w:rFonts w:eastAsia="Calibri"/>
                <w:lang w:eastAsia="en-US"/>
              </w:rPr>
              <w:t>Ievērojot iepriekš minēto:</w:t>
            </w:r>
          </w:p>
          <w:p w14:paraId="24CDA448" w14:textId="5422A9B6" w:rsidR="0035508B" w:rsidRPr="00937060" w:rsidRDefault="0035508B" w:rsidP="0035508B">
            <w:pPr>
              <w:pStyle w:val="NoSpacing"/>
              <w:rPr>
                <w:b/>
                <w:u w:val="single"/>
              </w:rPr>
            </w:pPr>
            <w:r w:rsidRPr="00937060">
              <w:rPr>
                <w:rFonts w:eastAsia="Calibri"/>
                <w:szCs w:val="24"/>
              </w:rPr>
              <w:t>Iebilstam pret informatīvā ziņojuma sadaļas “Turpmākā rīcība” 2.punktu un protokollēmuma 3.punktu.</w:t>
            </w:r>
          </w:p>
        </w:tc>
        <w:tc>
          <w:tcPr>
            <w:tcW w:w="1191" w:type="pct"/>
            <w:tcBorders>
              <w:top w:val="single" w:sz="6" w:space="0" w:color="000000"/>
              <w:left w:val="single" w:sz="6" w:space="0" w:color="000000"/>
              <w:bottom w:val="single" w:sz="6" w:space="0" w:color="000000"/>
              <w:right w:val="single" w:sz="4" w:space="0" w:color="auto"/>
            </w:tcBorders>
          </w:tcPr>
          <w:p w14:paraId="1F542138" w14:textId="4F59D67E" w:rsidR="0035508B" w:rsidRDefault="00120C03" w:rsidP="00C20D1A">
            <w:pPr>
              <w:pStyle w:val="NormalWeb"/>
              <w:spacing w:before="0" w:beforeAutospacing="0" w:after="120" w:afterAutospacing="0"/>
              <w:jc w:val="center"/>
              <w:rPr>
                <w:b/>
              </w:rPr>
            </w:pPr>
            <w:r>
              <w:rPr>
                <w:b/>
              </w:rPr>
              <w:lastRenderedPageBreak/>
              <w:t>Ņ</w:t>
            </w:r>
            <w:r w:rsidR="00262D5F">
              <w:rPr>
                <w:b/>
              </w:rPr>
              <w:t>emts vērā.</w:t>
            </w:r>
          </w:p>
          <w:p w14:paraId="6EB9A0C1" w14:textId="323D6ABE" w:rsidR="00262D5F" w:rsidRDefault="00262D5F" w:rsidP="00262D5F">
            <w:pPr>
              <w:pStyle w:val="NormalWeb"/>
              <w:spacing w:before="0" w:beforeAutospacing="0" w:after="120" w:afterAutospacing="0"/>
              <w:jc w:val="both"/>
              <w:rPr>
                <w:rFonts w:eastAsia="Calibri"/>
                <w:lang w:eastAsia="en-US"/>
              </w:rPr>
            </w:pPr>
            <w:r w:rsidRPr="00262D5F">
              <w:t xml:space="preserve">Norādām, ka dalībvalsts institucionālās sistēmas sekmības rādītājs ir </w:t>
            </w:r>
            <w:r w:rsidRPr="00262D5F">
              <w:rPr>
                <w:rFonts w:eastAsia="Calibri"/>
                <w:lang w:eastAsia="en-US"/>
              </w:rPr>
              <w:t>Revīzijas iestādes Gada kontroles ziņojum</w:t>
            </w:r>
            <w:r w:rsidR="00BC0BD9">
              <w:rPr>
                <w:rFonts w:eastAsia="Calibri"/>
                <w:lang w:eastAsia="en-US"/>
              </w:rPr>
              <w:t>s</w:t>
            </w:r>
            <w:r w:rsidRPr="00262D5F">
              <w:rPr>
                <w:rFonts w:eastAsia="Calibri"/>
                <w:lang w:eastAsia="en-US"/>
              </w:rPr>
              <w:t xml:space="preserve"> par kļūdu līmeni. </w:t>
            </w:r>
          </w:p>
          <w:p w14:paraId="002426D7" w14:textId="7101AA10" w:rsidR="00262D5F" w:rsidRPr="00262D5F" w:rsidRDefault="00C45DA7" w:rsidP="00C20D1A">
            <w:pPr>
              <w:pStyle w:val="NormalWeb"/>
              <w:spacing w:before="0" w:beforeAutospacing="0" w:after="120" w:afterAutospacing="0"/>
              <w:jc w:val="both"/>
            </w:pPr>
            <w:r>
              <w:t>Skat. skaidrojumu pie izziņas 1.punkta.</w:t>
            </w:r>
          </w:p>
        </w:tc>
        <w:tc>
          <w:tcPr>
            <w:tcW w:w="970" w:type="pct"/>
            <w:tcBorders>
              <w:left w:val="single" w:sz="4" w:space="0" w:color="auto"/>
              <w:bottom w:val="single" w:sz="4" w:space="0" w:color="auto"/>
            </w:tcBorders>
          </w:tcPr>
          <w:p w14:paraId="05F2C0EE" w14:textId="0EEC92E1" w:rsidR="0035508B" w:rsidRPr="00937060" w:rsidRDefault="00262D5F" w:rsidP="0035508B">
            <w:pPr>
              <w:pStyle w:val="Title"/>
              <w:jc w:val="both"/>
              <w:outlineLvl w:val="0"/>
              <w:rPr>
                <w:sz w:val="24"/>
                <w:szCs w:val="24"/>
              </w:rPr>
            </w:pPr>
            <w:r w:rsidRPr="00937060">
              <w:rPr>
                <w:sz w:val="24"/>
                <w:szCs w:val="24"/>
              </w:rPr>
              <w:t>Lūdzu skatīt precizēto informatīvo ziņojumu</w:t>
            </w:r>
            <w:r>
              <w:rPr>
                <w:sz w:val="24"/>
                <w:szCs w:val="24"/>
              </w:rPr>
              <w:t xml:space="preserve"> un protokollēmumu. </w:t>
            </w:r>
          </w:p>
        </w:tc>
      </w:tr>
      <w:tr w:rsidR="0035508B" w:rsidRPr="00937060" w14:paraId="69A0DB00" w14:textId="77777777" w:rsidTr="00C066E7">
        <w:trPr>
          <w:trHeight w:val="404"/>
        </w:trPr>
        <w:tc>
          <w:tcPr>
            <w:tcW w:w="283" w:type="pct"/>
            <w:tcBorders>
              <w:top w:val="single" w:sz="6" w:space="0" w:color="000000"/>
              <w:left w:val="single" w:sz="6" w:space="0" w:color="000000"/>
              <w:bottom w:val="single" w:sz="6" w:space="0" w:color="000000"/>
              <w:right w:val="single" w:sz="4" w:space="0" w:color="auto"/>
            </w:tcBorders>
            <w:shd w:val="clear" w:color="auto" w:fill="FFFFFF" w:themeFill="background1"/>
          </w:tcPr>
          <w:p w14:paraId="02E06069" w14:textId="77777777" w:rsidR="0035508B" w:rsidRPr="00937060" w:rsidRDefault="0035508B" w:rsidP="00B60E7A">
            <w:pPr>
              <w:pStyle w:val="naisc"/>
              <w:numPr>
                <w:ilvl w:val="0"/>
                <w:numId w:val="36"/>
              </w:numPr>
              <w:spacing w:before="0" w:after="0"/>
            </w:pPr>
          </w:p>
        </w:tc>
        <w:tc>
          <w:tcPr>
            <w:tcW w:w="1166" w:type="pct"/>
            <w:tcBorders>
              <w:top w:val="single" w:sz="4" w:space="0" w:color="auto"/>
              <w:left w:val="single" w:sz="4" w:space="0" w:color="auto"/>
              <w:bottom w:val="single" w:sz="4" w:space="0" w:color="auto"/>
              <w:right w:val="single" w:sz="4" w:space="0" w:color="auto"/>
            </w:tcBorders>
          </w:tcPr>
          <w:p w14:paraId="74DF4A26" w14:textId="3E64D623" w:rsidR="0035508B" w:rsidRPr="00937060" w:rsidRDefault="0035508B" w:rsidP="0035508B">
            <w:pPr>
              <w:pStyle w:val="Title"/>
              <w:ind w:hanging="33"/>
              <w:jc w:val="both"/>
              <w:outlineLvl w:val="0"/>
              <w:rPr>
                <w:sz w:val="24"/>
                <w:szCs w:val="24"/>
              </w:rPr>
            </w:pPr>
            <w:r w:rsidRPr="00937060">
              <w:rPr>
                <w:sz w:val="24"/>
                <w:szCs w:val="24"/>
              </w:rPr>
              <w:t>Informatīvā ziņojuma 4.sadaļa “Laika grafiks”, vispārīgs komentārs</w:t>
            </w:r>
          </w:p>
        </w:tc>
        <w:tc>
          <w:tcPr>
            <w:tcW w:w="1390" w:type="pct"/>
            <w:tcBorders>
              <w:top w:val="single" w:sz="6" w:space="0" w:color="000000"/>
              <w:left w:val="single" w:sz="4" w:space="0" w:color="auto"/>
              <w:bottom w:val="single" w:sz="6" w:space="0" w:color="000000"/>
              <w:right w:val="single" w:sz="6" w:space="0" w:color="000000"/>
            </w:tcBorders>
          </w:tcPr>
          <w:p w14:paraId="04B0A7BE" w14:textId="70E51D03" w:rsidR="0035508B" w:rsidRPr="00937060" w:rsidRDefault="0035508B" w:rsidP="0035508B">
            <w:pPr>
              <w:pStyle w:val="NoSpacing"/>
              <w:rPr>
                <w:b/>
                <w:szCs w:val="24"/>
                <w:u w:val="single"/>
              </w:rPr>
            </w:pPr>
            <w:r w:rsidRPr="00937060">
              <w:rPr>
                <w:b/>
                <w:szCs w:val="24"/>
                <w:u w:val="single"/>
              </w:rPr>
              <w:t>Izglītības un zinātnes ministrija:</w:t>
            </w:r>
          </w:p>
          <w:p w14:paraId="352C81E1" w14:textId="0A6F10EE" w:rsidR="0035508B" w:rsidRPr="00937060" w:rsidRDefault="0035508B" w:rsidP="0035508B">
            <w:pPr>
              <w:pStyle w:val="NoSpacing"/>
              <w:rPr>
                <w:b/>
                <w:szCs w:val="24"/>
                <w:u w:val="single"/>
              </w:rPr>
            </w:pPr>
            <w:r w:rsidRPr="00937060">
              <w:rPr>
                <w:szCs w:val="24"/>
              </w:rPr>
              <w:t>Aicinām precizēt informatīvā ziņojuma 4.sadaļu, papildinot ar norādi, ka Eiropas Savienības Kohēzijas politikas fondu (turpmāk – ES fondi) plānošanas dokumentu sagatavošanai nepieciešamās investīcijas tiks sagatavotas arī atbilstoši Nacionālā attīstības plānam izstrādātajiem nozaru vidēja termiņa plānošanas dokumentiem.</w:t>
            </w:r>
          </w:p>
        </w:tc>
        <w:tc>
          <w:tcPr>
            <w:tcW w:w="1191" w:type="pct"/>
            <w:tcBorders>
              <w:top w:val="single" w:sz="6" w:space="0" w:color="000000"/>
              <w:left w:val="single" w:sz="6" w:space="0" w:color="000000"/>
              <w:bottom w:val="single" w:sz="6" w:space="0" w:color="000000"/>
              <w:right w:val="single" w:sz="4" w:space="0" w:color="auto"/>
            </w:tcBorders>
          </w:tcPr>
          <w:p w14:paraId="077F58B4" w14:textId="5908355E" w:rsidR="0035508B" w:rsidRPr="00937060" w:rsidRDefault="00FC0641" w:rsidP="00C20D1A">
            <w:pPr>
              <w:pStyle w:val="NormalWeb"/>
              <w:spacing w:before="0" w:beforeAutospacing="0" w:after="120" w:afterAutospacing="0"/>
              <w:jc w:val="center"/>
              <w:rPr>
                <w:b/>
              </w:rPr>
            </w:pPr>
            <w:r>
              <w:rPr>
                <w:b/>
              </w:rPr>
              <w:t>Ņemts vērā.</w:t>
            </w:r>
          </w:p>
        </w:tc>
        <w:tc>
          <w:tcPr>
            <w:tcW w:w="970" w:type="pct"/>
            <w:tcBorders>
              <w:left w:val="single" w:sz="4" w:space="0" w:color="auto"/>
              <w:bottom w:val="single" w:sz="4" w:space="0" w:color="auto"/>
            </w:tcBorders>
          </w:tcPr>
          <w:p w14:paraId="3B7A9B34" w14:textId="36F85102" w:rsidR="0035508B" w:rsidRPr="00937060" w:rsidRDefault="00FC0641" w:rsidP="0035508B">
            <w:pPr>
              <w:pStyle w:val="Title"/>
              <w:jc w:val="both"/>
              <w:outlineLvl w:val="0"/>
              <w:rPr>
                <w:sz w:val="24"/>
                <w:szCs w:val="24"/>
              </w:rPr>
            </w:pPr>
            <w:r w:rsidRPr="00937060">
              <w:rPr>
                <w:sz w:val="24"/>
                <w:szCs w:val="24"/>
              </w:rPr>
              <w:t>Lūdzu skatīt precizēto informatīvo ziņojumu</w:t>
            </w:r>
            <w:r>
              <w:rPr>
                <w:sz w:val="24"/>
                <w:szCs w:val="24"/>
              </w:rPr>
              <w:t>.</w:t>
            </w:r>
          </w:p>
        </w:tc>
      </w:tr>
      <w:tr w:rsidR="0035508B" w:rsidRPr="00937060" w14:paraId="4A9A135B" w14:textId="77777777" w:rsidTr="00C066E7">
        <w:trPr>
          <w:trHeight w:val="404"/>
        </w:trPr>
        <w:tc>
          <w:tcPr>
            <w:tcW w:w="283" w:type="pct"/>
            <w:tcBorders>
              <w:top w:val="single" w:sz="6" w:space="0" w:color="000000"/>
              <w:left w:val="single" w:sz="6" w:space="0" w:color="000000"/>
              <w:bottom w:val="single" w:sz="6" w:space="0" w:color="000000"/>
              <w:right w:val="single" w:sz="4" w:space="0" w:color="auto"/>
            </w:tcBorders>
            <w:shd w:val="clear" w:color="auto" w:fill="FFFFFF" w:themeFill="background1"/>
          </w:tcPr>
          <w:p w14:paraId="38BD8A4E" w14:textId="77777777" w:rsidR="0035508B" w:rsidRPr="00937060" w:rsidRDefault="0035508B" w:rsidP="00B60E7A">
            <w:pPr>
              <w:pStyle w:val="naisc"/>
              <w:numPr>
                <w:ilvl w:val="0"/>
                <w:numId w:val="36"/>
              </w:numPr>
              <w:spacing w:before="0" w:after="0"/>
            </w:pPr>
          </w:p>
        </w:tc>
        <w:tc>
          <w:tcPr>
            <w:tcW w:w="1166" w:type="pct"/>
            <w:tcBorders>
              <w:top w:val="single" w:sz="4" w:space="0" w:color="auto"/>
              <w:left w:val="single" w:sz="4" w:space="0" w:color="auto"/>
              <w:bottom w:val="single" w:sz="4" w:space="0" w:color="auto"/>
              <w:right w:val="single" w:sz="4" w:space="0" w:color="auto"/>
            </w:tcBorders>
          </w:tcPr>
          <w:p w14:paraId="5A6FB684" w14:textId="13C3E0F3" w:rsidR="0035508B" w:rsidRPr="00937060" w:rsidRDefault="0035508B" w:rsidP="0035508B">
            <w:pPr>
              <w:pStyle w:val="Title"/>
              <w:ind w:hanging="33"/>
              <w:jc w:val="both"/>
              <w:outlineLvl w:val="0"/>
              <w:rPr>
                <w:sz w:val="24"/>
                <w:szCs w:val="24"/>
              </w:rPr>
            </w:pPr>
            <w:r w:rsidRPr="00937060">
              <w:rPr>
                <w:sz w:val="24"/>
                <w:szCs w:val="24"/>
              </w:rPr>
              <w:t>Informatīvā ziņojuma 1.pielikums</w:t>
            </w:r>
          </w:p>
        </w:tc>
        <w:tc>
          <w:tcPr>
            <w:tcW w:w="1390" w:type="pct"/>
            <w:tcBorders>
              <w:top w:val="single" w:sz="6" w:space="0" w:color="000000"/>
              <w:left w:val="single" w:sz="4" w:space="0" w:color="auto"/>
              <w:bottom w:val="single" w:sz="6" w:space="0" w:color="000000"/>
              <w:right w:val="single" w:sz="6" w:space="0" w:color="000000"/>
            </w:tcBorders>
          </w:tcPr>
          <w:p w14:paraId="67D0ABC0" w14:textId="57BE3EBB" w:rsidR="0035508B" w:rsidRPr="00937060" w:rsidRDefault="0035508B" w:rsidP="0035508B">
            <w:pPr>
              <w:jc w:val="both"/>
              <w:rPr>
                <w:b/>
                <w:u w:val="single"/>
              </w:rPr>
            </w:pPr>
            <w:r w:rsidRPr="00937060">
              <w:rPr>
                <w:b/>
                <w:u w:val="single"/>
              </w:rPr>
              <w:t>Valsts kanceleja:</w:t>
            </w:r>
          </w:p>
          <w:p w14:paraId="0AB9BA2D" w14:textId="730EB253" w:rsidR="0035508B" w:rsidRPr="00937060" w:rsidRDefault="0035508B" w:rsidP="0035508B">
            <w:pPr>
              <w:jc w:val="both"/>
            </w:pPr>
            <w:r w:rsidRPr="00937060">
              <w:t>Lūdzam 1.pielikuma kolonnas “Atbildīgā iestāde” nosaukumu mainīt uz “Atbildīgā institūcija”, jo informatīvā ziņojuma sadaļā “Turpmāka rīcība” un MK sēdes protokollēmuma projekta 4.punktā šīs iestādes tiek dēvētas par atbildīgajām institūcijām. Vienlaikus norādām, ka informatīvā ziņojuma 3.2. sadaļā ir skaidrotas atbildīgās iestādes funkcijas, kas acīm redzot nav saistītas ar 1.pielikuma kolonnu “Atbildīgā iestāde”.</w:t>
            </w:r>
          </w:p>
        </w:tc>
        <w:tc>
          <w:tcPr>
            <w:tcW w:w="1191" w:type="pct"/>
            <w:tcBorders>
              <w:top w:val="single" w:sz="6" w:space="0" w:color="000000"/>
              <w:left w:val="single" w:sz="6" w:space="0" w:color="000000"/>
              <w:bottom w:val="single" w:sz="6" w:space="0" w:color="000000"/>
              <w:right w:val="single" w:sz="4" w:space="0" w:color="auto"/>
            </w:tcBorders>
          </w:tcPr>
          <w:p w14:paraId="12280A1F" w14:textId="11311BFB" w:rsidR="0035508B" w:rsidRPr="00937060" w:rsidRDefault="00C108A2" w:rsidP="0035508B">
            <w:pPr>
              <w:pStyle w:val="NormalWeb"/>
              <w:spacing w:before="0" w:beforeAutospacing="0" w:after="120" w:afterAutospacing="0"/>
              <w:jc w:val="center"/>
              <w:rPr>
                <w:b/>
              </w:rPr>
            </w:pPr>
            <w:r>
              <w:rPr>
                <w:b/>
              </w:rPr>
              <w:t xml:space="preserve">Ņemts vērā. </w:t>
            </w:r>
          </w:p>
        </w:tc>
        <w:tc>
          <w:tcPr>
            <w:tcW w:w="970" w:type="pct"/>
            <w:tcBorders>
              <w:left w:val="single" w:sz="4" w:space="0" w:color="auto"/>
              <w:bottom w:val="single" w:sz="4" w:space="0" w:color="auto"/>
            </w:tcBorders>
          </w:tcPr>
          <w:p w14:paraId="2518FC76" w14:textId="7A446192" w:rsidR="0035508B" w:rsidRPr="00937060" w:rsidRDefault="00C108A2" w:rsidP="00C108A2">
            <w:pPr>
              <w:pStyle w:val="Title"/>
              <w:jc w:val="both"/>
              <w:outlineLvl w:val="0"/>
              <w:rPr>
                <w:sz w:val="24"/>
                <w:szCs w:val="24"/>
              </w:rPr>
            </w:pPr>
            <w:r w:rsidRPr="00937060">
              <w:rPr>
                <w:sz w:val="24"/>
                <w:szCs w:val="24"/>
              </w:rPr>
              <w:t xml:space="preserve">Lūdzu skatīt precizēto </w:t>
            </w:r>
            <w:r>
              <w:rPr>
                <w:sz w:val="24"/>
                <w:szCs w:val="24"/>
              </w:rPr>
              <w:t>1.pielikumu.</w:t>
            </w:r>
          </w:p>
        </w:tc>
      </w:tr>
      <w:tr w:rsidR="0035508B" w:rsidRPr="00937060" w14:paraId="02025734" w14:textId="77777777" w:rsidTr="00C066E7">
        <w:trPr>
          <w:trHeight w:val="404"/>
        </w:trPr>
        <w:tc>
          <w:tcPr>
            <w:tcW w:w="283" w:type="pct"/>
            <w:tcBorders>
              <w:top w:val="single" w:sz="6" w:space="0" w:color="000000"/>
              <w:left w:val="single" w:sz="6" w:space="0" w:color="000000"/>
              <w:bottom w:val="single" w:sz="6" w:space="0" w:color="000000"/>
              <w:right w:val="single" w:sz="4" w:space="0" w:color="auto"/>
            </w:tcBorders>
            <w:shd w:val="clear" w:color="auto" w:fill="FFFFFF" w:themeFill="background1"/>
          </w:tcPr>
          <w:p w14:paraId="2565AF3E" w14:textId="77777777" w:rsidR="0035508B" w:rsidRPr="00937060" w:rsidRDefault="0035508B" w:rsidP="00B60E7A">
            <w:pPr>
              <w:pStyle w:val="naisc"/>
              <w:numPr>
                <w:ilvl w:val="0"/>
                <w:numId w:val="36"/>
              </w:numPr>
              <w:spacing w:before="0" w:after="0"/>
            </w:pPr>
          </w:p>
        </w:tc>
        <w:tc>
          <w:tcPr>
            <w:tcW w:w="1166" w:type="pct"/>
            <w:tcBorders>
              <w:top w:val="single" w:sz="4" w:space="0" w:color="auto"/>
              <w:left w:val="single" w:sz="4" w:space="0" w:color="auto"/>
              <w:bottom w:val="single" w:sz="4" w:space="0" w:color="auto"/>
              <w:right w:val="single" w:sz="4" w:space="0" w:color="auto"/>
            </w:tcBorders>
          </w:tcPr>
          <w:p w14:paraId="4900A228" w14:textId="5625086A" w:rsidR="0035508B" w:rsidRPr="00937060" w:rsidRDefault="0035508B" w:rsidP="0035508B">
            <w:pPr>
              <w:pStyle w:val="Title"/>
              <w:ind w:hanging="33"/>
              <w:jc w:val="both"/>
              <w:outlineLvl w:val="0"/>
              <w:rPr>
                <w:sz w:val="24"/>
                <w:szCs w:val="24"/>
              </w:rPr>
            </w:pPr>
            <w:r w:rsidRPr="00937060">
              <w:rPr>
                <w:sz w:val="24"/>
                <w:szCs w:val="24"/>
              </w:rPr>
              <w:t>Informatīvā ziņojuma 1.pielikums</w:t>
            </w:r>
          </w:p>
        </w:tc>
        <w:tc>
          <w:tcPr>
            <w:tcW w:w="1390" w:type="pct"/>
            <w:tcBorders>
              <w:top w:val="single" w:sz="6" w:space="0" w:color="000000"/>
              <w:left w:val="single" w:sz="4" w:space="0" w:color="auto"/>
              <w:bottom w:val="single" w:sz="6" w:space="0" w:color="000000"/>
              <w:right w:val="single" w:sz="6" w:space="0" w:color="000000"/>
            </w:tcBorders>
          </w:tcPr>
          <w:p w14:paraId="0D1FD2AA" w14:textId="77777777" w:rsidR="0035508B" w:rsidRPr="00937060" w:rsidRDefault="0035508B" w:rsidP="0035508B">
            <w:pPr>
              <w:jc w:val="both"/>
              <w:rPr>
                <w:b/>
                <w:u w:val="single"/>
              </w:rPr>
            </w:pPr>
            <w:r w:rsidRPr="00937060">
              <w:rPr>
                <w:b/>
                <w:u w:val="single"/>
              </w:rPr>
              <w:t>Ekonomikas ministrija:</w:t>
            </w:r>
          </w:p>
          <w:p w14:paraId="3859C10F" w14:textId="79643210" w:rsidR="0035508B" w:rsidRPr="00937060" w:rsidRDefault="0035508B" w:rsidP="0035508B">
            <w:pPr>
              <w:widowControl w:val="0"/>
              <w:jc w:val="both"/>
              <w:rPr>
                <w:rFonts w:eastAsia="Calibri"/>
                <w:lang w:eastAsia="en-US"/>
              </w:rPr>
            </w:pPr>
            <w:r w:rsidRPr="00937060">
              <w:rPr>
                <w:rFonts w:eastAsia="Calibri"/>
                <w:lang w:eastAsia="en-US"/>
              </w:rPr>
              <w:t xml:space="preserve">Lūdzam precizēt 1.pielikuma Tematisko ieguldījumu priekšnosacījumu 3.punktā noteiktās </w:t>
            </w:r>
            <w:r w:rsidRPr="00937060">
              <w:rPr>
                <w:rFonts w:eastAsia="Calibri"/>
                <w:lang w:eastAsia="en-US"/>
              </w:rPr>
              <w:lastRenderedPageBreak/>
              <w:t xml:space="preserve">atbildīgās iestādes: 1.kritērijs- EM un VARAM (atbilstoši MK 26.06.2018. protokola Nr.30 50.§ 2.p.); 2.kritērijs- FM, EM, VARAM. </w:t>
            </w:r>
          </w:p>
        </w:tc>
        <w:tc>
          <w:tcPr>
            <w:tcW w:w="1191" w:type="pct"/>
            <w:tcBorders>
              <w:top w:val="single" w:sz="6" w:space="0" w:color="000000"/>
              <w:left w:val="single" w:sz="6" w:space="0" w:color="000000"/>
              <w:bottom w:val="single" w:sz="6" w:space="0" w:color="000000"/>
              <w:right w:val="single" w:sz="4" w:space="0" w:color="auto"/>
            </w:tcBorders>
          </w:tcPr>
          <w:p w14:paraId="6F0E318E" w14:textId="01C8A2E7" w:rsidR="0035508B" w:rsidRDefault="0049646D" w:rsidP="00C20D1A">
            <w:pPr>
              <w:pStyle w:val="NormalWeb"/>
              <w:spacing w:before="0" w:beforeAutospacing="0" w:after="120" w:afterAutospacing="0"/>
              <w:jc w:val="center"/>
              <w:rPr>
                <w:b/>
              </w:rPr>
            </w:pPr>
            <w:r>
              <w:rPr>
                <w:b/>
              </w:rPr>
              <w:lastRenderedPageBreak/>
              <w:t>Panākta vienošanās saskaņošanas laikā.</w:t>
            </w:r>
          </w:p>
          <w:p w14:paraId="66501ED5" w14:textId="3D84B22F" w:rsidR="000F49EB" w:rsidRPr="000F49EB" w:rsidRDefault="00F36F48" w:rsidP="001D1BC1">
            <w:pPr>
              <w:pStyle w:val="NormalWeb"/>
              <w:spacing w:before="0" w:beforeAutospacing="0" w:after="120" w:afterAutospacing="0"/>
              <w:jc w:val="both"/>
            </w:pPr>
            <w:r>
              <w:t xml:space="preserve">Norādām, ka 1.pielikumā ir norādīta atbildīgā institūcija un </w:t>
            </w:r>
            <w:r>
              <w:lastRenderedPageBreak/>
              <w:t>līdzatbildīgās institūcijas tiks norādītas darbības programmas informācijā par priekšnosacījumu izpildi, ko FM gatavos atsevišķi</w:t>
            </w:r>
            <w:r w:rsidR="001D1BC1">
              <w:t>, aicinot institūcijas uz diskusiju š.g. augustā</w:t>
            </w:r>
            <w:r>
              <w:t xml:space="preserve">. Attiecīgi 3.punktā tiek norādīta EM kā par </w:t>
            </w:r>
            <w:r>
              <w:rPr>
                <w:noProof/>
              </w:rPr>
              <w:t>Enerģētikas un Klimata plānu atbildīgā ins</w:t>
            </w:r>
            <w:r w:rsidR="001D1BC1">
              <w:rPr>
                <w:noProof/>
              </w:rPr>
              <w:t>titūcija</w:t>
            </w:r>
            <w:r>
              <w:rPr>
                <w:noProof/>
              </w:rPr>
              <w:t xml:space="preserve">, kas to vizīs apstiprināsanai valdībā. </w:t>
            </w:r>
            <w:r>
              <w:t xml:space="preserve"> </w:t>
            </w:r>
          </w:p>
        </w:tc>
        <w:tc>
          <w:tcPr>
            <w:tcW w:w="970" w:type="pct"/>
            <w:tcBorders>
              <w:left w:val="single" w:sz="4" w:space="0" w:color="auto"/>
              <w:bottom w:val="single" w:sz="4" w:space="0" w:color="auto"/>
            </w:tcBorders>
          </w:tcPr>
          <w:p w14:paraId="2ABBCF09" w14:textId="3062E8DA" w:rsidR="0035508B" w:rsidRPr="00937060" w:rsidRDefault="000F49EB" w:rsidP="0035508B">
            <w:pPr>
              <w:pStyle w:val="Title"/>
              <w:jc w:val="both"/>
              <w:outlineLvl w:val="0"/>
              <w:rPr>
                <w:sz w:val="24"/>
                <w:szCs w:val="24"/>
              </w:rPr>
            </w:pPr>
            <w:r w:rsidRPr="00937060">
              <w:rPr>
                <w:sz w:val="24"/>
                <w:szCs w:val="24"/>
              </w:rPr>
              <w:lastRenderedPageBreak/>
              <w:t xml:space="preserve">Lūdzu skatīt precizēto </w:t>
            </w:r>
            <w:r>
              <w:rPr>
                <w:sz w:val="24"/>
                <w:szCs w:val="24"/>
              </w:rPr>
              <w:t>1.pielikumu.</w:t>
            </w:r>
          </w:p>
        </w:tc>
      </w:tr>
      <w:tr w:rsidR="0035508B" w:rsidRPr="00937060" w14:paraId="641DA0F5" w14:textId="77777777" w:rsidTr="00C066E7">
        <w:trPr>
          <w:trHeight w:val="404"/>
        </w:trPr>
        <w:tc>
          <w:tcPr>
            <w:tcW w:w="283" w:type="pct"/>
            <w:tcBorders>
              <w:top w:val="single" w:sz="6" w:space="0" w:color="000000"/>
              <w:left w:val="single" w:sz="6" w:space="0" w:color="000000"/>
              <w:bottom w:val="single" w:sz="6" w:space="0" w:color="000000"/>
              <w:right w:val="single" w:sz="4" w:space="0" w:color="auto"/>
            </w:tcBorders>
            <w:shd w:val="clear" w:color="auto" w:fill="FFFFFF" w:themeFill="background1"/>
          </w:tcPr>
          <w:p w14:paraId="67FD4AAE" w14:textId="77777777" w:rsidR="0035508B" w:rsidRPr="00937060" w:rsidRDefault="0035508B" w:rsidP="00B60E7A">
            <w:pPr>
              <w:pStyle w:val="naisc"/>
              <w:numPr>
                <w:ilvl w:val="0"/>
                <w:numId w:val="36"/>
              </w:numPr>
              <w:spacing w:before="0" w:after="0"/>
            </w:pPr>
          </w:p>
        </w:tc>
        <w:tc>
          <w:tcPr>
            <w:tcW w:w="1166" w:type="pct"/>
            <w:tcBorders>
              <w:top w:val="single" w:sz="4" w:space="0" w:color="auto"/>
              <w:left w:val="single" w:sz="4" w:space="0" w:color="auto"/>
              <w:bottom w:val="single" w:sz="4" w:space="0" w:color="auto"/>
              <w:right w:val="single" w:sz="4" w:space="0" w:color="auto"/>
            </w:tcBorders>
          </w:tcPr>
          <w:p w14:paraId="7B26E659" w14:textId="77C405DF" w:rsidR="0035508B" w:rsidRPr="00937060" w:rsidRDefault="0035508B" w:rsidP="0035508B">
            <w:pPr>
              <w:pStyle w:val="Title"/>
              <w:ind w:hanging="33"/>
              <w:jc w:val="both"/>
              <w:outlineLvl w:val="0"/>
              <w:rPr>
                <w:sz w:val="24"/>
                <w:szCs w:val="24"/>
              </w:rPr>
            </w:pPr>
            <w:r w:rsidRPr="00937060">
              <w:rPr>
                <w:sz w:val="24"/>
                <w:szCs w:val="24"/>
              </w:rPr>
              <w:t>Informatīvā ziņojuma 1.pielikums</w:t>
            </w:r>
          </w:p>
        </w:tc>
        <w:tc>
          <w:tcPr>
            <w:tcW w:w="1390" w:type="pct"/>
            <w:tcBorders>
              <w:top w:val="single" w:sz="6" w:space="0" w:color="000000"/>
              <w:left w:val="single" w:sz="4" w:space="0" w:color="auto"/>
              <w:bottom w:val="single" w:sz="6" w:space="0" w:color="000000"/>
              <w:right w:val="single" w:sz="6" w:space="0" w:color="000000"/>
            </w:tcBorders>
          </w:tcPr>
          <w:p w14:paraId="362232ED" w14:textId="77777777" w:rsidR="0035508B" w:rsidRPr="00937060" w:rsidRDefault="0035508B" w:rsidP="0035508B">
            <w:pPr>
              <w:jc w:val="both"/>
              <w:rPr>
                <w:b/>
                <w:u w:val="single"/>
              </w:rPr>
            </w:pPr>
            <w:r w:rsidRPr="00937060">
              <w:rPr>
                <w:b/>
                <w:u w:val="single"/>
              </w:rPr>
              <w:t>Ekonomikas ministrija:</w:t>
            </w:r>
          </w:p>
          <w:p w14:paraId="1E5FEF2D" w14:textId="49BA2114" w:rsidR="0035508B" w:rsidRPr="00937060" w:rsidRDefault="0035508B" w:rsidP="0035508B">
            <w:pPr>
              <w:widowControl w:val="0"/>
              <w:jc w:val="both"/>
              <w:rPr>
                <w:rFonts w:eastAsia="Calibri"/>
                <w:lang w:eastAsia="en-US"/>
              </w:rPr>
            </w:pPr>
            <w:r w:rsidRPr="00937060">
              <w:rPr>
                <w:rFonts w:eastAsia="Calibri"/>
                <w:lang w:eastAsia="en-US"/>
              </w:rPr>
              <w:t>Lūdzam precizēt 1.pielikuma Tematisko ieguldījumu priekšnosacījumu 4.punkta 1.kritērija izpildes laiku uz 31.12.2020.</w:t>
            </w:r>
          </w:p>
        </w:tc>
        <w:tc>
          <w:tcPr>
            <w:tcW w:w="1191" w:type="pct"/>
            <w:tcBorders>
              <w:top w:val="single" w:sz="6" w:space="0" w:color="000000"/>
              <w:left w:val="single" w:sz="6" w:space="0" w:color="000000"/>
              <w:bottom w:val="single" w:sz="6" w:space="0" w:color="000000"/>
              <w:right w:val="single" w:sz="4" w:space="0" w:color="auto"/>
            </w:tcBorders>
          </w:tcPr>
          <w:p w14:paraId="61675B26" w14:textId="5DBD3CB6" w:rsidR="0035508B" w:rsidRPr="00937060" w:rsidRDefault="0025746C" w:rsidP="0035508B">
            <w:pPr>
              <w:pStyle w:val="NormalWeb"/>
              <w:spacing w:before="0" w:beforeAutospacing="0" w:after="120" w:afterAutospacing="0"/>
              <w:jc w:val="center"/>
              <w:rPr>
                <w:b/>
              </w:rPr>
            </w:pPr>
            <w:r>
              <w:rPr>
                <w:b/>
              </w:rPr>
              <w:t>Ņemts vērā.</w:t>
            </w:r>
          </w:p>
        </w:tc>
        <w:tc>
          <w:tcPr>
            <w:tcW w:w="970" w:type="pct"/>
            <w:tcBorders>
              <w:left w:val="single" w:sz="4" w:space="0" w:color="auto"/>
              <w:bottom w:val="single" w:sz="4" w:space="0" w:color="auto"/>
            </w:tcBorders>
          </w:tcPr>
          <w:p w14:paraId="5520BDC9" w14:textId="23D224C7" w:rsidR="0035508B" w:rsidRPr="00937060" w:rsidRDefault="0025746C" w:rsidP="0035508B">
            <w:pPr>
              <w:pStyle w:val="Title"/>
              <w:jc w:val="both"/>
              <w:outlineLvl w:val="0"/>
              <w:rPr>
                <w:sz w:val="24"/>
                <w:szCs w:val="24"/>
              </w:rPr>
            </w:pPr>
            <w:r w:rsidRPr="00937060">
              <w:rPr>
                <w:sz w:val="24"/>
                <w:szCs w:val="24"/>
              </w:rPr>
              <w:t xml:space="preserve">Lūdzu skatīt precizēto </w:t>
            </w:r>
            <w:r>
              <w:rPr>
                <w:sz w:val="24"/>
                <w:szCs w:val="24"/>
              </w:rPr>
              <w:t>1.pielikumu.</w:t>
            </w:r>
          </w:p>
        </w:tc>
      </w:tr>
      <w:tr w:rsidR="0035508B" w:rsidRPr="00937060" w14:paraId="7AA1A273" w14:textId="77777777" w:rsidTr="00C066E7">
        <w:trPr>
          <w:trHeight w:val="404"/>
        </w:trPr>
        <w:tc>
          <w:tcPr>
            <w:tcW w:w="283" w:type="pct"/>
            <w:tcBorders>
              <w:top w:val="single" w:sz="6" w:space="0" w:color="000000"/>
              <w:left w:val="single" w:sz="6" w:space="0" w:color="000000"/>
              <w:bottom w:val="single" w:sz="6" w:space="0" w:color="000000"/>
              <w:right w:val="single" w:sz="4" w:space="0" w:color="auto"/>
            </w:tcBorders>
            <w:shd w:val="clear" w:color="auto" w:fill="FFFFFF" w:themeFill="background1"/>
          </w:tcPr>
          <w:p w14:paraId="234A9680" w14:textId="77777777" w:rsidR="0035508B" w:rsidRPr="00937060" w:rsidRDefault="0035508B" w:rsidP="00B60E7A">
            <w:pPr>
              <w:pStyle w:val="naisc"/>
              <w:numPr>
                <w:ilvl w:val="0"/>
                <w:numId w:val="36"/>
              </w:numPr>
              <w:spacing w:before="0" w:after="0"/>
            </w:pPr>
          </w:p>
        </w:tc>
        <w:tc>
          <w:tcPr>
            <w:tcW w:w="1166" w:type="pct"/>
            <w:tcBorders>
              <w:top w:val="single" w:sz="4" w:space="0" w:color="auto"/>
              <w:left w:val="single" w:sz="4" w:space="0" w:color="auto"/>
              <w:bottom w:val="single" w:sz="4" w:space="0" w:color="auto"/>
              <w:right w:val="single" w:sz="4" w:space="0" w:color="auto"/>
            </w:tcBorders>
          </w:tcPr>
          <w:p w14:paraId="7F7C70FB" w14:textId="6B16EBA7" w:rsidR="0035508B" w:rsidRPr="00937060" w:rsidRDefault="0035508B" w:rsidP="0035508B">
            <w:pPr>
              <w:pStyle w:val="Title"/>
              <w:ind w:hanging="33"/>
              <w:jc w:val="both"/>
              <w:outlineLvl w:val="0"/>
              <w:rPr>
                <w:sz w:val="24"/>
                <w:szCs w:val="24"/>
              </w:rPr>
            </w:pPr>
            <w:r w:rsidRPr="00937060">
              <w:rPr>
                <w:sz w:val="24"/>
                <w:szCs w:val="24"/>
              </w:rPr>
              <w:t>Informatīvā ziņojuma 1.pielikums</w:t>
            </w:r>
          </w:p>
        </w:tc>
        <w:tc>
          <w:tcPr>
            <w:tcW w:w="1390" w:type="pct"/>
            <w:tcBorders>
              <w:top w:val="single" w:sz="6" w:space="0" w:color="000000"/>
              <w:left w:val="single" w:sz="4" w:space="0" w:color="auto"/>
              <w:bottom w:val="single" w:sz="6" w:space="0" w:color="000000"/>
              <w:right w:val="single" w:sz="6" w:space="0" w:color="000000"/>
            </w:tcBorders>
          </w:tcPr>
          <w:p w14:paraId="695B5981" w14:textId="77777777" w:rsidR="0035508B" w:rsidRPr="00937060" w:rsidRDefault="0035508B" w:rsidP="0035508B">
            <w:pPr>
              <w:jc w:val="both"/>
              <w:rPr>
                <w:b/>
                <w:u w:val="single"/>
              </w:rPr>
            </w:pPr>
            <w:r w:rsidRPr="00937060">
              <w:rPr>
                <w:b/>
                <w:u w:val="single"/>
              </w:rPr>
              <w:t>Ekonomikas ministrija:</w:t>
            </w:r>
          </w:p>
          <w:p w14:paraId="64074E22" w14:textId="2CDAA6AF" w:rsidR="0035508B" w:rsidRPr="00937060" w:rsidRDefault="0035508B" w:rsidP="0035508B">
            <w:pPr>
              <w:widowControl w:val="0"/>
              <w:jc w:val="both"/>
              <w:rPr>
                <w:rFonts w:eastAsia="Calibri"/>
                <w:lang w:eastAsia="en-US"/>
              </w:rPr>
            </w:pPr>
            <w:r w:rsidRPr="00937060">
              <w:rPr>
                <w:rFonts w:eastAsia="Calibri"/>
                <w:lang w:eastAsia="en-US"/>
              </w:rPr>
              <w:t xml:space="preserve">Lūdzam papildināt 1.pielikuma Tematisko ieguldījumu priekšnosacījumu 9.punktā noteiktās atbildīgās iestādes: SM, EM, VARAM (CEF atbildība ir dalīta: transportā -SM, enerģētikā- EM, bet digitālajā un telekomunikāciju nozarē – VARAM). </w:t>
            </w:r>
          </w:p>
        </w:tc>
        <w:tc>
          <w:tcPr>
            <w:tcW w:w="1191" w:type="pct"/>
            <w:tcBorders>
              <w:top w:val="single" w:sz="6" w:space="0" w:color="000000"/>
              <w:left w:val="single" w:sz="6" w:space="0" w:color="000000"/>
              <w:bottom w:val="single" w:sz="6" w:space="0" w:color="000000"/>
              <w:right w:val="single" w:sz="4" w:space="0" w:color="auto"/>
            </w:tcBorders>
          </w:tcPr>
          <w:p w14:paraId="3B4219C9" w14:textId="632AD2AB" w:rsidR="00E059E6" w:rsidRDefault="0049646D" w:rsidP="00C20D1A">
            <w:pPr>
              <w:pStyle w:val="NormalWeb"/>
              <w:spacing w:before="0" w:beforeAutospacing="0" w:after="120" w:afterAutospacing="0"/>
              <w:jc w:val="center"/>
              <w:rPr>
                <w:b/>
              </w:rPr>
            </w:pPr>
            <w:r>
              <w:rPr>
                <w:b/>
              </w:rPr>
              <w:t>Panākta vienošanās saskaņošanas laikā.</w:t>
            </w:r>
          </w:p>
          <w:p w14:paraId="074D5F6C" w14:textId="0CEAC1E6" w:rsidR="0035508B" w:rsidRPr="00937060" w:rsidRDefault="00E059E6" w:rsidP="00E059E6">
            <w:pPr>
              <w:pStyle w:val="NormalWeb"/>
              <w:spacing w:before="0" w:beforeAutospacing="0" w:after="120" w:afterAutospacing="0"/>
              <w:jc w:val="both"/>
              <w:rPr>
                <w:b/>
              </w:rPr>
            </w:pPr>
            <w:r>
              <w:t>Norādām, ka 1.pielikumā ir norādīta atbildīgā institūcija un līdzatbildīgās institūcijas tiks norādītas darbības programmas informācijā par priekšnosacījumu i</w:t>
            </w:r>
            <w:r w:rsidR="00FE066B">
              <w:t>zpildi, ko FM gatavos atsevišķi, aicinot institūcijas uz diskusiju š.g. augustā.</w:t>
            </w:r>
          </w:p>
        </w:tc>
        <w:tc>
          <w:tcPr>
            <w:tcW w:w="970" w:type="pct"/>
            <w:tcBorders>
              <w:left w:val="single" w:sz="4" w:space="0" w:color="auto"/>
              <w:bottom w:val="single" w:sz="4" w:space="0" w:color="auto"/>
            </w:tcBorders>
          </w:tcPr>
          <w:p w14:paraId="3E526962" w14:textId="5BAA6DA3" w:rsidR="0035508B" w:rsidRPr="00937060" w:rsidRDefault="00E059E6" w:rsidP="0035508B">
            <w:pPr>
              <w:pStyle w:val="Title"/>
              <w:jc w:val="both"/>
              <w:outlineLvl w:val="0"/>
              <w:rPr>
                <w:sz w:val="24"/>
                <w:szCs w:val="24"/>
              </w:rPr>
            </w:pPr>
            <w:r w:rsidRPr="00937060">
              <w:rPr>
                <w:sz w:val="24"/>
                <w:szCs w:val="24"/>
              </w:rPr>
              <w:t xml:space="preserve">Lūdzu skatīt precizēto </w:t>
            </w:r>
            <w:r>
              <w:rPr>
                <w:sz w:val="24"/>
                <w:szCs w:val="24"/>
              </w:rPr>
              <w:t>1.pielikumu.</w:t>
            </w:r>
          </w:p>
        </w:tc>
      </w:tr>
      <w:tr w:rsidR="0035508B" w:rsidRPr="00937060" w14:paraId="6EB39DC9" w14:textId="77777777" w:rsidTr="00C066E7">
        <w:trPr>
          <w:trHeight w:val="404"/>
        </w:trPr>
        <w:tc>
          <w:tcPr>
            <w:tcW w:w="283" w:type="pct"/>
            <w:tcBorders>
              <w:top w:val="single" w:sz="6" w:space="0" w:color="000000"/>
              <w:left w:val="single" w:sz="6" w:space="0" w:color="000000"/>
              <w:bottom w:val="single" w:sz="6" w:space="0" w:color="000000"/>
              <w:right w:val="single" w:sz="4" w:space="0" w:color="auto"/>
            </w:tcBorders>
            <w:shd w:val="clear" w:color="auto" w:fill="FFFFFF" w:themeFill="background1"/>
          </w:tcPr>
          <w:p w14:paraId="60441D7D" w14:textId="77777777" w:rsidR="0035508B" w:rsidRPr="00937060" w:rsidRDefault="0035508B" w:rsidP="00B60E7A">
            <w:pPr>
              <w:pStyle w:val="naisc"/>
              <w:numPr>
                <w:ilvl w:val="0"/>
                <w:numId w:val="36"/>
              </w:numPr>
              <w:spacing w:before="0" w:after="0"/>
            </w:pPr>
          </w:p>
        </w:tc>
        <w:tc>
          <w:tcPr>
            <w:tcW w:w="1166" w:type="pct"/>
            <w:tcBorders>
              <w:top w:val="single" w:sz="4" w:space="0" w:color="auto"/>
              <w:left w:val="single" w:sz="4" w:space="0" w:color="auto"/>
              <w:bottom w:val="single" w:sz="4" w:space="0" w:color="auto"/>
              <w:right w:val="single" w:sz="4" w:space="0" w:color="auto"/>
            </w:tcBorders>
          </w:tcPr>
          <w:p w14:paraId="302C393A" w14:textId="3C536AB9" w:rsidR="0035508B" w:rsidRPr="00937060" w:rsidRDefault="0035508B" w:rsidP="0035508B">
            <w:pPr>
              <w:pStyle w:val="Title"/>
              <w:ind w:hanging="33"/>
              <w:jc w:val="both"/>
              <w:outlineLvl w:val="0"/>
              <w:rPr>
                <w:sz w:val="24"/>
                <w:szCs w:val="24"/>
              </w:rPr>
            </w:pPr>
            <w:r w:rsidRPr="00937060">
              <w:rPr>
                <w:sz w:val="24"/>
                <w:szCs w:val="24"/>
              </w:rPr>
              <w:t>Informatīvā ziņojuma 1.pielikums</w:t>
            </w:r>
          </w:p>
        </w:tc>
        <w:tc>
          <w:tcPr>
            <w:tcW w:w="1390" w:type="pct"/>
            <w:tcBorders>
              <w:top w:val="single" w:sz="6" w:space="0" w:color="000000"/>
              <w:left w:val="single" w:sz="4" w:space="0" w:color="auto"/>
              <w:bottom w:val="single" w:sz="6" w:space="0" w:color="000000"/>
              <w:right w:val="single" w:sz="6" w:space="0" w:color="000000"/>
            </w:tcBorders>
          </w:tcPr>
          <w:p w14:paraId="2DCC1E26" w14:textId="77777777" w:rsidR="0035508B" w:rsidRPr="00937060" w:rsidRDefault="0035508B" w:rsidP="0035508B">
            <w:pPr>
              <w:pStyle w:val="NoSpacing"/>
              <w:rPr>
                <w:b/>
                <w:szCs w:val="24"/>
                <w:u w:val="single"/>
              </w:rPr>
            </w:pPr>
            <w:r w:rsidRPr="00937060">
              <w:rPr>
                <w:b/>
                <w:szCs w:val="24"/>
                <w:u w:val="single"/>
              </w:rPr>
              <w:t>Izglītības un zinātnes ministrija:</w:t>
            </w:r>
          </w:p>
          <w:p w14:paraId="2B9C205E" w14:textId="7D748394" w:rsidR="0035508B" w:rsidRPr="00937060" w:rsidRDefault="0035508B" w:rsidP="0035508B">
            <w:pPr>
              <w:pStyle w:val="NoSpacing"/>
              <w:rPr>
                <w:b/>
                <w:szCs w:val="24"/>
                <w:u w:val="single"/>
              </w:rPr>
            </w:pPr>
            <w:r w:rsidRPr="00937060">
              <w:rPr>
                <w:szCs w:val="24"/>
              </w:rPr>
              <w:t xml:space="preserve">Vēršam uzmanību, ka informatīvā ziņojuma 1.pielikumā „2021. – 2027. gada plānošanas perioda Kopējās fondu regulas III pielikumā noteiktie ieguldījumu </w:t>
            </w:r>
            <w:r w:rsidRPr="00937060">
              <w:rPr>
                <w:szCs w:val="24"/>
              </w:rPr>
              <w:lastRenderedPageBreak/>
              <w:t>priekšnosacījumi (enabling conditions)” (turpmāk – informatīvā ziņojuma 1.pielikums), kā arī ministrijas 2019.gada vēstulē 28.februāra Nr.4-4.1e/19/633 „Par informācijas sniegšanu” ministrija nav norādīta kā atbildīgā iestāde par politikas mērķa “Zaļāka Eiropa” priekšnosacījumu izpildi. Attiecīgi aicinām informatīvā ziņojuma 2.sadaļā „Ieguldījumu priekšnosacījumi” svītrot atbilstošo norādi par Izglītības un zinātnes ministriju.</w:t>
            </w:r>
          </w:p>
        </w:tc>
        <w:tc>
          <w:tcPr>
            <w:tcW w:w="1191" w:type="pct"/>
            <w:tcBorders>
              <w:top w:val="single" w:sz="6" w:space="0" w:color="000000"/>
              <w:left w:val="single" w:sz="6" w:space="0" w:color="000000"/>
              <w:bottom w:val="single" w:sz="6" w:space="0" w:color="000000"/>
              <w:right w:val="single" w:sz="4" w:space="0" w:color="auto"/>
            </w:tcBorders>
          </w:tcPr>
          <w:p w14:paraId="1F9275C4" w14:textId="64899B09" w:rsidR="0035508B" w:rsidRPr="00937060" w:rsidRDefault="00E059E6" w:rsidP="00C20D1A">
            <w:pPr>
              <w:pStyle w:val="NormalWeb"/>
              <w:spacing w:before="0" w:beforeAutospacing="0" w:after="120" w:afterAutospacing="0"/>
              <w:jc w:val="center"/>
              <w:rPr>
                <w:b/>
              </w:rPr>
            </w:pPr>
            <w:r>
              <w:rPr>
                <w:b/>
              </w:rPr>
              <w:lastRenderedPageBreak/>
              <w:t>Ņemts vērā.</w:t>
            </w:r>
          </w:p>
        </w:tc>
        <w:tc>
          <w:tcPr>
            <w:tcW w:w="970" w:type="pct"/>
            <w:tcBorders>
              <w:left w:val="single" w:sz="4" w:space="0" w:color="auto"/>
              <w:bottom w:val="single" w:sz="4" w:space="0" w:color="auto"/>
            </w:tcBorders>
          </w:tcPr>
          <w:p w14:paraId="50BC9BD8" w14:textId="0D8C8F9E" w:rsidR="0035508B" w:rsidRPr="00937060" w:rsidRDefault="00E059E6" w:rsidP="0035508B">
            <w:pPr>
              <w:pStyle w:val="Title"/>
              <w:jc w:val="both"/>
              <w:outlineLvl w:val="0"/>
              <w:rPr>
                <w:sz w:val="24"/>
                <w:szCs w:val="24"/>
              </w:rPr>
            </w:pPr>
            <w:r>
              <w:rPr>
                <w:sz w:val="24"/>
                <w:szCs w:val="24"/>
              </w:rPr>
              <w:t xml:space="preserve">Skatīt precizēto informatīvo ziņojumu. </w:t>
            </w:r>
          </w:p>
        </w:tc>
      </w:tr>
      <w:tr w:rsidR="0035508B" w:rsidRPr="00937060" w14:paraId="27430EA7" w14:textId="77777777" w:rsidTr="00C066E7">
        <w:trPr>
          <w:trHeight w:val="404"/>
        </w:trPr>
        <w:tc>
          <w:tcPr>
            <w:tcW w:w="283" w:type="pct"/>
            <w:tcBorders>
              <w:top w:val="single" w:sz="6" w:space="0" w:color="000000"/>
              <w:left w:val="single" w:sz="6" w:space="0" w:color="000000"/>
              <w:bottom w:val="single" w:sz="6" w:space="0" w:color="000000"/>
              <w:right w:val="single" w:sz="4" w:space="0" w:color="auto"/>
            </w:tcBorders>
            <w:shd w:val="clear" w:color="auto" w:fill="FFFFFF" w:themeFill="background1"/>
          </w:tcPr>
          <w:p w14:paraId="7DC07F1E" w14:textId="77777777" w:rsidR="0035508B" w:rsidRPr="00937060" w:rsidRDefault="0035508B" w:rsidP="00B60E7A">
            <w:pPr>
              <w:pStyle w:val="naisc"/>
              <w:numPr>
                <w:ilvl w:val="0"/>
                <w:numId w:val="36"/>
              </w:numPr>
              <w:spacing w:before="0" w:after="0"/>
            </w:pPr>
          </w:p>
        </w:tc>
        <w:tc>
          <w:tcPr>
            <w:tcW w:w="1166" w:type="pct"/>
            <w:tcBorders>
              <w:top w:val="single" w:sz="4" w:space="0" w:color="auto"/>
              <w:left w:val="single" w:sz="4" w:space="0" w:color="auto"/>
              <w:bottom w:val="single" w:sz="4" w:space="0" w:color="auto"/>
              <w:right w:val="single" w:sz="4" w:space="0" w:color="auto"/>
            </w:tcBorders>
          </w:tcPr>
          <w:p w14:paraId="5CD9A1CD" w14:textId="45DBE00A" w:rsidR="0035508B" w:rsidRPr="00937060" w:rsidRDefault="0035508B" w:rsidP="0035508B">
            <w:pPr>
              <w:pStyle w:val="Title"/>
              <w:ind w:hanging="33"/>
              <w:jc w:val="both"/>
              <w:outlineLvl w:val="0"/>
              <w:rPr>
                <w:sz w:val="24"/>
                <w:szCs w:val="24"/>
              </w:rPr>
            </w:pPr>
            <w:r w:rsidRPr="00937060">
              <w:rPr>
                <w:sz w:val="24"/>
                <w:szCs w:val="24"/>
              </w:rPr>
              <w:t>Informatīvā ziņojuma 1.pielikums</w:t>
            </w:r>
          </w:p>
        </w:tc>
        <w:tc>
          <w:tcPr>
            <w:tcW w:w="1390" w:type="pct"/>
            <w:tcBorders>
              <w:top w:val="single" w:sz="6" w:space="0" w:color="000000"/>
              <w:left w:val="single" w:sz="4" w:space="0" w:color="auto"/>
              <w:bottom w:val="single" w:sz="6" w:space="0" w:color="000000"/>
              <w:right w:val="single" w:sz="6" w:space="0" w:color="000000"/>
            </w:tcBorders>
          </w:tcPr>
          <w:p w14:paraId="7BD6B7B9" w14:textId="77777777" w:rsidR="0035508B" w:rsidRPr="00937060" w:rsidRDefault="0035508B" w:rsidP="0035508B">
            <w:pPr>
              <w:pStyle w:val="NoSpacing"/>
              <w:rPr>
                <w:b/>
                <w:szCs w:val="24"/>
                <w:u w:val="single"/>
              </w:rPr>
            </w:pPr>
            <w:r w:rsidRPr="00937060">
              <w:rPr>
                <w:b/>
                <w:szCs w:val="24"/>
                <w:u w:val="single"/>
              </w:rPr>
              <w:t>Izglītības un zinātnes ministrija:</w:t>
            </w:r>
          </w:p>
          <w:p w14:paraId="242111B6" w14:textId="7E73C52F" w:rsidR="0035508B" w:rsidRPr="00937060" w:rsidRDefault="0035508B" w:rsidP="0035508B">
            <w:pPr>
              <w:widowControl w:val="0"/>
              <w:tabs>
                <w:tab w:val="left" w:pos="1134"/>
              </w:tabs>
              <w:jc w:val="both"/>
              <w:rPr>
                <w:rFonts w:eastAsia="Calibri"/>
                <w:lang w:eastAsia="en-US"/>
              </w:rPr>
            </w:pPr>
            <w:r w:rsidRPr="00937060">
              <w:rPr>
                <w:rFonts w:eastAsia="Calibri"/>
                <w:lang w:eastAsia="en-US"/>
              </w:rPr>
              <w:t>Aicinām skaidrot un nepieciešamības gadījumā precizēt informatīvā ziņojuma 1.pielikuma kolonnu „Plānotais izpildes termiņš”, svītrojot informāciju par Nr.12 „Stratēģiskās politikas satvars izglītībai un apmācībai visos līmeņos” sestā kritērija izpildes termiņu. Vēršam uzmanību, ka šāds termiņš nav noteikts ar ministrijas 2019.gada 28.februāra vēstuli Nr.4-4.1e/19/633 „Par informācijas sniegšanu”.</w:t>
            </w:r>
          </w:p>
        </w:tc>
        <w:tc>
          <w:tcPr>
            <w:tcW w:w="1191" w:type="pct"/>
            <w:tcBorders>
              <w:top w:val="single" w:sz="6" w:space="0" w:color="000000"/>
              <w:left w:val="single" w:sz="6" w:space="0" w:color="000000"/>
              <w:bottom w:val="single" w:sz="6" w:space="0" w:color="000000"/>
              <w:right w:val="single" w:sz="4" w:space="0" w:color="auto"/>
            </w:tcBorders>
          </w:tcPr>
          <w:p w14:paraId="23B13D99" w14:textId="7A8B9F05" w:rsidR="0035508B" w:rsidRPr="00937060" w:rsidRDefault="00E059E6" w:rsidP="00C20D1A">
            <w:pPr>
              <w:pStyle w:val="NormalWeb"/>
              <w:spacing w:before="0" w:beforeAutospacing="0" w:after="120" w:afterAutospacing="0"/>
              <w:jc w:val="center"/>
              <w:rPr>
                <w:b/>
              </w:rPr>
            </w:pPr>
            <w:r>
              <w:rPr>
                <w:b/>
              </w:rPr>
              <w:t>Ņemts vērā.</w:t>
            </w:r>
          </w:p>
        </w:tc>
        <w:tc>
          <w:tcPr>
            <w:tcW w:w="970" w:type="pct"/>
            <w:tcBorders>
              <w:left w:val="single" w:sz="4" w:space="0" w:color="auto"/>
              <w:bottom w:val="single" w:sz="4" w:space="0" w:color="auto"/>
            </w:tcBorders>
          </w:tcPr>
          <w:p w14:paraId="6194DF30" w14:textId="1EFAC6AF" w:rsidR="0035508B" w:rsidRPr="00937060" w:rsidRDefault="00E059E6" w:rsidP="0035508B">
            <w:pPr>
              <w:pStyle w:val="Title"/>
              <w:jc w:val="both"/>
              <w:outlineLvl w:val="0"/>
              <w:rPr>
                <w:sz w:val="24"/>
                <w:szCs w:val="24"/>
              </w:rPr>
            </w:pPr>
            <w:r w:rsidRPr="00937060">
              <w:rPr>
                <w:sz w:val="24"/>
                <w:szCs w:val="24"/>
              </w:rPr>
              <w:t xml:space="preserve">Lūdzu skatīt precizēto </w:t>
            </w:r>
            <w:r>
              <w:rPr>
                <w:sz w:val="24"/>
                <w:szCs w:val="24"/>
              </w:rPr>
              <w:t>1.pielikumu.</w:t>
            </w:r>
          </w:p>
        </w:tc>
      </w:tr>
      <w:tr w:rsidR="0035508B" w:rsidRPr="00937060" w14:paraId="7BCFEFB2" w14:textId="77777777" w:rsidTr="00C066E7">
        <w:trPr>
          <w:trHeight w:val="404"/>
        </w:trPr>
        <w:tc>
          <w:tcPr>
            <w:tcW w:w="283" w:type="pct"/>
            <w:tcBorders>
              <w:top w:val="single" w:sz="6" w:space="0" w:color="000000"/>
              <w:left w:val="single" w:sz="6" w:space="0" w:color="000000"/>
              <w:bottom w:val="single" w:sz="6" w:space="0" w:color="000000"/>
              <w:right w:val="single" w:sz="4" w:space="0" w:color="auto"/>
            </w:tcBorders>
            <w:shd w:val="clear" w:color="auto" w:fill="FFFFFF" w:themeFill="background1"/>
          </w:tcPr>
          <w:p w14:paraId="11F5E747" w14:textId="77777777" w:rsidR="0035508B" w:rsidRPr="00937060" w:rsidRDefault="0035508B" w:rsidP="00B60E7A">
            <w:pPr>
              <w:pStyle w:val="naisc"/>
              <w:numPr>
                <w:ilvl w:val="0"/>
                <w:numId w:val="36"/>
              </w:numPr>
              <w:spacing w:before="0" w:after="0"/>
            </w:pPr>
          </w:p>
        </w:tc>
        <w:tc>
          <w:tcPr>
            <w:tcW w:w="1166" w:type="pct"/>
            <w:tcBorders>
              <w:top w:val="single" w:sz="4" w:space="0" w:color="auto"/>
              <w:left w:val="single" w:sz="4" w:space="0" w:color="auto"/>
              <w:bottom w:val="single" w:sz="4" w:space="0" w:color="auto"/>
              <w:right w:val="single" w:sz="4" w:space="0" w:color="auto"/>
            </w:tcBorders>
          </w:tcPr>
          <w:p w14:paraId="21B64E2F" w14:textId="72D98C15" w:rsidR="0035508B" w:rsidRPr="00937060" w:rsidRDefault="0035508B" w:rsidP="0035508B">
            <w:pPr>
              <w:pStyle w:val="Title"/>
              <w:ind w:hanging="33"/>
              <w:jc w:val="both"/>
              <w:outlineLvl w:val="0"/>
              <w:rPr>
                <w:sz w:val="24"/>
                <w:szCs w:val="24"/>
              </w:rPr>
            </w:pPr>
            <w:r w:rsidRPr="00937060">
              <w:rPr>
                <w:sz w:val="24"/>
                <w:szCs w:val="24"/>
              </w:rPr>
              <w:t>Informatīvā ziņojuma 1.pielikums</w:t>
            </w:r>
          </w:p>
        </w:tc>
        <w:tc>
          <w:tcPr>
            <w:tcW w:w="1390" w:type="pct"/>
            <w:tcBorders>
              <w:top w:val="single" w:sz="6" w:space="0" w:color="000000"/>
              <w:left w:val="single" w:sz="4" w:space="0" w:color="auto"/>
              <w:bottom w:val="single" w:sz="6" w:space="0" w:color="000000"/>
              <w:right w:val="single" w:sz="6" w:space="0" w:color="000000"/>
            </w:tcBorders>
          </w:tcPr>
          <w:p w14:paraId="1F4310D7" w14:textId="77777777" w:rsidR="0035508B" w:rsidRPr="00937060" w:rsidRDefault="0035508B" w:rsidP="0035508B">
            <w:pPr>
              <w:pStyle w:val="NoSpacing"/>
              <w:rPr>
                <w:b/>
                <w:u w:val="single"/>
              </w:rPr>
            </w:pPr>
            <w:r w:rsidRPr="00937060">
              <w:rPr>
                <w:b/>
                <w:u w:val="single"/>
              </w:rPr>
              <w:t>Vides aizsardzības un reģionālās attīstības ministrija:</w:t>
            </w:r>
          </w:p>
          <w:p w14:paraId="69E22E2C" w14:textId="5628C6CC" w:rsidR="0035508B" w:rsidRPr="00937060" w:rsidRDefault="0035508B" w:rsidP="0035508B">
            <w:pPr>
              <w:jc w:val="both"/>
            </w:pPr>
            <w:r w:rsidRPr="00937060">
              <w:t xml:space="preserve">Lūdzam pārskatīt un precizēt ziņojuma 1.pielikumā minēto veicinošo nosacījumu redakcijas atbilstoši Kopējās fondu regulas III pielikumā noteiktajam (piemēram, attiecībā uz Ieguldījumu priekšnosacījumu Nr.6: </w:t>
            </w:r>
            <w:r w:rsidRPr="00937060">
              <w:rPr>
                <w:i/>
                <w:iCs/>
              </w:rPr>
              <w:lastRenderedPageBreak/>
              <w:t>Atjaunināts plāns par nepieciešamajām investīcijām ūdensapgādes un notekūdeņu nozarēs</w:t>
            </w:r>
            <w:r w:rsidRPr="00937060">
              <w:t>).</w:t>
            </w:r>
          </w:p>
        </w:tc>
        <w:tc>
          <w:tcPr>
            <w:tcW w:w="1191" w:type="pct"/>
            <w:tcBorders>
              <w:top w:val="single" w:sz="6" w:space="0" w:color="000000"/>
              <w:left w:val="single" w:sz="6" w:space="0" w:color="000000"/>
              <w:bottom w:val="single" w:sz="6" w:space="0" w:color="000000"/>
              <w:right w:val="single" w:sz="4" w:space="0" w:color="auto"/>
            </w:tcBorders>
          </w:tcPr>
          <w:p w14:paraId="514CB4F1" w14:textId="6E5AB5D9" w:rsidR="0035508B" w:rsidRDefault="0049646D" w:rsidP="0035508B">
            <w:pPr>
              <w:pStyle w:val="NormalWeb"/>
              <w:spacing w:before="0" w:beforeAutospacing="0" w:after="120" w:afterAutospacing="0"/>
              <w:jc w:val="center"/>
              <w:rPr>
                <w:b/>
              </w:rPr>
            </w:pPr>
            <w:r>
              <w:rPr>
                <w:b/>
              </w:rPr>
              <w:lastRenderedPageBreak/>
              <w:t>Panākta vienošanās saskaņošanas laikā.</w:t>
            </w:r>
          </w:p>
          <w:p w14:paraId="25124AAB" w14:textId="44FE7B95" w:rsidR="00B55B46" w:rsidRPr="00B55B46" w:rsidRDefault="00B55B46" w:rsidP="00B55B46">
            <w:pPr>
              <w:pStyle w:val="NormalWeb"/>
              <w:spacing w:before="0" w:beforeAutospacing="0" w:after="120" w:afterAutospacing="0"/>
              <w:jc w:val="both"/>
            </w:pPr>
            <w:r w:rsidRPr="00B55B46">
              <w:t>Skaidrojam, ka Kopējās</w:t>
            </w:r>
            <w:r w:rsidR="00C95535">
              <w:t xml:space="preserve"> fondu regulas tulkojumi pieskaņ</w:t>
            </w:r>
            <w:r w:rsidRPr="00B55B46">
              <w:t>oti valodas labskanībai, ņem</w:t>
            </w:r>
            <w:r w:rsidR="00C95535">
              <w:t>o</w:t>
            </w:r>
            <w:r w:rsidRPr="00B55B46">
              <w:t xml:space="preserve">t vērā, ka tas ir regulas priekšlikums un </w:t>
            </w:r>
            <w:r w:rsidRPr="00B55B46">
              <w:lastRenderedPageBreak/>
              <w:t xml:space="preserve">oficiālais regulas tulkojums nav pieejams. </w:t>
            </w:r>
          </w:p>
        </w:tc>
        <w:tc>
          <w:tcPr>
            <w:tcW w:w="970" w:type="pct"/>
            <w:tcBorders>
              <w:left w:val="single" w:sz="4" w:space="0" w:color="auto"/>
              <w:bottom w:val="single" w:sz="4" w:space="0" w:color="auto"/>
            </w:tcBorders>
          </w:tcPr>
          <w:p w14:paraId="49C73F30" w14:textId="1BC13025" w:rsidR="0035508B" w:rsidRPr="00937060" w:rsidRDefault="00B55B46" w:rsidP="0035508B">
            <w:pPr>
              <w:pStyle w:val="Title"/>
              <w:jc w:val="both"/>
              <w:outlineLvl w:val="0"/>
              <w:rPr>
                <w:sz w:val="24"/>
                <w:szCs w:val="24"/>
              </w:rPr>
            </w:pPr>
            <w:r w:rsidRPr="00937060">
              <w:rPr>
                <w:sz w:val="24"/>
                <w:szCs w:val="24"/>
              </w:rPr>
              <w:lastRenderedPageBreak/>
              <w:t xml:space="preserve">Lūdzu skatīt precizēto </w:t>
            </w:r>
            <w:r>
              <w:rPr>
                <w:sz w:val="24"/>
                <w:szCs w:val="24"/>
              </w:rPr>
              <w:t>1.pielikumu.</w:t>
            </w:r>
          </w:p>
        </w:tc>
      </w:tr>
      <w:tr w:rsidR="002918AB" w:rsidRPr="00937060" w14:paraId="59359146" w14:textId="77777777" w:rsidTr="00C066E7">
        <w:trPr>
          <w:trHeight w:val="404"/>
        </w:trPr>
        <w:tc>
          <w:tcPr>
            <w:tcW w:w="283" w:type="pct"/>
            <w:tcBorders>
              <w:top w:val="single" w:sz="6" w:space="0" w:color="000000"/>
              <w:left w:val="single" w:sz="6" w:space="0" w:color="000000"/>
              <w:bottom w:val="single" w:sz="6" w:space="0" w:color="000000"/>
              <w:right w:val="single" w:sz="4" w:space="0" w:color="auto"/>
            </w:tcBorders>
            <w:shd w:val="clear" w:color="auto" w:fill="FFFFFF" w:themeFill="background1"/>
          </w:tcPr>
          <w:p w14:paraId="2F9CE276" w14:textId="77777777" w:rsidR="002918AB" w:rsidRPr="00937060" w:rsidRDefault="002918AB" w:rsidP="00B60E7A">
            <w:pPr>
              <w:pStyle w:val="naisc"/>
              <w:numPr>
                <w:ilvl w:val="0"/>
                <w:numId w:val="36"/>
              </w:numPr>
              <w:spacing w:before="0" w:after="0"/>
            </w:pPr>
          </w:p>
        </w:tc>
        <w:tc>
          <w:tcPr>
            <w:tcW w:w="1166" w:type="pct"/>
            <w:tcBorders>
              <w:top w:val="single" w:sz="4" w:space="0" w:color="auto"/>
              <w:left w:val="single" w:sz="4" w:space="0" w:color="auto"/>
              <w:bottom w:val="single" w:sz="4" w:space="0" w:color="auto"/>
              <w:right w:val="single" w:sz="4" w:space="0" w:color="auto"/>
            </w:tcBorders>
          </w:tcPr>
          <w:p w14:paraId="30A89718" w14:textId="57D5A542" w:rsidR="002918AB" w:rsidRPr="00937060" w:rsidRDefault="002918AB" w:rsidP="0035508B">
            <w:pPr>
              <w:pStyle w:val="Title"/>
              <w:ind w:hanging="33"/>
              <w:jc w:val="both"/>
              <w:outlineLvl w:val="0"/>
              <w:rPr>
                <w:sz w:val="24"/>
                <w:szCs w:val="24"/>
              </w:rPr>
            </w:pPr>
            <w:r w:rsidRPr="00937060">
              <w:rPr>
                <w:sz w:val="24"/>
                <w:szCs w:val="24"/>
              </w:rPr>
              <w:t>Informatīvā ziņojuma 1.pielikums</w:t>
            </w:r>
          </w:p>
        </w:tc>
        <w:tc>
          <w:tcPr>
            <w:tcW w:w="1390" w:type="pct"/>
            <w:tcBorders>
              <w:top w:val="single" w:sz="6" w:space="0" w:color="000000"/>
              <w:left w:val="single" w:sz="4" w:space="0" w:color="auto"/>
              <w:bottom w:val="single" w:sz="6" w:space="0" w:color="000000"/>
              <w:right w:val="single" w:sz="6" w:space="0" w:color="000000"/>
            </w:tcBorders>
          </w:tcPr>
          <w:p w14:paraId="1DE558EB" w14:textId="77777777" w:rsidR="002918AB" w:rsidRDefault="002918AB" w:rsidP="0035508B">
            <w:pPr>
              <w:pStyle w:val="NoSpacing"/>
              <w:rPr>
                <w:b/>
                <w:u w:val="single"/>
              </w:rPr>
            </w:pPr>
            <w:r w:rsidRPr="00937060">
              <w:rPr>
                <w:b/>
                <w:u w:val="single"/>
              </w:rPr>
              <w:t>Vides aizsardzības un reģionālās attīstības ministrija</w:t>
            </w:r>
            <w:r>
              <w:rPr>
                <w:b/>
                <w:u w:val="single"/>
              </w:rPr>
              <w:t>s 29.05.2019. iebildums:</w:t>
            </w:r>
          </w:p>
          <w:p w14:paraId="14FA5E3D" w14:textId="77777777" w:rsidR="002918AB" w:rsidRDefault="002918AB" w:rsidP="002918AB">
            <w:pPr>
              <w:spacing w:after="120"/>
              <w:jc w:val="both"/>
              <w:rPr>
                <w:sz w:val="22"/>
                <w:szCs w:val="22"/>
              </w:rPr>
            </w:pPr>
            <w:r>
              <w:t xml:space="preserve">Lūdzam precizēt informatīvā ziņojuma 1.pielikuma “2021.-2027.gada plānošanas perioda Kopējās fondu regulas III pielikumā noteiktie ieguldījumu priekšnosacījumi </w:t>
            </w:r>
            <w:r>
              <w:rPr>
                <w:i/>
                <w:iCs/>
              </w:rPr>
              <w:t>(enabling conditions)</w:t>
            </w:r>
            <w:r>
              <w:t xml:space="preserve">” tabulā “Tematiskie ieguldījumu priekšnosacījumi, ko piemēro ERAF, ESF+ un Kohēzijas fondam” ieguldījumu priekšnosacījumam Nr.6. atbildīgo institūciju sarakstu, papildinot ar Zemkopības ministriju kā atbildīgo par plāna izstrādi attiecībā uz ūdensapgādes sektoru (nozari). </w:t>
            </w:r>
          </w:p>
          <w:p w14:paraId="4EB93F78" w14:textId="6C13FA7D" w:rsidR="002918AB" w:rsidRPr="00937060" w:rsidRDefault="002918AB" w:rsidP="0035508B">
            <w:pPr>
              <w:pStyle w:val="NoSpacing"/>
              <w:rPr>
                <w:b/>
                <w:u w:val="single"/>
              </w:rPr>
            </w:pPr>
            <w:r>
              <w:t xml:space="preserve">Vēršam uzmanību uz to, ka kompromisa redakcijas būtība paredz investīciju plānu izstrādāt vienam vai abiem sektoriem kopā. Uz divu atsevišķu plānu izstrādi norāda arī Eiropas Komisijas jaunāko redakciju (tai skaitā jau kopš 2018.gada 14.decembra decembra) pierakstā pielietotās kvadrātiekavas, tādējādi nodalot teksta daļas attiecībā uz izvērtējumu par dzeramā ūdens ieguldījumiem no teksta daļas par ieguldījumiem notekūdeņu apsaimniekošanā. Skaidrojam, ka </w:t>
            </w:r>
            <w:r>
              <w:lastRenderedPageBreak/>
              <w:t xml:space="preserve">atbilstoši atbildīgo nozaru tvērumam par Padomes Direktīvas 98/83/EK (1998.gada 3.novembris) </w:t>
            </w:r>
            <w:r>
              <w:rPr>
                <w:i/>
                <w:iCs/>
              </w:rPr>
              <w:t>par dzeramā ūdens kvalitāti</w:t>
            </w:r>
            <w:r>
              <w:t xml:space="preserve"> ieviešanu Latvijā ir atbildīga Zemkopības ministrija. Savukārt VARAM ir atbildīga par Padomes direktīvas (1991.gada 21.maijs) </w:t>
            </w:r>
            <w:r>
              <w:rPr>
                <w:i/>
                <w:iCs/>
              </w:rPr>
              <w:t>par komunālo notekūdeņu attīrīšanu</w:t>
            </w:r>
            <w:r>
              <w:t xml:space="preserve"> (Direktīva prasību 91/271/EKK) ieviešanu, un, ievērojot Eiropas Komisijas pret Latviju ierosināto pārkāpumu procedūru Nr.2017/2030 par Direktīvas 91/271/EKK prasību neizpildi un potenciālo tiesvedības procesu, VARAM investīcijas dzeramā ūdens apgādes sistēmas pilnveidošanā neplāno. VARAM jau iepriekš saziņā par veicinošo nosacījumu atbildības noteikšanu ir norādījusi, ka investīciju plānu izstrādās tikai attiecībā uz notekūdeņu sektoru, līdz ar to nepieciešams papildināt nosacījuma atbildīgās institūcijas ar Zemkopības ministriju attiecībā uz ūdensapgādes sektoru (nozari), ņemot vērā iepriekš minēto atbildības sadalījumu.</w:t>
            </w:r>
          </w:p>
        </w:tc>
        <w:tc>
          <w:tcPr>
            <w:tcW w:w="1191" w:type="pct"/>
            <w:tcBorders>
              <w:top w:val="single" w:sz="6" w:space="0" w:color="000000"/>
              <w:left w:val="single" w:sz="6" w:space="0" w:color="000000"/>
              <w:bottom w:val="single" w:sz="6" w:space="0" w:color="000000"/>
              <w:right w:val="single" w:sz="4" w:space="0" w:color="auto"/>
            </w:tcBorders>
          </w:tcPr>
          <w:p w14:paraId="33C4D0EF" w14:textId="7C77C365" w:rsidR="002918AB" w:rsidRDefault="003E42D1" w:rsidP="00555C1E">
            <w:pPr>
              <w:pStyle w:val="NormalWeb"/>
              <w:spacing w:before="0" w:beforeAutospacing="0" w:after="120" w:afterAutospacing="0"/>
              <w:jc w:val="center"/>
              <w:rPr>
                <w:b/>
              </w:rPr>
            </w:pPr>
            <w:r>
              <w:rPr>
                <w:b/>
              </w:rPr>
              <w:lastRenderedPageBreak/>
              <w:t xml:space="preserve">Ņemts vērā. </w:t>
            </w:r>
          </w:p>
        </w:tc>
        <w:tc>
          <w:tcPr>
            <w:tcW w:w="970" w:type="pct"/>
            <w:tcBorders>
              <w:left w:val="single" w:sz="4" w:space="0" w:color="auto"/>
              <w:bottom w:val="single" w:sz="4" w:space="0" w:color="auto"/>
            </w:tcBorders>
          </w:tcPr>
          <w:p w14:paraId="209041B5" w14:textId="6A810DB3" w:rsidR="002918AB" w:rsidRPr="00937060" w:rsidRDefault="003E42D1" w:rsidP="0035508B">
            <w:pPr>
              <w:pStyle w:val="Title"/>
              <w:jc w:val="both"/>
              <w:outlineLvl w:val="0"/>
              <w:rPr>
                <w:sz w:val="24"/>
                <w:szCs w:val="24"/>
              </w:rPr>
            </w:pPr>
            <w:r w:rsidRPr="00937060">
              <w:rPr>
                <w:sz w:val="24"/>
                <w:szCs w:val="24"/>
              </w:rPr>
              <w:t xml:space="preserve">Lūdzu skatīt precizēto </w:t>
            </w:r>
            <w:r>
              <w:rPr>
                <w:sz w:val="24"/>
                <w:szCs w:val="24"/>
              </w:rPr>
              <w:t>1.pielikumu.</w:t>
            </w:r>
          </w:p>
        </w:tc>
      </w:tr>
      <w:tr w:rsidR="0035508B" w:rsidRPr="00937060" w14:paraId="154F9CD4" w14:textId="77777777" w:rsidTr="00C066E7">
        <w:trPr>
          <w:trHeight w:val="404"/>
        </w:trPr>
        <w:tc>
          <w:tcPr>
            <w:tcW w:w="283" w:type="pct"/>
            <w:tcBorders>
              <w:top w:val="single" w:sz="6" w:space="0" w:color="000000"/>
              <w:left w:val="single" w:sz="6" w:space="0" w:color="000000"/>
              <w:bottom w:val="single" w:sz="6" w:space="0" w:color="000000"/>
              <w:right w:val="single" w:sz="4" w:space="0" w:color="auto"/>
            </w:tcBorders>
            <w:shd w:val="clear" w:color="auto" w:fill="FFFFFF" w:themeFill="background1"/>
          </w:tcPr>
          <w:p w14:paraId="45755D25" w14:textId="77777777" w:rsidR="0035508B" w:rsidRPr="00937060" w:rsidRDefault="0035508B" w:rsidP="00B60E7A">
            <w:pPr>
              <w:pStyle w:val="naisc"/>
              <w:numPr>
                <w:ilvl w:val="0"/>
                <w:numId w:val="36"/>
              </w:numPr>
              <w:spacing w:before="0" w:after="0"/>
            </w:pPr>
          </w:p>
        </w:tc>
        <w:tc>
          <w:tcPr>
            <w:tcW w:w="1166" w:type="pct"/>
            <w:tcBorders>
              <w:top w:val="single" w:sz="4" w:space="0" w:color="auto"/>
              <w:left w:val="single" w:sz="4" w:space="0" w:color="auto"/>
              <w:bottom w:val="single" w:sz="4" w:space="0" w:color="auto"/>
              <w:right w:val="single" w:sz="4" w:space="0" w:color="auto"/>
            </w:tcBorders>
          </w:tcPr>
          <w:p w14:paraId="42831D7F" w14:textId="03254284" w:rsidR="0035508B" w:rsidRPr="00937060" w:rsidRDefault="0035508B" w:rsidP="0035508B">
            <w:pPr>
              <w:pStyle w:val="Title"/>
              <w:ind w:hanging="33"/>
              <w:jc w:val="both"/>
              <w:outlineLvl w:val="0"/>
              <w:rPr>
                <w:sz w:val="24"/>
                <w:szCs w:val="24"/>
              </w:rPr>
            </w:pPr>
            <w:r w:rsidRPr="00937060">
              <w:rPr>
                <w:sz w:val="24"/>
                <w:szCs w:val="24"/>
              </w:rPr>
              <w:t>Informatīvā ziņojuma 1.pielikums</w:t>
            </w:r>
          </w:p>
        </w:tc>
        <w:tc>
          <w:tcPr>
            <w:tcW w:w="1390" w:type="pct"/>
            <w:tcBorders>
              <w:top w:val="single" w:sz="6" w:space="0" w:color="000000"/>
              <w:left w:val="single" w:sz="4" w:space="0" w:color="auto"/>
              <w:bottom w:val="single" w:sz="6" w:space="0" w:color="000000"/>
              <w:right w:val="single" w:sz="6" w:space="0" w:color="000000"/>
            </w:tcBorders>
          </w:tcPr>
          <w:p w14:paraId="5EA16011" w14:textId="77777777" w:rsidR="0035508B" w:rsidRPr="00937060" w:rsidRDefault="0035508B" w:rsidP="0035508B">
            <w:pPr>
              <w:pStyle w:val="NoSpacing"/>
              <w:rPr>
                <w:b/>
                <w:u w:val="single"/>
              </w:rPr>
            </w:pPr>
            <w:r w:rsidRPr="00937060">
              <w:rPr>
                <w:b/>
                <w:u w:val="single"/>
              </w:rPr>
              <w:t>Vides aizsardzības un reģionālās attīstības ministrija:</w:t>
            </w:r>
          </w:p>
          <w:p w14:paraId="3B0F6ECC" w14:textId="28B1201F" w:rsidR="0035508B" w:rsidRPr="00937060" w:rsidRDefault="0035508B" w:rsidP="0035508B">
            <w:pPr>
              <w:jc w:val="both"/>
            </w:pPr>
            <w:r w:rsidRPr="00937060">
              <w:t xml:space="preserve">Aicinām informatīvā ziņojuma 1.pielikuma “2021.-2027.gada plānošanas perioda Kopējās fondu regulas III pielikumā noteiktie ieguldījumu priekšnosacījumi </w:t>
            </w:r>
            <w:r w:rsidRPr="00937060">
              <w:lastRenderedPageBreak/>
              <w:t>(enabling conditions)” tabulā “Tematiskie ieguldījumu priekšnosacījumi, ko piemēro ERAF, ESF+ un Kohēzijas fondam” zem politiskā mērķa Nr. 1 ieguldījumu priekšnosacījuma Nr. 1 norādīt VARAM kā līdzatbildīgo, ņemot vērā, ka ieguldījumu priekšnosacījuma izpildes kritēriji t.sk. paredz, ka “viedās specializācijas stratēģiju jābalsta uz tādas reģionālās/nacionālās kompetentās iestādes vai struktūras pastāvēšanu, kas ir atbildīga par viedās specializācijas stratēģijas pārvaldību”, kā arī Viedās specializācijas stratēģiju plānots pozicionēt kā tautsaimniecības transformācijas un izaugsmes stratēģiju, kurā būtiska loma būs digitalizācijas aspektiem.</w:t>
            </w:r>
          </w:p>
        </w:tc>
        <w:tc>
          <w:tcPr>
            <w:tcW w:w="1191" w:type="pct"/>
            <w:tcBorders>
              <w:top w:val="single" w:sz="6" w:space="0" w:color="000000"/>
              <w:left w:val="single" w:sz="6" w:space="0" w:color="000000"/>
              <w:bottom w:val="single" w:sz="6" w:space="0" w:color="000000"/>
              <w:right w:val="single" w:sz="4" w:space="0" w:color="auto"/>
            </w:tcBorders>
          </w:tcPr>
          <w:p w14:paraId="14165638" w14:textId="7E136160" w:rsidR="00555C1E" w:rsidRDefault="0049646D" w:rsidP="00555C1E">
            <w:pPr>
              <w:pStyle w:val="NormalWeb"/>
              <w:spacing w:before="0" w:beforeAutospacing="0" w:after="120" w:afterAutospacing="0"/>
              <w:jc w:val="center"/>
              <w:rPr>
                <w:b/>
              </w:rPr>
            </w:pPr>
            <w:r>
              <w:rPr>
                <w:b/>
              </w:rPr>
              <w:lastRenderedPageBreak/>
              <w:t>Panākta vienošanās saskaņošanas laikā.</w:t>
            </w:r>
          </w:p>
          <w:p w14:paraId="5A1A63E5" w14:textId="7C07D24E" w:rsidR="0035508B" w:rsidRPr="00937060" w:rsidRDefault="00555C1E" w:rsidP="00FE066B">
            <w:pPr>
              <w:pStyle w:val="NormalWeb"/>
              <w:spacing w:before="0" w:beforeAutospacing="0" w:after="120" w:afterAutospacing="0"/>
              <w:jc w:val="both"/>
              <w:rPr>
                <w:b/>
              </w:rPr>
            </w:pPr>
            <w:r>
              <w:t xml:space="preserve">Norādām, ka 1.pielikumā ir norādīta atbildīgā institūcija un līdzatbildīgās institūcijas tiks norādītas darbības programmas informācijā par </w:t>
            </w:r>
            <w:r>
              <w:lastRenderedPageBreak/>
              <w:t>priekšnosacījumu izpildi, ko FM gatavos atsevišķi</w:t>
            </w:r>
            <w:r w:rsidR="00FE066B">
              <w:t>, aicinot institūcijas uz diskusiju š.g. augustā.</w:t>
            </w:r>
          </w:p>
        </w:tc>
        <w:tc>
          <w:tcPr>
            <w:tcW w:w="970" w:type="pct"/>
            <w:tcBorders>
              <w:left w:val="single" w:sz="4" w:space="0" w:color="auto"/>
              <w:bottom w:val="single" w:sz="4" w:space="0" w:color="auto"/>
            </w:tcBorders>
          </w:tcPr>
          <w:p w14:paraId="41773596" w14:textId="04EC18C2" w:rsidR="0035508B" w:rsidRPr="00937060" w:rsidRDefault="00555C1E" w:rsidP="0035508B">
            <w:pPr>
              <w:pStyle w:val="Title"/>
              <w:jc w:val="both"/>
              <w:outlineLvl w:val="0"/>
              <w:rPr>
                <w:sz w:val="24"/>
                <w:szCs w:val="24"/>
              </w:rPr>
            </w:pPr>
            <w:r w:rsidRPr="00937060">
              <w:rPr>
                <w:sz w:val="24"/>
                <w:szCs w:val="24"/>
              </w:rPr>
              <w:lastRenderedPageBreak/>
              <w:t xml:space="preserve">Lūdzu skatīt precizēto </w:t>
            </w:r>
            <w:r>
              <w:rPr>
                <w:sz w:val="24"/>
                <w:szCs w:val="24"/>
              </w:rPr>
              <w:t>1.pielikumu.</w:t>
            </w:r>
          </w:p>
        </w:tc>
      </w:tr>
      <w:tr w:rsidR="0035508B" w:rsidRPr="00937060" w14:paraId="3BFA83D6" w14:textId="77777777" w:rsidTr="00C066E7">
        <w:trPr>
          <w:trHeight w:val="404"/>
        </w:trPr>
        <w:tc>
          <w:tcPr>
            <w:tcW w:w="283" w:type="pct"/>
            <w:tcBorders>
              <w:top w:val="single" w:sz="6" w:space="0" w:color="000000"/>
              <w:left w:val="single" w:sz="6" w:space="0" w:color="000000"/>
              <w:bottom w:val="single" w:sz="6" w:space="0" w:color="000000"/>
              <w:right w:val="single" w:sz="4" w:space="0" w:color="auto"/>
            </w:tcBorders>
            <w:shd w:val="clear" w:color="auto" w:fill="FFFFFF" w:themeFill="background1"/>
          </w:tcPr>
          <w:p w14:paraId="17514FEB" w14:textId="77777777" w:rsidR="0035508B" w:rsidRPr="00937060" w:rsidRDefault="0035508B" w:rsidP="00B60E7A">
            <w:pPr>
              <w:pStyle w:val="naisc"/>
              <w:numPr>
                <w:ilvl w:val="0"/>
                <w:numId w:val="36"/>
              </w:numPr>
              <w:spacing w:before="0" w:after="0"/>
            </w:pPr>
          </w:p>
        </w:tc>
        <w:tc>
          <w:tcPr>
            <w:tcW w:w="1166" w:type="pct"/>
            <w:tcBorders>
              <w:top w:val="single" w:sz="4" w:space="0" w:color="auto"/>
              <w:left w:val="single" w:sz="4" w:space="0" w:color="auto"/>
              <w:bottom w:val="single" w:sz="4" w:space="0" w:color="auto"/>
              <w:right w:val="single" w:sz="4" w:space="0" w:color="auto"/>
            </w:tcBorders>
          </w:tcPr>
          <w:p w14:paraId="25739B00" w14:textId="51C2E870" w:rsidR="0035508B" w:rsidRPr="00937060" w:rsidRDefault="0035508B" w:rsidP="0035508B">
            <w:pPr>
              <w:pStyle w:val="Title"/>
              <w:ind w:hanging="33"/>
              <w:jc w:val="both"/>
              <w:outlineLvl w:val="0"/>
              <w:rPr>
                <w:sz w:val="24"/>
                <w:szCs w:val="24"/>
              </w:rPr>
            </w:pPr>
            <w:r w:rsidRPr="00937060">
              <w:rPr>
                <w:sz w:val="24"/>
                <w:szCs w:val="24"/>
              </w:rPr>
              <w:t>Informatīvā ziņojuma 1.pielikums</w:t>
            </w:r>
          </w:p>
        </w:tc>
        <w:tc>
          <w:tcPr>
            <w:tcW w:w="1390" w:type="pct"/>
            <w:tcBorders>
              <w:top w:val="single" w:sz="6" w:space="0" w:color="000000"/>
              <w:left w:val="single" w:sz="4" w:space="0" w:color="auto"/>
              <w:bottom w:val="single" w:sz="6" w:space="0" w:color="000000"/>
              <w:right w:val="single" w:sz="6" w:space="0" w:color="000000"/>
            </w:tcBorders>
          </w:tcPr>
          <w:p w14:paraId="6DC48258" w14:textId="77777777" w:rsidR="0035508B" w:rsidRPr="00937060" w:rsidRDefault="0035508B" w:rsidP="0035508B">
            <w:pPr>
              <w:pStyle w:val="NoSpacing"/>
              <w:rPr>
                <w:b/>
                <w:u w:val="single"/>
              </w:rPr>
            </w:pPr>
            <w:r w:rsidRPr="00937060">
              <w:rPr>
                <w:b/>
                <w:u w:val="single"/>
              </w:rPr>
              <w:t>Vides aizsardzības un reģionālās attīstības ministrija:</w:t>
            </w:r>
          </w:p>
          <w:p w14:paraId="5F0E246B" w14:textId="0DAAE7C9" w:rsidR="0035508B" w:rsidRPr="00937060" w:rsidRDefault="0035508B" w:rsidP="0035508B">
            <w:pPr>
              <w:pStyle w:val="NoSpacing"/>
              <w:rPr>
                <w:b/>
                <w:u w:val="single"/>
              </w:rPr>
            </w:pPr>
            <w:r w:rsidRPr="00937060">
              <w:rPr>
                <w:szCs w:val="24"/>
              </w:rPr>
              <w:t>Aicinām informatīvā ziņojuma 1.pielikuma tabulā “Tematiskie ieguldījumu priekšnosacījumi, ko piemēro ERAF, ESF+ un Kohēzijas fondam” papildināt VARAM kā līdzatbildīgo ieguldījumu priekšnosacījumam Nr.9, ņemot vērā, ka transports ir cieši saistīts ar reģionālo attīstību.</w:t>
            </w:r>
          </w:p>
        </w:tc>
        <w:tc>
          <w:tcPr>
            <w:tcW w:w="1191" w:type="pct"/>
            <w:tcBorders>
              <w:top w:val="single" w:sz="6" w:space="0" w:color="000000"/>
              <w:left w:val="single" w:sz="6" w:space="0" w:color="000000"/>
              <w:bottom w:val="single" w:sz="6" w:space="0" w:color="000000"/>
              <w:right w:val="single" w:sz="4" w:space="0" w:color="auto"/>
            </w:tcBorders>
          </w:tcPr>
          <w:p w14:paraId="19E3B715" w14:textId="367BD5F9" w:rsidR="00555C1E" w:rsidRDefault="0049646D" w:rsidP="00555C1E">
            <w:pPr>
              <w:pStyle w:val="NormalWeb"/>
              <w:spacing w:before="0" w:beforeAutospacing="0" w:after="120" w:afterAutospacing="0"/>
              <w:jc w:val="center"/>
              <w:rPr>
                <w:b/>
              </w:rPr>
            </w:pPr>
            <w:r>
              <w:rPr>
                <w:b/>
              </w:rPr>
              <w:t>Panākta vienošanās saskaņošanas laikā.</w:t>
            </w:r>
          </w:p>
          <w:p w14:paraId="3C97F968" w14:textId="2FD8EC56" w:rsidR="0035508B" w:rsidRPr="00937060" w:rsidRDefault="00555C1E" w:rsidP="00FE066B">
            <w:pPr>
              <w:pStyle w:val="NormalWeb"/>
              <w:spacing w:before="0" w:beforeAutospacing="0" w:after="120" w:afterAutospacing="0"/>
              <w:jc w:val="both"/>
              <w:rPr>
                <w:b/>
              </w:rPr>
            </w:pPr>
            <w:r>
              <w:t>Norādām, ka 1.pielikumā ir norādīta atbildīgā institūcija un līdzatbildīgās institūcijas tiks norādītas darbības programmas informācijā par priekšnosacījumu izpildi, ko FM gatavos atsevišķi</w:t>
            </w:r>
            <w:r w:rsidR="00FE066B">
              <w:t>, aicinot institūcijas uz diskusiju š.g. augustā.</w:t>
            </w:r>
          </w:p>
        </w:tc>
        <w:tc>
          <w:tcPr>
            <w:tcW w:w="970" w:type="pct"/>
            <w:tcBorders>
              <w:left w:val="single" w:sz="4" w:space="0" w:color="auto"/>
              <w:bottom w:val="single" w:sz="4" w:space="0" w:color="auto"/>
            </w:tcBorders>
          </w:tcPr>
          <w:p w14:paraId="2D47F122" w14:textId="7AA37F94" w:rsidR="0035508B" w:rsidRPr="00937060" w:rsidRDefault="00555C1E" w:rsidP="0035508B">
            <w:pPr>
              <w:pStyle w:val="Title"/>
              <w:jc w:val="both"/>
              <w:outlineLvl w:val="0"/>
              <w:rPr>
                <w:sz w:val="24"/>
                <w:szCs w:val="24"/>
              </w:rPr>
            </w:pPr>
            <w:r w:rsidRPr="00937060">
              <w:rPr>
                <w:sz w:val="24"/>
                <w:szCs w:val="24"/>
              </w:rPr>
              <w:t xml:space="preserve">Lūdzu skatīt precizēto </w:t>
            </w:r>
            <w:r>
              <w:rPr>
                <w:sz w:val="24"/>
                <w:szCs w:val="24"/>
              </w:rPr>
              <w:t>1.pielikumu.</w:t>
            </w:r>
          </w:p>
        </w:tc>
      </w:tr>
      <w:tr w:rsidR="0035508B" w:rsidRPr="00937060" w14:paraId="0BC83BCC" w14:textId="77777777" w:rsidTr="00C066E7">
        <w:trPr>
          <w:trHeight w:val="404"/>
        </w:trPr>
        <w:tc>
          <w:tcPr>
            <w:tcW w:w="283" w:type="pct"/>
            <w:tcBorders>
              <w:top w:val="single" w:sz="6" w:space="0" w:color="000000"/>
              <w:left w:val="single" w:sz="6" w:space="0" w:color="000000"/>
              <w:bottom w:val="single" w:sz="6" w:space="0" w:color="000000"/>
              <w:right w:val="single" w:sz="4" w:space="0" w:color="auto"/>
            </w:tcBorders>
            <w:shd w:val="clear" w:color="auto" w:fill="FFFFFF" w:themeFill="background1"/>
          </w:tcPr>
          <w:p w14:paraId="7331001D" w14:textId="77777777" w:rsidR="0035508B" w:rsidRPr="00937060" w:rsidRDefault="0035508B" w:rsidP="00B60E7A">
            <w:pPr>
              <w:pStyle w:val="naisc"/>
              <w:numPr>
                <w:ilvl w:val="0"/>
                <w:numId w:val="36"/>
              </w:numPr>
              <w:spacing w:before="0" w:after="0"/>
            </w:pPr>
          </w:p>
        </w:tc>
        <w:tc>
          <w:tcPr>
            <w:tcW w:w="1166" w:type="pct"/>
            <w:tcBorders>
              <w:top w:val="single" w:sz="4" w:space="0" w:color="auto"/>
              <w:left w:val="single" w:sz="4" w:space="0" w:color="auto"/>
              <w:bottom w:val="single" w:sz="4" w:space="0" w:color="auto"/>
              <w:right w:val="single" w:sz="4" w:space="0" w:color="auto"/>
            </w:tcBorders>
          </w:tcPr>
          <w:p w14:paraId="39DE5BA9" w14:textId="28769774" w:rsidR="0035508B" w:rsidRPr="00937060" w:rsidRDefault="0035508B" w:rsidP="0035508B">
            <w:pPr>
              <w:pStyle w:val="Title"/>
              <w:ind w:hanging="33"/>
              <w:jc w:val="both"/>
              <w:outlineLvl w:val="0"/>
              <w:rPr>
                <w:sz w:val="24"/>
                <w:szCs w:val="24"/>
              </w:rPr>
            </w:pPr>
            <w:r w:rsidRPr="00937060">
              <w:rPr>
                <w:sz w:val="24"/>
                <w:szCs w:val="24"/>
              </w:rPr>
              <w:t>Informatīvā ziņojuma 1.pielikums</w:t>
            </w:r>
          </w:p>
        </w:tc>
        <w:tc>
          <w:tcPr>
            <w:tcW w:w="1390" w:type="pct"/>
            <w:tcBorders>
              <w:top w:val="single" w:sz="6" w:space="0" w:color="000000"/>
              <w:left w:val="single" w:sz="4" w:space="0" w:color="auto"/>
              <w:bottom w:val="single" w:sz="6" w:space="0" w:color="000000"/>
              <w:right w:val="single" w:sz="6" w:space="0" w:color="000000"/>
            </w:tcBorders>
          </w:tcPr>
          <w:p w14:paraId="737988DB" w14:textId="77777777" w:rsidR="0035508B" w:rsidRPr="00937060" w:rsidRDefault="0035508B" w:rsidP="0035508B">
            <w:pPr>
              <w:pStyle w:val="NoSpacing"/>
              <w:rPr>
                <w:b/>
                <w:u w:val="single"/>
              </w:rPr>
            </w:pPr>
            <w:r w:rsidRPr="00937060">
              <w:rPr>
                <w:b/>
                <w:u w:val="single"/>
              </w:rPr>
              <w:t>Vides aizsardzības un reģionālās attīstības ministrija:</w:t>
            </w:r>
          </w:p>
          <w:p w14:paraId="226F3771" w14:textId="7415309A" w:rsidR="0035508B" w:rsidRPr="00937060" w:rsidRDefault="0035508B" w:rsidP="0035508B">
            <w:pPr>
              <w:pStyle w:val="NoSpacing"/>
              <w:rPr>
                <w:b/>
                <w:u w:val="single"/>
              </w:rPr>
            </w:pPr>
            <w:r w:rsidRPr="00937060">
              <w:rPr>
                <w:szCs w:val="24"/>
              </w:rPr>
              <w:lastRenderedPageBreak/>
              <w:t xml:space="preserve">Aicinām informatīvā ziņojuma 1.pielikuma tabulā “Tematiskie ieguldījumu priekšnosacījumi, ko piemēro ERAF, ESF+ un Kohēzijas fondam” papildināt VARAM kā līdzatbildīgo ieguldījumu priekšnosacījumam Nr.12, ņemot vērā, ka ieguldījumu priekšnosacījuma izpildes kritēriji t.sk. paredz, ka “Ir sagatavots valsts vai reģionāls stratēģiskās politikas satvars izglītības un apmācības sistēmai, un tas ietver koordinācijas mehānismus visos izglītības un apmācības līmeņos un skaidru pienākumu sadali starp attiecīgajām valsts un/vai reģionālajām struktūrām”. Vienlaikus norādām, ka Digitālās ekonomikas un sabiedrības indeksā (turpmāk - DESI) Latvija uzrāda būtiski nepietiekamu sniegumu gan digitālo prasmju, gan STEM studentu skaita ziņā, kas nepieciešami, lai aizpildītu neaizpildītās darba vietas informācijas un komunikācijas tehnoloģiju sektorā, tāpēc VARAM vēlas aktīvi iesaistīties un atbalstīt IZM fokusu un virzienu formulēšanā attiecībā uz izglītību un apmācību jomu. DESI indekss uzskatāmi parāda, ka problēmas sabiedrības digitālo prasmju attīstīšanas jomā un STEM studentu skaita palielināšanā šobrīd netiek stratēģiski risinātas, un situācijas uzlabojumi var tikt panākti tikai tādā </w:t>
            </w:r>
            <w:r w:rsidRPr="00937060">
              <w:rPr>
                <w:szCs w:val="24"/>
              </w:rPr>
              <w:lastRenderedPageBreak/>
              <w:t>gadījumā, ja IZM izpratīs šo problemātiku un šī aspekta lomu Latvijas konkurētspējas kontekstā, līdz ar to VARAM vēlas sniegt IZM savu atbalstu šajā procesā. VARAM ieskatā tas ir panākams, ja tiek nodrošināta VARAM iesaiste jau sākotnējā procesā - piedaloties IZM darba grupās. Vienlaikus VARAM aicinās stratēģiski risināt jautājumu par publiskās pārvaldes visu līmeņu personāla kapacitātes celšanu, lai varētu īstenot pārvaldes digitalizāciju (iestāžu augstākā un vidējā līmeņa vadība, tiesību aktu izstrādātāji, procesu vadītāji, IKT personāls, klientu apkalpotāji), tāpat arī jāattīsta komersantu prasmes atpazīt un pielietot digitālo risinājumu iespējas savā pamatdarbībā un jārūpējas arī par digitālo risinājumu izstrādātāju kompetences celšanu.</w:t>
            </w:r>
          </w:p>
        </w:tc>
        <w:tc>
          <w:tcPr>
            <w:tcW w:w="1191" w:type="pct"/>
            <w:tcBorders>
              <w:top w:val="single" w:sz="6" w:space="0" w:color="000000"/>
              <w:left w:val="single" w:sz="6" w:space="0" w:color="000000"/>
              <w:bottom w:val="single" w:sz="6" w:space="0" w:color="000000"/>
              <w:right w:val="single" w:sz="4" w:space="0" w:color="auto"/>
            </w:tcBorders>
          </w:tcPr>
          <w:p w14:paraId="5E80A4DC" w14:textId="6B3A76BE" w:rsidR="00555C1E" w:rsidRDefault="0049646D" w:rsidP="00555C1E">
            <w:pPr>
              <w:pStyle w:val="NormalWeb"/>
              <w:spacing w:before="0" w:beforeAutospacing="0" w:after="120" w:afterAutospacing="0"/>
              <w:jc w:val="center"/>
              <w:rPr>
                <w:b/>
              </w:rPr>
            </w:pPr>
            <w:r>
              <w:rPr>
                <w:b/>
              </w:rPr>
              <w:lastRenderedPageBreak/>
              <w:t>Panākta vienošanās saskaņošanas laikā.</w:t>
            </w:r>
          </w:p>
          <w:p w14:paraId="1FAEA3BF" w14:textId="29F76F09" w:rsidR="0035508B" w:rsidRPr="00937060" w:rsidRDefault="00555C1E" w:rsidP="00FE066B">
            <w:pPr>
              <w:pStyle w:val="NormalWeb"/>
              <w:spacing w:before="0" w:beforeAutospacing="0" w:after="120" w:afterAutospacing="0"/>
              <w:jc w:val="both"/>
              <w:rPr>
                <w:b/>
              </w:rPr>
            </w:pPr>
            <w:r>
              <w:lastRenderedPageBreak/>
              <w:t>Norādām, ka 1.pielikumā ir norādīta atbildīgā institūcija un līdzatbildīgās institūcijas tiks norādītas darbības programmas informācijā par priekšnosacījumu izpildi, ko FM gatavos atsevišķi</w:t>
            </w:r>
            <w:r w:rsidR="00FE066B">
              <w:t>, aicinot institūcijas uz diskusiju š.g. augustā.</w:t>
            </w:r>
          </w:p>
        </w:tc>
        <w:tc>
          <w:tcPr>
            <w:tcW w:w="970" w:type="pct"/>
            <w:tcBorders>
              <w:left w:val="single" w:sz="4" w:space="0" w:color="auto"/>
              <w:bottom w:val="single" w:sz="4" w:space="0" w:color="auto"/>
            </w:tcBorders>
          </w:tcPr>
          <w:p w14:paraId="09CCAAFC" w14:textId="683FBCA9" w:rsidR="0035508B" w:rsidRPr="00937060" w:rsidRDefault="00555C1E" w:rsidP="0035508B">
            <w:pPr>
              <w:pStyle w:val="Title"/>
              <w:jc w:val="both"/>
              <w:outlineLvl w:val="0"/>
              <w:rPr>
                <w:sz w:val="24"/>
                <w:szCs w:val="24"/>
              </w:rPr>
            </w:pPr>
            <w:r w:rsidRPr="00937060">
              <w:rPr>
                <w:sz w:val="24"/>
                <w:szCs w:val="24"/>
              </w:rPr>
              <w:lastRenderedPageBreak/>
              <w:t xml:space="preserve">Lūdzu skatīt precizēto </w:t>
            </w:r>
            <w:r>
              <w:rPr>
                <w:sz w:val="24"/>
                <w:szCs w:val="24"/>
              </w:rPr>
              <w:t>1.pielikumu.</w:t>
            </w:r>
          </w:p>
        </w:tc>
      </w:tr>
      <w:tr w:rsidR="0035508B" w:rsidRPr="00937060" w14:paraId="63321B67" w14:textId="77777777" w:rsidTr="00C066E7">
        <w:trPr>
          <w:trHeight w:val="404"/>
        </w:trPr>
        <w:tc>
          <w:tcPr>
            <w:tcW w:w="283" w:type="pct"/>
            <w:tcBorders>
              <w:top w:val="single" w:sz="6" w:space="0" w:color="000000"/>
              <w:left w:val="single" w:sz="6" w:space="0" w:color="000000"/>
              <w:bottom w:val="single" w:sz="6" w:space="0" w:color="000000"/>
              <w:right w:val="single" w:sz="4" w:space="0" w:color="auto"/>
            </w:tcBorders>
            <w:shd w:val="clear" w:color="auto" w:fill="FFFFFF" w:themeFill="background1"/>
          </w:tcPr>
          <w:p w14:paraId="6D6782ED" w14:textId="77777777" w:rsidR="0035508B" w:rsidRPr="00937060" w:rsidRDefault="0035508B" w:rsidP="00B60E7A">
            <w:pPr>
              <w:pStyle w:val="naisc"/>
              <w:numPr>
                <w:ilvl w:val="0"/>
                <w:numId w:val="36"/>
              </w:numPr>
              <w:spacing w:before="0" w:after="0"/>
            </w:pPr>
          </w:p>
        </w:tc>
        <w:tc>
          <w:tcPr>
            <w:tcW w:w="1166" w:type="pct"/>
            <w:tcBorders>
              <w:top w:val="single" w:sz="4" w:space="0" w:color="auto"/>
              <w:left w:val="single" w:sz="4" w:space="0" w:color="auto"/>
              <w:bottom w:val="single" w:sz="4" w:space="0" w:color="auto"/>
              <w:right w:val="single" w:sz="4" w:space="0" w:color="auto"/>
            </w:tcBorders>
          </w:tcPr>
          <w:p w14:paraId="3716BFA6" w14:textId="0FA39685" w:rsidR="0035508B" w:rsidRPr="00937060" w:rsidRDefault="0035508B" w:rsidP="0035508B">
            <w:pPr>
              <w:pStyle w:val="Title"/>
              <w:ind w:hanging="33"/>
              <w:jc w:val="both"/>
              <w:outlineLvl w:val="0"/>
              <w:rPr>
                <w:sz w:val="24"/>
                <w:szCs w:val="24"/>
              </w:rPr>
            </w:pPr>
            <w:r w:rsidRPr="00937060">
              <w:rPr>
                <w:sz w:val="24"/>
                <w:szCs w:val="24"/>
              </w:rPr>
              <w:t>Informatīvā ziņojuma 1.pielikums</w:t>
            </w:r>
          </w:p>
        </w:tc>
        <w:tc>
          <w:tcPr>
            <w:tcW w:w="1390" w:type="pct"/>
            <w:tcBorders>
              <w:top w:val="single" w:sz="6" w:space="0" w:color="000000"/>
              <w:left w:val="single" w:sz="4" w:space="0" w:color="auto"/>
              <w:bottom w:val="single" w:sz="6" w:space="0" w:color="000000"/>
              <w:right w:val="single" w:sz="6" w:space="0" w:color="000000"/>
            </w:tcBorders>
          </w:tcPr>
          <w:p w14:paraId="39770E57" w14:textId="77777777" w:rsidR="0035508B" w:rsidRPr="00937060" w:rsidRDefault="0035508B" w:rsidP="0035508B">
            <w:pPr>
              <w:pStyle w:val="NoSpacing"/>
              <w:rPr>
                <w:b/>
                <w:u w:val="single"/>
              </w:rPr>
            </w:pPr>
            <w:r w:rsidRPr="00937060">
              <w:rPr>
                <w:b/>
                <w:u w:val="single"/>
              </w:rPr>
              <w:t>Labklājības ministrija:</w:t>
            </w:r>
          </w:p>
          <w:p w14:paraId="7EC31F63" w14:textId="486509BC" w:rsidR="0035508B" w:rsidRPr="00937060" w:rsidRDefault="0035508B" w:rsidP="0035508B">
            <w:pPr>
              <w:pStyle w:val="NoSpacing"/>
              <w:rPr>
                <w:b/>
                <w:szCs w:val="24"/>
                <w:u w:val="single"/>
              </w:rPr>
            </w:pPr>
            <w:r w:rsidRPr="00937060">
              <w:rPr>
                <w:szCs w:val="24"/>
              </w:rPr>
              <w:t xml:space="preserve">Lūdzam precizēt 1.pielikuma 10.punktu “Stratēģiskās politikas satvars aktīvai darba tirgus politikai”, ieguldījumu priekšnosacījumu kritēriju izpildes termiņus norādot atbilstoši LM š.g. februārī sniegtajai informācijai, proti, 1.kritērija izpildes termiņu norādot 09.02.2011., 2.kritērija izpildes termiņu norādot 31.03.2017., 4.kritērija izpildes termiņu norādot </w:t>
            </w:r>
            <w:r w:rsidRPr="00937060">
              <w:rPr>
                <w:szCs w:val="24"/>
              </w:rPr>
              <w:lastRenderedPageBreak/>
              <w:t>01.07.2002. un 5.kritērija izpildes termiņu norādot 09.02.2011.</w:t>
            </w:r>
          </w:p>
        </w:tc>
        <w:tc>
          <w:tcPr>
            <w:tcW w:w="1191" w:type="pct"/>
            <w:tcBorders>
              <w:top w:val="single" w:sz="6" w:space="0" w:color="000000"/>
              <w:left w:val="single" w:sz="6" w:space="0" w:color="000000"/>
              <w:bottom w:val="single" w:sz="6" w:space="0" w:color="000000"/>
              <w:right w:val="single" w:sz="4" w:space="0" w:color="auto"/>
            </w:tcBorders>
          </w:tcPr>
          <w:p w14:paraId="1E98223C" w14:textId="0DB99FB7" w:rsidR="0035508B" w:rsidRPr="00937060" w:rsidRDefault="00555C1E" w:rsidP="0035508B">
            <w:pPr>
              <w:pStyle w:val="NormalWeb"/>
              <w:spacing w:before="0" w:beforeAutospacing="0" w:after="120" w:afterAutospacing="0"/>
              <w:jc w:val="center"/>
              <w:rPr>
                <w:b/>
              </w:rPr>
            </w:pPr>
            <w:r>
              <w:rPr>
                <w:b/>
              </w:rPr>
              <w:lastRenderedPageBreak/>
              <w:t xml:space="preserve">Ņemts vērā. </w:t>
            </w:r>
          </w:p>
        </w:tc>
        <w:tc>
          <w:tcPr>
            <w:tcW w:w="970" w:type="pct"/>
            <w:tcBorders>
              <w:left w:val="single" w:sz="4" w:space="0" w:color="auto"/>
              <w:bottom w:val="single" w:sz="4" w:space="0" w:color="auto"/>
            </w:tcBorders>
          </w:tcPr>
          <w:p w14:paraId="4D6628A5" w14:textId="04664DEE" w:rsidR="0035508B" w:rsidRPr="00937060" w:rsidRDefault="00555C1E" w:rsidP="0035508B">
            <w:pPr>
              <w:pStyle w:val="Title"/>
              <w:jc w:val="both"/>
              <w:outlineLvl w:val="0"/>
              <w:rPr>
                <w:sz w:val="24"/>
                <w:szCs w:val="24"/>
              </w:rPr>
            </w:pPr>
            <w:r w:rsidRPr="00937060">
              <w:rPr>
                <w:sz w:val="24"/>
                <w:szCs w:val="24"/>
              </w:rPr>
              <w:t xml:space="preserve">Lūdzu skatīt precizēto </w:t>
            </w:r>
            <w:r>
              <w:rPr>
                <w:sz w:val="24"/>
                <w:szCs w:val="24"/>
              </w:rPr>
              <w:t>1.pielikumu.</w:t>
            </w:r>
          </w:p>
        </w:tc>
      </w:tr>
      <w:tr w:rsidR="0035508B" w:rsidRPr="00937060" w14:paraId="4433EA62" w14:textId="77777777" w:rsidTr="00C066E7">
        <w:trPr>
          <w:trHeight w:val="404"/>
        </w:trPr>
        <w:tc>
          <w:tcPr>
            <w:tcW w:w="283" w:type="pct"/>
            <w:tcBorders>
              <w:top w:val="single" w:sz="6" w:space="0" w:color="000000"/>
              <w:left w:val="single" w:sz="6" w:space="0" w:color="000000"/>
              <w:bottom w:val="single" w:sz="6" w:space="0" w:color="000000"/>
              <w:right w:val="single" w:sz="4" w:space="0" w:color="auto"/>
            </w:tcBorders>
            <w:shd w:val="clear" w:color="auto" w:fill="FFFFFF" w:themeFill="background1"/>
          </w:tcPr>
          <w:p w14:paraId="2976E98E" w14:textId="77777777" w:rsidR="0035508B" w:rsidRPr="00937060" w:rsidRDefault="0035508B" w:rsidP="00B60E7A">
            <w:pPr>
              <w:pStyle w:val="naisc"/>
              <w:numPr>
                <w:ilvl w:val="0"/>
                <w:numId w:val="36"/>
              </w:numPr>
              <w:spacing w:before="0" w:after="0"/>
            </w:pPr>
          </w:p>
        </w:tc>
        <w:tc>
          <w:tcPr>
            <w:tcW w:w="1166" w:type="pct"/>
            <w:tcBorders>
              <w:top w:val="single" w:sz="4" w:space="0" w:color="auto"/>
              <w:left w:val="single" w:sz="4" w:space="0" w:color="auto"/>
              <w:bottom w:val="single" w:sz="4" w:space="0" w:color="auto"/>
              <w:right w:val="single" w:sz="4" w:space="0" w:color="auto"/>
            </w:tcBorders>
          </w:tcPr>
          <w:p w14:paraId="51EAAC93" w14:textId="38792632" w:rsidR="0035508B" w:rsidRPr="00937060" w:rsidRDefault="0035508B" w:rsidP="0035508B">
            <w:pPr>
              <w:pStyle w:val="Title"/>
              <w:ind w:hanging="33"/>
              <w:jc w:val="both"/>
              <w:outlineLvl w:val="0"/>
              <w:rPr>
                <w:sz w:val="24"/>
                <w:szCs w:val="24"/>
              </w:rPr>
            </w:pPr>
            <w:r w:rsidRPr="00937060">
              <w:rPr>
                <w:sz w:val="24"/>
                <w:szCs w:val="24"/>
              </w:rPr>
              <w:t>Informatīvā ziņojuma 1.pielikums</w:t>
            </w:r>
          </w:p>
        </w:tc>
        <w:tc>
          <w:tcPr>
            <w:tcW w:w="1390" w:type="pct"/>
            <w:tcBorders>
              <w:top w:val="single" w:sz="6" w:space="0" w:color="000000"/>
              <w:left w:val="single" w:sz="4" w:space="0" w:color="auto"/>
              <w:bottom w:val="single" w:sz="6" w:space="0" w:color="000000"/>
              <w:right w:val="single" w:sz="6" w:space="0" w:color="000000"/>
            </w:tcBorders>
          </w:tcPr>
          <w:p w14:paraId="5543B30F" w14:textId="77777777" w:rsidR="0035508B" w:rsidRPr="00937060" w:rsidRDefault="0035508B" w:rsidP="0035508B">
            <w:pPr>
              <w:pStyle w:val="NoSpacing"/>
              <w:rPr>
                <w:b/>
                <w:u w:val="single"/>
              </w:rPr>
            </w:pPr>
            <w:r w:rsidRPr="00937060">
              <w:rPr>
                <w:b/>
                <w:u w:val="single"/>
              </w:rPr>
              <w:t>Labklājības ministrija:</w:t>
            </w:r>
          </w:p>
          <w:p w14:paraId="32EB61E3" w14:textId="11EAF5F9" w:rsidR="0035508B" w:rsidRPr="00937060" w:rsidRDefault="0035508B" w:rsidP="0035508B">
            <w:pPr>
              <w:spacing w:after="120"/>
              <w:jc w:val="both"/>
            </w:pPr>
            <w:r w:rsidRPr="00937060">
              <w:t>Lūdzam precizēt 1.pielikuma 15.punktu “Stratēģiskās politikas satvars veselības aizsardzības jomā”, kolonnā “Plānotais izpildes termiņš” aiz skaitļiem “2. 31.12.2021.” papildinot ar skaitļiem “3. 31.12.2021.”</w:t>
            </w:r>
          </w:p>
        </w:tc>
        <w:tc>
          <w:tcPr>
            <w:tcW w:w="1191" w:type="pct"/>
            <w:tcBorders>
              <w:top w:val="single" w:sz="6" w:space="0" w:color="000000"/>
              <w:left w:val="single" w:sz="6" w:space="0" w:color="000000"/>
              <w:bottom w:val="single" w:sz="6" w:space="0" w:color="000000"/>
              <w:right w:val="single" w:sz="4" w:space="0" w:color="auto"/>
            </w:tcBorders>
          </w:tcPr>
          <w:p w14:paraId="0B171D2E" w14:textId="754D6776" w:rsidR="0035508B" w:rsidRPr="00937060" w:rsidRDefault="00BF7DBC" w:rsidP="0035508B">
            <w:pPr>
              <w:pStyle w:val="NormalWeb"/>
              <w:spacing w:before="0" w:beforeAutospacing="0" w:after="120" w:afterAutospacing="0"/>
              <w:jc w:val="center"/>
              <w:rPr>
                <w:b/>
              </w:rPr>
            </w:pPr>
            <w:r>
              <w:rPr>
                <w:b/>
              </w:rPr>
              <w:t xml:space="preserve">Ņemts vērā. </w:t>
            </w:r>
          </w:p>
        </w:tc>
        <w:tc>
          <w:tcPr>
            <w:tcW w:w="970" w:type="pct"/>
            <w:tcBorders>
              <w:left w:val="single" w:sz="4" w:space="0" w:color="auto"/>
              <w:bottom w:val="single" w:sz="4" w:space="0" w:color="auto"/>
            </w:tcBorders>
          </w:tcPr>
          <w:p w14:paraId="10C72DC7" w14:textId="6AFC70D9" w:rsidR="0035508B" w:rsidRPr="00937060" w:rsidRDefault="00BF7DBC" w:rsidP="0035508B">
            <w:pPr>
              <w:pStyle w:val="Title"/>
              <w:jc w:val="both"/>
              <w:outlineLvl w:val="0"/>
              <w:rPr>
                <w:sz w:val="24"/>
                <w:szCs w:val="24"/>
              </w:rPr>
            </w:pPr>
            <w:r w:rsidRPr="00937060">
              <w:rPr>
                <w:sz w:val="24"/>
                <w:szCs w:val="24"/>
              </w:rPr>
              <w:t xml:space="preserve">Lūdzu skatīt precizēto </w:t>
            </w:r>
            <w:r>
              <w:rPr>
                <w:sz w:val="24"/>
                <w:szCs w:val="24"/>
              </w:rPr>
              <w:t>1.pielikumu.</w:t>
            </w:r>
          </w:p>
        </w:tc>
      </w:tr>
      <w:tr w:rsidR="0035508B" w:rsidRPr="00937060" w14:paraId="3046B0AE" w14:textId="77777777" w:rsidTr="00C066E7">
        <w:trPr>
          <w:trHeight w:val="404"/>
        </w:trPr>
        <w:tc>
          <w:tcPr>
            <w:tcW w:w="283" w:type="pct"/>
            <w:tcBorders>
              <w:top w:val="single" w:sz="6" w:space="0" w:color="000000"/>
              <w:left w:val="single" w:sz="6" w:space="0" w:color="000000"/>
              <w:bottom w:val="single" w:sz="6" w:space="0" w:color="000000"/>
              <w:right w:val="single" w:sz="4" w:space="0" w:color="auto"/>
            </w:tcBorders>
            <w:shd w:val="clear" w:color="auto" w:fill="FFFFFF" w:themeFill="background1"/>
          </w:tcPr>
          <w:p w14:paraId="0FFE4E8E" w14:textId="77777777" w:rsidR="0035508B" w:rsidRPr="00937060" w:rsidRDefault="0035508B" w:rsidP="00B60E7A">
            <w:pPr>
              <w:pStyle w:val="naisc"/>
              <w:numPr>
                <w:ilvl w:val="0"/>
                <w:numId w:val="36"/>
              </w:numPr>
              <w:spacing w:before="0" w:after="0"/>
            </w:pPr>
          </w:p>
        </w:tc>
        <w:tc>
          <w:tcPr>
            <w:tcW w:w="1166" w:type="pct"/>
            <w:tcBorders>
              <w:top w:val="single" w:sz="4" w:space="0" w:color="auto"/>
              <w:left w:val="single" w:sz="4" w:space="0" w:color="auto"/>
              <w:bottom w:val="single" w:sz="4" w:space="0" w:color="auto"/>
              <w:right w:val="single" w:sz="4" w:space="0" w:color="auto"/>
            </w:tcBorders>
          </w:tcPr>
          <w:p w14:paraId="2A1861B3" w14:textId="769C81DF" w:rsidR="0035508B" w:rsidRPr="00937060" w:rsidRDefault="0035508B" w:rsidP="0035508B">
            <w:pPr>
              <w:pStyle w:val="Title"/>
              <w:ind w:hanging="33"/>
              <w:jc w:val="both"/>
              <w:outlineLvl w:val="0"/>
              <w:rPr>
                <w:sz w:val="24"/>
                <w:szCs w:val="24"/>
              </w:rPr>
            </w:pPr>
            <w:r w:rsidRPr="00937060">
              <w:rPr>
                <w:sz w:val="24"/>
                <w:szCs w:val="24"/>
              </w:rPr>
              <w:t>Informatīvā ziņojuma 1.pielikums</w:t>
            </w:r>
          </w:p>
        </w:tc>
        <w:tc>
          <w:tcPr>
            <w:tcW w:w="1390" w:type="pct"/>
            <w:tcBorders>
              <w:top w:val="single" w:sz="6" w:space="0" w:color="000000"/>
              <w:left w:val="single" w:sz="4" w:space="0" w:color="auto"/>
              <w:bottom w:val="single" w:sz="6" w:space="0" w:color="000000"/>
              <w:right w:val="single" w:sz="6" w:space="0" w:color="000000"/>
            </w:tcBorders>
          </w:tcPr>
          <w:p w14:paraId="6D2F4BA9" w14:textId="77777777" w:rsidR="0035508B" w:rsidRPr="00937060" w:rsidRDefault="0035508B" w:rsidP="0035508B">
            <w:pPr>
              <w:widowControl w:val="0"/>
              <w:jc w:val="both"/>
              <w:rPr>
                <w:b/>
                <w:szCs w:val="25"/>
                <w:u w:val="single"/>
              </w:rPr>
            </w:pPr>
            <w:r w:rsidRPr="00937060">
              <w:rPr>
                <w:b/>
                <w:szCs w:val="25"/>
                <w:u w:val="single"/>
              </w:rPr>
              <w:t>Tieslietu ministrija:</w:t>
            </w:r>
          </w:p>
          <w:p w14:paraId="0468C7C7" w14:textId="4A7671C7" w:rsidR="0035508B" w:rsidRPr="00937060" w:rsidRDefault="0035508B" w:rsidP="0035508B">
            <w:pPr>
              <w:pStyle w:val="NoSpacing"/>
              <w:rPr>
                <w:b/>
                <w:u w:val="single"/>
              </w:rPr>
            </w:pPr>
            <w:r w:rsidRPr="00937060">
              <w:rPr>
                <w:szCs w:val="25"/>
              </w:rPr>
              <w:t>Vēršam uzmanību, ka 2019. gada 22. februārī Finanšu ministrijai tika nosūtīta vēstule Nr.1-13.4/642 "Par ESI fondu 2021.-2027. gada plānošanas perioda veicinošajiem nosacījumiem (</w:t>
            </w:r>
            <w:r w:rsidRPr="00937060">
              <w:rPr>
                <w:i/>
                <w:szCs w:val="25"/>
              </w:rPr>
              <w:t>enabling conditions</w:t>
            </w:r>
            <w:r w:rsidRPr="00937060">
              <w:rPr>
                <w:szCs w:val="25"/>
              </w:rPr>
              <w:t xml:space="preserve">)", kurā Tieslietu ministrija paskaidroja, ka nav panākta vienošanās starp Tieslietu ministriju un Ārlietu ministriju par vadošo iestādi Eiropas Savienības Pamattiesību hartas īstenošanas jautājumos. Savukārt 2019. gada 12. aprīļa vēstulē Nr. 21-28/1325 "Par Eiropas Savienības fondu veicinošo nosacījumu izpildi 2021.-2027. gada plānošanas periodā" Tieslietu ministrija norādīja, ka saskaņā ar 2009. gada 7. aprīļa noteikumiem Nr. 300 "Ministru kabineta kārtības rullis" praktiski ikviens tiesību akta projekts pirms apstiprināšanas valdībā tiek saskaņots ar Tieslietu ministriju, tai skaitā </w:t>
            </w:r>
            <w:r w:rsidRPr="00937060">
              <w:rPr>
                <w:szCs w:val="25"/>
              </w:rPr>
              <w:lastRenderedPageBreak/>
              <w:t>izvērtējot tiesību akta projekta atbilstību Latvijas Republikas saistošajiem starptautiskajiem, t.i. arī Eiropas Savienības tiesību aktiem. Līdz ar to, ņemot vērā ministrijas kompetences jomu, lūgums kā galveno atbildīgo iestādi par Eiropas Savienības Pamattiesību hartas efektīvu piemērošanu un īstenošanu noteikt Ārlietu ministriju.</w:t>
            </w:r>
          </w:p>
        </w:tc>
        <w:tc>
          <w:tcPr>
            <w:tcW w:w="1191" w:type="pct"/>
            <w:tcBorders>
              <w:top w:val="single" w:sz="6" w:space="0" w:color="000000"/>
              <w:left w:val="single" w:sz="6" w:space="0" w:color="000000"/>
              <w:bottom w:val="single" w:sz="6" w:space="0" w:color="000000"/>
              <w:right w:val="single" w:sz="4" w:space="0" w:color="auto"/>
            </w:tcBorders>
          </w:tcPr>
          <w:p w14:paraId="39A955DA" w14:textId="04D483C4" w:rsidR="0035508B" w:rsidRDefault="00AE4929" w:rsidP="0035508B">
            <w:pPr>
              <w:pStyle w:val="NormalWeb"/>
              <w:spacing w:before="0" w:beforeAutospacing="0" w:after="120" w:afterAutospacing="0"/>
              <w:jc w:val="center"/>
              <w:rPr>
                <w:b/>
              </w:rPr>
            </w:pPr>
            <w:r>
              <w:rPr>
                <w:b/>
              </w:rPr>
              <w:lastRenderedPageBreak/>
              <w:t>Ņe</w:t>
            </w:r>
            <w:r w:rsidR="00E1315F">
              <w:rPr>
                <w:b/>
              </w:rPr>
              <w:t xml:space="preserve">mts vērā. </w:t>
            </w:r>
          </w:p>
          <w:p w14:paraId="4F160401" w14:textId="377C19FA" w:rsidR="00E1315F" w:rsidRDefault="00E1315F" w:rsidP="00E1315F">
            <w:pPr>
              <w:pStyle w:val="NormalWeb"/>
              <w:spacing w:before="0" w:beforeAutospacing="0" w:after="120" w:afterAutospacing="0"/>
              <w:jc w:val="both"/>
              <w:rPr>
                <w:b/>
              </w:rPr>
            </w:pPr>
            <w:r w:rsidRPr="00E1315F">
              <w:t xml:space="preserve">Norādām, ka </w:t>
            </w:r>
            <w:r w:rsidR="00AE4929">
              <w:t>par atbildīgo institūciju tiek noteikta Finanšu ministrija</w:t>
            </w:r>
            <w:r w:rsidR="00A8278F">
              <w:t xml:space="preserve">. </w:t>
            </w:r>
            <w:r w:rsidR="00AE4929">
              <w:t xml:space="preserve">Ārlietu ministrija un Tieslietu ministrija būs līdzatbildīgas minētā priekšnosacījuma izpildē. </w:t>
            </w:r>
          </w:p>
          <w:p w14:paraId="42C4D62A" w14:textId="4535BD3B" w:rsidR="00E1315F" w:rsidRPr="00937060" w:rsidRDefault="00E1315F" w:rsidP="0035508B">
            <w:pPr>
              <w:pStyle w:val="NormalWeb"/>
              <w:spacing w:before="0" w:beforeAutospacing="0" w:after="120" w:afterAutospacing="0"/>
              <w:jc w:val="center"/>
              <w:rPr>
                <w:b/>
              </w:rPr>
            </w:pPr>
          </w:p>
        </w:tc>
        <w:tc>
          <w:tcPr>
            <w:tcW w:w="970" w:type="pct"/>
            <w:tcBorders>
              <w:left w:val="single" w:sz="4" w:space="0" w:color="auto"/>
              <w:bottom w:val="single" w:sz="4" w:space="0" w:color="auto"/>
            </w:tcBorders>
          </w:tcPr>
          <w:p w14:paraId="1458DDEE" w14:textId="474E0308" w:rsidR="0035508B" w:rsidRPr="00937060" w:rsidRDefault="00E1315F" w:rsidP="0035508B">
            <w:pPr>
              <w:pStyle w:val="Title"/>
              <w:jc w:val="both"/>
              <w:outlineLvl w:val="0"/>
              <w:rPr>
                <w:sz w:val="24"/>
                <w:szCs w:val="24"/>
              </w:rPr>
            </w:pPr>
            <w:r w:rsidRPr="00937060">
              <w:rPr>
                <w:sz w:val="24"/>
                <w:szCs w:val="24"/>
              </w:rPr>
              <w:t xml:space="preserve">Lūdzu skatīt precizēto </w:t>
            </w:r>
            <w:r>
              <w:rPr>
                <w:sz w:val="24"/>
                <w:szCs w:val="24"/>
              </w:rPr>
              <w:t>1.pielikumu.</w:t>
            </w:r>
          </w:p>
        </w:tc>
      </w:tr>
      <w:tr w:rsidR="009E34AB" w:rsidRPr="00937060" w14:paraId="6CFF9C87" w14:textId="77777777" w:rsidTr="00C066E7">
        <w:trPr>
          <w:trHeight w:val="404"/>
        </w:trPr>
        <w:tc>
          <w:tcPr>
            <w:tcW w:w="283" w:type="pct"/>
            <w:tcBorders>
              <w:top w:val="single" w:sz="6" w:space="0" w:color="000000"/>
              <w:left w:val="single" w:sz="6" w:space="0" w:color="000000"/>
              <w:bottom w:val="single" w:sz="6" w:space="0" w:color="000000"/>
              <w:right w:val="single" w:sz="4" w:space="0" w:color="auto"/>
            </w:tcBorders>
            <w:shd w:val="clear" w:color="auto" w:fill="FFFFFF" w:themeFill="background1"/>
          </w:tcPr>
          <w:p w14:paraId="3B103198" w14:textId="77777777" w:rsidR="009E34AB" w:rsidRPr="00937060" w:rsidRDefault="009E34AB" w:rsidP="00B60E7A">
            <w:pPr>
              <w:pStyle w:val="naisc"/>
              <w:numPr>
                <w:ilvl w:val="0"/>
                <w:numId w:val="36"/>
              </w:numPr>
              <w:spacing w:before="0" w:after="0"/>
            </w:pPr>
          </w:p>
        </w:tc>
        <w:tc>
          <w:tcPr>
            <w:tcW w:w="1166" w:type="pct"/>
            <w:tcBorders>
              <w:top w:val="single" w:sz="4" w:space="0" w:color="auto"/>
              <w:left w:val="single" w:sz="4" w:space="0" w:color="auto"/>
              <w:bottom w:val="single" w:sz="4" w:space="0" w:color="auto"/>
              <w:right w:val="single" w:sz="4" w:space="0" w:color="auto"/>
            </w:tcBorders>
          </w:tcPr>
          <w:p w14:paraId="774B76BF" w14:textId="3CF7C1F9" w:rsidR="009E34AB" w:rsidRPr="00937060" w:rsidRDefault="009E34AB" w:rsidP="009E34AB">
            <w:pPr>
              <w:pStyle w:val="Title"/>
              <w:ind w:hanging="33"/>
              <w:jc w:val="both"/>
              <w:outlineLvl w:val="0"/>
              <w:rPr>
                <w:sz w:val="24"/>
                <w:szCs w:val="24"/>
              </w:rPr>
            </w:pPr>
            <w:r w:rsidRPr="00937060">
              <w:rPr>
                <w:sz w:val="24"/>
                <w:szCs w:val="24"/>
              </w:rPr>
              <w:t>Informatīvā ziņojuma 1.pielikums</w:t>
            </w:r>
          </w:p>
        </w:tc>
        <w:tc>
          <w:tcPr>
            <w:tcW w:w="1390" w:type="pct"/>
            <w:tcBorders>
              <w:top w:val="single" w:sz="6" w:space="0" w:color="000000"/>
              <w:left w:val="single" w:sz="4" w:space="0" w:color="auto"/>
              <w:bottom w:val="single" w:sz="6" w:space="0" w:color="000000"/>
              <w:right w:val="single" w:sz="6" w:space="0" w:color="000000"/>
            </w:tcBorders>
          </w:tcPr>
          <w:p w14:paraId="177186ED" w14:textId="77777777" w:rsidR="009E34AB" w:rsidRPr="00937060" w:rsidRDefault="009E34AB" w:rsidP="009E34AB">
            <w:pPr>
              <w:jc w:val="both"/>
              <w:rPr>
                <w:rFonts w:eastAsia="Calibri"/>
                <w:b/>
                <w:u w:val="single"/>
              </w:rPr>
            </w:pPr>
            <w:r w:rsidRPr="00937060">
              <w:rPr>
                <w:rFonts w:eastAsia="Calibri"/>
                <w:b/>
                <w:u w:val="single"/>
              </w:rPr>
              <w:t>Kultūras ministrija:</w:t>
            </w:r>
          </w:p>
          <w:p w14:paraId="7951F84D" w14:textId="77777777" w:rsidR="009E34AB" w:rsidRPr="00937060" w:rsidRDefault="009E34AB" w:rsidP="009E34AB">
            <w:pPr>
              <w:jc w:val="both"/>
              <w:rPr>
                <w:rFonts w:eastAsia="Calibri"/>
              </w:rPr>
            </w:pPr>
            <w:r w:rsidRPr="00937060">
              <w:rPr>
                <w:rFonts w:eastAsia="Calibri"/>
              </w:rPr>
              <w:t>ņemot vērā to, ka nesen veiktie Eiropas līmeņa pētījumi apliecina nepieciešamību pieņemt visaptverošu un integrētu pieeju kultūras mantojuma attīstībai, integrējot rūpes par kultūras mantojumu, tā aizsardzību un atbilstošu izmantošanu visās politikas jomās, programmās un rīcībās un tādejādi sniedzot ieguldījumu visās četrās ilgtspējīgas attīstības jomās: ekonomikā, kultūrā, sabiedrībā un vidē</w:t>
            </w:r>
            <w:r w:rsidRPr="00937060">
              <w:rPr>
                <w:rFonts w:eastAsia="Calibri"/>
                <w:vertAlign w:val="superscript"/>
              </w:rPr>
              <w:footnoteReference w:customMarkFollows="1" w:id="6"/>
              <w:t>[1]</w:t>
            </w:r>
            <w:r w:rsidRPr="00937060">
              <w:rPr>
                <w:rFonts w:eastAsia="Calibri"/>
              </w:rPr>
              <w:t>, lūdzam Ziņojumā paredzēt Kultūras ministriju kā līdzatbildīgo ministriju par šādu politikas mērķu priekšnosacījumu izpildi:</w:t>
            </w:r>
          </w:p>
          <w:p w14:paraId="58AFA9BE" w14:textId="77777777" w:rsidR="009E34AB" w:rsidRPr="00937060" w:rsidRDefault="009E34AB" w:rsidP="009E34AB">
            <w:pPr>
              <w:jc w:val="both"/>
              <w:rPr>
                <w:rFonts w:eastAsia="Calibri"/>
              </w:rPr>
            </w:pPr>
          </w:p>
          <w:p w14:paraId="660FBCF5" w14:textId="77777777" w:rsidR="009E34AB" w:rsidRPr="00937060" w:rsidRDefault="009E34AB" w:rsidP="009E34AB">
            <w:pPr>
              <w:numPr>
                <w:ilvl w:val="0"/>
                <w:numId w:val="26"/>
              </w:numPr>
              <w:ind w:left="321" w:hanging="321"/>
              <w:jc w:val="both"/>
              <w:rPr>
                <w:rFonts w:eastAsia="Calibri"/>
              </w:rPr>
            </w:pPr>
            <w:r w:rsidRPr="00937060">
              <w:rPr>
                <w:rFonts w:eastAsia="Calibri"/>
              </w:rPr>
              <w:t xml:space="preserve">Lūdzam politikas mērķa </w:t>
            </w:r>
            <w:r w:rsidRPr="00937060">
              <w:rPr>
                <w:rFonts w:eastAsia="Calibri"/>
                <w:b/>
                <w:bCs/>
              </w:rPr>
              <w:t>„Viedāka Eiropa”, veicinot inovatīvas un viedas ekonomiskās pārmaiņas”</w:t>
            </w:r>
            <w:r w:rsidRPr="00937060">
              <w:rPr>
                <w:rFonts w:eastAsia="Calibri"/>
              </w:rPr>
              <w:t xml:space="preserve"> ietvaros plānotā ieguldījumu </w:t>
            </w:r>
            <w:r w:rsidRPr="00937060">
              <w:rPr>
                <w:rFonts w:eastAsia="Calibri"/>
              </w:rPr>
              <w:lastRenderedPageBreak/>
              <w:t xml:space="preserve">priekšnosacījuma </w:t>
            </w:r>
            <w:r w:rsidRPr="00937060">
              <w:rPr>
                <w:rFonts w:eastAsia="Calibri"/>
                <w:u w:val="single"/>
              </w:rPr>
              <w:t>Nr.1 „Labas pārvaldības valsts vai reģionālā viedās specializācijas stratēģija”</w:t>
            </w:r>
            <w:r w:rsidRPr="00937060">
              <w:rPr>
                <w:rFonts w:eastAsia="Calibri"/>
              </w:rPr>
              <w:t xml:space="preserve"> izpildē kā līdzatbildīgo ministriju noteikt Kultūras ministriju. Norādām, ka šobrīd Viedās specializācijas stratēģijā radošās industrijas ir noteiktas kā horizontālā prioritāte un pasaulē radošās industrijas tiek pozicionētas kā virzītājspēks inovāciju un ekonomiskās konkurences stimulēšanai ne tikai sektora iekšienē, bet arī ekonomikā kopumā, pastarpināti sekmējot arī citu ekonomikas sektoru attīstību (</w:t>
            </w:r>
            <w:r w:rsidRPr="00937060">
              <w:rPr>
                <w:rFonts w:eastAsia="Calibri"/>
                <w:i/>
                <w:iCs/>
              </w:rPr>
              <w:t>spillover effects</w:t>
            </w:r>
            <w:r w:rsidRPr="00937060">
              <w:rPr>
                <w:rFonts w:eastAsia="Calibri"/>
              </w:rPr>
              <w:t xml:space="preserve">). Mūsdienu ekonomikā veiksmīga inovāciju attīstība radošajās industrijās ir likumsakarīgi saistīta ar dizaina integrēšanu. Dizains ne tikai kā radošs process vai gala produkts, bet arī inovāciju ieviešanas instruments un domāšanas veids, ko stratēģiski izmanto, ietverot ekonomiskos, sociālos, kā arī ilgtspējīgas attīstības aspektus. Dizains un dizaina domāšanas metodes labvēlīgi ietekmē starpdisciplināru partnerību modeļa izveidi arī izglītībā, nodrošinot uz plašu darba tirgu un starpnozaru sadarbību orientētu izglītības procesu. CSP dati (atlase veikta pēc </w:t>
            </w:r>
            <w:r w:rsidRPr="00937060">
              <w:rPr>
                <w:rFonts w:eastAsia="Calibri"/>
              </w:rPr>
              <w:lastRenderedPageBreak/>
              <w:t>pētījumā „Latvijas radošo industriju darbība un priekšnoteikumi nozares mērķtiecīgai attīstībai”</w:t>
            </w:r>
            <w:r w:rsidRPr="00937060">
              <w:rPr>
                <w:rFonts w:eastAsia="Calibri"/>
                <w:vertAlign w:val="superscript"/>
              </w:rPr>
              <w:footnoteReference w:customMarkFollows="1" w:id="7"/>
              <w:t xml:space="preserve">[2] </w:t>
            </w:r>
            <w:r w:rsidRPr="00937060">
              <w:rPr>
                <w:rFonts w:eastAsia="Calibri"/>
              </w:rPr>
              <w:t>izstrādātās metodikas) liecina, ka 2017.gadā radošo industriju un ar tām saistītajās nozarēs darbojušies 19 188 uzņēmumi ar kopējo apgrozījumu – 3 445 101 000, pievienoto vērtību – 1 128 402 000 un 78 964 nodarbinātajiem darbiniekiem. Latvijas radošo industriju potenciālu apliecina arī augstie rādītāji Eurostat statistikā par kultūras preču un pakalpojumu daļu valsts kopējā eksportā – 2017.gadā Latvija ir 6.vietā starp ES valstīm</w:t>
            </w:r>
            <w:r w:rsidRPr="00937060">
              <w:rPr>
                <w:rFonts w:eastAsia="Calibri"/>
                <w:vertAlign w:val="superscript"/>
              </w:rPr>
              <w:footnoteReference w:customMarkFollows="1" w:id="8"/>
              <w:t>[3]</w:t>
            </w:r>
            <w:r w:rsidRPr="00937060">
              <w:rPr>
                <w:rFonts w:eastAsia="Calibri"/>
              </w:rPr>
              <w:t>;</w:t>
            </w:r>
          </w:p>
          <w:p w14:paraId="04D0E22B" w14:textId="44C23AC1" w:rsidR="009E34AB" w:rsidRPr="00937060" w:rsidRDefault="009E34AB" w:rsidP="009E34AB">
            <w:pPr>
              <w:numPr>
                <w:ilvl w:val="0"/>
                <w:numId w:val="26"/>
              </w:numPr>
              <w:ind w:left="321" w:hanging="321"/>
              <w:jc w:val="both"/>
              <w:rPr>
                <w:rFonts w:eastAsia="Calibri"/>
              </w:rPr>
            </w:pPr>
            <w:r w:rsidRPr="00937060">
              <w:rPr>
                <w:rFonts w:eastAsia="Calibri"/>
              </w:rPr>
              <w:t>Vēršam uzmanību, ka Kultūras ministrija un Nacionālā kultūras mantojuma pārvalde ir atbildīga par kultūras mantojuma saglabāšanas un attīstīšanas politikas izstrādi un ieviešanu. Ņemot vērā to, ka Latvija dalībvalstu pozīcijā par Eiropas Parlamenta un Padomes regulu par Eiropas Reģionālās attīstības fondu un Kohēzijas fondu (</w:t>
            </w:r>
            <w:r w:rsidRPr="00937060">
              <w:rPr>
                <w:rFonts w:eastAsia="Calibri"/>
                <w:shd w:val="clear" w:color="auto" w:fill="FFFFFF"/>
              </w:rPr>
              <w:t>2018/0206(COD)</w:t>
            </w:r>
            <w:r w:rsidRPr="00937060">
              <w:rPr>
                <w:rFonts w:eastAsia="Calibri"/>
              </w:rPr>
              <w:t xml:space="preserve">) ir piekritusi, ka, Latvija var atbalstīt PRES priekšlikumu ERAF/KF regulas 2. </w:t>
            </w:r>
            <w:r w:rsidRPr="00937060">
              <w:rPr>
                <w:rFonts w:eastAsia="Calibri"/>
              </w:rPr>
              <w:lastRenderedPageBreak/>
              <w:t>politikas mērķim papildināt ar ieguldījumiem kultūras un dabas mantojumā, ļaujot īstenot nacionāli nozīmīgus projektus ārpus vietējā līmeņa teritoriālajām stratēģijām, lūdzam politikas mērķa</w:t>
            </w:r>
            <w:r w:rsidRPr="00937060">
              <w:rPr>
                <w:rFonts w:eastAsia="Calibri"/>
                <w:b/>
                <w:bCs/>
              </w:rPr>
              <w:t xml:space="preserve"> „Zaļāka Eiropa ar zemām oglekļa emisijām, veicinot tīru un taisnīgu enerģētikas pārkārtošanu, “zaļas” un “zilas” investīcijas, aprites ekonomiku, pielāgošanos klimata pārmaiņām un risku novēršanu un pārvaldību” </w:t>
            </w:r>
            <w:r w:rsidRPr="00937060">
              <w:rPr>
                <w:rFonts w:eastAsia="Calibri"/>
              </w:rPr>
              <w:t xml:space="preserve">ietvaros plānotā ieguldījumu priekšnosacījuma </w:t>
            </w:r>
            <w:r w:rsidRPr="00937060">
              <w:rPr>
                <w:rFonts w:eastAsia="Calibri"/>
                <w:u w:val="single"/>
              </w:rPr>
              <w:t>Nr.2 „Stratēģiskās politikas satvars, kas atbalsta dzīvojamo un nedzīvojamo ēku renovēšanu energoefektivitātes uzlabošanai”</w:t>
            </w:r>
            <w:r w:rsidRPr="00937060">
              <w:rPr>
                <w:rFonts w:eastAsia="Calibri"/>
                <w:b/>
                <w:bCs/>
              </w:rPr>
              <w:t xml:space="preserve"> </w:t>
            </w:r>
            <w:r w:rsidRPr="00937060">
              <w:rPr>
                <w:rFonts w:eastAsia="Calibri"/>
              </w:rPr>
              <w:t>izpildē noteikt Kultūras ministriju kā līdzatbildīgo ministriju. Latvijā, tāpat kā citur Eiropā kultūras mantojumu apdraud demogrāfiskās un klimata pārmaiņas, cilvēka un dabas izraisītas katastrofas, ekonomiskās grūtības, atsevišķi iecietības un demokrātijas vērtību pārkāpumi, kas prasa saskaņotas atbildes un rīcību. Eiropas Padomes Kultūras mantojuma stratēģija 21.gadsimtam</w:t>
            </w:r>
            <w:r w:rsidRPr="00937060">
              <w:rPr>
                <w:rFonts w:eastAsia="Calibri"/>
                <w:vertAlign w:val="superscript"/>
              </w:rPr>
              <w:footnoteReference w:customMarkFollows="1" w:id="9"/>
              <w:t>[4]</w:t>
            </w:r>
            <w:r w:rsidRPr="00937060">
              <w:rPr>
                <w:rFonts w:eastAsia="Calibri"/>
              </w:rPr>
              <w:t xml:space="preserve"> definē integrētas pieejas ietvaru, aicinot veidot </w:t>
            </w:r>
            <w:r w:rsidRPr="00937060">
              <w:rPr>
                <w:rFonts w:eastAsia="Calibri"/>
              </w:rPr>
              <w:lastRenderedPageBreak/>
              <w:t>kultūras mantojuma saikni ar sociālo un labas pārvaldības komponenti, ekonomisko un teritorijas attīstību, kā arī zināšanām un izglītību, rekomendējot attīstīt tādus publiskos pakalpojumus, kas spēj kultūras mantojumu kā ilgtspējīgu resursu inovatīvi izmantot cilvēka dzīves kvalitātes uzlabošanā. Papildus jāņem vērā, ka kultūras mantojuma objektu energoefektivitātes uzlabošanai nepieciešams lietot ēkas vēsturiskajam statusam atbilstošus siltinājuma tehnoloģiju risinājumus. Tāpat Kultūras pieminekļu restaurācija ir vērsta uz konservācijas gaitā atgūstamo materiālu atkārtotu izmantošanu;</w:t>
            </w:r>
          </w:p>
          <w:p w14:paraId="6F98D6B1" w14:textId="77777777" w:rsidR="009E34AB" w:rsidRDefault="009E34AB" w:rsidP="009E34AB">
            <w:pPr>
              <w:numPr>
                <w:ilvl w:val="0"/>
                <w:numId w:val="26"/>
              </w:numPr>
              <w:ind w:left="321" w:hanging="321"/>
              <w:jc w:val="both"/>
              <w:rPr>
                <w:rFonts w:eastAsia="Calibri"/>
              </w:rPr>
            </w:pPr>
            <w:r w:rsidRPr="00937060">
              <w:rPr>
                <w:rFonts w:eastAsia="Calibri"/>
              </w:rPr>
              <w:t xml:space="preserve">Profesionālās kultūrizglītības jomas uzdevums ir gan bērnu un jauniešu profesionālās kultūrizglītības virzienu apguve, gan personības un talantu attīstība kopumā. Atbilstoši Kultūras ministrijas datiem uz 2018.gada 1.janvāri profesionālās ievirzes kultūrizglītību 159 akreditētās izglītības iestādēs apgūst kopumā apgūst 27 985 audzēkņi, no tiem 146 pašvaldību dibinātās iestādēs izglītojas 24 320 audzēkņu, 8 KM dibinātās iestādē – 2 925 audzēkņi, piecās privātajās iestādēs – 466 audzēkņi. Secināms, </w:t>
            </w:r>
            <w:r w:rsidRPr="00937060">
              <w:rPr>
                <w:rFonts w:eastAsia="Calibri"/>
              </w:rPr>
              <w:lastRenderedPageBreak/>
              <w:t xml:space="preserve">ka profesionālās ievirzes līmeņa kultūrizglītību apgūst 13% no kopējā skolēnu skaita. Pēdējo piecu gadu laikā audzēkņu skaits profesionālās ievirzes kultūrizglītības programmas pieaudzis par 7%, vidēji gadā pieaugot par 2%. Kultūras ministrija un Nacionālais kultūras centrs īsteno profesionālās kultūrizglītības politikas ieviešanu. Vienlaikus Kultūras ministrijas uzdevums ir attīstīt pasākumus kultūrizglītībā iesaistīto pedagogu kompetences paaugstināšanai, sniegt atbalstu kultūras iestādēs nodarbināto profesionālajai pilnveidei, tai skaitā digitālo prasmju un kompetenču attīstībai, tālākizglītībai, un ārpus formālās izglītības iegūtu kompetenču atzīšanai. Šobrīd tiek pārskatīts nacionālais pasūtījums, lai pārskatītu, pilnveidotu un optimizētu izglītības programmu saturu, līdzsvarojot mācību procesa izmaksas ar izglītības kvalitātes rādītājiem. Līdz ar to nepieciešams politikas mērķa </w:t>
            </w:r>
            <w:r w:rsidRPr="00937060">
              <w:rPr>
                <w:rFonts w:eastAsia="Calibri"/>
                <w:b/>
                <w:bCs/>
              </w:rPr>
              <w:t xml:space="preserve">„Sociālāka Eiropa, īstenojot Eiropas sociālo tiesību pīlāru” </w:t>
            </w:r>
            <w:r w:rsidRPr="00937060">
              <w:rPr>
                <w:rFonts w:eastAsia="Calibri"/>
              </w:rPr>
              <w:t xml:space="preserve">ieguldījuma priekšnosacījuma </w:t>
            </w:r>
            <w:r w:rsidRPr="00937060">
              <w:rPr>
                <w:rFonts w:eastAsia="Calibri"/>
                <w:u w:val="single"/>
              </w:rPr>
              <w:t xml:space="preserve">Nr.12 „Stratēģiskās politikas satvars izglītībai un apmācībai visos </w:t>
            </w:r>
            <w:r w:rsidRPr="00937060">
              <w:rPr>
                <w:rFonts w:eastAsia="Calibri"/>
                <w:u w:val="single"/>
              </w:rPr>
              <w:lastRenderedPageBreak/>
              <w:t>līmeņos”</w:t>
            </w:r>
            <w:r w:rsidRPr="00937060">
              <w:rPr>
                <w:rFonts w:eastAsia="Calibri"/>
              </w:rPr>
              <w:t xml:space="preserve"> izpildē kā līdzatbildīgo noteikt Kultūras ministriju, veicinot vienotu profesionālās izglītības izaicinājumu, vajadzību un attīstības kartējumu.</w:t>
            </w:r>
          </w:p>
          <w:p w14:paraId="0CAB8359" w14:textId="77777777" w:rsidR="007C4A85" w:rsidRDefault="007C4A85" w:rsidP="007C4A85">
            <w:pPr>
              <w:jc w:val="both"/>
              <w:rPr>
                <w:b/>
                <w:u w:val="single"/>
              </w:rPr>
            </w:pPr>
            <w:r w:rsidRPr="003B1E10">
              <w:rPr>
                <w:b/>
                <w:u w:val="single"/>
              </w:rPr>
              <w:t>Kultūras ministrijas 29.05.2019. iebildums:</w:t>
            </w:r>
          </w:p>
          <w:p w14:paraId="0FFA593A" w14:textId="77777777" w:rsidR="007C4A85" w:rsidRDefault="007C4A85" w:rsidP="007C4A85">
            <w:pPr>
              <w:jc w:val="both"/>
              <w:rPr>
                <w:b/>
                <w:u w:val="single"/>
              </w:rPr>
            </w:pPr>
          </w:p>
          <w:p w14:paraId="36A70B7F" w14:textId="4B685BA7" w:rsidR="007C4A85" w:rsidRDefault="007C4A85" w:rsidP="007C4A85">
            <w:pPr>
              <w:jc w:val="both"/>
            </w:pPr>
            <w:r>
              <w:t xml:space="preserve">1. Lūdzam politikas mērķa </w:t>
            </w:r>
            <w:r>
              <w:rPr>
                <w:b/>
                <w:bCs/>
              </w:rPr>
              <w:t>„Viedāka Eiropa”, veicinot inovatīvas un viedas ekonomiskās pārmaiņas”</w:t>
            </w:r>
            <w:r>
              <w:t xml:space="preserve"> ietvaros plānotā ieguldījumu priekšnosacījuma </w:t>
            </w:r>
            <w:r>
              <w:rPr>
                <w:u w:val="single"/>
              </w:rPr>
              <w:t>Nr.1 „Labas pārvaldības valsts vai reģionālā viedās specializācijas stratēģija”</w:t>
            </w:r>
            <w:r>
              <w:t xml:space="preserve"> izpildē kā līdzatbildīgo ministriju noteikt Kultūras ministriju. Norādām, ka šobrīd Viedās specializācijas stratēģijā radošās industrijas ir noteiktas kā horizontālā prioritāte un pasaulē radošās industrijas tiek pozicionētas kā virzītājspēks inovāciju un ekonomiskās konkurences stimulēšanai ne tikai sektora iekšienē, bet arī ekonomikā kopumā, pastarpināti sekmējot arī citu ekonomikas sektoru attīstību (</w:t>
            </w:r>
            <w:r>
              <w:rPr>
                <w:i/>
                <w:iCs/>
              </w:rPr>
              <w:t>spillover effects</w:t>
            </w:r>
            <w:r>
              <w:t xml:space="preserve">). Mūsdienu ekonomikā veiksmīga inovāciju attīstība radošajās industrijās ir likumsakarīgi saistīta ar dizaina integrēšanu. Dizains ne tikai kā radošs process vai gala produkts, bet arī inovāciju ieviešanas instruments un domāšanas veids, ko stratēģiski izmanto, ietverot ekonomiskos, </w:t>
            </w:r>
            <w:r>
              <w:lastRenderedPageBreak/>
              <w:t>sociālos, kā arī ilgtspējīgas attīstības aspektus. Dizains un dizaina domāšanas metodes labvēlīgi ietekmē starpdisciplināru partnerību modeļa izveidi arī izglītībā, nodrošinot uz plašu darba tirgu un starpnozaru sadarbību orientētu izglītības procesu. CSP dati (atlase veikta pēc pētījumā „Latvijas radošo industriju darbība un priekšnoteikumi nozares mērķtiecīgai attīstībai”</w:t>
            </w:r>
            <w:r>
              <w:rPr>
                <w:vertAlign w:val="superscript"/>
              </w:rPr>
              <w:footnoteReference w:customMarkFollows="1" w:id="10"/>
              <w:t xml:space="preserve">[2] </w:t>
            </w:r>
            <w:r>
              <w:t>izstrādātās metodikas) liecina, ka 2017.gadā radošo industriju un ar tām saistītajās nozarēs darbojušies 19 188 uzņēmumi ar kopējo apgrozījumu – 3 445 101 000, pievienoto vērtību – 1 128 402 000 un 78 964 nodarbinātajiem darbiniekiem. Latvijas radošo industriju potenciālu apliecina arī augstie rādītāji Eurostat statistikā par kultūras preču un pakalpojumu daļu valsts kopējā eksportā – 2017.gadā Latvija ir 6.vietā starp ES valstīm</w:t>
            </w:r>
            <w:r>
              <w:rPr>
                <w:vertAlign w:val="superscript"/>
              </w:rPr>
              <w:footnoteReference w:customMarkFollows="1" w:id="11"/>
              <w:t>[3]</w:t>
            </w:r>
            <w:r>
              <w:t>;</w:t>
            </w:r>
          </w:p>
          <w:p w14:paraId="4170E1CD" w14:textId="77777777" w:rsidR="007C4A85" w:rsidRDefault="007C4A85" w:rsidP="007C4A85">
            <w:pPr>
              <w:ind w:left="321"/>
              <w:jc w:val="both"/>
            </w:pPr>
          </w:p>
          <w:p w14:paraId="22934712" w14:textId="6CC5EBF8" w:rsidR="007C4A85" w:rsidRDefault="007C4A85" w:rsidP="007C4A85">
            <w:pPr>
              <w:jc w:val="both"/>
            </w:pPr>
            <w:r>
              <w:t xml:space="preserve">2.Vēršam uzmanību, ka Kultūras ministrija un Nacionālā kultūras mantojuma pārvalde ir atbildīga par kultūras mantojuma saglabāšanas un attīstīšanas politikas izstrādi un ieviešanu. Ņemot vērā to, ka Latvija </w:t>
            </w:r>
            <w:r>
              <w:lastRenderedPageBreak/>
              <w:t>dalībvalstu pozīcijā par Eiropas Parlamenta un Padomes regulu par Eiropas Reģionālās attīstības fondu un Kohēzijas fondu (</w:t>
            </w:r>
            <w:r>
              <w:rPr>
                <w:shd w:val="clear" w:color="auto" w:fill="FFFFFF"/>
              </w:rPr>
              <w:t>2018/0206(COD)</w:t>
            </w:r>
            <w:r>
              <w:t>) ir piekritusi, ka, Latvija var atbalstīt PRES priekšlikumu ERAF/KF regulas 2. politikas mērķim papildināt ar ieguldījumiem kultūras un dabas mantojumā, ļaujot īstenot nacionāli nozīmīgus projektus ārpus vietējā līmeņa teritoriālajām stratēģijām, lūdzam politikas mērķa</w:t>
            </w:r>
            <w:r>
              <w:rPr>
                <w:b/>
                <w:bCs/>
              </w:rPr>
              <w:t xml:space="preserve"> „Zaļāka Eiropa ar zemām oglekļa emisijām, veicinot tīru un taisnīgu enerģētikas pārkārtošanu, “zaļas” un “zilas” investīcijas, aprites ekonomiku, pielāgošanos klimata pārmaiņām un risku novēršanu un pārvaldību” </w:t>
            </w:r>
            <w:r>
              <w:t xml:space="preserve">ietvaros plānotā ieguldījumu priekšnosacījuma </w:t>
            </w:r>
            <w:r>
              <w:rPr>
                <w:u w:val="single"/>
              </w:rPr>
              <w:t>Nr.2 „Stratēģiskās politikas satvars, kas atbalsta dzīvojamo un nedzīvojamo ēku renovēšanu energoefektivitātes uzlabošanai”</w:t>
            </w:r>
            <w:r>
              <w:rPr>
                <w:b/>
                <w:bCs/>
              </w:rPr>
              <w:t xml:space="preserve"> </w:t>
            </w:r>
            <w:r>
              <w:t xml:space="preserve">izpildē noteikt Kultūras ministriju kā līdzatbildīgo ministriju. Latvijā, tāpat kā citur Eiropā kultūras mantojumu apdraud demogrāfiskās un klimata pārmaiņas, cilvēka un dabas izraisītas katastrofas, ekonomiskās grūtības, atsevišķi iecietības un demokrātijas vērtību pārkāpumi, kas prasa saskaņotas atbildes un rīcību. Eiropas Padomes Kultūras mantojuma </w:t>
            </w:r>
            <w:r>
              <w:lastRenderedPageBreak/>
              <w:t>stratēģija 21.gadsimtam</w:t>
            </w:r>
            <w:r>
              <w:rPr>
                <w:vertAlign w:val="superscript"/>
              </w:rPr>
              <w:footnoteReference w:customMarkFollows="1" w:id="12"/>
              <w:t>[4]</w:t>
            </w:r>
            <w:r>
              <w:t xml:space="preserve"> definē integrētas pieejas ietvaru, aicinot veidot kultūras mantojuma saikni ar sociālo un labas pārvaldības komponenti, ekonomisko un teritorijas attīstību, kā arī zināšanām un izglītību, rekomendējot attīstīt tādus publiskos pakalpojumus, kas spēj kultūras mantojumu kā ilgtspējīgu resursu inovatīvi izmantot cilvēka dzīves kvalitātes uzlabošanā. Papildus jāņem vērā, ka kultūras mantojuma objektu energoefektivitātes uzlabošanai nepieciešams lietot ēkas vēsturiskajam statusam atbilstošus siltinājuma tehnoloģiju risinājumus. Tāpat Kultūras pieminekļu restaurācija ir vērsta uz konservācijas gaitā atgūstamo materiālu atkārtotu izmantošanu.</w:t>
            </w:r>
            <w:r>
              <w:rPr>
                <w:b/>
                <w:bCs/>
              </w:rPr>
              <w:t xml:space="preserve"> </w:t>
            </w:r>
            <w:r>
              <w:t xml:space="preserve">Tāpat lūdzam ieguldījumu priekšnosacījuma </w:t>
            </w:r>
            <w:r>
              <w:rPr>
                <w:u w:val="single"/>
              </w:rPr>
              <w:t>Nr. 5  “Efektīvs katastrofu risku pārvaldības satvars”</w:t>
            </w:r>
            <w:r>
              <w:t xml:space="preserve"> </w:t>
            </w:r>
            <w:r>
              <w:rPr>
                <w:shd w:val="clear" w:color="auto" w:fill="FFFFFF"/>
              </w:rPr>
              <w:t xml:space="preserve">izpildē kā līdzatbildīgo ministriju noteikt Kultūras ministriju. </w:t>
            </w:r>
            <w:r>
              <w:t xml:space="preserve">Starptautiskā ekspertu sabiedrība ir atzinusi, ka šobrīd kultūras mantojumu nākotnē visvairāk apdraud klimata pārmaiņas, cilvēka un dabas radītās katastrofas, tāpēc nepieciešams meklēt risinājumus.  Eiropas Savienības ekspertu grupa ir izstrādājusi ieteikumus, uzsverot starpnozaru </w:t>
            </w:r>
            <w:r>
              <w:lastRenderedPageBreak/>
              <w:t xml:space="preserve">koordinācijas, sadarbības un zināšanu attīstības nepieciešamību, kā arī preventīvo darbību veikšanu kultūras pieminekļu aizsardzībai pret katastrofām. Šāda nepieciešamība apliecinājās arī nesenajā Parīzes Dievmātes katedrāles ugunsgrēkā. 2019.gada 3.maijā Parīzē Eiropas Savienības ārlietu un kultūras ministri, pieņemot kopīgu deklarāciju, vienojās </w:t>
            </w:r>
            <w:r>
              <w:rPr>
                <w:i/>
                <w:iCs/>
              </w:rPr>
              <w:t>meklēt iespējas nodrošināt finansējumu apdraudētā kultūras mantojuma saglabāšanā un gatavībai kritiskām situācijām</w:t>
            </w:r>
            <w:r>
              <w:t xml:space="preserve">, kā arī integrēt kultūras mantojuma saglabāšanu visās attiecīgajās politikas jomās, veicinot iesaistīto izpratni un sadarbību; </w:t>
            </w:r>
          </w:p>
          <w:p w14:paraId="071A4FF7" w14:textId="77777777" w:rsidR="007C4A85" w:rsidRDefault="007C4A85" w:rsidP="007C4A85">
            <w:pPr>
              <w:ind w:left="321"/>
              <w:jc w:val="both"/>
            </w:pPr>
          </w:p>
          <w:p w14:paraId="177A62B7" w14:textId="69FABCF5" w:rsidR="007C4A85" w:rsidRDefault="007C4A85" w:rsidP="007C4A85">
            <w:pPr>
              <w:jc w:val="both"/>
            </w:pPr>
            <w:r>
              <w:t xml:space="preserve">3.Profesionālās kultūrizglītības jomas uzdevums ir gan bērnu un jauniešu profesionālās kultūrizglītības virzienu apguve, gan personības un talantu attīstība kopumā. Atbilstoši Kultūras ministrijas datiem uz 2018.gada 1.janvāri profesionālās ievirzes kultūrizglītību 159 akreditētās izglītības iestādēs apgūst kopumā apgūst 27 985 audzēkņi, no tiem 146 pašvaldību dibinātās iestādēs izglītojas 24 320 audzēkņu, 8 KM dibinātās iestādē – 2 925 audzēkņi, piecās privātajās iestādēs – 466 audzēkņi. Secināms, ka profesionālās ievirzes līmeņa kultūrizglītību apgūst 13% no </w:t>
            </w:r>
            <w:r>
              <w:lastRenderedPageBreak/>
              <w:t xml:space="preserve">kopējā skolēnu skaita. Pēdējo piecu gadu laikā audzēkņu skaits profesionālās ievirzes kultūrizglītības programmas pieaudzis par 7%, vidēji gadā pieaugot par 2%. Kultūras ministrija un Nacionālais kultūras centrs īsteno profesionālās kultūrizglītības politikas ieviešanu. Vienlaikus Kultūras ministrijas uzdevums ir attīstīt pasākumus kultūrizglītībā iesaistīto pedagogu kompetences paaugstināšanai, sniegt atbalstu kultūras iestādēs nodarbināto profesionālajai pilnveidei, tai skaitā digitālo prasmju un kompetenču attīstībai, tālākizglītībai, un ārpus formālās izglītības iegūtu kompetenču atzīšanai. Šobrīd tiek pārskatīts nacionālais pasūtījums, lai pārskatītu, pilnveidotu un optimizētu izglītības programmu saturu, līdzsvarojot mācību procesa izmaksas ar izglītības kvalitātes rādītājiem. Līdz ar to nepieciešams politikas mērķa </w:t>
            </w:r>
            <w:r>
              <w:rPr>
                <w:b/>
                <w:bCs/>
              </w:rPr>
              <w:t xml:space="preserve">„Sociālāka Eiropa, īstenojot Eiropas sociālo tiesību pīlāru” </w:t>
            </w:r>
            <w:r>
              <w:t xml:space="preserve">ieguldījuma priekšnosacījuma </w:t>
            </w:r>
            <w:r>
              <w:rPr>
                <w:u w:val="single"/>
              </w:rPr>
              <w:t>Nr.12 „Stratēģiskās politikas satvars izglītībai un apmācībai visos līmeņos”</w:t>
            </w:r>
            <w:r>
              <w:t xml:space="preserve"> izpildē kā līdzatbildīgo noteikt Kultūras ministriju, veicinot vienotu profesionālās izglītības izaicinājumu, vajadzību un attīstības kartējumu.</w:t>
            </w:r>
          </w:p>
          <w:p w14:paraId="5864B46B" w14:textId="0A99C43F" w:rsidR="007C4A85" w:rsidRDefault="007C4A85" w:rsidP="007C4A85">
            <w:pPr>
              <w:jc w:val="both"/>
            </w:pPr>
            <w:r>
              <w:lastRenderedPageBreak/>
              <w:t xml:space="preserve">Papildus vēršam uzmanību, ka ieguldījumu priekšnosacījuma </w:t>
            </w:r>
            <w:r>
              <w:rPr>
                <w:u w:val="single"/>
              </w:rPr>
              <w:t>Nr.14 „Romu integrācijas valsts stratēģija”</w:t>
            </w:r>
            <w:r>
              <w:t xml:space="preserve"> formulējums neatbilst Latvijas praksei romu integrācijas jomā. Latvijā pašlaik netiek īstenota Romu integrācijas valsts stratēģija. Ņemot vērā Latvijas sociāli ekonomisko situāciju, īpaši izglītības, nodarbinātības, veselības aprūpes un mājokļu jomā, un nelielo romu iedzīvotāju skaitu valstī, Kultūras ministrija, sadarbībā ar līdzatbildīgajām ministrijām, kopš 2012.gada īsteno Eiropas vadlīnijām atbilstošu nacionālās politikas pasākumu kopumu romu integrācijai. Šie pasākumi līdz 2018.gadam tika iekļauti Nacionālās identitātes, pilsoniskās sabiedrības un integrācijas politikas pamatnostādnēs 2012.–2018.gadam, bet no 2019.gada Nacionālās identitātes, pilsoniskās sabiedrības un integrācijas politikas īstenošanas plānā 2019.-2020.gadam.</w:t>
            </w:r>
          </w:p>
          <w:p w14:paraId="2A6A625C" w14:textId="77777777" w:rsidR="007C4A85" w:rsidRDefault="007C4A85" w:rsidP="007C4A85">
            <w:pPr>
              <w:ind w:firstLine="321"/>
              <w:jc w:val="both"/>
            </w:pPr>
            <w:r>
              <w:t xml:space="preserve">Nākamajā plānošanas periodā nav plānots izstrādāt šādu atsevišķu Romu integrācijas valsts stratēģiju, bet iekļaut nacionālās politikas pasākumu kopumu romu integrācijai kopējā sabiedrības integrācijas un saliedētības politikas ietvarā. </w:t>
            </w:r>
          </w:p>
          <w:p w14:paraId="4E4C3611" w14:textId="77777777" w:rsidR="007C4A85" w:rsidRDefault="007C4A85" w:rsidP="007C4A85">
            <w:pPr>
              <w:jc w:val="both"/>
            </w:pPr>
            <w:r>
              <w:t xml:space="preserve">Lūdzam Ieguldījumu priekšnosacījumu Nr.14 „Romu integrācijas valsts stratēģija” vietā izteikt šādā redakcijā </w:t>
            </w:r>
            <w:r>
              <w:lastRenderedPageBreak/>
              <w:t>„Nacionālās politikas pasākumu kopums romu integrācijai” un izteikt apakšpunktus šādā redakcijā:</w:t>
            </w:r>
          </w:p>
          <w:p w14:paraId="5CC3116D" w14:textId="77777777" w:rsidR="007C4A85" w:rsidRDefault="007C4A85" w:rsidP="00EA4721">
            <w:pPr>
              <w:ind w:left="360" w:hanging="39"/>
              <w:jc w:val="both"/>
            </w:pPr>
            <w:r>
              <w:t>„Ir sagatavots nacionālās politikas pasākumu kopums romu integrācijai, kas ir daļa no kopējā sabiedrības integrācijas un saliedētības politikas ietvara, un kas ietver:</w:t>
            </w:r>
          </w:p>
          <w:p w14:paraId="428067FA" w14:textId="77777777" w:rsidR="007C4A85" w:rsidRDefault="007C4A85" w:rsidP="00EA4721">
            <w:pPr>
              <w:ind w:left="360" w:hanging="39"/>
              <w:jc w:val="both"/>
            </w:pPr>
            <w:r>
              <w:t>1.    pasākumus romu integrācijas paātrināšanai, segregācijas novēršanai un izskaušanai, ņemot vērā dzimumu dimensiju un gados jauno romu stāvokli, kā arī sākotnējo vērtību, izmērāmu starpposma mērķu un galamērķus noteikšanu;</w:t>
            </w:r>
          </w:p>
          <w:p w14:paraId="5321B271" w14:textId="77777777" w:rsidR="007C4A85" w:rsidRDefault="007C4A85" w:rsidP="00EA4721">
            <w:pPr>
              <w:ind w:left="360" w:hanging="39"/>
              <w:jc w:val="both"/>
            </w:pPr>
            <w:r>
              <w:t>2.    romu integrācijas pasākumu uzraudzības, novērtēšanas un pārskatīšanas kārtību;</w:t>
            </w:r>
          </w:p>
          <w:p w14:paraId="4EC783F9" w14:textId="77777777" w:rsidR="007C4A85" w:rsidRDefault="007C4A85" w:rsidP="00EA4721">
            <w:pPr>
              <w:ind w:left="360" w:hanging="39"/>
              <w:jc w:val="both"/>
            </w:pPr>
            <w:r>
              <w:t>3.    kārtību romu iekļaušanas pasākumu integrēšanai reģionālajā un vietējā līmenī;</w:t>
            </w:r>
          </w:p>
          <w:p w14:paraId="571EC903" w14:textId="77777777" w:rsidR="007C4A85" w:rsidRDefault="007C4A85" w:rsidP="00EA4721">
            <w:pPr>
              <w:ind w:left="360" w:hanging="39"/>
              <w:jc w:val="both"/>
            </w:pPr>
            <w:r>
              <w:t>4.    kārtību, kādā nodrošina, ka tās izstrādi, īstenošanu, uzraudzību un pārskatīšanu veic ciešā sadarbībā ar romu pilsonisko sabiedrību un visām citām ieinteresētajām personām, tostarp reģionālajā un vietējā līmenī.”</w:t>
            </w:r>
          </w:p>
          <w:p w14:paraId="531264F6" w14:textId="77777777" w:rsidR="007C4A85" w:rsidRDefault="007C4A85" w:rsidP="007C4A85">
            <w:pPr>
              <w:jc w:val="both"/>
            </w:pPr>
          </w:p>
          <w:p w14:paraId="03B8084A" w14:textId="77777777" w:rsidR="007C4A85" w:rsidRDefault="007C4A85" w:rsidP="007C4A85">
            <w:pPr>
              <w:jc w:val="both"/>
            </w:pPr>
            <w:r>
              <w:t xml:space="preserve">Turklāt, ņemot vērā, ka atbilstoši 2011.gada 5.aprīļa ES programmai attiecībā uz romu integrācijas valsts </w:t>
            </w:r>
            <w:r>
              <w:lastRenderedPageBreak/>
              <w:t xml:space="preserve">stratēģijām līdz 2020.gadam 3.punktam romu integrācijas pamatjomas ir izglītības, nodarbinātības, veselības un mājokļa jomas, lūdzam kā atbildīgās iestādes norādīt arī Labklājības ministriju, Veselības ministriju un Ekonomikas ministriju. </w:t>
            </w:r>
          </w:p>
          <w:p w14:paraId="2517781F" w14:textId="6893FA68" w:rsidR="007C4A85" w:rsidRPr="00937060" w:rsidRDefault="007C4A85" w:rsidP="007C4A85">
            <w:pPr>
              <w:jc w:val="both"/>
              <w:rPr>
                <w:rFonts w:eastAsia="Calibri"/>
              </w:rPr>
            </w:pPr>
          </w:p>
        </w:tc>
        <w:tc>
          <w:tcPr>
            <w:tcW w:w="1191" w:type="pct"/>
            <w:tcBorders>
              <w:top w:val="single" w:sz="6" w:space="0" w:color="000000"/>
              <w:left w:val="single" w:sz="6" w:space="0" w:color="000000"/>
              <w:bottom w:val="single" w:sz="6" w:space="0" w:color="000000"/>
              <w:right w:val="single" w:sz="4" w:space="0" w:color="auto"/>
            </w:tcBorders>
          </w:tcPr>
          <w:p w14:paraId="26A87BBA" w14:textId="5791F34A" w:rsidR="009E34AB" w:rsidRDefault="00AE6E25" w:rsidP="009E34AB">
            <w:pPr>
              <w:pStyle w:val="NormalWeb"/>
              <w:spacing w:before="0" w:beforeAutospacing="0" w:after="120" w:afterAutospacing="0"/>
              <w:jc w:val="center"/>
              <w:rPr>
                <w:b/>
              </w:rPr>
            </w:pPr>
            <w:r>
              <w:rPr>
                <w:b/>
              </w:rPr>
              <w:lastRenderedPageBreak/>
              <w:t>Panākta vienošanās saskaņošanas laikā.</w:t>
            </w:r>
          </w:p>
          <w:p w14:paraId="533D0D4E" w14:textId="1F54082A" w:rsidR="009E34AB" w:rsidRDefault="009E34AB" w:rsidP="00FE066B">
            <w:pPr>
              <w:pStyle w:val="NormalWeb"/>
              <w:spacing w:before="0" w:beforeAutospacing="0" w:after="120" w:afterAutospacing="0"/>
              <w:jc w:val="both"/>
            </w:pPr>
            <w:r>
              <w:t>Norādām, ka 1.pielikumā ir norādīta atbildīgā institūcija un līdzatbildīgās institūcijas tiks norādītas darbības programmas informācijā par priekšnosacījumu izpildi, ko FM gatavos atsevišķi</w:t>
            </w:r>
            <w:r w:rsidR="00FE066B">
              <w:t>, aicinot institūcijas uz diskusiju š.g. augustā.</w:t>
            </w:r>
          </w:p>
          <w:p w14:paraId="26FC7B0B" w14:textId="1BF9D624" w:rsidR="007C4A85" w:rsidRDefault="00AE6E25" w:rsidP="007C4A85">
            <w:pPr>
              <w:pStyle w:val="NormalWeb"/>
              <w:spacing w:before="0" w:beforeAutospacing="0" w:after="120" w:afterAutospacing="0"/>
              <w:jc w:val="both"/>
            </w:pPr>
            <w:r>
              <w:t xml:space="preserve">Paralēli, ņemot vērā, ka Pārresoru koordinācijas centrs vēl nav izvirzījis valsts pamatnostādņu sarakstu, saskaņā ar kuru varētu definēt konkrēto dokumentu ES KP fondu priekšnosacījuma izpildei, nevaram arī informatīvo ziņojumu papildināt ar līdzatbildīgajiem. Līdz ar to </w:t>
            </w:r>
            <w:r w:rsidRPr="00AE6E25">
              <w:t xml:space="preserve">plānojam jūsu pieteikumus </w:t>
            </w:r>
            <w:r w:rsidRPr="00AE6E25">
              <w:lastRenderedPageBreak/>
              <w:t xml:space="preserve">līdzatbildības noteikšanai konkrēto politiku definējošo dokumentu izstrādei nosūtīt </w:t>
            </w:r>
            <w:r>
              <w:t>Pārresoru koordinācijas centram pamatnostādņu saraksta veidošanai un līdzatbildības definēšanai.</w:t>
            </w:r>
            <w:r w:rsidR="007C4A85">
              <w:t xml:space="preserve"> </w:t>
            </w:r>
          </w:p>
          <w:p w14:paraId="1068051F" w14:textId="06A3CFF4" w:rsidR="00A85503" w:rsidRPr="00937060" w:rsidRDefault="00A85503" w:rsidP="007C4A85">
            <w:pPr>
              <w:pStyle w:val="NormalWeb"/>
              <w:spacing w:before="0" w:beforeAutospacing="0" w:after="120" w:afterAutospacing="0"/>
              <w:jc w:val="both"/>
              <w:rPr>
                <w:b/>
              </w:rPr>
            </w:pPr>
            <w:r>
              <w:t xml:space="preserve">Papildus skaidrojam, ka priekšnosacījumu redakcijas ir norādītas atbilstoši Kopējās fondu regulas priekšlikumā noteiktajam. </w:t>
            </w:r>
          </w:p>
        </w:tc>
        <w:tc>
          <w:tcPr>
            <w:tcW w:w="970" w:type="pct"/>
            <w:tcBorders>
              <w:left w:val="single" w:sz="4" w:space="0" w:color="auto"/>
              <w:bottom w:val="single" w:sz="4" w:space="0" w:color="auto"/>
            </w:tcBorders>
          </w:tcPr>
          <w:p w14:paraId="01993129" w14:textId="03DD53B2" w:rsidR="009E34AB" w:rsidRPr="00937060" w:rsidRDefault="009E34AB" w:rsidP="009E34AB">
            <w:pPr>
              <w:pStyle w:val="Title"/>
              <w:jc w:val="both"/>
              <w:outlineLvl w:val="0"/>
              <w:rPr>
                <w:sz w:val="24"/>
                <w:szCs w:val="24"/>
              </w:rPr>
            </w:pPr>
            <w:r w:rsidRPr="00937060">
              <w:rPr>
                <w:sz w:val="24"/>
                <w:szCs w:val="24"/>
              </w:rPr>
              <w:lastRenderedPageBreak/>
              <w:t xml:space="preserve">Lūdzu skatīt precizēto </w:t>
            </w:r>
            <w:r>
              <w:rPr>
                <w:sz w:val="24"/>
                <w:szCs w:val="24"/>
              </w:rPr>
              <w:t>1.pielikumu.</w:t>
            </w:r>
          </w:p>
        </w:tc>
      </w:tr>
      <w:tr w:rsidR="00C521E8" w:rsidRPr="00937060" w14:paraId="414BD4E9" w14:textId="77777777" w:rsidTr="00C066E7">
        <w:trPr>
          <w:trHeight w:val="404"/>
        </w:trPr>
        <w:tc>
          <w:tcPr>
            <w:tcW w:w="283" w:type="pct"/>
            <w:tcBorders>
              <w:top w:val="single" w:sz="6" w:space="0" w:color="000000"/>
              <w:left w:val="single" w:sz="6" w:space="0" w:color="000000"/>
              <w:bottom w:val="single" w:sz="6" w:space="0" w:color="000000"/>
              <w:right w:val="single" w:sz="4" w:space="0" w:color="auto"/>
            </w:tcBorders>
            <w:shd w:val="clear" w:color="auto" w:fill="FFFFFF" w:themeFill="background1"/>
          </w:tcPr>
          <w:p w14:paraId="0E0427D2" w14:textId="77777777" w:rsidR="00C521E8" w:rsidRPr="00937060" w:rsidRDefault="00C521E8" w:rsidP="00B60E7A">
            <w:pPr>
              <w:pStyle w:val="naisc"/>
              <w:numPr>
                <w:ilvl w:val="0"/>
                <w:numId w:val="36"/>
              </w:numPr>
              <w:spacing w:before="0" w:after="0"/>
            </w:pPr>
          </w:p>
        </w:tc>
        <w:tc>
          <w:tcPr>
            <w:tcW w:w="1166" w:type="pct"/>
            <w:tcBorders>
              <w:top w:val="single" w:sz="4" w:space="0" w:color="auto"/>
              <w:left w:val="single" w:sz="4" w:space="0" w:color="auto"/>
              <w:bottom w:val="single" w:sz="4" w:space="0" w:color="auto"/>
              <w:right w:val="single" w:sz="4" w:space="0" w:color="auto"/>
            </w:tcBorders>
          </w:tcPr>
          <w:p w14:paraId="5078666D" w14:textId="4AD084D3" w:rsidR="00C521E8" w:rsidRPr="00937060" w:rsidRDefault="00C521E8" w:rsidP="0035508B">
            <w:pPr>
              <w:pStyle w:val="Title"/>
              <w:ind w:hanging="33"/>
              <w:jc w:val="both"/>
              <w:outlineLvl w:val="0"/>
              <w:rPr>
                <w:sz w:val="24"/>
                <w:szCs w:val="24"/>
              </w:rPr>
            </w:pPr>
            <w:r w:rsidRPr="00937060">
              <w:rPr>
                <w:sz w:val="24"/>
                <w:szCs w:val="24"/>
              </w:rPr>
              <w:t>Informatīvā ziņojuma 1.pielikums</w:t>
            </w:r>
          </w:p>
        </w:tc>
        <w:tc>
          <w:tcPr>
            <w:tcW w:w="1390" w:type="pct"/>
            <w:tcBorders>
              <w:top w:val="single" w:sz="6" w:space="0" w:color="000000"/>
              <w:left w:val="single" w:sz="4" w:space="0" w:color="auto"/>
              <w:bottom w:val="single" w:sz="6" w:space="0" w:color="000000"/>
              <w:right w:val="single" w:sz="6" w:space="0" w:color="000000"/>
            </w:tcBorders>
          </w:tcPr>
          <w:p w14:paraId="3FC20BBB" w14:textId="325E77D4" w:rsidR="00C521E8" w:rsidRPr="00C521E8" w:rsidRDefault="00C521E8" w:rsidP="0035508B">
            <w:pPr>
              <w:widowControl w:val="0"/>
              <w:jc w:val="both"/>
              <w:rPr>
                <w:b/>
                <w:u w:val="single"/>
              </w:rPr>
            </w:pPr>
            <w:r w:rsidRPr="00C521E8">
              <w:rPr>
                <w:b/>
                <w:u w:val="single"/>
              </w:rPr>
              <w:t>Valsts kancelejas 29.05.2019. iebildums:</w:t>
            </w:r>
          </w:p>
          <w:p w14:paraId="35FE33D9" w14:textId="32995797" w:rsidR="00C521E8" w:rsidRPr="00937060" w:rsidRDefault="00C521E8" w:rsidP="0035508B">
            <w:pPr>
              <w:widowControl w:val="0"/>
              <w:jc w:val="both"/>
              <w:rPr>
                <w:rFonts w:eastAsia="Calibri"/>
                <w:b/>
                <w:u w:val="single"/>
                <w:lang w:eastAsia="en-US"/>
              </w:rPr>
            </w:pPr>
            <w:r>
              <w:t xml:space="preserve">Izziņas par sniegtajiem iebildumiem Ministru kabineta informatīvā ziņojuma projektam „Informatīvais ziņojums par Eiropas Reģionālās attīstības fonda, Eiropas Sociālā fonda plus un Kohēzijas fonda ieviešanu 2021.–2027.gadā Latvijā” un Ministru kabineta sēdes protokollēmuma projektam kolonā “Atbildīgās ministrijas norāde par to, ka iebildums ir ņemts vērā, vai informācija par saskaņošanā panākto alternatīvo risinājumu” (piem. punktos Nr.9., 29., 35.) sniegts skaidrojumu par to, ka līdzatbildīgās institūcijas tiks norādītas darbības programmā. Ņemot vērā iepriekš minēto, lūdzam informatīvā ziņojuma 1.pielikumā ielikt atrunu (zemsvītras atsauci) vai papildināt informatīvo ziņojumu ar informāciju, kas skaidrotu līdzatbildīgo institūciju vietu un lomu plānošanas dokumentu vai normatīvā regulējuma izstrādē, jo </w:t>
            </w:r>
            <w:r>
              <w:lastRenderedPageBreak/>
              <w:t>šobrīd, neizlasot izziņas skaidrojumus, no informatīvā ziņojuma pamatteksta vai tā pielikumiem neizriet, ka atbildīgo institūciju sarakstu ir plānots nākotnē papildināt ar līdzatbildīgajām institūcijām, kas Ministru kabinetam var radīt maldīgu priekšstatu, ka institūciju atbildību sadalījums ir izslēdzošs un galīgs ieguldījumu priekšnosacījumu izpildē, kas neatbilst patiesībai.</w:t>
            </w:r>
          </w:p>
        </w:tc>
        <w:tc>
          <w:tcPr>
            <w:tcW w:w="1191" w:type="pct"/>
            <w:tcBorders>
              <w:top w:val="single" w:sz="6" w:space="0" w:color="000000"/>
              <w:left w:val="single" w:sz="6" w:space="0" w:color="000000"/>
              <w:bottom w:val="single" w:sz="6" w:space="0" w:color="000000"/>
              <w:right w:val="single" w:sz="4" w:space="0" w:color="auto"/>
            </w:tcBorders>
          </w:tcPr>
          <w:p w14:paraId="387ABEFD" w14:textId="77777777" w:rsidR="00C521E8" w:rsidRDefault="00C521E8" w:rsidP="0035508B">
            <w:pPr>
              <w:pStyle w:val="NormalWeb"/>
              <w:spacing w:before="0" w:beforeAutospacing="0" w:after="120" w:afterAutospacing="0"/>
              <w:jc w:val="center"/>
              <w:rPr>
                <w:b/>
              </w:rPr>
            </w:pPr>
            <w:r>
              <w:rPr>
                <w:b/>
              </w:rPr>
              <w:lastRenderedPageBreak/>
              <w:t>Ņemts vērā.</w:t>
            </w:r>
          </w:p>
          <w:p w14:paraId="7417D3E9" w14:textId="369CBFE6" w:rsidR="00AA4307" w:rsidRDefault="00AA4307" w:rsidP="00AA4307">
            <w:pPr>
              <w:pStyle w:val="NormalWeb"/>
              <w:spacing w:before="0" w:beforeAutospacing="0" w:after="120" w:afterAutospacing="0"/>
              <w:jc w:val="both"/>
              <w:rPr>
                <w:b/>
              </w:rPr>
            </w:pPr>
            <w:r w:rsidRPr="00AA4307">
              <w:t xml:space="preserve">Informatīvais ziņojums papildināts ar rindkopu: </w:t>
            </w:r>
            <w:r w:rsidR="00A63A57">
              <w:t>“</w:t>
            </w:r>
            <w:r w:rsidRPr="00AA4307">
              <w:t>1.pielikumā norādītais atbildīgo institūciju sadalījums tiks precizēts, papildinot tās ar līdzatbildīgajām institūcijām, sagatavojot informāciju darbības programmas veidlapai, ņemot vērā, ka šobrīd nav nodefinētas pamatnostādnes un plānošanas dokumenti, kas aptver 2021.-2027.gada plānošanas periodu</w:t>
            </w:r>
            <w:r>
              <w:rPr>
                <w:sz w:val="28"/>
                <w:szCs w:val="28"/>
              </w:rPr>
              <w:t>.</w:t>
            </w:r>
            <w:r w:rsidR="00A63A57">
              <w:rPr>
                <w:sz w:val="28"/>
                <w:szCs w:val="28"/>
              </w:rPr>
              <w:t>”</w:t>
            </w:r>
          </w:p>
        </w:tc>
        <w:tc>
          <w:tcPr>
            <w:tcW w:w="970" w:type="pct"/>
            <w:tcBorders>
              <w:left w:val="single" w:sz="4" w:space="0" w:color="auto"/>
              <w:bottom w:val="single" w:sz="4" w:space="0" w:color="auto"/>
            </w:tcBorders>
          </w:tcPr>
          <w:p w14:paraId="512987CE" w14:textId="418B23B0" w:rsidR="00C521E8" w:rsidRDefault="00C521E8" w:rsidP="0035508B">
            <w:pPr>
              <w:pStyle w:val="Title"/>
              <w:jc w:val="both"/>
              <w:outlineLvl w:val="0"/>
              <w:rPr>
                <w:sz w:val="24"/>
                <w:szCs w:val="24"/>
              </w:rPr>
            </w:pPr>
            <w:r>
              <w:rPr>
                <w:sz w:val="24"/>
                <w:szCs w:val="24"/>
              </w:rPr>
              <w:t xml:space="preserve">Lūdzu skatīt precizēto informatīvo ziņojumu. </w:t>
            </w:r>
          </w:p>
        </w:tc>
      </w:tr>
      <w:tr w:rsidR="0035508B" w:rsidRPr="00937060" w14:paraId="3C0D0364" w14:textId="77777777" w:rsidTr="00C066E7">
        <w:trPr>
          <w:trHeight w:val="404"/>
        </w:trPr>
        <w:tc>
          <w:tcPr>
            <w:tcW w:w="283" w:type="pct"/>
            <w:tcBorders>
              <w:top w:val="single" w:sz="6" w:space="0" w:color="000000"/>
              <w:left w:val="single" w:sz="6" w:space="0" w:color="000000"/>
              <w:bottom w:val="single" w:sz="6" w:space="0" w:color="000000"/>
              <w:right w:val="single" w:sz="4" w:space="0" w:color="auto"/>
            </w:tcBorders>
            <w:shd w:val="clear" w:color="auto" w:fill="FFFFFF" w:themeFill="background1"/>
          </w:tcPr>
          <w:p w14:paraId="2D165E1D" w14:textId="77777777" w:rsidR="0035508B" w:rsidRPr="00937060" w:rsidRDefault="0035508B" w:rsidP="00B60E7A">
            <w:pPr>
              <w:pStyle w:val="naisc"/>
              <w:numPr>
                <w:ilvl w:val="0"/>
                <w:numId w:val="36"/>
              </w:numPr>
              <w:spacing w:before="0" w:after="0"/>
            </w:pPr>
          </w:p>
        </w:tc>
        <w:tc>
          <w:tcPr>
            <w:tcW w:w="1166" w:type="pct"/>
            <w:tcBorders>
              <w:top w:val="single" w:sz="4" w:space="0" w:color="auto"/>
              <w:left w:val="single" w:sz="4" w:space="0" w:color="auto"/>
              <w:bottom w:val="single" w:sz="4" w:space="0" w:color="auto"/>
              <w:right w:val="single" w:sz="4" w:space="0" w:color="auto"/>
            </w:tcBorders>
          </w:tcPr>
          <w:p w14:paraId="4E253D06" w14:textId="121CFAC1" w:rsidR="0035508B" w:rsidRPr="00937060" w:rsidRDefault="0035508B" w:rsidP="0035508B">
            <w:pPr>
              <w:pStyle w:val="Title"/>
              <w:ind w:hanging="33"/>
              <w:jc w:val="both"/>
              <w:outlineLvl w:val="0"/>
              <w:rPr>
                <w:sz w:val="24"/>
                <w:szCs w:val="24"/>
              </w:rPr>
            </w:pPr>
            <w:r w:rsidRPr="00937060">
              <w:rPr>
                <w:sz w:val="24"/>
                <w:szCs w:val="24"/>
              </w:rPr>
              <w:t>Informatīvā ziņojuma 2.pielikums</w:t>
            </w:r>
          </w:p>
        </w:tc>
        <w:tc>
          <w:tcPr>
            <w:tcW w:w="1390" w:type="pct"/>
            <w:tcBorders>
              <w:top w:val="single" w:sz="6" w:space="0" w:color="000000"/>
              <w:left w:val="single" w:sz="4" w:space="0" w:color="auto"/>
              <w:bottom w:val="single" w:sz="6" w:space="0" w:color="000000"/>
              <w:right w:val="single" w:sz="6" w:space="0" w:color="000000"/>
            </w:tcBorders>
          </w:tcPr>
          <w:p w14:paraId="4130EC2B" w14:textId="77777777" w:rsidR="0035508B" w:rsidRPr="00937060" w:rsidRDefault="0035508B" w:rsidP="0035508B">
            <w:pPr>
              <w:widowControl w:val="0"/>
              <w:jc w:val="both"/>
              <w:rPr>
                <w:rFonts w:eastAsia="Calibri"/>
                <w:lang w:eastAsia="en-US"/>
              </w:rPr>
            </w:pPr>
            <w:r w:rsidRPr="00937060">
              <w:rPr>
                <w:rFonts w:eastAsia="Calibri"/>
                <w:b/>
                <w:u w:val="single"/>
                <w:lang w:eastAsia="en-US"/>
              </w:rPr>
              <w:t>Ekonomikas ministrija:</w:t>
            </w:r>
            <w:r w:rsidRPr="00937060">
              <w:rPr>
                <w:rFonts w:eastAsia="Calibri"/>
                <w:lang w:eastAsia="en-US"/>
              </w:rPr>
              <w:t xml:space="preserve"> </w:t>
            </w:r>
          </w:p>
          <w:p w14:paraId="05A2FBC1" w14:textId="5439561C" w:rsidR="0035508B" w:rsidRPr="00937060" w:rsidRDefault="0035508B" w:rsidP="0035508B">
            <w:pPr>
              <w:widowControl w:val="0"/>
              <w:jc w:val="both"/>
              <w:rPr>
                <w:rFonts w:eastAsia="Calibri"/>
                <w:lang w:eastAsia="en-US"/>
              </w:rPr>
            </w:pPr>
            <w:r w:rsidRPr="00937060">
              <w:rPr>
                <w:rFonts w:eastAsia="Calibri"/>
                <w:lang w:eastAsia="en-US"/>
              </w:rPr>
              <w:t xml:space="preserve">Indikatīvajā laika grafikā nepieciešamo fondu plānošanas dokumentu izstrādei (2.pielikums, 21.punkts)  - noteikts, ka ministrijas ir nodrošinājušas ieguldījumu priekšnosacījumu izpildi, ir sagatavojušas nepieciešamos plānošanas dokumentus un MK tos apstiprinājis līdz 2020.g.jūnijam. Savukārt, pielikums Nr.1 par tematisko ieguldījumu priekšnosacījumu izpildes kritērijiem un to provizorisko izpildes termiņu, tiek norādīts, ka Viedo specializācijas stratēģiju EM un IZM pieņem līdz 2020.gada decembrim. Informējam, ka EM kompetences SAM un SAM pasākumu kritēriju un MK noteikumu apstiprināšana notiks pēc tematisko ieguldījumu priekšnosacījumu nosacījumu izpildes. Lai neradītu maldinošu priekšstatu par nepieciešamo laiku jaunā perioda investīciju uzsākšanai,  lūdzam </w:t>
            </w:r>
            <w:r w:rsidRPr="00937060">
              <w:rPr>
                <w:rFonts w:eastAsia="Calibri"/>
                <w:lang w:eastAsia="en-US"/>
              </w:rPr>
              <w:lastRenderedPageBreak/>
              <w:t>papildināt indikatīvo laika grafiku ar sasaisti ar nozaru politiku plānošanas dokumentu izstrādes laika plānu, kas norādīts informatīvā ziņojuma 1.pielikumā.</w:t>
            </w:r>
          </w:p>
        </w:tc>
        <w:tc>
          <w:tcPr>
            <w:tcW w:w="1191" w:type="pct"/>
            <w:tcBorders>
              <w:top w:val="single" w:sz="6" w:space="0" w:color="000000"/>
              <w:left w:val="single" w:sz="6" w:space="0" w:color="000000"/>
              <w:bottom w:val="single" w:sz="6" w:space="0" w:color="000000"/>
              <w:right w:val="single" w:sz="4" w:space="0" w:color="auto"/>
            </w:tcBorders>
          </w:tcPr>
          <w:p w14:paraId="58A0D628" w14:textId="0B34E031" w:rsidR="0035508B" w:rsidRPr="00937060" w:rsidRDefault="00D53758" w:rsidP="0035508B">
            <w:pPr>
              <w:pStyle w:val="NormalWeb"/>
              <w:spacing w:before="0" w:beforeAutospacing="0" w:after="120" w:afterAutospacing="0"/>
              <w:jc w:val="center"/>
              <w:rPr>
                <w:b/>
              </w:rPr>
            </w:pPr>
            <w:r>
              <w:rPr>
                <w:b/>
              </w:rPr>
              <w:lastRenderedPageBreak/>
              <w:t xml:space="preserve">Ņemts vērā. </w:t>
            </w:r>
          </w:p>
        </w:tc>
        <w:tc>
          <w:tcPr>
            <w:tcW w:w="970" w:type="pct"/>
            <w:tcBorders>
              <w:left w:val="single" w:sz="4" w:space="0" w:color="auto"/>
              <w:bottom w:val="single" w:sz="4" w:space="0" w:color="auto"/>
            </w:tcBorders>
          </w:tcPr>
          <w:p w14:paraId="2D449B78" w14:textId="19253A39" w:rsidR="0035508B" w:rsidRPr="00937060" w:rsidRDefault="00D53758" w:rsidP="0035508B">
            <w:pPr>
              <w:pStyle w:val="Title"/>
              <w:jc w:val="both"/>
              <w:outlineLvl w:val="0"/>
              <w:rPr>
                <w:sz w:val="24"/>
                <w:szCs w:val="24"/>
              </w:rPr>
            </w:pPr>
            <w:r>
              <w:rPr>
                <w:sz w:val="24"/>
                <w:szCs w:val="24"/>
              </w:rPr>
              <w:t xml:space="preserve">Skatīt precizēto 2.pielikumu. </w:t>
            </w:r>
          </w:p>
        </w:tc>
      </w:tr>
      <w:tr w:rsidR="0035508B" w:rsidRPr="00937060" w14:paraId="0E8ADBB4" w14:textId="77777777" w:rsidTr="00C066E7">
        <w:trPr>
          <w:trHeight w:val="404"/>
        </w:trPr>
        <w:tc>
          <w:tcPr>
            <w:tcW w:w="283" w:type="pct"/>
            <w:tcBorders>
              <w:top w:val="single" w:sz="6" w:space="0" w:color="000000"/>
              <w:left w:val="single" w:sz="6" w:space="0" w:color="000000"/>
              <w:bottom w:val="single" w:sz="6" w:space="0" w:color="000000"/>
              <w:right w:val="single" w:sz="4" w:space="0" w:color="auto"/>
            </w:tcBorders>
            <w:shd w:val="clear" w:color="auto" w:fill="FFFFFF" w:themeFill="background1"/>
          </w:tcPr>
          <w:p w14:paraId="2B624268" w14:textId="77777777" w:rsidR="0035508B" w:rsidRPr="00937060" w:rsidRDefault="0035508B" w:rsidP="00B60E7A">
            <w:pPr>
              <w:pStyle w:val="naisc"/>
              <w:numPr>
                <w:ilvl w:val="0"/>
                <w:numId w:val="36"/>
              </w:numPr>
              <w:spacing w:before="0" w:after="0"/>
            </w:pPr>
          </w:p>
        </w:tc>
        <w:tc>
          <w:tcPr>
            <w:tcW w:w="1166" w:type="pct"/>
            <w:tcBorders>
              <w:top w:val="single" w:sz="4" w:space="0" w:color="auto"/>
              <w:left w:val="single" w:sz="4" w:space="0" w:color="auto"/>
              <w:bottom w:val="single" w:sz="4" w:space="0" w:color="auto"/>
              <w:right w:val="single" w:sz="4" w:space="0" w:color="auto"/>
            </w:tcBorders>
          </w:tcPr>
          <w:p w14:paraId="739A6127" w14:textId="207AEFF5" w:rsidR="0035508B" w:rsidRPr="00937060" w:rsidRDefault="0035508B" w:rsidP="0035508B">
            <w:pPr>
              <w:pStyle w:val="Title"/>
              <w:ind w:hanging="33"/>
              <w:jc w:val="both"/>
              <w:outlineLvl w:val="0"/>
              <w:rPr>
                <w:sz w:val="24"/>
                <w:szCs w:val="24"/>
              </w:rPr>
            </w:pPr>
            <w:r w:rsidRPr="00937060">
              <w:rPr>
                <w:sz w:val="24"/>
                <w:szCs w:val="24"/>
              </w:rPr>
              <w:t>Informatīvā ziņojuma 2.pielikums</w:t>
            </w:r>
          </w:p>
        </w:tc>
        <w:tc>
          <w:tcPr>
            <w:tcW w:w="1390" w:type="pct"/>
            <w:tcBorders>
              <w:top w:val="single" w:sz="6" w:space="0" w:color="000000"/>
              <w:left w:val="single" w:sz="4" w:space="0" w:color="auto"/>
              <w:bottom w:val="single" w:sz="6" w:space="0" w:color="000000"/>
              <w:right w:val="single" w:sz="6" w:space="0" w:color="000000"/>
            </w:tcBorders>
          </w:tcPr>
          <w:p w14:paraId="02FD9997" w14:textId="77777777" w:rsidR="0035508B" w:rsidRPr="00937060" w:rsidRDefault="0035508B" w:rsidP="0035508B">
            <w:pPr>
              <w:pStyle w:val="NoSpacing"/>
              <w:rPr>
                <w:b/>
                <w:u w:val="single"/>
              </w:rPr>
            </w:pPr>
            <w:r w:rsidRPr="00937060">
              <w:rPr>
                <w:b/>
                <w:u w:val="single"/>
              </w:rPr>
              <w:t>Vides aizsardzības un reģionālās attīstības ministrija:</w:t>
            </w:r>
          </w:p>
          <w:p w14:paraId="048DF90D" w14:textId="63E86617" w:rsidR="0035508B" w:rsidRPr="00937060" w:rsidRDefault="0035508B" w:rsidP="0035508B">
            <w:pPr>
              <w:jc w:val="both"/>
              <w:rPr>
                <w:rFonts w:eastAsia="Calibri"/>
                <w:b/>
                <w:u w:val="single"/>
              </w:rPr>
            </w:pPr>
            <w:r w:rsidRPr="00937060">
              <w:t>Lūdzam pielāgot ziņojuma 2.pielikuma “ES KP fondu nepieciešamo plānošanas dokumentu un tiesību aktu sagatavošanas indikatīvais laika grafiks” 21.uzdevuma “Ieguldījumu priekšnosacījumu (</w:t>
            </w:r>
            <w:r w:rsidRPr="00937060">
              <w:rPr>
                <w:i/>
                <w:iCs/>
              </w:rPr>
              <w:t>enabling conditions</w:t>
            </w:r>
            <w:r w:rsidRPr="00937060">
              <w:t>) izpilde - Ministrijas ir nodrošinājušas nozaru plānošanas dokumentu izstrādi un apstiprināšanu MK (Saeimā, ja nepieciešams)” laika grafiku ziņojuma 1.pielikumam “2021.-2027.gada plānošanas perioda Kopējās fondu regulas III pielikumā noteiktie ieguldījumu priekšnosacījumi (</w:t>
            </w:r>
            <w:r w:rsidRPr="00937060">
              <w:rPr>
                <w:i/>
                <w:iCs/>
              </w:rPr>
              <w:t>enabling conditions)”</w:t>
            </w:r>
            <w:r w:rsidRPr="00937060">
              <w:t>, kurā norādīts, ka ne visi ieguldījumu priekšnosacījumi tiks izpildīti 2020.gada vidū.</w:t>
            </w:r>
          </w:p>
        </w:tc>
        <w:tc>
          <w:tcPr>
            <w:tcW w:w="1191" w:type="pct"/>
            <w:tcBorders>
              <w:top w:val="single" w:sz="6" w:space="0" w:color="000000"/>
              <w:left w:val="single" w:sz="6" w:space="0" w:color="000000"/>
              <w:bottom w:val="single" w:sz="6" w:space="0" w:color="000000"/>
              <w:right w:val="single" w:sz="4" w:space="0" w:color="auto"/>
            </w:tcBorders>
          </w:tcPr>
          <w:p w14:paraId="55982025" w14:textId="2773A790" w:rsidR="0035508B" w:rsidRPr="00937060" w:rsidRDefault="007003E8" w:rsidP="0035508B">
            <w:pPr>
              <w:pStyle w:val="NormalWeb"/>
              <w:spacing w:before="0" w:beforeAutospacing="0" w:after="120" w:afterAutospacing="0"/>
              <w:jc w:val="center"/>
              <w:rPr>
                <w:b/>
              </w:rPr>
            </w:pPr>
            <w:r>
              <w:rPr>
                <w:b/>
              </w:rPr>
              <w:t>Ņemts vērā.</w:t>
            </w:r>
          </w:p>
        </w:tc>
        <w:tc>
          <w:tcPr>
            <w:tcW w:w="970" w:type="pct"/>
            <w:tcBorders>
              <w:left w:val="single" w:sz="4" w:space="0" w:color="auto"/>
              <w:bottom w:val="single" w:sz="4" w:space="0" w:color="auto"/>
            </w:tcBorders>
          </w:tcPr>
          <w:p w14:paraId="4815FCAA" w14:textId="407DA25C" w:rsidR="0035508B" w:rsidRPr="00937060" w:rsidRDefault="007003E8" w:rsidP="007003E8">
            <w:pPr>
              <w:pStyle w:val="Title"/>
              <w:jc w:val="both"/>
              <w:outlineLvl w:val="0"/>
              <w:rPr>
                <w:sz w:val="24"/>
                <w:szCs w:val="24"/>
              </w:rPr>
            </w:pPr>
            <w:r>
              <w:rPr>
                <w:sz w:val="24"/>
                <w:szCs w:val="24"/>
              </w:rPr>
              <w:t xml:space="preserve">Skatīt precizēto 2.pielikumu. </w:t>
            </w:r>
          </w:p>
        </w:tc>
      </w:tr>
      <w:tr w:rsidR="0035508B" w:rsidRPr="00937060" w14:paraId="2012D12C" w14:textId="77777777" w:rsidTr="00C066E7">
        <w:trPr>
          <w:trHeight w:val="404"/>
        </w:trPr>
        <w:tc>
          <w:tcPr>
            <w:tcW w:w="283" w:type="pct"/>
            <w:tcBorders>
              <w:top w:val="single" w:sz="6" w:space="0" w:color="000000"/>
              <w:left w:val="single" w:sz="6" w:space="0" w:color="000000"/>
              <w:bottom w:val="single" w:sz="6" w:space="0" w:color="000000"/>
              <w:right w:val="single" w:sz="4" w:space="0" w:color="auto"/>
            </w:tcBorders>
            <w:shd w:val="clear" w:color="auto" w:fill="FFFFFF" w:themeFill="background1"/>
          </w:tcPr>
          <w:p w14:paraId="5A11681F" w14:textId="77777777" w:rsidR="0035508B" w:rsidRPr="00937060" w:rsidRDefault="0035508B" w:rsidP="00B60E7A">
            <w:pPr>
              <w:pStyle w:val="naisc"/>
              <w:numPr>
                <w:ilvl w:val="0"/>
                <w:numId w:val="36"/>
              </w:numPr>
              <w:spacing w:before="0" w:after="0"/>
            </w:pPr>
          </w:p>
        </w:tc>
        <w:tc>
          <w:tcPr>
            <w:tcW w:w="1166" w:type="pct"/>
            <w:tcBorders>
              <w:top w:val="single" w:sz="4" w:space="0" w:color="auto"/>
              <w:left w:val="single" w:sz="4" w:space="0" w:color="auto"/>
              <w:bottom w:val="single" w:sz="4" w:space="0" w:color="auto"/>
              <w:right w:val="single" w:sz="4" w:space="0" w:color="auto"/>
            </w:tcBorders>
          </w:tcPr>
          <w:p w14:paraId="68D44BD2" w14:textId="12626436" w:rsidR="0035508B" w:rsidRPr="00937060" w:rsidRDefault="0035508B" w:rsidP="0035508B">
            <w:pPr>
              <w:pStyle w:val="Title"/>
              <w:ind w:hanging="33"/>
              <w:jc w:val="both"/>
              <w:outlineLvl w:val="0"/>
              <w:rPr>
                <w:sz w:val="24"/>
                <w:szCs w:val="24"/>
              </w:rPr>
            </w:pPr>
            <w:r w:rsidRPr="00937060">
              <w:rPr>
                <w:sz w:val="24"/>
                <w:szCs w:val="24"/>
              </w:rPr>
              <w:t>Informatīvā ziņojuma 2.pielikums</w:t>
            </w:r>
          </w:p>
        </w:tc>
        <w:tc>
          <w:tcPr>
            <w:tcW w:w="1390" w:type="pct"/>
            <w:tcBorders>
              <w:top w:val="single" w:sz="6" w:space="0" w:color="000000"/>
              <w:left w:val="single" w:sz="4" w:space="0" w:color="auto"/>
              <w:bottom w:val="single" w:sz="6" w:space="0" w:color="000000"/>
              <w:right w:val="single" w:sz="6" w:space="0" w:color="000000"/>
            </w:tcBorders>
          </w:tcPr>
          <w:p w14:paraId="5D5D95BB" w14:textId="4D960578" w:rsidR="0035508B" w:rsidRPr="00937060" w:rsidRDefault="0035508B" w:rsidP="0035508B">
            <w:pPr>
              <w:pStyle w:val="NoSpacing"/>
              <w:rPr>
                <w:b/>
                <w:szCs w:val="24"/>
                <w:u w:val="single"/>
              </w:rPr>
            </w:pPr>
            <w:r w:rsidRPr="00937060">
              <w:rPr>
                <w:b/>
                <w:szCs w:val="24"/>
                <w:u w:val="single"/>
              </w:rPr>
              <w:t>Izglītības un zinātnes ministrija:</w:t>
            </w:r>
          </w:p>
          <w:p w14:paraId="336D99F9" w14:textId="4202863A" w:rsidR="0035508B" w:rsidRPr="00937060" w:rsidRDefault="0035508B" w:rsidP="0035508B">
            <w:pPr>
              <w:widowControl w:val="0"/>
              <w:tabs>
                <w:tab w:val="left" w:pos="1134"/>
              </w:tabs>
              <w:jc w:val="both"/>
              <w:rPr>
                <w:rFonts w:eastAsia="Calibri"/>
                <w:lang w:eastAsia="en-US"/>
              </w:rPr>
            </w:pPr>
            <w:r w:rsidRPr="00937060">
              <w:rPr>
                <w:rFonts w:eastAsia="Calibri"/>
                <w:lang w:eastAsia="en-US"/>
              </w:rPr>
              <w:t xml:space="preserve">Lūdzam skaidrot informatīvā ziņojuma 2.pielikuma „ES KP fondu nepieciešamo plānošanas dokumentu un tiesību aktu sagatavošanas indikatīvais laika grafiks (04.2019. – 03.2021.)” (turpmāk – informatīvā ziņojuma 2.pielikums) 10.punktā minētā darbības programmas un </w:t>
            </w:r>
            <w:r w:rsidRPr="00937060">
              <w:rPr>
                <w:rFonts w:eastAsia="Calibri"/>
                <w:lang w:eastAsia="en-US"/>
              </w:rPr>
              <w:lastRenderedPageBreak/>
              <w:t>partnerības līguma melnraksta satura un informācijas apjoma tvērumu, kā arī plānoto investīciju pasākumu detalizācijas pakāpi, ievērojot, ka liela daļa no nozares vidēja termiņa plānošanas dokumentiem tiks izstrādāti pēc minētā melnraksta izstrādes, tostarp tiks izstrādāti līdz 2020.gada beigām. Vēršam uzmanību, ka Ministrijas ieskatā ir būtiski nodrošināt informatīvā ziņojuma 2.pielikuma iekļautā vēlamā laika grafika īstenošanas ievērošanu, vienlaikus nodrošinot kvalitatīvu un sadarbības partneriem saskaņotu dokumentu izstrādi. Piemēram, Izglītības attīstības pamatnostādnes 2021. – 2027.gadam tiks izstrādātas pamatojoties uz ministrijas un Ekonomiskās sadarbības un attīstības organizācijas (OECD) sadarbības projekta “Latvijas izglītības un prasmju stratēģijas attīstība” diagnostikas ziņojumu (2019.gada novembris) un rīcības posma ziņojumu (2020.gada maijs).</w:t>
            </w:r>
          </w:p>
        </w:tc>
        <w:tc>
          <w:tcPr>
            <w:tcW w:w="1191" w:type="pct"/>
            <w:tcBorders>
              <w:top w:val="single" w:sz="6" w:space="0" w:color="000000"/>
              <w:left w:val="single" w:sz="6" w:space="0" w:color="000000"/>
              <w:bottom w:val="single" w:sz="6" w:space="0" w:color="000000"/>
              <w:right w:val="single" w:sz="4" w:space="0" w:color="auto"/>
            </w:tcBorders>
          </w:tcPr>
          <w:p w14:paraId="3D303697" w14:textId="77777777" w:rsidR="0035508B" w:rsidRDefault="00CC6AAA" w:rsidP="0035508B">
            <w:pPr>
              <w:pStyle w:val="NormalWeb"/>
              <w:spacing w:before="0" w:beforeAutospacing="0" w:after="120" w:afterAutospacing="0"/>
              <w:jc w:val="center"/>
              <w:rPr>
                <w:b/>
              </w:rPr>
            </w:pPr>
            <w:r>
              <w:rPr>
                <w:b/>
              </w:rPr>
              <w:lastRenderedPageBreak/>
              <w:t>Ņemts vērā.</w:t>
            </w:r>
          </w:p>
          <w:p w14:paraId="4F12D11E" w14:textId="77777777" w:rsidR="00CC6AAA" w:rsidRDefault="00CC6AAA" w:rsidP="00CC6AAA">
            <w:pPr>
              <w:pStyle w:val="NormalWeb"/>
              <w:spacing w:before="0" w:beforeAutospacing="0" w:after="120" w:afterAutospacing="0"/>
              <w:jc w:val="both"/>
            </w:pPr>
            <w:r w:rsidRPr="00CC6AAA">
              <w:t xml:space="preserve">Skaidrojam, ka Partnerības līguma un darbības programmas projektam uz 2019.gada beigām ir jābūt tādā detalizācijas līmenī, lai uzsāktu neoficiālās sarunas ar Eiropas Komisiju par plānotajām investīcijām un visām </w:t>
            </w:r>
            <w:r w:rsidRPr="00CC6AAA">
              <w:lastRenderedPageBreak/>
              <w:t xml:space="preserve">iesaistītajām pusēm būtu skaidrs plānoto investīciju saturs.  </w:t>
            </w:r>
          </w:p>
          <w:p w14:paraId="43A223C9" w14:textId="77777777" w:rsidR="00CC6AAA" w:rsidRDefault="00CC6AAA" w:rsidP="00CC6AAA">
            <w:pPr>
              <w:pStyle w:val="NormalWeb"/>
              <w:spacing w:before="0" w:beforeAutospacing="0" w:after="120" w:afterAutospacing="0"/>
              <w:jc w:val="both"/>
            </w:pPr>
            <w:r>
              <w:t xml:space="preserve">Atgādinām, ka visām iesaistītajām pusēm savlaicīgi jāsāk strādāt pie gatavošanās jaunajam ES KP fondu periodam, ievērojot visas jaunās prasības un priekšnosacījumus, lai maksimāli ātri nodrošinātu jaunā plānošanas perioda uzsākšanu, neveicinot investīciju pārrāvumu. </w:t>
            </w:r>
          </w:p>
          <w:p w14:paraId="07B13733" w14:textId="78CA630B" w:rsidR="00CC6AAA" w:rsidRDefault="00CC6AAA" w:rsidP="00CC6AAA">
            <w:pPr>
              <w:pStyle w:val="NormalWeb"/>
              <w:spacing w:before="0" w:beforeAutospacing="0" w:after="120" w:afterAutospacing="0"/>
              <w:jc w:val="both"/>
            </w:pPr>
            <w:r>
              <w:t xml:space="preserve"> </w:t>
            </w:r>
          </w:p>
          <w:p w14:paraId="0EB8A167" w14:textId="264B7B11" w:rsidR="00CC6AAA" w:rsidRPr="00CC6AAA" w:rsidRDefault="00CC6AAA" w:rsidP="00CC6AAA">
            <w:pPr>
              <w:pStyle w:val="NormalWeb"/>
              <w:spacing w:before="0" w:beforeAutospacing="0" w:after="120" w:afterAutospacing="0"/>
              <w:jc w:val="both"/>
            </w:pPr>
            <w:r>
              <w:t xml:space="preserve"> </w:t>
            </w:r>
          </w:p>
        </w:tc>
        <w:tc>
          <w:tcPr>
            <w:tcW w:w="970" w:type="pct"/>
            <w:tcBorders>
              <w:left w:val="single" w:sz="4" w:space="0" w:color="auto"/>
              <w:bottom w:val="single" w:sz="4" w:space="0" w:color="auto"/>
            </w:tcBorders>
          </w:tcPr>
          <w:p w14:paraId="5C14ABE1" w14:textId="6F5E0B6A" w:rsidR="0035508B" w:rsidRPr="00937060" w:rsidRDefault="00CC6AAA" w:rsidP="0035508B">
            <w:pPr>
              <w:pStyle w:val="Title"/>
              <w:jc w:val="both"/>
              <w:outlineLvl w:val="0"/>
              <w:rPr>
                <w:sz w:val="24"/>
                <w:szCs w:val="24"/>
              </w:rPr>
            </w:pPr>
            <w:r>
              <w:rPr>
                <w:sz w:val="24"/>
                <w:szCs w:val="24"/>
              </w:rPr>
              <w:lastRenderedPageBreak/>
              <w:t>Skatīt precizēto 2.pielikumu.</w:t>
            </w:r>
          </w:p>
        </w:tc>
      </w:tr>
      <w:tr w:rsidR="0035508B" w:rsidRPr="00937060" w14:paraId="1116AA15" w14:textId="77777777" w:rsidTr="00C066E7">
        <w:trPr>
          <w:trHeight w:val="404"/>
        </w:trPr>
        <w:tc>
          <w:tcPr>
            <w:tcW w:w="283" w:type="pct"/>
            <w:tcBorders>
              <w:top w:val="single" w:sz="6" w:space="0" w:color="000000"/>
              <w:left w:val="single" w:sz="6" w:space="0" w:color="000000"/>
              <w:bottom w:val="single" w:sz="6" w:space="0" w:color="000000"/>
              <w:right w:val="single" w:sz="4" w:space="0" w:color="auto"/>
            </w:tcBorders>
            <w:shd w:val="clear" w:color="auto" w:fill="FFFFFF" w:themeFill="background1"/>
          </w:tcPr>
          <w:p w14:paraId="70A58121" w14:textId="77777777" w:rsidR="0035508B" w:rsidRPr="00937060" w:rsidRDefault="0035508B" w:rsidP="00B60E7A">
            <w:pPr>
              <w:pStyle w:val="naisc"/>
              <w:numPr>
                <w:ilvl w:val="0"/>
                <w:numId w:val="36"/>
              </w:numPr>
              <w:spacing w:before="0" w:after="0"/>
            </w:pPr>
          </w:p>
        </w:tc>
        <w:tc>
          <w:tcPr>
            <w:tcW w:w="1166" w:type="pct"/>
            <w:tcBorders>
              <w:top w:val="single" w:sz="4" w:space="0" w:color="auto"/>
              <w:left w:val="single" w:sz="4" w:space="0" w:color="auto"/>
              <w:bottom w:val="single" w:sz="4" w:space="0" w:color="auto"/>
              <w:right w:val="single" w:sz="4" w:space="0" w:color="auto"/>
            </w:tcBorders>
          </w:tcPr>
          <w:p w14:paraId="1857C9CC" w14:textId="03EFBED3" w:rsidR="0035508B" w:rsidRPr="00937060" w:rsidRDefault="0035508B" w:rsidP="0035508B">
            <w:pPr>
              <w:pStyle w:val="Title"/>
              <w:ind w:hanging="33"/>
              <w:jc w:val="both"/>
              <w:outlineLvl w:val="0"/>
              <w:rPr>
                <w:sz w:val="24"/>
                <w:szCs w:val="24"/>
              </w:rPr>
            </w:pPr>
            <w:r w:rsidRPr="00937060">
              <w:rPr>
                <w:sz w:val="24"/>
                <w:szCs w:val="24"/>
              </w:rPr>
              <w:t>Informatīvā ziņojuma 2.pielikums</w:t>
            </w:r>
          </w:p>
        </w:tc>
        <w:tc>
          <w:tcPr>
            <w:tcW w:w="1390" w:type="pct"/>
            <w:tcBorders>
              <w:top w:val="single" w:sz="6" w:space="0" w:color="000000"/>
              <w:left w:val="single" w:sz="4" w:space="0" w:color="auto"/>
              <w:bottom w:val="single" w:sz="6" w:space="0" w:color="000000"/>
              <w:right w:val="single" w:sz="6" w:space="0" w:color="000000"/>
            </w:tcBorders>
          </w:tcPr>
          <w:p w14:paraId="2955E803" w14:textId="77777777" w:rsidR="0035508B" w:rsidRPr="00937060" w:rsidRDefault="0035508B" w:rsidP="0035508B">
            <w:pPr>
              <w:pStyle w:val="NoSpacing"/>
              <w:rPr>
                <w:b/>
                <w:szCs w:val="24"/>
                <w:u w:val="single"/>
              </w:rPr>
            </w:pPr>
            <w:r w:rsidRPr="00937060">
              <w:rPr>
                <w:b/>
                <w:szCs w:val="24"/>
                <w:u w:val="single"/>
              </w:rPr>
              <w:t>Izglītības un zinātnes ministrija:</w:t>
            </w:r>
          </w:p>
          <w:p w14:paraId="7AE565DB" w14:textId="09462517" w:rsidR="0035508B" w:rsidRPr="00937060" w:rsidRDefault="0035508B" w:rsidP="0035508B">
            <w:pPr>
              <w:widowControl w:val="0"/>
              <w:tabs>
                <w:tab w:val="left" w:pos="1134"/>
              </w:tabs>
              <w:jc w:val="both"/>
              <w:rPr>
                <w:rFonts w:eastAsia="Calibri"/>
                <w:lang w:eastAsia="en-US"/>
              </w:rPr>
            </w:pPr>
            <w:r w:rsidRPr="00937060">
              <w:rPr>
                <w:rFonts w:eastAsia="Calibri"/>
                <w:lang w:eastAsia="en-US"/>
              </w:rPr>
              <w:t xml:space="preserve">aicinām precizēt informatīvā ziņojuma 2.pielikuma 21.punktā minētās darbības izpildes termiņu (2021.gada jūnijs), ievērojot, ka informatīvā ziņojuma 1.pielikumā „2021. – 2027. gada plānošanas perioda Kopējās fondu regulas III pielikumā noteiktie ieguldījumu priekšnosacījumi </w:t>
            </w:r>
            <w:r w:rsidRPr="00937060">
              <w:rPr>
                <w:rFonts w:eastAsia="Calibri"/>
                <w:lang w:eastAsia="en-US"/>
              </w:rPr>
              <w:lastRenderedPageBreak/>
              <w:t>(enabling conditions)” atsevišķu priekšnosacījumu izpildes termiņš pārsniedz 2021.gada jūniju.</w:t>
            </w:r>
          </w:p>
        </w:tc>
        <w:tc>
          <w:tcPr>
            <w:tcW w:w="1191" w:type="pct"/>
            <w:tcBorders>
              <w:top w:val="single" w:sz="6" w:space="0" w:color="000000"/>
              <w:left w:val="single" w:sz="6" w:space="0" w:color="000000"/>
              <w:bottom w:val="single" w:sz="6" w:space="0" w:color="000000"/>
              <w:right w:val="single" w:sz="4" w:space="0" w:color="auto"/>
            </w:tcBorders>
          </w:tcPr>
          <w:p w14:paraId="4D817F17" w14:textId="3E28777F" w:rsidR="0035508B" w:rsidRPr="00937060" w:rsidRDefault="00CC6AAA" w:rsidP="0035508B">
            <w:pPr>
              <w:pStyle w:val="NormalWeb"/>
              <w:spacing w:before="0" w:beforeAutospacing="0" w:after="120" w:afterAutospacing="0"/>
              <w:jc w:val="center"/>
              <w:rPr>
                <w:b/>
              </w:rPr>
            </w:pPr>
            <w:r>
              <w:rPr>
                <w:b/>
              </w:rPr>
              <w:lastRenderedPageBreak/>
              <w:t xml:space="preserve">Ņemts vērā. </w:t>
            </w:r>
          </w:p>
        </w:tc>
        <w:tc>
          <w:tcPr>
            <w:tcW w:w="970" w:type="pct"/>
            <w:tcBorders>
              <w:left w:val="single" w:sz="4" w:space="0" w:color="auto"/>
              <w:bottom w:val="single" w:sz="4" w:space="0" w:color="auto"/>
            </w:tcBorders>
          </w:tcPr>
          <w:p w14:paraId="7BF56AFF" w14:textId="657CEC18" w:rsidR="0035508B" w:rsidRPr="00937060" w:rsidRDefault="00CC6AAA" w:rsidP="0035508B">
            <w:pPr>
              <w:pStyle w:val="Title"/>
              <w:jc w:val="both"/>
              <w:outlineLvl w:val="0"/>
              <w:rPr>
                <w:sz w:val="24"/>
                <w:szCs w:val="24"/>
              </w:rPr>
            </w:pPr>
            <w:r>
              <w:rPr>
                <w:sz w:val="24"/>
                <w:szCs w:val="24"/>
              </w:rPr>
              <w:t>Skatīt precizēto 2.pielikumu.</w:t>
            </w:r>
          </w:p>
        </w:tc>
      </w:tr>
      <w:tr w:rsidR="0035508B" w:rsidRPr="00937060" w14:paraId="0CABD025" w14:textId="77777777" w:rsidTr="00C066E7">
        <w:trPr>
          <w:trHeight w:val="404"/>
        </w:trPr>
        <w:tc>
          <w:tcPr>
            <w:tcW w:w="283" w:type="pct"/>
            <w:tcBorders>
              <w:top w:val="single" w:sz="6" w:space="0" w:color="000000"/>
              <w:left w:val="single" w:sz="6" w:space="0" w:color="000000"/>
              <w:bottom w:val="single" w:sz="6" w:space="0" w:color="000000"/>
              <w:right w:val="single" w:sz="4" w:space="0" w:color="auto"/>
            </w:tcBorders>
            <w:shd w:val="clear" w:color="auto" w:fill="FFFFFF" w:themeFill="background1"/>
          </w:tcPr>
          <w:p w14:paraId="699830CF" w14:textId="77777777" w:rsidR="0035508B" w:rsidRPr="00937060" w:rsidRDefault="0035508B" w:rsidP="00B60E7A">
            <w:pPr>
              <w:pStyle w:val="naisc"/>
              <w:numPr>
                <w:ilvl w:val="0"/>
                <w:numId w:val="36"/>
              </w:numPr>
              <w:spacing w:before="0" w:after="0"/>
            </w:pPr>
          </w:p>
        </w:tc>
        <w:tc>
          <w:tcPr>
            <w:tcW w:w="1166" w:type="pct"/>
            <w:tcBorders>
              <w:top w:val="single" w:sz="4" w:space="0" w:color="auto"/>
              <w:left w:val="single" w:sz="4" w:space="0" w:color="auto"/>
              <w:bottom w:val="single" w:sz="4" w:space="0" w:color="auto"/>
              <w:right w:val="single" w:sz="4" w:space="0" w:color="auto"/>
            </w:tcBorders>
          </w:tcPr>
          <w:p w14:paraId="0E955808" w14:textId="541A14B7" w:rsidR="0035508B" w:rsidRPr="00937060" w:rsidRDefault="0035508B" w:rsidP="0035508B">
            <w:pPr>
              <w:pStyle w:val="Title"/>
              <w:ind w:hanging="33"/>
              <w:jc w:val="both"/>
              <w:outlineLvl w:val="0"/>
              <w:rPr>
                <w:sz w:val="24"/>
                <w:szCs w:val="24"/>
              </w:rPr>
            </w:pPr>
            <w:r w:rsidRPr="00937060">
              <w:rPr>
                <w:sz w:val="24"/>
                <w:szCs w:val="24"/>
              </w:rPr>
              <w:t>Informatīvā ziņojuma 2.pielikums</w:t>
            </w:r>
          </w:p>
        </w:tc>
        <w:tc>
          <w:tcPr>
            <w:tcW w:w="1390" w:type="pct"/>
            <w:tcBorders>
              <w:top w:val="single" w:sz="6" w:space="0" w:color="000000"/>
              <w:left w:val="single" w:sz="4" w:space="0" w:color="auto"/>
              <w:bottom w:val="single" w:sz="6" w:space="0" w:color="000000"/>
              <w:right w:val="single" w:sz="6" w:space="0" w:color="000000"/>
            </w:tcBorders>
          </w:tcPr>
          <w:p w14:paraId="5410E932" w14:textId="773210EB" w:rsidR="0035508B" w:rsidRPr="00937060" w:rsidRDefault="0035508B" w:rsidP="0035508B">
            <w:pPr>
              <w:pStyle w:val="NoSpacing"/>
              <w:rPr>
                <w:b/>
                <w:szCs w:val="24"/>
                <w:u w:val="single"/>
              </w:rPr>
            </w:pPr>
            <w:r w:rsidRPr="00937060">
              <w:rPr>
                <w:b/>
                <w:szCs w:val="24"/>
                <w:u w:val="single"/>
              </w:rPr>
              <w:t>Izglītības un zinātnes ministrija:</w:t>
            </w:r>
          </w:p>
          <w:p w14:paraId="125EF4CA" w14:textId="3FCD7C03" w:rsidR="0035508B" w:rsidRPr="00937060" w:rsidRDefault="0035508B" w:rsidP="0035508B">
            <w:pPr>
              <w:widowControl w:val="0"/>
              <w:tabs>
                <w:tab w:val="left" w:pos="1134"/>
              </w:tabs>
              <w:jc w:val="both"/>
              <w:rPr>
                <w:rFonts w:eastAsia="Calibri"/>
                <w:lang w:eastAsia="en-US"/>
              </w:rPr>
            </w:pPr>
            <w:r w:rsidRPr="00937060">
              <w:rPr>
                <w:rFonts w:eastAsia="Calibri"/>
                <w:lang w:eastAsia="en-US"/>
              </w:rPr>
              <w:t>ievērojot, ka 2014. – 2020. gada plānošanas periodā projektu iesniegumu atlases nolikumu saskaņā ar Eiropas Savienības struktūrfondu un Kohēzijas fonda 2014. – 2020.gada plānošanas perioda vadības likuma 21.panta otro daļu izstrādā (un ar atbildīgo iestādi saskaņo) sadarbības iestāde, lūdzam precizēt informatīvā ziņojuma 2.pielikuma 32.punktā minēto par atbildīgās iestādes pienākumu izstrādāt projektu iesniegumu atlases nolikumu.</w:t>
            </w:r>
          </w:p>
        </w:tc>
        <w:tc>
          <w:tcPr>
            <w:tcW w:w="1191" w:type="pct"/>
            <w:tcBorders>
              <w:top w:val="single" w:sz="6" w:space="0" w:color="000000"/>
              <w:left w:val="single" w:sz="6" w:space="0" w:color="000000"/>
              <w:bottom w:val="single" w:sz="6" w:space="0" w:color="000000"/>
              <w:right w:val="single" w:sz="4" w:space="0" w:color="auto"/>
            </w:tcBorders>
          </w:tcPr>
          <w:p w14:paraId="5FE1A09A" w14:textId="4B6D7D8C" w:rsidR="0035508B" w:rsidRPr="00937060" w:rsidRDefault="00E52454" w:rsidP="0035508B">
            <w:pPr>
              <w:pStyle w:val="NormalWeb"/>
              <w:spacing w:before="0" w:beforeAutospacing="0" w:after="120" w:afterAutospacing="0"/>
              <w:jc w:val="center"/>
              <w:rPr>
                <w:b/>
              </w:rPr>
            </w:pPr>
            <w:r>
              <w:rPr>
                <w:b/>
              </w:rPr>
              <w:t>Ņemts vērā.</w:t>
            </w:r>
          </w:p>
        </w:tc>
        <w:tc>
          <w:tcPr>
            <w:tcW w:w="970" w:type="pct"/>
            <w:tcBorders>
              <w:left w:val="single" w:sz="4" w:space="0" w:color="auto"/>
              <w:bottom w:val="single" w:sz="4" w:space="0" w:color="auto"/>
            </w:tcBorders>
          </w:tcPr>
          <w:p w14:paraId="6DDB2F20" w14:textId="78F71F60" w:rsidR="0035508B" w:rsidRPr="00937060" w:rsidRDefault="00E52454" w:rsidP="0035508B">
            <w:pPr>
              <w:pStyle w:val="Title"/>
              <w:jc w:val="both"/>
              <w:outlineLvl w:val="0"/>
              <w:rPr>
                <w:sz w:val="24"/>
                <w:szCs w:val="24"/>
              </w:rPr>
            </w:pPr>
            <w:r>
              <w:rPr>
                <w:sz w:val="24"/>
                <w:szCs w:val="24"/>
              </w:rPr>
              <w:t>Skatīt precizēto 2.pielikumu.</w:t>
            </w:r>
          </w:p>
        </w:tc>
      </w:tr>
      <w:tr w:rsidR="0035508B" w:rsidRPr="00937060" w14:paraId="5F0E799C" w14:textId="77777777" w:rsidTr="00C066E7">
        <w:trPr>
          <w:trHeight w:val="404"/>
        </w:trPr>
        <w:tc>
          <w:tcPr>
            <w:tcW w:w="283" w:type="pct"/>
            <w:tcBorders>
              <w:top w:val="single" w:sz="6" w:space="0" w:color="000000"/>
              <w:left w:val="single" w:sz="6" w:space="0" w:color="000000"/>
              <w:bottom w:val="single" w:sz="6" w:space="0" w:color="000000"/>
              <w:right w:val="single" w:sz="4" w:space="0" w:color="auto"/>
            </w:tcBorders>
            <w:shd w:val="clear" w:color="auto" w:fill="FFFFFF" w:themeFill="background1"/>
          </w:tcPr>
          <w:p w14:paraId="7D458EF0" w14:textId="77777777" w:rsidR="0035508B" w:rsidRPr="00937060" w:rsidRDefault="0035508B" w:rsidP="00B60E7A">
            <w:pPr>
              <w:pStyle w:val="naisc"/>
              <w:numPr>
                <w:ilvl w:val="0"/>
                <w:numId w:val="36"/>
              </w:numPr>
              <w:spacing w:before="0" w:after="0"/>
            </w:pPr>
          </w:p>
        </w:tc>
        <w:tc>
          <w:tcPr>
            <w:tcW w:w="1166" w:type="pct"/>
            <w:tcBorders>
              <w:top w:val="single" w:sz="4" w:space="0" w:color="auto"/>
              <w:left w:val="single" w:sz="4" w:space="0" w:color="auto"/>
              <w:bottom w:val="single" w:sz="4" w:space="0" w:color="auto"/>
              <w:right w:val="single" w:sz="4" w:space="0" w:color="auto"/>
            </w:tcBorders>
          </w:tcPr>
          <w:p w14:paraId="70897B8E" w14:textId="55298B92" w:rsidR="0035508B" w:rsidRPr="00937060" w:rsidRDefault="0035508B" w:rsidP="0035508B">
            <w:pPr>
              <w:pStyle w:val="Title"/>
              <w:ind w:hanging="33"/>
              <w:jc w:val="both"/>
              <w:outlineLvl w:val="0"/>
              <w:rPr>
                <w:sz w:val="24"/>
                <w:szCs w:val="24"/>
              </w:rPr>
            </w:pPr>
            <w:r w:rsidRPr="00937060">
              <w:rPr>
                <w:sz w:val="24"/>
                <w:szCs w:val="24"/>
              </w:rPr>
              <w:t>Informatīvā ziņojuma 2.pielikums</w:t>
            </w:r>
          </w:p>
        </w:tc>
        <w:tc>
          <w:tcPr>
            <w:tcW w:w="1390" w:type="pct"/>
            <w:tcBorders>
              <w:top w:val="single" w:sz="6" w:space="0" w:color="000000"/>
              <w:left w:val="single" w:sz="4" w:space="0" w:color="auto"/>
              <w:bottom w:val="single" w:sz="6" w:space="0" w:color="000000"/>
              <w:right w:val="single" w:sz="6" w:space="0" w:color="000000"/>
            </w:tcBorders>
          </w:tcPr>
          <w:p w14:paraId="2A1F5261" w14:textId="77777777" w:rsidR="0035508B" w:rsidRPr="00937060" w:rsidRDefault="0035508B" w:rsidP="0035508B">
            <w:pPr>
              <w:pStyle w:val="NoSpacing"/>
              <w:rPr>
                <w:b/>
                <w:szCs w:val="24"/>
                <w:u w:val="single"/>
              </w:rPr>
            </w:pPr>
            <w:r w:rsidRPr="00937060">
              <w:rPr>
                <w:b/>
                <w:szCs w:val="24"/>
                <w:u w:val="single"/>
              </w:rPr>
              <w:t>Ekonomikas ministrija:</w:t>
            </w:r>
          </w:p>
          <w:p w14:paraId="52D880E9" w14:textId="77777777" w:rsidR="0035508B" w:rsidRDefault="0035508B" w:rsidP="0035508B">
            <w:pPr>
              <w:widowControl w:val="0"/>
              <w:jc w:val="both"/>
              <w:rPr>
                <w:rFonts w:eastAsia="Calibri"/>
                <w:lang w:eastAsia="en-US"/>
              </w:rPr>
            </w:pPr>
            <w:r w:rsidRPr="00937060">
              <w:rPr>
                <w:rFonts w:eastAsia="Calibri"/>
                <w:lang w:eastAsia="en-US"/>
              </w:rPr>
              <w:t>Lūdzam papildināt informatīvā ziņojuma 2.pielikumu ar KIDG izvērtēšanas plānā apstiprinātā izvērtējuma “Finanšu instrumentu ieviešanas Eiropas Savienības fondu plānošanas periodā no 2021.-2027.gadam sākotnējā (ex-ante) novērtējuma izstrāde” sagatavošanai nepieciešamo laiku, kas ir ex-ante novērtējums un nepieciešams investīciju finanšu instrumentu veidā plānošanai un kam būs attiecīgi pakārtoti atbildīgo iestāžu MK noteikumu sagatavošanas termiņi.</w:t>
            </w:r>
          </w:p>
          <w:p w14:paraId="72DD0C32" w14:textId="77777777" w:rsidR="006C7028" w:rsidRDefault="006C7028" w:rsidP="0035508B">
            <w:pPr>
              <w:widowControl w:val="0"/>
              <w:jc w:val="both"/>
              <w:rPr>
                <w:rFonts w:eastAsia="Calibri"/>
                <w:lang w:eastAsia="en-US"/>
              </w:rPr>
            </w:pPr>
          </w:p>
          <w:p w14:paraId="6C992FC0" w14:textId="3B610914" w:rsidR="006C7028" w:rsidRDefault="006C7028" w:rsidP="0035508B">
            <w:pPr>
              <w:widowControl w:val="0"/>
              <w:jc w:val="both"/>
            </w:pPr>
            <w:r>
              <w:rPr>
                <w:b/>
                <w:u w:val="single"/>
              </w:rPr>
              <w:t>Ekonomikas</w:t>
            </w:r>
            <w:r w:rsidRPr="003B1E10">
              <w:rPr>
                <w:b/>
                <w:u w:val="single"/>
              </w:rPr>
              <w:t xml:space="preserve"> ministrijas 29.05.2019. </w:t>
            </w:r>
            <w:r w:rsidRPr="003B1E10">
              <w:rPr>
                <w:b/>
                <w:u w:val="single"/>
              </w:rPr>
              <w:lastRenderedPageBreak/>
              <w:t>iebildums</w:t>
            </w:r>
            <w:r>
              <w:rPr>
                <w:b/>
                <w:u w:val="single"/>
              </w:rPr>
              <w:t>:</w:t>
            </w:r>
          </w:p>
          <w:p w14:paraId="54C9068C" w14:textId="77777777" w:rsidR="006C7028" w:rsidRDefault="006C7028" w:rsidP="0035508B">
            <w:pPr>
              <w:widowControl w:val="0"/>
              <w:jc w:val="both"/>
            </w:pPr>
          </w:p>
          <w:p w14:paraId="6555E5DA" w14:textId="6758CD4E" w:rsidR="006C7028" w:rsidRPr="00937060" w:rsidRDefault="006C7028" w:rsidP="0035508B">
            <w:pPr>
              <w:widowControl w:val="0"/>
              <w:jc w:val="both"/>
              <w:rPr>
                <w:rFonts w:eastAsia="Calibri"/>
                <w:lang w:eastAsia="en-US"/>
              </w:rPr>
            </w:pPr>
            <w:r>
              <w:t>EM uztur iepriekš izteikto iebildumu Nr.5. (2019.gada 20.maija vēstule Nr. 3.1-20/2019/106</w:t>
            </w:r>
            <w:r>
              <w:rPr>
                <w:i/>
                <w:iCs/>
              </w:rPr>
              <w:t xml:space="preserve">): “Lūdzam papildināt informatīvā ziņojuma 2.pielikumu ar KIDG izvērtēšanas plānā apstiprinātā izvērtējuma “Finanšu instrumentu ieviešanas Eiropas Savienības fondu plānošanas periodā no 2021.-2027.gadam sākotnējā (ex-ante) novērtējuma izstrāde” sagatavošanai nepieciešamo laiku, kas ir ex-ante novērtējums un nepieciešams investīciju finanšu instrumentu veidā plānošanai un kam būs attiecīgi pakārtoti atbildīgo iestāžu MK noteikumu sagatavošanas termiņi”, </w:t>
            </w:r>
            <w:r>
              <w:t>jo tas nav ņemts vērā pēc būtības. Ņemot vērā, ka finanšu instrumentu ex-ante izvērtējuma veikšanas uzsākšana jau ir aizkavējusies no sākotnēji plānotā, lūdzam tomēr rast iespēju papildināt 2.pielikumu ar atsevišķu laika rindu šī uzdevuma veikšanai.</w:t>
            </w:r>
          </w:p>
        </w:tc>
        <w:tc>
          <w:tcPr>
            <w:tcW w:w="1191" w:type="pct"/>
            <w:tcBorders>
              <w:top w:val="single" w:sz="6" w:space="0" w:color="000000"/>
              <w:left w:val="single" w:sz="6" w:space="0" w:color="000000"/>
              <w:bottom w:val="single" w:sz="6" w:space="0" w:color="000000"/>
              <w:right w:val="single" w:sz="4" w:space="0" w:color="auto"/>
            </w:tcBorders>
          </w:tcPr>
          <w:p w14:paraId="63D0EF3A" w14:textId="77777777" w:rsidR="0035508B" w:rsidRDefault="00E52454" w:rsidP="0035508B">
            <w:pPr>
              <w:pStyle w:val="NormalWeb"/>
              <w:spacing w:before="0" w:beforeAutospacing="0" w:after="120" w:afterAutospacing="0"/>
              <w:jc w:val="center"/>
              <w:rPr>
                <w:b/>
              </w:rPr>
            </w:pPr>
            <w:r>
              <w:rPr>
                <w:b/>
              </w:rPr>
              <w:lastRenderedPageBreak/>
              <w:t>Ņemts vērā.</w:t>
            </w:r>
          </w:p>
          <w:p w14:paraId="1E6189F5" w14:textId="77777777" w:rsidR="00E52454" w:rsidRDefault="00E52454" w:rsidP="00E52454">
            <w:pPr>
              <w:pStyle w:val="NormalWeb"/>
              <w:spacing w:before="0" w:beforeAutospacing="0" w:after="120" w:afterAutospacing="0"/>
              <w:jc w:val="both"/>
            </w:pPr>
            <w:r w:rsidRPr="00E52454">
              <w:t xml:space="preserve">Pagarināts priekšnosacījumu izpildes termiņš. </w:t>
            </w:r>
          </w:p>
          <w:p w14:paraId="21CA3B14" w14:textId="62C6B709" w:rsidR="00A47250" w:rsidRPr="00A47250" w:rsidRDefault="00A47250" w:rsidP="00A47250">
            <w:pPr>
              <w:jc w:val="both"/>
              <w:rPr>
                <w:sz w:val="22"/>
                <w:szCs w:val="22"/>
              </w:rPr>
            </w:pPr>
            <w:r w:rsidRPr="00A47250">
              <w:t>Informējam</w:t>
            </w:r>
            <w:r w:rsidR="006C7028" w:rsidRPr="00A47250">
              <w:t xml:space="preserve">, ka </w:t>
            </w:r>
            <w:r w:rsidRPr="00A47250">
              <w:t>2021. – 2027. gada ES fondu plānošanas perioda finanšu instrumentu tirgus nepilnību sākotnējā novērtējuma indikatīvais laika grafiks:</w:t>
            </w:r>
          </w:p>
          <w:p w14:paraId="2B5FD25C" w14:textId="6649305A" w:rsidR="006C7028" w:rsidRPr="00E52454" w:rsidRDefault="00A47250" w:rsidP="00A47250">
            <w:pPr>
              <w:pStyle w:val="NormalWeb"/>
              <w:spacing w:before="0" w:beforeAutospacing="0" w:after="120" w:afterAutospacing="0"/>
              <w:jc w:val="both"/>
            </w:pPr>
            <w:r w:rsidRPr="00A47250">
              <w:t xml:space="preserve">- iepirkuma izsludināšana līdz 01.07.2019., līguma slēgšana par novērtējuma veikšanu līdz 15.09.2019., novērtējuma metodoloģijas izstrāde līdz 30.11.2019., novērtējuma veikšana līdz 31.05.2020., </w:t>
            </w:r>
            <w:r w:rsidRPr="00A47250">
              <w:lastRenderedPageBreak/>
              <w:t>novērtējuma ziņojuma izstrāde līdz 31.07.2020.</w:t>
            </w:r>
          </w:p>
        </w:tc>
        <w:tc>
          <w:tcPr>
            <w:tcW w:w="970" w:type="pct"/>
            <w:tcBorders>
              <w:left w:val="single" w:sz="4" w:space="0" w:color="auto"/>
              <w:bottom w:val="single" w:sz="4" w:space="0" w:color="auto"/>
            </w:tcBorders>
          </w:tcPr>
          <w:p w14:paraId="1615D80F" w14:textId="0CBC4B83" w:rsidR="0035508B" w:rsidRPr="00937060" w:rsidRDefault="00E52454" w:rsidP="0035508B">
            <w:pPr>
              <w:pStyle w:val="Title"/>
              <w:jc w:val="both"/>
              <w:outlineLvl w:val="0"/>
              <w:rPr>
                <w:sz w:val="24"/>
                <w:szCs w:val="24"/>
              </w:rPr>
            </w:pPr>
            <w:r>
              <w:rPr>
                <w:sz w:val="24"/>
                <w:szCs w:val="24"/>
              </w:rPr>
              <w:lastRenderedPageBreak/>
              <w:t>Skatīt precizēto 2.pielikumu.</w:t>
            </w:r>
          </w:p>
        </w:tc>
      </w:tr>
      <w:tr w:rsidR="0035508B" w:rsidRPr="00937060" w14:paraId="6E0D2261" w14:textId="77777777" w:rsidTr="00C066E7">
        <w:trPr>
          <w:trHeight w:val="404"/>
        </w:trPr>
        <w:tc>
          <w:tcPr>
            <w:tcW w:w="283" w:type="pct"/>
            <w:tcBorders>
              <w:top w:val="single" w:sz="6" w:space="0" w:color="000000"/>
              <w:left w:val="single" w:sz="6" w:space="0" w:color="000000"/>
              <w:bottom w:val="single" w:sz="6" w:space="0" w:color="000000"/>
              <w:right w:val="single" w:sz="4" w:space="0" w:color="auto"/>
            </w:tcBorders>
            <w:shd w:val="clear" w:color="auto" w:fill="FFFFFF" w:themeFill="background1"/>
          </w:tcPr>
          <w:p w14:paraId="67301BDD" w14:textId="77777777" w:rsidR="0035508B" w:rsidRPr="00937060" w:rsidRDefault="0035508B" w:rsidP="00B60E7A">
            <w:pPr>
              <w:pStyle w:val="naisc"/>
              <w:numPr>
                <w:ilvl w:val="0"/>
                <w:numId w:val="36"/>
              </w:numPr>
              <w:spacing w:before="0" w:after="0"/>
            </w:pPr>
          </w:p>
        </w:tc>
        <w:tc>
          <w:tcPr>
            <w:tcW w:w="1166" w:type="pct"/>
            <w:tcBorders>
              <w:left w:val="single" w:sz="4" w:space="0" w:color="auto"/>
              <w:bottom w:val="single" w:sz="4" w:space="0" w:color="auto"/>
              <w:right w:val="single" w:sz="4" w:space="0" w:color="auto"/>
            </w:tcBorders>
          </w:tcPr>
          <w:p w14:paraId="17547B57" w14:textId="77777777" w:rsidR="0035508B" w:rsidRPr="00937060" w:rsidRDefault="0035508B" w:rsidP="0035508B">
            <w:pPr>
              <w:ind w:hanging="33"/>
              <w:jc w:val="both"/>
              <w:outlineLvl w:val="0"/>
            </w:pPr>
            <w:r w:rsidRPr="00937060">
              <w:t>Vispārīgs iebildums</w:t>
            </w:r>
          </w:p>
          <w:p w14:paraId="3BA9D237" w14:textId="77777777" w:rsidR="0035508B" w:rsidRPr="00937060" w:rsidRDefault="0035508B" w:rsidP="0035508B">
            <w:pPr>
              <w:pStyle w:val="Title"/>
              <w:ind w:hanging="33"/>
              <w:jc w:val="both"/>
              <w:outlineLvl w:val="0"/>
              <w:rPr>
                <w:sz w:val="24"/>
                <w:szCs w:val="24"/>
              </w:rPr>
            </w:pPr>
          </w:p>
        </w:tc>
        <w:tc>
          <w:tcPr>
            <w:tcW w:w="1390" w:type="pct"/>
            <w:tcBorders>
              <w:top w:val="single" w:sz="6" w:space="0" w:color="000000"/>
              <w:left w:val="single" w:sz="4" w:space="0" w:color="auto"/>
              <w:bottom w:val="single" w:sz="6" w:space="0" w:color="000000"/>
              <w:right w:val="single" w:sz="6" w:space="0" w:color="000000"/>
            </w:tcBorders>
          </w:tcPr>
          <w:p w14:paraId="1F0C6950" w14:textId="77777777" w:rsidR="0035508B" w:rsidRPr="00937060" w:rsidRDefault="0035508B" w:rsidP="0035508B">
            <w:pPr>
              <w:jc w:val="both"/>
              <w:rPr>
                <w:b/>
                <w:u w:val="single"/>
              </w:rPr>
            </w:pPr>
            <w:r w:rsidRPr="00937060">
              <w:rPr>
                <w:b/>
                <w:u w:val="single"/>
              </w:rPr>
              <w:t xml:space="preserve">Latvijas Lielo pilsētu asociācija </w:t>
            </w:r>
          </w:p>
          <w:p w14:paraId="7CF25527" w14:textId="21279A02" w:rsidR="0035508B" w:rsidRPr="00937060" w:rsidRDefault="0035508B" w:rsidP="0035508B">
            <w:pPr>
              <w:jc w:val="both"/>
              <w:rPr>
                <w:u w:val="single"/>
              </w:rPr>
            </w:pPr>
            <w:r w:rsidRPr="00937060">
              <w:t xml:space="preserve">Informatīvā ziņojumā ietvertajā laika grafikā netiek ņemta vērā administratīvi teritoriālās reformas (turpmāk – ATR) virzība un tas, kādi nacionāla mēroga jautājumi jaunveidojamām administratīvajām vienībām līdz ar ATR būs jārisina, </w:t>
            </w:r>
            <w:r w:rsidRPr="00937060">
              <w:lastRenderedPageBreak/>
              <w:t xml:space="preserve">piemēram, skolu tīkla reforma, ceļu infrastruktūra, pasažieru pārvadājumi u.t.t. Tam būtu jābūt atspoguļotam jau izstrādājot Nacionālo attīstības plānu 2021.-2027.gadam, kas būs pamats gan valsts budžeta resursu turpmākajai plānošanai, gan Eiropas Savienības fondu resursu plānošanai. Līdz ar to </w:t>
            </w:r>
            <w:r w:rsidRPr="00937060">
              <w:rPr>
                <w:u w:val="single"/>
              </w:rPr>
              <w:t>Eiropas Savienības fondu ieviešanas laika grafiks “neiet kopā” ar jaunajām politikas iniciatīvām.</w:t>
            </w:r>
          </w:p>
        </w:tc>
        <w:tc>
          <w:tcPr>
            <w:tcW w:w="1191" w:type="pct"/>
            <w:tcBorders>
              <w:top w:val="single" w:sz="6" w:space="0" w:color="000000"/>
              <w:left w:val="single" w:sz="6" w:space="0" w:color="000000"/>
              <w:bottom w:val="single" w:sz="6" w:space="0" w:color="000000"/>
              <w:right w:val="single" w:sz="4" w:space="0" w:color="auto"/>
            </w:tcBorders>
          </w:tcPr>
          <w:p w14:paraId="1B81E2DA" w14:textId="77777777" w:rsidR="0035508B" w:rsidRDefault="00E52454" w:rsidP="0035508B">
            <w:pPr>
              <w:pStyle w:val="NormalWeb"/>
              <w:spacing w:before="0" w:beforeAutospacing="0" w:after="120" w:afterAutospacing="0"/>
              <w:jc w:val="center"/>
              <w:rPr>
                <w:b/>
              </w:rPr>
            </w:pPr>
            <w:r>
              <w:rPr>
                <w:b/>
              </w:rPr>
              <w:lastRenderedPageBreak/>
              <w:t>Ņemts vērā.</w:t>
            </w:r>
          </w:p>
          <w:p w14:paraId="77B9BCD0" w14:textId="138FCBFD" w:rsidR="00E52454" w:rsidRPr="00E52454" w:rsidRDefault="00E52454" w:rsidP="00E52454">
            <w:pPr>
              <w:pStyle w:val="NormalWeb"/>
              <w:spacing w:before="0" w:beforeAutospacing="0" w:after="120" w:afterAutospacing="0"/>
              <w:jc w:val="both"/>
            </w:pPr>
            <w:r w:rsidRPr="00E52454">
              <w:t xml:space="preserve">Skaidrojam, ka ES KP fondu plānošanas dokumenti tiks izstrādāti, ņemot vērā NAP2027, kur tai skaitā tiks ņemts vērā reģionālais aspekts. </w:t>
            </w:r>
          </w:p>
        </w:tc>
        <w:tc>
          <w:tcPr>
            <w:tcW w:w="970" w:type="pct"/>
            <w:tcBorders>
              <w:left w:val="single" w:sz="4" w:space="0" w:color="auto"/>
              <w:bottom w:val="single" w:sz="4" w:space="0" w:color="auto"/>
            </w:tcBorders>
          </w:tcPr>
          <w:p w14:paraId="2B8D7D50" w14:textId="568E8299" w:rsidR="0035508B" w:rsidRPr="00937060" w:rsidRDefault="00E52454" w:rsidP="00E52454">
            <w:pPr>
              <w:pStyle w:val="Title"/>
              <w:jc w:val="both"/>
              <w:outlineLvl w:val="0"/>
              <w:rPr>
                <w:sz w:val="24"/>
                <w:szCs w:val="24"/>
              </w:rPr>
            </w:pPr>
            <w:r>
              <w:rPr>
                <w:sz w:val="24"/>
                <w:szCs w:val="24"/>
              </w:rPr>
              <w:t xml:space="preserve">Skatīt precizēto informatīvo ziņojumu. </w:t>
            </w:r>
          </w:p>
        </w:tc>
      </w:tr>
    </w:tbl>
    <w:p w14:paraId="67428A64" w14:textId="77777777" w:rsidR="00306DF7" w:rsidRPr="00937060" w:rsidRDefault="00306DF7" w:rsidP="00593A03">
      <w:pPr>
        <w:pStyle w:val="naisf"/>
        <w:tabs>
          <w:tab w:val="left" w:pos="11400"/>
        </w:tabs>
        <w:spacing w:before="120" w:after="0"/>
        <w:ind w:firstLine="720"/>
        <w:rPr>
          <w:sz w:val="22"/>
          <w:szCs w:val="22"/>
        </w:rPr>
      </w:pPr>
    </w:p>
    <w:tbl>
      <w:tblPr>
        <w:tblW w:w="14283" w:type="dxa"/>
        <w:tblLayout w:type="fixed"/>
        <w:tblLook w:val="00A0" w:firstRow="1" w:lastRow="0" w:firstColumn="1" w:lastColumn="0" w:noHBand="0" w:noVBand="0"/>
      </w:tblPr>
      <w:tblGrid>
        <w:gridCol w:w="14283"/>
      </w:tblGrid>
      <w:tr w:rsidR="00937060" w:rsidRPr="00937060" w14:paraId="40BAE848" w14:textId="77777777" w:rsidTr="00C70C6F">
        <w:tc>
          <w:tcPr>
            <w:tcW w:w="3108" w:type="dxa"/>
          </w:tcPr>
          <w:p w14:paraId="7EC4032E" w14:textId="77777777" w:rsidR="007E799B" w:rsidRPr="00937060" w:rsidRDefault="007E799B" w:rsidP="00C70C6F">
            <w:pPr>
              <w:pStyle w:val="naiskr"/>
              <w:spacing w:before="0" w:after="0"/>
              <w:rPr>
                <w:sz w:val="22"/>
                <w:szCs w:val="22"/>
              </w:rPr>
            </w:pPr>
            <w:r w:rsidRPr="00937060">
              <w:rPr>
                <w:sz w:val="22"/>
                <w:szCs w:val="22"/>
              </w:rPr>
              <w:t>Atbildīgā amatpersona</w:t>
            </w:r>
          </w:p>
        </w:tc>
      </w:tr>
      <w:tr w:rsidR="007E799B" w:rsidRPr="00937060" w14:paraId="5E289A1E" w14:textId="77777777" w:rsidTr="00C70C6F">
        <w:trPr>
          <w:trHeight w:val="70"/>
        </w:trPr>
        <w:tc>
          <w:tcPr>
            <w:tcW w:w="3108" w:type="dxa"/>
          </w:tcPr>
          <w:p w14:paraId="5D6DF3A3" w14:textId="77777777" w:rsidR="007E799B" w:rsidRPr="00937060" w:rsidRDefault="007E799B" w:rsidP="00C70C6F">
            <w:pPr>
              <w:pStyle w:val="naiskr"/>
              <w:spacing w:before="0" w:after="0"/>
              <w:rPr>
                <w:sz w:val="22"/>
                <w:szCs w:val="22"/>
              </w:rPr>
            </w:pPr>
          </w:p>
        </w:tc>
      </w:tr>
    </w:tbl>
    <w:p w14:paraId="56AD4BEF" w14:textId="04A3E0BD" w:rsidR="007E799B" w:rsidRPr="00937060" w:rsidRDefault="00AB7F28" w:rsidP="00AB7F28">
      <w:pPr>
        <w:pStyle w:val="naisf"/>
        <w:spacing w:before="0" w:after="0"/>
        <w:ind w:firstLine="0"/>
        <w:jc w:val="left"/>
        <w:rPr>
          <w:sz w:val="22"/>
          <w:szCs w:val="22"/>
        </w:rPr>
      </w:pPr>
      <w:r>
        <w:rPr>
          <w:sz w:val="22"/>
          <w:szCs w:val="22"/>
        </w:rPr>
        <w:t xml:space="preserve">                                                Kristīne Ancāne</w:t>
      </w:r>
    </w:p>
    <w:tbl>
      <w:tblPr>
        <w:tblW w:w="0" w:type="auto"/>
        <w:tblLook w:val="00A0" w:firstRow="1" w:lastRow="0" w:firstColumn="1" w:lastColumn="0" w:noHBand="0" w:noVBand="0"/>
      </w:tblPr>
      <w:tblGrid>
        <w:gridCol w:w="8268"/>
      </w:tblGrid>
      <w:tr w:rsidR="00937060" w:rsidRPr="00937060" w14:paraId="2C7B6285" w14:textId="77777777" w:rsidTr="00C70C6F">
        <w:tc>
          <w:tcPr>
            <w:tcW w:w="8268" w:type="dxa"/>
            <w:tcBorders>
              <w:top w:val="single" w:sz="4" w:space="0" w:color="000000"/>
            </w:tcBorders>
          </w:tcPr>
          <w:p w14:paraId="51470443" w14:textId="77777777" w:rsidR="007E799B" w:rsidRPr="00937060" w:rsidRDefault="007E799B" w:rsidP="00C70C6F">
            <w:pPr>
              <w:jc w:val="center"/>
              <w:rPr>
                <w:sz w:val="22"/>
                <w:szCs w:val="22"/>
              </w:rPr>
            </w:pPr>
            <w:r w:rsidRPr="00937060">
              <w:rPr>
                <w:sz w:val="22"/>
                <w:szCs w:val="22"/>
              </w:rPr>
              <w:t>(par projektu atbildīgās amatpersonas vārds un uzvārds)</w:t>
            </w:r>
          </w:p>
        </w:tc>
      </w:tr>
      <w:tr w:rsidR="00937060" w:rsidRPr="00937060" w14:paraId="69266DD5" w14:textId="77777777" w:rsidTr="00C70C6F">
        <w:tc>
          <w:tcPr>
            <w:tcW w:w="8268" w:type="dxa"/>
            <w:tcBorders>
              <w:bottom w:val="single" w:sz="4" w:space="0" w:color="000000"/>
            </w:tcBorders>
          </w:tcPr>
          <w:p w14:paraId="750DD3E6" w14:textId="77777777" w:rsidR="007E799B" w:rsidRPr="00937060" w:rsidRDefault="007E799B" w:rsidP="00C70C6F">
            <w:pPr>
              <w:rPr>
                <w:sz w:val="22"/>
                <w:szCs w:val="22"/>
              </w:rPr>
            </w:pPr>
            <w:r w:rsidRPr="00937060">
              <w:rPr>
                <w:sz w:val="22"/>
                <w:szCs w:val="22"/>
              </w:rPr>
              <w:t xml:space="preserve">Finanšu ministrijas </w:t>
            </w:r>
          </w:p>
          <w:p w14:paraId="2E87207B" w14:textId="63E94DEC" w:rsidR="007E799B" w:rsidRPr="00937060" w:rsidRDefault="007E799B" w:rsidP="00C70C6F">
            <w:pPr>
              <w:rPr>
                <w:sz w:val="22"/>
                <w:szCs w:val="22"/>
              </w:rPr>
            </w:pPr>
            <w:r w:rsidRPr="00937060">
              <w:rPr>
                <w:sz w:val="22"/>
                <w:szCs w:val="22"/>
              </w:rPr>
              <w:t xml:space="preserve">Eiropas Savienības fondu </w:t>
            </w:r>
            <w:r w:rsidR="00C8691E" w:rsidRPr="00937060">
              <w:rPr>
                <w:sz w:val="22"/>
                <w:szCs w:val="22"/>
              </w:rPr>
              <w:t>stratēģijas</w:t>
            </w:r>
            <w:r w:rsidR="00CF6B11" w:rsidRPr="00937060">
              <w:rPr>
                <w:sz w:val="22"/>
                <w:szCs w:val="22"/>
              </w:rPr>
              <w:t xml:space="preserve"> </w:t>
            </w:r>
            <w:r w:rsidRPr="00937060">
              <w:rPr>
                <w:sz w:val="22"/>
                <w:szCs w:val="22"/>
              </w:rPr>
              <w:t>departamenta</w:t>
            </w:r>
          </w:p>
          <w:p w14:paraId="73948C52" w14:textId="77777777" w:rsidR="00AB7F28" w:rsidRDefault="00AB7F28" w:rsidP="00C70C6F">
            <w:pPr>
              <w:rPr>
                <w:sz w:val="22"/>
                <w:szCs w:val="22"/>
              </w:rPr>
            </w:pPr>
            <w:r>
              <w:rPr>
                <w:sz w:val="22"/>
                <w:szCs w:val="22"/>
              </w:rPr>
              <w:t>Direktora vietniece</w:t>
            </w:r>
          </w:p>
          <w:p w14:paraId="44B8306C" w14:textId="3F8EE1EF" w:rsidR="007E799B" w:rsidRPr="00937060" w:rsidRDefault="00C8691E" w:rsidP="00C70C6F">
            <w:pPr>
              <w:rPr>
                <w:sz w:val="22"/>
                <w:szCs w:val="22"/>
              </w:rPr>
            </w:pPr>
            <w:r w:rsidRPr="00937060">
              <w:rPr>
                <w:sz w:val="22"/>
                <w:szCs w:val="22"/>
              </w:rPr>
              <w:t xml:space="preserve">Uzņēmējdarbības un </w:t>
            </w:r>
            <w:r w:rsidR="00AB7F28">
              <w:rPr>
                <w:sz w:val="22"/>
                <w:szCs w:val="22"/>
              </w:rPr>
              <w:t xml:space="preserve">inovāciju </w:t>
            </w:r>
            <w:r w:rsidRPr="00937060">
              <w:rPr>
                <w:sz w:val="22"/>
                <w:szCs w:val="22"/>
              </w:rPr>
              <w:t>attīstības nodaļas</w:t>
            </w:r>
            <w:r w:rsidR="00AB7F28">
              <w:rPr>
                <w:sz w:val="22"/>
                <w:szCs w:val="22"/>
              </w:rPr>
              <w:t xml:space="preserve"> vadītāja</w:t>
            </w:r>
          </w:p>
        </w:tc>
      </w:tr>
      <w:tr w:rsidR="00937060" w:rsidRPr="00937060" w14:paraId="63579831" w14:textId="77777777" w:rsidTr="00C70C6F">
        <w:tc>
          <w:tcPr>
            <w:tcW w:w="8268" w:type="dxa"/>
            <w:tcBorders>
              <w:top w:val="single" w:sz="4" w:space="0" w:color="000000"/>
            </w:tcBorders>
          </w:tcPr>
          <w:p w14:paraId="025072FA" w14:textId="77777777" w:rsidR="007E799B" w:rsidRPr="00937060" w:rsidRDefault="007E799B" w:rsidP="00C70C6F">
            <w:pPr>
              <w:jc w:val="center"/>
              <w:rPr>
                <w:sz w:val="22"/>
                <w:szCs w:val="22"/>
              </w:rPr>
            </w:pPr>
            <w:r w:rsidRPr="00937060">
              <w:rPr>
                <w:sz w:val="22"/>
                <w:szCs w:val="22"/>
              </w:rPr>
              <w:t>(amats)</w:t>
            </w:r>
          </w:p>
        </w:tc>
      </w:tr>
      <w:tr w:rsidR="00937060" w:rsidRPr="00937060" w14:paraId="0515B1DE" w14:textId="77777777" w:rsidTr="00C70C6F">
        <w:tc>
          <w:tcPr>
            <w:tcW w:w="8268" w:type="dxa"/>
            <w:tcBorders>
              <w:bottom w:val="single" w:sz="4" w:space="0" w:color="000000"/>
            </w:tcBorders>
          </w:tcPr>
          <w:p w14:paraId="3276728F" w14:textId="48C954BC" w:rsidR="007E799B" w:rsidRPr="00937060" w:rsidRDefault="007E799B" w:rsidP="00E44BE0">
            <w:pPr>
              <w:rPr>
                <w:sz w:val="22"/>
                <w:szCs w:val="22"/>
              </w:rPr>
            </w:pPr>
            <w:r w:rsidRPr="00937060">
              <w:rPr>
                <w:sz w:val="22"/>
                <w:szCs w:val="22"/>
              </w:rPr>
              <w:t xml:space="preserve">Tālr. </w:t>
            </w:r>
            <w:r w:rsidR="00AB7F28" w:rsidRPr="00AB7F28">
              <w:rPr>
                <w:sz w:val="22"/>
                <w:szCs w:val="22"/>
              </w:rPr>
              <w:t>6 7095482</w:t>
            </w:r>
          </w:p>
        </w:tc>
      </w:tr>
      <w:tr w:rsidR="00937060" w:rsidRPr="00937060" w14:paraId="5E1BB05D" w14:textId="77777777" w:rsidTr="00C70C6F">
        <w:tc>
          <w:tcPr>
            <w:tcW w:w="8268" w:type="dxa"/>
            <w:tcBorders>
              <w:top w:val="single" w:sz="4" w:space="0" w:color="000000"/>
            </w:tcBorders>
          </w:tcPr>
          <w:p w14:paraId="2C5543ED" w14:textId="77777777" w:rsidR="007E799B" w:rsidRPr="00937060" w:rsidRDefault="007E799B" w:rsidP="00C70C6F">
            <w:pPr>
              <w:jc w:val="center"/>
              <w:rPr>
                <w:sz w:val="22"/>
                <w:szCs w:val="22"/>
              </w:rPr>
            </w:pPr>
            <w:r w:rsidRPr="00937060">
              <w:rPr>
                <w:sz w:val="22"/>
                <w:szCs w:val="22"/>
              </w:rPr>
              <w:t>(tālruņa un faksa numurs)</w:t>
            </w:r>
          </w:p>
        </w:tc>
      </w:tr>
      <w:tr w:rsidR="00937060" w:rsidRPr="00937060" w14:paraId="167391FC" w14:textId="77777777" w:rsidTr="00C70C6F">
        <w:tc>
          <w:tcPr>
            <w:tcW w:w="8268" w:type="dxa"/>
            <w:tcBorders>
              <w:bottom w:val="single" w:sz="4" w:space="0" w:color="000000"/>
            </w:tcBorders>
          </w:tcPr>
          <w:p w14:paraId="6749D4BF" w14:textId="09324C1A" w:rsidR="007E799B" w:rsidRPr="00937060" w:rsidRDefault="00AB7F28" w:rsidP="00E44BE0">
            <w:pPr>
              <w:rPr>
                <w:sz w:val="22"/>
                <w:szCs w:val="22"/>
              </w:rPr>
            </w:pPr>
            <w:r>
              <w:rPr>
                <w:sz w:val="22"/>
                <w:szCs w:val="22"/>
              </w:rPr>
              <w:t>kristine.ancane</w:t>
            </w:r>
            <w:r w:rsidR="007E799B" w:rsidRPr="00937060">
              <w:rPr>
                <w:sz w:val="22"/>
                <w:szCs w:val="22"/>
              </w:rPr>
              <w:t>@fm.gov.lv</w:t>
            </w:r>
            <w:hyperlink r:id="rId8" w:history="1"/>
          </w:p>
        </w:tc>
      </w:tr>
      <w:tr w:rsidR="007E799B" w:rsidRPr="00937060" w14:paraId="1C6C4521" w14:textId="77777777" w:rsidTr="00C70C6F">
        <w:tc>
          <w:tcPr>
            <w:tcW w:w="8268" w:type="dxa"/>
            <w:tcBorders>
              <w:top w:val="single" w:sz="4" w:space="0" w:color="000000"/>
            </w:tcBorders>
          </w:tcPr>
          <w:p w14:paraId="6AB427EB" w14:textId="77777777" w:rsidR="007E799B" w:rsidRPr="00937060" w:rsidRDefault="007E799B" w:rsidP="00C70C6F">
            <w:pPr>
              <w:jc w:val="center"/>
              <w:rPr>
                <w:sz w:val="22"/>
                <w:szCs w:val="22"/>
              </w:rPr>
            </w:pPr>
            <w:r w:rsidRPr="00937060">
              <w:rPr>
                <w:sz w:val="22"/>
                <w:szCs w:val="22"/>
              </w:rPr>
              <w:t>(e-pasta adrese)</w:t>
            </w:r>
          </w:p>
        </w:tc>
      </w:tr>
    </w:tbl>
    <w:p w14:paraId="060C3B1A" w14:textId="77777777" w:rsidR="00C45489" w:rsidRPr="00937060" w:rsidRDefault="00C45489" w:rsidP="007E799B">
      <w:pPr>
        <w:tabs>
          <w:tab w:val="center" w:pos="4153"/>
          <w:tab w:val="right" w:pos="8306"/>
        </w:tabs>
        <w:rPr>
          <w:rFonts w:eastAsia="Calibri"/>
          <w:sz w:val="20"/>
          <w:szCs w:val="20"/>
          <w:lang w:eastAsia="en-US"/>
        </w:rPr>
      </w:pPr>
    </w:p>
    <w:p w14:paraId="0D9A9E2F" w14:textId="5EF69991" w:rsidR="007E799B" w:rsidRPr="00937060" w:rsidRDefault="00AB7F28" w:rsidP="007E799B">
      <w:pPr>
        <w:tabs>
          <w:tab w:val="center" w:pos="4153"/>
          <w:tab w:val="right" w:pos="8306"/>
        </w:tabs>
        <w:rPr>
          <w:rFonts w:eastAsia="Calibri"/>
          <w:sz w:val="20"/>
          <w:szCs w:val="20"/>
          <w:lang w:eastAsia="en-US"/>
        </w:rPr>
      </w:pPr>
      <w:r>
        <w:rPr>
          <w:rFonts w:eastAsia="Calibri"/>
          <w:sz w:val="20"/>
          <w:szCs w:val="20"/>
          <w:lang w:eastAsia="en-US"/>
        </w:rPr>
        <w:t>2</w:t>
      </w:r>
      <w:r w:rsidR="009C2B59">
        <w:rPr>
          <w:rFonts w:eastAsia="Calibri"/>
          <w:sz w:val="20"/>
          <w:szCs w:val="20"/>
          <w:lang w:eastAsia="en-US"/>
        </w:rPr>
        <w:t>9</w:t>
      </w:r>
      <w:r w:rsidR="00935FEE">
        <w:rPr>
          <w:rFonts w:eastAsia="Calibri"/>
          <w:sz w:val="20"/>
          <w:szCs w:val="20"/>
          <w:lang w:eastAsia="en-US"/>
        </w:rPr>
        <w:t>.05</w:t>
      </w:r>
      <w:r w:rsidR="00E55266" w:rsidRPr="00937060">
        <w:rPr>
          <w:rFonts w:eastAsia="Calibri"/>
          <w:sz w:val="20"/>
          <w:szCs w:val="20"/>
          <w:lang w:eastAsia="en-US"/>
        </w:rPr>
        <w:t>.</w:t>
      </w:r>
      <w:r w:rsidR="00AF50A2" w:rsidRPr="00937060">
        <w:rPr>
          <w:rFonts w:eastAsia="Calibri"/>
          <w:sz w:val="20"/>
          <w:szCs w:val="20"/>
          <w:lang w:eastAsia="en-US"/>
        </w:rPr>
        <w:t>201</w:t>
      </w:r>
      <w:r w:rsidR="00F84C05" w:rsidRPr="00937060">
        <w:rPr>
          <w:rFonts w:eastAsia="Calibri"/>
          <w:sz w:val="20"/>
          <w:szCs w:val="20"/>
          <w:lang w:eastAsia="en-US"/>
        </w:rPr>
        <w:t>9</w:t>
      </w:r>
      <w:r w:rsidR="00E55266" w:rsidRPr="00937060">
        <w:rPr>
          <w:rFonts w:eastAsia="Calibri"/>
          <w:sz w:val="20"/>
          <w:szCs w:val="20"/>
          <w:lang w:eastAsia="en-US"/>
        </w:rPr>
        <w:t xml:space="preserve">. </w:t>
      </w:r>
      <w:r w:rsidR="00437E54">
        <w:rPr>
          <w:rFonts w:eastAsia="Calibri"/>
          <w:sz w:val="20"/>
          <w:szCs w:val="20"/>
          <w:lang w:eastAsia="en-US"/>
        </w:rPr>
        <w:t>12:20</w:t>
      </w:r>
    </w:p>
    <w:p w14:paraId="7FB31DF4" w14:textId="56B10489" w:rsidR="007E799B" w:rsidRPr="00937060" w:rsidRDefault="00E8256E" w:rsidP="007E799B">
      <w:pPr>
        <w:tabs>
          <w:tab w:val="center" w:pos="4153"/>
          <w:tab w:val="left" w:pos="5610"/>
          <w:tab w:val="right" w:pos="8306"/>
        </w:tabs>
        <w:rPr>
          <w:rFonts w:eastAsia="Calibri"/>
          <w:sz w:val="20"/>
          <w:szCs w:val="20"/>
          <w:lang w:eastAsia="en-US"/>
        </w:rPr>
      </w:pPr>
      <w:r>
        <w:rPr>
          <w:rFonts w:eastAsia="Calibri"/>
          <w:sz w:val="20"/>
          <w:szCs w:val="20"/>
          <w:lang w:eastAsia="en-US"/>
        </w:rPr>
        <w:t>10376</w:t>
      </w:r>
    </w:p>
    <w:p w14:paraId="15911247" w14:textId="39180853" w:rsidR="007E799B" w:rsidRPr="00937060" w:rsidRDefault="00AB7F28" w:rsidP="007E799B">
      <w:pPr>
        <w:tabs>
          <w:tab w:val="center" w:pos="4153"/>
          <w:tab w:val="right" w:pos="8306"/>
        </w:tabs>
        <w:rPr>
          <w:rFonts w:eastAsia="Calibri"/>
          <w:sz w:val="20"/>
          <w:szCs w:val="20"/>
          <w:lang w:eastAsia="en-US"/>
        </w:rPr>
      </w:pPr>
      <w:r>
        <w:rPr>
          <w:rFonts w:eastAsia="Calibri"/>
          <w:sz w:val="20"/>
          <w:szCs w:val="20"/>
          <w:lang w:eastAsia="en-US"/>
        </w:rPr>
        <w:t>K.Ancāne</w:t>
      </w:r>
    </w:p>
    <w:p w14:paraId="7976F259" w14:textId="5F54984B" w:rsidR="007E799B" w:rsidRPr="00937060" w:rsidRDefault="00AB7F28" w:rsidP="007E799B">
      <w:pPr>
        <w:tabs>
          <w:tab w:val="center" w:pos="4153"/>
          <w:tab w:val="right" w:pos="8306"/>
        </w:tabs>
        <w:rPr>
          <w:rFonts w:eastAsia="Calibri"/>
          <w:sz w:val="20"/>
          <w:szCs w:val="20"/>
          <w:lang w:eastAsia="en-US"/>
        </w:rPr>
      </w:pPr>
      <w:r>
        <w:rPr>
          <w:rFonts w:eastAsia="Calibri"/>
          <w:sz w:val="20"/>
          <w:szCs w:val="20"/>
          <w:lang w:eastAsia="en-US"/>
        </w:rPr>
        <w:t>Kristine.Ancane</w:t>
      </w:r>
      <w:r w:rsidR="007E799B" w:rsidRPr="00937060">
        <w:rPr>
          <w:rFonts w:eastAsia="Calibri"/>
          <w:sz w:val="20"/>
          <w:szCs w:val="20"/>
          <w:lang w:eastAsia="en-US"/>
        </w:rPr>
        <w:t>@fm</w:t>
      </w:r>
      <w:r>
        <w:rPr>
          <w:rFonts w:eastAsia="Calibri"/>
          <w:sz w:val="20"/>
          <w:szCs w:val="20"/>
          <w:lang w:eastAsia="en-US"/>
        </w:rPr>
        <w:t>.</w:t>
      </w:r>
      <w:r w:rsidR="007E799B" w:rsidRPr="00937060">
        <w:rPr>
          <w:rFonts w:eastAsia="Calibri"/>
          <w:sz w:val="20"/>
          <w:szCs w:val="20"/>
          <w:lang w:eastAsia="en-US"/>
        </w:rPr>
        <w:t>gov.lv</w:t>
      </w:r>
      <w:hyperlink r:id="rId9" w:history="1"/>
    </w:p>
    <w:p w14:paraId="633C4840" w14:textId="2FC72563" w:rsidR="00A51671" w:rsidRPr="00937060" w:rsidRDefault="00AB7F28" w:rsidP="00170284">
      <w:pPr>
        <w:tabs>
          <w:tab w:val="center" w:pos="4153"/>
          <w:tab w:val="right" w:pos="8306"/>
        </w:tabs>
        <w:rPr>
          <w:sz w:val="20"/>
          <w:szCs w:val="20"/>
        </w:rPr>
      </w:pPr>
      <w:r>
        <w:rPr>
          <w:rFonts w:eastAsia="Calibri"/>
          <w:sz w:val="20"/>
          <w:szCs w:val="20"/>
          <w:lang w:eastAsia="en-US"/>
        </w:rPr>
        <w:t>6 7095</w:t>
      </w:r>
      <w:r w:rsidRPr="00AB7F28">
        <w:rPr>
          <w:rFonts w:eastAsia="Calibri"/>
          <w:sz w:val="20"/>
          <w:szCs w:val="20"/>
          <w:lang w:eastAsia="en-US"/>
        </w:rPr>
        <w:t>482</w:t>
      </w:r>
    </w:p>
    <w:sectPr w:rsidR="00A51671" w:rsidRPr="00937060" w:rsidSect="00020794">
      <w:headerReference w:type="even" r:id="rId10"/>
      <w:headerReference w:type="default" r:id="rId11"/>
      <w:footerReference w:type="even" r:id="rId12"/>
      <w:footerReference w:type="default" r:id="rId13"/>
      <w:footerReference w:type="first" r:id="rId14"/>
      <w:pgSz w:w="16838" w:h="11906" w:orient="landscape"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D26C0" w14:textId="77777777" w:rsidR="002918AB" w:rsidRDefault="002918AB">
      <w:r>
        <w:separator/>
      </w:r>
    </w:p>
  </w:endnote>
  <w:endnote w:type="continuationSeparator" w:id="0">
    <w:p w14:paraId="6C96DFF5" w14:textId="77777777" w:rsidR="002918AB" w:rsidRDefault="002918AB">
      <w:r>
        <w:continuationSeparator/>
      </w:r>
    </w:p>
  </w:endnote>
  <w:endnote w:type="continuationNotice" w:id="1">
    <w:p w14:paraId="632CD796" w14:textId="77777777" w:rsidR="002918AB" w:rsidRDefault="002918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0002AFF" w:usb1="C000247B" w:usb2="00000009" w:usb3="00000000" w:csb0="000001FF" w:csb1="00000000"/>
  </w:font>
  <w:font w:name="DokChampa">
    <w:altName w:val="Microsoft Sans Serif"/>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8E80D" w14:textId="77777777" w:rsidR="002918AB" w:rsidRDefault="002918AB" w:rsidP="006110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6B0A00" w14:textId="77777777" w:rsidR="002918AB" w:rsidRDefault="002918AB" w:rsidP="006646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DAF5A" w14:textId="77777777" w:rsidR="002918AB" w:rsidRDefault="002918AB" w:rsidP="00611022">
    <w:pPr>
      <w:pStyle w:val="Footer"/>
      <w:framePr w:wrap="around" w:vAnchor="text" w:hAnchor="margin" w:xAlign="right" w:y="1"/>
      <w:rPr>
        <w:rStyle w:val="PageNumber"/>
      </w:rPr>
    </w:pPr>
  </w:p>
  <w:p w14:paraId="7CFCF5D2" w14:textId="6CB811F2" w:rsidR="002918AB" w:rsidRPr="00B43E8F" w:rsidRDefault="002918AB" w:rsidP="00E82DB7">
    <w:pPr>
      <w:jc w:val="both"/>
      <w:rPr>
        <w:sz w:val="20"/>
        <w:szCs w:val="20"/>
      </w:rPr>
    </w:pPr>
    <w:r w:rsidRPr="00E82DB7">
      <w:rPr>
        <w:sz w:val="20"/>
        <w:szCs w:val="20"/>
      </w:rPr>
      <w:t>FMizz_</w:t>
    </w:r>
    <w:r>
      <w:rPr>
        <w:sz w:val="20"/>
        <w:szCs w:val="20"/>
      </w:rPr>
      <w:t>290519</w:t>
    </w:r>
    <w:r w:rsidRPr="00E82DB7">
      <w:rPr>
        <w:sz w:val="20"/>
        <w:szCs w:val="20"/>
      </w:rPr>
      <w:t>_</w:t>
    </w:r>
    <w:r>
      <w:rPr>
        <w:sz w:val="20"/>
        <w:szCs w:val="20"/>
      </w:rPr>
      <w:t>fondi_21-27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7C474" w14:textId="17EC1AA6" w:rsidR="002918AB" w:rsidRPr="00482796" w:rsidRDefault="002918AB" w:rsidP="00664646">
    <w:pPr>
      <w:jc w:val="both"/>
      <w:rPr>
        <w:sz w:val="20"/>
        <w:szCs w:val="20"/>
      </w:rPr>
    </w:pPr>
    <w:r w:rsidRPr="00E82DB7">
      <w:rPr>
        <w:sz w:val="20"/>
        <w:szCs w:val="20"/>
      </w:rPr>
      <w:t>FMizz_</w:t>
    </w:r>
    <w:r>
      <w:rPr>
        <w:sz w:val="20"/>
        <w:szCs w:val="20"/>
      </w:rPr>
      <w:t>290519_fondi21-27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BD8D8" w14:textId="77777777" w:rsidR="002918AB" w:rsidRDefault="002918AB">
      <w:r>
        <w:separator/>
      </w:r>
    </w:p>
  </w:footnote>
  <w:footnote w:type="continuationSeparator" w:id="0">
    <w:p w14:paraId="38922445" w14:textId="77777777" w:rsidR="002918AB" w:rsidRDefault="002918AB">
      <w:r>
        <w:continuationSeparator/>
      </w:r>
    </w:p>
  </w:footnote>
  <w:footnote w:type="continuationNotice" w:id="1">
    <w:p w14:paraId="0E50927E" w14:textId="77777777" w:rsidR="002918AB" w:rsidRDefault="002918AB"/>
  </w:footnote>
  <w:footnote w:id="2">
    <w:p w14:paraId="0D08CC22" w14:textId="77777777" w:rsidR="002918AB" w:rsidRPr="00393013" w:rsidRDefault="002918AB" w:rsidP="00BB6AD0">
      <w:pPr>
        <w:pStyle w:val="FootnoteText"/>
        <w:jc w:val="both"/>
      </w:pPr>
      <w:r>
        <w:rPr>
          <w:rStyle w:val="FootnoteReference"/>
        </w:rPr>
        <w:footnoteRef/>
      </w:r>
      <w:r>
        <w:t xml:space="preserve"> </w:t>
      </w:r>
      <w:r w:rsidRPr="00393013">
        <w:t xml:space="preserve">Priekšlikums Eiropas Parlamenta un Padomes regulai, ar ko paredz kopīgus noteikumus par Eiropas Reģionālās attīstības fondu, Eiropas Sociālo fondu Plus, Kohēzijas fondu un Eiropas Jūrlietu un zivsaimniecības fondu un finanšu noteikumus attiecībā uz tiem un uz Patvēruma un migrācijas fondu, Iekšējās drošības fondu un Robežu pārvaldības un vīzu </w:t>
      </w:r>
      <w:r>
        <w:t xml:space="preserve">instrumentu, </w:t>
      </w:r>
      <w:hyperlink r:id="rId1" w:history="1">
        <w:r w:rsidRPr="00FA2A02">
          <w:rPr>
            <w:rStyle w:val="Hyperlink"/>
          </w:rPr>
          <w:t>https://eur-lex.europa.eu/legal-content/LV/TXT/HTML/?uri=CELEX:52018PC0375&amp;from=EN</w:t>
        </w:r>
      </w:hyperlink>
      <w:r>
        <w:t xml:space="preserve"> </w:t>
      </w:r>
    </w:p>
  </w:footnote>
  <w:footnote w:id="3">
    <w:p w14:paraId="258BE488" w14:textId="77777777" w:rsidR="002918AB" w:rsidRPr="00F651DD" w:rsidRDefault="002918AB" w:rsidP="00BB6AD0">
      <w:pPr>
        <w:pStyle w:val="FootnoteText"/>
        <w:jc w:val="both"/>
      </w:pPr>
      <w:r>
        <w:rPr>
          <w:rStyle w:val="FootnoteReference"/>
        </w:rPr>
        <w:footnoteRef/>
      </w:r>
      <w:r>
        <w:t xml:space="preserve"> Priekšlikums Eiropas Parlamenta un Padomes regulai </w:t>
      </w:r>
      <w:r w:rsidRPr="00F651DD">
        <w:t>par Eiropas Sociālo fondu Plus (ESF+)</w:t>
      </w:r>
      <w:r>
        <w:t xml:space="preserve">, </w:t>
      </w:r>
      <w:hyperlink r:id="rId2" w:history="1">
        <w:r w:rsidRPr="00FA2A02">
          <w:rPr>
            <w:rStyle w:val="Hyperlink"/>
          </w:rPr>
          <w:t>https://eur-lex.europa.eu/legal-content/LV/TXT/HTML/?uri=CELEX:52018PC0382&amp;qid=1557822763474&amp;from=EN</w:t>
        </w:r>
      </w:hyperlink>
      <w:r>
        <w:t xml:space="preserve"> </w:t>
      </w:r>
    </w:p>
  </w:footnote>
  <w:footnote w:id="4">
    <w:p w14:paraId="2F013531" w14:textId="77777777" w:rsidR="002918AB" w:rsidRPr="003A748A" w:rsidRDefault="002918AB" w:rsidP="00E55EF0">
      <w:pPr>
        <w:pStyle w:val="FootnoteText"/>
      </w:pPr>
      <w:r w:rsidRPr="003A748A">
        <w:rPr>
          <w:rStyle w:val="FootnoteReference"/>
        </w:rPr>
        <w:footnoteRef/>
      </w:r>
      <w:r w:rsidRPr="003A748A">
        <w:t xml:space="preserve"> Pieejams: </w:t>
      </w:r>
      <w:hyperlink r:id="rId3" w:history="1">
        <w:r w:rsidRPr="003A748A">
          <w:rPr>
            <w:rStyle w:val="Hyperlink"/>
          </w:rPr>
          <w:t>https://rio.jrc.ec.europa.eu/en/policy-support-facility/specific-support-latvia</w:t>
        </w:r>
      </w:hyperlink>
      <w:r w:rsidRPr="003A748A">
        <w:t xml:space="preserve"> </w:t>
      </w:r>
    </w:p>
  </w:footnote>
  <w:footnote w:id="5">
    <w:p w14:paraId="673E0721" w14:textId="77777777" w:rsidR="002918AB" w:rsidRPr="00B36E15" w:rsidRDefault="002918AB" w:rsidP="00817FCB">
      <w:pPr>
        <w:pStyle w:val="FootnoteText"/>
        <w:rPr>
          <w:i/>
          <w:color w:val="000000"/>
        </w:rPr>
      </w:pPr>
      <w:r w:rsidRPr="00B36E15">
        <w:rPr>
          <w:rStyle w:val="FootnoteReference"/>
          <w:i/>
          <w:color w:val="000000"/>
        </w:rPr>
        <w:footnoteRef/>
      </w:r>
      <w:r w:rsidRPr="00B36E15">
        <w:rPr>
          <w:i/>
          <w:color w:val="000000"/>
        </w:rPr>
        <w:t xml:space="preserve"> </w:t>
      </w:r>
      <w:hyperlink r:id="rId4" w:history="1">
        <w:r w:rsidRPr="00B36E15">
          <w:rPr>
            <w:rStyle w:val="Hyperlink"/>
            <w:i/>
            <w:color w:val="000000"/>
          </w:rPr>
          <w:t>https://eur-lex.europa.eu/resource.html?uri=cellar:8d2f7140-6375-11e8-ab9c-01aa75ed71a1.0008.03/DOC_1&amp;format=PDF</w:t>
        </w:r>
      </w:hyperlink>
    </w:p>
  </w:footnote>
  <w:footnote w:id="6">
    <w:p w14:paraId="638CC8B4" w14:textId="77777777" w:rsidR="002918AB" w:rsidRDefault="002918AB" w:rsidP="00B76589">
      <w:pPr>
        <w:rPr>
          <w:sz w:val="20"/>
          <w:szCs w:val="20"/>
        </w:rPr>
      </w:pPr>
      <w:r>
        <w:rPr>
          <w:sz w:val="20"/>
          <w:szCs w:val="20"/>
          <w:vertAlign w:val="superscript"/>
          <w:lang w:val="en-GB"/>
        </w:rPr>
        <w:t xml:space="preserve">[1] </w:t>
      </w:r>
      <w:r>
        <w:rPr>
          <w:sz w:val="20"/>
          <w:szCs w:val="20"/>
          <w:lang w:val="en-GB"/>
        </w:rPr>
        <w:t>European Quality Principles for Cultural Heritage Interventions</w:t>
      </w:r>
    </w:p>
  </w:footnote>
  <w:footnote w:id="7">
    <w:p w14:paraId="2AFC8A38" w14:textId="77777777" w:rsidR="002918AB" w:rsidRDefault="002918AB" w:rsidP="00B76589">
      <w:pPr>
        <w:rPr>
          <w:sz w:val="20"/>
          <w:szCs w:val="20"/>
        </w:rPr>
      </w:pPr>
      <w:r>
        <w:t>[2]</w:t>
      </w:r>
      <w:hyperlink r:id="rId5" w:history="1">
        <w:r>
          <w:rPr>
            <w:rStyle w:val="Hyperlink"/>
          </w:rPr>
          <w:t>https://www.km.gov.lv/uploads/ckeditor/files/kultura_timekli/petijumi/Zinojums-Latvijas%20radoso%20industriju%20darbiba%20un%20prieksnoteikumi%20nozares%20merktiecigai%20attistibai.pdf</w:t>
        </w:r>
      </w:hyperlink>
      <w:r>
        <w:t>;</w:t>
      </w:r>
    </w:p>
  </w:footnote>
  <w:footnote w:id="8">
    <w:p w14:paraId="354F3E3E" w14:textId="77777777" w:rsidR="002918AB" w:rsidRDefault="002918AB" w:rsidP="00B76589">
      <w:pPr>
        <w:rPr>
          <w:rFonts w:ascii="Calibri" w:hAnsi="Calibri" w:cs="Calibri"/>
        </w:rPr>
      </w:pPr>
      <w:r>
        <w:t xml:space="preserve">[3] </w:t>
      </w:r>
      <w:hyperlink r:id="rId6" w:history="1">
        <w:r>
          <w:rPr>
            <w:rStyle w:val="Hyperlink"/>
          </w:rPr>
          <w:t>https://ec.europa.eu/eurostat/statistics-explained/index.php?title=Culture_statistics_-_international_trade_in_cultural_goods&amp;oldid=428457</w:t>
        </w:r>
      </w:hyperlink>
    </w:p>
  </w:footnote>
  <w:footnote w:id="9">
    <w:p w14:paraId="3C139755" w14:textId="77777777" w:rsidR="002918AB" w:rsidRDefault="002918AB" w:rsidP="00B76589">
      <w:pPr>
        <w:rPr>
          <w:sz w:val="18"/>
          <w:szCs w:val="18"/>
        </w:rPr>
      </w:pPr>
      <w:r>
        <w:rPr>
          <w:sz w:val="18"/>
          <w:szCs w:val="18"/>
        </w:rPr>
        <w:t xml:space="preserve">[4] </w:t>
      </w:r>
      <w:hyperlink r:id="rId7" w:history="1">
        <w:r>
          <w:rPr>
            <w:rStyle w:val="Hyperlink"/>
            <w:sz w:val="18"/>
            <w:szCs w:val="18"/>
          </w:rPr>
          <w:t>https://rm.coe.int/european-heritage-st</w:t>
        </w:r>
        <w:r>
          <w:rPr>
            <w:rStyle w:val="Hyperlink"/>
            <w:sz w:val="20"/>
            <w:szCs w:val="20"/>
          </w:rPr>
          <w:t>rategy</w:t>
        </w:r>
        <w:r>
          <w:rPr>
            <w:rStyle w:val="Hyperlink"/>
            <w:sz w:val="18"/>
            <w:szCs w:val="18"/>
          </w:rPr>
          <w:t>-for-the-21st-century-strategy-21-full-text/16808ae270</w:t>
        </w:r>
      </w:hyperlink>
    </w:p>
    <w:p w14:paraId="56A1644E" w14:textId="77777777" w:rsidR="002918AB" w:rsidRDefault="002918AB" w:rsidP="00B76589">
      <w:pPr>
        <w:rPr>
          <w:rFonts w:ascii="Arial Narrow" w:hAnsi="Arial Narrow"/>
          <w:sz w:val="18"/>
          <w:szCs w:val="18"/>
        </w:rPr>
      </w:pPr>
    </w:p>
  </w:footnote>
  <w:footnote w:id="10">
    <w:p w14:paraId="4622A6F8" w14:textId="77777777" w:rsidR="002918AB" w:rsidRDefault="002918AB" w:rsidP="007C4A85">
      <w:pPr>
        <w:rPr>
          <w:rFonts w:ascii="Calibri" w:eastAsiaTheme="minorHAnsi" w:hAnsi="Calibri" w:cs="Calibri"/>
          <w:sz w:val="20"/>
          <w:szCs w:val="20"/>
        </w:rPr>
      </w:pPr>
      <w:r>
        <w:t>[2]</w:t>
      </w:r>
      <w:hyperlink r:id="rId8" w:history="1">
        <w:r>
          <w:rPr>
            <w:rStyle w:val="Hyperlink"/>
          </w:rPr>
          <w:t>https://www.km.gov.lv/uploads/ckeditor/files/kultura_timekli/petijumi/Zinojums-Latvijas%20radoso%20industriju%20darbiba%20un%20prieksnoteikumi%20nozares%20merktiecigai%20attistibai.pdf</w:t>
        </w:r>
      </w:hyperlink>
      <w:r>
        <w:t>;</w:t>
      </w:r>
    </w:p>
  </w:footnote>
  <w:footnote w:id="11">
    <w:p w14:paraId="3A6C58C0" w14:textId="77777777" w:rsidR="002918AB" w:rsidRDefault="002918AB" w:rsidP="007C4A85">
      <w:r>
        <w:t xml:space="preserve">[3] </w:t>
      </w:r>
      <w:hyperlink r:id="rId9" w:history="1">
        <w:r>
          <w:rPr>
            <w:rStyle w:val="Hyperlink"/>
          </w:rPr>
          <w:t>https://ec.europa.eu/eurostat/statistics-explained/index.php?title=Culture_statistics_-_international_trade_in_cultural_goods&amp;oldid=428457</w:t>
        </w:r>
      </w:hyperlink>
    </w:p>
  </w:footnote>
  <w:footnote w:id="12">
    <w:p w14:paraId="6995A3BA" w14:textId="77777777" w:rsidR="002918AB" w:rsidRDefault="002918AB" w:rsidP="007C4A85">
      <w:pPr>
        <w:rPr>
          <w:sz w:val="18"/>
          <w:szCs w:val="18"/>
        </w:rPr>
      </w:pPr>
      <w:r>
        <w:rPr>
          <w:sz w:val="18"/>
          <w:szCs w:val="18"/>
        </w:rPr>
        <w:t xml:space="preserve">[4] </w:t>
      </w:r>
      <w:hyperlink r:id="rId10" w:history="1">
        <w:r>
          <w:rPr>
            <w:rStyle w:val="Hyperlink"/>
            <w:sz w:val="18"/>
            <w:szCs w:val="18"/>
          </w:rPr>
          <w:t>https://rm.coe.int/european-heritage-st</w:t>
        </w:r>
        <w:r>
          <w:rPr>
            <w:rStyle w:val="Hyperlink"/>
            <w:sz w:val="20"/>
            <w:szCs w:val="20"/>
          </w:rPr>
          <w:t>rategy</w:t>
        </w:r>
        <w:r>
          <w:rPr>
            <w:rStyle w:val="Hyperlink"/>
            <w:sz w:val="18"/>
            <w:szCs w:val="18"/>
          </w:rPr>
          <w:t>-for-the-21st-century-strategy-21-full-text/16808ae270</w:t>
        </w:r>
      </w:hyperlink>
    </w:p>
    <w:p w14:paraId="2CB6F894" w14:textId="77777777" w:rsidR="002918AB" w:rsidRDefault="002918AB" w:rsidP="007C4A85">
      <w:pPr>
        <w:rPr>
          <w:rFonts w:ascii="Arial Narrow" w:hAnsi="Arial Narrow" w:cs="Calibri"/>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C65D2" w14:textId="77777777" w:rsidR="002918AB" w:rsidRDefault="002918A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AB1D35" w14:textId="77777777" w:rsidR="002918AB" w:rsidRDefault="002918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050BB" w14:textId="55020552" w:rsidR="002918AB" w:rsidRPr="00706B5E" w:rsidRDefault="002918AB" w:rsidP="0012622B">
    <w:pPr>
      <w:pStyle w:val="Header"/>
      <w:jc w:val="center"/>
      <w:rPr>
        <w:sz w:val="28"/>
        <w:szCs w:val="28"/>
      </w:rPr>
    </w:pPr>
    <w:r>
      <w:fldChar w:fldCharType="begin"/>
    </w:r>
    <w:r>
      <w:instrText xml:space="preserve"> PAGE   \* MERGEFORMAT </w:instrText>
    </w:r>
    <w:r>
      <w:fldChar w:fldCharType="separate"/>
    </w:r>
    <w:r w:rsidR="00E05CC2">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5FD7"/>
    <w:multiLevelType w:val="hybridMultilevel"/>
    <w:tmpl w:val="21A634D2"/>
    <w:lvl w:ilvl="0" w:tplc="0426000F">
      <w:start w:val="1"/>
      <w:numFmt w:val="decimal"/>
      <w:lvlText w:val="%1."/>
      <w:lvlJc w:val="left"/>
      <w:pPr>
        <w:ind w:left="-1019" w:hanging="360"/>
      </w:pPr>
    </w:lvl>
    <w:lvl w:ilvl="1" w:tplc="04260019" w:tentative="1">
      <w:start w:val="1"/>
      <w:numFmt w:val="lowerLetter"/>
      <w:lvlText w:val="%2."/>
      <w:lvlJc w:val="left"/>
      <w:pPr>
        <w:ind w:left="-299" w:hanging="360"/>
      </w:pPr>
    </w:lvl>
    <w:lvl w:ilvl="2" w:tplc="0426001B" w:tentative="1">
      <w:start w:val="1"/>
      <w:numFmt w:val="lowerRoman"/>
      <w:lvlText w:val="%3."/>
      <w:lvlJc w:val="right"/>
      <w:pPr>
        <w:ind w:left="421" w:hanging="180"/>
      </w:pPr>
    </w:lvl>
    <w:lvl w:ilvl="3" w:tplc="0426000F" w:tentative="1">
      <w:start w:val="1"/>
      <w:numFmt w:val="decimal"/>
      <w:lvlText w:val="%4."/>
      <w:lvlJc w:val="left"/>
      <w:pPr>
        <w:ind w:left="1141" w:hanging="360"/>
      </w:pPr>
    </w:lvl>
    <w:lvl w:ilvl="4" w:tplc="04260019" w:tentative="1">
      <w:start w:val="1"/>
      <w:numFmt w:val="lowerLetter"/>
      <w:lvlText w:val="%5."/>
      <w:lvlJc w:val="left"/>
      <w:pPr>
        <w:ind w:left="1861" w:hanging="360"/>
      </w:pPr>
    </w:lvl>
    <w:lvl w:ilvl="5" w:tplc="0426001B" w:tentative="1">
      <w:start w:val="1"/>
      <w:numFmt w:val="lowerRoman"/>
      <w:lvlText w:val="%6."/>
      <w:lvlJc w:val="right"/>
      <w:pPr>
        <w:ind w:left="2581" w:hanging="180"/>
      </w:pPr>
    </w:lvl>
    <w:lvl w:ilvl="6" w:tplc="0426000F" w:tentative="1">
      <w:start w:val="1"/>
      <w:numFmt w:val="decimal"/>
      <w:lvlText w:val="%7."/>
      <w:lvlJc w:val="left"/>
      <w:pPr>
        <w:ind w:left="3301" w:hanging="360"/>
      </w:pPr>
    </w:lvl>
    <w:lvl w:ilvl="7" w:tplc="04260019" w:tentative="1">
      <w:start w:val="1"/>
      <w:numFmt w:val="lowerLetter"/>
      <w:lvlText w:val="%8."/>
      <w:lvlJc w:val="left"/>
      <w:pPr>
        <w:ind w:left="4021" w:hanging="360"/>
      </w:pPr>
    </w:lvl>
    <w:lvl w:ilvl="8" w:tplc="0426001B" w:tentative="1">
      <w:start w:val="1"/>
      <w:numFmt w:val="lowerRoman"/>
      <w:lvlText w:val="%9."/>
      <w:lvlJc w:val="right"/>
      <w:pPr>
        <w:ind w:left="4741" w:hanging="180"/>
      </w:pPr>
    </w:lvl>
  </w:abstractNum>
  <w:abstractNum w:abstractNumId="1" w15:restartNumberingAfterBreak="0">
    <w:nsid w:val="068A1A8C"/>
    <w:multiLevelType w:val="hybridMultilevel"/>
    <w:tmpl w:val="31283F2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CD2310"/>
    <w:multiLevelType w:val="multilevel"/>
    <w:tmpl w:val="0426001F"/>
    <w:lvl w:ilvl="0">
      <w:start w:val="1"/>
      <w:numFmt w:val="decimal"/>
      <w:lvlText w:val="%1."/>
      <w:lvlJc w:val="left"/>
      <w:pPr>
        <w:ind w:left="360" w:hanging="360"/>
      </w:pPr>
      <w:rPr>
        <w:sz w:val="28"/>
        <w:szCs w:val="28"/>
      </w:r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346243"/>
    <w:multiLevelType w:val="hybridMultilevel"/>
    <w:tmpl w:val="078CC3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5B3A1E"/>
    <w:multiLevelType w:val="hybridMultilevel"/>
    <w:tmpl w:val="A9A6CD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0413C7"/>
    <w:multiLevelType w:val="hybridMultilevel"/>
    <w:tmpl w:val="1556DB8C"/>
    <w:lvl w:ilvl="0" w:tplc="EB629EF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665B2C"/>
    <w:multiLevelType w:val="multilevel"/>
    <w:tmpl w:val="BE322F4A"/>
    <w:lvl w:ilvl="0">
      <w:start w:val="1"/>
      <w:numFmt w:val="decimal"/>
      <w:pStyle w:val="EE-paragrCharChar"/>
      <w:lvlText w:val="%1."/>
      <w:lvlJc w:val="left"/>
      <w:pPr>
        <w:tabs>
          <w:tab w:val="num" w:pos="720"/>
        </w:tabs>
        <w:ind w:left="360" w:hanging="360"/>
      </w:pPr>
      <w:rPr>
        <w:rFonts w:hint="default"/>
        <w:b w:val="0"/>
        <w:i w:val="0"/>
        <w:sz w:val="28"/>
      </w:rPr>
    </w:lvl>
    <w:lvl w:ilvl="1">
      <w:start w:val="1"/>
      <w:numFmt w:val="decimal"/>
      <w:lvlText w:val="%1.%2."/>
      <w:lvlJc w:val="left"/>
      <w:pPr>
        <w:tabs>
          <w:tab w:val="num" w:pos="1648"/>
        </w:tabs>
        <w:ind w:left="1000" w:hanging="432"/>
      </w:pPr>
      <w:rPr>
        <w:rFonts w:hint="default"/>
        <w:sz w:val="28"/>
        <w:szCs w:val="28"/>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7" w15:restartNumberingAfterBreak="0">
    <w:nsid w:val="170139D0"/>
    <w:multiLevelType w:val="hybridMultilevel"/>
    <w:tmpl w:val="A5D459B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7CA6236"/>
    <w:multiLevelType w:val="hybridMultilevel"/>
    <w:tmpl w:val="26C4A8B6"/>
    <w:lvl w:ilvl="0" w:tplc="04260011">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1F5418C9"/>
    <w:multiLevelType w:val="hybridMultilevel"/>
    <w:tmpl w:val="FDE874EA"/>
    <w:lvl w:ilvl="0" w:tplc="C1FEDBA6">
      <w:start w:val="1"/>
      <w:numFmt w:val="lowerLetter"/>
      <w:lvlText w:val="%1)"/>
      <w:lvlJc w:val="left"/>
      <w:pPr>
        <w:ind w:left="1080" w:hanging="360"/>
      </w:pPr>
      <w:rPr>
        <w:rFonts w:hint="default"/>
        <w:color w:val="auto"/>
        <w:sz w:val="24"/>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0" w15:restartNumberingAfterBreak="0">
    <w:nsid w:val="205C27E7"/>
    <w:multiLevelType w:val="hybridMultilevel"/>
    <w:tmpl w:val="713C77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0144CC"/>
    <w:multiLevelType w:val="hybridMultilevel"/>
    <w:tmpl w:val="84C062D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27DE1BD6"/>
    <w:multiLevelType w:val="hybridMultilevel"/>
    <w:tmpl w:val="4A60CC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8DF2078"/>
    <w:multiLevelType w:val="hybridMultilevel"/>
    <w:tmpl w:val="82F21C66"/>
    <w:lvl w:ilvl="0" w:tplc="0426000F">
      <w:start w:val="1"/>
      <w:numFmt w:val="decimal"/>
      <w:lvlText w:val="%1."/>
      <w:lvlJc w:val="left"/>
      <w:pPr>
        <w:ind w:left="928" w:hanging="360"/>
      </w:p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4" w15:restartNumberingAfterBreak="0">
    <w:nsid w:val="2AF838DC"/>
    <w:multiLevelType w:val="hybridMultilevel"/>
    <w:tmpl w:val="B982288C"/>
    <w:lvl w:ilvl="0" w:tplc="F74E30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1EE22A6"/>
    <w:multiLevelType w:val="hybridMultilevel"/>
    <w:tmpl w:val="CFFEE7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780630A"/>
    <w:multiLevelType w:val="hybridMultilevel"/>
    <w:tmpl w:val="719A83E2"/>
    <w:lvl w:ilvl="0" w:tplc="04090005">
      <w:start w:val="1"/>
      <w:numFmt w:val="bullet"/>
      <w:lvlText w:val=""/>
      <w:lvlJc w:val="left"/>
      <w:pPr>
        <w:ind w:left="2160" w:hanging="360"/>
      </w:pPr>
      <w:rPr>
        <w:rFonts w:ascii="Wingdings" w:hAnsi="Wingdings"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7" w15:restartNumberingAfterBreak="0">
    <w:nsid w:val="42AA2983"/>
    <w:multiLevelType w:val="multilevel"/>
    <w:tmpl w:val="66CE764A"/>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18" w15:restartNumberingAfterBreak="0">
    <w:nsid w:val="4A2E137E"/>
    <w:multiLevelType w:val="hybridMultilevel"/>
    <w:tmpl w:val="F878C8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A3A4FA7"/>
    <w:multiLevelType w:val="multilevel"/>
    <w:tmpl w:val="FD506B5A"/>
    <w:lvl w:ilvl="0">
      <w:start w:val="1"/>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BF71643"/>
    <w:multiLevelType w:val="hybridMultilevel"/>
    <w:tmpl w:val="7696EBCC"/>
    <w:lvl w:ilvl="0" w:tplc="901AB314">
      <w:start w:val="1"/>
      <w:numFmt w:val="decimal"/>
      <w:lvlText w:val="%1)"/>
      <w:lvlJc w:val="left"/>
      <w:pPr>
        <w:ind w:left="486" w:hanging="36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21" w15:restartNumberingAfterBreak="0">
    <w:nsid w:val="4BFD6E8E"/>
    <w:multiLevelType w:val="hybridMultilevel"/>
    <w:tmpl w:val="908A87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4C035A07"/>
    <w:multiLevelType w:val="hybridMultilevel"/>
    <w:tmpl w:val="908A87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4C0479C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400377"/>
    <w:multiLevelType w:val="hybridMultilevel"/>
    <w:tmpl w:val="25C2C69A"/>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5" w15:restartNumberingAfterBreak="0">
    <w:nsid w:val="4DD94178"/>
    <w:multiLevelType w:val="hybridMultilevel"/>
    <w:tmpl w:val="B644BDF2"/>
    <w:lvl w:ilvl="0" w:tplc="04260001">
      <w:start w:val="1"/>
      <w:numFmt w:val="bullet"/>
      <w:lvlText w:val=""/>
      <w:lvlJc w:val="left"/>
      <w:pPr>
        <w:ind w:left="736"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0F51A93"/>
    <w:multiLevelType w:val="hybridMultilevel"/>
    <w:tmpl w:val="80BC2286"/>
    <w:lvl w:ilvl="0" w:tplc="51A49A26">
      <w:start w:val="1"/>
      <w:numFmt w:val="decimal"/>
      <w:lvlText w:val="%1."/>
      <w:lvlJc w:val="center"/>
      <w:pPr>
        <w:ind w:left="360" w:hanging="360"/>
      </w:pPr>
      <w:rPr>
        <w:rFonts w:hint="default"/>
      </w:rPr>
    </w:lvl>
    <w:lvl w:ilvl="1" w:tplc="04260019" w:tentative="1">
      <w:start w:val="1"/>
      <w:numFmt w:val="lowerLetter"/>
      <w:lvlText w:val="%2."/>
      <w:lvlJc w:val="left"/>
      <w:pPr>
        <w:ind w:left="872" w:hanging="360"/>
      </w:pPr>
    </w:lvl>
    <w:lvl w:ilvl="2" w:tplc="0426001B" w:tentative="1">
      <w:start w:val="1"/>
      <w:numFmt w:val="lowerRoman"/>
      <w:lvlText w:val="%3."/>
      <w:lvlJc w:val="right"/>
      <w:pPr>
        <w:ind w:left="1592" w:hanging="180"/>
      </w:pPr>
    </w:lvl>
    <w:lvl w:ilvl="3" w:tplc="0426000F" w:tentative="1">
      <w:start w:val="1"/>
      <w:numFmt w:val="decimal"/>
      <w:lvlText w:val="%4."/>
      <w:lvlJc w:val="left"/>
      <w:pPr>
        <w:ind w:left="2312" w:hanging="360"/>
      </w:pPr>
    </w:lvl>
    <w:lvl w:ilvl="4" w:tplc="04260019" w:tentative="1">
      <w:start w:val="1"/>
      <w:numFmt w:val="lowerLetter"/>
      <w:lvlText w:val="%5."/>
      <w:lvlJc w:val="left"/>
      <w:pPr>
        <w:ind w:left="3032" w:hanging="360"/>
      </w:pPr>
    </w:lvl>
    <w:lvl w:ilvl="5" w:tplc="0426001B" w:tentative="1">
      <w:start w:val="1"/>
      <w:numFmt w:val="lowerRoman"/>
      <w:lvlText w:val="%6."/>
      <w:lvlJc w:val="right"/>
      <w:pPr>
        <w:ind w:left="3752" w:hanging="180"/>
      </w:pPr>
    </w:lvl>
    <w:lvl w:ilvl="6" w:tplc="0426000F" w:tentative="1">
      <w:start w:val="1"/>
      <w:numFmt w:val="decimal"/>
      <w:lvlText w:val="%7."/>
      <w:lvlJc w:val="left"/>
      <w:pPr>
        <w:ind w:left="4472" w:hanging="360"/>
      </w:pPr>
    </w:lvl>
    <w:lvl w:ilvl="7" w:tplc="04260019" w:tentative="1">
      <w:start w:val="1"/>
      <w:numFmt w:val="lowerLetter"/>
      <w:lvlText w:val="%8."/>
      <w:lvlJc w:val="left"/>
      <w:pPr>
        <w:ind w:left="5192" w:hanging="360"/>
      </w:pPr>
    </w:lvl>
    <w:lvl w:ilvl="8" w:tplc="0426001B" w:tentative="1">
      <w:start w:val="1"/>
      <w:numFmt w:val="lowerRoman"/>
      <w:lvlText w:val="%9."/>
      <w:lvlJc w:val="right"/>
      <w:pPr>
        <w:ind w:left="5912" w:hanging="180"/>
      </w:pPr>
    </w:lvl>
  </w:abstractNum>
  <w:abstractNum w:abstractNumId="27" w15:restartNumberingAfterBreak="0">
    <w:nsid w:val="529C644B"/>
    <w:multiLevelType w:val="hybridMultilevel"/>
    <w:tmpl w:val="5A165EBC"/>
    <w:lvl w:ilvl="0" w:tplc="EBE65D00">
      <w:start w:val="1"/>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15:restartNumberingAfterBreak="0">
    <w:nsid w:val="56E845CA"/>
    <w:multiLevelType w:val="hybridMultilevel"/>
    <w:tmpl w:val="0DE800F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2215FAB"/>
    <w:multiLevelType w:val="multilevel"/>
    <w:tmpl w:val="2026AC3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0" w15:restartNumberingAfterBreak="0">
    <w:nsid w:val="633823C5"/>
    <w:multiLevelType w:val="hybridMultilevel"/>
    <w:tmpl w:val="F3A4805E"/>
    <w:lvl w:ilvl="0" w:tplc="F7ECA914">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3446471"/>
    <w:multiLevelType w:val="hybridMultilevel"/>
    <w:tmpl w:val="EEF25B2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2" w15:restartNumberingAfterBreak="1">
    <w:nsid w:val="668C520A"/>
    <w:multiLevelType w:val="hybridMultilevel"/>
    <w:tmpl w:val="088A1094"/>
    <w:lvl w:ilvl="0" w:tplc="782A816E">
      <w:start w:val="1"/>
      <w:numFmt w:val="decimal"/>
      <w:lvlText w:val="%1)"/>
      <w:lvlJc w:val="left"/>
      <w:pPr>
        <w:ind w:left="720" w:hanging="360"/>
      </w:pPr>
      <w:rPr>
        <w:rFonts w:hint="default"/>
      </w:rPr>
    </w:lvl>
    <w:lvl w:ilvl="1" w:tplc="D20EDC18" w:tentative="1">
      <w:start w:val="1"/>
      <w:numFmt w:val="lowerLetter"/>
      <w:lvlText w:val="%2."/>
      <w:lvlJc w:val="left"/>
      <w:pPr>
        <w:ind w:left="1440" w:hanging="360"/>
      </w:pPr>
    </w:lvl>
    <w:lvl w:ilvl="2" w:tplc="0D20FAF6" w:tentative="1">
      <w:start w:val="1"/>
      <w:numFmt w:val="lowerRoman"/>
      <w:lvlText w:val="%3."/>
      <w:lvlJc w:val="right"/>
      <w:pPr>
        <w:ind w:left="2160" w:hanging="180"/>
      </w:pPr>
    </w:lvl>
    <w:lvl w:ilvl="3" w:tplc="79BCAF28" w:tentative="1">
      <w:start w:val="1"/>
      <w:numFmt w:val="decimal"/>
      <w:lvlText w:val="%4."/>
      <w:lvlJc w:val="left"/>
      <w:pPr>
        <w:ind w:left="2880" w:hanging="360"/>
      </w:pPr>
    </w:lvl>
    <w:lvl w:ilvl="4" w:tplc="2D4ADD42" w:tentative="1">
      <w:start w:val="1"/>
      <w:numFmt w:val="lowerLetter"/>
      <w:lvlText w:val="%5."/>
      <w:lvlJc w:val="left"/>
      <w:pPr>
        <w:ind w:left="3600" w:hanging="360"/>
      </w:pPr>
    </w:lvl>
    <w:lvl w:ilvl="5" w:tplc="F07C5C30" w:tentative="1">
      <w:start w:val="1"/>
      <w:numFmt w:val="lowerRoman"/>
      <w:lvlText w:val="%6."/>
      <w:lvlJc w:val="right"/>
      <w:pPr>
        <w:ind w:left="4320" w:hanging="180"/>
      </w:pPr>
    </w:lvl>
    <w:lvl w:ilvl="6" w:tplc="101EB7D2" w:tentative="1">
      <w:start w:val="1"/>
      <w:numFmt w:val="decimal"/>
      <w:lvlText w:val="%7."/>
      <w:lvlJc w:val="left"/>
      <w:pPr>
        <w:ind w:left="5040" w:hanging="360"/>
      </w:pPr>
    </w:lvl>
    <w:lvl w:ilvl="7" w:tplc="A446B0EE" w:tentative="1">
      <w:start w:val="1"/>
      <w:numFmt w:val="lowerLetter"/>
      <w:lvlText w:val="%8."/>
      <w:lvlJc w:val="left"/>
      <w:pPr>
        <w:ind w:left="5760" w:hanging="360"/>
      </w:pPr>
    </w:lvl>
    <w:lvl w:ilvl="8" w:tplc="352C4E20" w:tentative="1">
      <w:start w:val="1"/>
      <w:numFmt w:val="lowerRoman"/>
      <w:lvlText w:val="%9."/>
      <w:lvlJc w:val="right"/>
      <w:pPr>
        <w:ind w:left="6480" w:hanging="180"/>
      </w:pPr>
    </w:lvl>
  </w:abstractNum>
  <w:abstractNum w:abstractNumId="33" w15:restartNumberingAfterBreak="1">
    <w:nsid w:val="696B09BA"/>
    <w:multiLevelType w:val="multilevel"/>
    <w:tmpl w:val="8A4290AC"/>
    <w:lvl w:ilvl="0">
      <w:start w:val="1"/>
      <w:numFmt w:val="decimal"/>
      <w:lvlText w:val="%1."/>
      <w:lvlJc w:val="left"/>
      <w:pPr>
        <w:ind w:left="432" w:hanging="432"/>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4" w15:restartNumberingAfterBreak="0">
    <w:nsid w:val="722B1FDA"/>
    <w:multiLevelType w:val="hybridMultilevel"/>
    <w:tmpl w:val="895AB4E6"/>
    <w:lvl w:ilvl="0" w:tplc="C6D6B66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2434897"/>
    <w:multiLevelType w:val="hybridMultilevel"/>
    <w:tmpl w:val="09CAEB6A"/>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6" w15:restartNumberingAfterBreak="0">
    <w:nsid w:val="77CE5EE5"/>
    <w:multiLevelType w:val="hybridMultilevel"/>
    <w:tmpl w:val="EEF25B2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7" w15:restartNumberingAfterBreak="0">
    <w:nsid w:val="78616171"/>
    <w:multiLevelType w:val="hybridMultilevel"/>
    <w:tmpl w:val="D258F2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DEB6C9D"/>
    <w:multiLevelType w:val="hybridMultilevel"/>
    <w:tmpl w:val="3782C8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34"/>
  </w:num>
  <w:num w:numId="3">
    <w:abstractNumId w:val="2"/>
  </w:num>
  <w:num w:numId="4">
    <w:abstractNumId w:val="19"/>
  </w:num>
  <w:num w:numId="5">
    <w:abstractNumId w:val="24"/>
  </w:num>
  <w:num w:numId="6">
    <w:abstractNumId w:val="14"/>
  </w:num>
  <w:num w:numId="7">
    <w:abstractNumId w:val="5"/>
  </w:num>
  <w:num w:numId="8">
    <w:abstractNumId w:val="20"/>
  </w:num>
  <w:num w:numId="9">
    <w:abstractNumId w:val="8"/>
  </w:num>
  <w:num w:numId="10">
    <w:abstractNumId w:val="26"/>
  </w:num>
  <w:num w:numId="11">
    <w:abstractNumId w:val="12"/>
  </w:num>
  <w:num w:numId="12">
    <w:abstractNumId w:val="17"/>
  </w:num>
  <w:num w:numId="13">
    <w:abstractNumId w:val="37"/>
  </w:num>
  <w:num w:numId="14">
    <w:abstractNumId w:val="0"/>
  </w:num>
  <w:num w:numId="15">
    <w:abstractNumId w:val="30"/>
  </w:num>
  <w:num w:numId="16">
    <w:abstractNumId w:val="38"/>
  </w:num>
  <w:num w:numId="17">
    <w:abstractNumId w:val="27"/>
  </w:num>
  <w:num w:numId="18">
    <w:abstractNumId w:val="4"/>
  </w:num>
  <w:num w:numId="19">
    <w:abstractNumId w:val="13"/>
  </w:num>
  <w:num w:numId="20">
    <w:abstractNumId w:val="25"/>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3"/>
  </w:num>
  <w:num w:numId="24">
    <w:abstractNumId w:val="36"/>
  </w:num>
  <w:num w:numId="25">
    <w:abstractNumId w:val="31"/>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32"/>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1"/>
  </w:num>
  <w:num w:numId="32">
    <w:abstractNumId w:val="28"/>
  </w:num>
  <w:num w:numId="33">
    <w:abstractNumId w:val="29"/>
  </w:num>
  <w:num w:numId="34">
    <w:abstractNumId w:val="33"/>
  </w:num>
  <w:num w:numId="35">
    <w:abstractNumId w:val="10"/>
  </w:num>
  <w:num w:numId="36">
    <w:abstractNumId w:val="18"/>
  </w:num>
  <w:num w:numId="37">
    <w:abstractNumId w:val="15"/>
  </w:num>
  <w:num w:numId="38">
    <w:abstractNumId w:val="16"/>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0AC9"/>
    <w:rsid w:val="00000BF9"/>
    <w:rsid w:val="00001F89"/>
    <w:rsid w:val="00002221"/>
    <w:rsid w:val="00002CD6"/>
    <w:rsid w:val="0000319F"/>
    <w:rsid w:val="00003C53"/>
    <w:rsid w:val="0000456E"/>
    <w:rsid w:val="000055EA"/>
    <w:rsid w:val="00006BF1"/>
    <w:rsid w:val="0001118D"/>
    <w:rsid w:val="0001131F"/>
    <w:rsid w:val="00011663"/>
    <w:rsid w:val="00011BB8"/>
    <w:rsid w:val="0001249F"/>
    <w:rsid w:val="000125C0"/>
    <w:rsid w:val="0001270C"/>
    <w:rsid w:val="0001357D"/>
    <w:rsid w:val="000136AA"/>
    <w:rsid w:val="000139A5"/>
    <w:rsid w:val="00013B4C"/>
    <w:rsid w:val="00013BF6"/>
    <w:rsid w:val="00013F09"/>
    <w:rsid w:val="000153D1"/>
    <w:rsid w:val="0001554C"/>
    <w:rsid w:val="00015B94"/>
    <w:rsid w:val="00015DE5"/>
    <w:rsid w:val="000172E2"/>
    <w:rsid w:val="00017449"/>
    <w:rsid w:val="000174CB"/>
    <w:rsid w:val="00017DEE"/>
    <w:rsid w:val="00017ECD"/>
    <w:rsid w:val="00020249"/>
    <w:rsid w:val="00020794"/>
    <w:rsid w:val="00021753"/>
    <w:rsid w:val="00022338"/>
    <w:rsid w:val="00022428"/>
    <w:rsid w:val="0002296A"/>
    <w:rsid w:val="00022B0F"/>
    <w:rsid w:val="00022B9A"/>
    <w:rsid w:val="00022D09"/>
    <w:rsid w:val="0002353D"/>
    <w:rsid w:val="00023D52"/>
    <w:rsid w:val="00023FD6"/>
    <w:rsid w:val="0002416A"/>
    <w:rsid w:val="00024CCD"/>
    <w:rsid w:val="00024D20"/>
    <w:rsid w:val="000253DB"/>
    <w:rsid w:val="000278E7"/>
    <w:rsid w:val="00027A63"/>
    <w:rsid w:val="00027F9D"/>
    <w:rsid w:val="00030017"/>
    <w:rsid w:val="000307B5"/>
    <w:rsid w:val="00030DB6"/>
    <w:rsid w:val="00031056"/>
    <w:rsid w:val="000314C3"/>
    <w:rsid w:val="0003167B"/>
    <w:rsid w:val="00032457"/>
    <w:rsid w:val="000340A6"/>
    <w:rsid w:val="0003413A"/>
    <w:rsid w:val="0003444B"/>
    <w:rsid w:val="000349CA"/>
    <w:rsid w:val="0003557A"/>
    <w:rsid w:val="00035C06"/>
    <w:rsid w:val="0003620A"/>
    <w:rsid w:val="000362FA"/>
    <w:rsid w:val="000363A7"/>
    <w:rsid w:val="000366DF"/>
    <w:rsid w:val="000376CD"/>
    <w:rsid w:val="00037C72"/>
    <w:rsid w:val="00040100"/>
    <w:rsid w:val="000402EE"/>
    <w:rsid w:val="00040A5C"/>
    <w:rsid w:val="00040E69"/>
    <w:rsid w:val="00041F27"/>
    <w:rsid w:val="00042DA5"/>
    <w:rsid w:val="00043005"/>
    <w:rsid w:val="0004345F"/>
    <w:rsid w:val="0004355D"/>
    <w:rsid w:val="00044026"/>
    <w:rsid w:val="00045874"/>
    <w:rsid w:val="00046075"/>
    <w:rsid w:val="0004664F"/>
    <w:rsid w:val="00046CAD"/>
    <w:rsid w:val="00046F5C"/>
    <w:rsid w:val="00047385"/>
    <w:rsid w:val="00050109"/>
    <w:rsid w:val="00050554"/>
    <w:rsid w:val="000517F2"/>
    <w:rsid w:val="00053156"/>
    <w:rsid w:val="00053706"/>
    <w:rsid w:val="0005397F"/>
    <w:rsid w:val="00053E04"/>
    <w:rsid w:val="00056986"/>
    <w:rsid w:val="000579E6"/>
    <w:rsid w:val="00060004"/>
    <w:rsid w:val="00060E03"/>
    <w:rsid w:val="0006194F"/>
    <w:rsid w:val="000641CE"/>
    <w:rsid w:val="00064733"/>
    <w:rsid w:val="00065271"/>
    <w:rsid w:val="00066176"/>
    <w:rsid w:val="0006618D"/>
    <w:rsid w:val="00066885"/>
    <w:rsid w:val="0006694E"/>
    <w:rsid w:val="00066A37"/>
    <w:rsid w:val="00066F05"/>
    <w:rsid w:val="00067AEF"/>
    <w:rsid w:val="00067F4B"/>
    <w:rsid w:val="00070DA7"/>
    <w:rsid w:val="0007244A"/>
    <w:rsid w:val="00072628"/>
    <w:rsid w:val="000728ED"/>
    <w:rsid w:val="00072ADB"/>
    <w:rsid w:val="00072EA2"/>
    <w:rsid w:val="000733F5"/>
    <w:rsid w:val="000733FF"/>
    <w:rsid w:val="00073EA6"/>
    <w:rsid w:val="0007404C"/>
    <w:rsid w:val="0007577A"/>
    <w:rsid w:val="00075923"/>
    <w:rsid w:val="00075C67"/>
    <w:rsid w:val="000775D0"/>
    <w:rsid w:val="00080552"/>
    <w:rsid w:val="00081479"/>
    <w:rsid w:val="00081B0F"/>
    <w:rsid w:val="00081C39"/>
    <w:rsid w:val="0008283D"/>
    <w:rsid w:val="00083024"/>
    <w:rsid w:val="00083090"/>
    <w:rsid w:val="00083214"/>
    <w:rsid w:val="00083B8F"/>
    <w:rsid w:val="000845E3"/>
    <w:rsid w:val="00084B11"/>
    <w:rsid w:val="00085322"/>
    <w:rsid w:val="0008656F"/>
    <w:rsid w:val="00086AB9"/>
    <w:rsid w:val="00086BCE"/>
    <w:rsid w:val="00086F36"/>
    <w:rsid w:val="00090168"/>
    <w:rsid w:val="00090535"/>
    <w:rsid w:val="00090C76"/>
    <w:rsid w:val="00091033"/>
    <w:rsid w:val="00091EC8"/>
    <w:rsid w:val="00091F10"/>
    <w:rsid w:val="0009302B"/>
    <w:rsid w:val="00093EB0"/>
    <w:rsid w:val="00093EC2"/>
    <w:rsid w:val="0009467C"/>
    <w:rsid w:val="000958A2"/>
    <w:rsid w:val="000965E7"/>
    <w:rsid w:val="00096EAA"/>
    <w:rsid w:val="000A0041"/>
    <w:rsid w:val="000A06FC"/>
    <w:rsid w:val="000A1A02"/>
    <w:rsid w:val="000A2CFE"/>
    <w:rsid w:val="000A4035"/>
    <w:rsid w:val="000A483A"/>
    <w:rsid w:val="000A489A"/>
    <w:rsid w:val="000A55D2"/>
    <w:rsid w:val="000A59F1"/>
    <w:rsid w:val="000A64D3"/>
    <w:rsid w:val="000A65E6"/>
    <w:rsid w:val="000A6A96"/>
    <w:rsid w:val="000A77B9"/>
    <w:rsid w:val="000A7EA7"/>
    <w:rsid w:val="000B0403"/>
    <w:rsid w:val="000B057B"/>
    <w:rsid w:val="000B06E7"/>
    <w:rsid w:val="000B0C94"/>
    <w:rsid w:val="000B10C2"/>
    <w:rsid w:val="000B15E5"/>
    <w:rsid w:val="000B2382"/>
    <w:rsid w:val="000B23DB"/>
    <w:rsid w:val="000B26F8"/>
    <w:rsid w:val="000B29C0"/>
    <w:rsid w:val="000B3171"/>
    <w:rsid w:val="000B34A5"/>
    <w:rsid w:val="000B3EC9"/>
    <w:rsid w:val="000B4746"/>
    <w:rsid w:val="000B5240"/>
    <w:rsid w:val="000B5894"/>
    <w:rsid w:val="000B6967"/>
    <w:rsid w:val="000B6C89"/>
    <w:rsid w:val="000B6E6C"/>
    <w:rsid w:val="000B6F52"/>
    <w:rsid w:val="000B7966"/>
    <w:rsid w:val="000B7A7E"/>
    <w:rsid w:val="000B7CB1"/>
    <w:rsid w:val="000C0289"/>
    <w:rsid w:val="000C0AE6"/>
    <w:rsid w:val="000C0D0D"/>
    <w:rsid w:val="000C2555"/>
    <w:rsid w:val="000C2596"/>
    <w:rsid w:val="000C3264"/>
    <w:rsid w:val="000C34E1"/>
    <w:rsid w:val="000C3545"/>
    <w:rsid w:val="000C498A"/>
    <w:rsid w:val="000C4C16"/>
    <w:rsid w:val="000C56FC"/>
    <w:rsid w:val="000C6110"/>
    <w:rsid w:val="000C637C"/>
    <w:rsid w:val="000C6C90"/>
    <w:rsid w:val="000C7907"/>
    <w:rsid w:val="000C7A11"/>
    <w:rsid w:val="000C7B81"/>
    <w:rsid w:val="000C7F5E"/>
    <w:rsid w:val="000D00AC"/>
    <w:rsid w:val="000D08EB"/>
    <w:rsid w:val="000D0AED"/>
    <w:rsid w:val="000D0D20"/>
    <w:rsid w:val="000D1680"/>
    <w:rsid w:val="000D1901"/>
    <w:rsid w:val="000D1970"/>
    <w:rsid w:val="000D1B4A"/>
    <w:rsid w:val="000D212F"/>
    <w:rsid w:val="000D3535"/>
    <w:rsid w:val="000D3602"/>
    <w:rsid w:val="000D385A"/>
    <w:rsid w:val="000D3C34"/>
    <w:rsid w:val="000D3EA4"/>
    <w:rsid w:val="000D4D89"/>
    <w:rsid w:val="000D6BBD"/>
    <w:rsid w:val="000D7751"/>
    <w:rsid w:val="000D7C23"/>
    <w:rsid w:val="000E09E9"/>
    <w:rsid w:val="000E0A16"/>
    <w:rsid w:val="000E16A9"/>
    <w:rsid w:val="000E1BFA"/>
    <w:rsid w:val="000E2142"/>
    <w:rsid w:val="000E21D0"/>
    <w:rsid w:val="000E2A38"/>
    <w:rsid w:val="000E2ACC"/>
    <w:rsid w:val="000E4A0E"/>
    <w:rsid w:val="000E5509"/>
    <w:rsid w:val="000E5760"/>
    <w:rsid w:val="000E585F"/>
    <w:rsid w:val="000E65BB"/>
    <w:rsid w:val="000E66F8"/>
    <w:rsid w:val="000E7A3F"/>
    <w:rsid w:val="000E7F4B"/>
    <w:rsid w:val="000F0347"/>
    <w:rsid w:val="000F054A"/>
    <w:rsid w:val="000F054F"/>
    <w:rsid w:val="000F079D"/>
    <w:rsid w:val="000F0D9D"/>
    <w:rsid w:val="000F1D56"/>
    <w:rsid w:val="000F1EB5"/>
    <w:rsid w:val="000F2534"/>
    <w:rsid w:val="000F28D9"/>
    <w:rsid w:val="000F2D43"/>
    <w:rsid w:val="000F2F9A"/>
    <w:rsid w:val="000F3AA0"/>
    <w:rsid w:val="000F41E2"/>
    <w:rsid w:val="000F47AD"/>
    <w:rsid w:val="000F49EB"/>
    <w:rsid w:val="000F4AEB"/>
    <w:rsid w:val="000F4B40"/>
    <w:rsid w:val="000F4C3B"/>
    <w:rsid w:val="000F4E7B"/>
    <w:rsid w:val="000F56B5"/>
    <w:rsid w:val="000F57C3"/>
    <w:rsid w:val="000F5C37"/>
    <w:rsid w:val="000F5DF0"/>
    <w:rsid w:val="000F61BE"/>
    <w:rsid w:val="000F6A0B"/>
    <w:rsid w:val="000F6FFE"/>
    <w:rsid w:val="000F7086"/>
    <w:rsid w:val="000F7695"/>
    <w:rsid w:val="00100010"/>
    <w:rsid w:val="00100DC8"/>
    <w:rsid w:val="001012E3"/>
    <w:rsid w:val="00101EEB"/>
    <w:rsid w:val="00103464"/>
    <w:rsid w:val="0010375A"/>
    <w:rsid w:val="001038ED"/>
    <w:rsid w:val="00103C91"/>
    <w:rsid w:val="00103D78"/>
    <w:rsid w:val="001042B0"/>
    <w:rsid w:val="00104429"/>
    <w:rsid w:val="001064AA"/>
    <w:rsid w:val="00106F4F"/>
    <w:rsid w:val="001071D3"/>
    <w:rsid w:val="001075A8"/>
    <w:rsid w:val="00107EDB"/>
    <w:rsid w:val="00110259"/>
    <w:rsid w:val="001103C1"/>
    <w:rsid w:val="00110AA9"/>
    <w:rsid w:val="0011215A"/>
    <w:rsid w:val="0011254D"/>
    <w:rsid w:val="00112D17"/>
    <w:rsid w:val="001139C2"/>
    <w:rsid w:val="00114559"/>
    <w:rsid w:val="00114EA9"/>
    <w:rsid w:val="00114F71"/>
    <w:rsid w:val="00115510"/>
    <w:rsid w:val="00115ED0"/>
    <w:rsid w:val="001162E6"/>
    <w:rsid w:val="0011683C"/>
    <w:rsid w:val="00117648"/>
    <w:rsid w:val="001176FB"/>
    <w:rsid w:val="001179E8"/>
    <w:rsid w:val="0012021B"/>
    <w:rsid w:val="00120C03"/>
    <w:rsid w:val="0012222D"/>
    <w:rsid w:val="0012446B"/>
    <w:rsid w:val="001255E6"/>
    <w:rsid w:val="00125D14"/>
    <w:rsid w:val="0012622B"/>
    <w:rsid w:val="00126D1D"/>
    <w:rsid w:val="00127527"/>
    <w:rsid w:val="00130386"/>
    <w:rsid w:val="0013053A"/>
    <w:rsid w:val="0013066A"/>
    <w:rsid w:val="0013134F"/>
    <w:rsid w:val="001315EF"/>
    <w:rsid w:val="00131863"/>
    <w:rsid w:val="00131C78"/>
    <w:rsid w:val="00131F39"/>
    <w:rsid w:val="00132172"/>
    <w:rsid w:val="001321E4"/>
    <w:rsid w:val="00132375"/>
    <w:rsid w:val="00132E73"/>
    <w:rsid w:val="001330BD"/>
    <w:rsid w:val="00133117"/>
    <w:rsid w:val="00133505"/>
    <w:rsid w:val="00134168"/>
    <w:rsid w:val="00134188"/>
    <w:rsid w:val="00134C7C"/>
    <w:rsid w:val="0013617F"/>
    <w:rsid w:val="00136426"/>
    <w:rsid w:val="00136A64"/>
    <w:rsid w:val="00137403"/>
    <w:rsid w:val="00137B4B"/>
    <w:rsid w:val="00137DA0"/>
    <w:rsid w:val="001401A5"/>
    <w:rsid w:val="00140706"/>
    <w:rsid w:val="0014122A"/>
    <w:rsid w:val="00141E85"/>
    <w:rsid w:val="00142A23"/>
    <w:rsid w:val="00142AEA"/>
    <w:rsid w:val="00142EAC"/>
    <w:rsid w:val="0014319C"/>
    <w:rsid w:val="001436B3"/>
    <w:rsid w:val="00143976"/>
    <w:rsid w:val="00143DAC"/>
    <w:rsid w:val="00144622"/>
    <w:rsid w:val="00144781"/>
    <w:rsid w:val="00144917"/>
    <w:rsid w:val="0014702D"/>
    <w:rsid w:val="001470EF"/>
    <w:rsid w:val="00147596"/>
    <w:rsid w:val="001509A1"/>
    <w:rsid w:val="00150BCE"/>
    <w:rsid w:val="0015149B"/>
    <w:rsid w:val="00152014"/>
    <w:rsid w:val="00152496"/>
    <w:rsid w:val="00152718"/>
    <w:rsid w:val="001530CF"/>
    <w:rsid w:val="00153F12"/>
    <w:rsid w:val="001543DB"/>
    <w:rsid w:val="00155473"/>
    <w:rsid w:val="00155DC2"/>
    <w:rsid w:val="00156D90"/>
    <w:rsid w:val="00156E9F"/>
    <w:rsid w:val="00157224"/>
    <w:rsid w:val="00157A57"/>
    <w:rsid w:val="00157DB6"/>
    <w:rsid w:val="00157EC2"/>
    <w:rsid w:val="0016232D"/>
    <w:rsid w:val="001626E6"/>
    <w:rsid w:val="00162A68"/>
    <w:rsid w:val="00162E08"/>
    <w:rsid w:val="001633F1"/>
    <w:rsid w:val="00164528"/>
    <w:rsid w:val="00164819"/>
    <w:rsid w:val="0016531E"/>
    <w:rsid w:val="00165417"/>
    <w:rsid w:val="0016565C"/>
    <w:rsid w:val="001661F7"/>
    <w:rsid w:val="00166314"/>
    <w:rsid w:val="001666D3"/>
    <w:rsid w:val="00166746"/>
    <w:rsid w:val="00166ADC"/>
    <w:rsid w:val="0016714D"/>
    <w:rsid w:val="0016751F"/>
    <w:rsid w:val="00167590"/>
    <w:rsid w:val="00167918"/>
    <w:rsid w:val="00167C1E"/>
    <w:rsid w:val="00170284"/>
    <w:rsid w:val="0017043B"/>
    <w:rsid w:val="001706A1"/>
    <w:rsid w:val="00170914"/>
    <w:rsid w:val="00170B67"/>
    <w:rsid w:val="00170BA9"/>
    <w:rsid w:val="00170DF2"/>
    <w:rsid w:val="00171E11"/>
    <w:rsid w:val="00172040"/>
    <w:rsid w:val="0017214D"/>
    <w:rsid w:val="00172A46"/>
    <w:rsid w:val="00174086"/>
    <w:rsid w:val="00174841"/>
    <w:rsid w:val="00175510"/>
    <w:rsid w:val="001761FD"/>
    <w:rsid w:val="001769DB"/>
    <w:rsid w:val="00177937"/>
    <w:rsid w:val="00177D61"/>
    <w:rsid w:val="00177DC5"/>
    <w:rsid w:val="00177ECD"/>
    <w:rsid w:val="00177EF9"/>
    <w:rsid w:val="00180125"/>
    <w:rsid w:val="001808CA"/>
    <w:rsid w:val="00180923"/>
    <w:rsid w:val="00180CE5"/>
    <w:rsid w:val="00181483"/>
    <w:rsid w:val="00181BAA"/>
    <w:rsid w:val="00181D2D"/>
    <w:rsid w:val="0018210A"/>
    <w:rsid w:val="0018241B"/>
    <w:rsid w:val="00182C32"/>
    <w:rsid w:val="00182DE0"/>
    <w:rsid w:val="0018386C"/>
    <w:rsid w:val="00183D51"/>
    <w:rsid w:val="00184479"/>
    <w:rsid w:val="0018472C"/>
    <w:rsid w:val="00184838"/>
    <w:rsid w:val="00184A57"/>
    <w:rsid w:val="00185755"/>
    <w:rsid w:val="001859E3"/>
    <w:rsid w:val="00185F8F"/>
    <w:rsid w:val="0018643C"/>
    <w:rsid w:val="001866F1"/>
    <w:rsid w:val="00186B7A"/>
    <w:rsid w:val="00187398"/>
    <w:rsid w:val="001877D8"/>
    <w:rsid w:val="00187F73"/>
    <w:rsid w:val="00187FB0"/>
    <w:rsid w:val="001902D2"/>
    <w:rsid w:val="001902E9"/>
    <w:rsid w:val="00190327"/>
    <w:rsid w:val="00190A0A"/>
    <w:rsid w:val="001926F2"/>
    <w:rsid w:val="001929B7"/>
    <w:rsid w:val="00193040"/>
    <w:rsid w:val="00193455"/>
    <w:rsid w:val="00193BCE"/>
    <w:rsid w:val="00193D18"/>
    <w:rsid w:val="00194043"/>
    <w:rsid w:val="00194769"/>
    <w:rsid w:val="00194B87"/>
    <w:rsid w:val="0019532C"/>
    <w:rsid w:val="001955DD"/>
    <w:rsid w:val="0019569A"/>
    <w:rsid w:val="00195962"/>
    <w:rsid w:val="0019664C"/>
    <w:rsid w:val="00197533"/>
    <w:rsid w:val="001977E7"/>
    <w:rsid w:val="00197CCA"/>
    <w:rsid w:val="00197EF5"/>
    <w:rsid w:val="001A0C4B"/>
    <w:rsid w:val="001A0D8A"/>
    <w:rsid w:val="001A160E"/>
    <w:rsid w:val="001A167D"/>
    <w:rsid w:val="001A192D"/>
    <w:rsid w:val="001A1B86"/>
    <w:rsid w:val="001A2056"/>
    <w:rsid w:val="001A4146"/>
    <w:rsid w:val="001A4BC3"/>
    <w:rsid w:val="001A5883"/>
    <w:rsid w:val="001A65A9"/>
    <w:rsid w:val="001A68B4"/>
    <w:rsid w:val="001A7600"/>
    <w:rsid w:val="001A7C72"/>
    <w:rsid w:val="001B018B"/>
    <w:rsid w:val="001B084B"/>
    <w:rsid w:val="001B0CEC"/>
    <w:rsid w:val="001B0FFC"/>
    <w:rsid w:val="001B1CF2"/>
    <w:rsid w:val="001B28CC"/>
    <w:rsid w:val="001B3788"/>
    <w:rsid w:val="001B4388"/>
    <w:rsid w:val="001B463E"/>
    <w:rsid w:val="001B49E0"/>
    <w:rsid w:val="001B5377"/>
    <w:rsid w:val="001B6553"/>
    <w:rsid w:val="001B6647"/>
    <w:rsid w:val="001B6776"/>
    <w:rsid w:val="001B6A47"/>
    <w:rsid w:val="001B6B0A"/>
    <w:rsid w:val="001B6C3C"/>
    <w:rsid w:val="001B7E92"/>
    <w:rsid w:val="001C0824"/>
    <w:rsid w:val="001C0857"/>
    <w:rsid w:val="001C0B83"/>
    <w:rsid w:val="001C1510"/>
    <w:rsid w:val="001C15E6"/>
    <w:rsid w:val="001C1989"/>
    <w:rsid w:val="001C28FD"/>
    <w:rsid w:val="001C326D"/>
    <w:rsid w:val="001C3349"/>
    <w:rsid w:val="001C4848"/>
    <w:rsid w:val="001C4ABA"/>
    <w:rsid w:val="001C546B"/>
    <w:rsid w:val="001C549E"/>
    <w:rsid w:val="001C5EA2"/>
    <w:rsid w:val="001C6608"/>
    <w:rsid w:val="001C6C7D"/>
    <w:rsid w:val="001C6F8D"/>
    <w:rsid w:val="001D06CE"/>
    <w:rsid w:val="001D0C54"/>
    <w:rsid w:val="001D117E"/>
    <w:rsid w:val="001D1BC1"/>
    <w:rsid w:val="001D1CB1"/>
    <w:rsid w:val="001D272F"/>
    <w:rsid w:val="001D2AC0"/>
    <w:rsid w:val="001D2DBA"/>
    <w:rsid w:val="001D2F6D"/>
    <w:rsid w:val="001D2FD0"/>
    <w:rsid w:val="001D30AD"/>
    <w:rsid w:val="001D3830"/>
    <w:rsid w:val="001D3BA6"/>
    <w:rsid w:val="001D51B4"/>
    <w:rsid w:val="001D54FA"/>
    <w:rsid w:val="001D5564"/>
    <w:rsid w:val="001D6E90"/>
    <w:rsid w:val="001D6FAA"/>
    <w:rsid w:val="001D70FA"/>
    <w:rsid w:val="001D7BA9"/>
    <w:rsid w:val="001E0158"/>
    <w:rsid w:val="001E039D"/>
    <w:rsid w:val="001E22E7"/>
    <w:rsid w:val="001E241C"/>
    <w:rsid w:val="001E2714"/>
    <w:rsid w:val="001E2CD4"/>
    <w:rsid w:val="001E398C"/>
    <w:rsid w:val="001E3CE5"/>
    <w:rsid w:val="001E419B"/>
    <w:rsid w:val="001E4456"/>
    <w:rsid w:val="001E4500"/>
    <w:rsid w:val="001E4DDC"/>
    <w:rsid w:val="001E7692"/>
    <w:rsid w:val="001E774F"/>
    <w:rsid w:val="001E7C1D"/>
    <w:rsid w:val="001E7D7B"/>
    <w:rsid w:val="001F073F"/>
    <w:rsid w:val="001F27B8"/>
    <w:rsid w:val="001F3009"/>
    <w:rsid w:val="001F3358"/>
    <w:rsid w:val="001F35CB"/>
    <w:rsid w:val="001F390F"/>
    <w:rsid w:val="001F5191"/>
    <w:rsid w:val="001F579D"/>
    <w:rsid w:val="001F5CD1"/>
    <w:rsid w:val="001F6CF8"/>
    <w:rsid w:val="001F6EB6"/>
    <w:rsid w:val="001F7257"/>
    <w:rsid w:val="001F7470"/>
    <w:rsid w:val="001F7739"/>
    <w:rsid w:val="001F7D59"/>
    <w:rsid w:val="0020011B"/>
    <w:rsid w:val="00200733"/>
    <w:rsid w:val="00200E06"/>
    <w:rsid w:val="0020187E"/>
    <w:rsid w:val="00201DC6"/>
    <w:rsid w:val="00201FA7"/>
    <w:rsid w:val="00202375"/>
    <w:rsid w:val="002025EA"/>
    <w:rsid w:val="00202884"/>
    <w:rsid w:val="00202E44"/>
    <w:rsid w:val="00203556"/>
    <w:rsid w:val="002041C4"/>
    <w:rsid w:val="00204D0F"/>
    <w:rsid w:val="00204DB6"/>
    <w:rsid w:val="00205219"/>
    <w:rsid w:val="002056ED"/>
    <w:rsid w:val="00205C3A"/>
    <w:rsid w:val="00206C9B"/>
    <w:rsid w:val="00207BEF"/>
    <w:rsid w:val="00207DDB"/>
    <w:rsid w:val="00207EF8"/>
    <w:rsid w:val="00211793"/>
    <w:rsid w:val="00211A3F"/>
    <w:rsid w:val="00211C11"/>
    <w:rsid w:val="00212345"/>
    <w:rsid w:val="002131A2"/>
    <w:rsid w:val="00213451"/>
    <w:rsid w:val="00213C74"/>
    <w:rsid w:val="00214809"/>
    <w:rsid w:val="002149A1"/>
    <w:rsid w:val="00214D1E"/>
    <w:rsid w:val="00214E7A"/>
    <w:rsid w:val="00215326"/>
    <w:rsid w:val="00215BFE"/>
    <w:rsid w:val="00215C44"/>
    <w:rsid w:val="00216938"/>
    <w:rsid w:val="00216D21"/>
    <w:rsid w:val="00216E73"/>
    <w:rsid w:val="0021763D"/>
    <w:rsid w:val="0021774C"/>
    <w:rsid w:val="00217E3C"/>
    <w:rsid w:val="00217FF6"/>
    <w:rsid w:val="00222386"/>
    <w:rsid w:val="002224DF"/>
    <w:rsid w:val="0022264F"/>
    <w:rsid w:val="00222F51"/>
    <w:rsid w:val="002230E1"/>
    <w:rsid w:val="00223134"/>
    <w:rsid w:val="00223361"/>
    <w:rsid w:val="00224302"/>
    <w:rsid w:val="002244BA"/>
    <w:rsid w:val="002247AA"/>
    <w:rsid w:val="00224A5D"/>
    <w:rsid w:val="00224DA7"/>
    <w:rsid w:val="002261CB"/>
    <w:rsid w:val="0022683E"/>
    <w:rsid w:val="002268BF"/>
    <w:rsid w:val="00226FBF"/>
    <w:rsid w:val="00227BCE"/>
    <w:rsid w:val="00227BDE"/>
    <w:rsid w:val="00230045"/>
    <w:rsid w:val="0023014E"/>
    <w:rsid w:val="002308FA"/>
    <w:rsid w:val="0023132F"/>
    <w:rsid w:val="0023172D"/>
    <w:rsid w:val="00231AA5"/>
    <w:rsid w:val="00232F90"/>
    <w:rsid w:val="0023339B"/>
    <w:rsid w:val="0023469C"/>
    <w:rsid w:val="00234C71"/>
    <w:rsid w:val="00235511"/>
    <w:rsid w:val="00235553"/>
    <w:rsid w:val="00235A0E"/>
    <w:rsid w:val="002366E0"/>
    <w:rsid w:val="00236DE1"/>
    <w:rsid w:val="002372EE"/>
    <w:rsid w:val="002372FD"/>
    <w:rsid w:val="0023764D"/>
    <w:rsid w:val="00237DC6"/>
    <w:rsid w:val="00240678"/>
    <w:rsid w:val="002415BC"/>
    <w:rsid w:val="00241BFE"/>
    <w:rsid w:val="00242508"/>
    <w:rsid w:val="002434B2"/>
    <w:rsid w:val="002436BC"/>
    <w:rsid w:val="002442F4"/>
    <w:rsid w:val="0024456B"/>
    <w:rsid w:val="002445EA"/>
    <w:rsid w:val="0024462B"/>
    <w:rsid w:val="00244ECE"/>
    <w:rsid w:val="00244FC5"/>
    <w:rsid w:val="00245D1D"/>
    <w:rsid w:val="00250EDA"/>
    <w:rsid w:val="00251502"/>
    <w:rsid w:val="002517AF"/>
    <w:rsid w:val="002518E8"/>
    <w:rsid w:val="00251C10"/>
    <w:rsid w:val="0025251D"/>
    <w:rsid w:val="00252E1E"/>
    <w:rsid w:val="002538BA"/>
    <w:rsid w:val="00253FA4"/>
    <w:rsid w:val="0025469D"/>
    <w:rsid w:val="002552B1"/>
    <w:rsid w:val="00255D01"/>
    <w:rsid w:val="00256475"/>
    <w:rsid w:val="00256E55"/>
    <w:rsid w:val="0025746C"/>
    <w:rsid w:val="00257E0E"/>
    <w:rsid w:val="00257FF4"/>
    <w:rsid w:val="00260A99"/>
    <w:rsid w:val="00260DD2"/>
    <w:rsid w:val="00260FCB"/>
    <w:rsid w:val="0026118E"/>
    <w:rsid w:val="002615F5"/>
    <w:rsid w:val="002616B9"/>
    <w:rsid w:val="002618E8"/>
    <w:rsid w:val="0026217B"/>
    <w:rsid w:val="002629E4"/>
    <w:rsid w:val="00262D5F"/>
    <w:rsid w:val="002637AB"/>
    <w:rsid w:val="00263E01"/>
    <w:rsid w:val="00263FE3"/>
    <w:rsid w:val="002648D5"/>
    <w:rsid w:val="00265593"/>
    <w:rsid w:val="0026584A"/>
    <w:rsid w:val="00266603"/>
    <w:rsid w:val="002675EA"/>
    <w:rsid w:val="00267BC5"/>
    <w:rsid w:val="00267CBE"/>
    <w:rsid w:val="00267DD1"/>
    <w:rsid w:val="00267E0B"/>
    <w:rsid w:val="00270303"/>
    <w:rsid w:val="00270680"/>
    <w:rsid w:val="00271103"/>
    <w:rsid w:val="002721FA"/>
    <w:rsid w:val="0027230C"/>
    <w:rsid w:val="00272B99"/>
    <w:rsid w:val="0027380D"/>
    <w:rsid w:val="002739F2"/>
    <w:rsid w:val="0027468E"/>
    <w:rsid w:val="00274826"/>
    <w:rsid w:val="00275005"/>
    <w:rsid w:val="002752A6"/>
    <w:rsid w:val="002752AB"/>
    <w:rsid w:val="002756D6"/>
    <w:rsid w:val="0027573C"/>
    <w:rsid w:val="00275A4F"/>
    <w:rsid w:val="002763B3"/>
    <w:rsid w:val="002766B7"/>
    <w:rsid w:val="00277A3B"/>
    <w:rsid w:val="00280793"/>
    <w:rsid w:val="002812A3"/>
    <w:rsid w:val="00281412"/>
    <w:rsid w:val="002815D0"/>
    <w:rsid w:val="00281A26"/>
    <w:rsid w:val="00281E4B"/>
    <w:rsid w:val="002820A7"/>
    <w:rsid w:val="00282612"/>
    <w:rsid w:val="00282A5E"/>
    <w:rsid w:val="00282D7B"/>
    <w:rsid w:val="00283370"/>
    <w:rsid w:val="00283815"/>
    <w:rsid w:val="00283B82"/>
    <w:rsid w:val="00283DB3"/>
    <w:rsid w:val="00283E13"/>
    <w:rsid w:val="00284B79"/>
    <w:rsid w:val="00284C73"/>
    <w:rsid w:val="0028517F"/>
    <w:rsid w:val="002854DA"/>
    <w:rsid w:val="00285E5E"/>
    <w:rsid w:val="00286478"/>
    <w:rsid w:val="002875A4"/>
    <w:rsid w:val="00287EDD"/>
    <w:rsid w:val="00290FF8"/>
    <w:rsid w:val="0029141B"/>
    <w:rsid w:val="002918AB"/>
    <w:rsid w:val="00291F6C"/>
    <w:rsid w:val="002927D3"/>
    <w:rsid w:val="002940C0"/>
    <w:rsid w:val="00294BDE"/>
    <w:rsid w:val="002958C4"/>
    <w:rsid w:val="00295DB6"/>
    <w:rsid w:val="00295FAC"/>
    <w:rsid w:val="00297880"/>
    <w:rsid w:val="0029788B"/>
    <w:rsid w:val="00297BD9"/>
    <w:rsid w:val="00297D1B"/>
    <w:rsid w:val="00297F4D"/>
    <w:rsid w:val="002A0219"/>
    <w:rsid w:val="002A0226"/>
    <w:rsid w:val="002A0661"/>
    <w:rsid w:val="002A0C95"/>
    <w:rsid w:val="002A0D45"/>
    <w:rsid w:val="002A1CF2"/>
    <w:rsid w:val="002A2ED0"/>
    <w:rsid w:val="002A3A84"/>
    <w:rsid w:val="002A4B58"/>
    <w:rsid w:val="002A4C3E"/>
    <w:rsid w:val="002A56BC"/>
    <w:rsid w:val="002A5C53"/>
    <w:rsid w:val="002A5FFE"/>
    <w:rsid w:val="002A6AD6"/>
    <w:rsid w:val="002A6C26"/>
    <w:rsid w:val="002A72CC"/>
    <w:rsid w:val="002A76AB"/>
    <w:rsid w:val="002A7A4F"/>
    <w:rsid w:val="002A7AFE"/>
    <w:rsid w:val="002A7D55"/>
    <w:rsid w:val="002B01DB"/>
    <w:rsid w:val="002B09C0"/>
    <w:rsid w:val="002B13B3"/>
    <w:rsid w:val="002B183D"/>
    <w:rsid w:val="002B1CA9"/>
    <w:rsid w:val="002B1DBF"/>
    <w:rsid w:val="002B207F"/>
    <w:rsid w:val="002B2A48"/>
    <w:rsid w:val="002B2BEE"/>
    <w:rsid w:val="002B31AD"/>
    <w:rsid w:val="002B3EA7"/>
    <w:rsid w:val="002B43BA"/>
    <w:rsid w:val="002B4BAE"/>
    <w:rsid w:val="002B5188"/>
    <w:rsid w:val="002B52C4"/>
    <w:rsid w:val="002B538B"/>
    <w:rsid w:val="002B581B"/>
    <w:rsid w:val="002B68BB"/>
    <w:rsid w:val="002B701B"/>
    <w:rsid w:val="002B7058"/>
    <w:rsid w:val="002C0D85"/>
    <w:rsid w:val="002C1027"/>
    <w:rsid w:val="002C1FE5"/>
    <w:rsid w:val="002C2892"/>
    <w:rsid w:val="002C2C87"/>
    <w:rsid w:val="002C4F36"/>
    <w:rsid w:val="002C58AB"/>
    <w:rsid w:val="002C6189"/>
    <w:rsid w:val="002C632B"/>
    <w:rsid w:val="002C6D84"/>
    <w:rsid w:val="002C7AC5"/>
    <w:rsid w:val="002C7CA6"/>
    <w:rsid w:val="002C7D21"/>
    <w:rsid w:val="002C7F78"/>
    <w:rsid w:val="002D0126"/>
    <w:rsid w:val="002D015F"/>
    <w:rsid w:val="002D0CA5"/>
    <w:rsid w:val="002D1564"/>
    <w:rsid w:val="002D1AAD"/>
    <w:rsid w:val="002D1CA4"/>
    <w:rsid w:val="002D1F8C"/>
    <w:rsid w:val="002D2B9D"/>
    <w:rsid w:val="002D2C09"/>
    <w:rsid w:val="002D2C45"/>
    <w:rsid w:val="002D3F0B"/>
    <w:rsid w:val="002D4390"/>
    <w:rsid w:val="002D4969"/>
    <w:rsid w:val="002D4EE1"/>
    <w:rsid w:val="002D4F49"/>
    <w:rsid w:val="002D72C8"/>
    <w:rsid w:val="002D778E"/>
    <w:rsid w:val="002D7CC6"/>
    <w:rsid w:val="002E0059"/>
    <w:rsid w:val="002E0460"/>
    <w:rsid w:val="002E04D7"/>
    <w:rsid w:val="002E06DD"/>
    <w:rsid w:val="002E171A"/>
    <w:rsid w:val="002E1F0E"/>
    <w:rsid w:val="002E2A24"/>
    <w:rsid w:val="002E3717"/>
    <w:rsid w:val="002E3D66"/>
    <w:rsid w:val="002E3F11"/>
    <w:rsid w:val="002E4B11"/>
    <w:rsid w:val="002E4F70"/>
    <w:rsid w:val="002E5886"/>
    <w:rsid w:val="002E5AD3"/>
    <w:rsid w:val="002E6237"/>
    <w:rsid w:val="002E635D"/>
    <w:rsid w:val="002E6450"/>
    <w:rsid w:val="002E71F9"/>
    <w:rsid w:val="002E7562"/>
    <w:rsid w:val="002E7ADF"/>
    <w:rsid w:val="002F069B"/>
    <w:rsid w:val="002F071F"/>
    <w:rsid w:val="002F16D5"/>
    <w:rsid w:val="002F1A90"/>
    <w:rsid w:val="002F1C2F"/>
    <w:rsid w:val="002F22C2"/>
    <w:rsid w:val="002F2B1C"/>
    <w:rsid w:val="002F3D1C"/>
    <w:rsid w:val="002F4EA1"/>
    <w:rsid w:val="002F52DE"/>
    <w:rsid w:val="002F55C1"/>
    <w:rsid w:val="002F59BE"/>
    <w:rsid w:val="002F70D9"/>
    <w:rsid w:val="002F797A"/>
    <w:rsid w:val="002F79CD"/>
    <w:rsid w:val="00300150"/>
    <w:rsid w:val="003001A0"/>
    <w:rsid w:val="00300483"/>
    <w:rsid w:val="00301C91"/>
    <w:rsid w:val="003027F1"/>
    <w:rsid w:val="0030288E"/>
    <w:rsid w:val="00303F2B"/>
    <w:rsid w:val="00304607"/>
    <w:rsid w:val="0030467A"/>
    <w:rsid w:val="00304D4E"/>
    <w:rsid w:val="00304FFD"/>
    <w:rsid w:val="0030532B"/>
    <w:rsid w:val="00305608"/>
    <w:rsid w:val="00305B72"/>
    <w:rsid w:val="0030610A"/>
    <w:rsid w:val="00306627"/>
    <w:rsid w:val="003069DD"/>
    <w:rsid w:val="00306CAB"/>
    <w:rsid w:val="00306DF7"/>
    <w:rsid w:val="003070BB"/>
    <w:rsid w:val="00307E77"/>
    <w:rsid w:val="003112B5"/>
    <w:rsid w:val="0031146F"/>
    <w:rsid w:val="00311795"/>
    <w:rsid w:val="003117B1"/>
    <w:rsid w:val="00311905"/>
    <w:rsid w:val="00311B70"/>
    <w:rsid w:val="00311CBE"/>
    <w:rsid w:val="00311FD6"/>
    <w:rsid w:val="00312280"/>
    <w:rsid w:val="003127AC"/>
    <w:rsid w:val="00312CD0"/>
    <w:rsid w:val="00313109"/>
    <w:rsid w:val="00313BDA"/>
    <w:rsid w:val="0031449F"/>
    <w:rsid w:val="003145A5"/>
    <w:rsid w:val="003148B9"/>
    <w:rsid w:val="00314A2E"/>
    <w:rsid w:val="00315266"/>
    <w:rsid w:val="0031693B"/>
    <w:rsid w:val="003169CE"/>
    <w:rsid w:val="00316F0A"/>
    <w:rsid w:val="00317DC7"/>
    <w:rsid w:val="003200F9"/>
    <w:rsid w:val="00320DEE"/>
    <w:rsid w:val="00320EFC"/>
    <w:rsid w:val="00320F38"/>
    <w:rsid w:val="00321183"/>
    <w:rsid w:val="00321400"/>
    <w:rsid w:val="00321694"/>
    <w:rsid w:val="00321B82"/>
    <w:rsid w:val="00321F0A"/>
    <w:rsid w:val="00322228"/>
    <w:rsid w:val="003223CE"/>
    <w:rsid w:val="003223E3"/>
    <w:rsid w:val="00322A2D"/>
    <w:rsid w:val="00322E80"/>
    <w:rsid w:val="00323D84"/>
    <w:rsid w:val="00323F6C"/>
    <w:rsid w:val="003240F4"/>
    <w:rsid w:val="00324D5B"/>
    <w:rsid w:val="00325045"/>
    <w:rsid w:val="00325BA5"/>
    <w:rsid w:val="00325D91"/>
    <w:rsid w:val="003267B4"/>
    <w:rsid w:val="0032730F"/>
    <w:rsid w:val="00331193"/>
    <w:rsid w:val="003333D4"/>
    <w:rsid w:val="00334951"/>
    <w:rsid w:val="003350A1"/>
    <w:rsid w:val="00335934"/>
    <w:rsid w:val="00336411"/>
    <w:rsid w:val="0033678D"/>
    <w:rsid w:val="0033720D"/>
    <w:rsid w:val="003373E8"/>
    <w:rsid w:val="00340275"/>
    <w:rsid w:val="00341C87"/>
    <w:rsid w:val="00341FA9"/>
    <w:rsid w:val="00342056"/>
    <w:rsid w:val="003443DD"/>
    <w:rsid w:val="0034497A"/>
    <w:rsid w:val="00344D5A"/>
    <w:rsid w:val="00346EB6"/>
    <w:rsid w:val="00347EDB"/>
    <w:rsid w:val="00350797"/>
    <w:rsid w:val="00351435"/>
    <w:rsid w:val="00351A85"/>
    <w:rsid w:val="00351E45"/>
    <w:rsid w:val="00352197"/>
    <w:rsid w:val="003522E8"/>
    <w:rsid w:val="0035281C"/>
    <w:rsid w:val="00352EA7"/>
    <w:rsid w:val="00353989"/>
    <w:rsid w:val="00353FA0"/>
    <w:rsid w:val="0035508B"/>
    <w:rsid w:val="0035533E"/>
    <w:rsid w:val="00355B7A"/>
    <w:rsid w:val="0035617C"/>
    <w:rsid w:val="00356A2B"/>
    <w:rsid w:val="00356E7E"/>
    <w:rsid w:val="00356EB8"/>
    <w:rsid w:val="00357B83"/>
    <w:rsid w:val="00360776"/>
    <w:rsid w:val="003609A1"/>
    <w:rsid w:val="003614A8"/>
    <w:rsid w:val="0036160E"/>
    <w:rsid w:val="00361634"/>
    <w:rsid w:val="00362610"/>
    <w:rsid w:val="003629A9"/>
    <w:rsid w:val="00362D32"/>
    <w:rsid w:val="003633D9"/>
    <w:rsid w:val="00363830"/>
    <w:rsid w:val="00363D2D"/>
    <w:rsid w:val="00363F2D"/>
    <w:rsid w:val="00363F3D"/>
    <w:rsid w:val="00364BB6"/>
    <w:rsid w:val="00364C0D"/>
    <w:rsid w:val="00364D6B"/>
    <w:rsid w:val="00365408"/>
    <w:rsid w:val="00365CC0"/>
    <w:rsid w:val="003668DF"/>
    <w:rsid w:val="00366A8F"/>
    <w:rsid w:val="00366EAA"/>
    <w:rsid w:val="00366EB5"/>
    <w:rsid w:val="00367688"/>
    <w:rsid w:val="00367762"/>
    <w:rsid w:val="00370287"/>
    <w:rsid w:val="00371B71"/>
    <w:rsid w:val="00372221"/>
    <w:rsid w:val="00372512"/>
    <w:rsid w:val="00372CF2"/>
    <w:rsid w:val="00373819"/>
    <w:rsid w:val="00374C7E"/>
    <w:rsid w:val="00374E5C"/>
    <w:rsid w:val="00376BB5"/>
    <w:rsid w:val="00377353"/>
    <w:rsid w:val="0037736B"/>
    <w:rsid w:val="00381F57"/>
    <w:rsid w:val="0038216E"/>
    <w:rsid w:val="003822E5"/>
    <w:rsid w:val="003830B8"/>
    <w:rsid w:val="0038324A"/>
    <w:rsid w:val="00383262"/>
    <w:rsid w:val="00384285"/>
    <w:rsid w:val="003843C8"/>
    <w:rsid w:val="00384AFB"/>
    <w:rsid w:val="00385488"/>
    <w:rsid w:val="00385B09"/>
    <w:rsid w:val="0038658B"/>
    <w:rsid w:val="00386A67"/>
    <w:rsid w:val="0038707A"/>
    <w:rsid w:val="00391445"/>
    <w:rsid w:val="003919CC"/>
    <w:rsid w:val="00391E2F"/>
    <w:rsid w:val="00395C8C"/>
    <w:rsid w:val="003977BE"/>
    <w:rsid w:val="003A0076"/>
    <w:rsid w:val="003A01F8"/>
    <w:rsid w:val="003A117D"/>
    <w:rsid w:val="003A157A"/>
    <w:rsid w:val="003A283F"/>
    <w:rsid w:val="003A2A16"/>
    <w:rsid w:val="003A2D98"/>
    <w:rsid w:val="003A2FDD"/>
    <w:rsid w:val="003A3C43"/>
    <w:rsid w:val="003A5CCC"/>
    <w:rsid w:val="003A70FF"/>
    <w:rsid w:val="003A74D2"/>
    <w:rsid w:val="003A756B"/>
    <w:rsid w:val="003A7902"/>
    <w:rsid w:val="003A7DBB"/>
    <w:rsid w:val="003B14D4"/>
    <w:rsid w:val="003B14D8"/>
    <w:rsid w:val="003B158F"/>
    <w:rsid w:val="003B1655"/>
    <w:rsid w:val="003B1BCA"/>
    <w:rsid w:val="003B1E10"/>
    <w:rsid w:val="003B23D7"/>
    <w:rsid w:val="003B34CB"/>
    <w:rsid w:val="003B3692"/>
    <w:rsid w:val="003B3AB4"/>
    <w:rsid w:val="003B3CA8"/>
    <w:rsid w:val="003B442D"/>
    <w:rsid w:val="003B45D5"/>
    <w:rsid w:val="003B52FE"/>
    <w:rsid w:val="003B56BE"/>
    <w:rsid w:val="003B572A"/>
    <w:rsid w:val="003B5A7E"/>
    <w:rsid w:val="003B6325"/>
    <w:rsid w:val="003B71E0"/>
    <w:rsid w:val="003B776A"/>
    <w:rsid w:val="003B78A4"/>
    <w:rsid w:val="003C0EDC"/>
    <w:rsid w:val="003C144E"/>
    <w:rsid w:val="003C1A07"/>
    <w:rsid w:val="003C1E6B"/>
    <w:rsid w:val="003C1E74"/>
    <w:rsid w:val="003C20A2"/>
    <w:rsid w:val="003C2673"/>
    <w:rsid w:val="003C27A2"/>
    <w:rsid w:val="003C303F"/>
    <w:rsid w:val="003C33FF"/>
    <w:rsid w:val="003C3863"/>
    <w:rsid w:val="003C49E0"/>
    <w:rsid w:val="003C4C55"/>
    <w:rsid w:val="003C567C"/>
    <w:rsid w:val="003C59B8"/>
    <w:rsid w:val="003C5B6E"/>
    <w:rsid w:val="003C6809"/>
    <w:rsid w:val="003C729C"/>
    <w:rsid w:val="003C772A"/>
    <w:rsid w:val="003C7897"/>
    <w:rsid w:val="003D07E6"/>
    <w:rsid w:val="003D0937"/>
    <w:rsid w:val="003D17E6"/>
    <w:rsid w:val="003D1A20"/>
    <w:rsid w:val="003D1AAF"/>
    <w:rsid w:val="003D1AC9"/>
    <w:rsid w:val="003D1EB5"/>
    <w:rsid w:val="003D2AC9"/>
    <w:rsid w:val="003D2CD8"/>
    <w:rsid w:val="003D3724"/>
    <w:rsid w:val="003D3F61"/>
    <w:rsid w:val="003D46A7"/>
    <w:rsid w:val="003D5618"/>
    <w:rsid w:val="003D5FE1"/>
    <w:rsid w:val="003D6376"/>
    <w:rsid w:val="003D63A4"/>
    <w:rsid w:val="003D6F8F"/>
    <w:rsid w:val="003E1235"/>
    <w:rsid w:val="003E2A35"/>
    <w:rsid w:val="003E2B56"/>
    <w:rsid w:val="003E2CE1"/>
    <w:rsid w:val="003E2DCB"/>
    <w:rsid w:val="003E42D1"/>
    <w:rsid w:val="003E4628"/>
    <w:rsid w:val="003E4BEE"/>
    <w:rsid w:val="003E4C3F"/>
    <w:rsid w:val="003E4D7C"/>
    <w:rsid w:val="003E5193"/>
    <w:rsid w:val="003E536E"/>
    <w:rsid w:val="003E5ECE"/>
    <w:rsid w:val="003E5FA8"/>
    <w:rsid w:val="003E6252"/>
    <w:rsid w:val="003E6F7A"/>
    <w:rsid w:val="003E7078"/>
    <w:rsid w:val="003E778E"/>
    <w:rsid w:val="003F028B"/>
    <w:rsid w:val="003F1200"/>
    <w:rsid w:val="003F1269"/>
    <w:rsid w:val="003F1421"/>
    <w:rsid w:val="003F1844"/>
    <w:rsid w:val="003F241E"/>
    <w:rsid w:val="003F2430"/>
    <w:rsid w:val="003F28C0"/>
    <w:rsid w:val="003F4E27"/>
    <w:rsid w:val="003F5240"/>
    <w:rsid w:val="003F5288"/>
    <w:rsid w:val="003F52B2"/>
    <w:rsid w:val="003F64A2"/>
    <w:rsid w:val="003F6624"/>
    <w:rsid w:val="003F6A11"/>
    <w:rsid w:val="003F716E"/>
    <w:rsid w:val="003F75F2"/>
    <w:rsid w:val="003F7718"/>
    <w:rsid w:val="00400061"/>
    <w:rsid w:val="00400245"/>
    <w:rsid w:val="0040068A"/>
    <w:rsid w:val="00400813"/>
    <w:rsid w:val="00400ABD"/>
    <w:rsid w:val="004013AD"/>
    <w:rsid w:val="00401408"/>
    <w:rsid w:val="00402215"/>
    <w:rsid w:val="00402A0D"/>
    <w:rsid w:val="00402C35"/>
    <w:rsid w:val="00403D10"/>
    <w:rsid w:val="0040405B"/>
    <w:rsid w:val="00404120"/>
    <w:rsid w:val="00404187"/>
    <w:rsid w:val="00404195"/>
    <w:rsid w:val="00404211"/>
    <w:rsid w:val="004042A4"/>
    <w:rsid w:val="00404346"/>
    <w:rsid w:val="004043F3"/>
    <w:rsid w:val="00404DAA"/>
    <w:rsid w:val="00404DDD"/>
    <w:rsid w:val="0040578B"/>
    <w:rsid w:val="004065D6"/>
    <w:rsid w:val="0040687D"/>
    <w:rsid w:val="0040709D"/>
    <w:rsid w:val="0040713F"/>
    <w:rsid w:val="0040726E"/>
    <w:rsid w:val="004075A3"/>
    <w:rsid w:val="00410273"/>
    <w:rsid w:val="00410723"/>
    <w:rsid w:val="00410C48"/>
    <w:rsid w:val="00411865"/>
    <w:rsid w:val="00411B63"/>
    <w:rsid w:val="004121B6"/>
    <w:rsid w:val="0041240A"/>
    <w:rsid w:val="00412FDA"/>
    <w:rsid w:val="00413178"/>
    <w:rsid w:val="00415312"/>
    <w:rsid w:val="00416277"/>
    <w:rsid w:val="0041638C"/>
    <w:rsid w:val="00416E24"/>
    <w:rsid w:val="00417FAB"/>
    <w:rsid w:val="0042063D"/>
    <w:rsid w:val="00420F83"/>
    <w:rsid w:val="00422B23"/>
    <w:rsid w:val="004236BF"/>
    <w:rsid w:val="00423A60"/>
    <w:rsid w:val="004250CE"/>
    <w:rsid w:val="0042651C"/>
    <w:rsid w:val="00426E9B"/>
    <w:rsid w:val="00427645"/>
    <w:rsid w:val="00427D55"/>
    <w:rsid w:val="004311C9"/>
    <w:rsid w:val="00431521"/>
    <w:rsid w:val="0043233C"/>
    <w:rsid w:val="00433B3C"/>
    <w:rsid w:val="00433DE0"/>
    <w:rsid w:val="00434386"/>
    <w:rsid w:val="004345A6"/>
    <w:rsid w:val="00435B2F"/>
    <w:rsid w:val="00435E03"/>
    <w:rsid w:val="00437359"/>
    <w:rsid w:val="004373E1"/>
    <w:rsid w:val="004374A3"/>
    <w:rsid w:val="00437A7E"/>
    <w:rsid w:val="00437B6C"/>
    <w:rsid w:val="00437E54"/>
    <w:rsid w:val="00440144"/>
    <w:rsid w:val="0044064E"/>
    <w:rsid w:val="00440805"/>
    <w:rsid w:val="004412E1"/>
    <w:rsid w:val="00441554"/>
    <w:rsid w:val="00442A87"/>
    <w:rsid w:val="00442E48"/>
    <w:rsid w:val="00443055"/>
    <w:rsid w:val="0044323D"/>
    <w:rsid w:val="00443DCD"/>
    <w:rsid w:val="00443E7E"/>
    <w:rsid w:val="00444C06"/>
    <w:rsid w:val="0044544D"/>
    <w:rsid w:val="004454DF"/>
    <w:rsid w:val="00445A3E"/>
    <w:rsid w:val="00445C2A"/>
    <w:rsid w:val="00446148"/>
    <w:rsid w:val="00446804"/>
    <w:rsid w:val="00446E4A"/>
    <w:rsid w:val="00447116"/>
    <w:rsid w:val="004478D4"/>
    <w:rsid w:val="00450380"/>
    <w:rsid w:val="004505C6"/>
    <w:rsid w:val="0045061D"/>
    <w:rsid w:val="00452011"/>
    <w:rsid w:val="004520CD"/>
    <w:rsid w:val="00452928"/>
    <w:rsid w:val="00452DF3"/>
    <w:rsid w:val="004534F5"/>
    <w:rsid w:val="00453765"/>
    <w:rsid w:val="00453B9D"/>
    <w:rsid w:val="004546DD"/>
    <w:rsid w:val="00454834"/>
    <w:rsid w:val="00454EC3"/>
    <w:rsid w:val="00454F4D"/>
    <w:rsid w:val="0045530A"/>
    <w:rsid w:val="00455470"/>
    <w:rsid w:val="004554AE"/>
    <w:rsid w:val="004554C3"/>
    <w:rsid w:val="00455FB6"/>
    <w:rsid w:val="0045615B"/>
    <w:rsid w:val="00456386"/>
    <w:rsid w:val="004567DD"/>
    <w:rsid w:val="00457197"/>
    <w:rsid w:val="00457352"/>
    <w:rsid w:val="00457555"/>
    <w:rsid w:val="00457971"/>
    <w:rsid w:val="00457DD8"/>
    <w:rsid w:val="004603D0"/>
    <w:rsid w:val="00461BEC"/>
    <w:rsid w:val="004624AE"/>
    <w:rsid w:val="0046250E"/>
    <w:rsid w:val="00462BD8"/>
    <w:rsid w:val="00462E9C"/>
    <w:rsid w:val="00464B48"/>
    <w:rsid w:val="00465167"/>
    <w:rsid w:val="00465231"/>
    <w:rsid w:val="004662AD"/>
    <w:rsid w:val="00466516"/>
    <w:rsid w:val="00466E39"/>
    <w:rsid w:val="00467439"/>
    <w:rsid w:val="00467B65"/>
    <w:rsid w:val="0047151F"/>
    <w:rsid w:val="0047182F"/>
    <w:rsid w:val="00471EA5"/>
    <w:rsid w:val="004720C9"/>
    <w:rsid w:val="0047215D"/>
    <w:rsid w:val="00472257"/>
    <w:rsid w:val="00472E49"/>
    <w:rsid w:val="00473037"/>
    <w:rsid w:val="004732BB"/>
    <w:rsid w:val="00474012"/>
    <w:rsid w:val="004744B8"/>
    <w:rsid w:val="004745EF"/>
    <w:rsid w:val="00474C60"/>
    <w:rsid w:val="00474F7D"/>
    <w:rsid w:val="004753F0"/>
    <w:rsid w:val="00475944"/>
    <w:rsid w:val="00475AE8"/>
    <w:rsid w:val="00475DF0"/>
    <w:rsid w:val="00476525"/>
    <w:rsid w:val="004769D6"/>
    <w:rsid w:val="00476DF1"/>
    <w:rsid w:val="004772E2"/>
    <w:rsid w:val="0047739F"/>
    <w:rsid w:val="00477E83"/>
    <w:rsid w:val="00477F97"/>
    <w:rsid w:val="00480A2D"/>
    <w:rsid w:val="00480AFB"/>
    <w:rsid w:val="004810C9"/>
    <w:rsid w:val="00481247"/>
    <w:rsid w:val="004812B2"/>
    <w:rsid w:val="00481F2B"/>
    <w:rsid w:val="00481FE3"/>
    <w:rsid w:val="00482796"/>
    <w:rsid w:val="004828DC"/>
    <w:rsid w:val="004829E0"/>
    <w:rsid w:val="00482FF7"/>
    <w:rsid w:val="00483098"/>
    <w:rsid w:val="004831E1"/>
    <w:rsid w:val="00483AFB"/>
    <w:rsid w:val="0048402B"/>
    <w:rsid w:val="0048414A"/>
    <w:rsid w:val="004854E6"/>
    <w:rsid w:val="00485C56"/>
    <w:rsid w:val="00486AD9"/>
    <w:rsid w:val="00486B79"/>
    <w:rsid w:val="00486CA2"/>
    <w:rsid w:val="00486FBE"/>
    <w:rsid w:val="00487D2C"/>
    <w:rsid w:val="00490B25"/>
    <w:rsid w:val="00490FD6"/>
    <w:rsid w:val="004911C4"/>
    <w:rsid w:val="0049134E"/>
    <w:rsid w:val="00492A41"/>
    <w:rsid w:val="00493379"/>
    <w:rsid w:val="00494765"/>
    <w:rsid w:val="00494CC8"/>
    <w:rsid w:val="004955E7"/>
    <w:rsid w:val="0049589C"/>
    <w:rsid w:val="00495EF1"/>
    <w:rsid w:val="004963CB"/>
    <w:rsid w:val="0049646D"/>
    <w:rsid w:val="00496A82"/>
    <w:rsid w:val="00496ED4"/>
    <w:rsid w:val="00497756"/>
    <w:rsid w:val="00497769"/>
    <w:rsid w:val="00497D4A"/>
    <w:rsid w:val="004A0441"/>
    <w:rsid w:val="004A084C"/>
    <w:rsid w:val="004A1048"/>
    <w:rsid w:val="004A15B3"/>
    <w:rsid w:val="004A1B59"/>
    <w:rsid w:val="004A1D01"/>
    <w:rsid w:val="004A2693"/>
    <w:rsid w:val="004A2A54"/>
    <w:rsid w:val="004A2EF3"/>
    <w:rsid w:val="004A3B0D"/>
    <w:rsid w:val="004A4675"/>
    <w:rsid w:val="004A478B"/>
    <w:rsid w:val="004A52F5"/>
    <w:rsid w:val="004A54CF"/>
    <w:rsid w:val="004A5D3A"/>
    <w:rsid w:val="004A6897"/>
    <w:rsid w:val="004A692B"/>
    <w:rsid w:val="004A6EB6"/>
    <w:rsid w:val="004A7027"/>
    <w:rsid w:val="004A794C"/>
    <w:rsid w:val="004B356C"/>
    <w:rsid w:val="004B3EC7"/>
    <w:rsid w:val="004B4BCB"/>
    <w:rsid w:val="004B5664"/>
    <w:rsid w:val="004B59D4"/>
    <w:rsid w:val="004B6FCC"/>
    <w:rsid w:val="004B7312"/>
    <w:rsid w:val="004B7A45"/>
    <w:rsid w:val="004C064C"/>
    <w:rsid w:val="004C0EEA"/>
    <w:rsid w:val="004C1794"/>
    <w:rsid w:val="004C2107"/>
    <w:rsid w:val="004C369B"/>
    <w:rsid w:val="004C3AD8"/>
    <w:rsid w:val="004C50AC"/>
    <w:rsid w:val="004C5FC6"/>
    <w:rsid w:val="004C6435"/>
    <w:rsid w:val="004C649B"/>
    <w:rsid w:val="004C6BC1"/>
    <w:rsid w:val="004C74AD"/>
    <w:rsid w:val="004C7B9C"/>
    <w:rsid w:val="004C7D55"/>
    <w:rsid w:val="004C7F92"/>
    <w:rsid w:val="004D00A4"/>
    <w:rsid w:val="004D089A"/>
    <w:rsid w:val="004D14B3"/>
    <w:rsid w:val="004D193B"/>
    <w:rsid w:val="004D214F"/>
    <w:rsid w:val="004D2965"/>
    <w:rsid w:val="004D3184"/>
    <w:rsid w:val="004D489A"/>
    <w:rsid w:val="004D5030"/>
    <w:rsid w:val="004D5CD7"/>
    <w:rsid w:val="004D6045"/>
    <w:rsid w:val="004D6E74"/>
    <w:rsid w:val="004D7546"/>
    <w:rsid w:val="004D7EC5"/>
    <w:rsid w:val="004E02B0"/>
    <w:rsid w:val="004E0B29"/>
    <w:rsid w:val="004E0E11"/>
    <w:rsid w:val="004E0F08"/>
    <w:rsid w:val="004E1546"/>
    <w:rsid w:val="004E19DC"/>
    <w:rsid w:val="004E2A88"/>
    <w:rsid w:val="004E35E8"/>
    <w:rsid w:val="004E3B3C"/>
    <w:rsid w:val="004E425F"/>
    <w:rsid w:val="004E50F0"/>
    <w:rsid w:val="004E5456"/>
    <w:rsid w:val="004E61D1"/>
    <w:rsid w:val="004E6A03"/>
    <w:rsid w:val="004E6B4B"/>
    <w:rsid w:val="004E737B"/>
    <w:rsid w:val="004E7B17"/>
    <w:rsid w:val="004F0070"/>
    <w:rsid w:val="004F0468"/>
    <w:rsid w:val="004F0C51"/>
    <w:rsid w:val="004F263C"/>
    <w:rsid w:val="004F2B2E"/>
    <w:rsid w:val="004F2BB1"/>
    <w:rsid w:val="004F2EC7"/>
    <w:rsid w:val="004F3CE8"/>
    <w:rsid w:val="004F3EB7"/>
    <w:rsid w:val="004F426E"/>
    <w:rsid w:val="004F46FF"/>
    <w:rsid w:val="004F47EB"/>
    <w:rsid w:val="004F4C3C"/>
    <w:rsid w:val="004F55DC"/>
    <w:rsid w:val="004F6098"/>
    <w:rsid w:val="004F62B5"/>
    <w:rsid w:val="004F6BFB"/>
    <w:rsid w:val="004F7150"/>
    <w:rsid w:val="004F77D2"/>
    <w:rsid w:val="004F79B8"/>
    <w:rsid w:val="004F7A1A"/>
    <w:rsid w:val="004F7E4A"/>
    <w:rsid w:val="0050147C"/>
    <w:rsid w:val="0050153F"/>
    <w:rsid w:val="0050182B"/>
    <w:rsid w:val="00502579"/>
    <w:rsid w:val="005029F7"/>
    <w:rsid w:val="00503038"/>
    <w:rsid w:val="00503D4C"/>
    <w:rsid w:val="00504C0C"/>
    <w:rsid w:val="00504C92"/>
    <w:rsid w:val="00504E48"/>
    <w:rsid w:val="005070FF"/>
    <w:rsid w:val="005072E1"/>
    <w:rsid w:val="00507F70"/>
    <w:rsid w:val="005100EC"/>
    <w:rsid w:val="00511C1B"/>
    <w:rsid w:val="0051211F"/>
    <w:rsid w:val="00512BBC"/>
    <w:rsid w:val="005134FB"/>
    <w:rsid w:val="005135CB"/>
    <w:rsid w:val="005135FD"/>
    <w:rsid w:val="0051366C"/>
    <w:rsid w:val="0051422F"/>
    <w:rsid w:val="00514CD4"/>
    <w:rsid w:val="005155AA"/>
    <w:rsid w:val="0051684F"/>
    <w:rsid w:val="00516A92"/>
    <w:rsid w:val="00516B9F"/>
    <w:rsid w:val="0051756C"/>
    <w:rsid w:val="00517693"/>
    <w:rsid w:val="00520236"/>
    <w:rsid w:val="005205AB"/>
    <w:rsid w:val="00521C42"/>
    <w:rsid w:val="0052227F"/>
    <w:rsid w:val="005222E8"/>
    <w:rsid w:val="00522354"/>
    <w:rsid w:val="00522AD7"/>
    <w:rsid w:val="00523378"/>
    <w:rsid w:val="005234BD"/>
    <w:rsid w:val="00524CB9"/>
    <w:rsid w:val="0052550F"/>
    <w:rsid w:val="00525C32"/>
    <w:rsid w:val="00526473"/>
    <w:rsid w:val="00526C0F"/>
    <w:rsid w:val="00526F42"/>
    <w:rsid w:val="0052702A"/>
    <w:rsid w:val="00527220"/>
    <w:rsid w:val="00530228"/>
    <w:rsid w:val="00530397"/>
    <w:rsid w:val="00530F73"/>
    <w:rsid w:val="00533B8E"/>
    <w:rsid w:val="00533E8C"/>
    <w:rsid w:val="00534155"/>
    <w:rsid w:val="00535417"/>
    <w:rsid w:val="00535833"/>
    <w:rsid w:val="00536D28"/>
    <w:rsid w:val="005372C5"/>
    <w:rsid w:val="00537663"/>
    <w:rsid w:val="00537A26"/>
    <w:rsid w:val="0054019C"/>
    <w:rsid w:val="00540E47"/>
    <w:rsid w:val="00543283"/>
    <w:rsid w:val="0054364C"/>
    <w:rsid w:val="005454B7"/>
    <w:rsid w:val="00545A02"/>
    <w:rsid w:val="0054617B"/>
    <w:rsid w:val="00546747"/>
    <w:rsid w:val="005468D5"/>
    <w:rsid w:val="00546B21"/>
    <w:rsid w:val="00547510"/>
    <w:rsid w:val="00547ECC"/>
    <w:rsid w:val="00551D5A"/>
    <w:rsid w:val="00551EC3"/>
    <w:rsid w:val="00551EFB"/>
    <w:rsid w:val="00553DBB"/>
    <w:rsid w:val="00554A44"/>
    <w:rsid w:val="00554C53"/>
    <w:rsid w:val="00554F18"/>
    <w:rsid w:val="00555220"/>
    <w:rsid w:val="005555F0"/>
    <w:rsid w:val="00555739"/>
    <w:rsid w:val="00555C1E"/>
    <w:rsid w:val="00556AF9"/>
    <w:rsid w:val="00556E75"/>
    <w:rsid w:val="00556FF7"/>
    <w:rsid w:val="0055748E"/>
    <w:rsid w:val="005579E5"/>
    <w:rsid w:val="0056069A"/>
    <w:rsid w:val="00560AA9"/>
    <w:rsid w:val="00560C3B"/>
    <w:rsid w:val="005610C0"/>
    <w:rsid w:val="0056115A"/>
    <w:rsid w:val="00561EA1"/>
    <w:rsid w:val="00561F42"/>
    <w:rsid w:val="00562799"/>
    <w:rsid w:val="00564804"/>
    <w:rsid w:val="00565354"/>
    <w:rsid w:val="00565449"/>
    <w:rsid w:val="00565598"/>
    <w:rsid w:val="00565B5A"/>
    <w:rsid w:val="00565C14"/>
    <w:rsid w:val="005663A4"/>
    <w:rsid w:val="00566DBC"/>
    <w:rsid w:val="00567381"/>
    <w:rsid w:val="005674B5"/>
    <w:rsid w:val="00567D7F"/>
    <w:rsid w:val="00567E8F"/>
    <w:rsid w:val="005702D6"/>
    <w:rsid w:val="005711DC"/>
    <w:rsid w:val="00571CF3"/>
    <w:rsid w:val="00572588"/>
    <w:rsid w:val="005728DF"/>
    <w:rsid w:val="00573A50"/>
    <w:rsid w:val="005746D2"/>
    <w:rsid w:val="00574E8A"/>
    <w:rsid w:val="005773F0"/>
    <w:rsid w:val="00577775"/>
    <w:rsid w:val="0058005F"/>
    <w:rsid w:val="00580845"/>
    <w:rsid w:val="0058121A"/>
    <w:rsid w:val="00581863"/>
    <w:rsid w:val="00581925"/>
    <w:rsid w:val="00581EA3"/>
    <w:rsid w:val="0058205A"/>
    <w:rsid w:val="00582440"/>
    <w:rsid w:val="0058260B"/>
    <w:rsid w:val="00583419"/>
    <w:rsid w:val="00584D1E"/>
    <w:rsid w:val="00585593"/>
    <w:rsid w:val="00586795"/>
    <w:rsid w:val="005868A4"/>
    <w:rsid w:val="00586B82"/>
    <w:rsid w:val="00587E13"/>
    <w:rsid w:val="00590EE5"/>
    <w:rsid w:val="00591328"/>
    <w:rsid w:val="0059158A"/>
    <w:rsid w:val="005933AA"/>
    <w:rsid w:val="0059353F"/>
    <w:rsid w:val="00593A03"/>
    <w:rsid w:val="005940AA"/>
    <w:rsid w:val="00594614"/>
    <w:rsid w:val="00594E10"/>
    <w:rsid w:val="00595BF2"/>
    <w:rsid w:val="00595D4E"/>
    <w:rsid w:val="00596306"/>
    <w:rsid w:val="00596487"/>
    <w:rsid w:val="00596DF0"/>
    <w:rsid w:val="005A0522"/>
    <w:rsid w:val="005A0809"/>
    <w:rsid w:val="005A0B91"/>
    <w:rsid w:val="005A0C4B"/>
    <w:rsid w:val="005A140C"/>
    <w:rsid w:val="005A1494"/>
    <w:rsid w:val="005A236E"/>
    <w:rsid w:val="005A3590"/>
    <w:rsid w:val="005A4A1C"/>
    <w:rsid w:val="005A5BD8"/>
    <w:rsid w:val="005A61AD"/>
    <w:rsid w:val="005A692A"/>
    <w:rsid w:val="005A6AB8"/>
    <w:rsid w:val="005B11C2"/>
    <w:rsid w:val="005B180A"/>
    <w:rsid w:val="005B382C"/>
    <w:rsid w:val="005B3C11"/>
    <w:rsid w:val="005B3D11"/>
    <w:rsid w:val="005B40DA"/>
    <w:rsid w:val="005B4226"/>
    <w:rsid w:val="005B4315"/>
    <w:rsid w:val="005B466E"/>
    <w:rsid w:val="005B58D8"/>
    <w:rsid w:val="005B5AA4"/>
    <w:rsid w:val="005B5F59"/>
    <w:rsid w:val="005B5F9B"/>
    <w:rsid w:val="005B656B"/>
    <w:rsid w:val="005B6769"/>
    <w:rsid w:val="005B6D46"/>
    <w:rsid w:val="005B71B3"/>
    <w:rsid w:val="005B76A4"/>
    <w:rsid w:val="005B779A"/>
    <w:rsid w:val="005C04A7"/>
    <w:rsid w:val="005C123B"/>
    <w:rsid w:val="005C17A4"/>
    <w:rsid w:val="005C1978"/>
    <w:rsid w:val="005C27CC"/>
    <w:rsid w:val="005C300E"/>
    <w:rsid w:val="005C370D"/>
    <w:rsid w:val="005C4D75"/>
    <w:rsid w:val="005C504E"/>
    <w:rsid w:val="005C54CA"/>
    <w:rsid w:val="005C6153"/>
    <w:rsid w:val="005C67B5"/>
    <w:rsid w:val="005C78B0"/>
    <w:rsid w:val="005C7B95"/>
    <w:rsid w:val="005D01EB"/>
    <w:rsid w:val="005D0DFB"/>
    <w:rsid w:val="005D0E35"/>
    <w:rsid w:val="005D1112"/>
    <w:rsid w:val="005D14CE"/>
    <w:rsid w:val="005D237C"/>
    <w:rsid w:val="005D25E2"/>
    <w:rsid w:val="005D25FF"/>
    <w:rsid w:val="005D2632"/>
    <w:rsid w:val="005D31E7"/>
    <w:rsid w:val="005D38E0"/>
    <w:rsid w:val="005D3E69"/>
    <w:rsid w:val="005D3F32"/>
    <w:rsid w:val="005D4397"/>
    <w:rsid w:val="005D451E"/>
    <w:rsid w:val="005D4E3E"/>
    <w:rsid w:val="005D67F7"/>
    <w:rsid w:val="005D7173"/>
    <w:rsid w:val="005D7D7E"/>
    <w:rsid w:val="005E0813"/>
    <w:rsid w:val="005E0B59"/>
    <w:rsid w:val="005E0E88"/>
    <w:rsid w:val="005E1105"/>
    <w:rsid w:val="005E162F"/>
    <w:rsid w:val="005E1C23"/>
    <w:rsid w:val="005E2C60"/>
    <w:rsid w:val="005E31F6"/>
    <w:rsid w:val="005E3622"/>
    <w:rsid w:val="005E44B1"/>
    <w:rsid w:val="005E4947"/>
    <w:rsid w:val="005E4F84"/>
    <w:rsid w:val="005E5397"/>
    <w:rsid w:val="005E60B3"/>
    <w:rsid w:val="005E6210"/>
    <w:rsid w:val="005E630F"/>
    <w:rsid w:val="005E676C"/>
    <w:rsid w:val="005E6CB9"/>
    <w:rsid w:val="005E7F14"/>
    <w:rsid w:val="005F0088"/>
    <w:rsid w:val="005F0154"/>
    <w:rsid w:val="005F0176"/>
    <w:rsid w:val="005F021D"/>
    <w:rsid w:val="005F0D90"/>
    <w:rsid w:val="005F1811"/>
    <w:rsid w:val="005F1EAC"/>
    <w:rsid w:val="005F2C24"/>
    <w:rsid w:val="005F308F"/>
    <w:rsid w:val="005F4869"/>
    <w:rsid w:val="005F4BFD"/>
    <w:rsid w:val="005F5626"/>
    <w:rsid w:val="005F5748"/>
    <w:rsid w:val="005F5834"/>
    <w:rsid w:val="005F583E"/>
    <w:rsid w:val="005F5E11"/>
    <w:rsid w:val="005F683D"/>
    <w:rsid w:val="005F69D3"/>
    <w:rsid w:val="006002C0"/>
    <w:rsid w:val="006003E5"/>
    <w:rsid w:val="00600E63"/>
    <w:rsid w:val="00601561"/>
    <w:rsid w:val="00601E55"/>
    <w:rsid w:val="00602037"/>
    <w:rsid w:val="006029DD"/>
    <w:rsid w:val="00602C6A"/>
    <w:rsid w:val="00603AF5"/>
    <w:rsid w:val="00603DA1"/>
    <w:rsid w:val="00604301"/>
    <w:rsid w:val="006043F2"/>
    <w:rsid w:val="00604C63"/>
    <w:rsid w:val="006052C2"/>
    <w:rsid w:val="006052FB"/>
    <w:rsid w:val="00606C66"/>
    <w:rsid w:val="006072AE"/>
    <w:rsid w:val="00610145"/>
    <w:rsid w:val="00610D1F"/>
    <w:rsid w:val="00611022"/>
    <w:rsid w:val="0061141D"/>
    <w:rsid w:val="006117ED"/>
    <w:rsid w:val="006123C6"/>
    <w:rsid w:val="00612C02"/>
    <w:rsid w:val="00612CDD"/>
    <w:rsid w:val="0061562E"/>
    <w:rsid w:val="006157F3"/>
    <w:rsid w:val="00615CF9"/>
    <w:rsid w:val="00616D41"/>
    <w:rsid w:val="00617292"/>
    <w:rsid w:val="0062007C"/>
    <w:rsid w:val="006200A9"/>
    <w:rsid w:val="006204B8"/>
    <w:rsid w:val="00622225"/>
    <w:rsid w:val="00622D03"/>
    <w:rsid w:val="00622DCD"/>
    <w:rsid w:val="00622E30"/>
    <w:rsid w:val="00622F57"/>
    <w:rsid w:val="00623162"/>
    <w:rsid w:val="0062324A"/>
    <w:rsid w:val="00623C21"/>
    <w:rsid w:val="00623DD5"/>
    <w:rsid w:val="00623E90"/>
    <w:rsid w:val="00623EAF"/>
    <w:rsid w:val="006241D6"/>
    <w:rsid w:val="00624269"/>
    <w:rsid w:val="006246BC"/>
    <w:rsid w:val="00624A34"/>
    <w:rsid w:val="0062568D"/>
    <w:rsid w:val="006256D3"/>
    <w:rsid w:val="00625C22"/>
    <w:rsid w:val="00626712"/>
    <w:rsid w:val="006267F5"/>
    <w:rsid w:val="00627337"/>
    <w:rsid w:val="006274C1"/>
    <w:rsid w:val="00630069"/>
    <w:rsid w:val="00630583"/>
    <w:rsid w:val="00630BA5"/>
    <w:rsid w:val="00630D2E"/>
    <w:rsid w:val="00630D39"/>
    <w:rsid w:val="00630F10"/>
    <w:rsid w:val="006317A3"/>
    <w:rsid w:val="00631DD1"/>
    <w:rsid w:val="00631E19"/>
    <w:rsid w:val="0063378C"/>
    <w:rsid w:val="0063393E"/>
    <w:rsid w:val="00633E76"/>
    <w:rsid w:val="00633EC9"/>
    <w:rsid w:val="00633F83"/>
    <w:rsid w:val="006340F5"/>
    <w:rsid w:val="00634542"/>
    <w:rsid w:val="00634BDB"/>
    <w:rsid w:val="00635E4D"/>
    <w:rsid w:val="00636145"/>
    <w:rsid w:val="0063620C"/>
    <w:rsid w:val="006366B6"/>
    <w:rsid w:val="00636F43"/>
    <w:rsid w:val="0063713E"/>
    <w:rsid w:val="0063719D"/>
    <w:rsid w:val="00637D69"/>
    <w:rsid w:val="00637E18"/>
    <w:rsid w:val="0064032E"/>
    <w:rsid w:val="0064038D"/>
    <w:rsid w:val="0064071D"/>
    <w:rsid w:val="006416CC"/>
    <w:rsid w:val="00641A0B"/>
    <w:rsid w:val="00641D5A"/>
    <w:rsid w:val="00641E06"/>
    <w:rsid w:val="00641FC3"/>
    <w:rsid w:val="00643007"/>
    <w:rsid w:val="006431D0"/>
    <w:rsid w:val="006432C5"/>
    <w:rsid w:val="006436FA"/>
    <w:rsid w:val="00643852"/>
    <w:rsid w:val="00643C27"/>
    <w:rsid w:val="00643CCB"/>
    <w:rsid w:val="00645403"/>
    <w:rsid w:val="00645461"/>
    <w:rsid w:val="006455E7"/>
    <w:rsid w:val="00645758"/>
    <w:rsid w:val="006461A1"/>
    <w:rsid w:val="00646343"/>
    <w:rsid w:val="0064663B"/>
    <w:rsid w:val="00647422"/>
    <w:rsid w:val="00647BE8"/>
    <w:rsid w:val="00647D79"/>
    <w:rsid w:val="00647E6B"/>
    <w:rsid w:val="00650E84"/>
    <w:rsid w:val="0065198B"/>
    <w:rsid w:val="006522E1"/>
    <w:rsid w:val="006525AF"/>
    <w:rsid w:val="0065266A"/>
    <w:rsid w:val="00653E5D"/>
    <w:rsid w:val="00653F9C"/>
    <w:rsid w:val="00655470"/>
    <w:rsid w:val="00655EB0"/>
    <w:rsid w:val="00655F60"/>
    <w:rsid w:val="00656FEE"/>
    <w:rsid w:val="0065758F"/>
    <w:rsid w:val="006606BA"/>
    <w:rsid w:val="00660897"/>
    <w:rsid w:val="00660EAE"/>
    <w:rsid w:val="00661028"/>
    <w:rsid w:val="006616D4"/>
    <w:rsid w:val="006617BD"/>
    <w:rsid w:val="0066194D"/>
    <w:rsid w:val="006628DB"/>
    <w:rsid w:val="00664646"/>
    <w:rsid w:val="00664695"/>
    <w:rsid w:val="00664840"/>
    <w:rsid w:val="00664B44"/>
    <w:rsid w:val="006652BF"/>
    <w:rsid w:val="00665514"/>
    <w:rsid w:val="0066616B"/>
    <w:rsid w:val="0066630C"/>
    <w:rsid w:val="006673BD"/>
    <w:rsid w:val="00667BBD"/>
    <w:rsid w:val="006709FA"/>
    <w:rsid w:val="00671149"/>
    <w:rsid w:val="006714B6"/>
    <w:rsid w:val="00671615"/>
    <w:rsid w:val="00671741"/>
    <w:rsid w:val="00671766"/>
    <w:rsid w:val="00672914"/>
    <w:rsid w:val="006744C3"/>
    <w:rsid w:val="00674D5C"/>
    <w:rsid w:val="00674FBF"/>
    <w:rsid w:val="0067537F"/>
    <w:rsid w:val="00676410"/>
    <w:rsid w:val="00676458"/>
    <w:rsid w:val="006764A3"/>
    <w:rsid w:val="00676663"/>
    <w:rsid w:val="0067798E"/>
    <w:rsid w:val="00680509"/>
    <w:rsid w:val="006805CB"/>
    <w:rsid w:val="006811EE"/>
    <w:rsid w:val="006819F3"/>
    <w:rsid w:val="00681CC1"/>
    <w:rsid w:val="00682226"/>
    <w:rsid w:val="0068233B"/>
    <w:rsid w:val="00682AA7"/>
    <w:rsid w:val="00682C49"/>
    <w:rsid w:val="00682E11"/>
    <w:rsid w:val="00683081"/>
    <w:rsid w:val="00684C95"/>
    <w:rsid w:val="00684CEE"/>
    <w:rsid w:val="006850D3"/>
    <w:rsid w:val="00685249"/>
    <w:rsid w:val="006855A3"/>
    <w:rsid w:val="0068568B"/>
    <w:rsid w:val="006856B9"/>
    <w:rsid w:val="00685BDE"/>
    <w:rsid w:val="00686085"/>
    <w:rsid w:val="00687C0D"/>
    <w:rsid w:val="006904F7"/>
    <w:rsid w:val="006905A9"/>
    <w:rsid w:val="00690E96"/>
    <w:rsid w:val="006910E6"/>
    <w:rsid w:val="00691237"/>
    <w:rsid w:val="00691DB2"/>
    <w:rsid w:val="006920E6"/>
    <w:rsid w:val="00692555"/>
    <w:rsid w:val="00693B21"/>
    <w:rsid w:val="00694247"/>
    <w:rsid w:val="0069479C"/>
    <w:rsid w:val="00694CBB"/>
    <w:rsid w:val="00695194"/>
    <w:rsid w:val="00695C90"/>
    <w:rsid w:val="0069654A"/>
    <w:rsid w:val="00696566"/>
    <w:rsid w:val="0069665C"/>
    <w:rsid w:val="006966BA"/>
    <w:rsid w:val="00696C4E"/>
    <w:rsid w:val="0069722D"/>
    <w:rsid w:val="0069795C"/>
    <w:rsid w:val="006A0052"/>
    <w:rsid w:val="006A093E"/>
    <w:rsid w:val="006A0A9E"/>
    <w:rsid w:val="006A1D14"/>
    <w:rsid w:val="006A1F1C"/>
    <w:rsid w:val="006A2DA1"/>
    <w:rsid w:val="006A2DD8"/>
    <w:rsid w:val="006A3836"/>
    <w:rsid w:val="006A3DD3"/>
    <w:rsid w:val="006A4625"/>
    <w:rsid w:val="006A47AE"/>
    <w:rsid w:val="006A490F"/>
    <w:rsid w:val="006A4ADB"/>
    <w:rsid w:val="006A4BD1"/>
    <w:rsid w:val="006A5B5E"/>
    <w:rsid w:val="006A62C5"/>
    <w:rsid w:val="006A676F"/>
    <w:rsid w:val="006A67CB"/>
    <w:rsid w:val="006A72B3"/>
    <w:rsid w:val="006B02D0"/>
    <w:rsid w:val="006B0368"/>
    <w:rsid w:val="006B0AF2"/>
    <w:rsid w:val="006B0F6E"/>
    <w:rsid w:val="006B1D7B"/>
    <w:rsid w:val="006B2098"/>
    <w:rsid w:val="006B27D4"/>
    <w:rsid w:val="006B2C9C"/>
    <w:rsid w:val="006B48EB"/>
    <w:rsid w:val="006B4C00"/>
    <w:rsid w:val="006B56FC"/>
    <w:rsid w:val="006B5C9E"/>
    <w:rsid w:val="006B6B0E"/>
    <w:rsid w:val="006B6C0B"/>
    <w:rsid w:val="006B6DDA"/>
    <w:rsid w:val="006B73D9"/>
    <w:rsid w:val="006B7DF0"/>
    <w:rsid w:val="006B7E74"/>
    <w:rsid w:val="006C0D75"/>
    <w:rsid w:val="006C1545"/>
    <w:rsid w:val="006C1C48"/>
    <w:rsid w:val="006C1EA8"/>
    <w:rsid w:val="006C212E"/>
    <w:rsid w:val="006C27DD"/>
    <w:rsid w:val="006C2C1C"/>
    <w:rsid w:val="006C394A"/>
    <w:rsid w:val="006C3C1D"/>
    <w:rsid w:val="006C41FF"/>
    <w:rsid w:val="006C42D7"/>
    <w:rsid w:val="006C5145"/>
    <w:rsid w:val="006C65A8"/>
    <w:rsid w:val="006C66A8"/>
    <w:rsid w:val="006C7028"/>
    <w:rsid w:val="006C7AD4"/>
    <w:rsid w:val="006C7DEF"/>
    <w:rsid w:val="006D05AD"/>
    <w:rsid w:val="006D0EC1"/>
    <w:rsid w:val="006D16F8"/>
    <w:rsid w:val="006D1813"/>
    <w:rsid w:val="006D1FAE"/>
    <w:rsid w:val="006D24A9"/>
    <w:rsid w:val="006D2AF3"/>
    <w:rsid w:val="006D2E58"/>
    <w:rsid w:val="006D3630"/>
    <w:rsid w:val="006D3D76"/>
    <w:rsid w:val="006D3E0B"/>
    <w:rsid w:val="006D4A35"/>
    <w:rsid w:val="006D4D79"/>
    <w:rsid w:val="006D4FBD"/>
    <w:rsid w:val="006D5606"/>
    <w:rsid w:val="006D5879"/>
    <w:rsid w:val="006D5999"/>
    <w:rsid w:val="006D63FD"/>
    <w:rsid w:val="006D65B4"/>
    <w:rsid w:val="006D754A"/>
    <w:rsid w:val="006D7B9C"/>
    <w:rsid w:val="006E04C6"/>
    <w:rsid w:val="006E0599"/>
    <w:rsid w:val="006E0A65"/>
    <w:rsid w:val="006E0FF0"/>
    <w:rsid w:val="006E1054"/>
    <w:rsid w:val="006E1350"/>
    <w:rsid w:val="006E1B01"/>
    <w:rsid w:val="006E3071"/>
    <w:rsid w:val="006E34B7"/>
    <w:rsid w:val="006E3E3D"/>
    <w:rsid w:val="006E4836"/>
    <w:rsid w:val="006E5DDD"/>
    <w:rsid w:val="006E61E4"/>
    <w:rsid w:val="006E65EE"/>
    <w:rsid w:val="006E7811"/>
    <w:rsid w:val="006F04DA"/>
    <w:rsid w:val="006F0557"/>
    <w:rsid w:val="006F0A8C"/>
    <w:rsid w:val="006F0B9F"/>
    <w:rsid w:val="006F0EA3"/>
    <w:rsid w:val="006F0F90"/>
    <w:rsid w:val="006F1353"/>
    <w:rsid w:val="006F16C2"/>
    <w:rsid w:val="006F1B5D"/>
    <w:rsid w:val="006F212B"/>
    <w:rsid w:val="006F28B7"/>
    <w:rsid w:val="006F330E"/>
    <w:rsid w:val="006F37F7"/>
    <w:rsid w:val="006F3EDA"/>
    <w:rsid w:val="006F3F4A"/>
    <w:rsid w:val="006F4A61"/>
    <w:rsid w:val="006F4ADC"/>
    <w:rsid w:val="006F4E3D"/>
    <w:rsid w:val="006F54F4"/>
    <w:rsid w:val="006F643D"/>
    <w:rsid w:val="006F675C"/>
    <w:rsid w:val="006F6D13"/>
    <w:rsid w:val="006F7674"/>
    <w:rsid w:val="006F7759"/>
    <w:rsid w:val="006F77EA"/>
    <w:rsid w:val="006F7D95"/>
    <w:rsid w:val="007003E8"/>
    <w:rsid w:val="00700D41"/>
    <w:rsid w:val="00700FF1"/>
    <w:rsid w:val="0070115A"/>
    <w:rsid w:val="00701B21"/>
    <w:rsid w:val="00702384"/>
    <w:rsid w:val="007038EB"/>
    <w:rsid w:val="00703B32"/>
    <w:rsid w:val="00704BAE"/>
    <w:rsid w:val="007055FA"/>
    <w:rsid w:val="007056D7"/>
    <w:rsid w:val="00705807"/>
    <w:rsid w:val="00705C74"/>
    <w:rsid w:val="00705C78"/>
    <w:rsid w:val="00705DEB"/>
    <w:rsid w:val="007060E1"/>
    <w:rsid w:val="0070657F"/>
    <w:rsid w:val="00706803"/>
    <w:rsid w:val="00706824"/>
    <w:rsid w:val="0070693F"/>
    <w:rsid w:val="00706B5E"/>
    <w:rsid w:val="00706B85"/>
    <w:rsid w:val="00706F8E"/>
    <w:rsid w:val="007071FC"/>
    <w:rsid w:val="00707C84"/>
    <w:rsid w:val="00710A59"/>
    <w:rsid w:val="00710FDE"/>
    <w:rsid w:val="00711384"/>
    <w:rsid w:val="007116C7"/>
    <w:rsid w:val="00711C5A"/>
    <w:rsid w:val="007125F2"/>
    <w:rsid w:val="00712B66"/>
    <w:rsid w:val="007134EC"/>
    <w:rsid w:val="00713A5F"/>
    <w:rsid w:val="00713C31"/>
    <w:rsid w:val="0071428D"/>
    <w:rsid w:val="007144C9"/>
    <w:rsid w:val="00714564"/>
    <w:rsid w:val="007158C7"/>
    <w:rsid w:val="00715B74"/>
    <w:rsid w:val="00716273"/>
    <w:rsid w:val="00716B3C"/>
    <w:rsid w:val="007170C2"/>
    <w:rsid w:val="00717EE4"/>
    <w:rsid w:val="00717F2D"/>
    <w:rsid w:val="00720453"/>
    <w:rsid w:val="00720853"/>
    <w:rsid w:val="007208A9"/>
    <w:rsid w:val="007208C6"/>
    <w:rsid w:val="00721ED2"/>
    <w:rsid w:val="00722129"/>
    <w:rsid w:val="00724173"/>
    <w:rsid w:val="0072457A"/>
    <w:rsid w:val="00726730"/>
    <w:rsid w:val="00726CC2"/>
    <w:rsid w:val="00730598"/>
    <w:rsid w:val="007306FB"/>
    <w:rsid w:val="007308DA"/>
    <w:rsid w:val="00731584"/>
    <w:rsid w:val="00731C24"/>
    <w:rsid w:val="0073257E"/>
    <w:rsid w:val="00732A32"/>
    <w:rsid w:val="00732AB7"/>
    <w:rsid w:val="00732F43"/>
    <w:rsid w:val="00733066"/>
    <w:rsid w:val="00733469"/>
    <w:rsid w:val="00733539"/>
    <w:rsid w:val="00734108"/>
    <w:rsid w:val="0073501B"/>
    <w:rsid w:val="00735557"/>
    <w:rsid w:val="0073594F"/>
    <w:rsid w:val="007366CF"/>
    <w:rsid w:val="00737108"/>
    <w:rsid w:val="007379CE"/>
    <w:rsid w:val="007405BB"/>
    <w:rsid w:val="007416E6"/>
    <w:rsid w:val="007419A7"/>
    <w:rsid w:val="00741B21"/>
    <w:rsid w:val="00741DD8"/>
    <w:rsid w:val="00741E49"/>
    <w:rsid w:val="0074250D"/>
    <w:rsid w:val="007445E2"/>
    <w:rsid w:val="00745496"/>
    <w:rsid w:val="00745B5E"/>
    <w:rsid w:val="007460DA"/>
    <w:rsid w:val="00746263"/>
    <w:rsid w:val="00746A2B"/>
    <w:rsid w:val="0074705B"/>
    <w:rsid w:val="007470EC"/>
    <w:rsid w:val="007474CE"/>
    <w:rsid w:val="00747B8B"/>
    <w:rsid w:val="0075020B"/>
    <w:rsid w:val="00750FBB"/>
    <w:rsid w:val="00751017"/>
    <w:rsid w:val="00751960"/>
    <w:rsid w:val="0075198D"/>
    <w:rsid w:val="00751AF5"/>
    <w:rsid w:val="00751C87"/>
    <w:rsid w:val="00752638"/>
    <w:rsid w:val="007535C7"/>
    <w:rsid w:val="00756551"/>
    <w:rsid w:val="0075774A"/>
    <w:rsid w:val="00757769"/>
    <w:rsid w:val="007577B3"/>
    <w:rsid w:val="0076067E"/>
    <w:rsid w:val="0076077D"/>
    <w:rsid w:val="00761BFD"/>
    <w:rsid w:val="00761D5C"/>
    <w:rsid w:val="00761FE5"/>
    <w:rsid w:val="00762476"/>
    <w:rsid w:val="007624DC"/>
    <w:rsid w:val="007628BD"/>
    <w:rsid w:val="00762A18"/>
    <w:rsid w:val="00763AE2"/>
    <w:rsid w:val="0076467D"/>
    <w:rsid w:val="0076531D"/>
    <w:rsid w:val="00766D90"/>
    <w:rsid w:val="00767C19"/>
    <w:rsid w:val="00767CF8"/>
    <w:rsid w:val="00767D4E"/>
    <w:rsid w:val="00771067"/>
    <w:rsid w:val="007711DB"/>
    <w:rsid w:val="00771704"/>
    <w:rsid w:val="007722ED"/>
    <w:rsid w:val="00773426"/>
    <w:rsid w:val="007734A0"/>
    <w:rsid w:val="00773AC8"/>
    <w:rsid w:val="00773FD3"/>
    <w:rsid w:val="0077408B"/>
    <w:rsid w:val="0077493D"/>
    <w:rsid w:val="00774AF6"/>
    <w:rsid w:val="00774EC8"/>
    <w:rsid w:val="0077538E"/>
    <w:rsid w:val="00776781"/>
    <w:rsid w:val="00776CF7"/>
    <w:rsid w:val="007776CC"/>
    <w:rsid w:val="00777755"/>
    <w:rsid w:val="00777BEE"/>
    <w:rsid w:val="00777CE9"/>
    <w:rsid w:val="00777CEF"/>
    <w:rsid w:val="007803E0"/>
    <w:rsid w:val="00780AE9"/>
    <w:rsid w:val="00780D05"/>
    <w:rsid w:val="0078239B"/>
    <w:rsid w:val="00783AC9"/>
    <w:rsid w:val="00783C7B"/>
    <w:rsid w:val="0078556C"/>
    <w:rsid w:val="007855C5"/>
    <w:rsid w:val="007856D3"/>
    <w:rsid w:val="00785987"/>
    <w:rsid w:val="00785ABD"/>
    <w:rsid w:val="007860C6"/>
    <w:rsid w:val="00786254"/>
    <w:rsid w:val="00786C18"/>
    <w:rsid w:val="00786DB0"/>
    <w:rsid w:val="007874D3"/>
    <w:rsid w:val="00787D47"/>
    <w:rsid w:val="0079014E"/>
    <w:rsid w:val="00790CA2"/>
    <w:rsid w:val="0079148B"/>
    <w:rsid w:val="00792971"/>
    <w:rsid w:val="00792E44"/>
    <w:rsid w:val="007935C6"/>
    <w:rsid w:val="00793B0F"/>
    <w:rsid w:val="00794129"/>
    <w:rsid w:val="00794516"/>
    <w:rsid w:val="00794878"/>
    <w:rsid w:val="0079490D"/>
    <w:rsid w:val="00795147"/>
    <w:rsid w:val="00795512"/>
    <w:rsid w:val="00795863"/>
    <w:rsid w:val="00795AB7"/>
    <w:rsid w:val="00795E37"/>
    <w:rsid w:val="0079694C"/>
    <w:rsid w:val="00796B6C"/>
    <w:rsid w:val="00796D89"/>
    <w:rsid w:val="00796DA2"/>
    <w:rsid w:val="00797BC1"/>
    <w:rsid w:val="007A0415"/>
    <w:rsid w:val="007A06BA"/>
    <w:rsid w:val="007A0AB2"/>
    <w:rsid w:val="007A0D81"/>
    <w:rsid w:val="007A1019"/>
    <w:rsid w:val="007A20F6"/>
    <w:rsid w:val="007A27BD"/>
    <w:rsid w:val="007A294A"/>
    <w:rsid w:val="007A4C96"/>
    <w:rsid w:val="007A4FF7"/>
    <w:rsid w:val="007A51A6"/>
    <w:rsid w:val="007A523D"/>
    <w:rsid w:val="007A5629"/>
    <w:rsid w:val="007A56E5"/>
    <w:rsid w:val="007A578C"/>
    <w:rsid w:val="007A60CA"/>
    <w:rsid w:val="007A6F0F"/>
    <w:rsid w:val="007A708C"/>
    <w:rsid w:val="007A75B5"/>
    <w:rsid w:val="007A796C"/>
    <w:rsid w:val="007A7985"/>
    <w:rsid w:val="007A7ABE"/>
    <w:rsid w:val="007A7E45"/>
    <w:rsid w:val="007B0032"/>
    <w:rsid w:val="007B03C5"/>
    <w:rsid w:val="007B1E63"/>
    <w:rsid w:val="007B26E1"/>
    <w:rsid w:val="007B2791"/>
    <w:rsid w:val="007B2E7A"/>
    <w:rsid w:val="007B3045"/>
    <w:rsid w:val="007B3867"/>
    <w:rsid w:val="007B471E"/>
    <w:rsid w:val="007B4C0F"/>
    <w:rsid w:val="007B5E25"/>
    <w:rsid w:val="007B6E0E"/>
    <w:rsid w:val="007B7A43"/>
    <w:rsid w:val="007C0048"/>
    <w:rsid w:val="007C0E91"/>
    <w:rsid w:val="007C0F24"/>
    <w:rsid w:val="007C27FB"/>
    <w:rsid w:val="007C2CBB"/>
    <w:rsid w:val="007C309C"/>
    <w:rsid w:val="007C3296"/>
    <w:rsid w:val="007C36F8"/>
    <w:rsid w:val="007C4209"/>
    <w:rsid w:val="007C4607"/>
    <w:rsid w:val="007C4A6A"/>
    <w:rsid w:val="007C4A85"/>
    <w:rsid w:val="007C5EB9"/>
    <w:rsid w:val="007C7449"/>
    <w:rsid w:val="007C76D7"/>
    <w:rsid w:val="007C7ACC"/>
    <w:rsid w:val="007C7EA5"/>
    <w:rsid w:val="007D1A95"/>
    <w:rsid w:val="007D245E"/>
    <w:rsid w:val="007D281F"/>
    <w:rsid w:val="007D3764"/>
    <w:rsid w:val="007D37C8"/>
    <w:rsid w:val="007D3D3E"/>
    <w:rsid w:val="007D485A"/>
    <w:rsid w:val="007D4B16"/>
    <w:rsid w:val="007D54FF"/>
    <w:rsid w:val="007D57D4"/>
    <w:rsid w:val="007D58D4"/>
    <w:rsid w:val="007D6315"/>
    <w:rsid w:val="007D63DD"/>
    <w:rsid w:val="007D724A"/>
    <w:rsid w:val="007D75A3"/>
    <w:rsid w:val="007D7CF3"/>
    <w:rsid w:val="007E16E2"/>
    <w:rsid w:val="007E19FE"/>
    <w:rsid w:val="007E1AAC"/>
    <w:rsid w:val="007E1E18"/>
    <w:rsid w:val="007E2539"/>
    <w:rsid w:val="007E345E"/>
    <w:rsid w:val="007E3B9C"/>
    <w:rsid w:val="007E3E59"/>
    <w:rsid w:val="007E3F8D"/>
    <w:rsid w:val="007E4557"/>
    <w:rsid w:val="007E4A2F"/>
    <w:rsid w:val="007E5C4A"/>
    <w:rsid w:val="007E63DD"/>
    <w:rsid w:val="007E64D6"/>
    <w:rsid w:val="007E65F0"/>
    <w:rsid w:val="007E6915"/>
    <w:rsid w:val="007E73D0"/>
    <w:rsid w:val="007E74CA"/>
    <w:rsid w:val="007E799B"/>
    <w:rsid w:val="007E7AD3"/>
    <w:rsid w:val="007F0070"/>
    <w:rsid w:val="007F0441"/>
    <w:rsid w:val="007F0E99"/>
    <w:rsid w:val="007F20F1"/>
    <w:rsid w:val="007F2495"/>
    <w:rsid w:val="007F2BB0"/>
    <w:rsid w:val="007F40DE"/>
    <w:rsid w:val="007F4224"/>
    <w:rsid w:val="007F4238"/>
    <w:rsid w:val="007F4DD2"/>
    <w:rsid w:val="007F4FB9"/>
    <w:rsid w:val="007F51FB"/>
    <w:rsid w:val="007F5F1F"/>
    <w:rsid w:val="007F63D6"/>
    <w:rsid w:val="007F68A9"/>
    <w:rsid w:val="007F6CEC"/>
    <w:rsid w:val="007F6FC0"/>
    <w:rsid w:val="007F7022"/>
    <w:rsid w:val="007F7690"/>
    <w:rsid w:val="007F79B6"/>
    <w:rsid w:val="007F7C0E"/>
    <w:rsid w:val="007F7D61"/>
    <w:rsid w:val="008008FC"/>
    <w:rsid w:val="0080111B"/>
    <w:rsid w:val="008011CC"/>
    <w:rsid w:val="00801404"/>
    <w:rsid w:val="008017AA"/>
    <w:rsid w:val="00801CBA"/>
    <w:rsid w:val="00801D92"/>
    <w:rsid w:val="00802010"/>
    <w:rsid w:val="00804BCF"/>
    <w:rsid w:val="00804FA4"/>
    <w:rsid w:val="00805044"/>
    <w:rsid w:val="00805275"/>
    <w:rsid w:val="00806048"/>
    <w:rsid w:val="00806A62"/>
    <w:rsid w:val="00806E55"/>
    <w:rsid w:val="008075CE"/>
    <w:rsid w:val="00811601"/>
    <w:rsid w:val="00812179"/>
    <w:rsid w:val="008124E2"/>
    <w:rsid w:val="00812785"/>
    <w:rsid w:val="00813928"/>
    <w:rsid w:val="008147E9"/>
    <w:rsid w:val="00814CDC"/>
    <w:rsid w:val="00815321"/>
    <w:rsid w:val="00816591"/>
    <w:rsid w:val="008166DB"/>
    <w:rsid w:val="008173E0"/>
    <w:rsid w:val="008175C1"/>
    <w:rsid w:val="0081797E"/>
    <w:rsid w:val="00817AD7"/>
    <w:rsid w:val="00817D07"/>
    <w:rsid w:val="00817FCB"/>
    <w:rsid w:val="008200D4"/>
    <w:rsid w:val="00820370"/>
    <w:rsid w:val="00820CC6"/>
    <w:rsid w:val="00820CD7"/>
    <w:rsid w:val="008210FE"/>
    <w:rsid w:val="008214A4"/>
    <w:rsid w:val="008229BF"/>
    <w:rsid w:val="00822C41"/>
    <w:rsid w:val="00825043"/>
    <w:rsid w:val="00825267"/>
    <w:rsid w:val="00825636"/>
    <w:rsid w:val="00825FAB"/>
    <w:rsid w:val="00826372"/>
    <w:rsid w:val="00826395"/>
    <w:rsid w:val="008264EC"/>
    <w:rsid w:val="00827C0D"/>
    <w:rsid w:val="00830642"/>
    <w:rsid w:val="00830CC4"/>
    <w:rsid w:val="00831250"/>
    <w:rsid w:val="00831D8D"/>
    <w:rsid w:val="00832452"/>
    <w:rsid w:val="008327C8"/>
    <w:rsid w:val="00832AF0"/>
    <w:rsid w:val="008333B7"/>
    <w:rsid w:val="008336EC"/>
    <w:rsid w:val="008337B9"/>
    <w:rsid w:val="00834CC0"/>
    <w:rsid w:val="00834FD2"/>
    <w:rsid w:val="00835084"/>
    <w:rsid w:val="00835184"/>
    <w:rsid w:val="0083533A"/>
    <w:rsid w:val="00835422"/>
    <w:rsid w:val="00835569"/>
    <w:rsid w:val="00835802"/>
    <w:rsid w:val="00836295"/>
    <w:rsid w:val="008365AA"/>
    <w:rsid w:val="00836CE6"/>
    <w:rsid w:val="008370EE"/>
    <w:rsid w:val="0084093F"/>
    <w:rsid w:val="0084098A"/>
    <w:rsid w:val="00840DB0"/>
    <w:rsid w:val="00840EDE"/>
    <w:rsid w:val="008415D7"/>
    <w:rsid w:val="008418A5"/>
    <w:rsid w:val="00841A03"/>
    <w:rsid w:val="00842AE2"/>
    <w:rsid w:val="00842EC7"/>
    <w:rsid w:val="0084345D"/>
    <w:rsid w:val="00843548"/>
    <w:rsid w:val="0084383C"/>
    <w:rsid w:val="00843CC0"/>
    <w:rsid w:val="00844ADD"/>
    <w:rsid w:val="0084534E"/>
    <w:rsid w:val="00846062"/>
    <w:rsid w:val="0084657F"/>
    <w:rsid w:val="008467EB"/>
    <w:rsid w:val="00846D52"/>
    <w:rsid w:val="00846E94"/>
    <w:rsid w:val="008474C1"/>
    <w:rsid w:val="00847C1C"/>
    <w:rsid w:val="008501D9"/>
    <w:rsid w:val="00850494"/>
    <w:rsid w:val="0085055E"/>
    <w:rsid w:val="008506D8"/>
    <w:rsid w:val="00850C3B"/>
    <w:rsid w:val="00850E4F"/>
    <w:rsid w:val="008515A1"/>
    <w:rsid w:val="00851605"/>
    <w:rsid w:val="00852CA0"/>
    <w:rsid w:val="00852D85"/>
    <w:rsid w:val="00852F6C"/>
    <w:rsid w:val="0085465C"/>
    <w:rsid w:val="00854967"/>
    <w:rsid w:val="0085540B"/>
    <w:rsid w:val="00855511"/>
    <w:rsid w:val="0085582C"/>
    <w:rsid w:val="008559D3"/>
    <w:rsid w:val="00855C01"/>
    <w:rsid w:val="00855CFE"/>
    <w:rsid w:val="00855FD3"/>
    <w:rsid w:val="00857075"/>
    <w:rsid w:val="00857086"/>
    <w:rsid w:val="00857572"/>
    <w:rsid w:val="00857EF1"/>
    <w:rsid w:val="008605B5"/>
    <w:rsid w:val="00860F4D"/>
    <w:rsid w:val="008611DE"/>
    <w:rsid w:val="00861375"/>
    <w:rsid w:val="00861754"/>
    <w:rsid w:val="00861C56"/>
    <w:rsid w:val="00861F29"/>
    <w:rsid w:val="008620A2"/>
    <w:rsid w:val="0086234E"/>
    <w:rsid w:val="00862741"/>
    <w:rsid w:val="00862BBD"/>
    <w:rsid w:val="00863A8F"/>
    <w:rsid w:val="00863C9F"/>
    <w:rsid w:val="008645D6"/>
    <w:rsid w:val="0086552B"/>
    <w:rsid w:val="008655A2"/>
    <w:rsid w:val="0086584F"/>
    <w:rsid w:val="0086590D"/>
    <w:rsid w:val="00866196"/>
    <w:rsid w:val="00866A53"/>
    <w:rsid w:val="00866F05"/>
    <w:rsid w:val="008671C7"/>
    <w:rsid w:val="00867EB8"/>
    <w:rsid w:val="0087032E"/>
    <w:rsid w:val="00870335"/>
    <w:rsid w:val="00870AA2"/>
    <w:rsid w:val="008724EE"/>
    <w:rsid w:val="00872815"/>
    <w:rsid w:val="00873D88"/>
    <w:rsid w:val="0087433B"/>
    <w:rsid w:val="0087621E"/>
    <w:rsid w:val="008767B2"/>
    <w:rsid w:val="00876D21"/>
    <w:rsid w:val="00877328"/>
    <w:rsid w:val="0087787A"/>
    <w:rsid w:val="008802F0"/>
    <w:rsid w:val="00880992"/>
    <w:rsid w:val="00881692"/>
    <w:rsid w:val="008820F5"/>
    <w:rsid w:val="008828E2"/>
    <w:rsid w:val="0088303E"/>
    <w:rsid w:val="00883143"/>
    <w:rsid w:val="00884C21"/>
    <w:rsid w:val="00884FC0"/>
    <w:rsid w:val="00885435"/>
    <w:rsid w:val="00886154"/>
    <w:rsid w:val="00886FD0"/>
    <w:rsid w:val="008877D2"/>
    <w:rsid w:val="00890277"/>
    <w:rsid w:val="0089061A"/>
    <w:rsid w:val="00890BBE"/>
    <w:rsid w:val="00890D11"/>
    <w:rsid w:val="00891371"/>
    <w:rsid w:val="008915C6"/>
    <w:rsid w:val="00891677"/>
    <w:rsid w:val="00891880"/>
    <w:rsid w:val="00892B02"/>
    <w:rsid w:val="00892DB5"/>
    <w:rsid w:val="00894584"/>
    <w:rsid w:val="008947AE"/>
    <w:rsid w:val="008949CE"/>
    <w:rsid w:val="00894B61"/>
    <w:rsid w:val="00895255"/>
    <w:rsid w:val="00895DF1"/>
    <w:rsid w:val="00896645"/>
    <w:rsid w:val="008975D2"/>
    <w:rsid w:val="00897CF7"/>
    <w:rsid w:val="008A035B"/>
    <w:rsid w:val="008A0459"/>
    <w:rsid w:val="008A056F"/>
    <w:rsid w:val="008A0828"/>
    <w:rsid w:val="008A1218"/>
    <w:rsid w:val="008A15B6"/>
    <w:rsid w:val="008A1A6E"/>
    <w:rsid w:val="008A202A"/>
    <w:rsid w:val="008A251C"/>
    <w:rsid w:val="008A2520"/>
    <w:rsid w:val="008A3327"/>
    <w:rsid w:val="008A36C9"/>
    <w:rsid w:val="008A4C90"/>
    <w:rsid w:val="008A5AF9"/>
    <w:rsid w:val="008A661B"/>
    <w:rsid w:val="008B0031"/>
    <w:rsid w:val="008B0100"/>
    <w:rsid w:val="008B0EA3"/>
    <w:rsid w:val="008B15A6"/>
    <w:rsid w:val="008B16DE"/>
    <w:rsid w:val="008B1D28"/>
    <w:rsid w:val="008B1E1C"/>
    <w:rsid w:val="008B220D"/>
    <w:rsid w:val="008B251F"/>
    <w:rsid w:val="008B2602"/>
    <w:rsid w:val="008B2727"/>
    <w:rsid w:val="008B316B"/>
    <w:rsid w:val="008B5059"/>
    <w:rsid w:val="008B5650"/>
    <w:rsid w:val="008B5738"/>
    <w:rsid w:val="008B5BF2"/>
    <w:rsid w:val="008B6906"/>
    <w:rsid w:val="008B6934"/>
    <w:rsid w:val="008B6A7D"/>
    <w:rsid w:val="008B6CF8"/>
    <w:rsid w:val="008B72F6"/>
    <w:rsid w:val="008C055E"/>
    <w:rsid w:val="008C119E"/>
    <w:rsid w:val="008C1A76"/>
    <w:rsid w:val="008C1E24"/>
    <w:rsid w:val="008C24E0"/>
    <w:rsid w:val="008C296B"/>
    <w:rsid w:val="008C2A46"/>
    <w:rsid w:val="008C3B4C"/>
    <w:rsid w:val="008C4278"/>
    <w:rsid w:val="008C520E"/>
    <w:rsid w:val="008C563B"/>
    <w:rsid w:val="008C567E"/>
    <w:rsid w:val="008C5D09"/>
    <w:rsid w:val="008C5DEE"/>
    <w:rsid w:val="008C6285"/>
    <w:rsid w:val="008C7182"/>
    <w:rsid w:val="008C7268"/>
    <w:rsid w:val="008C7310"/>
    <w:rsid w:val="008C74CE"/>
    <w:rsid w:val="008C79F6"/>
    <w:rsid w:val="008C7CA5"/>
    <w:rsid w:val="008C7D9D"/>
    <w:rsid w:val="008D009D"/>
    <w:rsid w:val="008D0416"/>
    <w:rsid w:val="008D0CAD"/>
    <w:rsid w:val="008D13C6"/>
    <w:rsid w:val="008D1B04"/>
    <w:rsid w:val="008D1BF3"/>
    <w:rsid w:val="008D1C66"/>
    <w:rsid w:val="008D1F10"/>
    <w:rsid w:val="008D3235"/>
    <w:rsid w:val="008D33C8"/>
    <w:rsid w:val="008D3893"/>
    <w:rsid w:val="008D3918"/>
    <w:rsid w:val="008D45CD"/>
    <w:rsid w:val="008D4803"/>
    <w:rsid w:val="008D55F1"/>
    <w:rsid w:val="008D5CD7"/>
    <w:rsid w:val="008D5D53"/>
    <w:rsid w:val="008D718E"/>
    <w:rsid w:val="008D787E"/>
    <w:rsid w:val="008E067B"/>
    <w:rsid w:val="008E09C5"/>
    <w:rsid w:val="008E0AA7"/>
    <w:rsid w:val="008E17AE"/>
    <w:rsid w:val="008E2355"/>
    <w:rsid w:val="008E243B"/>
    <w:rsid w:val="008E2505"/>
    <w:rsid w:val="008E2682"/>
    <w:rsid w:val="008E3151"/>
    <w:rsid w:val="008E3386"/>
    <w:rsid w:val="008E3986"/>
    <w:rsid w:val="008E5410"/>
    <w:rsid w:val="008E5A3F"/>
    <w:rsid w:val="008E7209"/>
    <w:rsid w:val="008E7448"/>
    <w:rsid w:val="008F0207"/>
    <w:rsid w:val="008F11BB"/>
    <w:rsid w:val="008F16FF"/>
    <w:rsid w:val="008F182F"/>
    <w:rsid w:val="008F1A2A"/>
    <w:rsid w:val="008F1E00"/>
    <w:rsid w:val="008F1E95"/>
    <w:rsid w:val="008F2304"/>
    <w:rsid w:val="008F2C15"/>
    <w:rsid w:val="008F3210"/>
    <w:rsid w:val="008F4171"/>
    <w:rsid w:val="008F57DD"/>
    <w:rsid w:val="008F5AEE"/>
    <w:rsid w:val="008F5DDD"/>
    <w:rsid w:val="008F6007"/>
    <w:rsid w:val="008F6EAA"/>
    <w:rsid w:val="008F7800"/>
    <w:rsid w:val="008F7BCA"/>
    <w:rsid w:val="009006D8"/>
    <w:rsid w:val="0090076E"/>
    <w:rsid w:val="00900F4D"/>
    <w:rsid w:val="0090167B"/>
    <w:rsid w:val="00901917"/>
    <w:rsid w:val="00902612"/>
    <w:rsid w:val="00902DEC"/>
    <w:rsid w:val="0090342E"/>
    <w:rsid w:val="00903D3A"/>
    <w:rsid w:val="00904333"/>
    <w:rsid w:val="009044B9"/>
    <w:rsid w:val="009047B1"/>
    <w:rsid w:val="00904C86"/>
    <w:rsid w:val="0090680D"/>
    <w:rsid w:val="0090704F"/>
    <w:rsid w:val="0091045D"/>
    <w:rsid w:val="0091090A"/>
    <w:rsid w:val="009125D8"/>
    <w:rsid w:val="0091281A"/>
    <w:rsid w:val="00912B24"/>
    <w:rsid w:val="009139B5"/>
    <w:rsid w:val="00914514"/>
    <w:rsid w:val="00914549"/>
    <w:rsid w:val="00914C08"/>
    <w:rsid w:val="00914F2F"/>
    <w:rsid w:val="0091595B"/>
    <w:rsid w:val="00915A04"/>
    <w:rsid w:val="00915BD3"/>
    <w:rsid w:val="00915E98"/>
    <w:rsid w:val="00916057"/>
    <w:rsid w:val="009164D2"/>
    <w:rsid w:val="00916AD1"/>
    <w:rsid w:val="00917637"/>
    <w:rsid w:val="00917B7A"/>
    <w:rsid w:val="00917FEE"/>
    <w:rsid w:val="0092023D"/>
    <w:rsid w:val="00920472"/>
    <w:rsid w:val="00921251"/>
    <w:rsid w:val="00921861"/>
    <w:rsid w:val="0092189E"/>
    <w:rsid w:val="009219FD"/>
    <w:rsid w:val="00921DF7"/>
    <w:rsid w:val="009225F5"/>
    <w:rsid w:val="00923C00"/>
    <w:rsid w:val="009257B0"/>
    <w:rsid w:val="009258BD"/>
    <w:rsid w:val="00925DEB"/>
    <w:rsid w:val="009263C0"/>
    <w:rsid w:val="00927EFF"/>
    <w:rsid w:val="009302D4"/>
    <w:rsid w:val="009304E8"/>
    <w:rsid w:val="009306FC"/>
    <w:rsid w:val="009307F2"/>
    <w:rsid w:val="00930916"/>
    <w:rsid w:val="00930CEC"/>
    <w:rsid w:val="00930F4A"/>
    <w:rsid w:val="00931A13"/>
    <w:rsid w:val="00932A06"/>
    <w:rsid w:val="00932B24"/>
    <w:rsid w:val="0093375E"/>
    <w:rsid w:val="00933BEF"/>
    <w:rsid w:val="009354DF"/>
    <w:rsid w:val="00935584"/>
    <w:rsid w:val="009355C1"/>
    <w:rsid w:val="00935FEE"/>
    <w:rsid w:val="00937060"/>
    <w:rsid w:val="00937364"/>
    <w:rsid w:val="0093787E"/>
    <w:rsid w:val="009412CC"/>
    <w:rsid w:val="0094142D"/>
    <w:rsid w:val="0094154F"/>
    <w:rsid w:val="00941861"/>
    <w:rsid w:val="00942951"/>
    <w:rsid w:val="0094388B"/>
    <w:rsid w:val="00943D09"/>
    <w:rsid w:val="0094406F"/>
    <w:rsid w:val="009445A2"/>
    <w:rsid w:val="00944826"/>
    <w:rsid w:val="009457A1"/>
    <w:rsid w:val="00946B22"/>
    <w:rsid w:val="00947C5D"/>
    <w:rsid w:val="00947CA9"/>
    <w:rsid w:val="00950478"/>
    <w:rsid w:val="00950888"/>
    <w:rsid w:val="00950AF9"/>
    <w:rsid w:val="00950B5F"/>
    <w:rsid w:val="00950D35"/>
    <w:rsid w:val="0095144C"/>
    <w:rsid w:val="0095165B"/>
    <w:rsid w:val="00951B17"/>
    <w:rsid w:val="00951B8D"/>
    <w:rsid w:val="009522D3"/>
    <w:rsid w:val="009536A8"/>
    <w:rsid w:val="00954596"/>
    <w:rsid w:val="00954E49"/>
    <w:rsid w:val="00955851"/>
    <w:rsid w:val="009575FA"/>
    <w:rsid w:val="00957E23"/>
    <w:rsid w:val="00960305"/>
    <w:rsid w:val="00961487"/>
    <w:rsid w:val="00961BA7"/>
    <w:rsid w:val="00961F01"/>
    <w:rsid w:val="00962162"/>
    <w:rsid w:val="009623BC"/>
    <w:rsid w:val="0096243A"/>
    <w:rsid w:val="00962868"/>
    <w:rsid w:val="009628BE"/>
    <w:rsid w:val="00962A51"/>
    <w:rsid w:val="00962CD1"/>
    <w:rsid w:val="009631C8"/>
    <w:rsid w:val="00963AE4"/>
    <w:rsid w:val="00963C14"/>
    <w:rsid w:val="009645CD"/>
    <w:rsid w:val="00965940"/>
    <w:rsid w:val="00965A4E"/>
    <w:rsid w:val="00966917"/>
    <w:rsid w:val="00966BE5"/>
    <w:rsid w:val="00966EB0"/>
    <w:rsid w:val="00967092"/>
    <w:rsid w:val="00967AEB"/>
    <w:rsid w:val="009702AA"/>
    <w:rsid w:val="00970A97"/>
    <w:rsid w:val="00970AA3"/>
    <w:rsid w:val="00971116"/>
    <w:rsid w:val="00972E28"/>
    <w:rsid w:val="00973030"/>
    <w:rsid w:val="009733F3"/>
    <w:rsid w:val="00973EDB"/>
    <w:rsid w:val="00974070"/>
    <w:rsid w:val="009741EC"/>
    <w:rsid w:val="0097451D"/>
    <w:rsid w:val="00974626"/>
    <w:rsid w:val="00974844"/>
    <w:rsid w:val="009748E4"/>
    <w:rsid w:val="009749C5"/>
    <w:rsid w:val="00975909"/>
    <w:rsid w:val="00975EC7"/>
    <w:rsid w:val="00975FAD"/>
    <w:rsid w:val="00976D65"/>
    <w:rsid w:val="00977873"/>
    <w:rsid w:val="00977CE6"/>
    <w:rsid w:val="00977D0E"/>
    <w:rsid w:val="00977F1F"/>
    <w:rsid w:val="009807AC"/>
    <w:rsid w:val="00980999"/>
    <w:rsid w:val="00980C18"/>
    <w:rsid w:val="009810E9"/>
    <w:rsid w:val="0098141C"/>
    <w:rsid w:val="00981AA9"/>
    <w:rsid w:val="00981C91"/>
    <w:rsid w:val="009825CE"/>
    <w:rsid w:val="00982BFF"/>
    <w:rsid w:val="00983132"/>
    <w:rsid w:val="00983314"/>
    <w:rsid w:val="009839E7"/>
    <w:rsid w:val="00983DA7"/>
    <w:rsid w:val="00983DF2"/>
    <w:rsid w:val="009842CB"/>
    <w:rsid w:val="0098433A"/>
    <w:rsid w:val="009847D4"/>
    <w:rsid w:val="00984E83"/>
    <w:rsid w:val="0098544D"/>
    <w:rsid w:val="00985675"/>
    <w:rsid w:val="00985939"/>
    <w:rsid w:val="0098637F"/>
    <w:rsid w:val="00986A9B"/>
    <w:rsid w:val="00986B9C"/>
    <w:rsid w:val="009873F7"/>
    <w:rsid w:val="00987BAB"/>
    <w:rsid w:val="0099035C"/>
    <w:rsid w:val="009906BF"/>
    <w:rsid w:val="009908D8"/>
    <w:rsid w:val="009913F3"/>
    <w:rsid w:val="00991482"/>
    <w:rsid w:val="00991DA1"/>
    <w:rsid w:val="009924CF"/>
    <w:rsid w:val="009927F1"/>
    <w:rsid w:val="00992FBC"/>
    <w:rsid w:val="0099358B"/>
    <w:rsid w:val="009936C4"/>
    <w:rsid w:val="00993BF2"/>
    <w:rsid w:val="0099430B"/>
    <w:rsid w:val="009948ED"/>
    <w:rsid w:val="00994A57"/>
    <w:rsid w:val="00995ADA"/>
    <w:rsid w:val="0099643A"/>
    <w:rsid w:val="0099691E"/>
    <w:rsid w:val="00996C4A"/>
    <w:rsid w:val="0099709A"/>
    <w:rsid w:val="00997959"/>
    <w:rsid w:val="00997C09"/>
    <w:rsid w:val="009A05BF"/>
    <w:rsid w:val="009A082D"/>
    <w:rsid w:val="009A0968"/>
    <w:rsid w:val="009A0BAF"/>
    <w:rsid w:val="009A1431"/>
    <w:rsid w:val="009A153D"/>
    <w:rsid w:val="009A15BB"/>
    <w:rsid w:val="009A1634"/>
    <w:rsid w:val="009A1C1C"/>
    <w:rsid w:val="009A1EFE"/>
    <w:rsid w:val="009A2CA9"/>
    <w:rsid w:val="009A3A34"/>
    <w:rsid w:val="009A3FE2"/>
    <w:rsid w:val="009A400C"/>
    <w:rsid w:val="009A4B2C"/>
    <w:rsid w:val="009A5592"/>
    <w:rsid w:val="009A59BA"/>
    <w:rsid w:val="009A6417"/>
    <w:rsid w:val="009B01DF"/>
    <w:rsid w:val="009B020D"/>
    <w:rsid w:val="009B072F"/>
    <w:rsid w:val="009B07A1"/>
    <w:rsid w:val="009B08F8"/>
    <w:rsid w:val="009B09CC"/>
    <w:rsid w:val="009B1634"/>
    <w:rsid w:val="009B173B"/>
    <w:rsid w:val="009B1A1A"/>
    <w:rsid w:val="009B2608"/>
    <w:rsid w:val="009B2A71"/>
    <w:rsid w:val="009B3D16"/>
    <w:rsid w:val="009B3E01"/>
    <w:rsid w:val="009B4027"/>
    <w:rsid w:val="009B468F"/>
    <w:rsid w:val="009B4975"/>
    <w:rsid w:val="009B561F"/>
    <w:rsid w:val="009B5773"/>
    <w:rsid w:val="009B595E"/>
    <w:rsid w:val="009B5D2D"/>
    <w:rsid w:val="009C058F"/>
    <w:rsid w:val="009C07B0"/>
    <w:rsid w:val="009C2B3E"/>
    <w:rsid w:val="009C2B59"/>
    <w:rsid w:val="009C2DF4"/>
    <w:rsid w:val="009C2EA2"/>
    <w:rsid w:val="009C32B9"/>
    <w:rsid w:val="009C3721"/>
    <w:rsid w:val="009C3727"/>
    <w:rsid w:val="009C4074"/>
    <w:rsid w:val="009C4141"/>
    <w:rsid w:val="009C4430"/>
    <w:rsid w:val="009C4B55"/>
    <w:rsid w:val="009C5D15"/>
    <w:rsid w:val="009C5FBF"/>
    <w:rsid w:val="009C5FCC"/>
    <w:rsid w:val="009C61A2"/>
    <w:rsid w:val="009C6621"/>
    <w:rsid w:val="009C6DF6"/>
    <w:rsid w:val="009C6E92"/>
    <w:rsid w:val="009D04F7"/>
    <w:rsid w:val="009D1589"/>
    <w:rsid w:val="009D1E44"/>
    <w:rsid w:val="009D2003"/>
    <w:rsid w:val="009D38C2"/>
    <w:rsid w:val="009D417F"/>
    <w:rsid w:val="009D41AC"/>
    <w:rsid w:val="009D45E5"/>
    <w:rsid w:val="009D4B85"/>
    <w:rsid w:val="009D4F31"/>
    <w:rsid w:val="009D535B"/>
    <w:rsid w:val="009D630B"/>
    <w:rsid w:val="009D6CAA"/>
    <w:rsid w:val="009D6CE0"/>
    <w:rsid w:val="009D6CF6"/>
    <w:rsid w:val="009D6E69"/>
    <w:rsid w:val="009D7A99"/>
    <w:rsid w:val="009E02DC"/>
    <w:rsid w:val="009E13CC"/>
    <w:rsid w:val="009E2040"/>
    <w:rsid w:val="009E32F5"/>
    <w:rsid w:val="009E3387"/>
    <w:rsid w:val="009E34AB"/>
    <w:rsid w:val="009E38EB"/>
    <w:rsid w:val="009E3BD9"/>
    <w:rsid w:val="009E4543"/>
    <w:rsid w:val="009E49AE"/>
    <w:rsid w:val="009E4DC7"/>
    <w:rsid w:val="009E660A"/>
    <w:rsid w:val="009E6B5B"/>
    <w:rsid w:val="009E6B64"/>
    <w:rsid w:val="009E72E5"/>
    <w:rsid w:val="009F0343"/>
    <w:rsid w:val="009F46C8"/>
    <w:rsid w:val="009F4EB4"/>
    <w:rsid w:val="009F4F03"/>
    <w:rsid w:val="009F4F2A"/>
    <w:rsid w:val="009F575D"/>
    <w:rsid w:val="009F660B"/>
    <w:rsid w:val="009F671E"/>
    <w:rsid w:val="009F6E0B"/>
    <w:rsid w:val="009F7ED1"/>
    <w:rsid w:val="00A000C1"/>
    <w:rsid w:val="00A0062C"/>
    <w:rsid w:val="00A006F7"/>
    <w:rsid w:val="00A0149B"/>
    <w:rsid w:val="00A01607"/>
    <w:rsid w:val="00A018D4"/>
    <w:rsid w:val="00A02573"/>
    <w:rsid w:val="00A02A3C"/>
    <w:rsid w:val="00A02B8C"/>
    <w:rsid w:val="00A02D40"/>
    <w:rsid w:val="00A02F9D"/>
    <w:rsid w:val="00A02FF0"/>
    <w:rsid w:val="00A03114"/>
    <w:rsid w:val="00A03301"/>
    <w:rsid w:val="00A03767"/>
    <w:rsid w:val="00A03DE6"/>
    <w:rsid w:val="00A04834"/>
    <w:rsid w:val="00A04F8F"/>
    <w:rsid w:val="00A0503B"/>
    <w:rsid w:val="00A05628"/>
    <w:rsid w:val="00A06A53"/>
    <w:rsid w:val="00A07540"/>
    <w:rsid w:val="00A07DCF"/>
    <w:rsid w:val="00A10E43"/>
    <w:rsid w:val="00A11413"/>
    <w:rsid w:val="00A11AA2"/>
    <w:rsid w:val="00A12979"/>
    <w:rsid w:val="00A131A9"/>
    <w:rsid w:val="00A13F1F"/>
    <w:rsid w:val="00A1496E"/>
    <w:rsid w:val="00A14F84"/>
    <w:rsid w:val="00A152ED"/>
    <w:rsid w:val="00A15D3C"/>
    <w:rsid w:val="00A16B34"/>
    <w:rsid w:val="00A16D6D"/>
    <w:rsid w:val="00A17A81"/>
    <w:rsid w:val="00A17C53"/>
    <w:rsid w:val="00A17C75"/>
    <w:rsid w:val="00A20D4A"/>
    <w:rsid w:val="00A211C8"/>
    <w:rsid w:val="00A2121E"/>
    <w:rsid w:val="00A213D4"/>
    <w:rsid w:val="00A21830"/>
    <w:rsid w:val="00A21EAC"/>
    <w:rsid w:val="00A221DE"/>
    <w:rsid w:val="00A222DE"/>
    <w:rsid w:val="00A22CB2"/>
    <w:rsid w:val="00A23138"/>
    <w:rsid w:val="00A23940"/>
    <w:rsid w:val="00A23ECC"/>
    <w:rsid w:val="00A248FA"/>
    <w:rsid w:val="00A24CD3"/>
    <w:rsid w:val="00A25461"/>
    <w:rsid w:val="00A256CB"/>
    <w:rsid w:val="00A26367"/>
    <w:rsid w:val="00A2678A"/>
    <w:rsid w:val="00A269E1"/>
    <w:rsid w:val="00A2727E"/>
    <w:rsid w:val="00A27C1C"/>
    <w:rsid w:val="00A30F6A"/>
    <w:rsid w:val="00A32AEA"/>
    <w:rsid w:val="00A32F32"/>
    <w:rsid w:val="00A33E80"/>
    <w:rsid w:val="00A33EFE"/>
    <w:rsid w:val="00A34614"/>
    <w:rsid w:val="00A34FFE"/>
    <w:rsid w:val="00A3572C"/>
    <w:rsid w:val="00A3608B"/>
    <w:rsid w:val="00A36376"/>
    <w:rsid w:val="00A37069"/>
    <w:rsid w:val="00A40C68"/>
    <w:rsid w:val="00A4148D"/>
    <w:rsid w:val="00A41959"/>
    <w:rsid w:val="00A41A5A"/>
    <w:rsid w:val="00A42045"/>
    <w:rsid w:val="00A42C81"/>
    <w:rsid w:val="00A43811"/>
    <w:rsid w:val="00A44D0E"/>
    <w:rsid w:val="00A4621D"/>
    <w:rsid w:val="00A46C6D"/>
    <w:rsid w:val="00A47250"/>
    <w:rsid w:val="00A47FA8"/>
    <w:rsid w:val="00A50040"/>
    <w:rsid w:val="00A50683"/>
    <w:rsid w:val="00A509FB"/>
    <w:rsid w:val="00A51181"/>
    <w:rsid w:val="00A51671"/>
    <w:rsid w:val="00A51C19"/>
    <w:rsid w:val="00A51E04"/>
    <w:rsid w:val="00A522B5"/>
    <w:rsid w:val="00A5239F"/>
    <w:rsid w:val="00A52C31"/>
    <w:rsid w:val="00A52F37"/>
    <w:rsid w:val="00A533C5"/>
    <w:rsid w:val="00A5388C"/>
    <w:rsid w:val="00A5397B"/>
    <w:rsid w:val="00A53BE1"/>
    <w:rsid w:val="00A541D8"/>
    <w:rsid w:val="00A54644"/>
    <w:rsid w:val="00A553B6"/>
    <w:rsid w:val="00A55921"/>
    <w:rsid w:val="00A560E3"/>
    <w:rsid w:val="00A5628F"/>
    <w:rsid w:val="00A564AF"/>
    <w:rsid w:val="00A566A8"/>
    <w:rsid w:val="00A56D0B"/>
    <w:rsid w:val="00A5775C"/>
    <w:rsid w:val="00A57C39"/>
    <w:rsid w:val="00A60088"/>
    <w:rsid w:val="00A60E72"/>
    <w:rsid w:val="00A61284"/>
    <w:rsid w:val="00A61581"/>
    <w:rsid w:val="00A61F0C"/>
    <w:rsid w:val="00A61FF0"/>
    <w:rsid w:val="00A62580"/>
    <w:rsid w:val="00A63A57"/>
    <w:rsid w:val="00A63AC9"/>
    <w:rsid w:val="00A64502"/>
    <w:rsid w:val="00A64B5F"/>
    <w:rsid w:val="00A64CB0"/>
    <w:rsid w:val="00A65D92"/>
    <w:rsid w:val="00A65EA0"/>
    <w:rsid w:val="00A66517"/>
    <w:rsid w:val="00A66DE3"/>
    <w:rsid w:val="00A67B0E"/>
    <w:rsid w:val="00A70C60"/>
    <w:rsid w:val="00A70C6F"/>
    <w:rsid w:val="00A712A0"/>
    <w:rsid w:val="00A718EF"/>
    <w:rsid w:val="00A72134"/>
    <w:rsid w:val="00A726A8"/>
    <w:rsid w:val="00A72951"/>
    <w:rsid w:val="00A72C12"/>
    <w:rsid w:val="00A73505"/>
    <w:rsid w:val="00A73795"/>
    <w:rsid w:val="00A73C39"/>
    <w:rsid w:val="00A7517C"/>
    <w:rsid w:val="00A75993"/>
    <w:rsid w:val="00A75E02"/>
    <w:rsid w:val="00A75E6D"/>
    <w:rsid w:val="00A76485"/>
    <w:rsid w:val="00A766CF"/>
    <w:rsid w:val="00A76AB1"/>
    <w:rsid w:val="00A76E79"/>
    <w:rsid w:val="00A77546"/>
    <w:rsid w:val="00A7771B"/>
    <w:rsid w:val="00A777C1"/>
    <w:rsid w:val="00A77B53"/>
    <w:rsid w:val="00A811F1"/>
    <w:rsid w:val="00A81208"/>
    <w:rsid w:val="00A81C1F"/>
    <w:rsid w:val="00A81E88"/>
    <w:rsid w:val="00A8259A"/>
    <w:rsid w:val="00A8278F"/>
    <w:rsid w:val="00A82887"/>
    <w:rsid w:val="00A83010"/>
    <w:rsid w:val="00A83BF5"/>
    <w:rsid w:val="00A84BB8"/>
    <w:rsid w:val="00A84CD1"/>
    <w:rsid w:val="00A85503"/>
    <w:rsid w:val="00A85901"/>
    <w:rsid w:val="00A85C58"/>
    <w:rsid w:val="00A85E2E"/>
    <w:rsid w:val="00A85EBA"/>
    <w:rsid w:val="00A861F3"/>
    <w:rsid w:val="00A8728F"/>
    <w:rsid w:val="00A8756A"/>
    <w:rsid w:val="00A87F7D"/>
    <w:rsid w:val="00A9014E"/>
    <w:rsid w:val="00A906B7"/>
    <w:rsid w:val="00A9070E"/>
    <w:rsid w:val="00A90BFF"/>
    <w:rsid w:val="00A90D95"/>
    <w:rsid w:val="00A9160F"/>
    <w:rsid w:val="00A91CE6"/>
    <w:rsid w:val="00A92320"/>
    <w:rsid w:val="00A92588"/>
    <w:rsid w:val="00A929CE"/>
    <w:rsid w:val="00A92DD4"/>
    <w:rsid w:val="00A93236"/>
    <w:rsid w:val="00A939C3"/>
    <w:rsid w:val="00A94D0F"/>
    <w:rsid w:val="00A94F13"/>
    <w:rsid w:val="00A95128"/>
    <w:rsid w:val="00A9568C"/>
    <w:rsid w:val="00A95BED"/>
    <w:rsid w:val="00A95D94"/>
    <w:rsid w:val="00A95EA2"/>
    <w:rsid w:val="00A9787E"/>
    <w:rsid w:val="00A97AF9"/>
    <w:rsid w:val="00AA08E8"/>
    <w:rsid w:val="00AA0DB4"/>
    <w:rsid w:val="00AA11C5"/>
    <w:rsid w:val="00AA17E2"/>
    <w:rsid w:val="00AA1FF0"/>
    <w:rsid w:val="00AA21B7"/>
    <w:rsid w:val="00AA2302"/>
    <w:rsid w:val="00AA3827"/>
    <w:rsid w:val="00AA382D"/>
    <w:rsid w:val="00AA3F75"/>
    <w:rsid w:val="00AA4096"/>
    <w:rsid w:val="00AA4226"/>
    <w:rsid w:val="00AA4307"/>
    <w:rsid w:val="00AA4A2C"/>
    <w:rsid w:val="00AA4A54"/>
    <w:rsid w:val="00AA5054"/>
    <w:rsid w:val="00AA5311"/>
    <w:rsid w:val="00AA59A6"/>
    <w:rsid w:val="00AA5CA3"/>
    <w:rsid w:val="00AA601C"/>
    <w:rsid w:val="00AA6299"/>
    <w:rsid w:val="00AA6D34"/>
    <w:rsid w:val="00AA6E05"/>
    <w:rsid w:val="00AB0262"/>
    <w:rsid w:val="00AB06B9"/>
    <w:rsid w:val="00AB0B2C"/>
    <w:rsid w:val="00AB14A1"/>
    <w:rsid w:val="00AB17D2"/>
    <w:rsid w:val="00AB1D54"/>
    <w:rsid w:val="00AB202A"/>
    <w:rsid w:val="00AB2083"/>
    <w:rsid w:val="00AB23C6"/>
    <w:rsid w:val="00AB2A12"/>
    <w:rsid w:val="00AB2AC9"/>
    <w:rsid w:val="00AB2C25"/>
    <w:rsid w:val="00AB36BD"/>
    <w:rsid w:val="00AB46C5"/>
    <w:rsid w:val="00AB545E"/>
    <w:rsid w:val="00AB5555"/>
    <w:rsid w:val="00AB55AD"/>
    <w:rsid w:val="00AB5CCC"/>
    <w:rsid w:val="00AB5D1B"/>
    <w:rsid w:val="00AB65DF"/>
    <w:rsid w:val="00AB6918"/>
    <w:rsid w:val="00AB6B40"/>
    <w:rsid w:val="00AB740A"/>
    <w:rsid w:val="00AB7B76"/>
    <w:rsid w:val="00AB7F28"/>
    <w:rsid w:val="00AC1986"/>
    <w:rsid w:val="00AC1DA5"/>
    <w:rsid w:val="00AC20C3"/>
    <w:rsid w:val="00AC216B"/>
    <w:rsid w:val="00AC26B1"/>
    <w:rsid w:val="00AC307B"/>
    <w:rsid w:val="00AC42B8"/>
    <w:rsid w:val="00AC45C5"/>
    <w:rsid w:val="00AC4791"/>
    <w:rsid w:val="00AC4FB6"/>
    <w:rsid w:val="00AC4FD1"/>
    <w:rsid w:val="00AC5402"/>
    <w:rsid w:val="00AC55FA"/>
    <w:rsid w:val="00AC5FEF"/>
    <w:rsid w:val="00AC6036"/>
    <w:rsid w:val="00AC719D"/>
    <w:rsid w:val="00AD0328"/>
    <w:rsid w:val="00AD034E"/>
    <w:rsid w:val="00AD084F"/>
    <w:rsid w:val="00AD11DC"/>
    <w:rsid w:val="00AD1966"/>
    <w:rsid w:val="00AD19E8"/>
    <w:rsid w:val="00AD2B03"/>
    <w:rsid w:val="00AD2C1D"/>
    <w:rsid w:val="00AD2E07"/>
    <w:rsid w:val="00AD38A9"/>
    <w:rsid w:val="00AD3CDF"/>
    <w:rsid w:val="00AD3E0F"/>
    <w:rsid w:val="00AD4071"/>
    <w:rsid w:val="00AD44EA"/>
    <w:rsid w:val="00AD4782"/>
    <w:rsid w:val="00AD4C53"/>
    <w:rsid w:val="00AD5236"/>
    <w:rsid w:val="00AD527D"/>
    <w:rsid w:val="00AD54E0"/>
    <w:rsid w:val="00AD5561"/>
    <w:rsid w:val="00AD6A01"/>
    <w:rsid w:val="00AD758E"/>
    <w:rsid w:val="00AD7AB5"/>
    <w:rsid w:val="00AE0397"/>
    <w:rsid w:val="00AE08B7"/>
    <w:rsid w:val="00AE0DBA"/>
    <w:rsid w:val="00AE160F"/>
    <w:rsid w:val="00AE21DC"/>
    <w:rsid w:val="00AE239B"/>
    <w:rsid w:val="00AE25D2"/>
    <w:rsid w:val="00AE2B47"/>
    <w:rsid w:val="00AE2CAD"/>
    <w:rsid w:val="00AE3090"/>
    <w:rsid w:val="00AE380E"/>
    <w:rsid w:val="00AE3AAD"/>
    <w:rsid w:val="00AE4189"/>
    <w:rsid w:val="00AE4929"/>
    <w:rsid w:val="00AE503A"/>
    <w:rsid w:val="00AE6178"/>
    <w:rsid w:val="00AE68E2"/>
    <w:rsid w:val="00AE6E25"/>
    <w:rsid w:val="00AE7AB1"/>
    <w:rsid w:val="00AE7D38"/>
    <w:rsid w:val="00AE7D6A"/>
    <w:rsid w:val="00AF0157"/>
    <w:rsid w:val="00AF056C"/>
    <w:rsid w:val="00AF2EC7"/>
    <w:rsid w:val="00AF3AC0"/>
    <w:rsid w:val="00AF3BA8"/>
    <w:rsid w:val="00AF4F4A"/>
    <w:rsid w:val="00AF50A2"/>
    <w:rsid w:val="00AF6018"/>
    <w:rsid w:val="00AF69BC"/>
    <w:rsid w:val="00AF7782"/>
    <w:rsid w:val="00AF79F8"/>
    <w:rsid w:val="00B00359"/>
    <w:rsid w:val="00B00C24"/>
    <w:rsid w:val="00B00E28"/>
    <w:rsid w:val="00B00F93"/>
    <w:rsid w:val="00B0110B"/>
    <w:rsid w:val="00B01BBE"/>
    <w:rsid w:val="00B01E4D"/>
    <w:rsid w:val="00B02C39"/>
    <w:rsid w:val="00B03E5C"/>
    <w:rsid w:val="00B03F92"/>
    <w:rsid w:val="00B055D8"/>
    <w:rsid w:val="00B066F0"/>
    <w:rsid w:val="00B06CD6"/>
    <w:rsid w:val="00B06EBC"/>
    <w:rsid w:val="00B07B37"/>
    <w:rsid w:val="00B11111"/>
    <w:rsid w:val="00B11BDF"/>
    <w:rsid w:val="00B11D2D"/>
    <w:rsid w:val="00B120D2"/>
    <w:rsid w:val="00B123F0"/>
    <w:rsid w:val="00B12891"/>
    <w:rsid w:val="00B13437"/>
    <w:rsid w:val="00B146C1"/>
    <w:rsid w:val="00B146E7"/>
    <w:rsid w:val="00B1499B"/>
    <w:rsid w:val="00B1501F"/>
    <w:rsid w:val="00B156DF"/>
    <w:rsid w:val="00B15ABB"/>
    <w:rsid w:val="00B16973"/>
    <w:rsid w:val="00B17058"/>
    <w:rsid w:val="00B2036A"/>
    <w:rsid w:val="00B20EB0"/>
    <w:rsid w:val="00B21057"/>
    <w:rsid w:val="00B21217"/>
    <w:rsid w:val="00B2202B"/>
    <w:rsid w:val="00B2252E"/>
    <w:rsid w:val="00B23422"/>
    <w:rsid w:val="00B24948"/>
    <w:rsid w:val="00B24CBD"/>
    <w:rsid w:val="00B24F3F"/>
    <w:rsid w:val="00B256D1"/>
    <w:rsid w:val="00B25CA3"/>
    <w:rsid w:val="00B262DD"/>
    <w:rsid w:val="00B26C65"/>
    <w:rsid w:val="00B277BF"/>
    <w:rsid w:val="00B277C2"/>
    <w:rsid w:val="00B30028"/>
    <w:rsid w:val="00B30CD9"/>
    <w:rsid w:val="00B30DED"/>
    <w:rsid w:val="00B31E8D"/>
    <w:rsid w:val="00B3313B"/>
    <w:rsid w:val="00B331E8"/>
    <w:rsid w:val="00B331EA"/>
    <w:rsid w:val="00B342DD"/>
    <w:rsid w:val="00B34732"/>
    <w:rsid w:val="00B353B8"/>
    <w:rsid w:val="00B35456"/>
    <w:rsid w:val="00B35C56"/>
    <w:rsid w:val="00B35DDF"/>
    <w:rsid w:val="00B36835"/>
    <w:rsid w:val="00B36F17"/>
    <w:rsid w:val="00B36F2A"/>
    <w:rsid w:val="00B372ED"/>
    <w:rsid w:val="00B379A2"/>
    <w:rsid w:val="00B400EA"/>
    <w:rsid w:val="00B40603"/>
    <w:rsid w:val="00B40AF6"/>
    <w:rsid w:val="00B40DD9"/>
    <w:rsid w:val="00B40E94"/>
    <w:rsid w:val="00B41071"/>
    <w:rsid w:val="00B42171"/>
    <w:rsid w:val="00B425C0"/>
    <w:rsid w:val="00B42DB6"/>
    <w:rsid w:val="00B43E8F"/>
    <w:rsid w:val="00B454CE"/>
    <w:rsid w:val="00B456EE"/>
    <w:rsid w:val="00B459AE"/>
    <w:rsid w:val="00B45F4D"/>
    <w:rsid w:val="00B46656"/>
    <w:rsid w:val="00B4693E"/>
    <w:rsid w:val="00B46957"/>
    <w:rsid w:val="00B47A2E"/>
    <w:rsid w:val="00B47B54"/>
    <w:rsid w:val="00B507D3"/>
    <w:rsid w:val="00B50CD0"/>
    <w:rsid w:val="00B50E99"/>
    <w:rsid w:val="00B5147E"/>
    <w:rsid w:val="00B51926"/>
    <w:rsid w:val="00B51E65"/>
    <w:rsid w:val="00B51F9A"/>
    <w:rsid w:val="00B52520"/>
    <w:rsid w:val="00B53DFB"/>
    <w:rsid w:val="00B54D9B"/>
    <w:rsid w:val="00B54DA7"/>
    <w:rsid w:val="00B55B46"/>
    <w:rsid w:val="00B55F35"/>
    <w:rsid w:val="00B563A6"/>
    <w:rsid w:val="00B56798"/>
    <w:rsid w:val="00B56C95"/>
    <w:rsid w:val="00B600C6"/>
    <w:rsid w:val="00B60167"/>
    <w:rsid w:val="00B60E7A"/>
    <w:rsid w:val="00B60FC0"/>
    <w:rsid w:val="00B61665"/>
    <w:rsid w:val="00B6169C"/>
    <w:rsid w:val="00B61A8A"/>
    <w:rsid w:val="00B63528"/>
    <w:rsid w:val="00B63DAF"/>
    <w:rsid w:val="00B63E98"/>
    <w:rsid w:val="00B6490F"/>
    <w:rsid w:val="00B64C01"/>
    <w:rsid w:val="00B65754"/>
    <w:rsid w:val="00B661AA"/>
    <w:rsid w:val="00B66242"/>
    <w:rsid w:val="00B670D3"/>
    <w:rsid w:val="00B67958"/>
    <w:rsid w:val="00B67AD7"/>
    <w:rsid w:val="00B701D1"/>
    <w:rsid w:val="00B716BB"/>
    <w:rsid w:val="00B716FD"/>
    <w:rsid w:val="00B71978"/>
    <w:rsid w:val="00B734C2"/>
    <w:rsid w:val="00B73BDA"/>
    <w:rsid w:val="00B74053"/>
    <w:rsid w:val="00B745DE"/>
    <w:rsid w:val="00B748B0"/>
    <w:rsid w:val="00B7651E"/>
    <w:rsid w:val="00B76589"/>
    <w:rsid w:val="00B765A0"/>
    <w:rsid w:val="00B76C02"/>
    <w:rsid w:val="00B77BD2"/>
    <w:rsid w:val="00B814CB"/>
    <w:rsid w:val="00B81B50"/>
    <w:rsid w:val="00B81B6A"/>
    <w:rsid w:val="00B820F4"/>
    <w:rsid w:val="00B821BA"/>
    <w:rsid w:val="00B829F2"/>
    <w:rsid w:val="00B835E0"/>
    <w:rsid w:val="00B8396D"/>
    <w:rsid w:val="00B84CF5"/>
    <w:rsid w:val="00B84DF9"/>
    <w:rsid w:val="00B84FD0"/>
    <w:rsid w:val="00B85ECA"/>
    <w:rsid w:val="00B86B3D"/>
    <w:rsid w:val="00B90331"/>
    <w:rsid w:val="00B903ED"/>
    <w:rsid w:val="00B90B2D"/>
    <w:rsid w:val="00B90BB5"/>
    <w:rsid w:val="00B90CB9"/>
    <w:rsid w:val="00B92007"/>
    <w:rsid w:val="00B935A1"/>
    <w:rsid w:val="00B937A6"/>
    <w:rsid w:val="00B93CB2"/>
    <w:rsid w:val="00B94555"/>
    <w:rsid w:val="00B9456C"/>
    <w:rsid w:val="00B94F4B"/>
    <w:rsid w:val="00B95DAD"/>
    <w:rsid w:val="00B9694C"/>
    <w:rsid w:val="00B96C0C"/>
    <w:rsid w:val="00B9734D"/>
    <w:rsid w:val="00B97732"/>
    <w:rsid w:val="00BA27F4"/>
    <w:rsid w:val="00BA2E40"/>
    <w:rsid w:val="00BA3573"/>
    <w:rsid w:val="00BA3CB7"/>
    <w:rsid w:val="00BA41C2"/>
    <w:rsid w:val="00BA41DE"/>
    <w:rsid w:val="00BA556C"/>
    <w:rsid w:val="00BA5E98"/>
    <w:rsid w:val="00BA64AF"/>
    <w:rsid w:val="00BA686C"/>
    <w:rsid w:val="00BA6BA4"/>
    <w:rsid w:val="00BB0F31"/>
    <w:rsid w:val="00BB15AB"/>
    <w:rsid w:val="00BB187C"/>
    <w:rsid w:val="00BB189B"/>
    <w:rsid w:val="00BB1CEC"/>
    <w:rsid w:val="00BB1D21"/>
    <w:rsid w:val="00BB2606"/>
    <w:rsid w:val="00BB2715"/>
    <w:rsid w:val="00BB27C4"/>
    <w:rsid w:val="00BB2A9C"/>
    <w:rsid w:val="00BB2E51"/>
    <w:rsid w:val="00BB32EF"/>
    <w:rsid w:val="00BB35F4"/>
    <w:rsid w:val="00BB4BEA"/>
    <w:rsid w:val="00BB4C1A"/>
    <w:rsid w:val="00BB50AB"/>
    <w:rsid w:val="00BB6664"/>
    <w:rsid w:val="00BB6AD0"/>
    <w:rsid w:val="00BB75E7"/>
    <w:rsid w:val="00BC01FC"/>
    <w:rsid w:val="00BC0A3C"/>
    <w:rsid w:val="00BC0BD9"/>
    <w:rsid w:val="00BC1F79"/>
    <w:rsid w:val="00BC2201"/>
    <w:rsid w:val="00BC3C7A"/>
    <w:rsid w:val="00BC4187"/>
    <w:rsid w:val="00BC7C84"/>
    <w:rsid w:val="00BC7DC6"/>
    <w:rsid w:val="00BD0DB2"/>
    <w:rsid w:val="00BD1039"/>
    <w:rsid w:val="00BD13B5"/>
    <w:rsid w:val="00BD1E0C"/>
    <w:rsid w:val="00BD29CA"/>
    <w:rsid w:val="00BD2EFC"/>
    <w:rsid w:val="00BD340E"/>
    <w:rsid w:val="00BD4D79"/>
    <w:rsid w:val="00BD4DE1"/>
    <w:rsid w:val="00BD5BC9"/>
    <w:rsid w:val="00BD60AD"/>
    <w:rsid w:val="00BD6899"/>
    <w:rsid w:val="00BD6C02"/>
    <w:rsid w:val="00BD70B9"/>
    <w:rsid w:val="00BD7180"/>
    <w:rsid w:val="00BD752C"/>
    <w:rsid w:val="00BE00CD"/>
    <w:rsid w:val="00BE1244"/>
    <w:rsid w:val="00BE165D"/>
    <w:rsid w:val="00BE2394"/>
    <w:rsid w:val="00BE2702"/>
    <w:rsid w:val="00BE3187"/>
    <w:rsid w:val="00BE3C3C"/>
    <w:rsid w:val="00BE3EDE"/>
    <w:rsid w:val="00BE40D4"/>
    <w:rsid w:val="00BE4326"/>
    <w:rsid w:val="00BE46E4"/>
    <w:rsid w:val="00BE4776"/>
    <w:rsid w:val="00BE4F53"/>
    <w:rsid w:val="00BE5F4F"/>
    <w:rsid w:val="00BE60DB"/>
    <w:rsid w:val="00BE62BE"/>
    <w:rsid w:val="00BE754F"/>
    <w:rsid w:val="00BE7BE5"/>
    <w:rsid w:val="00BE7CB1"/>
    <w:rsid w:val="00BF0191"/>
    <w:rsid w:val="00BF13EC"/>
    <w:rsid w:val="00BF1C07"/>
    <w:rsid w:val="00BF2702"/>
    <w:rsid w:val="00BF30F9"/>
    <w:rsid w:val="00BF3DEE"/>
    <w:rsid w:val="00BF4470"/>
    <w:rsid w:val="00BF4AED"/>
    <w:rsid w:val="00BF52EA"/>
    <w:rsid w:val="00BF54AC"/>
    <w:rsid w:val="00BF54BD"/>
    <w:rsid w:val="00BF575D"/>
    <w:rsid w:val="00BF581E"/>
    <w:rsid w:val="00BF5BCF"/>
    <w:rsid w:val="00BF6B8E"/>
    <w:rsid w:val="00BF6C22"/>
    <w:rsid w:val="00BF7D6F"/>
    <w:rsid w:val="00BF7DBC"/>
    <w:rsid w:val="00C001D0"/>
    <w:rsid w:val="00C02207"/>
    <w:rsid w:val="00C025A5"/>
    <w:rsid w:val="00C03C78"/>
    <w:rsid w:val="00C04FD3"/>
    <w:rsid w:val="00C05DEC"/>
    <w:rsid w:val="00C05F2E"/>
    <w:rsid w:val="00C065A2"/>
    <w:rsid w:val="00C066E7"/>
    <w:rsid w:val="00C06DE2"/>
    <w:rsid w:val="00C06E01"/>
    <w:rsid w:val="00C0728B"/>
    <w:rsid w:val="00C0758D"/>
    <w:rsid w:val="00C0774D"/>
    <w:rsid w:val="00C07919"/>
    <w:rsid w:val="00C1037F"/>
    <w:rsid w:val="00C103F9"/>
    <w:rsid w:val="00C104AC"/>
    <w:rsid w:val="00C108A2"/>
    <w:rsid w:val="00C110E1"/>
    <w:rsid w:val="00C11680"/>
    <w:rsid w:val="00C1198F"/>
    <w:rsid w:val="00C11FA1"/>
    <w:rsid w:val="00C12058"/>
    <w:rsid w:val="00C12404"/>
    <w:rsid w:val="00C12BCB"/>
    <w:rsid w:val="00C12E21"/>
    <w:rsid w:val="00C12E65"/>
    <w:rsid w:val="00C13578"/>
    <w:rsid w:val="00C13833"/>
    <w:rsid w:val="00C13C20"/>
    <w:rsid w:val="00C13F74"/>
    <w:rsid w:val="00C141FA"/>
    <w:rsid w:val="00C146D3"/>
    <w:rsid w:val="00C14B07"/>
    <w:rsid w:val="00C15471"/>
    <w:rsid w:val="00C1639C"/>
    <w:rsid w:val="00C16420"/>
    <w:rsid w:val="00C16BE0"/>
    <w:rsid w:val="00C16FAA"/>
    <w:rsid w:val="00C17149"/>
    <w:rsid w:val="00C17424"/>
    <w:rsid w:val="00C1772B"/>
    <w:rsid w:val="00C17BB1"/>
    <w:rsid w:val="00C201B0"/>
    <w:rsid w:val="00C2081C"/>
    <w:rsid w:val="00C20D1A"/>
    <w:rsid w:val="00C20FDD"/>
    <w:rsid w:val="00C21637"/>
    <w:rsid w:val="00C21C39"/>
    <w:rsid w:val="00C2325C"/>
    <w:rsid w:val="00C239ED"/>
    <w:rsid w:val="00C249B5"/>
    <w:rsid w:val="00C24D9D"/>
    <w:rsid w:val="00C25CF3"/>
    <w:rsid w:val="00C25F95"/>
    <w:rsid w:val="00C263E9"/>
    <w:rsid w:val="00C269A8"/>
    <w:rsid w:val="00C2775A"/>
    <w:rsid w:val="00C3063A"/>
    <w:rsid w:val="00C30BAD"/>
    <w:rsid w:val="00C31E8F"/>
    <w:rsid w:val="00C332A3"/>
    <w:rsid w:val="00C335DA"/>
    <w:rsid w:val="00C33D3E"/>
    <w:rsid w:val="00C35E98"/>
    <w:rsid w:val="00C36228"/>
    <w:rsid w:val="00C362E0"/>
    <w:rsid w:val="00C36ED4"/>
    <w:rsid w:val="00C376CC"/>
    <w:rsid w:val="00C400F7"/>
    <w:rsid w:val="00C40CA9"/>
    <w:rsid w:val="00C40EC6"/>
    <w:rsid w:val="00C419AD"/>
    <w:rsid w:val="00C41B5F"/>
    <w:rsid w:val="00C41BD3"/>
    <w:rsid w:val="00C428EE"/>
    <w:rsid w:val="00C437BA"/>
    <w:rsid w:val="00C44395"/>
    <w:rsid w:val="00C443B3"/>
    <w:rsid w:val="00C4472E"/>
    <w:rsid w:val="00C44C75"/>
    <w:rsid w:val="00C45489"/>
    <w:rsid w:val="00C45CE8"/>
    <w:rsid w:val="00C45DA7"/>
    <w:rsid w:val="00C46D4D"/>
    <w:rsid w:val="00C46F06"/>
    <w:rsid w:val="00C47DA6"/>
    <w:rsid w:val="00C50310"/>
    <w:rsid w:val="00C50986"/>
    <w:rsid w:val="00C50ABF"/>
    <w:rsid w:val="00C50EF2"/>
    <w:rsid w:val="00C51256"/>
    <w:rsid w:val="00C51566"/>
    <w:rsid w:val="00C516B7"/>
    <w:rsid w:val="00C516C4"/>
    <w:rsid w:val="00C51C1F"/>
    <w:rsid w:val="00C51DB0"/>
    <w:rsid w:val="00C521E8"/>
    <w:rsid w:val="00C52433"/>
    <w:rsid w:val="00C525F0"/>
    <w:rsid w:val="00C52D62"/>
    <w:rsid w:val="00C52DF0"/>
    <w:rsid w:val="00C52EF3"/>
    <w:rsid w:val="00C53309"/>
    <w:rsid w:val="00C533D4"/>
    <w:rsid w:val="00C53A4C"/>
    <w:rsid w:val="00C5448D"/>
    <w:rsid w:val="00C5454C"/>
    <w:rsid w:val="00C5477F"/>
    <w:rsid w:val="00C547B7"/>
    <w:rsid w:val="00C5503B"/>
    <w:rsid w:val="00C55A32"/>
    <w:rsid w:val="00C564F2"/>
    <w:rsid w:val="00C567AE"/>
    <w:rsid w:val="00C56F11"/>
    <w:rsid w:val="00C6021A"/>
    <w:rsid w:val="00C60222"/>
    <w:rsid w:val="00C60950"/>
    <w:rsid w:val="00C6102D"/>
    <w:rsid w:val="00C613D7"/>
    <w:rsid w:val="00C61888"/>
    <w:rsid w:val="00C61E33"/>
    <w:rsid w:val="00C61F3A"/>
    <w:rsid w:val="00C62021"/>
    <w:rsid w:val="00C629CB"/>
    <w:rsid w:val="00C62B75"/>
    <w:rsid w:val="00C64236"/>
    <w:rsid w:val="00C64845"/>
    <w:rsid w:val="00C657B5"/>
    <w:rsid w:val="00C65B67"/>
    <w:rsid w:val="00C661E1"/>
    <w:rsid w:val="00C66372"/>
    <w:rsid w:val="00C664C8"/>
    <w:rsid w:val="00C66686"/>
    <w:rsid w:val="00C66A15"/>
    <w:rsid w:val="00C66A83"/>
    <w:rsid w:val="00C67006"/>
    <w:rsid w:val="00C674AC"/>
    <w:rsid w:val="00C678C4"/>
    <w:rsid w:val="00C70AC3"/>
    <w:rsid w:val="00C70C6F"/>
    <w:rsid w:val="00C710EE"/>
    <w:rsid w:val="00C71215"/>
    <w:rsid w:val="00C715E6"/>
    <w:rsid w:val="00C7216B"/>
    <w:rsid w:val="00C727BE"/>
    <w:rsid w:val="00C72AE3"/>
    <w:rsid w:val="00C732A9"/>
    <w:rsid w:val="00C7337E"/>
    <w:rsid w:val="00C73448"/>
    <w:rsid w:val="00C738E3"/>
    <w:rsid w:val="00C73E2E"/>
    <w:rsid w:val="00C74546"/>
    <w:rsid w:val="00C748E2"/>
    <w:rsid w:val="00C7776C"/>
    <w:rsid w:val="00C800E3"/>
    <w:rsid w:val="00C809E4"/>
    <w:rsid w:val="00C816EA"/>
    <w:rsid w:val="00C8186D"/>
    <w:rsid w:val="00C81C71"/>
    <w:rsid w:val="00C83618"/>
    <w:rsid w:val="00C8398D"/>
    <w:rsid w:val="00C84BC2"/>
    <w:rsid w:val="00C85139"/>
    <w:rsid w:val="00C85657"/>
    <w:rsid w:val="00C8691E"/>
    <w:rsid w:val="00C90A60"/>
    <w:rsid w:val="00C90DA7"/>
    <w:rsid w:val="00C91694"/>
    <w:rsid w:val="00C91C88"/>
    <w:rsid w:val="00C92150"/>
    <w:rsid w:val="00C9310A"/>
    <w:rsid w:val="00C939C3"/>
    <w:rsid w:val="00C93AAE"/>
    <w:rsid w:val="00C93D43"/>
    <w:rsid w:val="00C94228"/>
    <w:rsid w:val="00C9482C"/>
    <w:rsid w:val="00C94B26"/>
    <w:rsid w:val="00C94DC4"/>
    <w:rsid w:val="00C95535"/>
    <w:rsid w:val="00C95DF5"/>
    <w:rsid w:val="00C96D56"/>
    <w:rsid w:val="00C977E6"/>
    <w:rsid w:val="00CA0020"/>
    <w:rsid w:val="00CA0B2E"/>
    <w:rsid w:val="00CA0EA7"/>
    <w:rsid w:val="00CA18CA"/>
    <w:rsid w:val="00CA2557"/>
    <w:rsid w:val="00CA3DCE"/>
    <w:rsid w:val="00CA3E33"/>
    <w:rsid w:val="00CA5413"/>
    <w:rsid w:val="00CA5674"/>
    <w:rsid w:val="00CA5BDA"/>
    <w:rsid w:val="00CA5C1A"/>
    <w:rsid w:val="00CA633F"/>
    <w:rsid w:val="00CA641E"/>
    <w:rsid w:val="00CA7558"/>
    <w:rsid w:val="00CA785F"/>
    <w:rsid w:val="00CA792A"/>
    <w:rsid w:val="00CA7949"/>
    <w:rsid w:val="00CA79FA"/>
    <w:rsid w:val="00CA7A68"/>
    <w:rsid w:val="00CB0C6E"/>
    <w:rsid w:val="00CB0C89"/>
    <w:rsid w:val="00CB1DD9"/>
    <w:rsid w:val="00CB2235"/>
    <w:rsid w:val="00CB226B"/>
    <w:rsid w:val="00CB229B"/>
    <w:rsid w:val="00CB2315"/>
    <w:rsid w:val="00CB28D8"/>
    <w:rsid w:val="00CB33B4"/>
    <w:rsid w:val="00CB3D93"/>
    <w:rsid w:val="00CB4441"/>
    <w:rsid w:val="00CB4B1A"/>
    <w:rsid w:val="00CB4E1F"/>
    <w:rsid w:val="00CB55D1"/>
    <w:rsid w:val="00CB6BCE"/>
    <w:rsid w:val="00CC0917"/>
    <w:rsid w:val="00CC152E"/>
    <w:rsid w:val="00CC2493"/>
    <w:rsid w:val="00CC2CB7"/>
    <w:rsid w:val="00CC3222"/>
    <w:rsid w:val="00CC35F1"/>
    <w:rsid w:val="00CC35FF"/>
    <w:rsid w:val="00CC46C7"/>
    <w:rsid w:val="00CC6422"/>
    <w:rsid w:val="00CC6AAA"/>
    <w:rsid w:val="00CC796C"/>
    <w:rsid w:val="00CD0E6E"/>
    <w:rsid w:val="00CD23AE"/>
    <w:rsid w:val="00CD27DF"/>
    <w:rsid w:val="00CD2A29"/>
    <w:rsid w:val="00CD2D7E"/>
    <w:rsid w:val="00CD2D8A"/>
    <w:rsid w:val="00CD33B5"/>
    <w:rsid w:val="00CD3BAC"/>
    <w:rsid w:val="00CD3FF2"/>
    <w:rsid w:val="00CD4141"/>
    <w:rsid w:val="00CD4A65"/>
    <w:rsid w:val="00CD531F"/>
    <w:rsid w:val="00CD5600"/>
    <w:rsid w:val="00CD6FA3"/>
    <w:rsid w:val="00CE01D2"/>
    <w:rsid w:val="00CE0BD4"/>
    <w:rsid w:val="00CE1CF8"/>
    <w:rsid w:val="00CE2184"/>
    <w:rsid w:val="00CE3B7F"/>
    <w:rsid w:val="00CE3FA2"/>
    <w:rsid w:val="00CE41A0"/>
    <w:rsid w:val="00CE4958"/>
    <w:rsid w:val="00CE55C0"/>
    <w:rsid w:val="00CE5F54"/>
    <w:rsid w:val="00CE68E2"/>
    <w:rsid w:val="00CE706E"/>
    <w:rsid w:val="00CE70B1"/>
    <w:rsid w:val="00CE7AE4"/>
    <w:rsid w:val="00CE7DDC"/>
    <w:rsid w:val="00CF06DD"/>
    <w:rsid w:val="00CF0A4C"/>
    <w:rsid w:val="00CF1331"/>
    <w:rsid w:val="00CF150A"/>
    <w:rsid w:val="00CF2210"/>
    <w:rsid w:val="00CF2225"/>
    <w:rsid w:val="00CF25E7"/>
    <w:rsid w:val="00CF3574"/>
    <w:rsid w:val="00CF3B1E"/>
    <w:rsid w:val="00CF3C77"/>
    <w:rsid w:val="00CF45A2"/>
    <w:rsid w:val="00CF4763"/>
    <w:rsid w:val="00CF5252"/>
    <w:rsid w:val="00CF52E7"/>
    <w:rsid w:val="00CF54ED"/>
    <w:rsid w:val="00CF5CFC"/>
    <w:rsid w:val="00CF5D87"/>
    <w:rsid w:val="00CF61EB"/>
    <w:rsid w:val="00CF64B5"/>
    <w:rsid w:val="00CF6B11"/>
    <w:rsid w:val="00CF7723"/>
    <w:rsid w:val="00CF7853"/>
    <w:rsid w:val="00CF7FAF"/>
    <w:rsid w:val="00D0008A"/>
    <w:rsid w:val="00D0031A"/>
    <w:rsid w:val="00D004ED"/>
    <w:rsid w:val="00D00976"/>
    <w:rsid w:val="00D01032"/>
    <w:rsid w:val="00D0112D"/>
    <w:rsid w:val="00D02494"/>
    <w:rsid w:val="00D0260F"/>
    <w:rsid w:val="00D030AB"/>
    <w:rsid w:val="00D031DB"/>
    <w:rsid w:val="00D032D6"/>
    <w:rsid w:val="00D03708"/>
    <w:rsid w:val="00D03C45"/>
    <w:rsid w:val="00D04A33"/>
    <w:rsid w:val="00D06776"/>
    <w:rsid w:val="00D0682E"/>
    <w:rsid w:val="00D06E46"/>
    <w:rsid w:val="00D06F95"/>
    <w:rsid w:val="00D07A62"/>
    <w:rsid w:val="00D104D5"/>
    <w:rsid w:val="00D1158C"/>
    <w:rsid w:val="00D11600"/>
    <w:rsid w:val="00D119A2"/>
    <w:rsid w:val="00D11F56"/>
    <w:rsid w:val="00D12872"/>
    <w:rsid w:val="00D12E31"/>
    <w:rsid w:val="00D13782"/>
    <w:rsid w:val="00D137F9"/>
    <w:rsid w:val="00D13815"/>
    <w:rsid w:val="00D13B68"/>
    <w:rsid w:val="00D14585"/>
    <w:rsid w:val="00D1458C"/>
    <w:rsid w:val="00D1600E"/>
    <w:rsid w:val="00D1620E"/>
    <w:rsid w:val="00D163C9"/>
    <w:rsid w:val="00D16867"/>
    <w:rsid w:val="00D16EEC"/>
    <w:rsid w:val="00D2047A"/>
    <w:rsid w:val="00D20631"/>
    <w:rsid w:val="00D207FC"/>
    <w:rsid w:val="00D20FA0"/>
    <w:rsid w:val="00D21795"/>
    <w:rsid w:val="00D2260B"/>
    <w:rsid w:val="00D22D49"/>
    <w:rsid w:val="00D23550"/>
    <w:rsid w:val="00D2370B"/>
    <w:rsid w:val="00D23930"/>
    <w:rsid w:val="00D23A23"/>
    <w:rsid w:val="00D24B92"/>
    <w:rsid w:val="00D24D8A"/>
    <w:rsid w:val="00D24DA4"/>
    <w:rsid w:val="00D25117"/>
    <w:rsid w:val="00D25235"/>
    <w:rsid w:val="00D25383"/>
    <w:rsid w:val="00D253D6"/>
    <w:rsid w:val="00D25670"/>
    <w:rsid w:val="00D26506"/>
    <w:rsid w:val="00D26AD3"/>
    <w:rsid w:val="00D26D70"/>
    <w:rsid w:val="00D279B0"/>
    <w:rsid w:val="00D27F40"/>
    <w:rsid w:val="00D301FF"/>
    <w:rsid w:val="00D31794"/>
    <w:rsid w:val="00D3257F"/>
    <w:rsid w:val="00D32DA8"/>
    <w:rsid w:val="00D340E2"/>
    <w:rsid w:val="00D34DF0"/>
    <w:rsid w:val="00D35172"/>
    <w:rsid w:val="00D36148"/>
    <w:rsid w:val="00D36783"/>
    <w:rsid w:val="00D36887"/>
    <w:rsid w:val="00D36DCE"/>
    <w:rsid w:val="00D37563"/>
    <w:rsid w:val="00D379EB"/>
    <w:rsid w:val="00D400B8"/>
    <w:rsid w:val="00D4022C"/>
    <w:rsid w:val="00D407F8"/>
    <w:rsid w:val="00D41023"/>
    <w:rsid w:val="00D41C6C"/>
    <w:rsid w:val="00D42167"/>
    <w:rsid w:val="00D42465"/>
    <w:rsid w:val="00D42E5B"/>
    <w:rsid w:val="00D43778"/>
    <w:rsid w:val="00D439D1"/>
    <w:rsid w:val="00D43C68"/>
    <w:rsid w:val="00D444B2"/>
    <w:rsid w:val="00D4456D"/>
    <w:rsid w:val="00D453E4"/>
    <w:rsid w:val="00D45B0F"/>
    <w:rsid w:val="00D47226"/>
    <w:rsid w:val="00D47C36"/>
    <w:rsid w:val="00D50039"/>
    <w:rsid w:val="00D50B21"/>
    <w:rsid w:val="00D51349"/>
    <w:rsid w:val="00D527AF"/>
    <w:rsid w:val="00D529E1"/>
    <w:rsid w:val="00D534C2"/>
    <w:rsid w:val="00D53758"/>
    <w:rsid w:val="00D53910"/>
    <w:rsid w:val="00D5410F"/>
    <w:rsid w:val="00D5421C"/>
    <w:rsid w:val="00D55878"/>
    <w:rsid w:val="00D55AA7"/>
    <w:rsid w:val="00D5605D"/>
    <w:rsid w:val="00D564DF"/>
    <w:rsid w:val="00D576DD"/>
    <w:rsid w:val="00D57CB4"/>
    <w:rsid w:val="00D60021"/>
    <w:rsid w:val="00D60338"/>
    <w:rsid w:val="00D61477"/>
    <w:rsid w:val="00D619E2"/>
    <w:rsid w:val="00D62036"/>
    <w:rsid w:val="00D620B1"/>
    <w:rsid w:val="00D620CC"/>
    <w:rsid w:val="00D6224E"/>
    <w:rsid w:val="00D62C12"/>
    <w:rsid w:val="00D634B8"/>
    <w:rsid w:val="00D63EF3"/>
    <w:rsid w:val="00D64427"/>
    <w:rsid w:val="00D64441"/>
    <w:rsid w:val="00D65497"/>
    <w:rsid w:val="00D654DA"/>
    <w:rsid w:val="00D65653"/>
    <w:rsid w:val="00D6609E"/>
    <w:rsid w:val="00D66AC2"/>
    <w:rsid w:val="00D66C4E"/>
    <w:rsid w:val="00D67A9F"/>
    <w:rsid w:val="00D67C20"/>
    <w:rsid w:val="00D67E17"/>
    <w:rsid w:val="00D70BCA"/>
    <w:rsid w:val="00D70C1B"/>
    <w:rsid w:val="00D70E5C"/>
    <w:rsid w:val="00D7146C"/>
    <w:rsid w:val="00D716E3"/>
    <w:rsid w:val="00D718CD"/>
    <w:rsid w:val="00D71E3E"/>
    <w:rsid w:val="00D73320"/>
    <w:rsid w:val="00D7416F"/>
    <w:rsid w:val="00D755F2"/>
    <w:rsid w:val="00D762AC"/>
    <w:rsid w:val="00D76AC7"/>
    <w:rsid w:val="00D7746D"/>
    <w:rsid w:val="00D775E7"/>
    <w:rsid w:val="00D77B9E"/>
    <w:rsid w:val="00D77C12"/>
    <w:rsid w:val="00D81CA9"/>
    <w:rsid w:val="00D81F4B"/>
    <w:rsid w:val="00D836CF"/>
    <w:rsid w:val="00D839D8"/>
    <w:rsid w:val="00D83F9E"/>
    <w:rsid w:val="00D83FF6"/>
    <w:rsid w:val="00D840C2"/>
    <w:rsid w:val="00D84562"/>
    <w:rsid w:val="00D854AC"/>
    <w:rsid w:val="00D85521"/>
    <w:rsid w:val="00D85C16"/>
    <w:rsid w:val="00D85D10"/>
    <w:rsid w:val="00D86169"/>
    <w:rsid w:val="00D8732E"/>
    <w:rsid w:val="00D90479"/>
    <w:rsid w:val="00D90E68"/>
    <w:rsid w:val="00D91294"/>
    <w:rsid w:val="00D9186A"/>
    <w:rsid w:val="00D9192C"/>
    <w:rsid w:val="00D92045"/>
    <w:rsid w:val="00D92D47"/>
    <w:rsid w:val="00D94213"/>
    <w:rsid w:val="00D94BEB"/>
    <w:rsid w:val="00D94EA5"/>
    <w:rsid w:val="00D95F32"/>
    <w:rsid w:val="00D961BE"/>
    <w:rsid w:val="00D96C2A"/>
    <w:rsid w:val="00D97F53"/>
    <w:rsid w:val="00DA024A"/>
    <w:rsid w:val="00DA07EE"/>
    <w:rsid w:val="00DA0A58"/>
    <w:rsid w:val="00DA146F"/>
    <w:rsid w:val="00DA14D1"/>
    <w:rsid w:val="00DA1856"/>
    <w:rsid w:val="00DA1C85"/>
    <w:rsid w:val="00DA1CC9"/>
    <w:rsid w:val="00DA2E58"/>
    <w:rsid w:val="00DA328E"/>
    <w:rsid w:val="00DA331E"/>
    <w:rsid w:val="00DA38D7"/>
    <w:rsid w:val="00DA3AA6"/>
    <w:rsid w:val="00DA4009"/>
    <w:rsid w:val="00DA46C1"/>
    <w:rsid w:val="00DA4D0D"/>
    <w:rsid w:val="00DA5748"/>
    <w:rsid w:val="00DA70DD"/>
    <w:rsid w:val="00DB088F"/>
    <w:rsid w:val="00DB08EA"/>
    <w:rsid w:val="00DB0B4A"/>
    <w:rsid w:val="00DB1487"/>
    <w:rsid w:val="00DB14F3"/>
    <w:rsid w:val="00DB19B4"/>
    <w:rsid w:val="00DB19F1"/>
    <w:rsid w:val="00DB2394"/>
    <w:rsid w:val="00DB26AE"/>
    <w:rsid w:val="00DB3763"/>
    <w:rsid w:val="00DB3801"/>
    <w:rsid w:val="00DB4411"/>
    <w:rsid w:val="00DB466D"/>
    <w:rsid w:val="00DB5FD0"/>
    <w:rsid w:val="00DB7395"/>
    <w:rsid w:val="00DB75C2"/>
    <w:rsid w:val="00DB7E2C"/>
    <w:rsid w:val="00DC0051"/>
    <w:rsid w:val="00DC027B"/>
    <w:rsid w:val="00DC0A64"/>
    <w:rsid w:val="00DC0EB3"/>
    <w:rsid w:val="00DC0FC4"/>
    <w:rsid w:val="00DC1B9A"/>
    <w:rsid w:val="00DC2344"/>
    <w:rsid w:val="00DC27DC"/>
    <w:rsid w:val="00DC2E4F"/>
    <w:rsid w:val="00DC384C"/>
    <w:rsid w:val="00DC3B4D"/>
    <w:rsid w:val="00DC40C4"/>
    <w:rsid w:val="00DC4AFD"/>
    <w:rsid w:val="00DC4D87"/>
    <w:rsid w:val="00DC4D8A"/>
    <w:rsid w:val="00DC55B4"/>
    <w:rsid w:val="00DC6C36"/>
    <w:rsid w:val="00DC6DF6"/>
    <w:rsid w:val="00DC7BFE"/>
    <w:rsid w:val="00DC7D64"/>
    <w:rsid w:val="00DD08C7"/>
    <w:rsid w:val="00DD0D5C"/>
    <w:rsid w:val="00DD0E3B"/>
    <w:rsid w:val="00DD15CA"/>
    <w:rsid w:val="00DD161D"/>
    <w:rsid w:val="00DD1A10"/>
    <w:rsid w:val="00DD1D2D"/>
    <w:rsid w:val="00DD200D"/>
    <w:rsid w:val="00DD2990"/>
    <w:rsid w:val="00DD2D04"/>
    <w:rsid w:val="00DD2FE9"/>
    <w:rsid w:val="00DD3A7E"/>
    <w:rsid w:val="00DD3EE9"/>
    <w:rsid w:val="00DD434E"/>
    <w:rsid w:val="00DD43CA"/>
    <w:rsid w:val="00DD4402"/>
    <w:rsid w:val="00DD55DC"/>
    <w:rsid w:val="00DD60D0"/>
    <w:rsid w:val="00DD6200"/>
    <w:rsid w:val="00DD686C"/>
    <w:rsid w:val="00DD6CAE"/>
    <w:rsid w:val="00DD6E86"/>
    <w:rsid w:val="00DE0E5D"/>
    <w:rsid w:val="00DE3D8D"/>
    <w:rsid w:val="00DE447F"/>
    <w:rsid w:val="00DE48F0"/>
    <w:rsid w:val="00DE4A77"/>
    <w:rsid w:val="00DE6188"/>
    <w:rsid w:val="00DE626E"/>
    <w:rsid w:val="00DE68EE"/>
    <w:rsid w:val="00DE6D24"/>
    <w:rsid w:val="00DE7285"/>
    <w:rsid w:val="00DE7C40"/>
    <w:rsid w:val="00DE7D65"/>
    <w:rsid w:val="00DE7F4B"/>
    <w:rsid w:val="00DF0EA5"/>
    <w:rsid w:val="00DF0F57"/>
    <w:rsid w:val="00DF158E"/>
    <w:rsid w:val="00DF1B61"/>
    <w:rsid w:val="00DF1F1D"/>
    <w:rsid w:val="00DF23A5"/>
    <w:rsid w:val="00DF4C6E"/>
    <w:rsid w:val="00DF594D"/>
    <w:rsid w:val="00DF6666"/>
    <w:rsid w:val="00DF6669"/>
    <w:rsid w:val="00DF6855"/>
    <w:rsid w:val="00DF745E"/>
    <w:rsid w:val="00DF74F0"/>
    <w:rsid w:val="00DF762E"/>
    <w:rsid w:val="00DF797D"/>
    <w:rsid w:val="00E0044E"/>
    <w:rsid w:val="00E00816"/>
    <w:rsid w:val="00E0239F"/>
    <w:rsid w:val="00E02641"/>
    <w:rsid w:val="00E0267B"/>
    <w:rsid w:val="00E03419"/>
    <w:rsid w:val="00E04441"/>
    <w:rsid w:val="00E059E6"/>
    <w:rsid w:val="00E05CC2"/>
    <w:rsid w:val="00E05F03"/>
    <w:rsid w:val="00E06370"/>
    <w:rsid w:val="00E06B7B"/>
    <w:rsid w:val="00E06E20"/>
    <w:rsid w:val="00E07DD9"/>
    <w:rsid w:val="00E07E94"/>
    <w:rsid w:val="00E102F8"/>
    <w:rsid w:val="00E11085"/>
    <w:rsid w:val="00E1198C"/>
    <w:rsid w:val="00E12485"/>
    <w:rsid w:val="00E124FA"/>
    <w:rsid w:val="00E12E2A"/>
    <w:rsid w:val="00E12FCF"/>
    <w:rsid w:val="00E1315F"/>
    <w:rsid w:val="00E13273"/>
    <w:rsid w:val="00E13379"/>
    <w:rsid w:val="00E139EE"/>
    <w:rsid w:val="00E14D83"/>
    <w:rsid w:val="00E14FA6"/>
    <w:rsid w:val="00E15A0D"/>
    <w:rsid w:val="00E16640"/>
    <w:rsid w:val="00E16C47"/>
    <w:rsid w:val="00E1740F"/>
    <w:rsid w:val="00E176A1"/>
    <w:rsid w:val="00E17ABD"/>
    <w:rsid w:val="00E200CF"/>
    <w:rsid w:val="00E201E2"/>
    <w:rsid w:val="00E21554"/>
    <w:rsid w:val="00E224C8"/>
    <w:rsid w:val="00E22747"/>
    <w:rsid w:val="00E2336B"/>
    <w:rsid w:val="00E24287"/>
    <w:rsid w:val="00E247C6"/>
    <w:rsid w:val="00E2611F"/>
    <w:rsid w:val="00E26A94"/>
    <w:rsid w:val="00E277C5"/>
    <w:rsid w:val="00E27E38"/>
    <w:rsid w:val="00E3007B"/>
    <w:rsid w:val="00E306F6"/>
    <w:rsid w:val="00E31084"/>
    <w:rsid w:val="00E31367"/>
    <w:rsid w:val="00E3162C"/>
    <w:rsid w:val="00E3181C"/>
    <w:rsid w:val="00E3184C"/>
    <w:rsid w:val="00E3204E"/>
    <w:rsid w:val="00E321CB"/>
    <w:rsid w:val="00E3236D"/>
    <w:rsid w:val="00E325A2"/>
    <w:rsid w:val="00E32EF3"/>
    <w:rsid w:val="00E337F9"/>
    <w:rsid w:val="00E339D3"/>
    <w:rsid w:val="00E33E21"/>
    <w:rsid w:val="00E3456D"/>
    <w:rsid w:val="00E34BC4"/>
    <w:rsid w:val="00E3540C"/>
    <w:rsid w:val="00E36187"/>
    <w:rsid w:val="00E36332"/>
    <w:rsid w:val="00E3656E"/>
    <w:rsid w:val="00E36C9B"/>
    <w:rsid w:val="00E37638"/>
    <w:rsid w:val="00E37E9D"/>
    <w:rsid w:val="00E401A6"/>
    <w:rsid w:val="00E41B71"/>
    <w:rsid w:val="00E42569"/>
    <w:rsid w:val="00E434A0"/>
    <w:rsid w:val="00E44BE0"/>
    <w:rsid w:val="00E44D30"/>
    <w:rsid w:val="00E4517C"/>
    <w:rsid w:val="00E4597F"/>
    <w:rsid w:val="00E46CB7"/>
    <w:rsid w:val="00E4723D"/>
    <w:rsid w:val="00E5077C"/>
    <w:rsid w:val="00E50B9E"/>
    <w:rsid w:val="00E50EC8"/>
    <w:rsid w:val="00E5159B"/>
    <w:rsid w:val="00E515C6"/>
    <w:rsid w:val="00E51D8C"/>
    <w:rsid w:val="00E52454"/>
    <w:rsid w:val="00E52E0D"/>
    <w:rsid w:val="00E52E1B"/>
    <w:rsid w:val="00E52FE2"/>
    <w:rsid w:val="00E538D8"/>
    <w:rsid w:val="00E54629"/>
    <w:rsid w:val="00E54715"/>
    <w:rsid w:val="00E54D6B"/>
    <w:rsid w:val="00E54E6F"/>
    <w:rsid w:val="00E54FB6"/>
    <w:rsid w:val="00E55266"/>
    <w:rsid w:val="00E55338"/>
    <w:rsid w:val="00E55EF0"/>
    <w:rsid w:val="00E5635D"/>
    <w:rsid w:val="00E569AF"/>
    <w:rsid w:val="00E56FD7"/>
    <w:rsid w:val="00E5774E"/>
    <w:rsid w:val="00E57EEB"/>
    <w:rsid w:val="00E60318"/>
    <w:rsid w:val="00E60919"/>
    <w:rsid w:val="00E60BA8"/>
    <w:rsid w:val="00E618DF"/>
    <w:rsid w:val="00E61E25"/>
    <w:rsid w:val="00E61E28"/>
    <w:rsid w:val="00E620B9"/>
    <w:rsid w:val="00E628E4"/>
    <w:rsid w:val="00E647F7"/>
    <w:rsid w:val="00E653C5"/>
    <w:rsid w:val="00E65547"/>
    <w:rsid w:val="00E655C5"/>
    <w:rsid w:val="00E657A2"/>
    <w:rsid w:val="00E65FF5"/>
    <w:rsid w:val="00E66857"/>
    <w:rsid w:val="00E669A8"/>
    <w:rsid w:val="00E67556"/>
    <w:rsid w:val="00E67DC7"/>
    <w:rsid w:val="00E7252F"/>
    <w:rsid w:val="00E73FC2"/>
    <w:rsid w:val="00E74481"/>
    <w:rsid w:val="00E74517"/>
    <w:rsid w:val="00E74E4B"/>
    <w:rsid w:val="00E75447"/>
    <w:rsid w:val="00E755D7"/>
    <w:rsid w:val="00E7566D"/>
    <w:rsid w:val="00E75917"/>
    <w:rsid w:val="00E76DE9"/>
    <w:rsid w:val="00E76E91"/>
    <w:rsid w:val="00E774B4"/>
    <w:rsid w:val="00E778F5"/>
    <w:rsid w:val="00E779AD"/>
    <w:rsid w:val="00E80080"/>
    <w:rsid w:val="00E80209"/>
    <w:rsid w:val="00E80306"/>
    <w:rsid w:val="00E80392"/>
    <w:rsid w:val="00E80E7C"/>
    <w:rsid w:val="00E81779"/>
    <w:rsid w:val="00E81F66"/>
    <w:rsid w:val="00E8205B"/>
    <w:rsid w:val="00E822D1"/>
    <w:rsid w:val="00E82444"/>
    <w:rsid w:val="00E8256E"/>
    <w:rsid w:val="00E82DB7"/>
    <w:rsid w:val="00E8341C"/>
    <w:rsid w:val="00E849C7"/>
    <w:rsid w:val="00E84C89"/>
    <w:rsid w:val="00E8602B"/>
    <w:rsid w:val="00E86B5F"/>
    <w:rsid w:val="00E86C81"/>
    <w:rsid w:val="00E87683"/>
    <w:rsid w:val="00E87D05"/>
    <w:rsid w:val="00E87FAA"/>
    <w:rsid w:val="00E902E3"/>
    <w:rsid w:val="00E90EFD"/>
    <w:rsid w:val="00E91A0B"/>
    <w:rsid w:val="00E91F96"/>
    <w:rsid w:val="00E92BDC"/>
    <w:rsid w:val="00E92E99"/>
    <w:rsid w:val="00E95C6A"/>
    <w:rsid w:val="00E95FFF"/>
    <w:rsid w:val="00E96605"/>
    <w:rsid w:val="00E968FD"/>
    <w:rsid w:val="00E96D55"/>
    <w:rsid w:val="00E974F7"/>
    <w:rsid w:val="00E97993"/>
    <w:rsid w:val="00EA084A"/>
    <w:rsid w:val="00EA0B74"/>
    <w:rsid w:val="00EA0D5D"/>
    <w:rsid w:val="00EA1192"/>
    <w:rsid w:val="00EA153F"/>
    <w:rsid w:val="00EA2788"/>
    <w:rsid w:val="00EA2C6E"/>
    <w:rsid w:val="00EA3A87"/>
    <w:rsid w:val="00EA4721"/>
    <w:rsid w:val="00EA488B"/>
    <w:rsid w:val="00EA4964"/>
    <w:rsid w:val="00EA4F1A"/>
    <w:rsid w:val="00EA6005"/>
    <w:rsid w:val="00EA611E"/>
    <w:rsid w:val="00EA71AE"/>
    <w:rsid w:val="00EB02DE"/>
    <w:rsid w:val="00EB0A07"/>
    <w:rsid w:val="00EB156A"/>
    <w:rsid w:val="00EB1B69"/>
    <w:rsid w:val="00EB1C78"/>
    <w:rsid w:val="00EB31B2"/>
    <w:rsid w:val="00EB3B46"/>
    <w:rsid w:val="00EB3CC7"/>
    <w:rsid w:val="00EB4F08"/>
    <w:rsid w:val="00EB57FE"/>
    <w:rsid w:val="00EB7415"/>
    <w:rsid w:val="00EB796B"/>
    <w:rsid w:val="00EC08CA"/>
    <w:rsid w:val="00EC2E07"/>
    <w:rsid w:val="00EC319F"/>
    <w:rsid w:val="00EC4048"/>
    <w:rsid w:val="00EC43C7"/>
    <w:rsid w:val="00EC465D"/>
    <w:rsid w:val="00EC504A"/>
    <w:rsid w:val="00EC5308"/>
    <w:rsid w:val="00EC5C89"/>
    <w:rsid w:val="00EC66D2"/>
    <w:rsid w:val="00EC67E7"/>
    <w:rsid w:val="00EC68F7"/>
    <w:rsid w:val="00ED0534"/>
    <w:rsid w:val="00ED0A1B"/>
    <w:rsid w:val="00ED21BC"/>
    <w:rsid w:val="00ED2FEC"/>
    <w:rsid w:val="00ED345F"/>
    <w:rsid w:val="00ED3B73"/>
    <w:rsid w:val="00ED3F67"/>
    <w:rsid w:val="00ED440A"/>
    <w:rsid w:val="00ED7971"/>
    <w:rsid w:val="00EE0430"/>
    <w:rsid w:val="00EE0748"/>
    <w:rsid w:val="00EE101C"/>
    <w:rsid w:val="00EE14C5"/>
    <w:rsid w:val="00EE29A0"/>
    <w:rsid w:val="00EE2CEA"/>
    <w:rsid w:val="00EE3365"/>
    <w:rsid w:val="00EE38C0"/>
    <w:rsid w:val="00EE394D"/>
    <w:rsid w:val="00EE48DF"/>
    <w:rsid w:val="00EE4AB3"/>
    <w:rsid w:val="00EE5C87"/>
    <w:rsid w:val="00EE7405"/>
    <w:rsid w:val="00EF033E"/>
    <w:rsid w:val="00EF06EC"/>
    <w:rsid w:val="00EF07D3"/>
    <w:rsid w:val="00EF103D"/>
    <w:rsid w:val="00EF14FF"/>
    <w:rsid w:val="00EF1F32"/>
    <w:rsid w:val="00EF2BFE"/>
    <w:rsid w:val="00EF2D85"/>
    <w:rsid w:val="00EF402C"/>
    <w:rsid w:val="00EF4236"/>
    <w:rsid w:val="00EF45E0"/>
    <w:rsid w:val="00EF4C81"/>
    <w:rsid w:val="00EF4E6F"/>
    <w:rsid w:val="00EF5C82"/>
    <w:rsid w:val="00EF686E"/>
    <w:rsid w:val="00EF796F"/>
    <w:rsid w:val="00EF7A15"/>
    <w:rsid w:val="00EF7CCA"/>
    <w:rsid w:val="00F00C9D"/>
    <w:rsid w:val="00F00D33"/>
    <w:rsid w:val="00F01F8C"/>
    <w:rsid w:val="00F02442"/>
    <w:rsid w:val="00F02B72"/>
    <w:rsid w:val="00F031E7"/>
    <w:rsid w:val="00F035A6"/>
    <w:rsid w:val="00F03791"/>
    <w:rsid w:val="00F049B7"/>
    <w:rsid w:val="00F04AD0"/>
    <w:rsid w:val="00F04E61"/>
    <w:rsid w:val="00F050E8"/>
    <w:rsid w:val="00F05B2A"/>
    <w:rsid w:val="00F072FE"/>
    <w:rsid w:val="00F076E8"/>
    <w:rsid w:val="00F10033"/>
    <w:rsid w:val="00F10848"/>
    <w:rsid w:val="00F10B68"/>
    <w:rsid w:val="00F11DB6"/>
    <w:rsid w:val="00F11F55"/>
    <w:rsid w:val="00F12DEC"/>
    <w:rsid w:val="00F12E32"/>
    <w:rsid w:val="00F13151"/>
    <w:rsid w:val="00F1432E"/>
    <w:rsid w:val="00F14846"/>
    <w:rsid w:val="00F14BDB"/>
    <w:rsid w:val="00F15523"/>
    <w:rsid w:val="00F16391"/>
    <w:rsid w:val="00F2062B"/>
    <w:rsid w:val="00F21A18"/>
    <w:rsid w:val="00F21E61"/>
    <w:rsid w:val="00F220EA"/>
    <w:rsid w:val="00F222CD"/>
    <w:rsid w:val="00F22F4B"/>
    <w:rsid w:val="00F24C52"/>
    <w:rsid w:val="00F24E31"/>
    <w:rsid w:val="00F24EA4"/>
    <w:rsid w:val="00F2625A"/>
    <w:rsid w:val="00F2633D"/>
    <w:rsid w:val="00F2655F"/>
    <w:rsid w:val="00F270FF"/>
    <w:rsid w:val="00F30903"/>
    <w:rsid w:val="00F31A03"/>
    <w:rsid w:val="00F3283C"/>
    <w:rsid w:val="00F32990"/>
    <w:rsid w:val="00F32D0F"/>
    <w:rsid w:val="00F33071"/>
    <w:rsid w:val="00F331CC"/>
    <w:rsid w:val="00F3414C"/>
    <w:rsid w:val="00F343F0"/>
    <w:rsid w:val="00F3447B"/>
    <w:rsid w:val="00F34620"/>
    <w:rsid w:val="00F34923"/>
    <w:rsid w:val="00F34AAB"/>
    <w:rsid w:val="00F34C4D"/>
    <w:rsid w:val="00F34E72"/>
    <w:rsid w:val="00F350CF"/>
    <w:rsid w:val="00F351A7"/>
    <w:rsid w:val="00F35582"/>
    <w:rsid w:val="00F35F5B"/>
    <w:rsid w:val="00F36F48"/>
    <w:rsid w:val="00F37004"/>
    <w:rsid w:val="00F376A1"/>
    <w:rsid w:val="00F37A8B"/>
    <w:rsid w:val="00F37B8E"/>
    <w:rsid w:val="00F41434"/>
    <w:rsid w:val="00F41441"/>
    <w:rsid w:val="00F41746"/>
    <w:rsid w:val="00F41E79"/>
    <w:rsid w:val="00F41E7D"/>
    <w:rsid w:val="00F42883"/>
    <w:rsid w:val="00F4315F"/>
    <w:rsid w:val="00F445F6"/>
    <w:rsid w:val="00F44A24"/>
    <w:rsid w:val="00F4512F"/>
    <w:rsid w:val="00F45763"/>
    <w:rsid w:val="00F45BCF"/>
    <w:rsid w:val="00F45BEA"/>
    <w:rsid w:val="00F45CFE"/>
    <w:rsid w:val="00F464DC"/>
    <w:rsid w:val="00F464E3"/>
    <w:rsid w:val="00F46877"/>
    <w:rsid w:val="00F46976"/>
    <w:rsid w:val="00F46ACC"/>
    <w:rsid w:val="00F4761A"/>
    <w:rsid w:val="00F476EA"/>
    <w:rsid w:val="00F47A40"/>
    <w:rsid w:val="00F47E1C"/>
    <w:rsid w:val="00F47F3E"/>
    <w:rsid w:val="00F52C0A"/>
    <w:rsid w:val="00F52EF9"/>
    <w:rsid w:val="00F530E6"/>
    <w:rsid w:val="00F532C7"/>
    <w:rsid w:val="00F545B3"/>
    <w:rsid w:val="00F54EE5"/>
    <w:rsid w:val="00F55358"/>
    <w:rsid w:val="00F556FE"/>
    <w:rsid w:val="00F5603C"/>
    <w:rsid w:val="00F5605C"/>
    <w:rsid w:val="00F56081"/>
    <w:rsid w:val="00F564B9"/>
    <w:rsid w:val="00F56B88"/>
    <w:rsid w:val="00F57909"/>
    <w:rsid w:val="00F612D6"/>
    <w:rsid w:val="00F61E00"/>
    <w:rsid w:val="00F63400"/>
    <w:rsid w:val="00F636C6"/>
    <w:rsid w:val="00F6433D"/>
    <w:rsid w:val="00F643AF"/>
    <w:rsid w:val="00F64C97"/>
    <w:rsid w:val="00F6573E"/>
    <w:rsid w:val="00F662EB"/>
    <w:rsid w:val="00F67606"/>
    <w:rsid w:val="00F67E7A"/>
    <w:rsid w:val="00F70327"/>
    <w:rsid w:val="00F70FEF"/>
    <w:rsid w:val="00F71F8F"/>
    <w:rsid w:val="00F720A1"/>
    <w:rsid w:val="00F721BB"/>
    <w:rsid w:val="00F72FA8"/>
    <w:rsid w:val="00F73420"/>
    <w:rsid w:val="00F73989"/>
    <w:rsid w:val="00F73AF2"/>
    <w:rsid w:val="00F7437A"/>
    <w:rsid w:val="00F75415"/>
    <w:rsid w:val="00F76418"/>
    <w:rsid w:val="00F772CA"/>
    <w:rsid w:val="00F773F9"/>
    <w:rsid w:val="00F7779B"/>
    <w:rsid w:val="00F7794A"/>
    <w:rsid w:val="00F8101C"/>
    <w:rsid w:val="00F812F6"/>
    <w:rsid w:val="00F817B9"/>
    <w:rsid w:val="00F818EA"/>
    <w:rsid w:val="00F81CB7"/>
    <w:rsid w:val="00F82280"/>
    <w:rsid w:val="00F8235F"/>
    <w:rsid w:val="00F82B65"/>
    <w:rsid w:val="00F8334A"/>
    <w:rsid w:val="00F83A22"/>
    <w:rsid w:val="00F83A97"/>
    <w:rsid w:val="00F844F0"/>
    <w:rsid w:val="00F84895"/>
    <w:rsid w:val="00F84C05"/>
    <w:rsid w:val="00F84E9D"/>
    <w:rsid w:val="00F85895"/>
    <w:rsid w:val="00F8659E"/>
    <w:rsid w:val="00F86828"/>
    <w:rsid w:val="00F86CE4"/>
    <w:rsid w:val="00F86F42"/>
    <w:rsid w:val="00F86F9E"/>
    <w:rsid w:val="00F87E84"/>
    <w:rsid w:val="00F903FF"/>
    <w:rsid w:val="00F9131A"/>
    <w:rsid w:val="00F91941"/>
    <w:rsid w:val="00F92A5F"/>
    <w:rsid w:val="00F92E3F"/>
    <w:rsid w:val="00F933EF"/>
    <w:rsid w:val="00F93890"/>
    <w:rsid w:val="00F938D2"/>
    <w:rsid w:val="00F94DA2"/>
    <w:rsid w:val="00F94E7A"/>
    <w:rsid w:val="00F9571C"/>
    <w:rsid w:val="00F96255"/>
    <w:rsid w:val="00F96389"/>
    <w:rsid w:val="00F9650E"/>
    <w:rsid w:val="00F96B73"/>
    <w:rsid w:val="00F977C7"/>
    <w:rsid w:val="00F97AA6"/>
    <w:rsid w:val="00F97BF2"/>
    <w:rsid w:val="00FA0890"/>
    <w:rsid w:val="00FA0B23"/>
    <w:rsid w:val="00FA164A"/>
    <w:rsid w:val="00FA23BE"/>
    <w:rsid w:val="00FA2760"/>
    <w:rsid w:val="00FA3F3E"/>
    <w:rsid w:val="00FA4272"/>
    <w:rsid w:val="00FA4855"/>
    <w:rsid w:val="00FA4ACD"/>
    <w:rsid w:val="00FA5117"/>
    <w:rsid w:val="00FA54C2"/>
    <w:rsid w:val="00FA6428"/>
    <w:rsid w:val="00FA6E33"/>
    <w:rsid w:val="00FA7044"/>
    <w:rsid w:val="00FA7144"/>
    <w:rsid w:val="00FA7184"/>
    <w:rsid w:val="00FB1839"/>
    <w:rsid w:val="00FB1D9D"/>
    <w:rsid w:val="00FB2095"/>
    <w:rsid w:val="00FB27A0"/>
    <w:rsid w:val="00FB3304"/>
    <w:rsid w:val="00FB46B8"/>
    <w:rsid w:val="00FB4B38"/>
    <w:rsid w:val="00FB54BB"/>
    <w:rsid w:val="00FB59CE"/>
    <w:rsid w:val="00FB5A43"/>
    <w:rsid w:val="00FB5AC0"/>
    <w:rsid w:val="00FB6C91"/>
    <w:rsid w:val="00FB74E8"/>
    <w:rsid w:val="00FC007D"/>
    <w:rsid w:val="00FC0263"/>
    <w:rsid w:val="00FC0348"/>
    <w:rsid w:val="00FC039B"/>
    <w:rsid w:val="00FC046A"/>
    <w:rsid w:val="00FC0641"/>
    <w:rsid w:val="00FC0FB5"/>
    <w:rsid w:val="00FC102A"/>
    <w:rsid w:val="00FC10D9"/>
    <w:rsid w:val="00FC154C"/>
    <w:rsid w:val="00FC1DBC"/>
    <w:rsid w:val="00FC2637"/>
    <w:rsid w:val="00FC280D"/>
    <w:rsid w:val="00FC2C8B"/>
    <w:rsid w:val="00FC393B"/>
    <w:rsid w:val="00FC4052"/>
    <w:rsid w:val="00FC4839"/>
    <w:rsid w:val="00FC5252"/>
    <w:rsid w:val="00FC5E08"/>
    <w:rsid w:val="00FC6356"/>
    <w:rsid w:val="00FC71EF"/>
    <w:rsid w:val="00FC7D01"/>
    <w:rsid w:val="00FD008D"/>
    <w:rsid w:val="00FD0130"/>
    <w:rsid w:val="00FD0373"/>
    <w:rsid w:val="00FD0582"/>
    <w:rsid w:val="00FD0C93"/>
    <w:rsid w:val="00FD1062"/>
    <w:rsid w:val="00FD2449"/>
    <w:rsid w:val="00FD2589"/>
    <w:rsid w:val="00FD4476"/>
    <w:rsid w:val="00FD4876"/>
    <w:rsid w:val="00FD52A3"/>
    <w:rsid w:val="00FD619F"/>
    <w:rsid w:val="00FD68D4"/>
    <w:rsid w:val="00FD7823"/>
    <w:rsid w:val="00FE00D9"/>
    <w:rsid w:val="00FE066B"/>
    <w:rsid w:val="00FE0EF2"/>
    <w:rsid w:val="00FE1186"/>
    <w:rsid w:val="00FE14C2"/>
    <w:rsid w:val="00FE175E"/>
    <w:rsid w:val="00FE177A"/>
    <w:rsid w:val="00FE1B71"/>
    <w:rsid w:val="00FE1CF3"/>
    <w:rsid w:val="00FE240A"/>
    <w:rsid w:val="00FE2ABA"/>
    <w:rsid w:val="00FE2F28"/>
    <w:rsid w:val="00FE350F"/>
    <w:rsid w:val="00FE3E3C"/>
    <w:rsid w:val="00FE3EF6"/>
    <w:rsid w:val="00FE401F"/>
    <w:rsid w:val="00FE43E7"/>
    <w:rsid w:val="00FE4519"/>
    <w:rsid w:val="00FE466B"/>
    <w:rsid w:val="00FE4780"/>
    <w:rsid w:val="00FE4B66"/>
    <w:rsid w:val="00FE4F6E"/>
    <w:rsid w:val="00FE5622"/>
    <w:rsid w:val="00FE583F"/>
    <w:rsid w:val="00FE5942"/>
    <w:rsid w:val="00FE5CC4"/>
    <w:rsid w:val="00FE6B13"/>
    <w:rsid w:val="00FE6E2F"/>
    <w:rsid w:val="00FE6F24"/>
    <w:rsid w:val="00FE739A"/>
    <w:rsid w:val="00FE7575"/>
    <w:rsid w:val="00FF0CE6"/>
    <w:rsid w:val="00FF1070"/>
    <w:rsid w:val="00FF13E2"/>
    <w:rsid w:val="00FF2237"/>
    <w:rsid w:val="00FF3A15"/>
    <w:rsid w:val="00FF3A8A"/>
    <w:rsid w:val="00FF3F16"/>
    <w:rsid w:val="00FF421E"/>
    <w:rsid w:val="00FF4953"/>
    <w:rsid w:val="00FF5158"/>
    <w:rsid w:val="00FF54B8"/>
    <w:rsid w:val="00FF5FA3"/>
    <w:rsid w:val="00FF5FCE"/>
    <w:rsid w:val="00FF6177"/>
    <w:rsid w:val="00FF6AD9"/>
    <w:rsid w:val="00FF70A9"/>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0A6CB50"/>
  <w15:chartTrackingRefBased/>
  <w15:docId w15:val="{CA3D2F87-964F-4164-B4DF-04037A0C1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Default Paragraph Font" w:uiPriority="1"/>
    <w:lsdException w:name="Subtitle" w:qFormat="1"/>
    <w:lsdException w:name="Body Text Indent 3" w:uiPriority="99"/>
    <w:lsdException w:name="Hyperlink" w:uiPriority="99"/>
    <w:lsdException w:name="FollowedHyperlink" w:uiPriority="99"/>
    <w:lsdException w:name="Strong" w:uiPriority="22" w:qFormat="1"/>
    <w:lsdException w:name="Emphasis" w:uiPriority="99" w:qFormat="1"/>
    <w:lsdException w:name="Plain Text" w:uiPriority="99"/>
    <w:lsdException w:name="HTML Top of Form" w:uiPriority="99"/>
    <w:lsdException w:name="HTML Bottom of Form"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07A"/>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604C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22"/>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H&amp;P 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CharCharCharCharCharCharCharCharChar">
    <w:name w:val="Char Char Char Char Char Char Char Char Char"/>
    <w:basedOn w:val="Normal"/>
    <w:rsid w:val="00FE3EF6"/>
    <w:pPr>
      <w:spacing w:after="160" w:line="240" w:lineRule="exact"/>
    </w:pPr>
    <w:rPr>
      <w:rFonts w:ascii="Tahoma" w:hAnsi="Tahoma"/>
      <w:sz w:val="20"/>
      <w:szCs w:val="20"/>
      <w:lang w:val="en-US" w:eastAsia="en-US"/>
    </w:rPr>
  </w:style>
  <w:style w:type="paragraph" w:customStyle="1" w:styleId="CharCharCharCharCharCharCharCharCharCharCharCharCharCharChar1">
    <w:name w:val="Char Char Char Char Char Char Char Char Char Char Char Char Char Char Char1"/>
    <w:basedOn w:val="Normal"/>
    <w:next w:val="BlockText"/>
    <w:rsid w:val="00FE3EF6"/>
    <w:pPr>
      <w:spacing w:before="120" w:after="160" w:line="240" w:lineRule="exact"/>
      <w:ind w:firstLine="720"/>
      <w:jc w:val="both"/>
    </w:pPr>
    <w:rPr>
      <w:rFonts w:ascii="Verdana" w:hAnsi="Verdana"/>
      <w:lang w:val="en-US" w:eastAsia="en-US"/>
    </w:rPr>
  </w:style>
  <w:style w:type="paragraph" w:styleId="BlockText">
    <w:name w:val="Block Text"/>
    <w:basedOn w:val="Normal"/>
    <w:rsid w:val="00FE3EF6"/>
    <w:pPr>
      <w:spacing w:after="120"/>
      <w:ind w:left="1440" w:right="1440"/>
    </w:pPr>
  </w:style>
  <w:style w:type="paragraph" w:styleId="BodyText">
    <w:name w:val="Body Text"/>
    <w:basedOn w:val="Normal"/>
    <w:rsid w:val="00FE3EF6"/>
    <w:pPr>
      <w:spacing w:after="120"/>
    </w:pPr>
  </w:style>
  <w:style w:type="paragraph" w:customStyle="1" w:styleId="EE-paragr">
    <w:name w:val="EE-paragr"/>
    <w:basedOn w:val="Normal"/>
    <w:rsid w:val="00FE3EF6"/>
    <w:rPr>
      <w:lang w:eastAsia="en-US"/>
    </w:rPr>
  </w:style>
  <w:style w:type="paragraph" w:customStyle="1" w:styleId="CharCharCharCharCharCharCharCharCharCharCharCharCharCharChar1CharCharCharCharChar">
    <w:name w:val="Char Char Char Char Char Char Char Char Char Char Char Char Char Char Char1 Char Char Char Char Char"/>
    <w:basedOn w:val="Normal"/>
    <w:next w:val="BlockText"/>
    <w:rsid w:val="00DF594D"/>
    <w:pPr>
      <w:spacing w:before="120" w:after="160" w:line="240" w:lineRule="exact"/>
      <w:ind w:firstLine="720"/>
      <w:jc w:val="both"/>
    </w:pPr>
    <w:rPr>
      <w:rFonts w:ascii="Verdana" w:hAnsi="Verdana"/>
      <w:lang w:val="en-US" w:eastAsia="en-US"/>
    </w:rPr>
  </w:style>
  <w:style w:type="paragraph" w:customStyle="1" w:styleId="CharCharCharCharChar1Char">
    <w:name w:val="Char Char Char Char Char1 Char"/>
    <w:basedOn w:val="Normal"/>
    <w:next w:val="BlockText"/>
    <w:rsid w:val="00983DA7"/>
    <w:pPr>
      <w:spacing w:before="120" w:after="160" w:line="240" w:lineRule="exact"/>
      <w:ind w:firstLine="720"/>
      <w:jc w:val="both"/>
    </w:pPr>
    <w:rPr>
      <w:rFonts w:ascii="Verdana" w:hAnsi="Verdana"/>
      <w:lang w:val="en-US" w:eastAsia="en-US"/>
    </w:rPr>
  </w:style>
  <w:style w:type="paragraph" w:customStyle="1" w:styleId="CharChar8Char">
    <w:name w:val="Char Char8 Char"/>
    <w:basedOn w:val="Normal"/>
    <w:next w:val="BlockText"/>
    <w:rsid w:val="00200E06"/>
    <w:pPr>
      <w:spacing w:before="120" w:after="160" w:line="240" w:lineRule="exact"/>
      <w:ind w:firstLine="720"/>
      <w:jc w:val="both"/>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Normal"/>
    <w:next w:val="BlockText"/>
    <w:rsid w:val="00BE4F53"/>
    <w:pPr>
      <w:spacing w:before="120" w:after="160" w:line="240" w:lineRule="exact"/>
      <w:ind w:firstLine="720"/>
      <w:jc w:val="both"/>
    </w:pPr>
    <w:rPr>
      <w:rFonts w:ascii="Verdana" w:hAnsi="Verdana"/>
      <w:lang w:val="en-US" w:eastAsia="en-US"/>
    </w:rPr>
  </w:style>
  <w:style w:type="paragraph" w:customStyle="1" w:styleId="CharCharCharChar">
    <w:name w:val="Char Char Char Char"/>
    <w:basedOn w:val="Normal"/>
    <w:next w:val="BlockText"/>
    <w:rsid w:val="00476DF1"/>
    <w:pPr>
      <w:spacing w:before="120" w:after="160" w:line="240" w:lineRule="exact"/>
      <w:ind w:firstLine="720"/>
      <w:jc w:val="both"/>
    </w:pPr>
    <w:rPr>
      <w:rFonts w:ascii="Verdana" w:hAnsi="Verdana"/>
      <w:lang w:val="en-US" w:eastAsia="en-US"/>
    </w:rPr>
  </w:style>
  <w:style w:type="paragraph" w:customStyle="1" w:styleId="RakstzCharCharRakstzCharCharRakstz">
    <w:name w:val="Rakstz. Char Char Rakstz. Char Char Rakstz."/>
    <w:basedOn w:val="Normal"/>
    <w:rsid w:val="00476DF1"/>
    <w:pPr>
      <w:spacing w:after="160" w:line="240" w:lineRule="exact"/>
    </w:pPr>
    <w:rPr>
      <w:rFonts w:ascii="Tahoma" w:hAnsi="Tahoma"/>
      <w:sz w:val="20"/>
      <w:szCs w:val="20"/>
      <w:lang w:val="en-US" w:eastAsia="en-US"/>
    </w:rPr>
  </w:style>
  <w:style w:type="character" w:customStyle="1" w:styleId="spelle">
    <w:name w:val="spelle"/>
    <w:rsid w:val="00567D7F"/>
    <w:rPr>
      <w:rFonts w:cs="Times New Roman"/>
    </w:rPr>
  </w:style>
  <w:style w:type="paragraph" w:customStyle="1" w:styleId="CharCharCharCharCharCharCharCharCharCharCharCharCharCharChar1CharCharChar">
    <w:name w:val="Char Char Char Char Char Char Char Char Char Char Char Char Char Char Char1 Char Char Char"/>
    <w:basedOn w:val="Normal"/>
    <w:rsid w:val="002C1FE5"/>
    <w:pPr>
      <w:spacing w:after="160" w:line="240" w:lineRule="exact"/>
    </w:pPr>
    <w:rPr>
      <w:rFonts w:ascii="Tahoma" w:hAnsi="Tahoma"/>
      <w:sz w:val="20"/>
      <w:szCs w:val="20"/>
      <w:lang w:val="en-US" w:eastAsia="en-US"/>
    </w:rPr>
  </w:style>
  <w:style w:type="paragraph" w:customStyle="1" w:styleId="EE-paragrCharChar">
    <w:name w:val="EE-paragr Char Char"/>
    <w:basedOn w:val="Normal"/>
    <w:autoRedefine/>
    <w:rsid w:val="00EA0B74"/>
    <w:pPr>
      <w:numPr>
        <w:numId w:val="1"/>
      </w:numPr>
      <w:spacing w:before="120" w:after="120"/>
      <w:jc w:val="both"/>
    </w:pPr>
    <w:rPr>
      <w:bCs/>
      <w:sz w:val="28"/>
      <w:szCs w:val="28"/>
    </w:rPr>
  </w:style>
  <w:style w:type="paragraph" w:styleId="FootnoteText">
    <w:name w:val="footnote text"/>
    <w:aliases w:val="Footnote,Fußnote,Footnote Text Char Char,Footnote Text Char1 Char Char,Footnote Text Char Char Char Char,Footnote Text Char1 Char Char1 Char Char,Footnote Text Char Char Char Char Char Char,Footnote Text Char1 Char Char1 Char,f"/>
    <w:basedOn w:val="Normal"/>
    <w:link w:val="FootnoteTextChar"/>
    <w:uiPriority w:val="99"/>
    <w:rsid w:val="00320EFC"/>
    <w:rPr>
      <w:sz w:val="20"/>
      <w:szCs w:val="20"/>
    </w:rPr>
  </w:style>
  <w:style w:type="character" w:customStyle="1" w:styleId="FootnoteTextChar">
    <w:name w:val="Footnote Text Char"/>
    <w:aliases w:val="Footnote Char,Fußnote Char,Footnote Text Char Char Char,Footnote Text Char1 Char Char Char,Footnote Text Char Char Char Char Char,Footnote Text Char1 Char Char1 Char Char Char,Footnote Text Char Char Char Char Char Char Char,f Char"/>
    <w:link w:val="FootnoteText"/>
    <w:uiPriority w:val="99"/>
    <w:rsid w:val="00320EFC"/>
    <w:rPr>
      <w:lang w:val="lv-LV" w:eastAsia="lv-LV" w:bidi="ar-SA"/>
    </w:rPr>
  </w:style>
  <w:style w:type="paragraph" w:customStyle="1" w:styleId="Style2">
    <w:name w:val="Style 2"/>
    <w:basedOn w:val="Normal"/>
    <w:rsid w:val="00F47A40"/>
    <w:pPr>
      <w:widowControl w:val="0"/>
      <w:autoSpaceDE w:val="0"/>
      <w:autoSpaceDN w:val="0"/>
      <w:jc w:val="both"/>
    </w:pPr>
  </w:style>
  <w:style w:type="character" w:styleId="FootnoteReference">
    <w:name w:val="footnote reference"/>
    <w:aliases w:val="Footnote call,BVI fnr,SUPERS,Footnote symbol, BVI fnr,(Footnote Reference),Voetnootverwijzing,Times 10 Point,Exposant 3 Point,Footnote reference number,note TESI,stylish,Ref,de nota al pie,Footnote Reference1,16 Point,fr,o,FR,ftref,E"/>
    <w:uiPriority w:val="99"/>
    <w:rsid w:val="009A082D"/>
    <w:rPr>
      <w:vertAlign w:val="superscript"/>
    </w:rPr>
  </w:style>
  <w:style w:type="paragraph" w:styleId="NoSpacing">
    <w:name w:val="No Spacing"/>
    <w:uiPriority w:val="1"/>
    <w:qFormat/>
    <w:rsid w:val="00DC27DC"/>
    <w:pPr>
      <w:jc w:val="both"/>
    </w:pPr>
    <w:rPr>
      <w:sz w:val="24"/>
      <w:lang w:eastAsia="en-US"/>
    </w:rPr>
  </w:style>
  <w:style w:type="paragraph" w:customStyle="1" w:styleId="CharChar1">
    <w:name w:val="Char Char1"/>
    <w:basedOn w:val="Normal"/>
    <w:rsid w:val="002B7058"/>
    <w:pPr>
      <w:spacing w:after="160" w:line="240" w:lineRule="exact"/>
    </w:pPr>
    <w:rPr>
      <w:rFonts w:ascii="Tahoma" w:hAnsi="Tahoma"/>
      <w:sz w:val="20"/>
      <w:szCs w:val="20"/>
      <w:lang w:val="en-US" w:eastAsia="en-US"/>
    </w:rPr>
  </w:style>
  <w:style w:type="paragraph" w:customStyle="1" w:styleId="V1-bold">
    <w:name w:val="V1-bold"/>
    <w:basedOn w:val="Normal"/>
    <w:rsid w:val="0006194F"/>
    <w:pPr>
      <w:jc w:val="center"/>
    </w:pPr>
    <w:rPr>
      <w:b/>
    </w:rPr>
  </w:style>
  <w:style w:type="character" w:customStyle="1" w:styleId="Heading3Char">
    <w:name w:val="Heading 3 Char"/>
    <w:link w:val="Heading3"/>
    <w:semiHidden/>
    <w:rsid w:val="00604C63"/>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A51671"/>
    <w:rPr>
      <w:rFonts w:ascii="Calibri" w:eastAsia="Calibri" w:hAnsi="Calibri"/>
      <w:sz w:val="22"/>
      <w:szCs w:val="22"/>
      <w:lang w:eastAsia="en-US"/>
    </w:rPr>
  </w:style>
  <w:style w:type="character" w:customStyle="1" w:styleId="PlainTextChar">
    <w:name w:val="Plain Text Char"/>
    <w:link w:val="PlainText"/>
    <w:uiPriority w:val="99"/>
    <w:rsid w:val="00A51671"/>
    <w:rPr>
      <w:rFonts w:ascii="Calibri" w:eastAsia="Calibri" w:hAnsi="Calibri"/>
      <w:sz w:val="22"/>
      <w:szCs w:val="22"/>
      <w:lang w:eastAsia="en-US"/>
    </w:rPr>
  </w:style>
  <w:style w:type="paragraph" w:customStyle="1" w:styleId="Default">
    <w:name w:val="Default"/>
    <w:rsid w:val="007D7CF3"/>
    <w:pPr>
      <w:autoSpaceDE w:val="0"/>
      <w:autoSpaceDN w:val="0"/>
      <w:adjustRightInd w:val="0"/>
    </w:pPr>
    <w:rPr>
      <w:color w:val="000000"/>
      <w:sz w:val="24"/>
      <w:szCs w:val="24"/>
    </w:rPr>
  </w:style>
  <w:style w:type="paragraph" w:styleId="Title">
    <w:name w:val="Title"/>
    <w:basedOn w:val="Normal"/>
    <w:link w:val="TitleChar"/>
    <w:qFormat/>
    <w:rsid w:val="008327C8"/>
    <w:pPr>
      <w:jc w:val="center"/>
    </w:pPr>
    <w:rPr>
      <w:sz w:val="28"/>
      <w:szCs w:val="20"/>
      <w:lang w:eastAsia="en-US"/>
    </w:rPr>
  </w:style>
  <w:style w:type="character" w:customStyle="1" w:styleId="TitleChar">
    <w:name w:val="Title Char"/>
    <w:basedOn w:val="DefaultParagraphFont"/>
    <w:link w:val="Title"/>
    <w:rsid w:val="008327C8"/>
    <w:rPr>
      <w:sz w:val="28"/>
      <w:lang w:eastAsia="en-US"/>
    </w:rPr>
  </w:style>
  <w:style w:type="paragraph" w:customStyle="1" w:styleId="tv2132">
    <w:name w:val="tv2132"/>
    <w:basedOn w:val="Normal"/>
    <w:rsid w:val="004C6BC1"/>
    <w:pPr>
      <w:spacing w:line="360" w:lineRule="auto"/>
      <w:ind w:firstLine="300"/>
    </w:pPr>
    <w:rPr>
      <w:color w:val="414142"/>
      <w:sz w:val="20"/>
      <w:szCs w:val="20"/>
    </w:rPr>
  </w:style>
  <w:style w:type="paragraph" w:styleId="Revision">
    <w:name w:val="Revision"/>
    <w:hidden/>
    <w:uiPriority w:val="99"/>
    <w:semiHidden/>
    <w:rsid w:val="00B066F0"/>
    <w:rPr>
      <w:sz w:val="24"/>
      <w:szCs w:val="24"/>
    </w:rPr>
  </w:style>
  <w:style w:type="character" w:customStyle="1" w:styleId="ListParagraphChar">
    <w:name w:val="List Paragraph Char"/>
    <w:aliases w:val="H&amp;P List Paragraph Char"/>
    <w:basedOn w:val="DefaultParagraphFont"/>
    <w:link w:val="ListParagraph"/>
    <w:uiPriority w:val="34"/>
    <w:locked/>
    <w:rsid w:val="0099691E"/>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6088">
      <w:bodyDiv w:val="1"/>
      <w:marLeft w:val="0"/>
      <w:marRight w:val="0"/>
      <w:marTop w:val="0"/>
      <w:marBottom w:val="0"/>
      <w:divBdr>
        <w:top w:val="none" w:sz="0" w:space="0" w:color="auto"/>
        <w:left w:val="none" w:sz="0" w:space="0" w:color="auto"/>
        <w:bottom w:val="none" w:sz="0" w:space="0" w:color="auto"/>
        <w:right w:val="none" w:sz="0" w:space="0" w:color="auto"/>
      </w:divBdr>
    </w:div>
    <w:div w:id="176776498">
      <w:bodyDiv w:val="1"/>
      <w:marLeft w:val="0"/>
      <w:marRight w:val="0"/>
      <w:marTop w:val="0"/>
      <w:marBottom w:val="0"/>
      <w:divBdr>
        <w:top w:val="none" w:sz="0" w:space="0" w:color="auto"/>
        <w:left w:val="none" w:sz="0" w:space="0" w:color="auto"/>
        <w:bottom w:val="none" w:sz="0" w:space="0" w:color="auto"/>
        <w:right w:val="none" w:sz="0" w:space="0" w:color="auto"/>
      </w:divBdr>
    </w:div>
    <w:div w:id="231701525">
      <w:bodyDiv w:val="1"/>
      <w:marLeft w:val="0"/>
      <w:marRight w:val="0"/>
      <w:marTop w:val="0"/>
      <w:marBottom w:val="0"/>
      <w:divBdr>
        <w:top w:val="none" w:sz="0" w:space="0" w:color="auto"/>
        <w:left w:val="none" w:sz="0" w:space="0" w:color="auto"/>
        <w:bottom w:val="none" w:sz="0" w:space="0" w:color="auto"/>
        <w:right w:val="none" w:sz="0" w:space="0" w:color="auto"/>
      </w:divBdr>
    </w:div>
    <w:div w:id="341393634">
      <w:bodyDiv w:val="1"/>
      <w:marLeft w:val="0"/>
      <w:marRight w:val="0"/>
      <w:marTop w:val="0"/>
      <w:marBottom w:val="0"/>
      <w:divBdr>
        <w:top w:val="none" w:sz="0" w:space="0" w:color="auto"/>
        <w:left w:val="none" w:sz="0" w:space="0" w:color="auto"/>
        <w:bottom w:val="none" w:sz="0" w:space="0" w:color="auto"/>
        <w:right w:val="none" w:sz="0" w:space="0" w:color="auto"/>
      </w:divBdr>
    </w:div>
    <w:div w:id="401292635">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494690169">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28495736">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30494796">
      <w:bodyDiv w:val="1"/>
      <w:marLeft w:val="0"/>
      <w:marRight w:val="0"/>
      <w:marTop w:val="0"/>
      <w:marBottom w:val="0"/>
      <w:divBdr>
        <w:top w:val="none" w:sz="0" w:space="0" w:color="auto"/>
        <w:left w:val="none" w:sz="0" w:space="0" w:color="auto"/>
        <w:bottom w:val="none" w:sz="0" w:space="0" w:color="auto"/>
        <w:right w:val="none" w:sz="0" w:space="0" w:color="auto"/>
      </w:divBdr>
    </w:div>
    <w:div w:id="768308142">
      <w:bodyDiv w:val="1"/>
      <w:marLeft w:val="0"/>
      <w:marRight w:val="0"/>
      <w:marTop w:val="0"/>
      <w:marBottom w:val="0"/>
      <w:divBdr>
        <w:top w:val="none" w:sz="0" w:space="0" w:color="auto"/>
        <w:left w:val="none" w:sz="0" w:space="0" w:color="auto"/>
        <w:bottom w:val="none" w:sz="0" w:space="0" w:color="auto"/>
        <w:right w:val="none" w:sz="0" w:space="0" w:color="auto"/>
      </w:divBdr>
    </w:div>
    <w:div w:id="790786753">
      <w:bodyDiv w:val="1"/>
      <w:marLeft w:val="0"/>
      <w:marRight w:val="0"/>
      <w:marTop w:val="0"/>
      <w:marBottom w:val="0"/>
      <w:divBdr>
        <w:top w:val="none" w:sz="0" w:space="0" w:color="auto"/>
        <w:left w:val="none" w:sz="0" w:space="0" w:color="auto"/>
        <w:bottom w:val="none" w:sz="0" w:space="0" w:color="auto"/>
        <w:right w:val="none" w:sz="0" w:space="0" w:color="auto"/>
      </w:divBdr>
    </w:div>
    <w:div w:id="915553558">
      <w:bodyDiv w:val="1"/>
      <w:marLeft w:val="0"/>
      <w:marRight w:val="0"/>
      <w:marTop w:val="0"/>
      <w:marBottom w:val="0"/>
      <w:divBdr>
        <w:top w:val="none" w:sz="0" w:space="0" w:color="auto"/>
        <w:left w:val="none" w:sz="0" w:space="0" w:color="auto"/>
        <w:bottom w:val="none" w:sz="0" w:space="0" w:color="auto"/>
        <w:right w:val="none" w:sz="0" w:space="0" w:color="auto"/>
      </w:divBdr>
    </w:div>
    <w:div w:id="994531087">
      <w:bodyDiv w:val="1"/>
      <w:marLeft w:val="0"/>
      <w:marRight w:val="0"/>
      <w:marTop w:val="0"/>
      <w:marBottom w:val="0"/>
      <w:divBdr>
        <w:top w:val="none" w:sz="0" w:space="0" w:color="auto"/>
        <w:left w:val="none" w:sz="0" w:space="0" w:color="auto"/>
        <w:bottom w:val="none" w:sz="0" w:space="0" w:color="auto"/>
        <w:right w:val="none" w:sz="0" w:space="0" w:color="auto"/>
      </w:divBdr>
      <w:divsChild>
        <w:div w:id="400057800">
          <w:marLeft w:val="0"/>
          <w:marRight w:val="0"/>
          <w:marTop w:val="0"/>
          <w:marBottom w:val="0"/>
          <w:divBdr>
            <w:top w:val="none" w:sz="0" w:space="0" w:color="auto"/>
            <w:left w:val="none" w:sz="0" w:space="0" w:color="auto"/>
            <w:bottom w:val="none" w:sz="0" w:space="0" w:color="auto"/>
            <w:right w:val="none" w:sz="0" w:space="0" w:color="auto"/>
          </w:divBdr>
        </w:div>
        <w:div w:id="604077928">
          <w:marLeft w:val="0"/>
          <w:marRight w:val="0"/>
          <w:marTop w:val="0"/>
          <w:marBottom w:val="0"/>
          <w:divBdr>
            <w:top w:val="none" w:sz="0" w:space="0" w:color="auto"/>
            <w:left w:val="none" w:sz="0" w:space="0" w:color="auto"/>
            <w:bottom w:val="none" w:sz="0" w:space="0" w:color="auto"/>
            <w:right w:val="none" w:sz="0" w:space="0" w:color="auto"/>
          </w:divBdr>
        </w:div>
        <w:div w:id="789785692">
          <w:marLeft w:val="0"/>
          <w:marRight w:val="0"/>
          <w:marTop w:val="0"/>
          <w:marBottom w:val="0"/>
          <w:divBdr>
            <w:top w:val="none" w:sz="0" w:space="0" w:color="auto"/>
            <w:left w:val="none" w:sz="0" w:space="0" w:color="auto"/>
            <w:bottom w:val="none" w:sz="0" w:space="0" w:color="auto"/>
            <w:right w:val="none" w:sz="0" w:space="0" w:color="auto"/>
          </w:divBdr>
        </w:div>
        <w:div w:id="978726331">
          <w:marLeft w:val="0"/>
          <w:marRight w:val="0"/>
          <w:marTop w:val="0"/>
          <w:marBottom w:val="0"/>
          <w:divBdr>
            <w:top w:val="none" w:sz="0" w:space="0" w:color="auto"/>
            <w:left w:val="none" w:sz="0" w:space="0" w:color="auto"/>
            <w:bottom w:val="none" w:sz="0" w:space="0" w:color="auto"/>
            <w:right w:val="none" w:sz="0" w:space="0" w:color="auto"/>
          </w:divBdr>
        </w:div>
        <w:div w:id="1217165649">
          <w:marLeft w:val="0"/>
          <w:marRight w:val="0"/>
          <w:marTop w:val="0"/>
          <w:marBottom w:val="0"/>
          <w:divBdr>
            <w:top w:val="none" w:sz="0" w:space="0" w:color="auto"/>
            <w:left w:val="none" w:sz="0" w:space="0" w:color="auto"/>
            <w:bottom w:val="none" w:sz="0" w:space="0" w:color="auto"/>
            <w:right w:val="none" w:sz="0" w:space="0" w:color="auto"/>
          </w:divBdr>
        </w:div>
        <w:div w:id="1228418953">
          <w:marLeft w:val="0"/>
          <w:marRight w:val="0"/>
          <w:marTop w:val="0"/>
          <w:marBottom w:val="0"/>
          <w:divBdr>
            <w:top w:val="none" w:sz="0" w:space="0" w:color="auto"/>
            <w:left w:val="none" w:sz="0" w:space="0" w:color="auto"/>
            <w:bottom w:val="none" w:sz="0" w:space="0" w:color="auto"/>
            <w:right w:val="none" w:sz="0" w:space="0" w:color="auto"/>
          </w:divBdr>
        </w:div>
        <w:div w:id="1229918558">
          <w:marLeft w:val="0"/>
          <w:marRight w:val="0"/>
          <w:marTop w:val="0"/>
          <w:marBottom w:val="0"/>
          <w:divBdr>
            <w:top w:val="none" w:sz="0" w:space="0" w:color="auto"/>
            <w:left w:val="none" w:sz="0" w:space="0" w:color="auto"/>
            <w:bottom w:val="none" w:sz="0" w:space="0" w:color="auto"/>
            <w:right w:val="none" w:sz="0" w:space="0" w:color="auto"/>
          </w:divBdr>
        </w:div>
        <w:div w:id="1367170206">
          <w:marLeft w:val="0"/>
          <w:marRight w:val="0"/>
          <w:marTop w:val="0"/>
          <w:marBottom w:val="0"/>
          <w:divBdr>
            <w:top w:val="none" w:sz="0" w:space="0" w:color="auto"/>
            <w:left w:val="none" w:sz="0" w:space="0" w:color="auto"/>
            <w:bottom w:val="none" w:sz="0" w:space="0" w:color="auto"/>
            <w:right w:val="none" w:sz="0" w:space="0" w:color="auto"/>
          </w:divBdr>
        </w:div>
        <w:div w:id="1412043152">
          <w:marLeft w:val="0"/>
          <w:marRight w:val="0"/>
          <w:marTop w:val="0"/>
          <w:marBottom w:val="0"/>
          <w:divBdr>
            <w:top w:val="none" w:sz="0" w:space="0" w:color="auto"/>
            <w:left w:val="none" w:sz="0" w:space="0" w:color="auto"/>
            <w:bottom w:val="none" w:sz="0" w:space="0" w:color="auto"/>
            <w:right w:val="none" w:sz="0" w:space="0" w:color="auto"/>
          </w:divBdr>
        </w:div>
        <w:div w:id="1434082982">
          <w:marLeft w:val="0"/>
          <w:marRight w:val="0"/>
          <w:marTop w:val="0"/>
          <w:marBottom w:val="0"/>
          <w:divBdr>
            <w:top w:val="none" w:sz="0" w:space="0" w:color="auto"/>
            <w:left w:val="none" w:sz="0" w:space="0" w:color="auto"/>
            <w:bottom w:val="none" w:sz="0" w:space="0" w:color="auto"/>
            <w:right w:val="none" w:sz="0" w:space="0" w:color="auto"/>
          </w:divBdr>
        </w:div>
        <w:div w:id="1990403596">
          <w:marLeft w:val="0"/>
          <w:marRight w:val="0"/>
          <w:marTop w:val="0"/>
          <w:marBottom w:val="0"/>
          <w:divBdr>
            <w:top w:val="none" w:sz="0" w:space="0" w:color="auto"/>
            <w:left w:val="none" w:sz="0" w:space="0" w:color="auto"/>
            <w:bottom w:val="none" w:sz="0" w:space="0" w:color="auto"/>
            <w:right w:val="none" w:sz="0" w:space="0" w:color="auto"/>
          </w:divBdr>
        </w:div>
      </w:divsChild>
    </w:div>
    <w:div w:id="100135540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40671645">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296984298">
      <w:bodyDiv w:val="1"/>
      <w:marLeft w:val="0"/>
      <w:marRight w:val="0"/>
      <w:marTop w:val="0"/>
      <w:marBottom w:val="0"/>
      <w:divBdr>
        <w:top w:val="none" w:sz="0" w:space="0" w:color="auto"/>
        <w:left w:val="none" w:sz="0" w:space="0" w:color="auto"/>
        <w:bottom w:val="none" w:sz="0" w:space="0" w:color="auto"/>
        <w:right w:val="none" w:sz="0" w:space="0" w:color="auto"/>
      </w:divBdr>
    </w:div>
    <w:div w:id="1444374836">
      <w:bodyDiv w:val="1"/>
      <w:marLeft w:val="0"/>
      <w:marRight w:val="0"/>
      <w:marTop w:val="0"/>
      <w:marBottom w:val="0"/>
      <w:divBdr>
        <w:top w:val="none" w:sz="0" w:space="0" w:color="auto"/>
        <w:left w:val="none" w:sz="0" w:space="0" w:color="auto"/>
        <w:bottom w:val="none" w:sz="0" w:space="0" w:color="auto"/>
        <w:right w:val="none" w:sz="0" w:space="0" w:color="auto"/>
      </w:divBdr>
    </w:div>
    <w:div w:id="1523201753">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90772966">
      <w:bodyDiv w:val="1"/>
      <w:marLeft w:val="0"/>
      <w:marRight w:val="0"/>
      <w:marTop w:val="0"/>
      <w:marBottom w:val="0"/>
      <w:divBdr>
        <w:top w:val="none" w:sz="0" w:space="0" w:color="auto"/>
        <w:left w:val="none" w:sz="0" w:space="0" w:color="auto"/>
        <w:bottom w:val="none" w:sz="0" w:space="0" w:color="auto"/>
        <w:right w:val="none" w:sz="0" w:space="0" w:color="auto"/>
      </w:divBdr>
    </w:div>
    <w:div w:id="1600681178">
      <w:bodyDiv w:val="1"/>
      <w:marLeft w:val="0"/>
      <w:marRight w:val="0"/>
      <w:marTop w:val="0"/>
      <w:marBottom w:val="0"/>
      <w:divBdr>
        <w:top w:val="none" w:sz="0" w:space="0" w:color="auto"/>
        <w:left w:val="none" w:sz="0" w:space="0" w:color="auto"/>
        <w:bottom w:val="none" w:sz="0" w:space="0" w:color="auto"/>
        <w:right w:val="none" w:sz="0" w:space="0" w:color="auto"/>
      </w:divBdr>
      <w:divsChild>
        <w:div w:id="432093697">
          <w:marLeft w:val="0"/>
          <w:marRight w:val="0"/>
          <w:marTop w:val="0"/>
          <w:marBottom w:val="0"/>
          <w:divBdr>
            <w:top w:val="none" w:sz="0" w:space="0" w:color="auto"/>
            <w:left w:val="none" w:sz="0" w:space="0" w:color="auto"/>
            <w:bottom w:val="none" w:sz="0" w:space="0" w:color="auto"/>
            <w:right w:val="none" w:sz="0" w:space="0" w:color="auto"/>
          </w:divBdr>
        </w:div>
      </w:divsChild>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71984918">
      <w:bodyDiv w:val="1"/>
      <w:marLeft w:val="0"/>
      <w:marRight w:val="0"/>
      <w:marTop w:val="0"/>
      <w:marBottom w:val="0"/>
      <w:divBdr>
        <w:top w:val="none" w:sz="0" w:space="0" w:color="auto"/>
        <w:left w:val="none" w:sz="0" w:space="0" w:color="auto"/>
        <w:bottom w:val="none" w:sz="0" w:space="0" w:color="auto"/>
        <w:right w:val="none" w:sz="0" w:space="0" w:color="auto"/>
      </w:divBdr>
    </w:div>
    <w:div w:id="1829441216">
      <w:bodyDiv w:val="1"/>
      <w:marLeft w:val="0"/>
      <w:marRight w:val="0"/>
      <w:marTop w:val="0"/>
      <w:marBottom w:val="0"/>
      <w:divBdr>
        <w:top w:val="none" w:sz="0" w:space="0" w:color="auto"/>
        <w:left w:val="none" w:sz="0" w:space="0" w:color="auto"/>
        <w:bottom w:val="none" w:sz="0" w:space="0" w:color="auto"/>
        <w:right w:val="none" w:sz="0" w:space="0" w:color="auto"/>
      </w:divBdr>
    </w:div>
    <w:div w:id="1853034052">
      <w:bodyDiv w:val="1"/>
      <w:marLeft w:val="0"/>
      <w:marRight w:val="0"/>
      <w:marTop w:val="0"/>
      <w:marBottom w:val="0"/>
      <w:divBdr>
        <w:top w:val="none" w:sz="0" w:space="0" w:color="auto"/>
        <w:left w:val="none" w:sz="0" w:space="0" w:color="auto"/>
        <w:bottom w:val="none" w:sz="0" w:space="0" w:color="auto"/>
        <w:right w:val="none" w:sz="0" w:space="0" w:color="auto"/>
      </w:divBdr>
    </w:div>
    <w:div w:id="1871216555">
      <w:bodyDiv w:val="1"/>
      <w:marLeft w:val="0"/>
      <w:marRight w:val="0"/>
      <w:marTop w:val="0"/>
      <w:marBottom w:val="0"/>
      <w:divBdr>
        <w:top w:val="none" w:sz="0" w:space="0" w:color="auto"/>
        <w:left w:val="none" w:sz="0" w:space="0" w:color="auto"/>
        <w:bottom w:val="none" w:sz="0" w:space="0" w:color="auto"/>
        <w:right w:val="none" w:sz="0" w:space="0" w:color="auto"/>
      </w:divBdr>
      <w:divsChild>
        <w:div w:id="653872206">
          <w:marLeft w:val="0"/>
          <w:marRight w:val="0"/>
          <w:marTop w:val="0"/>
          <w:marBottom w:val="0"/>
          <w:divBdr>
            <w:top w:val="none" w:sz="0" w:space="0" w:color="auto"/>
            <w:left w:val="none" w:sz="0" w:space="0" w:color="auto"/>
            <w:bottom w:val="none" w:sz="0" w:space="0" w:color="auto"/>
            <w:right w:val="none" w:sz="0" w:space="0" w:color="auto"/>
          </w:divBdr>
          <w:divsChild>
            <w:div w:id="160506303">
              <w:marLeft w:val="0"/>
              <w:marRight w:val="0"/>
              <w:marTop w:val="0"/>
              <w:marBottom w:val="0"/>
              <w:divBdr>
                <w:top w:val="none" w:sz="0" w:space="0" w:color="auto"/>
                <w:left w:val="none" w:sz="0" w:space="0" w:color="auto"/>
                <w:bottom w:val="none" w:sz="0" w:space="0" w:color="auto"/>
                <w:right w:val="none" w:sz="0" w:space="0" w:color="auto"/>
              </w:divBdr>
              <w:divsChild>
                <w:div w:id="714936385">
                  <w:marLeft w:val="0"/>
                  <w:marRight w:val="0"/>
                  <w:marTop w:val="0"/>
                  <w:marBottom w:val="0"/>
                  <w:divBdr>
                    <w:top w:val="none" w:sz="0" w:space="0" w:color="auto"/>
                    <w:left w:val="none" w:sz="0" w:space="0" w:color="auto"/>
                    <w:bottom w:val="none" w:sz="0" w:space="0" w:color="auto"/>
                    <w:right w:val="none" w:sz="0" w:space="0" w:color="auto"/>
                  </w:divBdr>
                  <w:divsChild>
                    <w:div w:id="1148134594">
                      <w:marLeft w:val="0"/>
                      <w:marRight w:val="0"/>
                      <w:marTop w:val="0"/>
                      <w:marBottom w:val="0"/>
                      <w:divBdr>
                        <w:top w:val="none" w:sz="0" w:space="0" w:color="auto"/>
                        <w:left w:val="none" w:sz="0" w:space="0" w:color="auto"/>
                        <w:bottom w:val="none" w:sz="0" w:space="0" w:color="auto"/>
                        <w:right w:val="none" w:sz="0" w:space="0" w:color="auto"/>
                      </w:divBdr>
                      <w:divsChild>
                        <w:div w:id="20983017">
                          <w:marLeft w:val="0"/>
                          <w:marRight w:val="0"/>
                          <w:marTop w:val="0"/>
                          <w:marBottom w:val="0"/>
                          <w:divBdr>
                            <w:top w:val="none" w:sz="0" w:space="0" w:color="auto"/>
                            <w:left w:val="none" w:sz="0" w:space="0" w:color="auto"/>
                            <w:bottom w:val="none" w:sz="0" w:space="0" w:color="auto"/>
                            <w:right w:val="none" w:sz="0" w:space="0" w:color="auto"/>
                          </w:divBdr>
                          <w:divsChild>
                            <w:div w:id="15711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015316">
      <w:bodyDiv w:val="1"/>
      <w:marLeft w:val="0"/>
      <w:marRight w:val="0"/>
      <w:marTop w:val="0"/>
      <w:marBottom w:val="0"/>
      <w:divBdr>
        <w:top w:val="none" w:sz="0" w:space="0" w:color="auto"/>
        <w:left w:val="none" w:sz="0" w:space="0" w:color="auto"/>
        <w:bottom w:val="none" w:sz="0" w:space="0" w:color="auto"/>
        <w:right w:val="none" w:sz="0" w:space="0" w:color="auto"/>
      </w:divBdr>
    </w:div>
    <w:div w:id="2043092873">
      <w:bodyDiv w:val="1"/>
      <w:marLeft w:val="0"/>
      <w:marRight w:val="0"/>
      <w:marTop w:val="0"/>
      <w:marBottom w:val="0"/>
      <w:divBdr>
        <w:top w:val="none" w:sz="0" w:space="0" w:color="auto"/>
        <w:left w:val="none" w:sz="0" w:space="0" w:color="auto"/>
        <w:bottom w:val="none" w:sz="0" w:space="0" w:color="auto"/>
        <w:right w:val="none" w:sz="0" w:space="0" w:color="auto"/>
      </w:divBdr>
    </w:div>
    <w:div w:id="204697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e.Logina@f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ne.Logina@fm.gov.lv"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km.gov.lv/uploads/ckeditor/files/kultura_timekli/petijumi/Zinojums-Latvijas%20radoso%20industriju%20darbiba%20un%20prieksnoteikumi%20nozares%20merktiecigai%20attistibai.pdf" TargetMode="External"/><Relationship Id="rId3" Type="http://schemas.openxmlformats.org/officeDocument/2006/relationships/hyperlink" Target="https://rio.jrc.ec.europa.eu/en/policy-support-facility/specific-support-latvia" TargetMode="External"/><Relationship Id="rId7" Type="http://schemas.openxmlformats.org/officeDocument/2006/relationships/hyperlink" Target="https://rm.coe.int/european-heritage-strategy-for-the-21st-century-strategy-21-full-text/16808ae270" TargetMode="External"/><Relationship Id="rId2" Type="http://schemas.openxmlformats.org/officeDocument/2006/relationships/hyperlink" Target="https://eur-lex.europa.eu/legal-content/LV/TXT/HTML/?uri=CELEX:52018PC0382&amp;qid=1557822763474&amp;from=EN" TargetMode="External"/><Relationship Id="rId1" Type="http://schemas.openxmlformats.org/officeDocument/2006/relationships/hyperlink" Target="https://eur-lex.europa.eu/legal-content/LV/TXT/HTML/?uri=CELEX:52018PC0375&amp;from=EN" TargetMode="External"/><Relationship Id="rId6" Type="http://schemas.openxmlformats.org/officeDocument/2006/relationships/hyperlink" Target="https://ec.europa.eu/eurostat/statistics-explained/index.php?title=Culture_statistics_-_international_trade_in_cultural_goods&amp;oldid=428457" TargetMode="External"/><Relationship Id="rId5" Type="http://schemas.openxmlformats.org/officeDocument/2006/relationships/hyperlink" Target="https://www.km.gov.lv/uploads/ckeditor/files/kultura_timekli/petijumi/Zinojums-Latvijas%20radoso%20industriju%20darbiba%20un%20prieksnoteikumi%20nozares%20merktiecigai%20attistibai.pdf" TargetMode="External"/><Relationship Id="rId10" Type="http://schemas.openxmlformats.org/officeDocument/2006/relationships/hyperlink" Target="https://rm.coe.int/european-heritage-strategy-for-the-21st-century-strategy-21-full-text/16808ae270" TargetMode="External"/><Relationship Id="rId4" Type="http://schemas.openxmlformats.org/officeDocument/2006/relationships/hyperlink" Target="https://eur-lex.europa.eu/resource.html?uri=cellar:8d2f7140-6375-11e8-ab9c-01aa75ed71a1.0008.03/DOC_1&amp;format=PDF" TargetMode="External"/><Relationship Id="rId9" Type="http://schemas.openxmlformats.org/officeDocument/2006/relationships/hyperlink" Target="https://ec.europa.eu/eurostat/statistics-explained/index.php?title=Culture_statistics_-_international_trade_in_cultural_goods&amp;oldid=4284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45BAD-32D0-4606-8D12-DB3AB6E71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63</Pages>
  <Words>10376</Words>
  <Characters>77408</Characters>
  <Application>Microsoft Office Word</Application>
  <DocSecurity>0</DocSecurity>
  <Lines>645</Lines>
  <Paragraphs>175</Paragraphs>
  <ScaleCrop>false</ScaleCrop>
  <HeadingPairs>
    <vt:vector size="2" baseType="variant">
      <vt:variant>
        <vt:lpstr>Title</vt:lpstr>
      </vt:variant>
      <vt:variant>
        <vt:i4>1</vt:i4>
      </vt:variant>
    </vt:vector>
  </HeadingPairs>
  <TitlesOfParts>
    <vt:vector size="1" baseType="lpstr">
      <vt:lpstr>FMizz_29052019</vt:lpstr>
    </vt:vector>
  </TitlesOfParts>
  <Manager/>
  <Company>Finanšu ministrija</Company>
  <LinksUpToDate>false</LinksUpToDate>
  <CharactersWithSpaces>87609</CharactersWithSpaces>
  <SharedDoc>false</SharedDoc>
  <HLinks>
    <vt:vector size="18" baseType="variant">
      <vt:variant>
        <vt:i4>4194427</vt:i4>
      </vt:variant>
      <vt:variant>
        <vt:i4>6</vt:i4>
      </vt:variant>
      <vt:variant>
        <vt:i4>0</vt:i4>
      </vt:variant>
      <vt:variant>
        <vt:i4>5</vt:i4>
      </vt:variant>
      <vt:variant>
        <vt:lpwstr>mailto:Zane.Logina@fm.gov.lv</vt:lpwstr>
      </vt:variant>
      <vt:variant>
        <vt:lpwstr/>
      </vt:variant>
      <vt:variant>
        <vt:i4>4194427</vt:i4>
      </vt:variant>
      <vt:variant>
        <vt:i4>3</vt:i4>
      </vt:variant>
      <vt:variant>
        <vt:i4>0</vt:i4>
      </vt:variant>
      <vt:variant>
        <vt:i4>5</vt:i4>
      </vt:variant>
      <vt:variant>
        <vt:lpwstr>mailto:Zane.Logina@fm.gov.lv</vt:lpwstr>
      </vt:variant>
      <vt:variant>
        <vt:lpwstr/>
      </vt:variant>
      <vt:variant>
        <vt:i4>4980786</vt:i4>
      </vt:variant>
      <vt:variant>
        <vt:i4>0</vt:i4>
      </vt:variant>
      <vt:variant>
        <vt:i4>0</vt:i4>
      </vt:variant>
      <vt:variant>
        <vt:i4>5</vt:i4>
      </vt:variant>
      <vt:variant>
        <vt:lpwstr>http://ec.europa.eu/regional_policy/lv/information/publications/guidelines/2014/guidance-on-simplified-cost-options-scos-flat-rate-financing-standard-scales-of-unit-costs-lump-sums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sniegtajiem iebildumiem</dc:title>
  <dc:subject>Izziņa par atzinumos sniegtajiem iebildumiem</dc:subject>
  <dc:creator/>
  <cp:keywords/>
  <dc:description>tālr.67095482, kristine.ancane@fm.gov.lv</dc:description>
  <cp:lastModifiedBy>Laura Naudiņa</cp:lastModifiedBy>
  <cp:revision>54</cp:revision>
  <cp:lastPrinted>2017-07-11T11:15:00Z</cp:lastPrinted>
  <dcterms:created xsi:type="dcterms:W3CDTF">2019-05-23T12:50:00Z</dcterms:created>
  <dcterms:modified xsi:type="dcterms:W3CDTF">2019-05-30T09:18:00Z</dcterms:modified>
</cp:coreProperties>
</file>